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60BAFDF2" w14:textId="77777777" w:rsidR="00A652B8" w:rsidRPr="006D0240" w:rsidRDefault="00A652B8" w:rsidP="008E6292">
          <w:r>
            <w:rPr>
              <w:noProof/>
            </w:rPr>
            <w:drawing>
              <wp:anchor distT="0" distB="0" distL="114300" distR="114300" simplePos="0" relativeHeight="251658246" behindDoc="1" locked="0" layoutInCell="1" allowOverlap="1" wp14:anchorId="4DC5B807" wp14:editId="0F40C7B9">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0AD29E6" w14:textId="77777777" w:rsidR="00A652B8" w:rsidRPr="006D0240" w:rsidRDefault="00A652B8" w:rsidP="00310BF4">
          <w:pPr>
            <w:pStyle w:val="Header"/>
            <w:spacing w:before="120" w:after="120"/>
            <w:jc w:val="left"/>
          </w:pPr>
        </w:p>
        <w:p w14:paraId="0E2D0F22" w14:textId="77777777" w:rsidR="00A652B8" w:rsidRDefault="009A7FF0" w:rsidP="00310BF4">
          <w:pPr>
            <w:pStyle w:val="Title"/>
            <w:spacing w:before="120"/>
          </w:pPr>
          <w:r>
            <w:t>Two-Pillar Solution</w:t>
          </w:r>
          <w:r w:rsidR="003A4A70" w:rsidRPr="003A4A70">
            <w:t>: addressing the tax challenges arising from the digitalisation of the economy</w:t>
          </w:r>
          <w:r w:rsidR="00343EF9">
            <w:t xml:space="preserve"> </w:t>
          </w:r>
        </w:p>
        <w:p w14:paraId="71AA5621" w14:textId="14287A48" w:rsidR="00A652B8" w:rsidRPr="00FB64B5" w:rsidRDefault="003A4A70" w:rsidP="00310BF4">
          <w:pPr>
            <w:pStyle w:val="Subtitle"/>
            <w:spacing w:after="120"/>
          </w:pPr>
          <w:r>
            <w:t>Impact</w:t>
          </w:r>
          <w:r w:rsidR="00A640C2">
            <w:t xml:space="preserve"> Analysis</w:t>
          </w:r>
        </w:p>
        <w:p w14:paraId="2EB71FF8" w14:textId="2E5374FC" w:rsidR="00A652B8" w:rsidRDefault="000747C8" w:rsidP="00310BF4">
          <w:pPr>
            <w:pStyle w:val="ReportDate"/>
            <w:spacing w:before="120" w:after="120"/>
            <w:rPr>
              <w:rFonts w:ascii="Rockwell" w:hAnsi="Rockwell"/>
              <w:sz w:val="24"/>
            </w:rPr>
          </w:pPr>
          <w:r>
            <w:rPr>
              <w:rStyle w:val="ReportDateChar"/>
            </w:rPr>
            <w:t>March</w:t>
          </w:r>
          <w:r w:rsidR="00FB64B5" w:rsidRPr="00CB1035">
            <w:rPr>
              <w:rStyle w:val="ReportDateChar"/>
            </w:rPr>
            <w:t xml:space="preserve"> </w:t>
          </w:r>
          <w:r w:rsidR="00343EF9" w:rsidRPr="00CB1035">
            <w:rPr>
              <w:rStyle w:val="ReportDateChar"/>
            </w:rPr>
            <w:t>202</w:t>
          </w:r>
          <w:r w:rsidR="00181E92" w:rsidRPr="00CB1035">
            <w:rPr>
              <w:rStyle w:val="ReportDateChar"/>
            </w:rPr>
            <w:t>3</w:t>
          </w:r>
        </w:p>
        <w:p w14:paraId="42524596" w14:textId="77777777" w:rsidR="00A652B8" w:rsidRDefault="00A652B8" w:rsidP="00310BF4"/>
        <w:p w14:paraId="694452D2" w14:textId="77777777" w:rsidR="00A652B8" w:rsidRDefault="00A652B8" w:rsidP="00310BF4"/>
        <w:p w14:paraId="64BCB0FD" w14:textId="5C8DCAF6" w:rsidR="000E0B74" w:rsidRDefault="00A652B8" w:rsidP="00310BF4">
          <w:pPr>
            <w:sectPr w:rsidR="000E0B74" w:rsidSect="009243EC">
              <w:headerReference w:type="even" r:id="rId13"/>
              <w:headerReference w:type="default" r:id="rId14"/>
              <w:footerReference w:type="even" r:id="rId15"/>
              <w:footerReference w:type="default" r:id="rId16"/>
              <w:headerReference w:type="first" r:id="rId17"/>
              <w:footerReference w:type="first" r:id="rId18"/>
              <w:pgSz w:w="11906" w:h="16838" w:code="9"/>
              <w:pgMar w:top="1843" w:right="1418" w:bottom="1418" w:left="1418" w:header="709" w:footer="709" w:gutter="0"/>
              <w:pgNumType w:fmt="lowerRoman" w:start="0"/>
              <w:cols w:space="720"/>
              <w:titlePg/>
              <w:docGrid w:linePitch="299"/>
            </w:sectPr>
          </w:pPr>
          <w:r>
            <w:br w:type="page"/>
          </w:r>
        </w:p>
      </w:sdtContent>
    </w:sdt>
    <w:p w14:paraId="35DEB7CC" w14:textId="77777777" w:rsidR="00BC5420" w:rsidRDefault="00BC5420" w:rsidP="007802A0">
      <w:pPr>
        <w:jc w:val="center"/>
      </w:pPr>
    </w:p>
    <w:p w14:paraId="3C3DD770" w14:textId="4DBF97D1" w:rsidR="000E0B74" w:rsidRDefault="000E0B74" w:rsidP="00310BF4">
      <w:r w:rsidRPr="00661BF0">
        <w:t xml:space="preserve">© Commonwealth of Australia </w:t>
      </w:r>
      <w:r w:rsidRPr="007759C9">
        <w:t>20</w:t>
      </w:r>
      <w:r w:rsidR="00EF2FBF" w:rsidRPr="007759C9">
        <w:t>2</w:t>
      </w:r>
      <w:r w:rsidR="00634C83">
        <w:t>3</w:t>
      </w:r>
    </w:p>
    <w:p w14:paraId="2B7EC4B9" w14:textId="32DEB814" w:rsidR="000E0B74" w:rsidRPr="00086F82" w:rsidRDefault="000E0B74" w:rsidP="00310BF4">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1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20"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394DA94D" w14:textId="22A24246" w:rsidR="000E0B74" w:rsidRDefault="000E0B74" w:rsidP="00310BF4">
      <w:pPr>
        <w:pStyle w:val="ChartGraphic"/>
        <w:spacing w:before="120" w:after="120"/>
        <w:jc w:val="left"/>
      </w:pPr>
      <w:r w:rsidRPr="00E56DFB">
        <w:rPr>
          <w:noProof/>
        </w:rPr>
        <w:drawing>
          <wp:inline distT="0" distB="0" distL="0" distR="0" wp14:anchorId="56752C8E" wp14:editId="683B2FB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364BC5F" w14:textId="3CB147BC" w:rsidR="000E0B74" w:rsidRPr="006627B4" w:rsidRDefault="000E0B74" w:rsidP="00310BF4">
      <w:pPr>
        <w:tabs>
          <w:tab w:val="left" w:pos="1650"/>
        </w:tabs>
      </w:pPr>
      <w:r w:rsidRPr="006627B4">
        <w:t>Use of Treasury material under a</w:t>
      </w:r>
      <w:r w:rsidRPr="00476F09">
        <w:rPr>
          <w:rFonts w:cstheme="minorHAnsi"/>
          <w:sz w:val="24"/>
          <w:szCs w:val="24"/>
        </w:rPr>
        <w:t xml:space="preserve"> </w:t>
      </w:r>
      <w:hyperlink r:id="rId22"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A9B7AB3" w14:textId="77777777" w:rsidR="000E0B74" w:rsidRPr="0031276E" w:rsidRDefault="000E0B74" w:rsidP="00310BF4">
      <w:pPr>
        <w:rPr>
          <w:b/>
        </w:rPr>
      </w:pPr>
      <w:r w:rsidRPr="0031276E">
        <w:rPr>
          <w:b/>
        </w:rPr>
        <w:t>Treasury material used ‘as supplied’.</w:t>
      </w:r>
    </w:p>
    <w:p w14:paraId="39BF1E56"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3FBA613" w14:textId="77777777" w:rsidR="000E0B74" w:rsidRPr="00A13A11" w:rsidRDefault="000E0B74" w:rsidP="000E0B74">
      <w:pPr>
        <w:ind w:firstLine="720"/>
      </w:pPr>
      <w:r w:rsidRPr="002F1BC2">
        <w:rPr>
          <w:i/>
        </w:rPr>
        <w:t xml:space="preserve">Source: The </w:t>
      </w:r>
      <w:r w:rsidRPr="002F1BC2">
        <w:rPr>
          <w:i/>
          <w:iCs/>
        </w:rPr>
        <w:t>Australian Government the Treasury</w:t>
      </w:r>
      <w:r>
        <w:t>.</w:t>
      </w:r>
    </w:p>
    <w:p w14:paraId="181F2921" w14:textId="77777777" w:rsidR="000E0B74" w:rsidRPr="006627B4" w:rsidRDefault="000E0B74" w:rsidP="00310BF4">
      <w:r w:rsidRPr="00CC63CC">
        <w:rPr>
          <w:b/>
        </w:rPr>
        <w:t>Derivative</w:t>
      </w:r>
      <w:r w:rsidRPr="006627B4">
        <w:t xml:space="preserve"> </w:t>
      </w:r>
      <w:r w:rsidRPr="00CC63CC">
        <w:rPr>
          <w:b/>
        </w:rPr>
        <w:t>material</w:t>
      </w:r>
    </w:p>
    <w:p w14:paraId="7E79A52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BC11ADD" w14:textId="77777777" w:rsidR="000E0B74" w:rsidRPr="006627B4" w:rsidRDefault="000E0B74" w:rsidP="000E0B74">
      <w:pPr>
        <w:ind w:firstLine="720"/>
      </w:pPr>
      <w:r w:rsidRPr="002F1BC2">
        <w:rPr>
          <w:i/>
        </w:rPr>
        <w:t>Based on The Australian Government the Treasury data</w:t>
      </w:r>
      <w:r>
        <w:t>.</w:t>
      </w:r>
    </w:p>
    <w:p w14:paraId="5A306088" w14:textId="77777777" w:rsidR="000E0B74" w:rsidRPr="006627B4" w:rsidRDefault="000E0B74" w:rsidP="00310BF4">
      <w:pPr>
        <w:rPr>
          <w:b/>
        </w:rPr>
      </w:pPr>
      <w:r w:rsidRPr="006627B4">
        <w:rPr>
          <w:b/>
        </w:rPr>
        <w:t>Use of the Coat of Arms</w:t>
      </w:r>
    </w:p>
    <w:p w14:paraId="0CF42FDB" w14:textId="7819D68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3" w:history="1">
        <w:r w:rsidRPr="005A283B">
          <w:rPr>
            <w:rStyle w:val="Hyperlink"/>
          </w:rPr>
          <w:t>www.pmc.gov.au/government/commonwealth-coat-arm</w:t>
        </w:r>
      </w:hyperlink>
      <w:r w:rsidRPr="004A7BC2">
        <w:t>s).</w:t>
      </w:r>
    </w:p>
    <w:p w14:paraId="0EDC8DFF" w14:textId="77777777" w:rsidR="000E0B74" w:rsidRPr="006627B4" w:rsidRDefault="000E0B74" w:rsidP="00310BF4">
      <w:pPr>
        <w:rPr>
          <w:b/>
        </w:rPr>
      </w:pPr>
      <w:r>
        <w:rPr>
          <w:b/>
        </w:rPr>
        <w:t>Other u</w:t>
      </w:r>
      <w:r w:rsidRPr="006627B4">
        <w:rPr>
          <w:b/>
        </w:rPr>
        <w:t>ses</w:t>
      </w:r>
    </w:p>
    <w:p w14:paraId="3E403445" w14:textId="77777777" w:rsidR="000E0B74" w:rsidRPr="006627B4" w:rsidRDefault="000E0B74" w:rsidP="000E0B74">
      <w:r>
        <w:t>E</w:t>
      </w:r>
      <w:r w:rsidRPr="006627B4">
        <w:t>nquiries regarding this licence and any other use of this document are welcome at:</w:t>
      </w:r>
    </w:p>
    <w:p w14:paraId="40222397" w14:textId="1247F414"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4" w:history="1">
        <w:r w:rsidR="004A077D" w:rsidRPr="000951A5">
          <w:rPr>
            <w:rStyle w:val="Hyperlink"/>
          </w:rPr>
          <w:t>media@treasury.gov.au</w:t>
        </w:r>
      </w:hyperlink>
      <w:r w:rsidR="004A077D">
        <w:t xml:space="preserve"> </w:t>
      </w:r>
    </w:p>
    <w:p w14:paraId="3BD0B8BC" w14:textId="77777777" w:rsidR="000E0B74" w:rsidRDefault="000E0B74" w:rsidP="00310BF4">
      <w:pPr>
        <w:pStyle w:val="SingleParagraph"/>
        <w:spacing w:before="120" w:after="120"/>
        <w:sectPr w:rsidR="000E0B74" w:rsidSect="009243EC">
          <w:headerReference w:type="even" r:id="rId25"/>
          <w:headerReference w:type="default" r:id="rId26"/>
          <w:footerReference w:type="even" r:id="rId27"/>
          <w:pgSz w:w="11906" w:h="16838" w:code="9"/>
          <w:pgMar w:top="1843" w:right="1418" w:bottom="1418" w:left="1418" w:header="709" w:footer="709" w:gutter="0"/>
          <w:pgNumType w:fmt="lowerRoman"/>
          <w:cols w:space="708"/>
          <w:titlePg/>
          <w:docGrid w:linePitch="360"/>
        </w:sectPr>
      </w:pPr>
    </w:p>
    <w:p w14:paraId="514BDD9C" w14:textId="77777777" w:rsidR="002F1777" w:rsidRDefault="000E0B74" w:rsidP="00310BF4">
      <w:pPr>
        <w:pStyle w:val="TOC1"/>
        <w:spacing w:before="120" w:after="120"/>
      </w:pPr>
      <w:bookmarkStart w:id="0" w:name="_Toc108522070"/>
      <w:bookmarkStart w:id="1" w:name="_Toc109115573"/>
      <w:bookmarkStart w:id="2" w:name="_Toc109126165"/>
      <w:bookmarkStart w:id="3" w:name="_Toc109132659"/>
      <w:bookmarkStart w:id="4" w:name="_Toc109729280"/>
      <w:bookmarkStart w:id="5" w:name="_Toc109742183"/>
      <w:r w:rsidRPr="00354FBB">
        <w:lastRenderedPageBreak/>
        <w:t>Contents</w:t>
      </w:r>
      <w:bookmarkEnd w:id="0"/>
      <w:bookmarkEnd w:id="1"/>
      <w:bookmarkEnd w:id="2"/>
      <w:bookmarkEnd w:id="3"/>
      <w:bookmarkEnd w:id="4"/>
      <w:bookmarkEnd w:id="5"/>
    </w:p>
    <w:p w14:paraId="19C5C0FF" w14:textId="39BACB3F" w:rsidR="000C2476" w:rsidRDefault="00A915D7">
      <w:pPr>
        <w:pStyle w:val="TOC1"/>
        <w:rPr>
          <w:rFonts w:asciiTheme="minorHAnsi" w:eastAsiaTheme="minorEastAsia" w:hAnsiTheme="minorHAnsi" w:cstheme="minorBidi"/>
          <w:b w:val="0"/>
          <w:color w:val="auto"/>
        </w:rPr>
      </w:pPr>
      <w:r>
        <w:fldChar w:fldCharType="begin"/>
      </w:r>
      <w:r>
        <w:instrText xml:space="preserve"> TOC \o "1-1" \h \z \u </w:instrText>
      </w:r>
      <w:r>
        <w:fldChar w:fldCharType="separate"/>
      </w:r>
      <w:hyperlink w:anchor="_Toc131405118" w:history="1">
        <w:r w:rsidR="000C2476" w:rsidRPr="00850B8E">
          <w:rPr>
            <w:rStyle w:val="Hyperlink"/>
          </w:rPr>
          <w:t>Executive Summary</w:t>
        </w:r>
        <w:r w:rsidR="000C2476">
          <w:rPr>
            <w:webHidden/>
          </w:rPr>
          <w:tab/>
        </w:r>
        <w:r w:rsidR="000C2476">
          <w:rPr>
            <w:webHidden/>
          </w:rPr>
          <w:fldChar w:fldCharType="begin"/>
        </w:r>
        <w:r w:rsidR="000C2476">
          <w:rPr>
            <w:webHidden/>
          </w:rPr>
          <w:instrText xml:space="preserve"> PAGEREF _Toc131405118 \h </w:instrText>
        </w:r>
        <w:r w:rsidR="000C2476">
          <w:rPr>
            <w:webHidden/>
          </w:rPr>
        </w:r>
        <w:r w:rsidR="000C2476">
          <w:rPr>
            <w:webHidden/>
          </w:rPr>
          <w:fldChar w:fldCharType="separate"/>
        </w:r>
        <w:r w:rsidR="002E78C0">
          <w:rPr>
            <w:webHidden/>
          </w:rPr>
          <w:t>3</w:t>
        </w:r>
        <w:r w:rsidR="000C2476">
          <w:rPr>
            <w:webHidden/>
          </w:rPr>
          <w:fldChar w:fldCharType="end"/>
        </w:r>
      </w:hyperlink>
    </w:p>
    <w:p w14:paraId="5289BD71" w14:textId="586CA4E3" w:rsidR="000C2476" w:rsidRDefault="002E78C0">
      <w:pPr>
        <w:pStyle w:val="TOC1"/>
        <w:rPr>
          <w:rFonts w:asciiTheme="minorHAnsi" w:eastAsiaTheme="minorEastAsia" w:hAnsiTheme="minorHAnsi" w:cstheme="minorBidi"/>
          <w:b w:val="0"/>
          <w:color w:val="auto"/>
        </w:rPr>
      </w:pPr>
      <w:hyperlink w:anchor="_Toc131405119" w:history="1">
        <w:r w:rsidR="000C2476" w:rsidRPr="00850B8E">
          <w:rPr>
            <w:rStyle w:val="Hyperlink"/>
          </w:rPr>
          <w:t>Introduction</w:t>
        </w:r>
        <w:r w:rsidR="000C2476">
          <w:rPr>
            <w:webHidden/>
          </w:rPr>
          <w:tab/>
        </w:r>
        <w:r w:rsidR="000C2476">
          <w:rPr>
            <w:webHidden/>
          </w:rPr>
          <w:fldChar w:fldCharType="begin"/>
        </w:r>
        <w:r w:rsidR="000C2476">
          <w:rPr>
            <w:webHidden/>
          </w:rPr>
          <w:instrText xml:space="preserve"> PAGEREF _Toc131405119 \h </w:instrText>
        </w:r>
        <w:r w:rsidR="000C2476">
          <w:rPr>
            <w:webHidden/>
          </w:rPr>
        </w:r>
        <w:r w:rsidR="000C2476">
          <w:rPr>
            <w:webHidden/>
          </w:rPr>
          <w:fldChar w:fldCharType="separate"/>
        </w:r>
        <w:r>
          <w:rPr>
            <w:webHidden/>
          </w:rPr>
          <w:t>5</w:t>
        </w:r>
        <w:r w:rsidR="000C2476">
          <w:rPr>
            <w:webHidden/>
          </w:rPr>
          <w:fldChar w:fldCharType="end"/>
        </w:r>
      </w:hyperlink>
    </w:p>
    <w:p w14:paraId="09358AD8" w14:textId="6FE99B31" w:rsidR="000C2476" w:rsidRDefault="002E78C0">
      <w:pPr>
        <w:pStyle w:val="TOC1"/>
        <w:rPr>
          <w:rFonts w:asciiTheme="minorHAnsi" w:eastAsiaTheme="minorEastAsia" w:hAnsiTheme="minorHAnsi" w:cstheme="minorBidi"/>
          <w:b w:val="0"/>
          <w:color w:val="auto"/>
        </w:rPr>
      </w:pPr>
      <w:hyperlink w:anchor="_Toc131405120" w:history="1">
        <w:r w:rsidR="000C2476" w:rsidRPr="00850B8E">
          <w:rPr>
            <w:rStyle w:val="Hyperlink"/>
          </w:rPr>
          <w:t>Background Information</w:t>
        </w:r>
        <w:r w:rsidR="000C2476">
          <w:rPr>
            <w:webHidden/>
          </w:rPr>
          <w:tab/>
        </w:r>
        <w:r w:rsidR="000C2476">
          <w:rPr>
            <w:webHidden/>
          </w:rPr>
          <w:fldChar w:fldCharType="begin"/>
        </w:r>
        <w:r w:rsidR="000C2476">
          <w:rPr>
            <w:webHidden/>
          </w:rPr>
          <w:instrText xml:space="preserve"> PAGEREF _Toc131405120 \h </w:instrText>
        </w:r>
        <w:r w:rsidR="000C2476">
          <w:rPr>
            <w:webHidden/>
          </w:rPr>
        </w:r>
        <w:r w:rsidR="000C2476">
          <w:rPr>
            <w:webHidden/>
          </w:rPr>
          <w:fldChar w:fldCharType="separate"/>
        </w:r>
        <w:r>
          <w:rPr>
            <w:webHidden/>
          </w:rPr>
          <w:t>5</w:t>
        </w:r>
        <w:r w:rsidR="000C2476">
          <w:rPr>
            <w:webHidden/>
          </w:rPr>
          <w:fldChar w:fldCharType="end"/>
        </w:r>
      </w:hyperlink>
    </w:p>
    <w:p w14:paraId="661C3E6F" w14:textId="717D218E" w:rsidR="000C2476" w:rsidRDefault="002E78C0">
      <w:pPr>
        <w:pStyle w:val="TOC1"/>
        <w:rPr>
          <w:rFonts w:asciiTheme="minorHAnsi" w:eastAsiaTheme="minorEastAsia" w:hAnsiTheme="minorHAnsi" w:cstheme="minorBidi"/>
          <w:b w:val="0"/>
          <w:color w:val="auto"/>
        </w:rPr>
      </w:pPr>
      <w:hyperlink w:anchor="_Toc131405121" w:history="1">
        <w:r w:rsidR="000C2476" w:rsidRPr="00850B8E">
          <w:rPr>
            <w:rStyle w:val="Hyperlink"/>
          </w:rPr>
          <w:t>Problem and consequences from inaction</w:t>
        </w:r>
        <w:r w:rsidR="000C2476">
          <w:rPr>
            <w:webHidden/>
          </w:rPr>
          <w:tab/>
        </w:r>
        <w:r w:rsidR="000C2476">
          <w:rPr>
            <w:webHidden/>
          </w:rPr>
          <w:fldChar w:fldCharType="begin"/>
        </w:r>
        <w:r w:rsidR="000C2476">
          <w:rPr>
            <w:webHidden/>
          </w:rPr>
          <w:instrText xml:space="preserve"> PAGEREF _Toc131405121 \h </w:instrText>
        </w:r>
        <w:r w:rsidR="000C2476">
          <w:rPr>
            <w:webHidden/>
          </w:rPr>
        </w:r>
        <w:r w:rsidR="000C2476">
          <w:rPr>
            <w:webHidden/>
          </w:rPr>
          <w:fldChar w:fldCharType="separate"/>
        </w:r>
        <w:r>
          <w:rPr>
            <w:webHidden/>
          </w:rPr>
          <w:t>9</w:t>
        </w:r>
        <w:r w:rsidR="000C2476">
          <w:rPr>
            <w:webHidden/>
          </w:rPr>
          <w:fldChar w:fldCharType="end"/>
        </w:r>
      </w:hyperlink>
    </w:p>
    <w:p w14:paraId="64940A7A" w14:textId="281852E4" w:rsidR="000C2476" w:rsidRDefault="002E78C0">
      <w:pPr>
        <w:pStyle w:val="TOC1"/>
        <w:rPr>
          <w:rFonts w:asciiTheme="minorHAnsi" w:eastAsiaTheme="minorEastAsia" w:hAnsiTheme="minorHAnsi" w:cstheme="minorBidi"/>
          <w:b w:val="0"/>
          <w:color w:val="auto"/>
        </w:rPr>
      </w:pPr>
      <w:hyperlink w:anchor="_Toc131405122" w:history="1">
        <w:r w:rsidR="000C2476" w:rsidRPr="00850B8E">
          <w:rPr>
            <w:rStyle w:val="Hyperlink"/>
          </w:rPr>
          <w:t>Why is government action needed?</w:t>
        </w:r>
        <w:r w:rsidR="000C2476">
          <w:rPr>
            <w:webHidden/>
          </w:rPr>
          <w:tab/>
        </w:r>
        <w:r w:rsidR="000C2476">
          <w:rPr>
            <w:webHidden/>
          </w:rPr>
          <w:fldChar w:fldCharType="begin"/>
        </w:r>
        <w:r w:rsidR="000C2476">
          <w:rPr>
            <w:webHidden/>
          </w:rPr>
          <w:instrText xml:space="preserve"> PAGEREF _Toc131405122 \h </w:instrText>
        </w:r>
        <w:r w:rsidR="000C2476">
          <w:rPr>
            <w:webHidden/>
          </w:rPr>
        </w:r>
        <w:r w:rsidR="000C2476">
          <w:rPr>
            <w:webHidden/>
          </w:rPr>
          <w:fldChar w:fldCharType="separate"/>
        </w:r>
        <w:r>
          <w:rPr>
            <w:webHidden/>
          </w:rPr>
          <w:t>12</w:t>
        </w:r>
        <w:r w:rsidR="000C2476">
          <w:rPr>
            <w:webHidden/>
          </w:rPr>
          <w:fldChar w:fldCharType="end"/>
        </w:r>
      </w:hyperlink>
    </w:p>
    <w:p w14:paraId="1E62E894" w14:textId="113F0146" w:rsidR="000C2476" w:rsidRDefault="002E78C0">
      <w:pPr>
        <w:pStyle w:val="TOC1"/>
        <w:rPr>
          <w:rFonts w:asciiTheme="minorHAnsi" w:eastAsiaTheme="minorEastAsia" w:hAnsiTheme="minorHAnsi" w:cstheme="minorBidi"/>
          <w:b w:val="0"/>
          <w:color w:val="auto"/>
        </w:rPr>
      </w:pPr>
      <w:hyperlink w:anchor="_Toc131405123" w:history="1">
        <w:r w:rsidR="000C2476" w:rsidRPr="00850B8E">
          <w:rPr>
            <w:rStyle w:val="Hyperlink"/>
          </w:rPr>
          <w:t>Options</w:t>
        </w:r>
        <w:r w:rsidR="000C2476">
          <w:rPr>
            <w:webHidden/>
          </w:rPr>
          <w:tab/>
        </w:r>
        <w:r w:rsidR="000C2476">
          <w:rPr>
            <w:webHidden/>
          </w:rPr>
          <w:fldChar w:fldCharType="begin"/>
        </w:r>
        <w:r w:rsidR="000C2476">
          <w:rPr>
            <w:webHidden/>
          </w:rPr>
          <w:instrText xml:space="preserve"> PAGEREF _Toc131405123 \h </w:instrText>
        </w:r>
        <w:r w:rsidR="000C2476">
          <w:rPr>
            <w:webHidden/>
          </w:rPr>
        </w:r>
        <w:r w:rsidR="000C2476">
          <w:rPr>
            <w:webHidden/>
          </w:rPr>
          <w:fldChar w:fldCharType="separate"/>
        </w:r>
        <w:r>
          <w:rPr>
            <w:webHidden/>
          </w:rPr>
          <w:t>13</w:t>
        </w:r>
        <w:r w:rsidR="000C2476">
          <w:rPr>
            <w:webHidden/>
          </w:rPr>
          <w:fldChar w:fldCharType="end"/>
        </w:r>
      </w:hyperlink>
    </w:p>
    <w:p w14:paraId="53812BB7" w14:textId="31CE24FF" w:rsidR="000C2476" w:rsidRDefault="002E78C0">
      <w:pPr>
        <w:pStyle w:val="TOC1"/>
        <w:rPr>
          <w:rFonts w:asciiTheme="minorHAnsi" w:eastAsiaTheme="minorEastAsia" w:hAnsiTheme="minorHAnsi" w:cstheme="minorBidi"/>
          <w:b w:val="0"/>
          <w:color w:val="auto"/>
        </w:rPr>
      </w:pPr>
      <w:hyperlink w:anchor="_Toc131405124" w:history="1">
        <w:r w:rsidR="000C2476" w:rsidRPr="00850B8E">
          <w:rPr>
            <w:rStyle w:val="Hyperlink"/>
          </w:rPr>
          <w:t>Impacts</w:t>
        </w:r>
        <w:r w:rsidR="000C2476">
          <w:rPr>
            <w:webHidden/>
          </w:rPr>
          <w:tab/>
        </w:r>
        <w:r w:rsidR="000C2476">
          <w:rPr>
            <w:webHidden/>
          </w:rPr>
          <w:fldChar w:fldCharType="begin"/>
        </w:r>
        <w:r w:rsidR="000C2476">
          <w:rPr>
            <w:webHidden/>
          </w:rPr>
          <w:instrText xml:space="preserve"> PAGEREF _Toc131405124 \h </w:instrText>
        </w:r>
        <w:r w:rsidR="000C2476">
          <w:rPr>
            <w:webHidden/>
          </w:rPr>
        </w:r>
        <w:r w:rsidR="000C2476">
          <w:rPr>
            <w:webHidden/>
          </w:rPr>
          <w:fldChar w:fldCharType="separate"/>
        </w:r>
        <w:r>
          <w:rPr>
            <w:webHidden/>
          </w:rPr>
          <w:t>21</w:t>
        </w:r>
        <w:r w:rsidR="000C2476">
          <w:rPr>
            <w:webHidden/>
          </w:rPr>
          <w:fldChar w:fldCharType="end"/>
        </w:r>
      </w:hyperlink>
    </w:p>
    <w:p w14:paraId="1D76DCEE" w14:textId="36D960BF" w:rsidR="000C2476" w:rsidRDefault="002E78C0">
      <w:pPr>
        <w:pStyle w:val="TOC1"/>
        <w:rPr>
          <w:rFonts w:asciiTheme="minorHAnsi" w:eastAsiaTheme="minorEastAsia" w:hAnsiTheme="minorHAnsi" w:cstheme="minorBidi"/>
          <w:b w:val="0"/>
          <w:color w:val="auto"/>
        </w:rPr>
      </w:pPr>
      <w:hyperlink w:anchor="_Toc131405125" w:history="1">
        <w:r w:rsidR="000C2476" w:rsidRPr="00850B8E">
          <w:rPr>
            <w:rStyle w:val="Hyperlink"/>
          </w:rPr>
          <w:t>Consultation</w:t>
        </w:r>
        <w:r w:rsidR="000C2476">
          <w:rPr>
            <w:webHidden/>
          </w:rPr>
          <w:tab/>
        </w:r>
        <w:r w:rsidR="000C2476">
          <w:rPr>
            <w:webHidden/>
          </w:rPr>
          <w:fldChar w:fldCharType="begin"/>
        </w:r>
        <w:r w:rsidR="000C2476">
          <w:rPr>
            <w:webHidden/>
          </w:rPr>
          <w:instrText xml:space="preserve"> PAGEREF _Toc131405125 \h </w:instrText>
        </w:r>
        <w:r w:rsidR="000C2476">
          <w:rPr>
            <w:webHidden/>
          </w:rPr>
        </w:r>
        <w:r w:rsidR="000C2476">
          <w:rPr>
            <w:webHidden/>
          </w:rPr>
          <w:fldChar w:fldCharType="separate"/>
        </w:r>
        <w:r>
          <w:rPr>
            <w:webHidden/>
          </w:rPr>
          <w:t>31</w:t>
        </w:r>
        <w:r w:rsidR="000C2476">
          <w:rPr>
            <w:webHidden/>
          </w:rPr>
          <w:fldChar w:fldCharType="end"/>
        </w:r>
      </w:hyperlink>
    </w:p>
    <w:p w14:paraId="74065AF1" w14:textId="4B27D495" w:rsidR="000C2476" w:rsidRDefault="002E78C0">
      <w:pPr>
        <w:pStyle w:val="TOC1"/>
        <w:rPr>
          <w:rFonts w:asciiTheme="minorHAnsi" w:eastAsiaTheme="minorEastAsia" w:hAnsiTheme="minorHAnsi" w:cstheme="minorBidi"/>
          <w:b w:val="0"/>
          <w:color w:val="auto"/>
        </w:rPr>
      </w:pPr>
      <w:hyperlink w:anchor="_Toc131405126" w:history="1">
        <w:r w:rsidR="000C2476" w:rsidRPr="00850B8E">
          <w:rPr>
            <w:rStyle w:val="Hyperlink"/>
          </w:rPr>
          <w:t>Recommended option</w:t>
        </w:r>
        <w:r w:rsidR="000C2476">
          <w:rPr>
            <w:webHidden/>
          </w:rPr>
          <w:tab/>
        </w:r>
        <w:r w:rsidR="000C2476">
          <w:rPr>
            <w:webHidden/>
          </w:rPr>
          <w:fldChar w:fldCharType="begin"/>
        </w:r>
        <w:r w:rsidR="000C2476">
          <w:rPr>
            <w:webHidden/>
          </w:rPr>
          <w:instrText xml:space="preserve"> PAGEREF _Toc131405126 \h </w:instrText>
        </w:r>
        <w:r w:rsidR="000C2476">
          <w:rPr>
            <w:webHidden/>
          </w:rPr>
        </w:r>
        <w:r w:rsidR="000C2476">
          <w:rPr>
            <w:webHidden/>
          </w:rPr>
          <w:fldChar w:fldCharType="separate"/>
        </w:r>
        <w:r>
          <w:rPr>
            <w:webHidden/>
          </w:rPr>
          <w:t>38</w:t>
        </w:r>
        <w:r w:rsidR="000C2476">
          <w:rPr>
            <w:webHidden/>
          </w:rPr>
          <w:fldChar w:fldCharType="end"/>
        </w:r>
      </w:hyperlink>
    </w:p>
    <w:p w14:paraId="32DBD081" w14:textId="451D6C84" w:rsidR="000C2476" w:rsidRDefault="002E78C0">
      <w:pPr>
        <w:pStyle w:val="TOC1"/>
        <w:rPr>
          <w:rFonts w:asciiTheme="minorHAnsi" w:eastAsiaTheme="minorEastAsia" w:hAnsiTheme="minorHAnsi" w:cstheme="minorBidi"/>
          <w:b w:val="0"/>
          <w:color w:val="auto"/>
        </w:rPr>
      </w:pPr>
      <w:hyperlink w:anchor="_Toc131405127" w:history="1">
        <w:r w:rsidR="000C2476" w:rsidRPr="00850B8E">
          <w:rPr>
            <w:rStyle w:val="Hyperlink"/>
          </w:rPr>
          <w:t>Implementation</w:t>
        </w:r>
        <w:r w:rsidR="000C2476">
          <w:rPr>
            <w:webHidden/>
          </w:rPr>
          <w:tab/>
        </w:r>
        <w:r w:rsidR="000C2476">
          <w:rPr>
            <w:webHidden/>
          </w:rPr>
          <w:fldChar w:fldCharType="begin"/>
        </w:r>
        <w:r w:rsidR="000C2476">
          <w:rPr>
            <w:webHidden/>
          </w:rPr>
          <w:instrText xml:space="preserve"> PAGEREF _Toc131405127 \h </w:instrText>
        </w:r>
        <w:r w:rsidR="000C2476">
          <w:rPr>
            <w:webHidden/>
          </w:rPr>
        </w:r>
        <w:r w:rsidR="000C2476">
          <w:rPr>
            <w:webHidden/>
          </w:rPr>
          <w:fldChar w:fldCharType="separate"/>
        </w:r>
        <w:r>
          <w:rPr>
            <w:webHidden/>
          </w:rPr>
          <w:t>38</w:t>
        </w:r>
        <w:r w:rsidR="000C2476">
          <w:rPr>
            <w:webHidden/>
          </w:rPr>
          <w:fldChar w:fldCharType="end"/>
        </w:r>
      </w:hyperlink>
    </w:p>
    <w:p w14:paraId="35DAAF91" w14:textId="5F59DF90" w:rsidR="000C2476" w:rsidRDefault="002E78C0">
      <w:pPr>
        <w:pStyle w:val="TOC1"/>
        <w:rPr>
          <w:rFonts w:asciiTheme="minorHAnsi" w:eastAsiaTheme="minorEastAsia" w:hAnsiTheme="minorHAnsi" w:cstheme="minorBidi"/>
          <w:b w:val="0"/>
          <w:color w:val="auto"/>
        </w:rPr>
      </w:pPr>
      <w:hyperlink w:anchor="_Toc131405128" w:history="1">
        <w:r w:rsidR="000C2476" w:rsidRPr="00850B8E">
          <w:rPr>
            <w:rStyle w:val="Hyperlink"/>
          </w:rPr>
          <w:t>Document Status</w:t>
        </w:r>
        <w:r w:rsidR="000C2476">
          <w:rPr>
            <w:webHidden/>
          </w:rPr>
          <w:tab/>
        </w:r>
        <w:r w:rsidR="000C2476">
          <w:rPr>
            <w:webHidden/>
          </w:rPr>
          <w:fldChar w:fldCharType="begin"/>
        </w:r>
        <w:r w:rsidR="000C2476">
          <w:rPr>
            <w:webHidden/>
          </w:rPr>
          <w:instrText xml:space="preserve"> PAGEREF _Toc131405128 \h </w:instrText>
        </w:r>
        <w:r w:rsidR="000C2476">
          <w:rPr>
            <w:webHidden/>
          </w:rPr>
        </w:r>
        <w:r w:rsidR="000C2476">
          <w:rPr>
            <w:webHidden/>
          </w:rPr>
          <w:fldChar w:fldCharType="separate"/>
        </w:r>
        <w:r>
          <w:rPr>
            <w:webHidden/>
          </w:rPr>
          <w:t>45</w:t>
        </w:r>
        <w:r w:rsidR="000C2476">
          <w:rPr>
            <w:webHidden/>
          </w:rPr>
          <w:fldChar w:fldCharType="end"/>
        </w:r>
      </w:hyperlink>
    </w:p>
    <w:p w14:paraId="218E2B30" w14:textId="2CCDC350" w:rsidR="000C2476" w:rsidRDefault="002E78C0">
      <w:pPr>
        <w:pStyle w:val="TOC1"/>
        <w:rPr>
          <w:rFonts w:asciiTheme="minorHAnsi" w:eastAsiaTheme="minorEastAsia" w:hAnsiTheme="minorHAnsi" w:cstheme="minorBidi"/>
          <w:b w:val="0"/>
          <w:color w:val="auto"/>
        </w:rPr>
      </w:pPr>
      <w:hyperlink w:anchor="_Toc131405129" w:history="1">
        <w:r w:rsidR="000C2476" w:rsidRPr="00850B8E">
          <w:rPr>
            <w:rStyle w:val="Hyperlink"/>
          </w:rPr>
          <w:t>References</w:t>
        </w:r>
        <w:r w:rsidR="000C2476">
          <w:rPr>
            <w:webHidden/>
          </w:rPr>
          <w:tab/>
        </w:r>
        <w:r w:rsidR="000C2476">
          <w:rPr>
            <w:webHidden/>
          </w:rPr>
          <w:fldChar w:fldCharType="begin"/>
        </w:r>
        <w:r w:rsidR="000C2476">
          <w:rPr>
            <w:webHidden/>
          </w:rPr>
          <w:instrText xml:space="preserve"> PAGEREF _Toc131405129 \h </w:instrText>
        </w:r>
        <w:r w:rsidR="000C2476">
          <w:rPr>
            <w:webHidden/>
          </w:rPr>
        </w:r>
        <w:r w:rsidR="000C2476">
          <w:rPr>
            <w:webHidden/>
          </w:rPr>
          <w:fldChar w:fldCharType="separate"/>
        </w:r>
        <w:r>
          <w:rPr>
            <w:webHidden/>
          </w:rPr>
          <w:t>46</w:t>
        </w:r>
        <w:r w:rsidR="000C2476">
          <w:rPr>
            <w:webHidden/>
          </w:rPr>
          <w:fldChar w:fldCharType="end"/>
        </w:r>
      </w:hyperlink>
    </w:p>
    <w:p w14:paraId="661B9E49" w14:textId="352837FB" w:rsidR="000C2476" w:rsidRDefault="002E78C0">
      <w:pPr>
        <w:pStyle w:val="TOC1"/>
        <w:rPr>
          <w:rFonts w:asciiTheme="minorHAnsi" w:eastAsiaTheme="minorEastAsia" w:hAnsiTheme="minorHAnsi" w:cstheme="minorBidi"/>
          <w:b w:val="0"/>
          <w:color w:val="auto"/>
        </w:rPr>
      </w:pPr>
      <w:hyperlink w:anchor="_Toc131405130" w:history="1">
        <w:r w:rsidR="000C2476" w:rsidRPr="00850B8E">
          <w:rPr>
            <w:rStyle w:val="Hyperlink"/>
          </w:rPr>
          <w:t>Appendix A: Additional information on OECD consultations</w:t>
        </w:r>
        <w:r w:rsidR="000C2476">
          <w:rPr>
            <w:webHidden/>
          </w:rPr>
          <w:tab/>
        </w:r>
        <w:r w:rsidR="000C2476">
          <w:rPr>
            <w:webHidden/>
          </w:rPr>
          <w:fldChar w:fldCharType="begin"/>
        </w:r>
        <w:r w:rsidR="000C2476">
          <w:rPr>
            <w:webHidden/>
          </w:rPr>
          <w:instrText xml:space="preserve"> PAGEREF _Toc131405130 \h </w:instrText>
        </w:r>
        <w:r w:rsidR="000C2476">
          <w:rPr>
            <w:webHidden/>
          </w:rPr>
        </w:r>
        <w:r w:rsidR="000C2476">
          <w:rPr>
            <w:webHidden/>
          </w:rPr>
          <w:fldChar w:fldCharType="separate"/>
        </w:r>
        <w:r>
          <w:rPr>
            <w:webHidden/>
          </w:rPr>
          <w:t>48</w:t>
        </w:r>
        <w:r w:rsidR="000C2476">
          <w:rPr>
            <w:webHidden/>
          </w:rPr>
          <w:fldChar w:fldCharType="end"/>
        </w:r>
      </w:hyperlink>
    </w:p>
    <w:p w14:paraId="4D92DD1B" w14:textId="77777777" w:rsidR="00F36367" w:rsidRDefault="00A915D7" w:rsidP="00310BF4">
      <w:pPr>
        <w:pStyle w:val="SingleParagraph"/>
        <w:tabs>
          <w:tab w:val="right" w:leader="dot" w:pos="9072"/>
        </w:tabs>
        <w:spacing w:before="120" w:after="120"/>
        <w:ind w:right="-2"/>
        <w:sectPr w:rsidR="00F36367" w:rsidSect="009243EC">
          <w:footerReference w:type="default" r:id="rId28"/>
          <w:pgSz w:w="11906" w:h="16838" w:code="9"/>
          <w:pgMar w:top="1843" w:right="1418" w:bottom="1418" w:left="1418" w:header="709" w:footer="709" w:gutter="0"/>
          <w:pgNumType w:fmt="lowerRoman"/>
          <w:cols w:space="708"/>
          <w:titlePg/>
          <w:docGrid w:linePitch="360"/>
        </w:sectPr>
      </w:pPr>
      <w:r>
        <w:fldChar w:fldCharType="end"/>
      </w:r>
    </w:p>
    <w:p w14:paraId="16393325" w14:textId="77777777" w:rsidR="00EB2A0A" w:rsidRDefault="00EB2A0A" w:rsidP="00310BF4">
      <w:pPr>
        <w:pStyle w:val="Heading1"/>
        <w:spacing w:before="120" w:line="240" w:lineRule="auto"/>
      </w:pPr>
      <w:bookmarkStart w:id="6" w:name="_Toc116375686"/>
      <w:bookmarkStart w:id="7" w:name="_Toc116376462"/>
      <w:bookmarkStart w:id="8" w:name="_Toc116380323"/>
      <w:bookmarkStart w:id="9" w:name="_Toc125462468"/>
      <w:bookmarkStart w:id="10" w:name="_Toc131405118"/>
      <w:r>
        <w:lastRenderedPageBreak/>
        <w:t>Executive Summary</w:t>
      </w:r>
      <w:bookmarkEnd w:id="6"/>
      <w:bookmarkEnd w:id="7"/>
      <w:bookmarkEnd w:id="8"/>
      <w:bookmarkEnd w:id="9"/>
      <w:bookmarkEnd w:id="10"/>
    </w:p>
    <w:p w14:paraId="2B6BE038" w14:textId="77777777" w:rsidR="00D406D1" w:rsidRDefault="00D406D1" w:rsidP="00206551">
      <w:r w:rsidRPr="00D406D1">
        <w:t>The Government</w:t>
      </w:r>
      <w:r w:rsidR="00607CCE">
        <w:t>,</w:t>
      </w:r>
      <w:r w:rsidRPr="00D406D1">
        <w:t xml:space="preserve"> as part of its election commitment platform</w:t>
      </w:r>
      <w:r w:rsidR="00607CCE">
        <w:t>,</w:t>
      </w:r>
      <w:r w:rsidR="00E521F2">
        <w:t xml:space="preserve"> has </w:t>
      </w:r>
      <w:r w:rsidRPr="00D406D1">
        <w:t>announced a multinational tax avoidance package to ensure multinationals pay their fair share of tax in Australia. This include</w:t>
      </w:r>
      <w:r w:rsidR="00E521F2">
        <w:t>s</w:t>
      </w:r>
      <w:r w:rsidRPr="00D406D1">
        <w:t xml:space="preserve"> a commitment to support the OECD</w:t>
      </w:r>
      <w:r w:rsidR="001E5B3F">
        <w:t>/</w:t>
      </w:r>
      <w:proofErr w:type="spellStart"/>
      <w:r w:rsidR="001E5B3F">
        <w:t>G20</w:t>
      </w:r>
      <w:proofErr w:type="spellEnd"/>
      <w:r w:rsidRPr="00D406D1">
        <w:t xml:space="preserve"> Two-Pillar Solution</w:t>
      </w:r>
      <w:r w:rsidR="00525457">
        <w:t xml:space="preserve"> to address the tax challenges arising from the digitalisation of the economy</w:t>
      </w:r>
      <w:r w:rsidRPr="00D406D1">
        <w:t>.</w:t>
      </w:r>
    </w:p>
    <w:p w14:paraId="64858CA6" w14:textId="6D6B60A1" w:rsidR="00767352" w:rsidRDefault="009D7FA1" w:rsidP="00206551">
      <w:r>
        <w:t xml:space="preserve">This Impact Analysis </w:t>
      </w:r>
      <w:r w:rsidR="002E39BF">
        <w:t>recommends</w:t>
      </w:r>
      <w:r>
        <w:t xml:space="preserve"> that </w:t>
      </w:r>
      <w:r w:rsidR="00C775FF">
        <w:t xml:space="preserve">Australia should </w:t>
      </w:r>
      <w:r w:rsidR="00056DF0">
        <w:t>proceed with</w:t>
      </w:r>
      <w:r w:rsidR="00C775FF">
        <w:t xml:space="preserve"> </w:t>
      </w:r>
      <w:r w:rsidR="00846E89">
        <w:t xml:space="preserve">the Government’s election commitment </w:t>
      </w:r>
      <w:r w:rsidR="00712D8A">
        <w:t xml:space="preserve">to </w:t>
      </w:r>
      <w:r w:rsidR="00056DF0">
        <w:t xml:space="preserve">implement the Two-Pillar Solution, starting with </w:t>
      </w:r>
      <w:r w:rsidR="0016127A">
        <w:t>the</w:t>
      </w:r>
      <w:r w:rsidR="00147B89">
        <w:t xml:space="preserve"> </w:t>
      </w:r>
      <w:r w:rsidR="00014E2A">
        <w:t xml:space="preserve">Pillar Two </w:t>
      </w:r>
      <w:r w:rsidR="00147B89">
        <w:t xml:space="preserve">global </w:t>
      </w:r>
      <w:r w:rsidR="00791A21">
        <w:t xml:space="preserve">minimum tax </w:t>
      </w:r>
      <w:r w:rsidR="00603847">
        <w:t xml:space="preserve">including </w:t>
      </w:r>
      <w:r w:rsidR="00A0192C">
        <w:t xml:space="preserve">a </w:t>
      </w:r>
      <w:r w:rsidR="003D7358">
        <w:t xml:space="preserve">Domestic </w:t>
      </w:r>
      <w:r w:rsidR="000F6B3B">
        <w:t>Minimum Tax</w:t>
      </w:r>
      <w:r w:rsidR="00791A21">
        <w:t>.</w:t>
      </w:r>
      <w:r w:rsidR="00D8123D">
        <w:t xml:space="preserve"> </w:t>
      </w:r>
      <w:r w:rsidR="007E5EA0">
        <w:t>These reforms</w:t>
      </w:r>
      <w:r w:rsidR="00D8123D">
        <w:t xml:space="preserve"> </w:t>
      </w:r>
      <w:r w:rsidR="000C6123">
        <w:t>w</w:t>
      </w:r>
      <w:r w:rsidR="007E5EA0">
        <w:t>ould</w:t>
      </w:r>
      <w:r w:rsidR="000C6123">
        <w:t xml:space="preserve"> </w:t>
      </w:r>
      <w:r w:rsidR="000D322F">
        <w:t xml:space="preserve">improve </w:t>
      </w:r>
      <w:r w:rsidR="00084806">
        <w:t>the economic and revenue</w:t>
      </w:r>
      <w:r w:rsidR="000D322F">
        <w:t xml:space="preserve"> </w:t>
      </w:r>
      <w:r w:rsidR="009C37C0">
        <w:t>outcomes</w:t>
      </w:r>
      <w:r w:rsidR="00836C33">
        <w:t xml:space="preserve"> of </w:t>
      </w:r>
      <w:r w:rsidR="000D322F">
        <w:t xml:space="preserve">Australia’s </w:t>
      </w:r>
      <w:r w:rsidR="00BF4C03">
        <w:t xml:space="preserve">tax </w:t>
      </w:r>
      <w:r w:rsidR="002C4E66">
        <w:t>system</w:t>
      </w:r>
      <w:r w:rsidR="003D382A">
        <w:t xml:space="preserve"> at the expense of</w:t>
      </w:r>
      <w:r w:rsidR="000C6123">
        <w:t xml:space="preserve"> new compliance costs for large multinational businesses.</w:t>
      </w:r>
    </w:p>
    <w:p w14:paraId="7271A101" w14:textId="77777777" w:rsidR="00CF16C4" w:rsidRDefault="00A64C9B" w:rsidP="00206551">
      <w:r>
        <w:t>The Two-Pillar Solution aims to address challenges that governments</w:t>
      </w:r>
      <w:r w:rsidR="0027777E">
        <w:t xml:space="preserve"> and multinational businesses</w:t>
      </w:r>
      <w:r w:rsidR="00877D1D">
        <w:t xml:space="preserve"> are fac</w:t>
      </w:r>
      <w:r w:rsidR="00AF7215">
        <w:t xml:space="preserve">ing </w:t>
      </w:r>
      <w:r w:rsidR="00D56E1B">
        <w:t xml:space="preserve">with current international </w:t>
      </w:r>
      <w:r w:rsidR="0027777E">
        <w:t xml:space="preserve">corporate </w:t>
      </w:r>
      <w:r w:rsidR="00D56E1B">
        <w:t xml:space="preserve">tax </w:t>
      </w:r>
      <w:r w:rsidR="0027777E">
        <w:t xml:space="preserve">settings. </w:t>
      </w:r>
      <w:r w:rsidR="00F863DB">
        <w:t>I</w:t>
      </w:r>
      <w:r w:rsidR="00D406D1">
        <w:t>t has become</w:t>
      </w:r>
      <w:r w:rsidR="00CE03E8">
        <w:t xml:space="preserve"> harder for governments around the world to raise corporate income taxation revenue from large multination</w:t>
      </w:r>
      <w:r w:rsidR="00966034">
        <w:t>a</w:t>
      </w:r>
      <w:r w:rsidR="00CE03E8">
        <w:t>ls.</w:t>
      </w:r>
      <w:r w:rsidR="005E4625">
        <w:t xml:space="preserve"> </w:t>
      </w:r>
      <w:r w:rsidR="002E02D9">
        <w:t>T</w:t>
      </w:r>
      <w:r w:rsidR="005E4625">
        <w:t>his</w:t>
      </w:r>
      <w:r w:rsidR="002E02D9">
        <w:t xml:space="preserve"> arguably</w:t>
      </w:r>
      <w:r w:rsidR="005E4625">
        <w:t xml:space="preserve"> stems from </w:t>
      </w:r>
      <w:r w:rsidR="001F30C2">
        <w:t xml:space="preserve">outdated international </w:t>
      </w:r>
      <w:r w:rsidR="005E4625">
        <w:t xml:space="preserve">conventions </w:t>
      </w:r>
      <w:r w:rsidR="00DC2AA5">
        <w:t>for</w:t>
      </w:r>
      <w:r w:rsidR="005E4625">
        <w:t xml:space="preserve"> corporate income taxation</w:t>
      </w:r>
      <w:r w:rsidR="00FE1EC2">
        <w:t>. These conventions</w:t>
      </w:r>
      <w:r w:rsidR="001F30C2">
        <w:t xml:space="preserve"> </w:t>
      </w:r>
      <w:r w:rsidR="00FE1EC2">
        <w:t>were established a century ago</w:t>
      </w:r>
      <w:r w:rsidR="001F30C2">
        <w:t xml:space="preserve"> and </w:t>
      </w:r>
      <w:r w:rsidR="00FE1EC2">
        <w:t>so</w:t>
      </w:r>
      <w:r w:rsidR="00FE1EC2" w:rsidRPr="00FE1EC2">
        <w:t xml:space="preserve"> </w:t>
      </w:r>
      <w:r w:rsidR="00FE1EC2">
        <w:t>did</w:t>
      </w:r>
      <w:r w:rsidR="001F30C2">
        <w:t xml:space="preserve"> not account </w:t>
      </w:r>
      <w:r w:rsidR="00FE1EC2">
        <w:t xml:space="preserve">for </w:t>
      </w:r>
      <w:r w:rsidR="00CF16C4">
        <w:t xml:space="preserve">today’s </w:t>
      </w:r>
      <w:r w:rsidR="001F30C2">
        <w:t>level</w:t>
      </w:r>
      <w:r w:rsidR="00CF16C4">
        <w:t>s</w:t>
      </w:r>
      <w:r w:rsidR="001F30C2">
        <w:t xml:space="preserve"> of </w:t>
      </w:r>
      <w:r w:rsidR="005E4625">
        <w:t>digit</w:t>
      </w:r>
      <w:r w:rsidR="00525457">
        <w:t>al</w:t>
      </w:r>
      <w:r w:rsidR="005E4625">
        <w:t xml:space="preserve">isation </w:t>
      </w:r>
      <w:r w:rsidR="00CF16C4">
        <w:t>and globalisation</w:t>
      </w:r>
      <w:r w:rsidR="001F30C2">
        <w:t xml:space="preserve">. </w:t>
      </w:r>
      <w:r w:rsidR="00C32B2E">
        <w:t>These problems require coordinated government action and cannot be addressed by market forces.</w:t>
      </w:r>
    </w:p>
    <w:p w14:paraId="0C3AA85D" w14:textId="595DC475" w:rsidR="001F30C2" w:rsidRDefault="00CF16C4" w:rsidP="00206551">
      <w:r>
        <w:t>By using digital technologies, large multinationals increasingly hav</w:t>
      </w:r>
      <w:r w:rsidR="00EE5B63">
        <w:t>e</w:t>
      </w:r>
      <w:r>
        <w:t xml:space="preserve"> the ability to </w:t>
      </w:r>
      <w:r w:rsidR="00EE5B63">
        <w:t>operate at</w:t>
      </w:r>
      <w:r>
        <w:t xml:space="preserve"> ‘scale without mass’ in countries where they earn significant revenues</w:t>
      </w:r>
      <w:r w:rsidRPr="0072638F">
        <w:t xml:space="preserve"> without </w:t>
      </w:r>
      <w:r>
        <w:t>needing</w:t>
      </w:r>
      <w:r w:rsidRPr="0072638F">
        <w:t xml:space="preserve"> </w:t>
      </w:r>
      <w:r>
        <w:t xml:space="preserve">a </w:t>
      </w:r>
      <w:r w:rsidRPr="0072638F">
        <w:t>traditional</w:t>
      </w:r>
      <w:r>
        <w:t xml:space="preserve"> physical presence</w:t>
      </w:r>
      <w:r w:rsidR="002C1745">
        <w:t xml:space="preserve">. These </w:t>
      </w:r>
      <w:r w:rsidR="00EE5B63">
        <w:t>‘</w:t>
      </w:r>
      <w:r w:rsidR="002C1745">
        <w:t>market countries</w:t>
      </w:r>
      <w:r w:rsidR="00EE5B63">
        <w:t>’</w:t>
      </w:r>
      <w:r w:rsidR="002C1745">
        <w:t xml:space="preserve"> then have limited abilit</w:t>
      </w:r>
      <w:r w:rsidR="00EB4B81">
        <w:t>y</w:t>
      </w:r>
      <w:r w:rsidR="002C1745">
        <w:t xml:space="preserve"> to collect corporate income tax since this type of </w:t>
      </w:r>
      <w:r w:rsidR="004E1CD1">
        <w:t>tax</w:t>
      </w:r>
      <w:r w:rsidR="002C1745">
        <w:t xml:space="preserve"> is generally collected in the </w:t>
      </w:r>
      <w:r w:rsidR="005A5AAB">
        <w:t>countries</w:t>
      </w:r>
      <w:r w:rsidR="002C1745">
        <w:t xml:space="preserve"> where a business</w:t>
      </w:r>
      <w:r w:rsidR="005A5AAB">
        <w:t>’</w:t>
      </w:r>
      <w:r w:rsidR="002C1745">
        <w:t xml:space="preserve"> </w:t>
      </w:r>
      <w:r w:rsidR="005A5AAB">
        <w:t>employees and assets are</w:t>
      </w:r>
      <w:r w:rsidR="002C1745">
        <w:t xml:space="preserve"> based.</w:t>
      </w:r>
      <w:r>
        <w:t xml:space="preserve"> </w:t>
      </w:r>
      <w:r w:rsidR="00FE1EC2">
        <w:t>Under the current system</w:t>
      </w:r>
      <w:r w:rsidR="001F30C2">
        <w:t xml:space="preserve"> large multination</w:t>
      </w:r>
      <w:r w:rsidR="00966034">
        <w:t>a</w:t>
      </w:r>
      <w:r w:rsidR="001F30C2">
        <w:t xml:space="preserve">ls </w:t>
      </w:r>
      <w:r w:rsidR="00FE1EC2">
        <w:t xml:space="preserve">have been </w:t>
      </w:r>
      <w:r w:rsidR="00147B36">
        <w:t xml:space="preserve">also </w:t>
      </w:r>
      <w:r w:rsidR="001F30C2">
        <w:t xml:space="preserve">able to </w:t>
      </w:r>
      <w:r w:rsidR="00D406D1">
        <w:t>utilise</w:t>
      </w:r>
      <w:r w:rsidR="001F30C2">
        <w:t xml:space="preserve"> </w:t>
      </w:r>
      <w:r w:rsidR="00D406D1">
        <w:t xml:space="preserve">legal </w:t>
      </w:r>
      <w:r w:rsidR="00147B36">
        <w:t xml:space="preserve">tax planning </w:t>
      </w:r>
      <w:r w:rsidR="001F30C2">
        <w:t>strategies</w:t>
      </w:r>
      <w:r w:rsidR="00DC2AA5">
        <w:t xml:space="preserve"> </w:t>
      </w:r>
      <w:r w:rsidR="00FE1EC2">
        <w:t>to</w:t>
      </w:r>
      <w:r w:rsidR="00DC2AA5">
        <w:t xml:space="preserve"> </w:t>
      </w:r>
      <w:r w:rsidR="00DC2AA5" w:rsidRPr="00DC2AA5">
        <w:t>shift</w:t>
      </w:r>
      <w:r w:rsidR="00FE1EC2">
        <w:t xml:space="preserve"> taxable</w:t>
      </w:r>
      <w:r w:rsidR="00DC2AA5" w:rsidRPr="00DC2AA5">
        <w:t xml:space="preserve"> </w:t>
      </w:r>
      <w:r w:rsidR="00DC2AA5">
        <w:t>profits</w:t>
      </w:r>
      <w:r w:rsidR="00DC2AA5" w:rsidRPr="00DC2AA5">
        <w:t xml:space="preserve"> </w:t>
      </w:r>
      <w:r w:rsidR="00DC2AA5">
        <w:t>from higher taxing countries to low</w:t>
      </w:r>
      <w:r w:rsidR="00C34292" w:rsidRPr="00C34292">
        <w:t>- or no-tax jurisdictions</w:t>
      </w:r>
      <w:r w:rsidR="00DC2AA5">
        <w:t xml:space="preserve">. </w:t>
      </w:r>
    </w:p>
    <w:p w14:paraId="4159BB25" w14:textId="6FDFC095" w:rsidR="00D406D1" w:rsidRDefault="00F87589" w:rsidP="00206551">
      <w:r>
        <w:t xml:space="preserve">The </w:t>
      </w:r>
      <w:r w:rsidR="00511FE3">
        <w:t xml:space="preserve">emergence </w:t>
      </w:r>
      <w:r>
        <w:t xml:space="preserve">of </w:t>
      </w:r>
      <w:r w:rsidR="00D477A7">
        <w:t>‘</w:t>
      </w:r>
      <w:r>
        <w:t>scale without mass</w:t>
      </w:r>
      <w:r w:rsidR="00D477A7">
        <w:t>’</w:t>
      </w:r>
      <w:r>
        <w:t xml:space="preserve"> </w:t>
      </w:r>
      <w:r w:rsidR="00825C10">
        <w:t xml:space="preserve">digital </w:t>
      </w:r>
      <w:r w:rsidR="00511FE3">
        <w:t>businesses</w:t>
      </w:r>
      <w:r>
        <w:t xml:space="preserve"> has led to</w:t>
      </w:r>
      <w:r w:rsidR="00CA6BFD">
        <w:t xml:space="preserve"> several countries introducing new </w:t>
      </w:r>
      <w:r w:rsidR="00C2144F">
        <w:t>D</w:t>
      </w:r>
      <w:r w:rsidR="00CA6BFD">
        <w:t xml:space="preserve">igital </w:t>
      </w:r>
      <w:r w:rsidR="00C2144F">
        <w:t>S</w:t>
      </w:r>
      <w:r w:rsidR="00CA6BFD">
        <w:t xml:space="preserve">ervices </w:t>
      </w:r>
      <w:r w:rsidR="00C2144F">
        <w:t>T</w:t>
      </w:r>
      <w:r w:rsidR="00CA6BFD">
        <w:t>axes, which tax revenue</w:t>
      </w:r>
      <w:r w:rsidR="00825C10">
        <w:t>s</w:t>
      </w:r>
      <w:r w:rsidR="00CA6BFD">
        <w:t>, unlike corporate income taxation which is based on profit</w:t>
      </w:r>
      <w:r w:rsidR="00825C10">
        <w:t xml:space="preserve"> (revenue minus expenses)</w:t>
      </w:r>
      <w:r w:rsidR="00CA6BFD">
        <w:t>. In response</w:t>
      </w:r>
      <w:r w:rsidR="00673097">
        <w:t>,</w:t>
      </w:r>
      <w:r w:rsidR="00CA6BFD">
        <w:t xml:space="preserve"> the US has </w:t>
      </w:r>
      <w:r w:rsidR="00CA6BFD" w:rsidRPr="00CA6BFD">
        <w:t xml:space="preserve">expressed their willingness to take retaliatory </w:t>
      </w:r>
      <w:r w:rsidR="00FD107B">
        <w:t xml:space="preserve">trade </w:t>
      </w:r>
      <w:r w:rsidR="00CA6BFD" w:rsidRPr="00CA6BFD">
        <w:t xml:space="preserve">action against countries that impose </w:t>
      </w:r>
      <w:r w:rsidR="00C2144F">
        <w:t>Digital Services Taxes</w:t>
      </w:r>
      <w:r w:rsidR="00CA6BFD" w:rsidRPr="00CA6BFD">
        <w:t xml:space="preserve"> on US digital companies</w:t>
      </w:r>
      <w:r w:rsidR="00D75778">
        <w:t>,</w:t>
      </w:r>
      <w:r w:rsidR="00CA6BFD">
        <w:t xml:space="preserve"> which </w:t>
      </w:r>
      <w:r w:rsidR="00FD107B">
        <w:t>it</w:t>
      </w:r>
      <w:r w:rsidR="00CA6BFD">
        <w:t xml:space="preserve"> views as discriminatory. </w:t>
      </w:r>
      <w:r w:rsidR="00FD107B">
        <w:t>The</w:t>
      </w:r>
      <w:r w:rsidR="00CA6BFD">
        <w:t xml:space="preserve"> OECD </w:t>
      </w:r>
      <w:r w:rsidR="002A66A3">
        <w:t xml:space="preserve">has </w:t>
      </w:r>
      <w:r w:rsidR="00D75778">
        <w:t>warn</w:t>
      </w:r>
      <w:r w:rsidR="00FD107B">
        <w:t>ed</w:t>
      </w:r>
      <w:r w:rsidR="00D75778">
        <w:t xml:space="preserve"> of</w:t>
      </w:r>
      <w:r w:rsidR="00CA6BFD">
        <w:t xml:space="preserve"> </w:t>
      </w:r>
      <w:r w:rsidR="00FC58E8">
        <w:t xml:space="preserve">the risks for the global economy </w:t>
      </w:r>
      <w:r w:rsidR="00F25519">
        <w:t>if</w:t>
      </w:r>
      <w:r w:rsidR="00F26948">
        <w:t xml:space="preserve"> a</w:t>
      </w:r>
      <w:r w:rsidR="00F25519">
        <w:t xml:space="preserve"> </w:t>
      </w:r>
      <w:r w:rsidR="00D75778" w:rsidRPr="00D75778">
        <w:t xml:space="preserve">proliferation of </w:t>
      </w:r>
      <w:r w:rsidR="00C2144F">
        <w:t>Digital Services Taxes</w:t>
      </w:r>
      <w:r w:rsidR="00D75778" w:rsidRPr="00D75778">
        <w:t xml:space="preserve"> </w:t>
      </w:r>
      <w:r w:rsidR="00960ECF">
        <w:t>leads to</w:t>
      </w:r>
      <w:r w:rsidR="00D75778">
        <w:t xml:space="preserve"> </w:t>
      </w:r>
      <w:r w:rsidR="00E521F2">
        <w:t>‘</w:t>
      </w:r>
      <w:r w:rsidR="00D75778">
        <w:t>tit for tat</w:t>
      </w:r>
      <w:r w:rsidR="00E521F2">
        <w:t>’</w:t>
      </w:r>
      <w:r w:rsidR="00D75778">
        <w:t xml:space="preserve"> </w:t>
      </w:r>
      <w:r w:rsidR="00926456">
        <w:t xml:space="preserve">trade </w:t>
      </w:r>
      <w:r w:rsidR="00D75778">
        <w:t xml:space="preserve">retaliations. </w:t>
      </w:r>
    </w:p>
    <w:p w14:paraId="2A6D5F99" w14:textId="77777777" w:rsidR="0072638F" w:rsidRDefault="00D75778" w:rsidP="00206551">
      <w:r>
        <w:t>Another response to</w:t>
      </w:r>
      <w:r w:rsidR="00D406D1">
        <w:t xml:space="preserve"> </w:t>
      </w:r>
      <w:r w:rsidR="00AF03AF">
        <w:t>globalisation and digitalisation has been</w:t>
      </w:r>
      <w:r>
        <w:t xml:space="preserve"> a </w:t>
      </w:r>
      <w:r w:rsidR="006B7E0B">
        <w:t>‘race to the bottom’</w:t>
      </w:r>
      <w:r w:rsidR="00AF03AF">
        <w:t xml:space="preserve"> </w:t>
      </w:r>
      <w:r w:rsidR="00F863DB">
        <w:t xml:space="preserve">for </w:t>
      </w:r>
      <w:r w:rsidR="00AF03AF">
        <w:t>corporate income tax rates</w:t>
      </w:r>
      <w:r w:rsidR="00E521F2">
        <w:t xml:space="preserve"> </w:t>
      </w:r>
      <w:r w:rsidR="006B7E0B">
        <w:t xml:space="preserve">where </w:t>
      </w:r>
      <w:r w:rsidR="00AF03AF">
        <w:t xml:space="preserve">countries have </w:t>
      </w:r>
      <w:r w:rsidR="006B7E0B">
        <w:t>lower</w:t>
      </w:r>
      <w:r w:rsidR="00AF03AF">
        <w:t>ed their</w:t>
      </w:r>
      <w:r w:rsidR="006B7E0B">
        <w:t xml:space="preserve"> corporate income tax rates</w:t>
      </w:r>
      <w:r w:rsidR="00663AF6">
        <w:t xml:space="preserve"> </w:t>
      </w:r>
      <w:r w:rsidR="004C36F0">
        <w:t xml:space="preserve">to attract </w:t>
      </w:r>
      <w:r w:rsidR="00AF03AF">
        <w:t>or retain local investments from</w:t>
      </w:r>
      <w:r w:rsidR="004C36F0">
        <w:t xml:space="preserve"> </w:t>
      </w:r>
      <w:r w:rsidR="00663AF6">
        <w:t>multinationals</w:t>
      </w:r>
      <w:r w:rsidR="006B7E0B">
        <w:t>.</w:t>
      </w:r>
      <w:r w:rsidR="00AF03AF">
        <w:t xml:space="preserve"> T</w:t>
      </w:r>
      <w:r w:rsidR="00F87589">
        <w:t>his</w:t>
      </w:r>
      <w:r w:rsidR="006B7E0B">
        <w:t xml:space="preserve"> </w:t>
      </w:r>
      <w:r w:rsidR="006B7E0B" w:rsidRPr="006B7E0B">
        <w:t xml:space="preserve">kind </w:t>
      </w:r>
      <w:r w:rsidR="00673097">
        <w:t xml:space="preserve">of </w:t>
      </w:r>
      <w:r w:rsidR="006B7E0B">
        <w:t xml:space="preserve">tax competition erodes the ability of all countries to raise revenue </w:t>
      </w:r>
      <w:r w:rsidR="00663AF6">
        <w:t xml:space="preserve">from </w:t>
      </w:r>
      <w:r w:rsidR="00CA0B7A">
        <w:t xml:space="preserve">taxing the profits of </w:t>
      </w:r>
      <w:r w:rsidR="00663AF6">
        <w:t>multinationals</w:t>
      </w:r>
      <w:r w:rsidR="004D07D7">
        <w:t xml:space="preserve"> (known as ‘base erosion’)</w:t>
      </w:r>
      <w:r w:rsidR="006B7E0B">
        <w:t xml:space="preserve">. </w:t>
      </w:r>
      <w:r w:rsidR="00663AF6">
        <w:t xml:space="preserve">It can also </w:t>
      </w:r>
      <w:r w:rsidR="00CA0B7A">
        <w:t>give</w:t>
      </w:r>
      <w:r w:rsidR="00663AF6">
        <w:t xml:space="preserve"> large multinationals </w:t>
      </w:r>
      <w:r w:rsidR="004D07D7">
        <w:t>a</w:t>
      </w:r>
      <w:r w:rsidR="00663AF6">
        <w:t xml:space="preserve"> tax advantage over domestic businesses</w:t>
      </w:r>
      <w:r w:rsidR="00CA0B7A">
        <w:t xml:space="preserve"> in relatively high tax countries</w:t>
      </w:r>
      <w:r w:rsidR="00663AF6">
        <w:t xml:space="preserve">. </w:t>
      </w:r>
    </w:p>
    <w:p w14:paraId="40F92C4D" w14:textId="77777777" w:rsidR="005E4625" w:rsidRDefault="004D07D7" w:rsidP="00206551">
      <w:r>
        <w:t>In response to these issues</w:t>
      </w:r>
      <w:r w:rsidR="00A95E55">
        <w:t>,</w:t>
      </w:r>
      <w:r w:rsidR="005E4625">
        <w:t xml:space="preserve"> countries from around the world have been negotiating a package of corporate income taxation reforms through the OECD</w:t>
      </w:r>
      <w:r w:rsidR="00857D14">
        <w:t>/</w:t>
      </w:r>
      <w:proofErr w:type="spellStart"/>
      <w:r w:rsidR="005E4625">
        <w:t>G20</w:t>
      </w:r>
      <w:proofErr w:type="spellEnd"/>
      <w:r w:rsidRPr="004D07D7">
        <w:t xml:space="preserve"> </w:t>
      </w:r>
      <w:r>
        <w:t>Inclusive Framework</w:t>
      </w:r>
      <w:r w:rsidR="008601D2">
        <w:t xml:space="preserve"> </w:t>
      </w:r>
      <w:r>
        <w:t>on Base Erosion and Profit Shifting</w:t>
      </w:r>
      <w:r w:rsidR="005E4625">
        <w:t xml:space="preserve">. The package is </w:t>
      </w:r>
      <w:r w:rsidR="00D406D1">
        <w:t>known</w:t>
      </w:r>
      <w:r w:rsidR="005E4625">
        <w:t xml:space="preserve"> as the Two-Pillar </w:t>
      </w:r>
      <w:r w:rsidR="00A95E55">
        <w:t>S</w:t>
      </w:r>
      <w:r w:rsidR="005E4625">
        <w:t>olution</w:t>
      </w:r>
      <w:r w:rsidR="00815CF3">
        <w:t>.</w:t>
      </w:r>
      <w:r>
        <w:t xml:space="preserve"> </w:t>
      </w:r>
      <w:r w:rsidR="00815CF3">
        <w:t>K</w:t>
      </w:r>
      <w:r>
        <w:t xml:space="preserve">ey design parameters </w:t>
      </w:r>
      <w:r w:rsidR="00815CF3">
        <w:t>for the Two</w:t>
      </w:r>
      <w:r w:rsidR="00857D14">
        <w:noBreakHyphen/>
      </w:r>
      <w:r w:rsidR="00815CF3">
        <w:t>Pillar Solution were announced</w:t>
      </w:r>
      <w:r w:rsidR="00D406D1">
        <w:t xml:space="preserve"> </w:t>
      </w:r>
      <w:r w:rsidR="005E4625">
        <w:t xml:space="preserve">in October 2021.  </w:t>
      </w:r>
    </w:p>
    <w:p w14:paraId="322556E5" w14:textId="77777777" w:rsidR="002E14D8" w:rsidRDefault="003B563B" w:rsidP="0054360F">
      <w:r>
        <w:t>As its name suggests</w:t>
      </w:r>
      <w:r w:rsidR="00C2144F">
        <w:t>,</w:t>
      </w:r>
      <w:r>
        <w:t xml:space="preserve"> the</w:t>
      </w:r>
      <w:r w:rsidR="00CE03E8" w:rsidRPr="00251EE1">
        <w:t xml:space="preserve"> Two-Pillar Solution is made up of </w:t>
      </w:r>
      <w:r>
        <w:t xml:space="preserve">a Pillar One and </w:t>
      </w:r>
      <w:r w:rsidR="00C2144F">
        <w:t xml:space="preserve">Pillar </w:t>
      </w:r>
      <w:r>
        <w:t xml:space="preserve">Two. </w:t>
      </w:r>
    </w:p>
    <w:p w14:paraId="5D836F9F" w14:textId="2F467153" w:rsidR="003B563B" w:rsidRDefault="003B563B" w:rsidP="00CE03E8">
      <w:r>
        <w:t>Pillar One i</w:t>
      </w:r>
      <w:r w:rsidR="00CE03E8" w:rsidRPr="00251EE1">
        <w:t>s</w:t>
      </w:r>
      <w:r w:rsidR="00CE03E8" w:rsidRPr="00E2715B">
        <w:t xml:space="preserve"> </w:t>
      </w:r>
      <w:r w:rsidR="00CE03E8">
        <w:t xml:space="preserve">about </w:t>
      </w:r>
      <w:r w:rsidR="00CE03E8" w:rsidRPr="00E2715B">
        <w:t xml:space="preserve">ensuring </w:t>
      </w:r>
      <w:r w:rsidR="00CE03E8">
        <w:t>more</w:t>
      </w:r>
      <w:r w:rsidR="00CE03E8" w:rsidRPr="00E2715B">
        <w:t xml:space="preserve"> of the profits of the largest </w:t>
      </w:r>
      <w:r w:rsidR="00815CF3">
        <w:t xml:space="preserve">and most profitable </w:t>
      </w:r>
      <w:r w:rsidR="00CE03E8" w:rsidRPr="00E2715B">
        <w:t xml:space="preserve">multinationals are taxed where the products or services are </w:t>
      </w:r>
      <w:r w:rsidR="00CE03E8">
        <w:t xml:space="preserve">consumed. </w:t>
      </w:r>
      <w:r w:rsidR="00CA6BFD">
        <w:t xml:space="preserve">While </w:t>
      </w:r>
      <w:r>
        <w:t>Pillar One is</w:t>
      </w:r>
      <w:r w:rsidR="00D406D1">
        <w:t xml:space="preserve"> </w:t>
      </w:r>
      <w:r>
        <w:t>primarily</w:t>
      </w:r>
      <w:r w:rsidR="00D406D1">
        <w:t xml:space="preserve"> </w:t>
      </w:r>
      <w:r>
        <w:t>an</w:t>
      </w:r>
      <w:r w:rsidR="00D406D1">
        <w:t xml:space="preserve"> attempt to address the problem of ‘scale without mass’</w:t>
      </w:r>
      <w:r>
        <w:t xml:space="preserve">, it is also about stabilising the international tax system, to avoid </w:t>
      </w:r>
      <w:r w:rsidR="008B5C48">
        <w:t>escalating trade tariff</w:t>
      </w:r>
      <w:r w:rsidR="003E774D">
        <w:t>s</w:t>
      </w:r>
      <w:r w:rsidR="00D75778">
        <w:t xml:space="preserve"> by limiting the spread </w:t>
      </w:r>
      <w:r w:rsidR="003D33BC">
        <w:t xml:space="preserve">of </w:t>
      </w:r>
      <w:r w:rsidR="00C2144F">
        <w:t>Digital Services Taxes</w:t>
      </w:r>
      <w:r w:rsidR="00D75778">
        <w:t xml:space="preserve">. </w:t>
      </w:r>
      <w:r w:rsidR="00CA6BFD">
        <w:t xml:space="preserve">  </w:t>
      </w:r>
      <w:r>
        <w:t xml:space="preserve"> </w:t>
      </w:r>
    </w:p>
    <w:p w14:paraId="165E1E33" w14:textId="77777777" w:rsidR="00CE03E8" w:rsidRDefault="003B563B" w:rsidP="00CE03E8">
      <w:r>
        <w:lastRenderedPageBreak/>
        <w:t xml:space="preserve">Pillar Two seeks </w:t>
      </w:r>
      <w:r w:rsidR="00CE03E8">
        <w:t>to establish</w:t>
      </w:r>
      <w:r w:rsidR="00CE03E8" w:rsidRPr="00251EE1">
        <w:t xml:space="preserve"> a </w:t>
      </w:r>
      <w:r w:rsidR="00CE03E8" w:rsidRPr="00E2715B">
        <w:t>global minimum tax</w:t>
      </w:r>
      <w:r w:rsidR="00CE03E8" w:rsidRPr="00251EE1">
        <w:t xml:space="preserve"> on large </w:t>
      </w:r>
      <w:r w:rsidR="00CE03E8">
        <w:t>multinationals</w:t>
      </w:r>
      <w:r w:rsidR="005C79DB">
        <w:t xml:space="preserve">. </w:t>
      </w:r>
      <w:r w:rsidR="00CE4566">
        <w:t xml:space="preserve">While it </w:t>
      </w:r>
      <w:r>
        <w:t>is primarily seeking to address the ‘race to the bottom’</w:t>
      </w:r>
      <w:r w:rsidR="005C79DB">
        <w:t xml:space="preserve">, </w:t>
      </w:r>
      <w:r w:rsidR="00CE4566">
        <w:t xml:space="preserve">it </w:t>
      </w:r>
      <w:r w:rsidR="005C79DB">
        <w:t xml:space="preserve">also </w:t>
      </w:r>
      <w:r w:rsidR="003D33BC">
        <w:t>helps to create a</w:t>
      </w:r>
      <w:r w:rsidR="005C79DB">
        <w:t xml:space="preserve"> more level playing field between large multinationals and domestic businesses</w:t>
      </w:r>
      <w:r w:rsidR="00E521F2">
        <w:t>,</w:t>
      </w:r>
      <w:r w:rsidR="005C79DB">
        <w:t xml:space="preserve"> </w:t>
      </w:r>
      <w:r w:rsidR="00815CF3">
        <w:t>which</w:t>
      </w:r>
      <w:r w:rsidR="003D33BC">
        <w:t xml:space="preserve"> do not</w:t>
      </w:r>
      <w:r w:rsidR="005C79DB">
        <w:t xml:space="preserve"> access </w:t>
      </w:r>
      <w:r w:rsidR="00E521F2">
        <w:t xml:space="preserve">the same </w:t>
      </w:r>
      <w:r w:rsidR="005C79DB">
        <w:t xml:space="preserve">profit shifting strategies. </w:t>
      </w:r>
    </w:p>
    <w:p w14:paraId="33B95289" w14:textId="77777777" w:rsidR="00663AF6" w:rsidRDefault="00857D14" w:rsidP="00CE03E8">
      <w:r>
        <w:t>Going forward, t</w:t>
      </w:r>
      <w:r w:rsidR="00663AF6">
        <w:t xml:space="preserve">he options for Australia are to </w:t>
      </w:r>
      <w:r w:rsidR="0013758E">
        <w:t xml:space="preserve">continue towards </w:t>
      </w:r>
      <w:r w:rsidR="00663AF6">
        <w:t>implement</w:t>
      </w:r>
      <w:r w:rsidR="0013758E">
        <w:t>ing</w:t>
      </w:r>
      <w:r w:rsidR="00663AF6">
        <w:t xml:space="preserve"> Pillar One and Pillar Two, or not implement them. The baseline assumption is that the rest of the world will </w:t>
      </w:r>
      <w:r w:rsidR="0013758E">
        <w:t xml:space="preserve">continue to work towards </w:t>
      </w:r>
      <w:r w:rsidR="00663AF6">
        <w:t>implement</w:t>
      </w:r>
      <w:r w:rsidR="0013758E">
        <w:t>ing</w:t>
      </w:r>
      <w:r w:rsidR="00663AF6">
        <w:t xml:space="preserve"> Pillar One and Two, </w:t>
      </w:r>
      <w:r w:rsidR="0013758E">
        <w:t>with or without Australia.</w:t>
      </w:r>
    </w:p>
    <w:p w14:paraId="67A01A99" w14:textId="77777777" w:rsidR="00632279" w:rsidRDefault="0013758E" w:rsidP="00CE03E8">
      <w:r>
        <w:t>Should Australia implement Pillar One we will be allocated new corporate taxing rights on very large and profitable multinationals</w:t>
      </w:r>
      <w:r w:rsidR="00545A1F">
        <w:t>.</w:t>
      </w:r>
    </w:p>
    <w:p w14:paraId="04294EB4" w14:textId="4B07C35B" w:rsidR="0013758E" w:rsidRDefault="00D14C76" w:rsidP="00CE03E8">
      <w:r>
        <w:t>Pillar One also includes a proposal for simplified transfer pricing rules</w:t>
      </w:r>
      <w:r w:rsidR="00AA27FF">
        <w:t xml:space="preserve">, which </w:t>
      </w:r>
      <w:r w:rsidR="00992625">
        <w:t xml:space="preserve">aim to </w:t>
      </w:r>
      <w:r w:rsidR="00414517">
        <w:t xml:space="preserve">provide an agreed methodology for </w:t>
      </w:r>
      <w:r w:rsidR="00632279">
        <w:t xml:space="preserve">the </w:t>
      </w:r>
      <w:r w:rsidR="00414517">
        <w:t xml:space="preserve">pricing </w:t>
      </w:r>
      <w:r w:rsidR="00855E3E">
        <w:t xml:space="preserve">and calculation of profits from </w:t>
      </w:r>
      <w:r w:rsidR="00414517">
        <w:t>international trade</w:t>
      </w:r>
      <w:r w:rsidR="003D6DB8">
        <w:t xml:space="preserve"> on a commercial arm’s length basis </w:t>
      </w:r>
      <w:r w:rsidR="00DB2D85">
        <w:t xml:space="preserve">for </w:t>
      </w:r>
      <w:r w:rsidR="004C260A">
        <w:t xml:space="preserve">cross-border </w:t>
      </w:r>
      <w:r w:rsidR="00DB2D85">
        <w:t>transactions between related parties</w:t>
      </w:r>
      <w:r w:rsidR="00414517">
        <w:t xml:space="preserve">. </w:t>
      </w:r>
      <w:r w:rsidR="00AA27FF">
        <w:t xml:space="preserve">While negotiations are ongoing, </w:t>
      </w:r>
      <w:r>
        <w:t xml:space="preserve">depending on the final model </w:t>
      </w:r>
      <w:r w:rsidR="003F46D6">
        <w:t>adopted the</w:t>
      </w:r>
      <w:r w:rsidR="00AA27FF">
        <w:t xml:space="preserve"> simplified transfer pricing rules may reduce the </w:t>
      </w:r>
      <w:r w:rsidR="00632279">
        <w:t>amount of profits to be taxed by</w:t>
      </w:r>
      <w:r w:rsidR="00AA27FF">
        <w:t xml:space="preserve"> Australia </w:t>
      </w:r>
      <w:r w:rsidR="00632279">
        <w:t>for some</w:t>
      </w:r>
      <w:r>
        <w:t xml:space="preserve"> large </w:t>
      </w:r>
      <w:r w:rsidR="00AA27FF">
        <w:t>multination</w:t>
      </w:r>
      <w:r w:rsidR="00414517">
        <w:t>a</w:t>
      </w:r>
      <w:r w:rsidR="00AA27FF">
        <w:t>ls</w:t>
      </w:r>
      <w:r>
        <w:t xml:space="preserve">. </w:t>
      </w:r>
      <w:r w:rsidR="00AA27FF">
        <w:t>Overall, s</w:t>
      </w:r>
      <w:r w:rsidR="0013758E">
        <w:t xml:space="preserve">uccessful global implementation of Pillar One will also </w:t>
      </w:r>
      <w:r w:rsidR="0013586B">
        <w:t>benefit</w:t>
      </w:r>
      <w:r w:rsidR="0013758E">
        <w:t xml:space="preserve"> our economy, in </w:t>
      </w:r>
      <w:r w:rsidR="0013586B">
        <w:t>that</w:t>
      </w:r>
      <w:r w:rsidR="0013758E">
        <w:t xml:space="preserve"> it helps </w:t>
      </w:r>
      <w:r w:rsidR="0013586B">
        <w:t>to</w:t>
      </w:r>
      <w:r w:rsidR="0013758E">
        <w:t xml:space="preserve"> avert a potential global </w:t>
      </w:r>
      <w:r w:rsidR="008B5C48">
        <w:t>escalation of trade tariffs</w:t>
      </w:r>
      <w:r w:rsidR="0013758E">
        <w:t xml:space="preserve">. </w:t>
      </w:r>
    </w:p>
    <w:p w14:paraId="3FBD112E" w14:textId="638978E1" w:rsidR="0013758E" w:rsidRDefault="0013758E" w:rsidP="00CE03E8">
      <w:r>
        <w:t>Should Australia implement Pil</w:t>
      </w:r>
      <w:r w:rsidR="006D016F">
        <w:t>l</w:t>
      </w:r>
      <w:r>
        <w:t>ar Two</w:t>
      </w:r>
      <w:r w:rsidR="0050665E">
        <w:t xml:space="preserve"> and a qualifying domestic minimum tax</w:t>
      </w:r>
      <w:r>
        <w:t xml:space="preserve">, </w:t>
      </w:r>
      <w:r w:rsidR="00A71A68">
        <w:t>it will have</w:t>
      </w:r>
      <w:r>
        <w:t xml:space="preserve"> new taxing rights on large multinationals</w:t>
      </w:r>
      <w:r w:rsidR="001D35D5">
        <w:t xml:space="preserve"> </w:t>
      </w:r>
      <w:r>
        <w:t xml:space="preserve">where their </w:t>
      </w:r>
      <w:r w:rsidR="00B76E74">
        <w:t xml:space="preserve">current </w:t>
      </w:r>
      <w:r>
        <w:t xml:space="preserve">taxation </w:t>
      </w:r>
      <w:r w:rsidR="00B76E74">
        <w:t xml:space="preserve">arrangements are </w:t>
      </w:r>
      <w:r>
        <w:t xml:space="preserve">below the </w:t>
      </w:r>
      <w:r w:rsidR="00F14E07">
        <w:t xml:space="preserve">15 per cent </w:t>
      </w:r>
      <w:r>
        <w:t>minimum</w:t>
      </w:r>
      <w:r w:rsidR="00E52F98">
        <w:t xml:space="preserve"> effective</w:t>
      </w:r>
      <w:r>
        <w:t xml:space="preserve"> </w:t>
      </w:r>
      <w:r w:rsidR="00F14E07">
        <w:t>tax</w:t>
      </w:r>
      <w:r>
        <w:t xml:space="preserve"> rate</w:t>
      </w:r>
      <w:r w:rsidR="0050665E">
        <w:t xml:space="preserve">s. Implementation is estimated to increase receipts by </w:t>
      </w:r>
      <w:r w:rsidR="00545A1F" w:rsidRPr="00F87739">
        <w:t>$</w:t>
      </w:r>
      <w:r w:rsidR="004B2879" w:rsidRPr="00F87739">
        <w:t xml:space="preserve">370 </w:t>
      </w:r>
      <w:r w:rsidR="00545A1F" w:rsidRPr="00F87739">
        <w:t>million</w:t>
      </w:r>
      <w:r w:rsidR="0050665E">
        <w:t xml:space="preserve"> and increase payments by $111 million over the five years from 2022-23</w:t>
      </w:r>
      <w:r>
        <w:t xml:space="preserve">. Successful global implementation of Pillar Two will also be beneficial for our economy, in </w:t>
      </w:r>
      <w:r w:rsidR="00B76E74">
        <w:t>that</w:t>
      </w:r>
      <w:r>
        <w:t xml:space="preserve"> it decreases the taxation differential between </w:t>
      </w:r>
      <w:r w:rsidR="001A14E8">
        <w:t>Australia and other countries</w:t>
      </w:r>
      <w:r w:rsidR="00763CF1">
        <w:t>,</w:t>
      </w:r>
      <w:r w:rsidR="0014332E">
        <w:t xml:space="preserve"> t</w:t>
      </w:r>
      <w:r w:rsidR="001D35D5">
        <w:t>herefore</w:t>
      </w:r>
      <w:r w:rsidR="001A14E8">
        <w:t xml:space="preserve"> reducing the influence </w:t>
      </w:r>
      <w:r w:rsidR="00763CF1">
        <w:t xml:space="preserve">that </w:t>
      </w:r>
      <w:r w:rsidR="001A14E8">
        <w:t xml:space="preserve">taxation has on foreign investment </w:t>
      </w:r>
      <w:r w:rsidR="00B76E74">
        <w:t>decisions</w:t>
      </w:r>
      <w:r w:rsidR="001A14E8">
        <w:t xml:space="preserve">. It will also support Australian domestic businesses, by decreasing </w:t>
      </w:r>
      <w:r w:rsidR="001D35D5">
        <w:t>some of the</w:t>
      </w:r>
      <w:r w:rsidR="001A14E8">
        <w:t xml:space="preserve"> tax advantage</w:t>
      </w:r>
      <w:r w:rsidR="00763CF1">
        <w:t>s</w:t>
      </w:r>
      <w:r w:rsidR="001A14E8">
        <w:t xml:space="preserve"> that </w:t>
      </w:r>
      <w:r w:rsidR="00A61972">
        <w:t>are</w:t>
      </w:r>
      <w:r w:rsidR="001A14E8">
        <w:t xml:space="preserve"> available to large multinationals. </w:t>
      </w:r>
    </w:p>
    <w:p w14:paraId="5348D79E" w14:textId="77777777" w:rsidR="001A14E8" w:rsidRDefault="001A14E8" w:rsidP="00CE03E8">
      <w:r>
        <w:t>Accordingly</w:t>
      </w:r>
      <w:r w:rsidR="00C2144F">
        <w:t>,</w:t>
      </w:r>
      <w:r>
        <w:t xml:space="preserve"> the best option for Australia is to proceed towards implementing the Two</w:t>
      </w:r>
      <w:r w:rsidR="001D35D5">
        <w:noBreakHyphen/>
      </w:r>
      <w:r>
        <w:t xml:space="preserve">Pillar </w:t>
      </w:r>
      <w:r w:rsidR="00C2144F">
        <w:t>S</w:t>
      </w:r>
      <w:r>
        <w:t xml:space="preserve">olution. </w:t>
      </w:r>
    </w:p>
    <w:p w14:paraId="2C84B44C" w14:textId="77777777" w:rsidR="00CE03E8" w:rsidRPr="006A09E1" w:rsidRDefault="001A14E8" w:rsidP="001D35D5">
      <w:r>
        <w:t xml:space="preserve">Implementation of Pillar Two will </w:t>
      </w:r>
      <w:r w:rsidR="00E521F2">
        <w:t xml:space="preserve">primarily </w:t>
      </w:r>
      <w:r>
        <w:t xml:space="preserve">involve Australia passing domestic laws </w:t>
      </w:r>
      <w:r w:rsidR="00E521F2">
        <w:t xml:space="preserve">that mirror agreed </w:t>
      </w:r>
      <w:r w:rsidR="00A323C3">
        <w:t xml:space="preserve">international </w:t>
      </w:r>
      <w:r w:rsidR="00642DC3">
        <w:t xml:space="preserve">model </w:t>
      </w:r>
      <w:r w:rsidR="00E521F2">
        <w:t xml:space="preserve">rules to bring about </w:t>
      </w:r>
      <w:r w:rsidR="001D35D5">
        <w:t xml:space="preserve">global </w:t>
      </w:r>
      <w:r w:rsidR="00E521F2">
        <w:t>minimum taxation for large multination</w:t>
      </w:r>
      <w:r w:rsidR="00C2144F">
        <w:t>a</w:t>
      </w:r>
      <w:r w:rsidR="00E521F2">
        <w:t>ls</w:t>
      </w:r>
      <w:r w:rsidR="003D33BC">
        <w:t xml:space="preserve"> </w:t>
      </w:r>
      <w:r w:rsidR="00AC1EA7">
        <w:t xml:space="preserve">effectively </w:t>
      </w:r>
      <w:r w:rsidR="00A323C3">
        <w:t xml:space="preserve">from </w:t>
      </w:r>
      <w:r w:rsidR="003D33BC">
        <w:t>202</w:t>
      </w:r>
      <w:r w:rsidR="00632279">
        <w:t>4</w:t>
      </w:r>
      <w:r w:rsidR="00E521F2">
        <w:t>.</w:t>
      </w:r>
      <w:r w:rsidR="00807CF8">
        <w:t xml:space="preserve"> </w:t>
      </w:r>
      <w:r w:rsidR="00896A6E">
        <w:t>With the international model rules agreed, the</w:t>
      </w:r>
      <w:r w:rsidR="00807CF8">
        <w:t xml:space="preserve"> Government can</w:t>
      </w:r>
      <w:r w:rsidR="00A327DB">
        <w:t xml:space="preserve"> </w:t>
      </w:r>
      <w:r w:rsidR="008A40DA">
        <w:t>now</w:t>
      </w:r>
      <w:r w:rsidR="00807CF8">
        <w:t xml:space="preserve"> progress this </w:t>
      </w:r>
      <w:r w:rsidR="009E5474">
        <w:t>legislation</w:t>
      </w:r>
      <w:r w:rsidR="0052012D">
        <w:t>.</w:t>
      </w:r>
    </w:p>
    <w:p w14:paraId="7A0590A9" w14:textId="1C2E9DA2" w:rsidR="00C17990" w:rsidRDefault="00C17990" w:rsidP="00C17990">
      <w:r>
        <w:t xml:space="preserve">Implementation of Pillar One will primarily involve Australia signing a new multilateral treaty, which is expected to </w:t>
      </w:r>
      <w:r w:rsidR="008A40DA">
        <w:t>be ready for signature</w:t>
      </w:r>
      <w:r>
        <w:t xml:space="preserve"> in 2023, which will be activated once a critical mass of countries has ratified</w:t>
      </w:r>
      <w:r w:rsidR="008A40DA">
        <w:t xml:space="preserve">. This </w:t>
      </w:r>
      <w:r>
        <w:t>is expected to occur in 2024</w:t>
      </w:r>
      <w:r w:rsidR="008A40DA">
        <w:t xml:space="preserve"> and will require a Government decision when the treaty is finalised</w:t>
      </w:r>
      <w:r>
        <w:t xml:space="preserve">. </w:t>
      </w:r>
      <w:r w:rsidR="00E0500C">
        <w:t xml:space="preserve">The full </w:t>
      </w:r>
      <w:r w:rsidR="008048B0">
        <w:t>revenue and other implications of Pillar One cannot be determined at this point.</w:t>
      </w:r>
      <w:bookmarkStart w:id="11" w:name="_Toc103784605"/>
    </w:p>
    <w:p w14:paraId="428BA76B" w14:textId="77777777" w:rsidR="00C17990" w:rsidRPr="006A09E1" w:rsidRDefault="00C17990" w:rsidP="001D35D5"/>
    <w:p w14:paraId="02A28FD0" w14:textId="77777777" w:rsidR="006A09E1" w:rsidRDefault="006A09E1" w:rsidP="00310BF4"/>
    <w:p w14:paraId="3173CD2B" w14:textId="77777777" w:rsidR="00931547" w:rsidRDefault="00931547" w:rsidP="00310BF4"/>
    <w:p w14:paraId="4292C3B7" w14:textId="77777777" w:rsidR="00931547" w:rsidRDefault="00931547" w:rsidP="00310BF4"/>
    <w:p w14:paraId="136B0CD7" w14:textId="77777777" w:rsidR="00E16FC3" w:rsidRDefault="00E16FC3" w:rsidP="00310BF4">
      <w:pPr>
        <w:rPr>
          <w:rFonts w:ascii="Calibri" w:hAnsi="Calibri" w:cs="Arial"/>
          <w:b/>
          <w:color w:val="5D779D" w:themeColor="accent3"/>
          <w:kern w:val="32"/>
          <w:sz w:val="44"/>
          <w:szCs w:val="36"/>
        </w:rPr>
      </w:pPr>
      <w:bookmarkStart w:id="12" w:name="_Toc116375687"/>
      <w:bookmarkStart w:id="13" w:name="_Toc116376463"/>
      <w:bookmarkStart w:id="14" w:name="_Toc116380324"/>
      <w:bookmarkEnd w:id="11"/>
      <w:r>
        <w:br w:type="page"/>
      </w:r>
    </w:p>
    <w:p w14:paraId="0CD840EB" w14:textId="77777777" w:rsidR="005E1534" w:rsidRDefault="003B21B2" w:rsidP="00310BF4">
      <w:pPr>
        <w:pStyle w:val="Heading1"/>
        <w:spacing w:before="120" w:line="240" w:lineRule="auto"/>
      </w:pPr>
      <w:bookmarkStart w:id="15" w:name="_Toc125462469"/>
      <w:bookmarkStart w:id="16" w:name="_Toc131405119"/>
      <w:r>
        <w:lastRenderedPageBreak/>
        <w:t>Introduction</w:t>
      </w:r>
      <w:bookmarkEnd w:id="12"/>
      <w:bookmarkEnd w:id="13"/>
      <w:bookmarkEnd w:id="14"/>
      <w:bookmarkEnd w:id="15"/>
      <w:bookmarkEnd w:id="16"/>
    </w:p>
    <w:p w14:paraId="5F3F1C4F" w14:textId="77777777" w:rsidR="00FC0370" w:rsidRDefault="003D43F7" w:rsidP="003B21B2">
      <w:r>
        <w:t xml:space="preserve">The Government as part of its election commitment platform, announced a multinational tax avoidance package to ensure </w:t>
      </w:r>
      <w:r w:rsidR="00064C43">
        <w:t>multinationals</w:t>
      </w:r>
      <w:r>
        <w:t xml:space="preserve"> pay their fair share of tax in Australia. This included a </w:t>
      </w:r>
      <w:r w:rsidR="003B21B2">
        <w:t>commitment to support</w:t>
      </w:r>
      <w:r w:rsidR="00E2715B" w:rsidRPr="00E2715B">
        <w:t xml:space="preserve"> </w:t>
      </w:r>
      <w:r w:rsidR="003B21B2" w:rsidRPr="00E2715B">
        <w:t>the OECD's Two-Pillar Solution</w:t>
      </w:r>
      <w:r w:rsidR="00E2715B" w:rsidRPr="00251EE1">
        <w:t>. The Two-Pillar Solution is made up of Pillar One, which is</w:t>
      </w:r>
      <w:r w:rsidR="003B21B2" w:rsidRPr="00E2715B">
        <w:t xml:space="preserve"> </w:t>
      </w:r>
      <w:r w:rsidR="001A00A7">
        <w:t xml:space="preserve">about </w:t>
      </w:r>
      <w:r w:rsidR="003B21B2" w:rsidRPr="00E2715B">
        <w:t xml:space="preserve">ensuring </w:t>
      </w:r>
      <w:r w:rsidR="001A00A7">
        <w:t>more</w:t>
      </w:r>
      <w:r w:rsidR="003B21B2" w:rsidRPr="00E2715B">
        <w:t xml:space="preserve"> of the profits of the largest multinationals are taxed where the products or services are </w:t>
      </w:r>
      <w:r w:rsidR="00862522">
        <w:t>consumed</w:t>
      </w:r>
      <w:r w:rsidR="00E2715B" w:rsidRPr="00251EE1">
        <w:t>; and Pillar</w:t>
      </w:r>
      <w:r w:rsidR="00C90E29">
        <w:t> </w:t>
      </w:r>
      <w:r w:rsidR="00E2715B" w:rsidRPr="00251EE1">
        <w:t>Two</w:t>
      </w:r>
      <w:r w:rsidR="00E2715B">
        <w:t>, w</w:t>
      </w:r>
      <w:r w:rsidR="00E2715B" w:rsidRPr="00251EE1">
        <w:t xml:space="preserve">hich </w:t>
      </w:r>
      <w:r w:rsidR="00862522">
        <w:t>seeks to establish</w:t>
      </w:r>
      <w:r w:rsidR="00862522" w:rsidRPr="00251EE1">
        <w:t xml:space="preserve"> </w:t>
      </w:r>
      <w:r w:rsidR="00E2715B" w:rsidRPr="00251EE1">
        <w:t xml:space="preserve">a </w:t>
      </w:r>
      <w:r w:rsidR="003B21B2" w:rsidRPr="00E2715B">
        <w:t>global minimum tax</w:t>
      </w:r>
      <w:r w:rsidR="00E2715B" w:rsidRPr="00251EE1">
        <w:t xml:space="preserve"> on large </w:t>
      </w:r>
      <w:r w:rsidR="00E2715B">
        <w:t>multinationals</w:t>
      </w:r>
      <w:r w:rsidR="003B21B2" w:rsidRPr="00E2715B">
        <w:t>.</w:t>
      </w:r>
      <w:r w:rsidR="00E16FC3">
        <w:t xml:space="preserve"> </w:t>
      </w:r>
    </w:p>
    <w:p w14:paraId="132DF199" w14:textId="77777777" w:rsidR="00122871" w:rsidRDefault="00122871" w:rsidP="00122871">
      <w:r>
        <w:t xml:space="preserve">This document </w:t>
      </w:r>
      <w:r w:rsidR="00A43218">
        <w:t>examines</w:t>
      </w:r>
      <w:r>
        <w:t xml:space="preserve"> the impacts and manner of implementation of the Government’s election commitment. </w:t>
      </w:r>
    </w:p>
    <w:p w14:paraId="649A2776" w14:textId="77777777" w:rsidR="002F25DD" w:rsidRDefault="002F25DD" w:rsidP="00310BF4">
      <w:pPr>
        <w:pStyle w:val="Heading1"/>
        <w:spacing w:before="120" w:line="240" w:lineRule="auto"/>
      </w:pPr>
      <w:bookmarkStart w:id="17" w:name="_Toc125462470"/>
      <w:bookmarkStart w:id="18" w:name="_Toc131405120"/>
      <w:r>
        <w:t>Background</w:t>
      </w:r>
      <w:r w:rsidR="001131A0">
        <w:t xml:space="preserve"> Information</w:t>
      </w:r>
      <w:bookmarkEnd w:id="17"/>
      <w:bookmarkEnd w:id="18"/>
    </w:p>
    <w:p w14:paraId="08E8D281" w14:textId="77777777" w:rsidR="00600025" w:rsidRPr="00E17359" w:rsidRDefault="00600025" w:rsidP="00310BF4">
      <w:pPr>
        <w:pStyle w:val="Heading2"/>
        <w:spacing w:before="120" w:line="240" w:lineRule="auto"/>
      </w:pPr>
      <w:bookmarkStart w:id="19" w:name="_Toc116375702"/>
      <w:bookmarkStart w:id="20" w:name="_Toc116376472"/>
      <w:bookmarkStart w:id="21" w:name="_Toc116380339"/>
      <w:bookmarkStart w:id="22" w:name="_Toc116375689"/>
      <w:bookmarkStart w:id="23" w:name="_Toc116376465"/>
      <w:bookmarkStart w:id="24" w:name="_Toc116380326"/>
      <w:bookmarkStart w:id="25" w:name="_Hlk114498337"/>
      <w:r>
        <w:t>Corporate Income Taxation</w:t>
      </w:r>
    </w:p>
    <w:p w14:paraId="66E06345" w14:textId="0D63DE8B" w:rsidR="00600025" w:rsidRDefault="00600025" w:rsidP="00CA7E38">
      <w:r>
        <w:t xml:space="preserve">Corporate income taxation generally refers to taxes on business profits (revenues minus expenses). In contrast to personal income taxes, corporate income tax is collected from businesses, rather than from the individuals who own them. This type of taxation is a common feature of most countries’ tax systems. </w:t>
      </w:r>
    </w:p>
    <w:p w14:paraId="34D1E979" w14:textId="695083BD" w:rsidR="001B0FAD" w:rsidRDefault="00600025" w:rsidP="00CA7E38">
      <w:r>
        <w:t>As with any tax, there are different perspectives on the role of corporate income taxation. One view justifying why we have corporate income taxation is that it exists as an integrity measure for the personal income taxation system, which can have difficulty in adequately taxing wealthier individuals, who may be able to use company structures to reduce their personal income tax. In this way, having a corporate income tax can result in more revenue being collected more fairly across a population of business owners and non-business owners. However, the purpose of corporate income taxation is more complex when it comes to businesses operating across multiple countries</w:t>
      </w:r>
      <w:r w:rsidR="00CD32F4">
        <w:t>, as they have access to multiple strategies to shift profits to low tax jurisdictions</w:t>
      </w:r>
      <w:r w:rsidRPr="009F12E6">
        <w:t>.</w:t>
      </w:r>
      <w:r w:rsidR="00CD32F4">
        <w:t xml:space="preserve"> </w:t>
      </w:r>
      <w:r w:rsidR="003E19ED">
        <w:t>Over</w:t>
      </w:r>
      <w:r w:rsidR="007A3652">
        <w:t xml:space="preserve"> </w:t>
      </w:r>
      <w:r w:rsidR="003E19ED">
        <w:t xml:space="preserve">time, the ability to profit shift can lead to an erosion </w:t>
      </w:r>
      <w:r w:rsidR="002F7150">
        <w:t>of a</w:t>
      </w:r>
      <w:r w:rsidR="003E19ED">
        <w:t xml:space="preserve"> jurisdiction’s tax base, as more and more taxable business entities or activities relocate to jurisdictions with low</w:t>
      </w:r>
      <w:r w:rsidR="00C34292" w:rsidRPr="00C34292">
        <w:t>- or no-tax</w:t>
      </w:r>
      <w:r w:rsidR="00C34292">
        <w:t>ation</w:t>
      </w:r>
      <w:r w:rsidR="003E19ED">
        <w:t>.</w:t>
      </w:r>
      <w:r w:rsidR="00D96EF8">
        <w:t xml:space="preserve"> This can occur even when legal profit shifting strategies are used. </w:t>
      </w:r>
      <w:r w:rsidR="003E19ED">
        <w:t xml:space="preserve">  </w:t>
      </w:r>
      <w:r w:rsidR="002911F4">
        <w:t xml:space="preserve"> </w:t>
      </w:r>
      <w:r w:rsidR="00254A96">
        <w:t xml:space="preserve"> </w:t>
      </w:r>
    </w:p>
    <w:p w14:paraId="73F69D1F" w14:textId="77777777" w:rsidR="00D07B39" w:rsidRDefault="00D07B39" w:rsidP="00310BF4">
      <w:pPr>
        <w:pStyle w:val="Heading2"/>
        <w:spacing w:before="120" w:line="240" w:lineRule="auto"/>
      </w:pPr>
      <w:r>
        <w:t xml:space="preserve">OECD and </w:t>
      </w:r>
      <w:proofErr w:type="spellStart"/>
      <w:r>
        <w:t>G20</w:t>
      </w:r>
      <w:proofErr w:type="spellEnd"/>
      <w:r w:rsidRPr="006A1B52">
        <w:t xml:space="preserve"> negotiations</w:t>
      </w:r>
      <w:bookmarkEnd w:id="19"/>
      <w:bookmarkEnd w:id="20"/>
      <w:bookmarkEnd w:id="21"/>
    </w:p>
    <w:p w14:paraId="56F6AA1E" w14:textId="534CD08C" w:rsidR="00D07B39" w:rsidRDefault="00D07B39" w:rsidP="00D07B39">
      <w:r w:rsidRPr="002D32A2">
        <w:t xml:space="preserve">Following the financial crisis in 2008, the OECD and </w:t>
      </w:r>
      <w:proofErr w:type="spellStart"/>
      <w:r w:rsidRPr="002D32A2">
        <w:t>G20</w:t>
      </w:r>
      <w:proofErr w:type="spellEnd"/>
      <w:r w:rsidRPr="002D32A2">
        <w:t xml:space="preserve"> countries prioritised addressing global tax issues, the most pressing of which </w:t>
      </w:r>
      <w:r w:rsidR="001A00A7">
        <w:t>was</w:t>
      </w:r>
      <w:r w:rsidRPr="002D32A2">
        <w:t xml:space="preserve"> corporate taxation. </w:t>
      </w:r>
      <w:r>
        <w:t xml:space="preserve">This included </w:t>
      </w:r>
      <w:r w:rsidRPr="002D32A2">
        <w:t xml:space="preserve">an </w:t>
      </w:r>
      <w:hyperlink r:id="rId29" w:history="1">
        <w:r w:rsidRPr="002D32A2">
          <w:rPr>
            <w:rStyle w:val="Hyperlink"/>
            <w:rFonts w:cs="Calibri Light"/>
          </w:rPr>
          <w:t xml:space="preserve">Action Plan </w:t>
        </w:r>
        <w:r>
          <w:rPr>
            <w:rStyle w:val="Hyperlink"/>
            <w:rFonts w:cs="Calibri Light"/>
          </w:rPr>
          <w:t>to address</w:t>
        </w:r>
        <w:r w:rsidRPr="002D32A2">
          <w:rPr>
            <w:rStyle w:val="Hyperlink"/>
            <w:rFonts w:cs="Calibri Light"/>
          </w:rPr>
          <w:t xml:space="preserve"> Base Erosion and Profit Shifting (BEPS)</w:t>
        </w:r>
      </w:hyperlink>
      <w:r w:rsidRPr="00251EE1">
        <w:rPr>
          <w:rStyle w:val="Hyperlink"/>
          <w:rFonts w:cs="Calibri Light"/>
          <w:color w:val="auto"/>
          <w:u w:val="none"/>
        </w:rPr>
        <w:t xml:space="preserve">, </w:t>
      </w:r>
      <w:r w:rsidRPr="00A33F15">
        <w:t>which led to the</w:t>
      </w:r>
      <w:r w:rsidRPr="00C87B15">
        <w:t xml:space="preserve"> format</w:t>
      </w:r>
      <w:r w:rsidRPr="002D32A2">
        <w:t xml:space="preserve">ion of </w:t>
      </w:r>
      <w:hyperlink r:id="rId30" w:history="1">
        <w:r w:rsidRPr="002D32A2">
          <w:t>the OECD/</w:t>
        </w:r>
        <w:proofErr w:type="spellStart"/>
        <w:r w:rsidRPr="002D32A2">
          <w:t>G20</w:t>
        </w:r>
        <w:proofErr w:type="spellEnd"/>
        <w:r w:rsidRPr="002D32A2">
          <w:t xml:space="preserve"> Inclusive Framework on Base</w:t>
        </w:r>
      </w:hyperlink>
      <w:r w:rsidRPr="002D32A2">
        <w:t xml:space="preserve"> Erosion and Profit Shifting</w:t>
      </w:r>
      <w:r>
        <w:t xml:space="preserve"> in 2016. Under the Inclusive Framework more than 130</w:t>
      </w:r>
      <w:r w:rsidRPr="002D32A2">
        <w:t xml:space="preserve"> countries and jurisdictions are collaborating with the aim of minimising tax avoidance strategies that exploit gaps and mismatches in tax rules to avoid paying tax. </w:t>
      </w:r>
      <w:r>
        <w:t>Much of the original BEPS Action Plan</w:t>
      </w:r>
      <w:r w:rsidRPr="002D32A2">
        <w:t xml:space="preserve"> has now been implemented, however, the work on the tax challenges from digitalisation (Action One) </w:t>
      </w:r>
      <w:r>
        <w:t xml:space="preserve">continues to be </w:t>
      </w:r>
      <w:r w:rsidR="00B176BB">
        <w:t>progressed</w:t>
      </w:r>
      <w:r>
        <w:t xml:space="preserve"> </w:t>
      </w:r>
      <w:r w:rsidRPr="002D32A2">
        <w:t>(and expanded on) as part of the proposed OECD/</w:t>
      </w:r>
      <w:proofErr w:type="spellStart"/>
      <w:r w:rsidRPr="002D32A2">
        <w:t>G20</w:t>
      </w:r>
      <w:proofErr w:type="spellEnd"/>
      <w:r w:rsidRPr="002D32A2">
        <w:t xml:space="preserve"> Inclusive Framework </w:t>
      </w:r>
      <w:r>
        <w:t>T</w:t>
      </w:r>
      <w:r w:rsidRPr="002D32A2">
        <w:t>wo</w:t>
      </w:r>
      <w:r>
        <w:noBreakHyphen/>
        <w:t>P</w:t>
      </w:r>
      <w:r w:rsidRPr="002D32A2">
        <w:t xml:space="preserve">illar </w:t>
      </w:r>
      <w:r w:rsidR="005523FE">
        <w:t>Solution</w:t>
      </w:r>
      <w:r w:rsidRPr="002D32A2">
        <w:t xml:space="preserve">.  </w:t>
      </w:r>
    </w:p>
    <w:p w14:paraId="4FE9247A" w14:textId="77777777" w:rsidR="00D07B39" w:rsidRPr="002D32A2" w:rsidRDefault="00D07B39" w:rsidP="00310BF4">
      <w:pPr>
        <w:pStyle w:val="Heading3"/>
        <w:spacing w:before="120" w:after="120" w:line="240" w:lineRule="auto"/>
      </w:pPr>
      <w:bookmarkStart w:id="26" w:name="_Toc116375703"/>
      <w:bookmarkStart w:id="27" w:name="_Toc116380340"/>
      <w:r w:rsidRPr="00D853CA">
        <w:lastRenderedPageBreak/>
        <w:t>Multilateral action to address digitalisation</w:t>
      </w:r>
      <w:bookmarkEnd w:id="26"/>
      <w:bookmarkEnd w:id="27"/>
    </w:p>
    <w:p w14:paraId="3E294585" w14:textId="77777777" w:rsidR="00D07B39" w:rsidRDefault="00D07B39" w:rsidP="00D07B39">
      <w:r w:rsidRPr="002D32A2">
        <w:t xml:space="preserve">While the existing </w:t>
      </w:r>
      <w:r w:rsidR="00E321F7">
        <w:t xml:space="preserve">BEPS </w:t>
      </w:r>
      <w:r w:rsidRPr="002D32A2">
        <w:t>multilateral measures are important as integrity measures, they do not fully address the core tax challenges relating to digitalisation, the ‘race to the bottom’</w:t>
      </w:r>
      <w:r w:rsidR="001F5534">
        <w:t>,</w:t>
      </w:r>
      <w:r w:rsidRPr="002D32A2">
        <w:t xml:space="preserve"> and ‘scale without mass’</w:t>
      </w:r>
      <w:r>
        <w:t xml:space="preserve"> (explained in the problem section)</w:t>
      </w:r>
      <w:r w:rsidRPr="002D32A2">
        <w:t>.</w:t>
      </w:r>
    </w:p>
    <w:p w14:paraId="505CDA0E" w14:textId="4D6D1DCA" w:rsidR="00D07B39" w:rsidRDefault="00BE18B4" w:rsidP="00D07B39">
      <w:r>
        <w:rPr>
          <w:noProof/>
        </w:rPr>
        <mc:AlternateContent>
          <mc:Choice Requires="wps">
            <w:drawing>
              <wp:anchor distT="45720" distB="45720" distL="114300" distR="114300" simplePos="0" relativeHeight="251658248" behindDoc="1" locked="0" layoutInCell="1" allowOverlap="1" wp14:anchorId="37DB56FC" wp14:editId="0DD504AE">
                <wp:simplePos x="0" y="0"/>
                <wp:positionH relativeFrom="margin">
                  <wp:align>left</wp:align>
                </wp:positionH>
                <wp:positionV relativeFrom="paragraph">
                  <wp:posOffset>1004570</wp:posOffset>
                </wp:positionV>
                <wp:extent cx="5695950" cy="1404620"/>
                <wp:effectExtent l="0" t="0" r="19050" b="1968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00AC8C8" w14:textId="7B9D9C60" w:rsidR="00C60F30" w:rsidRPr="006039A6" w:rsidRDefault="00C60F30" w:rsidP="00671770">
                            <w:pPr>
                              <w:rPr>
                                <w:rFonts w:ascii="Open Sans" w:hAnsi="Open Sans" w:cs="Open Sans"/>
                                <w:i/>
                                <w:iCs/>
                                <w:sz w:val="24"/>
                                <w:szCs w:val="24"/>
                              </w:rPr>
                            </w:pPr>
                            <w:r w:rsidRPr="006039A6">
                              <w:rPr>
                                <w:rFonts w:ascii="Open Sans" w:hAnsi="Open Sans" w:cs="Open Sans"/>
                                <w:i/>
                                <w:iCs/>
                                <w:sz w:val="24"/>
                                <w:szCs w:val="24"/>
                              </w:rPr>
                              <w:t xml:space="preserve">While one of the original </w:t>
                            </w:r>
                            <w:r w:rsidR="00F16B2C">
                              <w:rPr>
                                <w:rFonts w:ascii="Open Sans" w:hAnsi="Open Sans" w:cs="Open Sans"/>
                                <w:i/>
                                <w:iCs/>
                                <w:sz w:val="24"/>
                                <w:szCs w:val="24"/>
                              </w:rPr>
                              <w:t xml:space="preserve">focus areas </w:t>
                            </w:r>
                            <w:r>
                              <w:rPr>
                                <w:rFonts w:ascii="Open Sans" w:hAnsi="Open Sans" w:cs="Open Sans"/>
                                <w:i/>
                                <w:iCs/>
                                <w:sz w:val="24"/>
                                <w:szCs w:val="24"/>
                              </w:rPr>
                              <w:t>of</w:t>
                            </w:r>
                            <w:r w:rsidRPr="006039A6">
                              <w:rPr>
                                <w:rFonts w:ascii="Open Sans" w:hAnsi="Open Sans" w:cs="Open Sans"/>
                                <w:i/>
                                <w:iCs/>
                                <w:sz w:val="24"/>
                                <w:szCs w:val="24"/>
                              </w:rPr>
                              <w:t xml:space="preserve"> the </w:t>
                            </w:r>
                            <w:r>
                              <w:rPr>
                                <w:rFonts w:ascii="Open Sans" w:hAnsi="Open Sans" w:cs="Open Sans"/>
                                <w:i/>
                                <w:iCs/>
                                <w:sz w:val="24"/>
                                <w:szCs w:val="24"/>
                              </w:rPr>
                              <w:t xml:space="preserve">OECD/G20 </w:t>
                            </w:r>
                            <w:r w:rsidRPr="006039A6">
                              <w:rPr>
                                <w:rFonts w:ascii="Open Sans" w:hAnsi="Open Sans" w:cs="Open Sans"/>
                                <w:i/>
                                <w:iCs/>
                                <w:sz w:val="24"/>
                                <w:szCs w:val="24"/>
                              </w:rPr>
                              <w:t xml:space="preserve">Two-Pillar </w:t>
                            </w:r>
                            <w:r>
                              <w:rPr>
                                <w:rFonts w:ascii="Open Sans" w:hAnsi="Open Sans" w:cs="Open Sans"/>
                                <w:i/>
                                <w:iCs/>
                                <w:sz w:val="24"/>
                                <w:szCs w:val="24"/>
                              </w:rPr>
                              <w:t>project</w:t>
                            </w:r>
                            <w:r w:rsidRPr="006039A6">
                              <w:rPr>
                                <w:rFonts w:ascii="Open Sans" w:hAnsi="Open Sans" w:cs="Open Sans"/>
                                <w:i/>
                                <w:iCs/>
                                <w:sz w:val="24"/>
                                <w:szCs w:val="24"/>
                              </w:rPr>
                              <w:t xml:space="preserve"> was </w:t>
                            </w:r>
                            <w:r>
                              <w:rPr>
                                <w:rFonts w:ascii="Open Sans" w:hAnsi="Open Sans" w:cs="Open Sans"/>
                                <w:i/>
                                <w:iCs/>
                                <w:sz w:val="24"/>
                                <w:szCs w:val="24"/>
                              </w:rPr>
                              <w:t>the emergence of specific multinational digital business models</w:t>
                            </w:r>
                            <w:r w:rsidRPr="006039A6">
                              <w:rPr>
                                <w:rFonts w:ascii="Open Sans" w:hAnsi="Open Sans" w:cs="Open Sans"/>
                                <w:i/>
                                <w:iCs/>
                                <w:sz w:val="24"/>
                                <w:szCs w:val="24"/>
                              </w:rPr>
                              <w:t>, it has since broadened in scope to</w:t>
                            </w:r>
                            <w:r>
                              <w:rPr>
                                <w:rFonts w:ascii="Open Sans" w:hAnsi="Open Sans" w:cs="Open Sans"/>
                                <w:i/>
                                <w:iCs/>
                                <w:sz w:val="24"/>
                                <w:szCs w:val="24"/>
                              </w:rPr>
                              <w:t xml:space="preserve"> </w:t>
                            </w:r>
                            <w:r w:rsidR="008249A7">
                              <w:rPr>
                                <w:rFonts w:ascii="Open Sans" w:hAnsi="Open Sans" w:cs="Open Sans"/>
                                <w:i/>
                                <w:iCs/>
                                <w:sz w:val="24"/>
                                <w:szCs w:val="24"/>
                              </w:rPr>
                              <w:t xml:space="preserve">potentially </w:t>
                            </w:r>
                            <w:r>
                              <w:rPr>
                                <w:rFonts w:ascii="Open Sans" w:hAnsi="Open Sans" w:cs="Open Sans"/>
                                <w:i/>
                                <w:iCs/>
                                <w:sz w:val="24"/>
                                <w:szCs w:val="24"/>
                              </w:rPr>
                              <w:t>affect all</w:t>
                            </w:r>
                            <w:r w:rsidRPr="006039A6">
                              <w:rPr>
                                <w:rFonts w:ascii="Open Sans" w:hAnsi="Open Sans" w:cs="Open Sans"/>
                                <w:i/>
                                <w:iCs/>
                                <w:sz w:val="24"/>
                                <w:szCs w:val="24"/>
                              </w:rPr>
                              <w:t xml:space="preserve"> large multinationals.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DB56FC" id="_x0000_t202" coordsize="21600,21600" o:spt="202" path="m,l,21600r21600,l21600,xe">
                <v:stroke joinstyle="miter"/>
                <v:path gradientshapeok="t" o:connecttype="rect"/>
              </v:shapetype>
              <v:shape id="Text Box 17" o:spid="_x0000_s1026" type="#_x0000_t202" style="position:absolute;margin-left:0;margin-top:79.1pt;width:448.5pt;height:110.6pt;z-index:-2516582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">
                <v:textbox style="mso-fit-shape-to-text:t">
                  <w:txbxContent>
                    <w:p w14:paraId="600AC8C8" w14:textId="7B9D9C60" w:rsidR="00C60F30" w:rsidRPr="006039A6" w:rsidRDefault="00C60F30" w:rsidP="00671770">
                      <w:pPr>
                        <w:rPr>
                          <w:rFonts w:ascii="Open Sans" w:hAnsi="Open Sans" w:cs="Open Sans"/>
                          <w:i/>
                          <w:iCs/>
                          <w:sz w:val="24"/>
                          <w:szCs w:val="24"/>
                        </w:rPr>
                      </w:pPr>
                      <w:r w:rsidRPr="006039A6">
                        <w:rPr>
                          <w:rFonts w:ascii="Open Sans" w:hAnsi="Open Sans" w:cs="Open Sans"/>
                          <w:i/>
                          <w:iCs/>
                          <w:sz w:val="24"/>
                          <w:szCs w:val="24"/>
                        </w:rPr>
                        <w:t xml:space="preserve">While one of the original </w:t>
                      </w:r>
                      <w:r w:rsidR="00F16B2C">
                        <w:rPr>
                          <w:rFonts w:ascii="Open Sans" w:hAnsi="Open Sans" w:cs="Open Sans"/>
                          <w:i/>
                          <w:iCs/>
                          <w:sz w:val="24"/>
                          <w:szCs w:val="24"/>
                        </w:rPr>
                        <w:t xml:space="preserve">focus areas </w:t>
                      </w:r>
                      <w:r>
                        <w:rPr>
                          <w:rFonts w:ascii="Open Sans" w:hAnsi="Open Sans" w:cs="Open Sans"/>
                          <w:i/>
                          <w:iCs/>
                          <w:sz w:val="24"/>
                          <w:szCs w:val="24"/>
                        </w:rPr>
                        <w:t>of</w:t>
                      </w:r>
                      <w:r w:rsidRPr="006039A6">
                        <w:rPr>
                          <w:rFonts w:ascii="Open Sans" w:hAnsi="Open Sans" w:cs="Open Sans"/>
                          <w:i/>
                          <w:iCs/>
                          <w:sz w:val="24"/>
                          <w:szCs w:val="24"/>
                        </w:rPr>
                        <w:t xml:space="preserve"> the </w:t>
                      </w:r>
                      <w:r>
                        <w:rPr>
                          <w:rFonts w:ascii="Open Sans" w:hAnsi="Open Sans" w:cs="Open Sans"/>
                          <w:i/>
                          <w:iCs/>
                          <w:sz w:val="24"/>
                          <w:szCs w:val="24"/>
                        </w:rPr>
                        <w:t xml:space="preserve">OECD/G20 </w:t>
                      </w:r>
                      <w:r w:rsidRPr="006039A6">
                        <w:rPr>
                          <w:rFonts w:ascii="Open Sans" w:hAnsi="Open Sans" w:cs="Open Sans"/>
                          <w:i/>
                          <w:iCs/>
                          <w:sz w:val="24"/>
                          <w:szCs w:val="24"/>
                        </w:rPr>
                        <w:t xml:space="preserve">Two-Pillar </w:t>
                      </w:r>
                      <w:r>
                        <w:rPr>
                          <w:rFonts w:ascii="Open Sans" w:hAnsi="Open Sans" w:cs="Open Sans"/>
                          <w:i/>
                          <w:iCs/>
                          <w:sz w:val="24"/>
                          <w:szCs w:val="24"/>
                        </w:rPr>
                        <w:t>project</w:t>
                      </w:r>
                      <w:r w:rsidRPr="006039A6">
                        <w:rPr>
                          <w:rFonts w:ascii="Open Sans" w:hAnsi="Open Sans" w:cs="Open Sans"/>
                          <w:i/>
                          <w:iCs/>
                          <w:sz w:val="24"/>
                          <w:szCs w:val="24"/>
                        </w:rPr>
                        <w:t xml:space="preserve"> was </w:t>
                      </w:r>
                      <w:r>
                        <w:rPr>
                          <w:rFonts w:ascii="Open Sans" w:hAnsi="Open Sans" w:cs="Open Sans"/>
                          <w:i/>
                          <w:iCs/>
                          <w:sz w:val="24"/>
                          <w:szCs w:val="24"/>
                        </w:rPr>
                        <w:t>the emergence of specific multinational digital business models</w:t>
                      </w:r>
                      <w:r w:rsidRPr="006039A6">
                        <w:rPr>
                          <w:rFonts w:ascii="Open Sans" w:hAnsi="Open Sans" w:cs="Open Sans"/>
                          <w:i/>
                          <w:iCs/>
                          <w:sz w:val="24"/>
                          <w:szCs w:val="24"/>
                        </w:rPr>
                        <w:t>, it has since broadened in scope to</w:t>
                      </w:r>
                      <w:r>
                        <w:rPr>
                          <w:rFonts w:ascii="Open Sans" w:hAnsi="Open Sans" w:cs="Open Sans"/>
                          <w:i/>
                          <w:iCs/>
                          <w:sz w:val="24"/>
                          <w:szCs w:val="24"/>
                        </w:rPr>
                        <w:t xml:space="preserve"> </w:t>
                      </w:r>
                      <w:r w:rsidR="008249A7">
                        <w:rPr>
                          <w:rFonts w:ascii="Open Sans" w:hAnsi="Open Sans" w:cs="Open Sans"/>
                          <w:i/>
                          <w:iCs/>
                          <w:sz w:val="24"/>
                          <w:szCs w:val="24"/>
                        </w:rPr>
                        <w:t xml:space="preserve">potentially </w:t>
                      </w:r>
                      <w:r>
                        <w:rPr>
                          <w:rFonts w:ascii="Open Sans" w:hAnsi="Open Sans" w:cs="Open Sans"/>
                          <w:i/>
                          <w:iCs/>
                          <w:sz w:val="24"/>
                          <w:szCs w:val="24"/>
                        </w:rPr>
                        <w:t>affect all</w:t>
                      </w:r>
                      <w:r w:rsidRPr="006039A6">
                        <w:rPr>
                          <w:rFonts w:ascii="Open Sans" w:hAnsi="Open Sans" w:cs="Open Sans"/>
                          <w:i/>
                          <w:iCs/>
                          <w:sz w:val="24"/>
                          <w:szCs w:val="24"/>
                        </w:rPr>
                        <w:t xml:space="preserve"> large multinationals.  </w:t>
                      </w:r>
                    </w:p>
                  </w:txbxContent>
                </v:textbox>
                <w10:wrap type="square" anchorx="margin"/>
              </v:shape>
            </w:pict>
          </mc:Fallback>
        </mc:AlternateContent>
      </w:r>
      <w:r w:rsidR="00D07B39" w:rsidRPr="00450FF9">
        <w:t xml:space="preserve">The original motivation for </w:t>
      </w:r>
      <w:r w:rsidR="002B0A85">
        <w:t xml:space="preserve">the </w:t>
      </w:r>
      <w:r w:rsidR="00D07B39">
        <w:t>Two-Pillar Solution to</w:t>
      </w:r>
      <w:r w:rsidR="00D07B39" w:rsidRPr="00450FF9">
        <w:t xml:space="preserve"> reform the international corporate tax system was the emergence of highly digitalised </w:t>
      </w:r>
      <w:r w:rsidR="00F5236B">
        <w:t>multinationals</w:t>
      </w:r>
      <w:r w:rsidR="00D07B39" w:rsidRPr="00450FF9">
        <w:t xml:space="preserve"> – which exacerbated some of the longer-standing challenges associated with taxing corporate profits in a globalised economy, such as profit shifting. Concerns have also been growing about the use of low</w:t>
      </w:r>
      <w:r w:rsidR="00C34292" w:rsidRPr="00C34292">
        <w:t>- or no-tax jurisdictions</w:t>
      </w:r>
      <w:r w:rsidR="00D07B39" w:rsidRPr="00450FF9">
        <w:t xml:space="preserve">, sometimes referred to as ‘tax havens’, and the tax planning opportunities they present to some </w:t>
      </w:r>
      <w:r w:rsidR="00F5236B">
        <w:t>multinationals</w:t>
      </w:r>
      <w:r w:rsidR="00D07B39" w:rsidRPr="00450FF9">
        <w:t>.</w:t>
      </w:r>
    </w:p>
    <w:p w14:paraId="18C581FE" w14:textId="77777777" w:rsidR="00671770" w:rsidRPr="00450FF9" w:rsidRDefault="00671770" w:rsidP="00D07B39"/>
    <w:p w14:paraId="6C189EE0" w14:textId="3C7A56F2" w:rsidR="00D07B39" w:rsidRDefault="00D07B39" w:rsidP="00D07B39">
      <w:pPr>
        <w:rPr>
          <w:rFonts w:cs="Calibri Light"/>
          <w:szCs w:val="22"/>
        </w:rPr>
      </w:pPr>
      <w:r w:rsidRPr="00450FF9">
        <w:rPr>
          <w:rFonts w:cs="Calibri Light"/>
          <w:szCs w:val="22"/>
        </w:rPr>
        <w:t xml:space="preserve">Through the </w:t>
      </w:r>
      <w:hyperlink r:id="rId31" w:history="1">
        <w:r w:rsidRPr="00450FF9">
          <w:rPr>
            <w:rStyle w:val="Hyperlink"/>
            <w:rFonts w:cs="Calibri Light"/>
            <w:szCs w:val="22"/>
            <w:u w:val="none"/>
          </w:rPr>
          <w:t>OECD’s public consultation process in 2020</w:t>
        </w:r>
      </w:hyperlink>
      <w:r w:rsidRPr="00450FF9">
        <w:rPr>
          <w:rStyle w:val="Hyperlink"/>
          <w:rFonts w:cs="Calibri Light"/>
          <w:szCs w:val="22"/>
          <w:u w:val="none"/>
        </w:rPr>
        <w:t>,</w:t>
      </w:r>
      <w:r w:rsidRPr="00450FF9">
        <w:rPr>
          <w:rFonts w:eastAsiaTheme="minorHAnsi" w:cs="Calibri Light"/>
          <w:szCs w:val="22"/>
          <w:vertAlign w:val="superscript"/>
          <w:lang w:eastAsia="en-US"/>
        </w:rPr>
        <w:footnoteReference w:id="2"/>
      </w:r>
      <w:r w:rsidRPr="00450FF9">
        <w:rPr>
          <w:rFonts w:eastAsiaTheme="minorHAnsi" w:cs="Calibri Light"/>
          <w:szCs w:val="22"/>
          <w:vertAlign w:val="superscript"/>
          <w:lang w:eastAsia="en-US"/>
        </w:rPr>
        <w:t xml:space="preserve"> </w:t>
      </w:r>
      <w:hyperlink r:id="rId32" w:history="1">
        <w:r w:rsidRPr="00450FF9">
          <w:rPr>
            <w:rStyle w:val="Hyperlink"/>
            <w:rFonts w:cs="Calibri Light"/>
            <w:szCs w:val="22"/>
            <w:u w:val="none"/>
          </w:rPr>
          <w:t>economic analysis</w:t>
        </w:r>
      </w:hyperlink>
      <w:r w:rsidRPr="00450FF9">
        <w:rPr>
          <w:rFonts w:cs="Calibri Light"/>
          <w:szCs w:val="22"/>
        </w:rPr>
        <w:t xml:space="preserve"> was released predicting that the continued build-up of these pressures and the proliferation of unilateral actions, such as </w:t>
      </w:r>
      <w:r>
        <w:rPr>
          <w:rFonts w:cs="Calibri Light"/>
          <w:szCs w:val="22"/>
        </w:rPr>
        <w:t>D</w:t>
      </w:r>
      <w:r w:rsidRPr="00450FF9">
        <w:rPr>
          <w:rFonts w:cs="Calibri Light"/>
          <w:szCs w:val="22"/>
        </w:rPr>
        <w:t xml:space="preserve">igital </w:t>
      </w:r>
      <w:r>
        <w:rPr>
          <w:rFonts w:cs="Calibri Light"/>
          <w:szCs w:val="22"/>
        </w:rPr>
        <w:t>S</w:t>
      </w:r>
      <w:r w:rsidRPr="00450FF9">
        <w:rPr>
          <w:rFonts w:cs="Calibri Light"/>
          <w:szCs w:val="22"/>
        </w:rPr>
        <w:t xml:space="preserve">ervices </w:t>
      </w:r>
      <w:r>
        <w:rPr>
          <w:rFonts w:cs="Calibri Light"/>
          <w:szCs w:val="22"/>
        </w:rPr>
        <w:t>T</w:t>
      </w:r>
      <w:r w:rsidRPr="00450FF9">
        <w:rPr>
          <w:rFonts w:cs="Calibri Light"/>
          <w:szCs w:val="22"/>
        </w:rPr>
        <w:t>axes, could harm global economic growth.</w:t>
      </w:r>
      <w:r w:rsidRPr="00450FF9">
        <w:rPr>
          <w:rFonts w:eastAsiaTheme="minorHAnsi" w:cs="Calibri Light"/>
          <w:szCs w:val="22"/>
          <w:vertAlign w:val="superscript"/>
          <w:lang w:eastAsia="en-US"/>
        </w:rPr>
        <w:footnoteReference w:id="3"/>
      </w:r>
      <w:r w:rsidRPr="00450FF9">
        <w:rPr>
          <w:rFonts w:cs="Calibri Light"/>
          <w:szCs w:val="22"/>
        </w:rPr>
        <w:t xml:space="preserve"> The OECD argued that a better alternative is the </w:t>
      </w:r>
      <w:r>
        <w:rPr>
          <w:rFonts w:cs="Calibri Light"/>
          <w:szCs w:val="22"/>
        </w:rPr>
        <w:t>Two-Pillar</w:t>
      </w:r>
      <w:r w:rsidRPr="00450FF9">
        <w:rPr>
          <w:rFonts w:cs="Calibri Light"/>
          <w:szCs w:val="22"/>
        </w:rPr>
        <w:t xml:space="preserve"> </w:t>
      </w:r>
      <w:r>
        <w:rPr>
          <w:rFonts w:cs="Calibri Light"/>
          <w:szCs w:val="22"/>
        </w:rPr>
        <w:t>S</w:t>
      </w:r>
      <w:r w:rsidRPr="00450FF9">
        <w:rPr>
          <w:rFonts w:cs="Calibri Light"/>
          <w:szCs w:val="22"/>
        </w:rPr>
        <w:t xml:space="preserve">olution being negotiated through the Inclusive Framework. </w:t>
      </w:r>
    </w:p>
    <w:p w14:paraId="09AE2D1E" w14:textId="3CBB59B8" w:rsidR="00D07B39" w:rsidRPr="00450FF9" w:rsidRDefault="00D07B39" w:rsidP="00D07B39">
      <w:r>
        <w:t xml:space="preserve">OECD </w:t>
      </w:r>
      <w:r w:rsidR="0077430F">
        <w:t>Inclusive Framework</w:t>
      </w:r>
      <w:r w:rsidRPr="00450FF9">
        <w:t xml:space="preserve"> members released a </w:t>
      </w:r>
      <w:hyperlink r:id="rId33" w:history="1">
        <w:r w:rsidRPr="00450FF9">
          <w:rPr>
            <w:rStyle w:val="Hyperlink"/>
            <w:szCs w:val="22"/>
            <w:u w:val="none"/>
          </w:rPr>
          <w:t>statement</w:t>
        </w:r>
      </w:hyperlink>
      <w:r w:rsidRPr="00450FF9">
        <w:t xml:space="preserve"> on 1 July 2021,</w:t>
      </w:r>
      <w:r w:rsidRPr="00450FF9">
        <w:rPr>
          <w:rFonts w:eastAsiaTheme="minorHAnsi" w:cstheme="minorBidi"/>
          <w:vertAlign w:val="superscript"/>
          <w:lang w:eastAsia="en-US"/>
        </w:rPr>
        <w:footnoteReference w:id="4"/>
      </w:r>
      <w:r w:rsidR="00176BD8">
        <w:t xml:space="preserve"> which was</w:t>
      </w:r>
      <w:r w:rsidRPr="00450FF9">
        <w:rPr>
          <w:rFonts w:eastAsiaTheme="minorHAnsi" w:cstheme="minorBidi"/>
          <w:vertAlign w:val="superscript"/>
          <w:lang w:eastAsia="en-US"/>
        </w:rPr>
        <w:t xml:space="preserve"> </w:t>
      </w:r>
      <w:r w:rsidRPr="00450FF9">
        <w:t>updated on 8 October 2021</w:t>
      </w:r>
      <w:r w:rsidR="00176BD8">
        <w:t>,</w:t>
      </w:r>
      <w:r w:rsidRPr="00450FF9">
        <w:t xml:space="preserve"> and </w:t>
      </w:r>
      <w:r w:rsidR="00176BD8">
        <w:t xml:space="preserve">was </w:t>
      </w:r>
      <w:r w:rsidRPr="00450FF9">
        <w:t xml:space="preserve">accompanied by a </w:t>
      </w:r>
      <w:hyperlink r:id="rId34" w:history="1">
        <w:r w:rsidRPr="00450FF9">
          <w:rPr>
            <w:rStyle w:val="Hyperlink"/>
            <w:szCs w:val="22"/>
            <w:u w:val="none"/>
          </w:rPr>
          <w:t>detailed implementation plan</w:t>
        </w:r>
      </w:hyperlink>
      <w:r w:rsidRPr="00450FF9">
        <w:rPr>
          <w:rStyle w:val="Hyperlink"/>
          <w:color w:val="auto"/>
          <w:szCs w:val="22"/>
          <w:u w:val="none"/>
        </w:rPr>
        <w:t>.</w:t>
      </w:r>
      <w:r w:rsidRPr="00450FF9">
        <w:rPr>
          <w:rFonts w:eastAsiaTheme="minorHAnsi" w:cstheme="minorBidi"/>
          <w:vertAlign w:val="superscript"/>
          <w:lang w:eastAsia="en-US"/>
        </w:rPr>
        <w:footnoteReference w:id="5"/>
      </w:r>
      <w:r w:rsidRPr="00450FF9">
        <w:rPr>
          <w:rFonts w:eastAsiaTheme="minorHAnsi" w:cstheme="minorBidi"/>
          <w:vertAlign w:val="superscript"/>
          <w:lang w:eastAsia="en-US"/>
        </w:rPr>
        <w:t xml:space="preserve"> </w:t>
      </w:r>
    </w:p>
    <w:p w14:paraId="656EFD0F" w14:textId="77777777" w:rsidR="00D07B39" w:rsidRPr="00450FF9" w:rsidRDefault="00D07B39" w:rsidP="00D07B39">
      <w:r w:rsidRPr="00450FF9">
        <w:t xml:space="preserve">The OECD </w:t>
      </w:r>
      <w:r w:rsidR="0077430F">
        <w:t>Inclusive Framework</w:t>
      </w:r>
      <w:r w:rsidRPr="00450FF9">
        <w:t xml:space="preserve"> approach to addressing the tax challenges of </w:t>
      </w:r>
      <w:r>
        <w:t>international corporate taxation</w:t>
      </w:r>
      <w:r w:rsidRPr="00450FF9">
        <w:t xml:space="preserve"> has focused on two separate policy streams, known as the </w:t>
      </w:r>
      <w:r>
        <w:t>T</w:t>
      </w:r>
      <w:r w:rsidRPr="00450FF9">
        <w:t>wo</w:t>
      </w:r>
      <w:r w:rsidR="0015118E">
        <w:t xml:space="preserve"> </w:t>
      </w:r>
      <w:r>
        <w:t>P</w:t>
      </w:r>
      <w:r w:rsidRPr="00450FF9">
        <w:t xml:space="preserve">illars. </w:t>
      </w:r>
    </w:p>
    <w:p w14:paraId="6DEF0C40" w14:textId="77777777" w:rsidR="00D07B39" w:rsidRDefault="00D07B39" w:rsidP="009C440B">
      <w:pPr>
        <w:pStyle w:val="Bullet"/>
        <w:spacing w:after="120" w:line="240" w:lineRule="auto"/>
      </w:pPr>
      <w:r w:rsidRPr="00450FF9">
        <w:t xml:space="preserve">Pillar One </w:t>
      </w:r>
      <w:r>
        <w:t xml:space="preserve">primarily </w:t>
      </w:r>
      <w:r w:rsidRPr="00450FF9">
        <w:t>seeks to relocate some of the profits from the largest and most profitable multinationals to countries w</w:t>
      </w:r>
      <w:r w:rsidR="00176BD8">
        <w:t>h</w:t>
      </w:r>
      <w:r w:rsidRPr="00450FF9">
        <w:t xml:space="preserve">ere the goods and services are actually consumed. </w:t>
      </w:r>
    </w:p>
    <w:p w14:paraId="06B5F15C" w14:textId="77777777" w:rsidR="00D07B39" w:rsidRPr="00450FF9" w:rsidRDefault="00D07B39" w:rsidP="009C440B">
      <w:pPr>
        <w:pStyle w:val="Bullet"/>
        <w:spacing w:after="120" w:line="240" w:lineRule="auto"/>
      </w:pPr>
      <w:r w:rsidRPr="00450FF9">
        <w:t xml:space="preserve">Pillar Two </w:t>
      </w:r>
      <w:r>
        <w:t xml:space="preserve">primarily </w:t>
      </w:r>
      <w:r w:rsidRPr="00450FF9">
        <w:t xml:space="preserve">seeks to set an effective global minimum corporate tax rate of </w:t>
      </w:r>
      <w:r w:rsidRPr="00450FF9" w:rsidDel="0085377A">
        <w:t xml:space="preserve">at least </w:t>
      </w:r>
      <w:r w:rsidRPr="00450FF9">
        <w:t xml:space="preserve">15 per cent. </w:t>
      </w:r>
    </w:p>
    <w:p w14:paraId="0CF8FE83" w14:textId="77777777" w:rsidR="00D07B39" w:rsidRDefault="00D07B39" w:rsidP="00D07B39">
      <w:r w:rsidRPr="00450FF9">
        <w:t xml:space="preserve">In designing a solution, the OECD is trying to develop a consensus that will be acceptable </w:t>
      </w:r>
      <w:r>
        <w:t>for all</w:t>
      </w:r>
      <w:r w:rsidRPr="00450FF9">
        <w:t xml:space="preserve"> OECD</w:t>
      </w:r>
      <w:r>
        <w:t xml:space="preserve"> </w:t>
      </w:r>
      <w:r w:rsidR="0077430F">
        <w:t>Inclusive Framework</w:t>
      </w:r>
      <w:r>
        <w:t xml:space="preserve"> members. This is a </w:t>
      </w:r>
      <w:r w:rsidRPr="00450FF9">
        <w:t>challenging</w:t>
      </w:r>
      <w:r>
        <w:t xml:space="preserve"> project </w:t>
      </w:r>
      <w:r w:rsidRPr="00450FF9">
        <w:t>due to competing interests</w:t>
      </w:r>
      <w:r w:rsidR="009551F4">
        <w:t xml:space="preserve"> between more than 130 countries</w:t>
      </w:r>
      <w:r w:rsidRPr="00450FF9">
        <w:t xml:space="preserve">. </w:t>
      </w:r>
    </w:p>
    <w:p w14:paraId="4748A1E2" w14:textId="77777777" w:rsidR="00D07B39" w:rsidRDefault="00D07B39" w:rsidP="00310BF4">
      <w:pPr>
        <w:pStyle w:val="Heading2"/>
        <w:spacing w:before="120" w:line="240" w:lineRule="auto"/>
      </w:pPr>
      <w:bookmarkStart w:id="28" w:name="_Toc116375704"/>
      <w:bookmarkStart w:id="29" w:name="_Toc116376473"/>
      <w:bookmarkStart w:id="30" w:name="_Toc116380341"/>
      <w:bookmarkStart w:id="31" w:name="_Hlk114498347"/>
      <w:r>
        <w:lastRenderedPageBreak/>
        <w:t>Domestic actions by Australia</w:t>
      </w:r>
      <w:bookmarkEnd w:id="28"/>
      <w:bookmarkEnd w:id="29"/>
      <w:bookmarkEnd w:id="30"/>
    </w:p>
    <w:p w14:paraId="48774114" w14:textId="77777777" w:rsidR="00D07B39" w:rsidRDefault="00D07B39" w:rsidP="00D07B39">
      <w:r w:rsidRPr="002A03EC">
        <w:t xml:space="preserve">The </w:t>
      </w:r>
      <w:r>
        <w:t xml:space="preserve">Australian </w:t>
      </w:r>
      <w:r w:rsidRPr="002A03EC">
        <w:t>Government is committed to clos</w:t>
      </w:r>
      <w:r>
        <w:t>ing</w:t>
      </w:r>
      <w:r w:rsidRPr="002A03EC">
        <w:t xml:space="preserve"> loopholes exploited by multinationals and to improving transparency of their business arrangements.</w:t>
      </w:r>
    </w:p>
    <w:p w14:paraId="22087E46" w14:textId="77777777" w:rsidR="00D07B39" w:rsidRPr="00450FF9" w:rsidRDefault="00B1735F" w:rsidP="00D07B39">
      <w:pPr>
        <w:rPr>
          <w:rFonts w:cs="Calibri Light"/>
          <w:szCs w:val="22"/>
        </w:rPr>
      </w:pPr>
      <w:r>
        <w:t>The</w:t>
      </w:r>
      <w:r w:rsidR="00D07B39">
        <w:t xml:space="preserve"> </w:t>
      </w:r>
      <w:r w:rsidR="00D07B39" w:rsidRPr="004F6D72">
        <w:t>Government</w:t>
      </w:r>
      <w:r w:rsidR="00D07B39">
        <w:t xml:space="preserve"> </w:t>
      </w:r>
      <w:r>
        <w:t>has</w:t>
      </w:r>
      <w:r w:rsidR="00D07B39">
        <w:t xml:space="preserve"> committed to </w:t>
      </w:r>
      <w:r w:rsidR="00D07B39" w:rsidRPr="004F6D72">
        <w:t xml:space="preserve">ongoing engagement on the multilateral Two-Pillar </w:t>
      </w:r>
      <w:r w:rsidR="00D07B39">
        <w:t>S</w:t>
      </w:r>
      <w:r w:rsidR="00D07B39" w:rsidRPr="004F6D72">
        <w:t xml:space="preserve">olution </w:t>
      </w:r>
      <w:r w:rsidR="00D07B39">
        <w:t>and to implement a multinational tax avoidance package. As part of this commitment, t</w:t>
      </w:r>
      <w:r w:rsidR="00D07B39" w:rsidRPr="00450FF9">
        <w:rPr>
          <w:rFonts w:cs="Calibri Light"/>
          <w:szCs w:val="22"/>
        </w:rPr>
        <w:t>he Government is progressing a set of measures which target</w:t>
      </w:r>
      <w:r w:rsidR="00D07B39">
        <w:rPr>
          <w:rFonts w:cs="Calibri Light"/>
          <w:szCs w:val="22"/>
        </w:rPr>
        <w:t>s</w:t>
      </w:r>
      <w:r w:rsidR="00D07B39" w:rsidRPr="00450FF9">
        <w:rPr>
          <w:rFonts w:cs="Calibri Light"/>
          <w:szCs w:val="22"/>
        </w:rPr>
        <w:t xml:space="preserve"> the deliberate activities of multinationals to minimise tax</w:t>
      </w:r>
      <w:r w:rsidR="00D07B39">
        <w:rPr>
          <w:rFonts w:cs="Calibri Light"/>
          <w:szCs w:val="22"/>
        </w:rPr>
        <w:t>. These measures also</w:t>
      </w:r>
      <w:r w:rsidR="00D07B39" w:rsidRPr="00450FF9">
        <w:rPr>
          <w:rFonts w:cs="Calibri Light"/>
          <w:szCs w:val="22"/>
        </w:rPr>
        <w:t xml:space="preserve"> enhance public reporting (transparency) initiatives to maintain public trust in the tax system.</w:t>
      </w:r>
      <w:r w:rsidR="00D07B39">
        <w:rPr>
          <w:rFonts w:cs="Calibri Light"/>
          <w:szCs w:val="22"/>
        </w:rPr>
        <w:t xml:space="preserve"> </w:t>
      </w:r>
    </w:p>
    <w:p w14:paraId="3AE10D62" w14:textId="77777777" w:rsidR="00D07B39" w:rsidRDefault="00D07B39" w:rsidP="00D07B39">
      <w:r>
        <w:t>T</w:t>
      </w:r>
      <w:r w:rsidRPr="0088693F">
        <w:t xml:space="preserve">he Government’s commitments in this area of taxation build on Australia’s response over the last decade to </w:t>
      </w:r>
      <w:r>
        <w:t xml:space="preserve">address </w:t>
      </w:r>
      <w:r w:rsidRPr="0088693F">
        <w:t>tax planning and profit shifting arrangements</w:t>
      </w:r>
      <w:r>
        <w:t>.</w:t>
      </w:r>
      <w:r w:rsidRPr="00003DE3">
        <w:t xml:space="preserve"> Australia’s response has been substantially increase</w:t>
      </w:r>
      <w:r>
        <w:t>d</w:t>
      </w:r>
      <w:r w:rsidRPr="00003DE3">
        <w:t xml:space="preserve"> </w:t>
      </w:r>
      <w:r>
        <w:t xml:space="preserve">by the Australian Taxation Office’s (ATO) </w:t>
      </w:r>
      <w:r w:rsidRPr="00003DE3">
        <w:t>enforcement mechanisms</w:t>
      </w:r>
      <w:r>
        <w:t xml:space="preserve">, including penalty type regimes to urge multinationals to better align their profit reporting system to reflect the actual location of their economic activities. </w:t>
      </w:r>
      <w:r w:rsidRPr="00003DE3">
        <w:t xml:space="preserve">However, </w:t>
      </w:r>
      <w:r>
        <w:t xml:space="preserve">given the global nature of these issues, </w:t>
      </w:r>
      <w:r w:rsidR="00EA1F87">
        <w:t>efforts by</w:t>
      </w:r>
      <w:r w:rsidR="00CC50AA">
        <w:t xml:space="preserve"> </w:t>
      </w:r>
      <w:r>
        <w:t xml:space="preserve">one </w:t>
      </w:r>
      <w:r w:rsidRPr="00003DE3">
        <w:t>country in isolation</w:t>
      </w:r>
      <w:r>
        <w:t xml:space="preserve"> to address profit shifting</w:t>
      </w:r>
      <w:r w:rsidR="00EA1F87">
        <w:t xml:space="preserve"> will have a limited </w:t>
      </w:r>
      <w:r w:rsidR="00DA03DA">
        <w:t>e</w:t>
      </w:r>
      <w:r w:rsidR="00EA1F87">
        <w:t>ffect</w:t>
      </w:r>
      <w:r>
        <w:t xml:space="preserve">. </w:t>
      </w:r>
    </w:p>
    <w:p w14:paraId="66CB4D27" w14:textId="77777777" w:rsidR="00D07B39" w:rsidRDefault="00E72448" w:rsidP="00D07B39">
      <w:r w:rsidRPr="00E72448">
        <w:t>Australia has long been a strong and active supporter of the BEPS Project</w:t>
      </w:r>
      <w:r w:rsidR="00CC50AA">
        <w:t>.</w:t>
      </w:r>
      <w:r w:rsidRPr="00E72448">
        <w:t xml:space="preserve"> </w:t>
      </w:r>
      <w:r w:rsidR="00CC50AA">
        <w:t>Australia</w:t>
      </w:r>
      <w:r w:rsidRPr="00E72448">
        <w:t xml:space="preserve"> has been vigilant in implementing the BEPS recommendations, </w:t>
      </w:r>
      <w:r w:rsidR="00CC50AA" w:rsidRPr="00E72448">
        <w:t>including</w:t>
      </w:r>
      <w:r w:rsidRPr="00E72448">
        <w:t xml:space="preserve"> ensuring our transfer pricing laws remain world’s best practice; implementing full Country-by-Country reporting (</w:t>
      </w:r>
      <w:proofErr w:type="spellStart"/>
      <w:r w:rsidRPr="00E72448">
        <w:t>CbCR</w:t>
      </w:r>
      <w:proofErr w:type="spellEnd"/>
      <w:r w:rsidRPr="00E72448">
        <w:t xml:space="preserve">); adopting a range of integrity rules </w:t>
      </w:r>
      <w:r w:rsidR="00DF1A32">
        <w:t xml:space="preserve">in our tax treaties </w:t>
      </w:r>
      <w:r w:rsidRPr="00E72448">
        <w:t xml:space="preserve">through the Multilateral Instrument; and introducing new rules to prevent tax avoidance through hybrid mismatches. </w:t>
      </w:r>
    </w:p>
    <w:p w14:paraId="205BC83B" w14:textId="77777777" w:rsidR="00D07B39" w:rsidRDefault="00D07B39" w:rsidP="00D07B39">
      <w:r w:rsidRPr="002254DA">
        <w:t xml:space="preserve">Following </w:t>
      </w:r>
      <w:r>
        <w:t xml:space="preserve">the </w:t>
      </w:r>
      <w:r w:rsidRPr="002254DA">
        <w:t>U</w:t>
      </w:r>
      <w:r>
        <w:t>nited Kingdom’s</w:t>
      </w:r>
      <w:r w:rsidRPr="002254DA">
        <w:t xml:space="preserve"> lead</w:t>
      </w:r>
      <w:r>
        <w:t>,</w:t>
      </w:r>
      <w:r w:rsidRPr="002254DA">
        <w:t xml:space="preserve"> in 2015, </w:t>
      </w:r>
      <w:r>
        <w:t xml:space="preserve">Australia </w:t>
      </w:r>
      <w:r w:rsidRPr="002254DA">
        <w:t>introduced domestic</w:t>
      </w:r>
      <w:r>
        <w:t xml:space="preserve"> measures targeting international tax avoidance. </w:t>
      </w:r>
      <w:r w:rsidRPr="002254DA">
        <w:t>These</w:t>
      </w:r>
      <w:r>
        <w:t xml:space="preserve"> measures includ</w:t>
      </w:r>
      <w:r w:rsidRPr="002254DA">
        <w:t>ing</w:t>
      </w:r>
      <w:r>
        <w:t xml:space="preserve"> implementing the </w:t>
      </w:r>
      <w:r w:rsidRPr="002254DA">
        <w:t>M</w:t>
      </w:r>
      <w:r>
        <w:t xml:space="preserve">ultinational </w:t>
      </w:r>
      <w:r w:rsidRPr="002254DA">
        <w:t>A</w:t>
      </w:r>
      <w:r>
        <w:t>nti-avoidance Law (MAAL)</w:t>
      </w:r>
      <w:r w:rsidRPr="002254DA">
        <w:t xml:space="preserve"> and</w:t>
      </w:r>
      <w:r>
        <w:t xml:space="preserve"> Diverted Profits Tax (DPT)</w:t>
      </w:r>
      <w:r w:rsidRPr="002254DA">
        <w:t>,</w:t>
      </w:r>
      <w:r>
        <w:t xml:space="preserve"> doubling penalties for multinationals that seek to avoid tax, imposing tax conditions on foreign investors, strengthening thin capitalisation laws, establishing the Tax Avoidance Taskforce and establishing a domestic Voluntary Tax Transparency Code. In addition, Australia has enhanced whistle-blower protections for individuals to report tax misconduct to the ATO. </w:t>
      </w:r>
    </w:p>
    <w:p w14:paraId="7C1D4AF5" w14:textId="789BBD5D" w:rsidR="00D07B39" w:rsidRDefault="0078356D" w:rsidP="00D07B39">
      <w:r>
        <w:rPr>
          <w:noProof/>
        </w:rPr>
        <mc:AlternateContent>
          <mc:Choice Requires="wps">
            <w:drawing>
              <wp:anchor distT="45720" distB="45720" distL="114300" distR="114300" simplePos="0" relativeHeight="251658243" behindDoc="1" locked="0" layoutInCell="1" allowOverlap="1" wp14:anchorId="54467E8C" wp14:editId="3E768D42">
                <wp:simplePos x="0" y="0"/>
                <wp:positionH relativeFrom="margin">
                  <wp:posOffset>2400300</wp:posOffset>
                </wp:positionH>
                <wp:positionV relativeFrom="paragraph">
                  <wp:posOffset>1270</wp:posOffset>
                </wp:positionV>
                <wp:extent cx="3335020" cy="2327275"/>
                <wp:effectExtent l="0" t="0" r="17780" b="15875"/>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2327275"/>
                        </a:xfrm>
                        <a:prstGeom prst="rect">
                          <a:avLst/>
                        </a:prstGeom>
                        <a:solidFill>
                          <a:srgbClr val="FFFFFF"/>
                        </a:solidFill>
                        <a:ln w="9525">
                          <a:solidFill>
                            <a:srgbClr val="000000"/>
                          </a:solidFill>
                          <a:miter lim="800000"/>
                          <a:headEnd/>
                          <a:tailEnd/>
                        </a:ln>
                      </wps:spPr>
                      <wps:txbx>
                        <w:txbxContent>
                          <w:p w14:paraId="1743B31D" w14:textId="77777777" w:rsidR="00C60F30" w:rsidRPr="00D07B39" w:rsidRDefault="00C60F30" w:rsidP="00BF021C">
                            <w:pPr>
                              <w:rPr>
                                <w:sz w:val="32"/>
                                <w:szCs w:val="32"/>
                              </w:rPr>
                            </w:pPr>
                            <w:r w:rsidRPr="006039A6">
                              <w:rPr>
                                <w:rFonts w:ascii="Open Sans" w:hAnsi="Open Sans" w:cs="Open Sans"/>
                                <w:i/>
                                <w:iCs/>
                                <w:sz w:val="24"/>
                                <w:szCs w:val="24"/>
                              </w:rPr>
                              <w:t xml:space="preserve">Australia extended the GST to imported digital products and services (1 July 2017), low value imported goods (1 July 2018), and to offshore sellers of hotel bookings (1 July 2019). These are not considered to be Digital Services Taxes. This is because the GST </w:t>
                            </w:r>
                            <w:r>
                              <w:rPr>
                                <w:rFonts w:ascii="Open Sans" w:hAnsi="Open Sans" w:cs="Open Sans"/>
                                <w:i/>
                                <w:iCs/>
                                <w:sz w:val="24"/>
                                <w:szCs w:val="24"/>
                              </w:rPr>
                              <w:t>is a consumption tax with</w:t>
                            </w:r>
                            <w:r w:rsidRPr="006039A6">
                              <w:rPr>
                                <w:rFonts w:ascii="Open Sans" w:hAnsi="Open Sans" w:cs="Open Sans"/>
                                <w:i/>
                                <w:iCs/>
                                <w:sz w:val="24"/>
                                <w:szCs w:val="24"/>
                              </w:rPr>
                              <w:t xml:space="preserve"> a broad base</w:t>
                            </w:r>
                            <w:r>
                              <w:rPr>
                                <w:rFonts w:ascii="Open Sans" w:hAnsi="Open Sans" w:cs="Open Sans"/>
                                <w:i/>
                                <w:iCs/>
                                <w:sz w:val="24"/>
                                <w:szCs w:val="24"/>
                              </w:rPr>
                              <w:t xml:space="preserve"> that</w:t>
                            </w:r>
                            <w:r w:rsidRPr="006039A6">
                              <w:rPr>
                                <w:rFonts w:ascii="Open Sans" w:hAnsi="Open Sans" w:cs="Open Sans"/>
                                <w:i/>
                                <w:iCs/>
                                <w:sz w:val="24"/>
                                <w:szCs w:val="24"/>
                              </w:rPr>
                              <w:t xml:space="preserve"> taxes value-add amounts and does not discriminate against non</w:t>
                            </w:r>
                            <w:r w:rsidRPr="006039A6">
                              <w:rPr>
                                <w:rFonts w:ascii="Open Sans" w:hAnsi="Open Sans" w:cs="Open Sans"/>
                                <w:i/>
                                <w:iCs/>
                                <w:sz w:val="24"/>
                                <w:szCs w:val="24"/>
                              </w:rPr>
                              <w:noBreakHyphen/>
                              <w:t>residents</w:t>
                            </w:r>
                            <w:r w:rsidRPr="00BF021C">
                              <w:rPr>
                                <w:rFonts w:ascii="Open Sans" w:hAnsi="Open Sans" w:cs="Open San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67E8C" id="Text Box 49" o:spid="_x0000_s1027" type="#_x0000_t202" style="position:absolute;margin-left:189pt;margin-top:.1pt;width:262.6pt;height:183.2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">
                <v:textbox>
                  <w:txbxContent>
                    <w:p w14:paraId="1743B31D" w14:textId="77777777" w:rsidR="00C60F30" w:rsidRPr="00D07B39" w:rsidRDefault="00C60F30" w:rsidP="00BF021C">
                      <w:pPr>
                        <w:rPr>
                          <w:sz w:val="32"/>
                          <w:szCs w:val="32"/>
                        </w:rPr>
                      </w:pPr>
                      <w:r w:rsidRPr="006039A6">
                        <w:rPr>
                          <w:rFonts w:ascii="Open Sans" w:hAnsi="Open Sans" w:cs="Open Sans"/>
                          <w:i/>
                          <w:iCs/>
                          <w:sz w:val="24"/>
                          <w:szCs w:val="24"/>
                        </w:rPr>
                        <w:t xml:space="preserve">Australia extended the GST to imported digital products and services (1 July 2017), low value imported goods (1 July 2018), and to offshore sellers of hotel bookings (1 July 2019). These are not considered to be Digital Services Taxes. This is because the GST </w:t>
                      </w:r>
                      <w:r>
                        <w:rPr>
                          <w:rFonts w:ascii="Open Sans" w:hAnsi="Open Sans" w:cs="Open Sans"/>
                          <w:i/>
                          <w:iCs/>
                          <w:sz w:val="24"/>
                          <w:szCs w:val="24"/>
                        </w:rPr>
                        <w:t>is a consumption tax with</w:t>
                      </w:r>
                      <w:r w:rsidRPr="006039A6">
                        <w:rPr>
                          <w:rFonts w:ascii="Open Sans" w:hAnsi="Open Sans" w:cs="Open Sans"/>
                          <w:i/>
                          <w:iCs/>
                          <w:sz w:val="24"/>
                          <w:szCs w:val="24"/>
                        </w:rPr>
                        <w:t xml:space="preserve"> a broad base</w:t>
                      </w:r>
                      <w:r>
                        <w:rPr>
                          <w:rFonts w:ascii="Open Sans" w:hAnsi="Open Sans" w:cs="Open Sans"/>
                          <w:i/>
                          <w:iCs/>
                          <w:sz w:val="24"/>
                          <w:szCs w:val="24"/>
                        </w:rPr>
                        <w:t xml:space="preserve"> that</w:t>
                      </w:r>
                      <w:r w:rsidRPr="006039A6">
                        <w:rPr>
                          <w:rFonts w:ascii="Open Sans" w:hAnsi="Open Sans" w:cs="Open Sans"/>
                          <w:i/>
                          <w:iCs/>
                          <w:sz w:val="24"/>
                          <w:szCs w:val="24"/>
                        </w:rPr>
                        <w:t xml:space="preserve"> taxes value-add amounts and does not discriminate against non</w:t>
                      </w:r>
                      <w:r w:rsidRPr="006039A6">
                        <w:rPr>
                          <w:rFonts w:ascii="Open Sans" w:hAnsi="Open Sans" w:cs="Open Sans"/>
                          <w:i/>
                          <w:iCs/>
                          <w:sz w:val="24"/>
                          <w:szCs w:val="24"/>
                        </w:rPr>
                        <w:noBreakHyphen/>
                        <w:t>residents</w:t>
                      </w:r>
                      <w:r w:rsidRPr="00BF021C">
                        <w:rPr>
                          <w:rFonts w:ascii="Open Sans" w:hAnsi="Open Sans" w:cs="Open Sans"/>
                        </w:rPr>
                        <w:t xml:space="preserve">. </w:t>
                      </w:r>
                    </w:p>
                  </w:txbxContent>
                </v:textbox>
                <w10:wrap type="square" anchorx="margin"/>
              </v:shape>
            </w:pict>
          </mc:Fallback>
        </mc:AlternateContent>
      </w:r>
      <w:r w:rsidR="00D07B39">
        <w:t xml:space="preserve">The MAAL seeks to address artificial arrangements designed to avoid a taxable presence in Australia. This </w:t>
      </w:r>
      <w:r w:rsidR="0062167E">
        <w:t xml:space="preserve">is </w:t>
      </w:r>
      <w:r w:rsidR="00D07B39">
        <w:t>an integrity measure that allows the cancellation of certain tax benefits received by significant</w:t>
      </w:r>
      <w:r w:rsidR="00D07B39">
        <w:rPr>
          <w:rStyle w:val="FootnoteReference"/>
        </w:rPr>
        <w:footnoteReference w:id="6"/>
      </w:r>
      <w:r w:rsidR="00D07B39">
        <w:t xml:space="preserve"> global entities and their related parties. The Government’s implementation of the MAAL </w:t>
      </w:r>
      <w:r w:rsidR="00EA1F87">
        <w:t>encouraged</w:t>
      </w:r>
      <w:r w:rsidR="00D07B39">
        <w:t xml:space="preserve"> many large businesses to restructure their operations to be compliant with the law.</w:t>
      </w:r>
      <w:r w:rsidR="00CC50AA">
        <w:t xml:space="preserve"> </w:t>
      </w:r>
      <w:r w:rsidR="00EA1F87">
        <w:t>These</w:t>
      </w:r>
      <w:r w:rsidR="00D07B39">
        <w:t xml:space="preserve"> restructures have resulted in more than $8 billion additional taxable sales being booked in Australia</w:t>
      </w:r>
      <w:r w:rsidR="00387BF7">
        <w:t>.</w:t>
      </w:r>
      <w:r w:rsidR="00D07B39">
        <w:rPr>
          <w:rStyle w:val="FootnoteReference"/>
        </w:rPr>
        <w:footnoteReference w:id="7"/>
      </w:r>
      <w:r w:rsidR="00D07B39">
        <w:t xml:space="preserve"> </w:t>
      </w:r>
    </w:p>
    <w:p w14:paraId="7EBD19F2" w14:textId="77777777" w:rsidR="00D07B39" w:rsidRDefault="00D07B39" w:rsidP="00D07B39">
      <w:r>
        <w:lastRenderedPageBreak/>
        <w:t>The DPT is an integrity mechanism that aims to ensure that tax paid by significant global entities reflects their activities in Australia and prevents the diversion of profits offshore. It allows the Commissioner of Taxation to assess a taxpayer's diverted profits, with respect to economic substance and contrived arrangements. The tax is imposed at the rate of 40 per cent on the assessed diverted profits. The rate of 40 per cent is effectively an additional penalty rate of 10 per cent on top of Australia’s headline corporate income tax rate.</w:t>
      </w:r>
    </w:p>
    <w:p w14:paraId="379958BE" w14:textId="77777777" w:rsidR="00D07B39" w:rsidRDefault="00D07B39" w:rsidP="00D07B39">
      <w:r>
        <w:t>Australia has also implemented several budget measures that provide additional funding to the ATO to conduct more compliance activities covering multinationals</w:t>
      </w:r>
      <w:r w:rsidR="00387BF7">
        <w:t>.</w:t>
      </w:r>
      <w:r w:rsidR="00554D29">
        <w:rPr>
          <w:rStyle w:val="FootnoteReference"/>
        </w:rPr>
        <w:footnoteReference w:id="8"/>
      </w:r>
      <w:r>
        <w:t xml:space="preserve"> </w:t>
      </w:r>
    </w:p>
    <w:p w14:paraId="200E59B8" w14:textId="7C8A74A2" w:rsidR="002F25DD" w:rsidRPr="00E17359" w:rsidRDefault="002F25DD" w:rsidP="00310BF4">
      <w:pPr>
        <w:pStyle w:val="Heading2"/>
        <w:spacing w:before="120" w:line="240" w:lineRule="auto"/>
      </w:pPr>
      <w:bookmarkStart w:id="32" w:name="_Toc116375690"/>
      <w:bookmarkStart w:id="33" w:name="_Toc116376466"/>
      <w:bookmarkStart w:id="34" w:name="_Toc116380327"/>
      <w:bookmarkEnd w:id="22"/>
      <w:bookmarkEnd w:id="23"/>
      <w:bookmarkEnd w:id="24"/>
      <w:bookmarkEnd w:id="25"/>
      <w:bookmarkEnd w:id="31"/>
      <w:r w:rsidRPr="00E17359">
        <w:t>Historical conventions of the international corporate income tax system</w:t>
      </w:r>
      <w:bookmarkEnd w:id="32"/>
      <w:bookmarkEnd w:id="33"/>
      <w:bookmarkEnd w:id="34"/>
      <w:r>
        <w:t xml:space="preserve"> </w:t>
      </w:r>
    </w:p>
    <w:p w14:paraId="6194ABF4" w14:textId="77777777" w:rsidR="002F25DD" w:rsidRDefault="002F25DD" w:rsidP="002F25DD">
      <w:r w:rsidRPr="00251EE1">
        <w:t xml:space="preserve">A </w:t>
      </w:r>
      <w:r>
        <w:t>business</w:t>
      </w:r>
      <w:r w:rsidRPr="00AE7683">
        <w:t xml:space="preserve"> that has a presence across multiple jurisdictions is known as a multinational. </w:t>
      </w:r>
      <w:r>
        <w:t>Determining</w:t>
      </w:r>
      <w:r w:rsidRPr="007F2019">
        <w:t xml:space="preserve"> </w:t>
      </w:r>
      <w:r>
        <w:t>income</w:t>
      </w:r>
      <w:r w:rsidRPr="007F2019">
        <w:t xml:space="preserve"> tax </w:t>
      </w:r>
      <w:r>
        <w:t>liability</w:t>
      </w:r>
      <w:r w:rsidRPr="007F2019">
        <w:t xml:space="preserve"> for a multinational is much more complicated compared to individuals or local businesses. This is because it involves assessing the income of legally separate</w:t>
      </w:r>
      <w:r w:rsidR="00F65760">
        <w:t>,</w:t>
      </w:r>
      <w:r w:rsidRPr="007F2019">
        <w:t xml:space="preserve"> but related (through ownership or other interests)</w:t>
      </w:r>
      <w:r w:rsidR="00F65760">
        <w:t>,</w:t>
      </w:r>
      <w:r w:rsidRPr="007F2019">
        <w:t xml:space="preserve"> parties that operate under different rules in separate legal jurisdictions</w:t>
      </w:r>
      <w:r>
        <w:t>, w</w:t>
      </w:r>
      <w:r w:rsidRPr="007F2019">
        <w:t>ith each jurisdiction having their own accounting, taxation, and transparency rules</w:t>
      </w:r>
      <w:r>
        <w:t>, as well as treaties between countries that can further impact the applicable taxation rules</w:t>
      </w:r>
      <w:r w:rsidRPr="007F2019">
        <w:t>.</w:t>
      </w:r>
    </w:p>
    <w:p w14:paraId="1F958DC1" w14:textId="77777777" w:rsidR="00BE18B4" w:rsidRDefault="002F25DD" w:rsidP="002F25DD">
      <w:r>
        <w:t>A framework has been established, through tax treaties and transfer pricing guidelines, to allocate corporate taxing rights among the countries where the value is added (i.e., where the profits were generated) in the supply chain.</w:t>
      </w:r>
    </w:p>
    <w:p w14:paraId="476BDDFC" w14:textId="463FF0E4" w:rsidR="002F25DD" w:rsidRDefault="000172FB" w:rsidP="002F25DD">
      <w:r>
        <w:rPr>
          <w:noProof/>
        </w:rPr>
        <mc:AlternateContent>
          <mc:Choice Requires="wps">
            <w:drawing>
              <wp:anchor distT="0" distB="0" distL="114300" distR="114300" simplePos="0" relativeHeight="251658240" behindDoc="1" locked="0" layoutInCell="1" allowOverlap="1" wp14:anchorId="08198BE9" wp14:editId="7CD2C606">
                <wp:simplePos x="0" y="0"/>
                <wp:positionH relativeFrom="margin">
                  <wp:align>right</wp:align>
                </wp:positionH>
                <wp:positionV relativeFrom="paragraph">
                  <wp:posOffset>0</wp:posOffset>
                </wp:positionV>
                <wp:extent cx="5742940" cy="1247775"/>
                <wp:effectExtent l="0" t="0" r="10160" b="28575"/>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247775"/>
                        </a:xfrm>
                        <a:prstGeom prst="rect">
                          <a:avLst/>
                        </a:prstGeom>
                        <a:solidFill>
                          <a:srgbClr val="FFFFFF"/>
                        </a:solidFill>
                        <a:ln w="9525">
                          <a:solidFill>
                            <a:srgbClr val="000000"/>
                          </a:solidFill>
                          <a:miter lim="800000"/>
                          <a:headEnd/>
                          <a:tailEnd/>
                        </a:ln>
                      </wps:spPr>
                      <wps:txbx>
                        <w:txbxContent>
                          <w:p w14:paraId="0269FD27" w14:textId="77777777" w:rsidR="00C60F30" w:rsidRPr="006039A6" w:rsidRDefault="00C60F30" w:rsidP="000172FB">
                            <w:pPr>
                              <w:rPr>
                                <w:rFonts w:ascii="Open Sans" w:hAnsi="Open Sans" w:cs="Open Sans"/>
                                <w:i/>
                                <w:iCs/>
                                <w:sz w:val="24"/>
                                <w:szCs w:val="24"/>
                              </w:rPr>
                            </w:pPr>
                            <w:r w:rsidRPr="006039A6">
                              <w:rPr>
                                <w:rFonts w:ascii="Open Sans" w:hAnsi="Open Sans" w:cs="Open Sans"/>
                                <w:i/>
                                <w:iCs/>
                                <w:sz w:val="24"/>
                                <w:szCs w:val="24"/>
                              </w:rPr>
                              <w:t xml:space="preserve">The international corporate taxation system has been designed on a principle that profits are taxed based on concepts of permanent (physical) presence of a business where it operates. Arguably, such a notion has reduced relevance in a digital economy, which has led to views that existing conventions are “outdated”.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98BE9" id="Text Box 44" o:spid="_x0000_s1028" type="#_x0000_t202" style="position:absolute;margin-left:401pt;margin-top:0;width:452.2pt;height:98.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">
                <v:textbox>
                  <w:txbxContent>
                    <w:p w14:paraId="0269FD27" w14:textId="77777777" w:rsidR="00C60F30" w:rsidRPr="006039A6" w:rsidRDefault="00C60F30" w:rsidP="000172FB">
                      <w:pPr>
                        <w:rPr>
                          <w:rFonts w:ascii="Open Sans" w:hAnsi="Open Sans" w:cs="Open Sans"/>
                          <w:i/>
                          <w:iCs/>
                          <w:sz w:val="24"/>
                          <w:szCs w:val="24"/>
                        </w:rPr>
                      </w:pPr>
                      <w:r w:rsidRPr="006039A6">
                        <w:rPr>
                          <w:rFonts w:ascii="Open Sans" w:hAnsi="Open Sans" w:cs="Open Sans"/>
                          <w:i/>
                          <w:iCs/>
                          <w:sz w:val="24"/>
                          <w:szCs w:val="24"/>
                        </w:rPr>
                        <w:t xml:space="preserve">The international corporate taxation system has been designed on a principle that profits are taxed based on concepts of permanent (physical) presence of a business where it operates. Arguably, such a notion has reduced relevance in a digital economy, which has led to views that existing conventions are “outdated”. </w:t>
                      </w:r>
                    </w:p>
                  </w:txbxContent>
                </v:textbox>
                <w10:wrap type="square" anchorx="margin"/>
              </v:shape>
            </w:pict>
          </mc:Fallback>
        </mc:AlternateContent>
      </w:r>
      <w:r w:rsidR="002F25DD">
        <w:t>This concept of value creation considers where and how a business is funding, developing, producing, and selling its products, rather than simply where its goods or services are finally consumed. Much of this practice traces back to 1923, when the Financial Committee of the League of Nations commissioned a report into double taxation to resolve disputes.</w:t>
      </w:r>
    </w:p>
    <w:p w14:paraId="3721758B" w14:textId="77777777" w:rsidR="00B8705A" w:rsidRDefault="00B8705A" w:rsidP="00B8705A">
      <w:r>
        <w:t>Currently, the international taxation system is structured in three parts: the ‘source’ country where the production of economic activity occurs; the ‘residence’ country where the ownership of the firm resides; and the ‘consumer’ country where the products (goods or services) are ultimately consumed. Traditionally, taxation on the consumption of products is addressed in ‘consumer’ countries through consumption taxes like a Value Added Tax (VAT) or Goods and Services Tax (GST) and the taxation of profits (i.e., taxable income) is shared between the ‘source’ and ‘residence’ countries.</w:t>
      </w:r>
    </w:p>
    <w:p w14:paraId="19A72E11" w14:textId="77777777" w:rsidR="002F25DD" w:rsidRDefault="002F25DD" w:rsidP="002F25DD">
      <w:r>
        <w:t xml:space="preserve">More recently, with the digitalisation of the economy and growing amount of value being derived from intellectual property, exactly where the value is added in a true economic sense (as opposed to legal concepts) has become harder to establish. Old conventions are becoming challenged, and many countries are now starting to impose new taxes on corporate revenues, not just profits. </w:t>
      </w:r>
    </w:p>
    <w:p w14:paraId="3D9F011E" w14:textId="77777777" w:rsidR="001131A0" w:rsidRDefault="00F66078" w:rsidP="00310BF4">
      <w:pPr>
        <w:pStyle w:val="Heading1"/>
        <w:spacing w:before="120" w:line="240" w:lineRule="auto"/>
      </w:pPr>
      <w:bookmarkStart w:id="35" w:name="_Toc116375688"/>
      <w:bookmarkStart w:id="36" w:name="_Toc116376464"/>
      <w:bookmarkStart w:id="37" w:name="_Toc116380325"/>
      <w:bookmarkStart w:id="38" w:name="_Toc125462471"/>
      <w:bookmarkStart w:id="39" w:name="_Toc131405121"/>
      <w:r>
        <w:lastRenderedPageBreak/>
        <w:t>Problem</w:t>
      </w:r>
      <w:bookmarkStart w:id="40" w:name="_Toc116375697"/>
      <w:bookmarkStart w:id="41" w:name="_Toc116376468"/>
      <w:bookmarkStart w:id="42" w:name="_Toc116380334"/>
      <w:bookmarkEnd w:id="35"/>
      <w:bookmarkEnd w:id="36"/>
      <w:bookmarkEnd w:id="37"/>
      <w:r w:rsidR="005E7A49">
        <w:t xml:space="preserve"> and consequences from inaction</w:t>
      </w:r>
      <w:bookmarkEnd w:id="38"/>
      <w:bookmarkEnd w:id="39"/>
    </w:p>
    <w:p w14:paraId="17FAA58E" w14:textId="77777777" w:rsidR="009B4278" w:rsidRPr="0047636F" w:rsidRDefault="009B4278" w:rsidP="00310BF4">
      <w:pPr>
        <w:pStyle w:val="Heading2"/>
        <w:spacing w:before="120" w:line="240" w:lineRule="auto"/>
      </w:pPr>
      <w:r w:rsidRPr="0047636F">
        <w:t>The ‘race to the bottom’ to reduce corporate tax rates</w:t>
      </w:r>
      <w:bookmarkEnd w:id="40"/>
      <w:bookmarkEnd w:id="41"/>
      <w:bookmarkEnd w:id="42"/>
    </w:p>
    <w:p w14:paraId="05AE0145" w14:textId="77777777" w:rsidR="0086751B" w:rsidRDefault="007F2019" w:rsidP="0086751B">
      <w:r w:rsidRPr="007F2019">
        <w:t>In recent decades</w:t>
      </w:r>
      <w:r w:rsidR="00625FE6">
        <w:t>,</w:t>
      </w:r>
      <w:r w:rsidRPr="007F2019">
        <w:t xml:space="preserve"> there have been concerns with a potential ‘race to the bottom’ in corporate tax rates, where countries compete with each other in order to attract investment of global capital – and possibly also headquarters of multinational firms</w:t>
      </w:r>
      <w:r w:rsidR="00795339">
        <w:t>. This ‘race to the bottom’</w:t>
      </w:r>
      <w:r w:rsidRPr="007F2019">
        <w:t xml:space="preserve"> reduces the tax paid on the economic activity of multinational firms. </w:t>
      </w:r>
    </w:p>
    <w:p w14:paraId="7F736EE2" w14:textId="77777777" w:rsidR="003A39B3" w:rsidRDefault="00D57CB0" w:rsidP="002D5D9C">
      <w:r>
        <w:t>M</w:t>
      </w:r>
      <w:r w:rsidR="002D5D9C">
        <w:t>ultinationals care about after-tax returns, so if a country has a higher tax rate</w:t>
      </w:r>
      <w:r w:rsidR="00386440">
        <w:t>,</w:t>
      </w:r>
      <w:r w:rsidR="002D5D9C">
        <w:t xml:space="preserve"> this will be </w:t>
      </w:r>
      <w:r w:rsidR="00CE1D52">
        <w:t>one of the factors in</w:t>
      </w:r>
      <w:r w:rsidR="002D5D9C">
        <w:t xml:space="preserve"> their decision making on where business activity will be undertaken. </w:t>
      </w:r>
      <w:r w:rsidR="00800FFD">
        <w:t xml:space="preserve">When </w:t>
      </w:r>
      <w:r w:rsidR="002D5D9C">
        <w:t>countr</w:t>
      </w:r>
      <w:r w:rsidR="00800FFD">
        <w:t>ies</w:t>
      </w:r>
      <w:r w:rsidR="002D5D9C">
        <w:t xml:space="preserve"> </w:t>
      </w:r>
      <w:r w:rsidR="00800FFD">
        <w:t>are</w:t>
      </w:r>
      <w:r w:rsidR="002D5D9C">
        <w:t xml:space="preserve"> incentivised to lower taxes </w:t>
      </w:r>
      <w:r w:rsidR="00430489">
        <w:t>to</w:t>
      </w:r>
      <w:r w:rsidR="002D5D9C">
        <w:t xml:space="preserve"> attract </w:t>
      </w:r>
      <w:r w:rsidR="00430489">
        <w:t xml:space="preserve">and retain </w:t>
      </w:r>
      <w:r w:rsidR="002D5D9C">
        <w:t xml:space="preserve">international investment </w:t>
      </w:r>
      <w:r w:rsidR="00430489">
        <w:t>from</w:t>
      </w:r>
      <w:r w:rsidR="002D5D9C">
        <w:t xml:space="preserve"> multinationals</w:t>
      </w:r>
      <w:r w:rsidR="00800FFD">
        <w:t>, it ultimately</w:t>
      </w:r>
      <w:r w:rsidR="004E7223">
        <w:t xml:space="preserve"> </w:t>
      </w:r>
      <w:r w:rsidR="002D5D9C">
        <w:t xml:space="preserve">erodes the ability for </w:t>
      </w:r>
      <w:r w:rsidR="00430489">
        <w:t xml:space="preserve">all </w:t>
      </w:r>
      <w:r w:rsidR="002D5D9C">
        <w:t xml:space="preserve">countries to generate </w:t>
      </w:r>
      <w:r w:rsidR="00430489">
        <w:t xml:space="preserve">corporate income </w:t>
      </w:r>
      <w:r w:rsidR="002D5D9C">
        <w:t>tax revenue.</w:t>
      </w:r>
    </w:p>
    <w:p w14:paraId="0A71C47F" w14:textId="7FFC9248" w:rsidR="001967C0" w:rsidRDefault="00CE1D52" w:rsidP="002D5D9C">
      <w:r>
        <w:t xml:space="preserve">If </w:t>
      </w:r>
      <w:r w:rsidR="001967C0">
        <w:t>globalisation and digit</w:t>
      </w:r>
      <w:r w:rsidR="00E926AC">
        <w:t>al</w:t>
      </w:r>
      <w:r w:rsidR="001967C0">
        <w:t xml:space="preserve">isation trends continue, more and more of Australia’s consumption will </w:t>
      </w:r>
      <w:r w:rsidR="007E1841">
        <w:t>be derived</w:t>
      </w:r>
      <w:r w:rsidR="001967C0">
        <w:t xml:space="preserve"> from large multinationals, who will increasingly centralise their profitable activities in low- or no-tax jurisdictions</w:t>
      </w:r>
      <w:r w:rsidR="007E1841">
        <w:t xml:space="preserve"> – outside of Australia</w:t>
      </w:r>
      <w:r w:rsidR="00E32524">
        <w:t xml:space="preserve"> in</w:t>
      </w:r>
      <w:r w:rsidR="00856974">
        <w:t xml:space="preserve"> countries where the corporate tax rate is lower than the corporate tax rate in Australia</w:t>
      </w:r>
      <w:r w:rsidR="001967C0">
        <w:t>.</w:t>
      </w:r>
      <w:r w:rsidR="007E1841" w:rsidRPr="007E1841">
        <w:t xml:space="preserve"> </w:t>
      </w:r>
      <w:r w:rsidR="007E1841">
        <w:t>In this way</w:t>
      </w:r>
      <w:r w:rsidR="00BB75D6">
        <w:t>,</w:t>
      </w:r>
      <w:r w:rsidR="007E1841">
        <w:t xml:space="preserve"> the</w:t>
      </w:r>
      <w:r w:rsidR="007E1841" w:rsidRPr="007E1841">
        <w:t xml:space="preserve"> continued ‘race to the bottom’ </w:t>
      </w:r>
      <w:r>
        <w:t>could</w:t>
      </w:r>
      <w:r w:rsidRPr="007E1841">
        <w:t xml:space="preserve"> </w:t>
      </w:r>
      <w:r w:rsidR="007E1841" w:rsidRPr="007E1841">
        <w:t xml:space="preserve">further erode Australia’s ability to raise revenue from corporate income taxation. </w:t>
      </w:r>
    </w:p>
    <w:p w14:paraId="498C014C" w14:textId="77777777" w:rsidR="00D7721E" w:rsidRDefault="00D7721E" w:rsidP="00310BF4">
      <w:pPr>
        <w:pStyle w:val="Heading2"/>
        <w:spacing w:before="120" w:line="240" w:lineRule="auto"/>
      </w:pPr>
      <w:bookmarkStart w:id="43" w:name="_Toc116375699"/>
      <w:bookmarkStart w:id="44" w:name="_Toc116376469"/>
      <w:bookmarkStart w:id="45" w:name="_Toc116380336"/>
      <w:r w:rsidRPr="00D7721E">
        <w:t>Multinationals</w:t>
      </w:r>
      <w:r w:rsidR="00E46E63">
        <w:t>’</w:t>
      </w:r>
      <w:r w:rsidRPr="00D7721E">
        <w:t xml:space="preserve"> ability to have ‘scale without mass’</w:t>
      </w:r>
      <w:bookmarkEnd w:id="43"/>
      <w:bookmarkEnd w:id="44"/>
      <w:bookmarkEnd w:id="45"/>
    </w:p>
    <w:p w14:paraId="1B1A8D30" w14:textId="77777777" w:rsidR="00F45E60" w:rsidRPr="00F45E60" w:rsidRDefault="00F45E60" w:rsidP="00251EE1">
      <w:r w:rsidRPr="00F45E60">
        <w:t>While globalisation and digitalisation of the economy have been greatly beneficial in growing the economy and improving living conditions through access to opportunities and consumption of a broad set of goods and services, it has also made profit shifting strategies much easier for multinationals to implement in scale and scope.</w:t>
      </w:r>
    </w:p>
    <w:p w14:paraId="64A73657" w14:textId="77777777" w:rsidR="00F45E60" w:rsidRDefault="00F45E60" w:rsidP="00251EE1">
      <w:r w:rsidRPr="00F45E60">
        <w:t>The ability to derive significant profits from a country without having the traditional physical presence (mass) presents challenges to governments seeking to raise revenue</w:t>
      </w:r>
      <w:r w:rsidR="004E2E25">
        <w:t>.</w:t>
      </w:r>
      <w:r w:rsidRPr="00F45E60">
        <w:t xml:space="preserve"> For example, businesses can more easily relocate their profits to preferred jurisdictions via licensing agreements and intellectual property arrangements to minimise taxation. They can also contract directly with customers from a foreign country. This enables businesses to engage in cross-border sales with little physical presence in a jurisdiction. </w:t>
      </w:r>
    </w:p>
    <w:p w14:paraId="7DDC8184" w14:textId="77777777" w:rsidR="00067069" w:rsidRDefault="00067069" w:rsidP="00251EE1"/>
    <w:tbl>
      <w:tblPr>
        <w:tblpPr w:leftFromText="180" w:rightFromText="180" w:vertAnchor="text" w:horzAnchor="margin" w:tblpY="-44"/>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1A556E" w14:paraId="1CE202E7" w14:textId="77777777">
        <w:tc>
          <w:tcPr>
            <w:tcW w:w="5000" w:type="pct"/>
            <w:shd w:val="clear" w:color="auto" w:fill="F2F9FC"/>
            <w:hideMark/>
          </w:tcPr>
          <w:p w14:paraId="0F61A3F6" w14:textId="77777777" w:rsidR="001A556E" w:rsidRDefault="001A556E">
            <w:pPr>
              <w:pStyle w:val="BoxText"/>
              <w:rPr>
                <w:b/>
                <w:color w:val="2C384A" w:themeColor="accent1"/>
                <w:sz w:val="28"/>
                <w:szCs w:val="28"/>
                <w:lang w:eastAsia="en-US"/>
              </w:rPr>
            </w:pPr>
            <w:r>
              <w:rPr>
                <w:noProof/>
              </w:rPr>
              <w:drawing>
                <wp:anchor distT="0" distB="0" distL="114300" distR="114300" simplePos="0" relativeHeight="251658242" behindDoc="0" locked="0" layoutInCell="1" allowOverlap="1" wp14:anchorId="46A5A4D5" wp14:editId="5BB161D5">
                  <wp:simplePos x="0" y="0"/>
                  <wp:positionH relativeFrom="column">
                    <wp:posOffset>60325</wp:posOffset>
                  </wp:positionH>
                  <wp:positionV relativeFrom="paragraph">
                    <wp:posOffset>153035</wp:posOffset>
                  </wp:positionV>
                  <wp:extent cx="457200" cy="457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2124D1">
              <w:rPr>
                <w:b/>
                <w:color w:val="2C384A" w:themeColor="accent1"/>
                <w:sz w:val="28"/>
                <w:szCs w:val="28"/>
                <w:lang w:eastAsia="en-US"/>
              </w:rPr>
              <w:t>New value creation through network effect from customers</w:t>
            </w:r>
            <w:r>
              <w:rPr>
                <w:b/>
                <w:color w:val="2C384A" w:themeColor="accent1"/>
                <w:sz w:val="28"/>
                <w:szCs w:val="28"/>
                <w:lang w:eastAsia="en-US"/>
              </w:rPr>
              <w:t xml:space="preserve"> </w:t>
            </w:r>
            <w:r>
              <w:t xml:space="preserve"> </w:t>
            </w:r>
          </w:p>
          <w:p w14:paraId="2FDBC359" w14:textId="77777777" w:rsidR="001A556E" w:rsidRDefault="001A556E">
            <w:pPr>
              <w:pStyle w:val="BoxText"/>
              <w:rPr>
                <w:lang w:eastAsia="en-US"/>
              </w:rPr>
            </w:pPr>
            <w:r>
              <w:rPr>
                <w:noProof/>
              </w:rPr>
              <w:drawing>
                <wp:anchor distT="0" distB="0" distL="114300" distR="114300" simplePos="0" relativeHeight="251658241" behindDoc="0" locked="0" layoutInCell="1" allowOverlap="1" wp14:anchorId="3F031C25" wp14:editId="755B8344">
                  <wp:simplePos x="0" y="0"/>
                  <wp:positionH relativeFrom="column">
                    <wp:posOffset>66675</wp:posOffset>
                  </wp:positionH>
                  <wp:positionV relativeFrom="paragraph">
                    <wp:posOffset>456565</wp:posOffset>
                  </wp:positionV>
                  <wp:extent cx="457200" cy="457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Pr>
                <w:lang w:eastAsia="en-US"/>
              </w:rPr>
              <w:t>In the context of the Two-Pillar negotiations some countries have raised</w:t>
            </w:r>
            <w:r w:rsidRPr="002124D1">
              <w:rPr>
                <w:lang w:eastAsia="en-US"/>
              </w:rPr>
              <w:t xml:space="preserve"> whether digitalisation means that customers themselves are now adding value, through their participation - and the subsequent collection of their data</w:t>
            </w:r>
            <w:r w:rsidR="00E700E3">
              <w:rPr>
                <w:lang w:eastAsia="en-US"/>
              </w:rPr>
              <w:t xml:space="preserve"> – </w:t>
            </w:r>
            <w:r w:rsidRPr="002124D1">
              <w:rPr>
                <w:lang w:eastAsia="en-US"/>
              </w:rPr>
              <w:t>and whether this value add is appropriately taxed. Questions about who owns data or data rights are not fully resolved and will continue to be public policy issues that will be debated into the future.</w:t>
            </w:r>
          </w:p>
        </w:tc>
      </w:tr>
    </w:tbl>
    <w:p w14:paraId="25961C08" w14:textId="77777777" w:rsidR="00F45E60" w:rsidRDefault="00F45E60" w:rsidP="00251EE1">
      <w:r w:rsidRPr="00F45E60">
        <w:t>Currently</w:t>
      </w:r>
      <w:r w:rsidR="00537BE0">
        <w:t>,</w:t>
      </w:r>
      <w:r w:rsidRPr="00F45E60">
        <w:t xml:space="preserve"> the international corporate taxation system has been designed on a principle that profits are taxed based on concepts of permanent (physical) </w:t>
      </w:r>
      <w:r w:rsidR="00C63DE5">
        <w:t>presence</w:t>
      </w:r>
      <w:r w:rsidR="00C63DE5" w:rsidRPr="00F45E60">
        <w:t xml:space="preserve"> </w:t>
      </w:r>
      <w:r w:rsidRPr="00F45E60">
        <w:t xml:space="preserve">of a business where </w:t>
      </w:r>
      <w:r w:rsidR="00F36367" w:rsidRPr="00F45E60">
        <w:t>it</w:t>
      </w:r>
      <w:r w:rsidRPr="00F45E60">
        <w:t xml:space="preserve"> </w:t>
      </w:r>
      <w:r w:rsidR="002B1EDE">
        <w:t>operates</w:t>
      </w:r>
      <w:r w:rsidRPr="00F45E60">
        <w:t xml:space="preserve">. Arguably, such a notion has reduced relevance in a digital economy. </w:t>
      </w:r>
    </w:p>
    <w:p w14:paraId="0ABE16A8" w14:textId="77777777" w:rsidR="00A31291" w:rsidRDefault="00A31291" w:rsidP="00251EE1">
      <w:r w:rsidRPr="00A31291">
        <w:lastRenderedPageBreak/>
        <w:t xml:space="preserve">However, in a digital economy, the existing boundary issues over which country </w:t>
      </w:r>
      <w:r w:rsidR="0053241B">
        <w:t xml:space="preserve">a </w:t>
      </w:r>
      <w:r w:rsidR="008E3FD0">
        <w:t>product’s</w:t>
      </w:r>
      <w:r w:rsidR="0053241B" w:rsidRPr="00A31291">
        <w:t xml:space="preserve"> </w:t>
      </w:r>
      <w:r w:rsidRPr="00A31291">
        <w:t xml:space="preserve">value was added in, or where in the supply chain the profit was generated, has been amplified. This is because it can be very hard to clearly </w:t>
      </w:r>
      <w:r w:rsidR="00724531">
        <w:t>identify</w:t>
      </w:r>
      <w:r w:rsidR="008E3FD0">
        <w:t xml:space="preserve"> </w:t>
      </w:r>
      <w:r w:rsidRPr="00A31291">
        <w:t xml:space="preserve">the internal economy of a large vertically integrated and geographically dispersed digital business, such as determining the fair value of intellectual property licenses, meaning that digital businesses are even better placed to exploit profit shifting strategies, compared to the traditional trade of </w:t>
      </w:r>
      <w:r w:rsidR="00A9584A">
        <w:t xml:space="preserve">tangible </w:t>
      </w:r>
      <w:r w:rsidRPr="00A31291">
        <w:t xml:space="preserve">goods. </w:t>
      </w:r>
    </w:p>
    <w:p w14:paraId="3977E3E7" w14:textId="77777777" w:rsidR="00F26EDD" w:rsidRDefault="00F26EDD" w:rsidP="00F26EDD">
      <w:r>
        <w:t xml:space="preserve">A growth in the ability for multinationals to have ‘scale without mass’ will further erode Australia’s ability to raise revenue from corporate income taxation. </w:t>
      </w:r>
    </w:p>
    <w:p w14:paraId="476EE996" w14:textId="77777777" w:rsidR="00FD0049" w:rsidRDefault="00FD0049" w:rsidP="00F26EDD"/>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935DCF" w14:paraId="3DD82E89" w14:textId="77777777">
        <w:tc>
          <w:tcPr>
            <w:tcW w:w="5000" w:type="pct"/>
            <w:shd w:val="clear" w:color="auto" w:fill="EEEEEE" w:themeFill="background2"/>
          </w:tcPr>
          <w:p w14:paraId="05040313" w14:textId="2A25DB20" w:rsidR="00935DCF" w:rsidRDefault="00935DCF">
            <w:pPr>
              <w:pStyle w:val="BoxText"/>
              <w:rPr>
                <w:b/>
                <w:color w:val="2C384A" w:themeColor="accent1"/>
                <w:sz w:val="28"/>
                <w:szCs w:val="26"/>
              </w:rPr>
            </w:pPr>
            <w:r>
              <w:rPr>
                <w:noProof/>
              </w:rPr>
              <w:drawing>
                <wp:anchor distT="0" distB="0" distL="114300" distR="114300" simplePos="0" relativeHeight="251658244" behindDoc="1" locked="0" layoutInCell="1" allowOverlap="1" wp14:anchorId="0C7FBD06" wp14:editId="1B8337A5">
                  <wp:simplePos x="0" y="0"/>
                  <wp:positionH relativeFrom="column">
                    <wp:posOffset>4435475</wp:posOffset>
                  </wp:positionH>
                  <wp:positionV relativeFrom="paragraph">
                    <wp:posOffset>163830</wp:posOffset>
                  </wp:positionV>
                  <wp:extent cx="927100" cy="927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E25">
              <w:rPr>
                <w:b/>
                <w:color w:val="2C384A" w:themeColor="accent1"/>
                <w:sz w:val="28"/>
                <w:szCs w:val="26"/>
              </w:rPr>
              <w:t xml:space="preserve">Economic benefits of globalisation and the digital economy  </w:t>
            </w:r>
          </w:p>
          <w:p w14:paraId="05F6B2BE" w14:textId="77777777" w:rsidR="00935DCF" w:rsidRDefault="00935DCF">
            <w:r>
              <w:t xml:space="preserve">When considering the tax challenges that digitalisation and multinationals create for the corporate income taxation system, it is important to keep in mind the significant economic benefits that they also bring. </w:t>
            </w:r>
          </w:p>
          <w:p w14:paraId="6433D765" w14:textId="77777777" w:rsidR="00935DCF" w:rsidRDefault="00935DCF">
            <w:r>
              <w:t xml:space="preserve">In general, countries that allow international trade and multinational businesses enjoy access to better and cheaper products and more lucrative investment, employment and business opportunities. These benefits have driven significant globalisation over time. The relatively recent emergence of the digital economy has continued this trend, with highly digitalised businesses now operating around the world. </w:t>
            </w:r>
          </w:p>
          <w:p w14:paraId="33DB3C9F" w14:textId="0282741F" w:rsidR="00935DCF" w:rsidRDefault="00935DCF">
            <w:r w:rsidRPr="00F45E60">
              <w:t xml:space="preserve">For example, advertising through </w:t>
            </w:r>
            <w:r>
              <w:t>services owned by multinationals</w:t>
            </w:r>
            <w:r w:rsidRPr="00F45E60">
              <w:t xml:space="preserve"> such as </w:t>
            </w:r>
            <w:r w:rsidRPr="00D51C62">
              <w:t>Alphabet</w:t>
            </w:r>
            <w:r>
              <w:t xml:space="preserve"> (Google)</w:t>
            </w:r>
            <w:r w:rsidR="00856974">
              <w:t xml:space="preserve"> and </w:t>
            </w:r>
            <w:r w:rsidRPr="00D51C62">
              <w:t xml:space="preserve">Meta </w:t>
            </w:r>
            <w:r>
              <w:t xml:space="preserve">(Facebook) </w:t>
            </w:r>
            <w:r w:rsidRPr="00F45E60">
              <w:t>gives small businesses in Australia a significantly cheaper and more effective way to target their advertising</w:t>
            </w:r>
            <w:r>
              <w:t xml:space="preserve"> than traditional mediums</w:t>
            </w:r>
            <w:r w:rsidRPr="00F45E60">
              <w:t xml:space="preserve">. </w:t>
            </w:r>
            <w:r w:rsidRPr="00C949AE">
              <w:t xml:space="preserve">This </w:t>
            </w:r>
            <w:r>
              <w:t>results in less</w:t>
            </w:r>
            <w:r w:rsidRPr="00C949AE">
              <w:t xml:space="preserve"> costs </w:t>
            </w:r>
            <w:r w:rsidR="00F07414">
              <w:t xml:space="preserve">being </w:t>
            </w:r>
            <w:r w:rsidRPr="00C949AE">
              <w:t xml:space="preserve">passed on </w:t>
            </w:r>
            <w:r>
              <w:t>to</w:t>
            </w:r>
            <w:r w:rsidRPr="00C949AE">
              <w:t xml:space="preserve"> end-consumer</w:t>
            </w:r>
            <w:r>
              <w:t>s</w:t>
            </w:r>
            <w:r w:rsidRPr="00C949AE">
              <w:t xml:space="preserve">, while </w:t>
            </w:r>
            <w:r>
              <w:t>also supporting increased</w:t>
            </w:r>
            <w:r w:rsidRPr="00C949AE">
              <w:t xml:space="preserve"> competition</w:t>
            </w:r>
            <w:r>
              <w:t>, which also</w:t>
            </w:r>
            <w:r w:rsidRPr="00C949AE">
              <w:t xml:space="preserve"> generally results in lower prices to win over customers.</w:t>
            </w:r>
          </w:p>
          <w:p w14:paraId="7CB16E0F" w14:textId="77777777" w:rsidR="00935DCF" w:rsidRPr="000D1284" w:rsidRDefault="00935DCF">
            <w:r>
              <w:t>O</w:t>
            </w:r>
            <w:r w:rsidRPr="00F45E60">
              <w:t>nline marketplaces that act as intermediaries between sellers and buyers lower traditional search costs and facilitate greater competition between manufacturers</w:t>
            </w:r>
            <w:r>
              <w:t>,</w:t>
            </w:r>
            <w:r w:rsidRPr="00F45E60">
              <w:t xml:space="preserve"> accommodation providers, transport </w:t>
            </w:r>
            <w:r>
              <w:t xml:space="preserve">providers </w:t>
            </w:r>
            <w:r w:rsidRPr="00F45E60">
              <w:t xml:space="preserve">and in trade services. </w:t>
            </w:r>
            <w:r>
              <w:t>D</w:t>
            </w:r>
            <w:r w:rsidRPr="00F45E60">
              <w:t>igital content providers support competition with traditional media and entertainment channels as well as the traditional telecommunications market.</w:t>
            </w:r>
          </w:p>
        </w:tc>
      </w:tr>
    </w:tbl>
    <w:p w14:paraId="297E05A1" w14:textId="0D810E3C" w:rsidR="003A39B3" w:rsidRDefault="00F358B7" w:rsidP="00310BF4">
      <w:pPr>
        <w:pStyle w:val="Heading2"/>
        <w:spacing w:before="120" w:line="240" w:lineRule="auto"/>
      </w:pPr>
      <w:r>
        <w:t xml:space="preserve">Digital Services Taxes and </w:t>
      </w:r>
      <w:r w:rsidR="004D77E8">
        <w:t xml:space="preserve">trade </w:t>
      </w:r>
      <w:r w:rsidR="009673A6">
        <w:t>considerations</w:t>
      </w:r>
    </w:p>
    <w:p w14:paraId="62AAAC61" w14:textId="2351AC5C" w:rsidR="00C804EA" w:rsidRDefault="00C804EA" w:rsidP="003A39B3">
      <w:r>
        <w:t xml:space="preserve">The ‘race to the bottom’ and ‘scale without mass’ </w:t>
      </w:r>
      <w:r w:rsidR="00CF3B9A">
        <w:t xml:space="preserve">challenges </w:t>
      </w:r>
      <w:r>
        <w:t>both act to erode the ability of governments to raise revenue from corporate income tax. In response</w:t>
      </w:r>
      <w:r w:rsidR="00CF3B9A">
        <w:t>,</w:t>
      </w:r>
      <w:r>
        <w:t xml:space="preserve"> governments around the world </w:t>
      </w:r>
      <w:r w:rsidR="00F358B7">
        <w:t>will continue to</w:t>
      </w:r>
      <w:r w:rsidR="00A61662">
        <w:t xml:space="preserve"> consider</w:t>
      </w:r>
      <w:r w:rsidR="00F358B7">
        <w:t xml:space="preserve"> </w:t>
      </w:r>
      <w:r w:rsidR="006069F2">
        <w:t xml:space="preserve">new </w:t>
      </w:r>
      <w:r w:rsidR="00A61662">
        <w:t>options</w:t>
      </w:r>
      <w:r>
        <w:t xml:space="preserve"> to raise revenue.  </w:t>
      </w:r>
    </w:p>
    <w:p w14:paraId="48A3FC99" w14:textId="3D27432B" w:rsidR="00F358B7" w:rsidRDefault="00F358B7" w:rsidP="00F358B7">
      <w:r>
        <w:t>Digital Service</w:t>
      </w:r>
      <w:r w:rsidR="00C2144F">
        <w:t>s</w:t>
      </w:r>
      <w:r>
        <w:t xml:space="preserve"> Taxes are intended to address the challenges of </w:t>
      </w:r>
      <w:r w:rsidR="00970982">
        <w:t>‘</w:t>
      </w:r>
      <w:r>
        <w:t>scale without mass</w:t>
      </w:r>
      <w:r w:rsidR="00970982">
        <w:t>’</w:t>
      </w:r>
      <w:r>
        <w:t xml:space="preserve"> co</w:t>
      </w:r>
      <w:r w:rsidR="00A23BBA">
        <w:t>ncerns</w:t>
      </w:r>
      <w:r>
        <w:t xml:space="preserve"> by local businesses that there is an uneven playing field</w:t>
      </w:r>
      <w:r w:rsidR="009B7843">
        <w:t xml:space="preserve"> with large multinationals</w:t>
      </w:r>
      <w:r>
        <w:t>, and observations around high levels of user participation. Most of these Digital Services Taxes are</w:t>
      </w:r>
      <w:r w:rsidR="00970982">
        <w:t>,</w:t>
      </w:r>
      <w:r>
        <w:t xml:space="preserve"> in practice</w:t>
      </w:r>
      <w:r w:rsidR="00970982">
        <w:t>,</w:t>
      </w:r>
      <w:r>
        <w:t xml:space="preserve"> a revenue tax on the domestic operations of large digital business</w:t>
      </w:r>
      <w:r w:rsidR="00081D43">
        <w:t>es’</w:t>
      </w:r>
      <w:r>
        <w:t xml:space="preserve"> advertising sales. Digital </w:t>
      </w:r>
      <w:r w:rsidR="00746925">
        <w:t>S</w:t>
      </w:r>
      <w:r>
        <w:t xml:space="preserve">ervices </w:t>
      </w:r>
      <w:r w:rsidR="00746925">
        <w:t>T</w:t>
      </w:r>
      <w:r>
        <w:t xml:space="preserve">axes are considered </w:t>
      </w:r>
      <w:r w:rsidR="000C147A">
        <w:t xml:space="preserve">by the OECD Inclusive Framework </w:t>
      </w:r>
      <w:r w:rsidR="00F07424">
        <w:t xml:space="preserve">to be </w:t>
      </w:r>
      <w:r>
        <w:t>unilateral actions (actions taken individually</w:t>
      </w:r>
      <w:r w:rsidR="00F07424">
        <w:t xml:space="preserve"> by jurisdictions</w:t>
      </w:r>
      <w:r>
        <w:t>).</w:t>
      </w:r>
    </w:p>
    <w:p w14:paraId="561E60FB" w14:textId="3E684F4D" w:rsidR="00A23BBA" w:rsidRDefault="00F358B7" w:rsidP="00F358B7">
      <w:r>
        <w:lastRenderedPageBreak/>
        <w:t>The introduction of Digital Service</w:t>
      </w:r>
      <w:r w:rsidR="00C2144F">
        <w:t>s</w:t>
      </w:r>
      <w:r>
        <w:t xml:space="preserve"> Taxes globally has led </w:t>
      </w:r>
      <w:r w:rsidR="00A23BBA">
        <w:t xml:space="preserve">the OECD </w:t>
      </w:r>
      <w:r w:rsidR="008B5C48">
        <w:t>to highlight</w:t>
      </w:r>
      <w:r w:rsidR="007E7BD3">
        <w:t xml:space="preserve"> the risk</w:t>
      </w:r>
      <w:r w:rsidR="00E9266B">
        <w:t xml:space="preserve"> </w:t>
      </w:r>
      <w:r w:rsidR="00A23BBA">
        <w:t xml:space="preserve">that the proliferation of Digital Services Taxes and other similar measures could </w:t>
      </w:r>
      <w:r w:rsidR="008B5C48">
        <w:t>lead to escalating trade tariffs</w:t>
      </w:r>
      <w:r>
        <w:t xml:space="preserve">. </w:t>
      </w:r>
    </w:p>
    <w:p w14:paraId="667B707F" w14:textId="1FAA5E57" w:rsidR="00F358B7" w:rsidRDefault="00F358B7" w:rsidP="00F358B7">
      <w:r>
        <w:t xml:space="preserve">The United States Trade Representative </w:t>
      </w:r>
      <w:r w:rsidR="009F25E7">
        <w:t>has made determinations in its ass</w:t>
      </w:r>
      <w:r w:rsidR="00A37940">
        <w:t xml:space="preserve">essment of a number of these </w:t>
      </w:r>
      <w:r>
        <w:t xml:space="preserve">taxes </w:t>
      </w:r>
      <w:r w:rsidR="00A37940">
        <w:t xml:space="preserve">that they </w:t>
      </w:r>
      <w:r>
        <w:t>are discriminatory against US businesses</w:t>
      </w:r>
      <w:r w:rsidR="00B2469B">
        <w:t>. The US has further</w:t>
      </w:r>
      <w:r>
        <w:t xml:space="preserve"> threatened retaliatory tariffs on imports for a number of countries which are considering or have implemented </w:t>
      </w:r>
      <w:r w:rsidR="00C2144F">
        <w:t>D</w:t>
      </w:r>
      <w:r>
        <w:t xml:space="preserve">igital </w:t>
      </w:r>
      <w:r w:rsidR="00C2144F">
        <w:t>S</w:t>
      </w:r>
      <w:r>
        <w:t xml:space="preserve">ervices </w:t>
      </w:r>
      <w:r w:rsidR="00C2144F">
        <w:t>T</w:t>
      </w:r>
      <w:r>
        <w:t xml:space="preserve">axes, including France, the United Kingdom, Spain, Italy, Canada and Austria. The United States’ tariffs were then suspended to allow the OECD multilateral negotiations to continue efforts to finalise the Two-Pillar Solution. </w:t>
      </w:r>
    </w:p>
    <w:p w14:paraId="2897A6E2" w14:textId="77777777" w:rsidR="003A39B3" w:rsidRDefault="003A39B3" w:rsidP="003A39B3">
      <w:r>
        <w:t>These threats include imposing levies of 100 per cent on US</w:t>
      </w:r>
      <w:r w:rsidR="00F84DB3">
        <w:t>$</w:t>
      </w:r>
      <w:r>
        <w:t xml:space="preserve">2.4 billion worth of French goods if France decides to maintain its </w:t>
      </w:r>
      <w:r w:rsidR="00746925">
        <w:t>D</w:t>
      </w:r>
      <w:r>
        <w:t xml:space="preserve">igital </w:t>
      </w:r>
      <w:r w:rsidR="00746925">
        <w:t>S</w:t>
      </w:r>
      <w:r>
        <w:t xml:space="preserve">ervices </w:t>
      </w:r>
      <w:r w:rsidR="00746925">
        <w:t>T</w:t>
      </w:r>
      <w:r>
        <w:t>ax.</w:t>
      </w:r>
    </w:p>
    <w:p w14:paraId="5CE9F169" w14:textId="77777777" w:rsidR="0028322E" w:rsidRDefault="003A39B3" w:rsidP="00FD0049">
      <w:pPr>
        <w:rPr>
          <w:rFonts w:cs="Arial"/>
          <w:color w:val="4D7861" w:themeColor="accent2"/>
          <w:kern w:val="32"/>
          <w:sz w:val="24"/>
          <w:szCs w:val="26"/>
        </w:rPr>
      </w:pPr>
      <w:r w:rsidRPr="004C221A">
        <w:t xml:space="preserve">Around 42 countries have announced or passed legislation </w:t>
      </w:r>
      <w:r w:rsidR="00AE0672">
        <w:t>in relation to</w:t>
      </w:r>
      <w:r w:rsidR="00AE0672" w:rsidRPr="004C221A">
        <w:t xml:space="preserve"> </w:t>
      </w:r>
      <w:r>
        <w:t>D</w:t>
      </w:r>
      <w:r w:rsidRPr="004C221A">
        <w:t xml:space="preserve">igital </w:t>
      </w:r>
      <w:r>
        <w:t>S</w:t>
      </w:r>
      <w:r w:rsidRPr="004C221A">
        <w:t xml:space="preserve">ervices </w:t>
      </w:r>
      <w:r>
        <w:t>T</w:t>
      </w:r>
      <w:r w:rsidRPr="004C221A">
        <w:t xml:space="preserve">axes, with varying scopes, thresholds and rates. </w:t>
      </w:r>
      <w:r w:rsidR="00E40994">
        <w:t>The US Trade Representative has initiated investigations into the planned digital tax regimes of at least ten jurisdictions.</w:t>
      </w:r>
      <w:r w:rsidR="00E40994" w:rsidRPr="004C221A">
        <w:t xml:space="preserve"> </w:t>
      </w:r>
      <w:r w:rsidRPr="004C221A">
        <w:t>The pace of these announcements has escalated as political demand for action is growing, which is an indication of the complexity that will arise for businesses in the absence of a global deal</w:t>
      </w:r>
      <w:r w:rsidRPr="004C221A" w:rsidDel="00267AFC">
        <w:t>.</w:t>
      </w:r>
      <w:r w:rsidRPr="004C221A">
        <w:t xml:space="preserve"> </w:t>
      </w:r>
    </w:p>
    <w:p w14:paraId="15DF23A9" w14:textId="42B71A09" w:rsidR="00C804EA" w:rsidRDefault="00C804EA" w:rsidP="00310BF4">
      <w:pPr>
        <w:pStyle w:val="Heading4"/>
        <w:spacing w:before="120" w:after="120" w:line="240" w:lineRule="auto"/>
      </w:pPr>
      <w:r>
        <w:t xml:space="preserve">OECD modelling on the impacts </w:t>
      </w:r>
      <w:r w:rsidR="00B17D2E">
        <w:t xml:space="preserve">from a proliferation of </w:t>
      </w:r>
      <w:r w:rsidR="00C2144F">
        <w:t>Digital Services Taxes</w:t>
      </w:r>
      <w:r w:rsidR="00B17D2E">
        <w:t xml:space="preserve"> and other similar measures</w:t>
      </w:r>
      <w:r>
        <w:t xml:space="preserve"> </w:t>
      </w:r>
    </w:p>
    <w:p w14:paraId="2C67CE0E" w14:textId="77777777" w:rsidR="00E40994" w:rsidRDefault="008E78E9" w:rsidP="00310BF4">
      <w:pPr>
        <w:pStyle w:val="Heading3"/>
        <w:spacing w:before="120" w:after="120" w:line="240" w:lineRule="auto"/>
        <w:rPr>
          <w:rFonts w:ascii="Calibri Light" w:hAnsi="Calibri Light" w:cs="Times New Roman"/>
          <w:b w:val="0"/>
          <w:color w:val="auto"/>
          <w:kern w:val="0"/>
          <w:sz w:val="22"/>
          <w:szCs w:val="20"/>
        </w:rPr>
      </w:pPr>
      <w:r>
        <w:rPr>
          <w:rFonts w:ascii="Calibri Light" w:hAnsi="Calibri Light" w:cs="Times New Roman"/>
          <w:b w:val="0"/>
          <w:color w:val="auto"/>
          <w:kern w:val="0"/>
          <w:sz w:val="22"/>
          <w:szCs w:val="20"/>
        </w:rPr>
        <w:t xml:space="preserve">The OECD in their blueprint analysis undertook economic modelling of the world implementing the Two-Pillar </w:t>
      </w:r>
      <w:r w:rsidR="00402164">
        <w:rPr>
          <w:rFonts w:ascii="Calibri Light" w:hAnsi="Calibri Light" w:cs="Times New Roman"/>
          <w:b w:val="0"/>
          <w:color w:val="auto"/>
          <w:kern w:val="0"/>
          <w:sz w:val="22"/>
          <w:szCs w:val="20"/>
        </w:rPr>
        <w:t>S</w:t>
      </w:r>
      <w:r>
        <w:rPr>
          <w:rFonts w:ascii="Calibri Light" w:hAnsi="Calibri Light" w:cs="Times New Roman"/>
          <w:b w:val="0"/>
          <w:color w:val="auto"/>
          <w:kern w:val="0"/>
          <w:sz w:val="22"/>
          <w:szCs w:val="20"/>
        </w:rPr>
        <w:t xml:space="preserve">olution, which they called a </w:t>
      </w:r>
      <w:r w:rsidR="007065B3">
        <w:rPr>
          <w:rFonts w:ascii="Calibri Light" w:hAnsi="Calibri Light" w:cs="Times New Roman"/>
          <w:b w:val="0"/>
          <w:color w:val="auto"/>
          <w:kern w:val="0"/>
          <w:sz w:val="22"/>
          <w:szCs w:val="20"/>
        </w:rPr>
        <w:t>‘</w:t>
      </w:r>
      <w:r>
        <w:rPr>
          <w:rFonts w:ascii="Calibri Light" w:hAnsi="Calibri Light" w:cs="Times New Roman"/>
          <w:b w:val="0"/>
          <w:color w:val="auto"/>
          <w:kern w:val="0"/>
          <w:sz w:val="22"/>
          <w:szCs w:val="20"/>
        </w:rPr>
        <w:t>consensus</w:t>
      </w:r>
      <w:r w:rsidR="007065B3">
        <w:rPr>
          <w:rFonts w:ascii="Calibri Light" w:hAnsi="Calibri Light" w:cs="Times New Roman"/>
          <w:b w:val="0"/>
          <w:color w:val="auto"/>
          <w:kern w:val="0"/>
          <w:sz w:val="22"/>
          <w:szCs w:val="20"/>
        </w:rPr>
        <w:t>'</w:t>
      </w:r>
      <w:r>
        <w:rPr>
          <w:rFonts w:ascii="Calibri Light" w:hAnsi="Calibri Light" w:cs="Times New Roman"/>
          <w:b w:val="0"/>
          <w:color w:val="auto"/>
          <w:kern w:val="0"/>
          <w:sz w:val="22"/>
          <w:szCs w:val="20"/>
        </w:rPr>
        <w:t xml:space="preserve"> scenario, and </w:t>
      </w:r>
      <w:r w:rsidR="00402164">
        <w:rPr>
          <w:rFonts w:ascii="Calibri Light" w:hAnsi="Calibri Light" w:cs="Times New Roman"/>
          <w:b w:val="0"/>
          <w:color w:val="auto"/>
          <w:kern w:val="0"/>
          <w:sz w:val="22"/>
          <w:szCs w:val="20"/>
        </w:rPr>
        <w:t xml:space="preserve">of the </w:t>
      </w:r>
      <w:r>
        <w:rPr>
          <w:rFonts w:ascii="Calibri Light" w:hAnsi="Calibri Light" w:cs="Times New Roman"/>
          <w:b w:val="0"/>
          <w:color w:val="auto"/>
          <w:kern w:val="0"/>
          <w:sz w:val="22"/>
          <w:szCs w:val="20"/>
        </w:rPr>
        <w:t xml:space="preserve">world without the </w:t>
      </w:r>
      <w:r w:rsidR="00402164">
        <w:rPr>
          <w:rFonts w:ascii="Calibri Light" w:hAnsi="Calibri Light" w:cs="Times New Roman"/>
          <w:b w:val="0"/>
          <w:color w:val="auto"/>
          <w:kern w:val="0"/>
          <w:sz w:val="22"/>
          <w:szCs w:val="20"/>
        </w:rPr>
        <w:t>T</w:t>
      </w:r>
      <w:r>
        <w:rPr>
          <w:rFonts w:ascii="Calibri Light" w:hAnsi="Calibri Light" w:cs="Times New Roman"/>
          <w:b w:val="0"/>
          <w:color w:val="auto"/>
          <w:kern w:val="0"/>
          <w:sz w:val="22"/>
          <w:szCs w:val="20"/>
        </w:rPr>
        <w:t>wo-</w:t>
      </w:r>
      <w:r w:rsidR="00402164">
        <w:rPr>
          <w:rFonts w:ascii="Calibri Light" w:hAnsi="Calibri Light" w:cs="Times New Roman"/>
          <w:b w:val="0"/>
          <w:color w:val="auto"/>
          <w:kern w:val="0"/>
          <w:sz w:val="22"/>
          <w:szCs w:val="20"/>
        </w:rPr>
        <w:t>P</w:t>
      </w:r>
      <w:r>
        <w:rPr>
          <w:rFonts w:ascii="Calibri Light" w:hAnsi="Calibri Light" w:cs="Times New Roman"/>
          <w:b w:val="0"/>
          <w:color w:val="auto"/>
          <w:kern w:val="0"/>
          <w:sz w:val="22"/>
          <w:szCs w:val="20"/>
        </w:rPr>
        <w:t xml:space="preserve">illar </w:t>
      </w:r>
      <w:r w:rsidR="00402164">
        <w:rPr>
          <w:rFonts w:ascii="Calibri Light" w:hAnsi="Calibri Light" w:cs="Times New Roman"/>
          <w:b w:val="0"/>
          <w:color w:val="auto"/>
          <w:kern w:val="0"/>
          <w:sz w:val="22"/>
          <w:szCs w:val="20"/>
        </w:rPr>
        <w:t>S</w:t>
      </w:r>
      <w:r>
        <w:rPr>
          <w:rFonts w:ascii="Calibri Light" w:hAnsi="Calibri Light" w:cs="Times New Roman"/>
          <w:b w:val="0"/>
          <w:color w:val="auto"/>
          <w:kern w:val="0"/>
          <w:sz w:val="22"/>
          <w:szCs w:val="20"/>
        </w:rPr>
        <w:t xml:space="preserve">olution, called the </w:t>
      </w:r>
      <w:r w:rsidR="007065B3">
        <w:rPr>
          <w:rFonts w:ascii="Calibri Light" w:hAnsi="Calibri Light" w:cs="Times New Roman"/>
          <w:b w:val="0"/>
          <w:color w:val="auto"/>
          <w:kern w:val="0"/>
          <w:sz w:val="22"/>
          <w:szCs w:val="20"/>
        </w:rPr>
        <w:t>‘</w:t>
      </w:r>
      <w:r>
        <w:rPr>
          <w:rFonts w:ascii="Calibri Light" w:hAnsi="Calibri Light" w:cs="Times New Roman"/>
          <w:b w:val="0"/>
          <w:color w:val="auto"/>
          <w:kern w:val="0"/>
          <w:sz w:val="22"/>
          <w:szCs w:val="20"/>
        </w:rPr>
        <w:t>no consensus</w:t>
      </w:r>
      <w:r w:rsidR="007065B3">
        <w:rPr>
          <w:rFonts w:ascii="Calibri Light" w:hAnsi="Calibri Light" w:cs="Times New Roman"/>
          <w:b w:val="0"/>
          <w:color w:val="auto"/>
          <w:kern w:val="0"/>
          <w:sz w:val="22"/>
          <w:szCs w:val="20"/>
        </w:rPr>
        <w:t>’</w:t>
      </w:r>
      <w:r>
        <w:rPr>
          <w:rFonts w:ascii="Calibri Light" w:hAnsi="Calibri Light" w:cs="Times New Roman"/>
          <w:b w:val="0"/>
          <w:color w:val="auto"/>
          <w:kern w:val="0"/>
          <w:sz w:val="22"/>
          <w:szCs w:val="20"/>
        </w:rPr>
        <w:t xml:space="preserve"> scenario. In the no consensus </w:t>
      </w:r>
      <w:r w:rsidR="00402164">
        <w:rPr>
          <w:rFonts w:ascii="Calibri Light" w:hAnsi="Calibri Light" w:cs="Times New Roman"/>
          <w:b w:val="0"/>
          <w:color w:val="auto"/>
          <w:kern w:val="0"/>
          <w:sz w:val="22"/>
          <w:szCs w:val="20"/>
        </w:rPr>
        <w:t>scenario,</w:t>
      </w:r>
      <w:r>
        <w:rPr>
          <w:rFonts w:ascii="Calibri Light" w:hAnsi="Calibri Light" w:cs="Times New Roman"/>
          <w:b w:val="0"/>
          <w:color w:val="auto"/>
          <w:kern w:val="0"/>
          <w:sz w:val="22"/>
          <w:szCs w:val="20"/>
        </w:rPr>
        <w:t xml:space="preserve"> the world economy is damaged from </w:t>
      </w:r>
      <w:r w:rsidR="00E40994">
        <w:rPr>
          <w:rFonts w:ascii="Calibri Light" w:hAnsi="Calibri Light" w:cs="Times New Roman"/>
          <w:b w:val="0"/>
          <w:color w:val="auto"/>
          <w:kern w:val="0"/>
          <w:sz w:val="22"/>
          <w:szCs w:val="20"/>
        </w:rPr>
        <w:t>increasing</w:t>
      </w:r>
      <w:r>
        <w:rPr>
          <w:rFonts w:ascii="Calibri Light" w:hAnsi="Calibri Light" w:cs="Times New Roman"/>
          <w:b w:val="0"/>
          <w:color w:val="auto"/>
          <w:kern w:val="0"/>
          <w:sz w:val="22"/>
          <w:szCs w:val="20"/>
        </w:rPr>
        <w:t xml:space="preserve"> tax and trade retaliations involving </w:t>
      </w:r>
      <w:r w:rsidR="00C2144F">
        <w:rPr>
          <w:rFonts w:ascii="Calibri Light" w:hAnsi="Calibri Light" w:cs="Times New Roman"/>
          <w:b w:val="0"/>
          <w:color w:val="auto"/>
          <w:kern w:val="0"/>
          <w:sz w:val="22"/>
          <w:szCs w:val="20"/>
        </w:rPr>
        <w:t>Digital Services Taxes</w:t>
      </w:r>
      <w:r>
        <w:rPr>
          <w:rFonts w:ascii="Calibri Light" w:hAnsi="Calibri Light" w:cs="Times New Roman"/>
          <w:b w:val="0"/>
          <w:color w:val="auto"/>
          <w:kern w:val="0"/>
          <w:sz w:val="22"/>
          <w:szCs w:val="20"/>
        </w:rPr>
        <w:t xml:space="preserve"> and trade tariffs. </w:t>
      </w:r>
    </w:p>
    <w:p w14:paraId="2558C9C0" w14:textId="2A2E353C" w:rsidR="003C65E0" w:rsidRPr="003C65E0" w:rsidRDefault="007065B3" w:rsidP="00310BF4">
      <w:pPr>
        <w:pStyle w:val="Heading3"/>
        <w:spacing w:before="120" w:after="120" w:line="240" w:lineRule="auto"/>
      </w:pPr>
      <w:r>
        <w:rPr>
          <w:rFonts w:ascii="Calibri Light" w:hAnsi="Calibri Light" w:cs="Times New Roman"/>
          <w:b w:val="0"/>
          <w:color w:val="auto"/>
          <w:kern w:val="0"/>
          <w:sz w:val="22"/>
          <w:szCs w:val="20"/>
        </w:rPr>
        <w:t xml:space="preserve">As the behavioural decisions of countries is highly uncertain, the OECD modelled a narrow </w:t>
      </w:r>
      <w:r w:rsidR="00402164">
        <w:rPr>
          <w:rFonts w:ascii="Calibri Light" w:hAnsi="Calibri Light" w:cs="Times New Roman"/>
          <w:b w:val="0"/>
          <w:color w:val="auto"/>
          <w:kern w:val="0"/>
          <w:sz w:val="22"/>
          <w:szCs w:val="20"/>
        </w:rPr>
        <w:t>D</w:t>
      </w:r>
      <w:r>
        <w:rPr>
          <w:rFonts w:ascii="Calibri Light" w:hAnsi="Calibri Light" w:cs="Times New Roman"/>
          <w:b w:val="0"/>
          <w:color w:val="auto"/>
          <w:kern w:val="0"/>
          <w:sz w:val="22"/>
          <w:szCs w:val="20"/>
        </w:rPr>
        <w:t xml:space="preserve">igital </w:t>
      </w:r>
      <w:r w:rsidR="00402164">
        <w:rPr>
          <w:rFonts w:ascii="Calibri Light" w:hAnsi="Calibri Light" w:cs="Times New Roman"/>
          <w:b w:val="0"/>
          <w:color w:val="auto"/>
          <w:kern w:val="0"/>
          <w:sz w:val="22"/>
          <w:szCs w:val="20"/>
        </w:rPr>
        <w:t>S</w:t>
      </w:r>
      <w:r>
        <w:rPr>
          <w:rFonts w:ascii="Calibri Light" w:hAnsi="Calibri Light" w:cs="Times New Roman"/>
          <w:b w:val="0"/>
          <w:color w:val="auto"/>
          <w:kern w:val="0"/>
          <w:sz w:val="22"/>
          <w:szCs w:val="20"/>
        </w:rPr>
        <w:t xml:space="preserve">ervices </w:t>
      </w:r>
      <w:r w:rsidR="00402164">
        <w:rPr>
          <w:rFonts w:ascii="Calibri Light" w:hAnsi="Calibri Light" w:cs="Times New Roman"/>
          <w:b w:val="0"/>
          <w:color w:val="auto"/>
          <w:kern w:val="0"/>
          <w:sz w:val="22"/>
          <w:szCs w:val="20"/>
        </w:rPr>
        <w:t>T</w:t>
      </w:r>
      <w:r>
        <w:rPr>
          <w:rFonts w:ascii="Calibri Light" w:hAnsi="Calibri Light" w:cs="Times New Roman"/>
          <w:b w:val="0"/>
          <w:color w:val="auto"/>
          <w:kern w:val="0"/>
          <w:sz w:val="22"/>
          <w:szCs w:val="20"/>
        </w:rPr>
        <w:t xml:space="preserve">ax scenario, and a scenario where </w:t>
      </w:r>
      <w:r w:rsidR="00C2144F">
        <w:rPr>
          <w:rFonts w:ascii="Calibri Light" w:hAnsi="Calibri Light" w:cs="Times New Roman"/>
          <w:b w:val="0"/>
          <w:color w:val="auto"/>
          <w:kern w:val="0"/>
          <w:sz w:val="22"/>
          <w:szCs w:val="20"/>
        </w:rPr>
        <w:t>Digital Services Taxes</w:t>
      </w:r>
      <w:r>
        <w:rPr>
          <w:rFonts w:ascii="Calibri Light" w:hAnsi="Calibri Light" w:cs="Times New Roman"/>
          <w:b w:val="0"/>
          <w:color w:val="auto"/>
          <w:kern w:val="0"/>
          <w:sz w:val="22"/>
          <w:szCs w:val="20"/>
        </w:rPr>
        <w:t xml:space="preserve"> are implemented more broadly.</w:t>
      </w:r>
      <w:r w:rsidR="00E50275" w:rsidRPr="00E50275">
        <w:rPr>
          <w:rFonts w:ascii="Calibri Light" w:hAnsi="Calibri Light" w:cs="Times New Roman"/>
          <w:b w:val="0"/>
          <w:color w:val="auto"/>
          <w:kern w:val="0"/>
          <w:sz w:val="22"/>
          <w:szCs w:val="20"/>
        </w:rPr>
        <w:t xml:space="preserve"> The magnitude of these adverse effects would notably depend on the number of jurisdictions introducing D</w:t>
      </w:r>
      <w:r w:rsidR="001628CA">
        <w:rPr>
          <w:rFonts w:ascii="Calibri Light" w:hAnsi="Calibri Light" w:cs="Times New Roman"/>
          <w:b w:val="0"/>
          <w:color w:val="auto"/>
          <w:kern w:val="0"/>
          <w:sz w:val="22"/>
          <w:szCs w:val="20"/>
        </w:rPr>
        <w:t xml:space="preserve">igital </w:t>
      </w:r>
      <w:r w:rsidR="00E50275" w:rsidRPr="00E50275">
        <w:rPr>
          <w:rFonts w:ascii="Calibri Light" w:hAnsi="Calibri Light" w:cs="Times New Roman"/>
          <w:b w:val="0"/>
          <w:color w:val="auto"/>
          <w:kern w:val="0"/>
          <w:sz w:val="22"/>
          <w:szCs w:val="20"/>
        </w:rPr>
        <w:t>S</w:t>
      </w:r>
      <w:r w:rsidR="001628CA">
        <w:rPr>
          <w:rFonts w:ascii="Calibri Light" w:hAnsi="Calibri Light" w:cs="Times New Roman"/>
          <w:b w:val="0"/>
          <w:color w:val="auto"/>
          <w:kern w:val="0"/>
          <w:sz w:val="22"/>
          <w:szCs w:val="20"/>
        </w:rPr>
        <w:t xml:space="preserve">ervices </w:t>
      </w:r>
      <w:r w:rsidR="00E50275" w:rsidRPr="00E50275">
        <w:rPr>
          <w:rFonts w:ascii="Calibri Light" w:hAnsi="Calibri Light" w:cs="Times New Roman"/>
          <w:b w:val="0"/>
          <w:color w:val="auto"/>
          <w:kern w:val="0"/>
          <w:sz w:val="22"/>
          <w:szCs w:val="20"/>
        </w:rPr>
        <w:t>T</w:t>
      </w:r>
      <w:r w:rsidR="00C221F3">
        <w:rPr>
          <w:rFonts w:ascii="Calibri Light" w:hAnsi="Calibri Light" w:cs="Times New Roman"/>
          <w:b w:val="0"/>
          <w:color w:val="auto"/>
          <w:kern w:val="0"/>
          <w:sz w:val="22"/>
          <w:szCs w:val="20"/>
        </w:rPr>
        <w:t>axe</w:t>
      </w:r>
      <w:r w:rsidR="00E50275" w:rsidRPr="00E50275">
        <w:rPr>
          <w:rFonts w:ascii="Calibri Light" w:hAnsi="Calibri Light" w:cs="Times New Roman"/>
          <w:b w:val="0"/>
          <w:color w:val="auto"/>
          <w:kern w:val="0"/>
          <w:sz w:val="22"/>
          <w:szCs w:val="20"/>
        </w:rPr>
        <w:t>s, the design and rate of these D</w:t>
      </w:r>
      <w:r w:rsidR="00C221F3">
        <w:rPr>
          <w:rFonts w:ascii="Calibri Light" w:hAnsi="Calibri Light" w:cs="Times New Roman"/>
          <w:b w:val="0"/>
          <w:color w:val="auto"/>
          <w:kern w:val="0"/>
          <w:sz w:val="22"/>
          <w:szCs w:val="20"/>
        </w:rPr>
        <w:t>igital Services Taxes</w:t>
      </w:r>
      <w:r w:rsidR="00E50275" w:rsidRPr="00E50275">
        <w:rPr>
          <w:rFonts w:ascii="Calibri Light" w:hAnsi="Calibri Light" w:cs="Times New Roman"/>
          <w:b w:val="0"/>
          <w:color w:val="auto"/>
          <w:kern w:val="0"/>
          <w:sz w:val="22"/>
          <w:szCs w:val="20"/>
        </w:rPr>
        <w:t xml:space="preserve">, and the scale of the tariff retaliation and potential subsequent tariff </w:t>
      </w:r>
      <w:r w:rsidR="00C551D8" w:rsidRPr="00E50275">
        <w:rPr>
          <w:rFonts w:ascii="Calibri Light" w:hAnsi="Calibri Light" w:cs="Times New Roman"/>
          <w:b w:val="0"/>
          <w:color w:val="auto"/>
          <w:kern w:val="0"/>
          <w:sz w:val="22"/>
          <w:szCs w:val="20"/>
        </w:rPr>
        <w:t>counterretaliation</w:t>
      </w:r>
      <w:r w:rsidR="00E50275" w:rsidRPr="00E50275">
        <w:rPr>
          <w:rFonts w:ascii="Calibri Light" w:hAnsi="Calibri Light" w:cs="Times New Roman"/>
          <w:b w:val="0"/>
          <w:color w:val="auto"/>
          <w:kern w:val="0"/>
          <w:sz w:val="22"/>
          <w:szCs w:val="20"/>
        </w:rPr>
        <w:t xml:space="preserve"> by jurisdictions targeted by tariffs. Under stylised scenarios with ‘narrow’ D</w:t>
      </w:r>
      <w:r w:rsidR="00CD3F47">
        <w:rPr>
          <w:rFonts w:ascii="Calibri Light" w:hAnsi="Calibri Light" w:cs="Times New Roman"/>
          <w:b w:val="0"/>
          <w:color w:val="auto"/>
          <w:kern w:val="0"/>
          <w:sz w:val="22"/>
          <w:szCs w:val="20"/>
        </w:rPr>
        <w:t xml:space="preserve">igital Services </w:t>
      </w:r>
      <w:r w:rsidR="005034AA">
        <w:rPr>
          <w:rFonts w:ascii="Calibri Light" w:hAnsi="Calibri Light" w:cs="Times New Roman"/>
          <w:b w:val="0"/>
          <w:color w:val="auto"/>
          <w:kern w:val="0"/>
          <w:sz w:val="22"/>
          <w:szCs w:val="20"/>
        </w:rPr>
        <w:t xml:space="preserve">Tax </w:t>
      </w:r>
      <w:r w:rsidR="005034AA" w:rsidRPr="00E50275">
        <w:rPr>
          <w:rFonts w:ascii="Calibri Light" w:hAnsi="Calibri Light" w:cs="Times New Roman"/>
          <w:b w:val="0"/>
          <w:color w:val="auto"/>
          <w:kern w:val="0"/>
          <w:sz w:val="22"/>
          <w:szCs w:val="20"/>
        </w:rPr>
        <w:t>implementation</w:t>
      </w:r>
      <w:r w:rsidR="00E50275" w:rsidRPr="00E50275">
        <w:rPr>
          <w:rFonts w:ascii="Calibri Light" w:hAnsi="Calibri Light" w:cs="Times New Roman"/>
          <w:b w:val="0"/>
          <w:color w:val="auto"/>
          <w:kern w:val="0"/>
          <w:sz w:val="22"/>
          <w:szCs w:val="20"/>
        </w:rPr>
        <w:t xml:space="preserve"> (i.e. only focusing on jurisdictions currently under section 301 investigation by the United States), it is estimated that the negative effect on global GDP could reach </w:t>
      </w:r>
      <w:r w:rsidR="00E50275" w:rsidRPr="00E50275" w:rsidDel="00C551D8">
        <w:rPr>
          <w:rFonts w:ascii="Calibri Light" w:hAnsi="Calibri Light" w:cs="Times New Roman"/>
          <w:b w:val="0"/>
          <w:color w:val="auto"/>
          <w:kern w:val="0"/>
          <w:sz w:val="22"/>
          <w:szCs w:val="20"/>
        </w:rPr>
        <w:t>-</w:t>
      </w:r>
      <w:r w:rsidR="00E50275" w:rsidRPr="00E50275">
        <w:rPr>
          <w:rFonts w:ascii="Calibri Light" w:hAnsi="Calibri Light" w:cs="Times New Roman"/>
          <w:b w:val="0"/>
          <w:color w:val="auto"/>
          <w:kern w:val="0"/>
          <w:sz w:val="22"/>
          <w:szCs w:val="20"/>
        </w:rPr>
        <w:t>0.1</w:t>
      </w:r>
      <w:r w:rsidR="00C551D8">
        <w:rPr>
          <w:rFonts w:ascii="Calibri Light" w:hAnsi="Calibri Light" w:cs="Times New Roman"/>
          <w:b w:val="0"/>
          <w:color w:val="auto"/>
          <w:kern w:val="0"/>
          <w:sz w:val="22"/>
          <w:szCs w:val="20"/>
        </w:rPr>
        <w:t xml:space="preserve"> per cent</w:t>
      </w:r>
      <w:r w:rsidR="00E50275" w:rsidRPr="00E50275">
        <w:rPr>
          <w:rFonts w:ascii="Calibri Light" w:hAnsi="Calibri Light" w:cs="Times New Roman"/>
          <w:b w:val="0"/>
          <w:color w:val="auto"/>
          <w:kern w:val="0"/>
          <w:sz w:val="22"/>
          <w:szCs w:val="20"/>
        </w:rPr>
        <w:t xml:space="preserve"> to -0.2</w:t>
      </w:r>
      <w:r w:rsidR="00C551D8">
        <w:rPr>
          <w:rFonts w:ascii="Calibri Light" w:hAnsi="Calibri Light" w:cs="Times New Roman"/>
          <w:b w:val="0"/>
          <w:color w:val="auto"/>
          <w:kern w:val="0"/>
          <w:sz w:val="22"/>
          <w:szCs w:val="20"/>
        </w:rPr>
        <w:t xml:space="preserve"> per cent</w:t>
      </w:r>
      <w:r w:rsidR="00E50275" w:rsidRPr="00E50275">
        <w:rPr>
          <w:rFonts w:ascii="Calibri Light" w:hAnsi="Calibri Light" w:cs="Times New Roman"/>
          <w:b w:val="0"/>
          <w:color w:val="auto"/>
          <w:kern w:val="0"/>
          <w:sz w:val="22"/>
          <w:szCs w:val="20"/>
        </w:rPr>
        <w:t>. In scenarios with broader D</w:t>
      </w:r>
      <w:r w:rsidR="00FE6E44">
        <w:rPr>
          <w:rFonts w:ascii="Calibri Light" w:hAnsi="Calibri Light" w:cs="Times New Roman"/>
          <w:b w:val="0"/>
          <w:color w:val="auto"/>
          <w:kern w:val="0"/>
          <w:sz w:val="22"/>
          <w:szCs w:val="20"/>
        </w:rPr>
        <w:t xml:space="preserve">igital </w:t>
      </w:r>
      <w:r w:rsidR="00E50275" w:rsidRPr="00E50275">
        <w:rPr>
          <w:rFonts w:ascii="Calibri Light" w:hAnsi="Calibri Light" w:cs="Times New Roman"/>
          <w:b w:val="0"/>
          <w:color w:val="auto"/>
          <w:kern w:val="0"/>
          <w:sz w:val="22"/>
          <w:szCs w:val="20"/>
        </w:rPr>
        <w:t>S</w:t>
      </w:r>
      <w:r w:rsidR="00FE6E44">
        <w:rPr>
          <w:rFonts w:ascii="Calibri Light" w:hAnsi="Calibri Light" w:cs="Times New Roman"/>
          <w:b w:val="0"/>
          <w:color w:val="auto"/>
          <w:kern w:val="0"/>
          <w:sz w:val="22"/>
          <w:szCs w:val="20"/>
        </w:rPr>
        <w:t xml:space="preserve">ervices </w:t>
      </w:r>
      <w:r w:rsidR="00E50275" w:rsidRPr="00E50275">
        <w:rPr>
          <w:rFonts w:ascii="Calibri Light" w:hAnsi="Calibri Light" w:cs="Times New Roman"/>
          <w:b w:val="0"/>
          <w:color w:val="auto"/>
          <w:kern w:val="0"/>
          <w:sz w:val="22"/>
          <w:szCs w:val="20"/>
        </w:rPr>
        <w:t>T</w:t>
      </w:r>
      <w:r w:rsidR="00FE6E44">
        <w:rPr>
          <w:rFonts w:ascii="Calibri Light" w:hAnsi="Calibri Light" w:cs="Times New Roman"/>
          <w:b w:val="0"/>
          <w:color w:val="auto"/>
          <w:kern w:val="0"/>
          <w:sz w:val="22"/>
          <w:szCs w:val="20"/>
        </w:rPr>
        <w:t>ax</w:t>
      </w:r>
      <w:r w:rsidR="00E50275" w:rsidRPr="00E50275">
        <w:rPr>
          <w:rFonts w:ascii="Calibri Light" w:hAnsi="Calibri Light" w:cs="Times New Roman"/>
          <w:b w:val="0"/>
          <w:color w:val="auto"/>
          <w:kern w:val="0"/>
          <w:sz w:val="22"/>
          <w:szCs w:val="20"/>
        </w:rPr>
        <w:t xml:space="preserve"> implementation, the negative effect on global GDP could reach -0.4</w:t>
      </w:r>
      <w:r w:rsidR="004154EA">
        <w:rPr>
          <w:rFonts w:ascii="Calibri Light" w:hAnsi="Calibri Light" w:cs="Times New Roman"/>
          <w:b w:val="0"/>
          <w:color w:val="auto"/>
          <w:kern w:val="0"/>
          <w:sz w:val="22"/>
          <w:szCs w:val="20"/>
        </w:rPr>
        <w:t xml:space="preserve"> per cent</w:t>
      </w:r>
      <w:r w:rsidR="00E50275" w:rsidRPr="00E50275">
        <w:rPr>
          <w:rFonts w:ascii="Calibri Light" w:hAnsi="Calibri Light" w:cs="Times New Roman"/>
          <w:b w:val="0"/>
          <w:color w:val="auto"/>
          <w:kern w:val="0"/>
          <w:sz w:val="22"/>
          <w:szCs w:val="20"/>
        </w:rPr>
        <w:t xml:space="preserve"> to -1.2</w:t>
      </w:r>
      <w:r w:rsidR="004154EA">
        <w:rPr>
          <w:rFonts w:ascii="Calibri Light" w:hAnsi="Calibri Light" w:cs="Times New Roman"/>
          <w:b w:val="0"/>
          <w:color w:val="auto"/>
          <w:kern w:val="0"/>
          <w:sz w:val="22"/>
          <w:szCs w:val="20"/>
        </w:rPr>
        <w:t xml:space="preserve"> per cent</w:t>
      </w:r>
      <w:r w:rsidR="00417B22">
        <w:rPr>
          <w:rFonts w:ascii="Calibri Light" w:hAnsi="Calibri Light" w:cs="Times New Roman"/>
          <w:b w:val="0"/>
          <w:color w:val="auto"/>
          <w:kern w:val="0"/>
          <w:sz w:val="22"/>
          <w:szCs w:val="20"/>
        </w:rPr>
        <w:t>.</w:t>
      </w:r>
      <w:r w:rsidR="000005BA">
        <w:rPr>
          <w:rStyle w:val="FootnoteReference"/>
          <w:rFonts w:ascii="Calibri Light" w:hAnsi="Calibri Light" w:cs="Times New Roman"/>
          <w:b w:val="0"/>
          <w:color w:val="auto"/>
          <w:kern w:val="0"/>
          <w:szCs w:val="20"/>
        </w:rPr>
        <w:footnoteReference w:id="9"/>
      </w:r>
      <w:r w:rsidR="003C65E0">
        <w:rPr>
          <w:rFonts w:ascii="Calibri Light" w:hAnsi="Calibri Light" w:cs="Times New Roman"/>
          <w:b w:val="0"/>
          <w:color w:val="auto"/>
          <w:kern w:val="0"/>
          <w:sz w:val="22"/>
          <w:szCs w:val="20"/>
        </w:rPr>
        <w:t xml:space="preserve"> </w:t>
      </w:r>
      <w:r w:rsidR="003C65E0" w:rsidRPr="007A710D">
        <w:rPr>
          <w:rFonts w:ascii="Calibri Light" w:hAnsi="Calibri Light" w:cs="Times New Roman"/>
          <w:b w:val="0"/>
          <w:color w:val="auto"/>
          <w:kern w:val="0"/>
          <w:sz w:val="22"/>
          <w:szCs w:val="20"/>
        </w:rPr>
        <w:t>The OECD has also argued that the continued proliferation of D</w:t>
      </w:r>
      <w:r w:rsidR="00266416">
        <w:rPr>
          <w:rFonts w:ascii="Calibri Light" w:hAnsi="Calibri Light" w:cs="Times New Roman"/>
          <w:b w:val="0"/>
          <w:color w:val="auto"/>
          <w:kern w:val="0"/>
          <w:sz w:val="22"/>
          <w:szCs w:val="20"/>
        </w:rPr>
        <w:t xml:space="preserve">igital </w:t>
      </w:r>
      <w:r w:rsidR="003C65E0" w:rsidRPr="007A710D">
        <w:rPr>
          <w:rFonts w:ascii="Calibri Light" w:hAnsi="Calibri Light" w:cs="Times New Roman"/>
          <w:b w:val="0"/>
          <w:color w:val="auto"/>
          <w:kern w:val="0"/>
          <w:sz w:val="22"/>
          <w:szCs w:val="20"/>
        </w:rPr>
        <w:t>S</w:t>
      </w:r>
      <w:r w:rsidR="00266416">
        <w:rPr>
          <w:rFonts w:ascii="Calibri Light" w:hAnsi="Calibri Light" w:cs="Times New Roman"/>
          <w:b w:val="0"/>
          <w:color w:val="auto"/>
          <w:kern w:val="0"/>
          <w:sz w:val="22"/>
          <w:szCs w:val="20"/>
        </w:rPr>
        <w:t xml:space="preserve">ervices </w:t>
      </w:r>
      <w:r w:rsidR="003C65E0" w:rsidRPr="007A710D">
        <w:rPr>
          <w:rFonts w:ascii="Calibri Light" w:hAnsi="Calibri Light" w:cs="Times New Roman"/>
          <w:b w:val="0"/>
          <w:color w:val="auto"/>
          <w:kern w:val="0"/>
          <w:sz w:val="22"/>
          <w:szCs w:val="20"/>
        </w:rPr>
        <w:t>T</w:t>
      </w:r>
      <w:r w:rsidR="00266416">
        <w:rPr>
          <w:rFonts w:ascii="Calibri Light" w:hAnsi="Calibri Light" w:cs="Times New Roman"/>
          <w:b w:val="0"/>
          <w:color w:val="auto"/>
          <w:kern w:val="0"/>
          <w:sz w:val="22"/>
          <w:szCs w:val="20"/>
        </w:rPr>
        <w:t>axe</w:t>
      </w:r>
      <w:r w:rsidR="0050671E">
        <w:rPr>
          <w:rFonts w:ascii="Calibri Light" w:hAnsi="Calibri Light" w:cs="Times New Roman"/>
          <w:b w:val="0"/>
          <w:color w:val="auto"/>
          <w:kern w:val="0"/>
          <w:sz w:val="22"/>
          <w:szCs w:val="20"/>
        </w:rPr>
        <w:t>s</w:t>
      </w:r>
      <w:r w:rsidR="003C65E0" w:rsidRPr="007A710D">
        <w:rPr>
          <w:rFonts w:ascii="Calibri Light" w:hAnsi="Calibri Light" w:cs="Times New Roman"/>
          <w:b w:val="0"/>
          <w:color w:val="auto"/>
          <w:kern w:val="0"/>
          <w:sz w:val="22"/>
          <w:szCs w:val="20"/>
        </w:rPr>
        <w:t xml:space="preserve"> will increase compliance costs on businesses</w:t>
      </w:r>
      <w:r w:rsidR="003C65E0">
        <w:rPr>
          <w:rFonts w:ascii="Calibri Light" w:hAnsi="Calibri Light" w:cs="Times New Roman"/>
          <w:b w:val="0"/>
          <w:color w:val="auto"/>
          <w:kern w:val="0"/>
          <w:sz w:val="22"/>
          <w:szCs w:val="20"/>
        </w:rPr>
        <w:t>,</w:t>
      </w:r>
      <w:r w:rsidR="00C1755A">
        <w:rPr>
          <w:rFonts w:ascii="Calibri Light" w:hAnsi="Calibri Light" w:cs="Times New Roman"/>
          <w:b w:val="0"/>
          <w:color w:val="auto"/>
          <w:kern w:val="0"/>
          <w:sz w:val="22"/>
          <w:szCs w:val="20"/>
        </w:rPr>
        <w:t xml:space="preserve"> given each country will take slightly different approaches to their adoption. </w:t>
      </w:r>
      <w:r w:rsidR="003C65E0" w:rsidRPr="007A710D">
        <w:rPr>
          <w:rFonts w:ascii="Calibri Light" w:hAnsi="Calibri Light" w:cs="Times New Roman"/>
          <w:b w:val="0"/>
          <w:color w:val="auto"/>
          <w:kern w:val="0"/>
          <w:sz w:val="22"/>
          <w:szCs w:val="20"/>
        </w:rPr>
        <w:t xml:space="preserve"> </w:t>
      </w:r>
    </w:p>
    <w:p w14:paraId="7BBAD4C0" w14:textId="77777777" w:rsidR="00AF73EB" w:rsidRPr="00AF73EB" w:rsidRDefault="00AF73EB" w:rsidP="00310BF4">
      <w:pPr>
        <w:pStyle w:val="Heading3"/>
        <w:spacing w:before="120" w:after="120" w:line="240" w:lineRule="auto"/>
        <w:rPr>
          <w:b w:val="0"/>
          <w:iCs/>
          <w:color w:val="2C384A"/>
          <w:sz w:val="36"/>
          <w:szCs w:val="28"/>
        </w:rPr>
      </w:pPr>
      <w:bookmarkStart w:id="46" w:name="_Toc116375691"/>
      <w:bookmarkStart w:id="47" w:name="_Toc116380328"/>
      <w:bookmarkStart w:id="48" w:name="_Hlk114499526"/>
      <w:bookmarkStart w:id="49" w:name="_Hlk114496240"/>
      <w:r w:rsidRPr="00AF73EB">
        <w:rPr>
          <w:b w:val="0"/>
          <w:iCs/>
          <w:color w:val="2C384A"/>
          <w:sz w:val="36"/>
          <w:szCs w:val="28"/>
        </w:rPr>
        <w:t>Equity and Level playing field concerns</w:t>
      </w:r>
      <w:bookmarkEnd w:id="46"/>
      <w:bookmarkEnd w:id="47"/>
    </w:p>
    <w:p w14:paraId="4980C276" w14:textId="1917D530" w:rsidR="00F358B7" w:rsidRDefault="00573972" w:rsidP="00AF73EB">
      <w:r>
        <w:t xml:space="preserve">Without action there may </w:t>
      </w:r>
      <w:r w:rsidR="00CC50AA">
        <w:t>be a</w:t>
      </w:r>
      <w:r w:rsidR="000D0A9C">
        <w:t xml:space="preserve"> reduction in the</w:t>
      </w:r>
      <w:r w:rsidR="00F358B7">
        <w:t xml:space="preserve"> ability for </w:t>
      </w:r>
      <w:r w:rsidR="000D0A9C">
        <w:t>small</w:t>
      </w:r>
      <w:r w:rsidR="00F358B7">
        <w:t xml:space="preserve"> domestic businesses to compete equally with large multinationals</w:t>
      </w:r>
      <w:r w:rsidR="000D0A9C">
        <w:t>,</w:t>
      </w:r>
      <w:r w:rsidR="00C24E2D">
        <w:t xml:space="preserve"> </w:t>
      </w:r>
      <w:r w:rsidR="00935DCF">
        <w:t xml:space="preserve">because multinationals can use profit shifting strategies to </w:t>
      </w:r>
      <w:r w:rsidR="00362467">
        <w:t>lower tax burdens and overall costs</w:t>
      </w:r>
      <w:r w:rsidR="00F358B7">
        <w:t xml:space="preserve">. </w:t>
      </w:r>
    </w:p>
    <w:p w14:paraId="6BB0F451" w14:textId="77777777" w:rsidR="00C24E2D" w:rsidRDefault="00AF73EB" w:rsidP="00AF73EB">
      <w:r>
        <w:t xml:space="preserve">One of the key objectives of a well-designed tax system is to achieve a certain level of horizontal and vertical equity. Simplistically, vertical equity means that those earning higher income should pay </w:t>
      </w:r>
      <w:r>
        <w:lastRenderedPageBreak/>
        <w:t xml:space="preserve">proportionally more tax than those on lower incomes. Horizontal equity means those earning the same income should pay the same level of tax. </w:t>
      </w:r>
    </w:p>
    <w:p w14:paraId="7E99C441" w14:textId="425A62B0" w:rsidR="00C24E2D" w:rsidRDefault="00C24E2D" w:rsidP="00AF73EB">
      <w:r>
        <w:t>A lack of horizontal equity creates an uneven playing field</w:t>
      </w:r>
      <w:r w:rsidR="000D0A9C">
        <w:t xml:space="preserve"> in a competitive market</w:t>
      </w:r>
      <w:r>
        <w:t xml:space="preserve">. </w:t>
      </w:r>
      <w:r w:rsidR="00C01794">
        <w:t>Simply, b</w:t>
      </w:r>
      <w:r>
        <w:t xml:space="preserve">usinesses that have the ability to pay less tax on their income </w:t>
      </w:r>
      <w:r w:rsidR="000D0A9C">
        <w:t>can undercut other</w:t>
      </w:r>
      <w:r>
        <w:t xml:space="preserve"> business. Over</w:t>
      </w:r>
      <w:r w:rsidR="0032569F">
        <w:t xml:space="preserve"> </w:t>
      </w:r>
      <w:r>
        <w:t>time</w:t>
      </w:r>
      <w:r w:rsidR="0032569F">
        <w:t>,</w:t>
      </w:r>
      <w:r>
        <w:t xml:space="preserve"> this lowers </w:t>
      </w:r>
      <w:r w:rsidR="000D0A9C">
        <w:t>competition</w:t>
      </w:r>
      <w:r>
        <w:t xml:space="preserve">, which </w:t>
      </w:r>
      <w:r w:rsidR="000D0A9C">
        <w:t>may be</w:t>
      </w:r>
      <w:r>
        <w:t xml:space="preserve"> bad for </w:t>
      </w:r>
      <w:r w:rsidR="004A49C9">
        <w:t xml:space="preserve">economic </w:t>
      </w:r>
      <w:r>
        <w:t xml:space="preserve">efficiency and consumer outcomes. </w:t>
      </w:r>
    </w:p>
    <w:p w14:paraId="6C0AE321" w14:textId="1EB6E2B7" w:rsidR="00AF73EB" w:rsidRDefault="00AF73EB" w:rsidP="00AF73EB">
      <w:r>
        <w:t>In relation to corporate taxation, multinationals generally have unfair advantage</w:t>
      </w:r>
      <w:r w:rsidR="0025457C">
        <w:t>s</w:t>
      </w:r>
      <w:r>
        <w:t xml:space="preserve"> over solely domestic based Australian businesses, as multinationals typically have access </w:t>
      </w:r>
      <w:r w:rsidR="005642AC">
        <w:t xml:space="preserve">to </w:t>
      </w:r>
      <w:r>
        <w:t xml:space="preserve">additional tax minimisation strategies that are enabled from cross-border transactions with related parties. Multinationals can </w:t>
      </w:r>
      <w:r w:rsidR="0025457C">
        <w:t xml:space="preserve">also </w:t>
      </w:r>
      <w:r>
        <w:t>take advantage of other deliberate tax concessions, such as lower tax rates specified in tax treaties and more generous capital gains taxation exemptions</w:t>
      </w:r>
      <w:r w:rsidR="00A3544C">
        <w:t xml:space="preserve">, which are generally </w:t>
      </w:r>
      <w:r w:rsidR="00AE04B9">
        <w:t>designed to attract foreign investment</w:t>
      </w:r>
      <w:r>
        <w:t>.</w:t>
      </w:r>
      <w:r w:rsidRPr="00FC0370">
        <w:rPr>
          <w:noProof/>
        </w:rPr>
        <w:t xml:space="preserve"> </w:t>
      </w:r>
    </w:p>
    <w:p w14:paraId="78B84A04" w14:textId="77777777" w:rsidR="0036616C" w:rsidRDefault="0036616C" w:rsidP="00310BF4">
      <w:pPr>
        <w:pStyle w:val="Heading1"/>
        <w:spacing w:before="120" w:line="240" w:lineRule="auto"/>
      </w:pPr>
      <w:bookmarkStart w:id="50" w:name="_Toc125462472"/>
      <w:bookmarkStart w:id="51" w:name="_Toc131405122"/>
      <w:bookmarkStart w:id="52" w:name="_Toc116375705"/>
      <w:bookmarkStart w:id="53" w:name="_Toc116376474"/>
      <w:bookmarkStart w:id="54" w:name="_Toc116380342"/>
      <w:bookmarkEnd w:id="48"/>
      <w:bookmarkEnd w:id="49"/>
      <w:r>
        <w:t>Why is government action needed?</w:t>
      </w:r>
      <w:bookmarkEnd w:id="50"/>
      <w:bookmarkEnd w:id="51"/>
    </w:p>
    <w:p w14:paraId="50FC8459" w14:textId="77777777" w:rsidR="00A33867" w:rsidRDefault="00A33867" w:rsidP="00A33867">
      <w:r>
        <w:t>Government action is needed to implement an</w:t>
      </w:r>
      <w:r w:rsidRPr="00D406D1">
        <w:t xml:space="preserve"> election commitment</w:t>
      </w:r>
      <w:r>
        <w:t xml:space="preserve"> </w:t>
      </w:r>
      <w:r w:rsidRPr="00D406D1">
        <w:t>to support the OECD</w:t>
      </w:r>
      <w:r>
        <w:t>/</w:t>
      </w:r>
      <w:proofErr w:type="spellStart"/>
      <w:r>
        <w:t>G20</w:t>
      </w:r>
      <w:proofErr w:type="spellEnd"/>
      <w:r w:rsidRPr="00D406D1">
        <w:t xml:space="preserve"> Two-Pillar Solution</w:t>
      </w:r>
      <w:r>
        <w:t xml:space="preserve"> to address the tax challenges arising from the digitalisation of the economy</w:t>
      </w:r>
      <w:r w:rsidRPr="00D406D1">
        <w:t>.</w:t>
      </w:r>
    </w:p>
    <w:p w14:paraId="026E1EC8" w14:textId="69243768" w:rsidR="006E4F4C" w:rsidRDefault="00773CCD" w:rsidP="00310BF4">
      <w:r>
        <w:t>At the global level</w:t>
      </w:r>
      <w:r w:rsidR="00884C18">
        <w:t>,</w:t>
      </w:r>
      <w:r>
        <w:t xml:space="preserve"> </w:t>
      </w:r>
      <w:r w:rsidR="0036616C">
        <w:t xml:space="preserve">Government action is needed </w:t>
      </w:r>
      <w:r w:rsidR="00014714">
        <w:t xml:space="preserve">as the market acting alone will not solve </w:t>
      </w:r>
      <w:r>
        <w:t>the</w:t>
      </w:r>
      <w:r w:rsidR="00014714">
        <w:t xml:space="preserve"> </w:t>
      </w:r>
      <w:r w:rsidR="002B4954">
        <w:t>challenges in the international tax system</w:t>
      </w:r>
      <w:r w:rsidR="00014714">
        <w:t>. In fact</w:t>
      </w:r>
      <w:r w:rsidR="002B4954">
        <w:t>,</w:t>
      </w:r>
      <w:r w:rsidR="00014714">
        <w:t xml:space="preserve"> the </w:t>
      </w:r>
      <w:r w:rsidR="0064490B">
        <w:t>market-based</w:t>
      </w:r>
      <w:r w:rsidR="002B4954">
        <w:t xml:space="preserve"> </w:t>
      </w:r>
      <w:r w:rsidR="00014714">
        <w:t>tax minimisation incentive</w:t>
      </w:r>
      <w:r w:rsidR="00B929C8">
        <w:t>s</w:t>
      </w:r>
      <w:r w:rsidR="00014714">
        <w:t xml:space="preserve"> for multinationals are likely to lead </w:t>
      </w:r>
      <w:r w:rsidR="0010158F">
        <w:t xml:space="preserve">to </w:t>
      </w:r>
      <w:r w:rsidR="00014714">
        <w:t xml:space="preserve">the problems of the ‘race to the bottom’ and ‘scale without mass’ only becoming larger. </w:t>
      </w:r>
      <w:r w:rsidR="002B4954">
        <w:t>T</w:t>
      </w:r>
      <w:r w:rsidR="006E4F4C">
        <w:t xml:space="preserve">he market can also not </w:t>
      </w:r>
      <w:r w:rsidR="00C77351">
        <w:t xml:space="preserve">effectively </w:t>
      </w:r>
      <w:r w:rsidR="006E4F4C">
        <w:t xml:space="preserve">coordinate agreement </w:t>
      </w:r>
      <w:r>
        <w:t xml:space="preserve">on the design of a </w:t>
      </w:r>
      <w:r w:rsidR="001D3B78">
        <w:t>new</w:t>
      </w:r>
      <w:r w:rsidR="00C77351">
        <w:t xml:space="preserve"> tax system </w:t>
      </w:r>
      <w:r>
        <w:t xml:space="preserve">given </w:t>
      </w:r>
      <w:r w:rsidR="00D826ED">
        <w:t>the</w:t>
      </w:r>
      <w:r>
        <w:t xml:space="preserve"> </w:t>
      </w:r>
      <w:r w:rsidR="00D826ED">
        <w:t xml:space="preserve">vested interests </w:t>
      </w:r>
      <w:r w:rsidR="0064490B">
        <w:t xml:space="preserve">of incumbent </w:t>
      </w:r>
      <w:r w:rsidR="00D826ED">
        <w:t xml:space="preserve">multinationals </w:t>
      </w:r>
      <w:r w:rsidR="0064490B">
        <w:t xml:space="preserve">in </w:t>
      </w:r>
      <w:r w:rsidR="00D826ED">
        <w:t>maintaining the status quo</w:t>
      </w:r>
      <w:r>
        <w:t xml:space="preserve">. </w:t>
      </w:r>
    </w:p>
    <w:p w14:paraId="559F86F7" w14:textId="77777777" w:rsidR="00773CCD" w:rsidRDefault="00D826ED" w:rsidP="00310BF4">
      <w:r>
        <w:t xml:space="preserve">The success of </w:t>
      </w:r>
      <w:r w:rsidR="00BE74B0">
        <w:t>the Two</w:t>
      </w:r>
      <w:r w:rsidR="006713C5">
        <w:t>-</w:t>
      </w:r>
      <w:r w:rsidR="00BE74B0">
        <w:t xml:space="preserve">Pillar </w:t>
      </w:r>
      <w:r w:rsidR="006713C5">
        <w:t>S</w:t>
      </w:r>
      <w:r w:rsidR="00BE74B0">
        <w:t>olution</w:t>
      </w:r>
      <w:r w:rsidR="00EE094A">
        <w:t xml:space="preserve"> </w:t>
      </w:r>
      <w:r w:rsidR="007012AC">
        <w:t>can</w:t>
      </w:r>
      <w:r w:rsidR="00EE094A">
        <w:t xml:space="preserve"> be judged </w:t>
      </w:r>
      <w:r w:rsidR="00DB18F5">
        <w:t>to the extent it addresses the following</w:t>
      </w:r>
      <w:r w:rsidR="00EE094A">
        <w:t xml:space="preserve"> objectives: </w:t>
      </w:r>
    </w:p>
    <w:p w14:paraId="6409A74B" w14:textId="77777777" w:rsidR="004B7C21" w:rsidRDefault="00B80C3A" w:rsidP="009C440B">
      <w:pPr>
        <w:pStyle w:val="Bullet"/>
      </w:pPr>
      <w:r>
        <w:t>Ensuring m</w:t>
      </w:r>
      <w:r w:rsidR="004B7C21" w:rsidRPr="009039C9">
        <w:t xml:space="preserve">ultinationals pay </w:t>
      </w:r>
      <w:r w:rsidR="004B7C21">
        <w:t>a</w:t>
      </w:r>
      <w:r w:rsidR="004B7C21" w:rsidRPr="009039C9">
        <w:t xml:space="preserve"> fair</w:t>
      </w:r>
      <w:r w:rsidR="004B7C21">
        <w:t>er</w:t>
      </w:r>
      <w:r w:rsidR="004B7C21" w:rsidRPr="009039C9">
        <w:t xml:space="preserve"> share of tax</w:t>
      </w:r>
      <w:r w:rsidR="004B7C21">
        <w:t xml:space="preserve"> globally</w:t>
      </w:r>
      <w:r w:rsidRPr="00B80C3A">
        <w:t xml:space="preserve"> </w:t>
      </w:r>
      <w:r>
        <w:t xml:space="preserve">and are appropriately taxed in proportion to their economic </w:t>
      </w:r>
      <w:proofErr w:type="gramStart"/>
      <w:r>
        <w:t>activity</w:t>
      </w:r>
      <w:r w:rsidR="003E1ADB">
        <w:t>;</w:t>
      </w:r>
      <w:proofErr w:type="gramEnd"/>
    </w:p>
    <w:p w14:paraId="6163D8DD" w14:textId="77777777" w:rsidR="00481A6E" w:rsidRDefault="00481A6E" w:rsidP="009C440B">
      <w:pPr>
        <w:pStyle w:val="Bullet"/>
      </w:pPr>
      <w:r>
        <w:t xml:space="preserve">Equity and level playing field </w:t>
      </w:r>
      <w:proofErr w:type="gramStart"/>
      <w:r>
        <w:t>concerns;</w:t>
      </w:r>
      <w:proofErr w:type="gramEnd"/>
    </w:p>
    <w:p w14:paraId="4E837059" w14:textId="77777777" w:rsidR="00481A6E" w:rsidRDefault="00481A6E" w:rsidP="009C440B">
      <w:pPr>
        <w:pStyle w:val="Bullet"/>
        <w:spacing w:after="120" w:line="240" w:lineRule="auto"/>
      </w:pPr>
      <w:r>
        <w:t xml:space="preserve">Sustainability of the corporate tax </w:t>
      </w:r>
      <w:proofErr w:type="gramStart"/>
      <w:r>
        <w:t>base;</w:t>
      </w:r>
      <w:proofErr w:type="gramEnd"/>
      <w:r>
        <w:t xml:space="preserve"> </w:t>
      </w:r>
    </w:p>
    <w:p w14:paraId="2379ECE9" w14:textId="77777777" w:rsidR="00481A6E" w:rsidRDefault="00481A6E" w:rsidP="009C440B">
      <w:pPr>
        <w:pStyle w:val="Bullet"/>
        <w:spacing w:after="120" w:line="240" w:lineRule="auto"/>
      </w:pPr>
      <w:r>
        <w:t xml:space="preserve">Economic </w:t>
      </w:r>
      <w:proofErr w:type="gramStart"/>
      <w:r>
        <w:t>efficiency;</w:t>
      </w:r>
      <w:proofErr w:type="gramEnd"/>
    </w:p>
    <w:p w14:paraId="178273AC" w14:textId="77777777" w:rsidR="00481A6E" w:rsidRDefault="00481A6E" w:rsidP="009C440B">
      <w:pPr>
        <w:pStyle w:val="Bullet"/>
        <w:spacing w:after="120" w:line="240" w:lineRule="auto"/>
      </w:pPr>
      <w:r>
        <w:t xml:space="preserve">Promoting the stability of and consistency in the international tax </w:t>
      </w:r>
      <w:proofErr w:type="gramStart"/>
      <w:r>
        <w:t>system;</w:t>
      </w:r>
      <w:proofErr w:type="gramEnd"/>
    </w:p>
    <w:p w14:paraId="029C5CD6" w14:textId="77777777" w:rsidR="00481A6E" w:rsidRDefault="00481A6E" w:rsidP="009C440B">
      <w:pPr>
        <w:pStyle w:val="Bullet"/>
        <w:spacing w:after="120" w:line="240" w:lineRule="auto"/>
      </w:pPr>
      <w:r>
        <w:t xml:space="preserve">Facilitation of international </w:t>
      </w:r>
      <w:proofErr w:type="gramStart"/>
      <w:r>
        <w:t>trade;</w:t>
      </w:r>
      <w:proofErr w:type="gramEnd"/>
    </w:p>
    <w:p w14:paraId="43A23EEE" w14:textId="77777777" w:rsidR="00481A6E" w:rsidRDefault="00481A6E" w:rsidP="009C440B">
      <w:pPr>
        <w:pStyle w:val="Bullet"/>
        <w:spacing w:after="120" w:line="240" w:lineRule="auto"/>
      </w:pPr>
      <w:r>
        <w:t xml:space="preserve">Providing acceptable levels of business </w:t>
      </w:r>
      <w:proofErr w:type="gramStart"/>
      <w:r>
        <w:t>certainty;</w:t>
      </w:r>
      <w:proofErr w:type="gramEnd"/>
    </w:p>
    <w:p w14:paraId="42550B5A" w14:textId="77777777" w:rsidR="00481A6E" w:rsidRDefault="00481A6E" w:rsidP="009C440B">
      <w:pPr>
        <w:pStyle w:val="Bullet"/>
        <w:spacing w:after="120" w:line="240" w:lineRule="auto"/>
      </w:pPr>
      <w:r>
        <w:t>Avoiding excessive overlap in the allocation of taxing rights between jurisdictions; and</w:t>
      </w:r>
    </w:p>
    <w:p w14:paraId="53A152D6" w14:textId="77777777" w:rsidR="00481A6E" w:rsidRDefault="00481A6E" w:rsidP="009C440B">
      <w:pPr>
        <w:pStyle w:val="Bullet"/>
        <w:spacing w:after="120" w:line="240" w:lineRule="auto"/>
      </w:pPr>
      <w:r>
        <w:t>Facilitation of foreign investment.</w:t>
      </w:r>
    </w:p>
    <w:p w14:paraId="6EF3BF18" w14:textId="77777777" w:rsidR="00481A6E" w:rsidRDefault="00481A6E" w:rsidP="00310BF4"/>
    <w:p w14:paraId="17F6F661" w14:textId="77777777" w:rsidR="00B66300" w:rsidRDefault="00B66300" w:rsidP="00310BF4">
      <w:pPr>
        <w:rPr>
          <w:rFonts w:ascii="Calibri" w:hAnsi="Calibri" w:cs="Arial"/>
          <w:b/>
          <w:color w:val="5D779D" w:themeColor="accent3"/>
          <w:kern w:val="32"/>
          <w:sz w:val="44"/>
          <w:szCs w:val="36"/>
        </w:rPr>
      </w:pPr>
      <w:r>
        <w:br w:type="page"/>
      </w:r>
    </w:p>
    <w:p w14:paraId="7856A80C" w14:textId="4682E803" w:rsidR="0086751B" w:rsidRPr="008A5DB6" w:rsidRDefault="0086751B" w:rsidP="00310BF4">
      <w:pPr>
        <w:pStyle w:val="Heading1"/>
        <w:spacing w:before="120" w:line="240" w:lineRule="auto"/>
      </w:pPr>
      <w:bookmarkStart w:id="55" w:name="_Toc125462473"/>
      <w:bookmarkStart w:id="56" w:name="_Toc131405123"/>
      <w:r w:rsidRPr="008A5DB6">
        <w:lastRenderedPageBreak/>
        <w:t>Options</w:t>
      </w:r>
      <w:bookmarkEnd w:id="52"/>
      <w:bookmarkEnd w:id="53"/>
      <w:bookmarkEnd w:id="54"/>
      <w:bookmarkEnd w:id="55"/>
      <w:bookmarkEnd w:id="56"/>
    </w:p>
    <w:p w14:paraId="2F79D922" w14:textId="77777777" w:rsidR="00261692" w:rsidRDefault="009C1C6B" w:rsidP="00261692">
      <w:r>
        <w:t xml:space="preserve">The options </w:t>
      </w:r>
      <w:r w:rsidR="00B91918">
        <w:t>focus on</w:t>
      </w:r>
      <w:r>
        <w:t xml:space="preserve"> whether or not to</w:t>
      </w:r>
      <w:r w:rsidR="00261692">
        <w:t xml:space="preserve"> implement </w:t>
      </w:r>
      <w:r w:rsidR="00B91918">
        <w:t>the Government’s</w:t>
      </w:r>
      <w:r w:rsidR="00261692" w:rsidRPr="00D406D1">
        <w:t xml:space="preserve"> election commitment</w:t>
      </w:r>
      <w:r w:rsidR="00261692">
        <w:t xml:space="preserve"> </w:t>
      </w:r>
      <w:r w:rsidR="00261692" w:rsidRPr="00D406D1">
        <w:t xml:space="preserve">to </w:t>
      </w:r>
      <w:r w:rsidR="00B91918">
        <w:t>implement</w:t>
      </w:r>
      <w:r w:rsidR="00261692" w:rsidRPr="00D406D1">
        <w:t xml:space="preserve"> the </w:t>
      </w:r>
      <w:r w:rsidR="0067358E" w:rsidRPr="00D406D1">
        <w:t>Two-Pillar Solution</w:t>
      </w:r>
      <w:r w:rsidR="0067358E">
        <w:t>. The Two-</w:t>
      </w:r>
      <w:r w:rsidR="00A82E37">
        <w:t>P</w:t>
      </w:r>
      <w:r w:rsidR="0067358E">
        <w:t xml:space="preserve">illar </w:t>
      </w:r>
      <w:r w:rsidR="005E09FA">
        <w:t>S</w:t>
      </w:r>
      <w:r w:rsidR="0067358E">
        <w:t xml:space="preserve">olution is a multilateral agreement brokered through the </w:t>
      </w:r>
      <w:r w:rsidR="00261692" w:rsidRPr="00D406D1">
        <w:t>OECD</w:t>
      </w:r>
      <w:r w:rsidR="00261692">
        <w:t>/</w:t>
      </w:r>
      <w:proofErr w:type="spellStart"/>
      <w:r w:rsidR="00261692">
        <w:t>G20</w:t>
      </w:r>
      <w:proofErr w:type="spellEnd"/>
      <w:r w:rsidR="00261692" w:rsidRPr="00D406D1">
        <w:t xml:space="preserve"> </w:t>
      </w:r>
      <w:r w:rsidR="00261692">
        <w:t>to address the tax challenges arising from the digitalisation of the economy</w:t>
      </w:r>
      <w:r w:rsidR="00261692" w:rsidRPr="00D406D1">
        <w:t>.</w:t>
      </w:r>
      <w:r w:rsidR="00A000F2">
        <w:t xml:space="preserve"> </w:t>
      </w:r>
    </w:p>
    <w:p w14:paraId="708BC218" w14:textId="77777777" w:rsidR="00A000F2" w:rsidRDefault="00E46093" w:rsidP="00261692">
      <w:r w:rsidRPr="00456B2D">
        <w:t xml:space="preserve">With so much momentum to date around </w:t>
      </w:r>
      <w:r>
        <w:t>the Two-Pillar Solution</w:t>
      </w:r>
      <w:r w:rsidRPr="00456B2D">
        <w:t>, and more than 130 countries committing to key design principles in July</w:t>
      </w:r>
      <w:r>
        <w:t xml:space="preserve"> and October</w:t>
      </w:r>
      <w:r w:rsidRPr="00456B2D">
        <w:t xml:space="preserve"> 2021, the</w:t>
      </w:r>
      <w:r>
        <w:t xml:space="preserve"> assumption</w:t>
      </w:r>
      <w:r w:rsidRPr="00456B2D">
        <w:t xml:space="preserve"> at this stage is that the </w:t>
      </w:r>
      <w:r>
        <w:t>Two</w:t>
      </w:r>
      <w:r>
        <w:noBreakHyphen/>
        <w:t>Pillar Solution</w:t>
      </w:r>
      <w:r w:rsidRPr="00456B2D">
        <w:t xml:space="preserve"> will </w:t>
      </w:r>
      <w:r>
        <w:t>likely be implemented by other countries</w:t>
      </w:r>
      <w:r w:rsidRPr="00456B2D">
        <w:t>, with or without Australia.</w:t>
      </w:r>
    </w:p>
    <w:p w14:paraId="55A9D982" w14:textId="3CA2EA44" w:rsidR="005A6B06" w:rsidRPr="00BF434E" w:rsidRDefault="00D26FB1" w:rsidP="00556B55">
      <w:pPr>
        <w:rPr>
          <w:rFonts w:ascii="Calibri" w:hAnsi="Calibri"/>
          <w:color w:val="2C384A"/>
          <w:kern w:val="32"/>
          <w:sz w:val="36"/>
        </w:rPr>
      </w:pPr>
      <w:r>
        <w:t xml:space="preserve">Government </w:t>
      </w:r>
      <w:r w:rsidR="00251D70">
        <w:t>decisions</w:t>
      </w:r>
      <w:r w:rsidR="00913E79">
        <w:t xml:space="preserve"> </w:t>
      </w:r>
      <w:r w:rsidR="00F97833">
        <w:t>on</w:t>
      </w:r>
      <w:r w:rsidR="00913E79">
        <w:t xml:space="preserve"> different aspects of the Two-Pillar Solution are </w:t>
      </w:r>
      <w:r w:rsidR="00F97833">
        <w:t xml:space="preserve">needed at different times </w:t>
      </w:r>
      <w:r w:rsidR="00355776">
        <w:t xml:space="preserve">based on specific implementation mechanisms and timeframes. </w:t>
      </w:r>
      <w:r w:rsidR="0070590C">
        <w:t>On this basis, t</w:t>
      </w:r>
      <w:r w:rsidR="00611C12">
        <w:t xml:space="preserve">he options below separate </w:t>
      </w:r>
      <w:r w:rsidR="006B447F">
        <w:t xml:space="preserve">Pillar One from Pillar Two, although the Government’s election commitment and the Inclusive Framework </w:t>
      </w:r>
      <w:r w:rsidR="00C65546">
        <w:t>statement view both Pillars (and their constituent elements) as a package.</w:t>
      </w:r>
      <w:bookmarkStart w:id="57" w:name="_Toc116375707"/>
      <w:bookmarkStart w:id="58" w:name="_Toc116380344"/>
    </w:p>
    <w:p w14:paraId="700A4364" w14:textId="4C129CD5" w:rsidR="00E548BA" w:rsidRDefault="00DD2EAA" w:rsidP="00310BF4">
      <w:pPr>
        <w:pStyle w:val="Heading2"/>
        <w:spacing w:before="120" w:line="240" w:lineRule="auto"/>
      </w:pPr>
      <w:r>
        <w:t xml:space="preserve">Option 1: </w:t>
      </w:r>
      <w:r w:rsidR="004C6608">
        <w:t xml:space="preserve">Australia to implement </w:t>
      </w:r>
      <w:r w:rsidR="00E548BA">
        <w:t>Pillar One</w:t>
      </w:r>
      <w:bookmarkEnd w:id="57"/>
      <w:bookmarkEnd w:id="58"/>
    </w:p>
    <w:tbl>
      <w:tblPr>
        <w:tblStyle w:val="TableGrid"/>
        <w:tblW w:w="0" w:type="auto"/>
        <w:shd w:val="clear" w:color="auto" w:fill="CDD5E1" w:themeFill="accent1" w:themeFillTint="33"/>
        <w:tblLook w:val="04A0" w:firstRow="1" w:lastRow="0" w:firstColumn="1" w:lastColumn="0" w:noHBand="0" w:noVBand="1"/>
      </w:tblPr>
      <w:tblGrid>
        <w:gridCol w:w="3402"/>
        <w:gridCol w:w="5668"/>
      </w:tblGrid>
      <w:tr w:rsidR="00B66300" w14:paraId="1F84F045" w14:textId="77777777">
        <w:trPr>
          <w:cnfStyle w:val="100000000000" w:firstRow="1" w:lastRow="0" w:firstColumn="0" w:lastColumn="0" w:oddVBand="0" w:evenVBand="0" w:oddHBand="0" w:evenHBand="0" w:firstRowFirstColumn="0" w:firstRowLastColumn="0" w:lastRowFirstColumn="0" w:lastRowLastColumn="0"/>
        </w:trPr>
        <w:tc>
          <w:tcPr>
            <w:tcW w:w="9070" w:type="dxa"/>
            <w:gridSpan w:val="2"/>
            <w:shd w:val="clear" w:color="auto" w:fill="CDD5E1" w:themeFill="accent1" w:themeFillTint="33"/>
          </w:tcPr>
          <w:p w14:paraId="54C83422" w14:textId="77777777" w:rsidR="00B66300" w:rsidRDefault="00B66300" w:rsidP="00310BF4">
            <w:pPr>
              <w:spacing w:beforeLines="0" w:afterLines="0"/>
              <w:jc w:val="center"/>
            </w:pPr>
            <w:r>
              <w:t>Pillar One Summary</w:t>
            </w:r>
          </w:p>
        </w:tc>
      </w:tr>
      <w:tr w:rsidR="00B66300" w14:paraId="0D3BB920" w14:textId="77777777">
        <w:tc>
          <w:tcPr>
            <w:tcW w:w="3402" w:type="dxa"/>
            <w:shd w:val="clear" w:color="auto" w:fill="CDD5E1" w:themeFill="accent1" w:themeFillTint="33"/>
          </w:tcPr>
          <w:p w14:paraId="4A023A78" w14:textId="77777777" w:rsidR="00B66300" w:rsidRPr="00B663EA" w:rsidRDefault="00B66300">
            <w:pPr>
              <w:rPr>
                <w:b/>
                <w:bCs/>
              </w:rPr>
            </w:pPr>
            <w:bookmarkStart w:id="59" w:name="_Hlk118475802"/>
            <w:r w:rsidRPr="00B663EA">
              <w:rPr>
                <w:b/>
                <w:bCs/>
              </w:rPr>
              <w:t>What does it do?</w:t>
            </w:r>
          </w:p>
        </w:tc>
        <w:tc>
          <w:tcPr>
            <w:tcW w:w="5668" w:type="dxa"/>
            <w:shd w:val="clear" w:color="auto" w:fill="CDD5E1" w:themeFill="accent1" w:themeFillTint="33"/>
          </w:tcPr>
          <w:p w14:paraId="5289D84C" w14:textId="77777777" w:rsidR="00B66300" w:rsidRDefault="005A5D95">
            <w:r>
              <w:t>Reallocates</w:t>
            </w:r>
            <w:r w:rsidDel="00BD7274">
              <w:t xml:space="preserve"> </w:t>
            </w:r>
            <w:r w:rsidR="00B66300">
              <w:t>corporate income taxation rights to</w:t>
            </w:r>
            <w:r>
              <w:t>wards</w:t>
            </w:r>
            <w:r w:rsidR="00B66300">
              <w:t xml:space="preserve"> countries where the end consumers are located. </w:t>
            </w:r>
          </w:p>
        </w:tc>
      </w:tr>
      <w:tr w:rsidR="00B66300" w14:paraId="517DF8C8" w14:textId="77777777">
        <w:tc>
          <w:tcPr>
            <w:tcW w:w="3402" w:type="dxa"/>
            <w:shd w:val="clear" w:color="auto" w:fill="CDD5E1" w:themeFill="accent1" w:themeFillTint="33"/>
          </w:tcPr>
          <w:p w14:paraId="4739A81D" w14:textId="77777777" w:rsidR="00B66300" w:rsidRPr="00B663EA" w:rsidRDefault="00B66300">
            <w:pPr>
              <w:rPr>
                <w:b/>
                <w:bCs/>
              </w:rPr>
            </w:pPr>
            <w:r>
              <w:rPr>
                <w:b/>
                <w:bCs/>
              </w:rPr>
              <w:t>What do multinationals do differently?</w:t>
            </w:r>
            <w:r w:rsidRPr="00B663EA">
              <w:rPr>
                <w:b/>
                <w:bCs/>
              </w:rPr>
              <w:t xml:space="preserve"> </w:t>
            </w:r>
          </w:p>
        </w:tc>
        <w:tc>
          <w:tcPr>
            <w:tcW w:w="5668" w:type="dxa"/>
            <w:shd w:val="clear" w:color="auto" w:fill="CDD5E1" w:themeFill="accent1" w:themeFillTint="33"/>
          </w:tcPr>
          <w:p w14:paraId="09F32FD0" w14:textId="77777777" w:rsidR="00B66300" w:rsidRDefault="00B66300">
            <w:r>
              <w:t xml:space="preserve">Multinationals will need to complete a new global tax return, and more closely track the location of their customers.  </w:t>
            </w:r>
          </w:p>
        </w:tc>
      </w:tr>
      <w:tr w:rsidR="00B66300" w14:paraId="71CCF80B" w14:textId="77777777">
        <w:tc>
          <w:tcPr>
            <w:tcW w:w="3402" w:type="dxa"/>
            <w:shd w:val="clear" w:color="auto" w:fill="CDD5E1" w:themeFill="accent1" w:themeFillTint="33"/>
          </w:tcPr>
          <w:p w14:paraId="68BDEFAA" w14:textId="77777777" w:rsidR="00B66300" w:rsidRPr="00B663EA" w:rsidRDefault="00B66300">
            <w:pPr>
              <w:rPr>
                <w:b/>
                <w:bCs/>
              </w:rPr>
            </w:pPr>
            <w:r w:rsidRPr="00B663EA">
              <w:rPr>
                <w:b/>
                <w:bCs/>
              </w:rPr>
              <w:t>Who is in scope?</w:t>
            </w:r>
          </w:p>
        </w:tc>
        <w:tc>
          <w:tcPr>
            <w:tcW w:w="5668" w:type="dxa"/>
            <w:shd w:val="clear" w:color="auto" w:fill="CDD5E1" w:themeFill="accent1" w:themeFillTint="33"/>
          </w:tcPr>
          <w:p w14:paraId="59A032E2" w14:textId="77777777" w:rsidR="00B66300" w:rsidRDefault="00B66300">
            <w:r>
              <w:t>Multinationals who have greater than EUR20 billion revenue per annum and also have a profit to revenue ratio exceeding 10</w:t>
            </w:r>
            <w:r w:rsidR="00BD7274">
              <w:t xml:space="preserve"> per cent</w:t>
            </w:r>
            <w:r>
              <w:t>.</w:t>
            </w:r>
          </w:p>
        </w:tc>
      </w:tr>
      <w:tr w:rsidR="00B66300" w14:paraId="724838FE" w14:textId="77777777">
        <w:tc>
          <w:tcPr>
            <w:tcW w:w="3402" w:type="dxa"/>
            <w:shd w:val="clear" w:color="auto" w:fill="CDD5E1" w:themeFill="accent1" w:themeFillTint="33"/>
          </w:tcPr>
          <w:p w14:paraId="5F54A612" w14:textId="77777777" w:rsidR="00B66300" w:rsidRPr="00B663EA" w:rsidRDefault="00B66300">
            <w:pPr>
              <w:rPr>
                <w:b/>
                <w:bCs/>
              </w:rPr>
            </w:pPr>
            <w:r w:rsidRPr="00B663EA">
              <w:rPr>
                <w:b/>
                <w:bCs/>
              </w:rPr>
              <w:t>Major exemptions?</w:t>
            </w:r>
          </w:p>
        </w:tc>
        <w:tc>
          <w:tcPr>
            <w:tcW w:w="5668" w:type="dxa"/>
            <w:shd w:val="clear" w:color="auto" w:fill="CDD5E1" w:themeFill="accent1" w:themeFillTint="33"/>
          </w:tcPr>
          <w:p w14:paraId="4D73E5EB" w14:textId="77777777" w:rsidR="00B66300" w:rsidRDefault="00B66300">
            <w:r>
              <w:t xml:space="preserve">Extractive Industries, Regulated Financial Services and Government enterprises. </w:t>
            </w:r>
          </w:p>
        </w:tc>
      </w:tr>
    </w:tbl>
    <w:bookmarkEnd w:id="59"/>
    <w:p w14:paraId="57BF5332" w14:textId="5709FB05" w:rsidR="00B66300" w:rsidRDefault="00B66300" w:rsidP="00C92427">
      <w:r>
        <w:rPr>
          <w:noProof/>
        </w:rPr>
        <w:lastRenderedPageBreak/>
        <mc:AlternateContent>
          <mc:Choice Requires="wps">
            <w:drawing>
              <wp:inline distT="0" distB="0" distL="0" distR="0" wp14:anchorId="1FE696B5" wp14:editId="5031AC62">
                <wp:extent cx="5756910" cy="3609833"/>
                <wp:effectExtent l="0" t="0" r="15240" b="1016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609833"/>
                        </a:xfrm>
                        <a:prstGeom prst="rect">
                          <a:avLst/>
                        </a:prstGeom>
                        <a:solidFill>
                          <a:srgbClr val="2C384A">
                            <a:lumMod val="20000"/>
                            <a:lumOff val="80000"/>
                          </a:srgbClr>
                        </a:solidFill>
                        <a:ln w="9525">
                          <a:solidFill>
                            <a:srgbClr val="000000"/>
                          </a:solidFill>
                          <a:miter lim="800000"/>
                          <a:headEnd/>
                          <a:tailEnd/>
                        </a:ln>
                      </wps:spPr>
                      <wps:txbx>
                        <w:txbxContent>
                          <w:p w14:paraId="30B5064A" w14:textId="77777777" w:rsidR="00C60F30" w:rsidRPr="00AB5E5A" w:rsidRDefault="00C60F30" w:rsidP="00B66300">
                            <w:pPr>
                              <w:jc w:val="center"/>
                              <w:rPr>
                                <w:b/>
                                <w:bCs/>
                                <w:sz w:val="20"/>
                              </w:rPr>
                            </w:pPr>
                            <w:r w:rsidRPr="00AB5E5A">
                              <w:rPr>
                                <w:b/>
                                <w:bCs/>
                                <w:sz w:val="20"/>
                              </w:rPr>
                              <w:t>Pillar One Cameo</w:t>
                            </w:r>
                          </w:p>
                          <w:p w14:paraId="2BBF13B5" w14:textId="77777777" w:rsidR="00C60F30" w:rsidRPr="00AB5E5A" w:rsidRDefault="00C60F30" w:rsidP="00B66300">
                            <w:pPr>
                              <w:rPr>
                                <w:sz w:val="20"/>
                              </w:rPr>
                            </w:pPr>
                            <w:r w:rsidRPr="00AB5E5A">
                              <w:rPr>
                                <w:sz w:val="20"/>
                              </w:rPr>
                              <w:t xml:space="preserve">Megacorporation </w:t>
                            </w:r>
                            <w:r>
                              <w:rPr>
                                <w:sz w:val="20"/>
                              </w:rPr>
                              <w:t>has customers</w:t>
                            </w:r>
                            <w:r w:rsidRPr="00AB5E5A">
                              <w:rPr>
                                <w:sz w:val="20"/>
                              </w:rPr>
                              <w:t xml:space="preserve"> in nearly every country in the world, has large revenues and is highly profitable. To minimise global taxation</w:t>
                            </w:r>
                            <w:r>
                              <w:rPr>
                                <w:sz w:val="20"/>
                              </w:rPr>
                              <w:t>,</w:t>
                            </w:r>
                            <w:r w:rsidRPr="00AB5E5A">
                              <w:rPr>
                                <w:sz w:val="20"/>
                              </w:rPr>
                              <w:t xml:space="preserve"> Megacorporation has consolidated the majority of their intellectual </w:t>
                            </w:r>
                            <w:r>
                              <w:rPr>
                                <w:sz w:val="20"/>
                              </w:rPr>
                              <w:t xml:space="preserve">property </w:t>
                            </w:r>
                            <w:r w:rsidRPr="00AB5E5A">
                              <w:rPr>
                                <w:sz w:val="20"/>
                              </w:rPr>
                              <w:t>and intangible assets in a low</w:t>
                            </w:r>
                            <w:r>
                              <w:rPr>
                                <w:sz w:val="20"/>
                              </w:rPr>
                              <w:t>-</w:t>
                            </w:r>
                            <w:r w:rsidRPr="00AB5E5A">
                              <w:rPr>
                                <w:sz w:val="20"/>
                              </w:rPr>
                              <w:t>tax jurisdiction (also known as</w:t>
                            </w:r>
                            <w:r>
                              <w:rPr>
                                <w:sz w:val="20"/>
                              </w:rPr>
                              <w:t xml:space="preserve"> an</w:t>
                            </w:r>
                            <w:r w:rsidRPr="00AB5E5A">
                              <w:rPr>
                                <w:sz w:val="20"/>
                              </w:rPr>
                              <w:t xml:space="preserve"> investment hub). The legal entity operating in the investment hub </w:t>
                            </w:r>
                            <w:r>
                              <w:rPr>
                                <w:sz w:val="20"/>
                              </w:rPr>
                              <w:t>uses a profit shifting strategy of charging high</w:t>
                            </w:r>
                            <w:r w:rsidRPr="00AB5E5A">
                              <w:rPr>
                                <w:sz w:val="20"/>
                              </w:rPr>
                              <w:t xml:space="preserve"> fees to Megacorporation’s subsidiaries </w:t>
                            </w:r>
                            <w:r>
                              <w:rPr>
                                <w:sz w:val="20"/>
                              </w:rPr>
                              <w:t xml:space="preserve">operating </w:t>
                            </w:r>
                            <w:r w:rsidRPr="00AB5E5A">
                              <w:rPr>
                                <w:sz w:val="20"/>
                              </w:rPr>
                              <w:t>in higher taxing countries</w:t>
                            </w:r>
                            <w:r>
                              <w:rPr>
                                <w:sz w:val="20"/>
                              </w:rPr>
                              <w:t>, generally where customers are located</w:t>
                            </w:r>
                            <w:r w:rsidRPr="00AB5E5A">
                              <w:rPr>
                                <w:sz w:val="20"/>
                              </w:rPr>
                              <w:t xml:space="preserve">. </w:t>
                            </w:r>
                          </w:p>
                          <w:p w14:paraId="5C63E3E3" w14:textId="77777777" w:rsidR="00C60F30" w:rsidRPr="00AB5E5A" w:rsidRDefault="00C60F30" w:rsidP="00B66300">
                            <w:pPr>
                              <w:rPr>
                                <w:sz w:val="20"/>
                              </w:rPr>
                            </w:pPr>
                            <w:r w:rsidRPr="00AB5E5A">
                              <w:rPr>
                                <w:sz w:val="20"/>
                              </w:rPr>
                              <w:t>Once in scope of Pillar One, Megacorporation will need to file a new type of global tax return. The new global tax return will then be used to assign a portion of Megacorporation’s profits to be taxed in the countries according to where revenue was derived (where consumers are located). This is opposed to the existing corporate tax system</w:t>
                            </w:r>
                            <w:r>
                              <w:rPr>
                                <w:sz w:val="20"/>
                              </w:rPr>
                              <w:t>,</w:t>
                            </w:r>
                            <w:r w:rsidRPr="00AB5E5A">
                              <w:rPr>
                                <w:sz w:val="20"/>
                              </w:rPr>
                              <w:t xml:space="preserve"> that </w:t>
                            </w:r>
                            <w:r>
                              <w:rPr>
                                <w:sz w:val="20"/>
                              </w:rPr>
                              <w:t xml:space="preserve">generally </w:t>
                            </w:r>
                            <w:r w:rsidRPr="00AB5E5A">
                              <w:rPr>
                                <w:sz w:val="20"/>
                              </w:rPr>
                              <w:t xml:space="preserve">allocates taxing rights based on where </w:t>
                            </w:r>
                            <w:r>
                              <w:rPr>
                                <w:sz w:val="20"/>
                              </w:rPr>
                              <w:t>profits are legally reported within Megacorporation’s businesses</w:t>
                            </w:r>
                            <w:r w:rsidRPr="00AB5E5A">
                              <w:rPr>
                                <w:sz w:val="20"/>
                              </w:rPr>
                              <w:t xml:space="preserve">.  </w:t>
                            </w:r>
                          </w:p>
                          <w:p w14:paraId="7F2A7332" w14:textId="77777777" w:rsidR="00C60F30" w:rsidRPr="00AB5E5A" w:rsidRDefault="00C60F30" w:rsidP="00B66300">
                            <w:pPr>
                              <w:rPr>
                                <w:sz w:val="20"/>
                              </w:rPr>
                            </w:pPr>
                            <w:r>
                              <w:rPr>
                                <w:sz w:val="20"/>
                              </w:rPr>
                              <w:t>F</w:t>
                            </w:r>
                            <w:r w:rsidRPr="00AB5E5A">
                              <w:rPr>
                                <w:sz w:val="20"/>
                              </w:rPr>
                              <w:t xml:space="preserve">or a country that has consumers (also known as a </w:t>
                            </w:r>
                            <w:r>
                              <w:rPr>
                                <w:sz w:val="20"/>
                              </w:rPr>
                              <w:t>‘</w:t>
                            </w:r>
                            <w:r w:rsidRPr="00AB5E5A">
                              <w:rPr>
                                <w:sz w:val="20"/>
                              </w:rPr>
                              <w:t>market jurisdiction</w:t>
                            </w:r>
                            <w:r>
                              <w:rPr>
                                <w:sz w:val="20"/>
                              </w:rPr>
                              <w:t>’</w:t>
                            </w:r>
                            <w:r w:rsidRPr="00AB5E5A">
                              <w:rPr>
                                <w:sz w:val="20"/>
                              </w:rPr>
                              <w:t xml:space="preserve">) they may have additional taxation rights allocated to them (known as Amount A). </w:t>
                            </w:r>
                            <w:r>
                              <w:rPr>
                                <w:sz w:val="20"/>
                              </w:rPr>
                              <w:t>I</w:t>
                            </w:r>
                            <w:r w:rsidRPr="00AB5E5A">
                              <w:rPr>
                                <w:sz w:val="20"/>
                              </w:rPr>
                              <w:t>nvestment hub</w:t>
                            </w:r>
                            <w:r>
                              <w:rPr>
                                <w:sz w:val="20"/>
                              </w:rPr>
                              <w:t>s</w:t>
                            </w:r>
                            <w:r w:rsidRPr="00AB5E5A">
                              <w:rPr>
                                <w:sz w:val="20"/>
                              </w:rPr>
                              <w:t xml:space="preserve"> will have reduced taxing rights, as they will be expected to relieve double taxation. From Megacorporation’s point of view</w:t>
                            </w:r>
                            <w:r>
                              <w:rPr>
                                <w:sz w:val="20"/>
                              </w:rPr>
                              <w:t>,</w:t>
                            </w:r>
                            <w:r w:rsidRPr="00AB5E5A">
                              <w:rPr>
                                <w:sz w:val="20"/>
                              </w:rPr>
                              <w:t xml:space="preserve"> they pay slightly more tax overall, as some of the taxing rights on their profits are shifted from low</w:t>
                            </w:r>
                            <w:r>
                              <w:rPr>
                                <w:sz w:val="20"/>
                              </w:rPr>
                              <w:t>-</w:t>
                            </w:r>
                            <w:r w:rsidRPr="00AB5E5A">
                              <w:rPr>
                                <w:sz w:val="20"/>
                              </w:rPr>
                              <w:t>tax jurisdictions to generally higher taxed market jurisdictions.</w:t>
                            </w:r>
                          </w:p>
                          <w:p w14:paraId="1A924F69" w14:textId="77777777" w:rsidR="00C60F30" w:rsidRPr="00294836" w:rsidRDefault="00C60F30" w:rsidP="00B66300">
                            <w:pPr>
                              <w:rPr>
                                <w:szCs w:val="22"/>
                              </w:rPr>
                            </w:pPr>
                            <w:r w:rsidRPr="00AB5E5A">
                              <w:rPr>
                                <w:sz w:val="20"/>
                              </w:rPr>
                              <w:t xml:space="preserve">Megacorporation will not have to pay any Digital Services Taxes, as to receive the new </w:t>
                            </w:r>
                            <w:r>
                              <w:rPr>
                                <w:sz w:val="20"/>
                              </w:rPr>
                              <w:t xml:space="preserve">Amount A </w:t>
                            </w:r>
                            <w:r w:rsidRPr="00AB5E5A">
                              <w:rPr>
                                <w:sz w:val="20"/>
                              </w:rPr>
                              <w:t xml:space="preserve">taxing right, countries must remove and commit not </w:t>
                            </w:r>
                            <w:r>
                              <w:rPr>
                                <w:sz w:val="20"/>
                              </w:rPr>
                              <w:t xml:space="preserve">to </w:t>
                            </w:r>
                            <w:r w:rsidRPr="00AB5E5A">
                              <w:rPr>
                                <w:sz w:val="20"/>
                              </w:rPr>
                              <w:t>introduce a Digital Services Tax. In addition, Megacorporation also benefits from improved Tax Certainty processes, by streamlining the resolution of some of their tax disputes with individual countries</w:t>
                            </w:r>
                            <w:r w:rsidRPr="00294836">
                              <w:rPr>
                                <w:szCs w:val="22"/>
                              </w:rPr>
                              <w:t>.</w:t>
                            </w:r>
                          </w:p>
                        </w:txbxContent>
                      </wps:txbx>
                      <wps:bodyPr rot="0" vert="horz" wrap="square" lIns="91440" tIns="45720" rIns="91440" bIns="45720" anchor="t" anchorCtr="0">
                        <a:noAutofit/>
                      </wps:bodyPr>
                    </wps:wsp>
                  </a:graphicData>
                </a:graphic>
              </wp:inline>
            </w:drawing>
          </mc:Choice>
          <mc:Fallback>
            <w:pict>
              <v:shape w14:anchorId="1FE696B5" id="Text Box 62" o:spid="_x0000_s1029" type="#_x0000_t202" style="width:453.3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" fillcolor="#ced6e2">
                <v:textbox>
                  <w:txbxContent>
                    <w:p w14:paraId="30B5064A" w14:textId="77777777" w:rsidR="00C60F30" w:rsidRPr="00AB5E5A" w:rsidRDefault="00C60F30" w:rsidP="00B66300">
                      <w:pPr>
                        <w:jc w:val="center"/>
                        <w:rPr>
                          <w:b/>
                          <w:bCs/>
                          <w:sz w:val="20"/>
                        </w:rPr>
                      </w:pPr>
                      <w:r w:rsidRPr="00AB5E5A">
                        <w:rPr>
                          <w:b/>
                          <w:bCs/>
                          <w:sz w:val="20"/>
                        </w:rPr>
                        <w:t>Pillar One Cameo</w:t>
                      </w:r>
                    </w:p>
                    <w:p w14:paraId="2BBF13B5" w14:textId="77777777" w:rsidR="00C60F30" w:rsidRPr="00AB5E5A" w:rsidRDefault="00C60F30" w:rsidP="00B66300">
                      <w:pPr>
                        <w:rPr>
                          <w:sz w:val="20"/>
                        </w:rPr>
                      </w:pPr>
                      <w:r w:rsidRPr="00AB5E5A">
                        <w:rPr>
                          <w:sz w:val="20"/>
                        </w:rPr>
                        <w:t xml:space="preserve">Megacorporation </w:t>
                      </w:r>
                      <w:r>
                        <w:rPr>
                          <w:sz w:val="20"/>
                        </w:rPr>
                        <w:t>has customers</w:t>
                      </w:r>
                      <w:r w:rsidRPr="00AB5E5A">
                        <w:rPr>
                          <w:sz w:val="20"/>
                        </w:rPr>
                        <w:t xml:space="preserve"> in nearly every country in the world, has large revenues and is highly profitable. To minimise global taxation</w:t>
                      </w:r>
                      <w:r>
                        <w:rPr>
                          <w:sz w:val="20"/>
                        </w:rPr>
                        <w:t>,</w:t>
                      </w:r>
                      <w:r w:rsidRPr="00AB5E5A">
                        <w:rPr>
                          <w:sz w:val="20"/>
                        </w:rPr>
                        <w:t xml:space="preserve"> Megacorporation has consolidated the majority of their intellectual </w:t>
                      </w:r>
                      <w:r>
                        <w:rPr>
                          <w:sz w:val="20"/>
                        </w:rPr>
                        <w:t xml:space="preserve">property </w:t>
                      </w:r>
                      <w:r w:rsidRPr="00AB5E5A">
                        <w:rPr>
                          <w:sz w:val="20"/>
                        </w:rPr>
                        <w:t>and intangible assets in a low</w:t>
                      </w:r>
                      <w:r>
                        <w:rPr>
                          <w:sz w:val="20"/>
                        </w:rPr>
                        <w:t>-</w:t>
                      </w:r>
                      <w:r w:rsidRPr="00AB5E5A">
                        <w:rPr>
                          <w:sz w:val="20"/>
                        </w:rPr>
                        <w:t>tax jurisdiction (also known as</w:t>
                      </w:r>
                      <w:r>
                        <w:rPr>
                          <w:sz w:val="20"/>
                        </w:rPr>
                        <w:t xml:space="preserve"> an</w:t>
                      </w:r>
                      <w:r w:rsidRPr="00AB5E5A">
                        <w:rPr>
                          <w:sz w:val="20"/>
                        </w:rPr>
                        <w:t xml:space="preserve"> investment hub). The legal entity operating in the investment hub </w:t>
                      </w:r>
                      <w:r>
                        <w:rPr>
                          <w:sz w:val="20"/>
                        </w:rPr>
                        <w:t>uses a profit shifting strategy of charging high</w:t>
                      </w:r>
                      <w:r w:rsidRPr="00AB5E5A">
                        <w:rPr>
                          <w:sz w:val="20"/>
                        </w:rPr>
                        <w:t xml:space="preserve"> fees to Megacorporation’s subsidiaries </w:t>
                      </w:r>
                      <w:r>
                        <w:rPr>
                          <w:sz w:val="20"/>
                        </w:rPr>
                        <w:t xml:space="preserve">operating </w:t>
                      </w:r>
                      <w:r w:rsidRPr="00AB5E5A">
                        <w:rPr>
                          <w:sz w:val="20"/>
                        </w:rPr>
                        <w:t>in higher taxing countries</w:t>
                      </w:r>
                      <w:r>
                        <w:rPr>
                          <w:sz w:val="20"/>
                        </w:rPr>
                        <w:t>, generally where customers are located</w:t>
                      </w:r>
                      <w:r w:rsidRPr="00AB5E5A">
                        <w:rPr>
                          <w:sz w:val="20"/>
                        </w:rPr>
                        <w:t xml:space="preserve">. </w:t>
                      </w:r>
                    </w:p>
                    <w:p w14:paraId="5C63E3E3" w14:textId="77777777" w:rsidR="00C60F30" w:rsidRPr="00AB5E5A" w:rsidRDefault="00C60F30" w:rsidP="00B66300">
                      <w:pPr>
                        <w:rPr>
                          <w:sz w:val="20"/>
                        </w:rPr>
                      </w:pPr>
                      <w:r w:rsidRPr="00AB5E5A">
                        <w:rPr>
                          <w:sz w:val="20"/>
                        </w:rPr>
                        <w:t>Once in scope of Pillar One, Megacorporation will need to file a new type of global tax return. The new global tax return will then be used to assign a portion of Megacorporation’s profits to be taxed in the countries according to where revenue was derived (where consumers are located). This is opposed to the existing corporate tax system</w:t>
                      </w:r>
                      <w:r>
                        <w:rPr>
                          <w:sz w:val="20"/>
                        </w:rPr>
                        <w:t>,</w:t>
                      </w:r>
                      <w:r w:rsidRPr="00AB5E5A">
                        <w:rPr>
                          <w:sz w:val="20"/>
                        </w:rPr>
                        <w:t xml:space="preserve"> that </w:t>
                      </w:r>
                      <w:r>
                        <w:rPr>
                          <w:sz w:val="20"/>
                        </w:rPr>
                        <w:t xml:space="preserve">generally </w:t>
                      </w:r>
                      <w:r w:rsidRPr="00AB5E5A">
                        <w:rPr>
                          <w:sz w:val="20"/>
                        </w:rPr>
                        <w:t xml:space="preserve">allocates taxing rights based on where </w:t>
                      </w:r>
                      <w:r>
                        <w:rPr>
                          <w:sz w:val="20"/>
                        </w:rPr>
                        <w:t>profits are legally reported within Megacorporation’s businesses</w:t>
                      </w:r>
                      <w:r w:rsidRPr="00AB5E5A">
                        <w:rPr>
                          <w:sz w:val="20"/>
                        </w:rPr>
                        <w:t xml:space="preserve">.  </w:t>
                      </w:r>
                    </w:p>
                    <w:p w14:paraId="7F2A7332" w14:textId="77777777" w:rsidR="00C60F30" w:rsidRPr="00AB5E5A" w:rsidRDefault="00C60F30" w:rsidP="00B66300">
                      <w:pPr>
                        <w:rPr>
                          <w:sz w:val="20"/>
                        </w:rPr>
                      </w:pPr>
                      <w:r>
                        <w:rPr>
                          <w:sz w:val="20"/>
                        </w:rPr>
                        <w:t>F</w:t>
                      </w:r>
                      <w:r w:rsidRPr="00AB5E5A">
                        <w:rPr>
                          <w:sz w:val="20"/>
                        </w:rPr>
                        <w:t xml:space="preserve">or a country that has consumers (also known as a </w:t>
                      </w:r>
                      <w:r>
                        <w:rPr>
                          <w:sz w:val="20"/>
                        </w:rPr>
                        <w:t>‘</w:t>
                      </w:r>
                      <w:r w:rsidRPr="00AB5E5A">
                        <w:rPr>
                          <w:sz w:val="20"/>
                        </w:rPr>
                        <w:t>market jurisdiction</w:t>
                      </w:r>
                      <w:r>
                        <w:rPr>
                          <w:sz w:val="20"/>
                        </w:rPr>
                        <w:t>’</w:t>
                      </w:r>
                      <w:r w:rsidRPr="00AB5E5A">
                        <w:rPr>
                          <w:sz w:val="20"/>
                        </w:rPr>
                        <w:t xml:space="preserve">) they may have additional taxation rights allocated to them (known as Amount A). </w:t>
                      </w:r>
                      <w:r>
                        <w:rPr>
                          <w:sz w:val="20"/>
                        </w:rPr>
                        <w:t>I</w:t>
                      </w:r>
                      <w:r w:rsidRPr="00AB5E5A">
                        <w:rPr>
                          <w:sz w:val="20"/>
                        </w:rPr>
                        <w:t>nvestment hub</w:t>
                      </w:r>
                      <w:r>
                        <w:rPr>
                          <w:sz w:val="20"/>
                        </w:rPr>
                        <w:t>s</w:t>
                      </w:r>
                      <w:r w:rsidRPr="00AB5E5A">
                        <w:rPr>
                          <w:sz w:val="20"/>
                        </w:rPr>
                        <w:t xml:space="preserve"> will have reduced taxing rights, as they will be expected to relieve double taxation. From Megacorporation’s point of view</w:t>
                      </w:r>
                      <w:r>
                        <w:rPr>
                          <w:sz w:val="20"/>
                        </w:rPr>
                        <w:t>,</w:t>
                      </w:r>
                      <w:r w:rsidRPr="00AB5E5A">
                        <w:rPr>
                          <w:sz w:val="20"/>
                        </w:rPr>
                        <w:t xml:space="preserve"> they pay slightly more tax overall, as some of the taxing rights on their profits are shifted from low</w:t>
                      </w:r>
                      <w:r>
                        <w:rPr>
                          <w:sz w:val="20"/>
                        </w:rPr>
                        <w:t>-</w:t>
                      </w:r>
                      <w:r w:rsidRPr="00AB5E5A">
                        <w:rPr>
                          <w:sz w:val="20"/>
                        </w:rPr>
                        <w:t>tax jurisdictions to generally higher taxed market jurisdictions.</w:t>
                      </w:r>
                    </w:p>
                    <w:p w14:paraId="1A924F69" w14:textId="77777777" w:rsidR="00C60F30" w:rsidRPr="00294836" w:rsidRDefault="00C60F30" w:rsidP="00B66300">
                      <w:pPr>
                        <w:rPr>
                          <w:szCs w:val="22"/>
                        </w:rPr>
                      </w:pPr>
                      <w:r w:rsidRPr="00AB5E5A">
                        <w:rPr>
                          <w:sz w:val="20"/>
                        </w:rPr>
                        <w:t xml:space="preserve">Megacorporation will not have to pay any Digital Services Taxes, as to receive the new </w:t>
                      </w:r>
                      <w:r>
                        <w:rPr>
                          <w:sz w:val="20"/>
                        </w:rPr>
                        <w:t xml:space="preserve">Amount A </w:t>
                      </w:r>
                      <w:r w:rsidRPr="00AB5E5A">
                        <w:rPr>
                          <w:sz w:val="20"/>
                        </w:rPr>
                        <w:t xml:space="preserve">taxing right, countries must remove and commit not </w:t>
                      </w:r>
                      <w:r>
                        <w:rPr>
                          <w:sz w:val="20"/>
                        </w:rPr>
                        <w:t xml:space="preserve">to </w:t>
                      </w:r>
                      <w:r w:rsidRPr="00AB5E5A">
                        <w:rPr>
                          <w:sz w:val="20"/>
                        </w:rPr>
                        <w:t>introduce a Digital Services Tax. In addition, Megacorporation also benefits from improved Tax Certainty processes, by streamlining the resolution of some of their tax disputes with individual countries</w:t>
                      </w:r>
                      <w:r w:rsidRPr="00294836">
                        <w:rPr>
                          <w:szCs w:val="22"/>
                        </w:rPr>
                        <w:t>.</w:t>
                      </w:r>
                    </w:p>
                  </w:txbxContent>
                </v:textbox>
                <w10:anchorlock/>
              </v:shape>
            </w:pict>
          </mc:Fallback>
        </mc:AlternateContent>
      </w:r>
    </w:p>
    <w:p w14:paraId="79FD2790" w14:textId="1AABF8B3" w:rsidR="00DC6C73" w:rsidRDefault="00DC6C73" w:rsidP="00654411">
      <w:r>
        <w:rPr>
          <w:noProof/>
        </w:rPr>
        <w:lastRenderedPageBreak/>
        <mc:AlternateContent>
          <mc:Choice Requires="wpg">
            <w:drawing>
              <wp:anchor distT="0" distB="0" distL="228600" distR="228600" simplePos="0" relativeHeight="251658250" behindDoc="1" locked="0" layoutInCell="1" allowOverlap="1" wp14:anchorId="60315C47" wp14:editId="0CD173E8">
                <wp:simplePos x="0" y="0"/>
                <wp:positionH relativeFrom="margin">
                  <wp:align>left</wp:align>
                </wp:positionH>
                <wp:positionV relativeFrom="margin">
                  <wp:posOffset>-1047</wp:posOffset>
                </wp:positionV>
                <wp:extent cx="1828800" cy="7878445"/>
                <wp:effectExtent l="0" t="0" r="0" b="8255"/>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7878470"/>
                          <a:chOff x="0" y="0"/>
                          <a:chExt cx="1828800" cy="7866720"/>
                        </a:xfrm>
                      </wpg:grpSpPr>
                      <wps:wsp>
                        <wps:cNvPr id="202" name="Rectangle 202"/>
                        <wps:cNvSpPr/>
                        <wps:spPr>
                          <a:xfrm>
                            <a:off x="0" y="0"/>
                            <a:ext cx="1828800" cy="228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9591"/>
                            <a:ext cx="1828800" cy="6937129"/>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4CE2A" w14:textId="77777777" w:rsidR="00C60F30" w:rsidRPr="009243EC" w:rsidRDefault="00C60F30" w:rsidP="009008E2">
                              <w:pPr>
                                <w:rPr>
                                  <w:color w:val="000000" w:themeColor="text1"/>
                                  <w:sz w:val="18"/>
                                  <w:szCs w:val="18"/>
                                </w:rPr>
                              </w:pPr>
                              <w:r w:rsidRPr="009243EC">
                                <w:rPr>
                                  <w:color w:val="000000" w:themeColor="text1"/>
                                  <w:sz w:val="18"/>
                                  <w:szCs w:val="18"/>
                                </w:rPr>
                                <w:t xml:space="preserve">The implementation plan agreed by the OECD </w:t>
                              </w:r>
                              <w:r>
                                <w:rPr>
                                  <w:color w:val="000000" w:themeColor="text1"/>
                                  <w:sz w:val="18"/>
                                  <w:szCs w:val="18"/>
                                </w:rPr>
                                <w:t>Inclusive Framework</w:t>
                              </w:r>
                              <w:r w:rsidRPr="009243EC">
                                <w:rPr>
                                  <w:color w:val="000000" w:themeColor="text1"/>
                                  <w:sz w:val="18"/>
                                  <w:szCs w:val="18"/>
                                </w:rPr>
                                <w:t xml:space="preserve"> in October 2021 includes reference to several</w:t>
                              </w:r>
                              <w:r w:rsidRPr="009243EC" w:rsidDel="004A3496">
                                <w:rPr>
                                  <w:color w:val="000000" w:themeColor="text1"/>
                                  <w:sz w:val="18"/>
                                  <w:szCs w:val="18"/>
                                </w:rPr>
                                <w:t xml:space="preserve"> </w:t>
                              </w:r>
                              <w:r w:rsidRPr="009243EC">
                                <w:rPr>
                                  <w:color w:val="000000" w:themeColor="text1"/>
                                  <w:sz w:val="18"/>
                                  <w:szCs w:val="18"/>
                                </w:rPr>
                                <w:t xml:space="preserve">building blocks for Pillar One. </w:t>
                              </w:r>
                            </w:p>
                            <w:p w14:paraId="51C5F1BB" w14:textId="77777777" w:rsidR="00C60F30" w:rsidRPr="009243EC" w:rsidRDefault="00C60F30" w:rsidP="009008E2">
                              <w:pPr>
                                <w:rPr>
                                  <w:color w:val="000000" w:themeColor="text1"/>
                                  <w:sz w:val="18"/>
                                  <w:szCs w:val="18"/>
                                </w:rPr>
                              </w:pPr>
                              <w:r w:rsidRPr="009243EC">
                                <w:rPr>
                                  <w:b/>
                                  <w:bCs/>
                                  <w:color w:val="000000" w:themeColor="text1"/>
                                  <w:sz w:val="18"/>
                                  <w:szCs w:val="18"/>
                                </w:rPr>
                                <w:t>Scope</w:t>
                              </w:r>
                              <w:r w:rsidRPr="009243EC">
                                <w:rPr>
                                  <w:color w:val="000000" w:themeColor="text1"/>
                                  <w:sz w:val="18"/>
                                  <w:szCs w:val="18"/>
                                </w:rPr>
                                <w:t xml:space="preserve"> refers to which multinationals the new taxing right applies. This is set at global turnover above EUR20 </w:t>
                              </w:r>
                              <w:r>
                                <w:rPr>
                                  <w:color w:val="000000" w:themeColor="text1"/>
                                  <w:sz w:val="18"/>
                                  <w:szCs w:val="18"/>
                                </w:rPr>
                                <w:t>b</w:t>
                              </w:r>
                              <w:r w:rsidRPr="009243EC">
                                <w:rPr>
                                  <w:color w:val="000000" w:themeColor="text1"/>
                                  <w:sz w:val="18"/>
                                  <w:szCs w:val="18"/>
                                </w:rPr>
                                <w:t xml:space="preserve">illion and profit to revenue ratio above </w:t>
                              </w:r>
                              <w:r>
                                <w:rPr>
                                  <w:color w:val="000000" w:themeColor="text1"/>
                                  <w:sz w:val="18"/>
                                  <w:szCs w:val="18"/>
                                </w:rPr>
                                <w:br/>
                              </w:r>
                              <w:r w:rsidRPr="009243EC">
                                <w:rPr>
                                  <w:color w:val="000000" w:themeColor="text1"/>
                                  <w:sz w:val="18"/>
                                  <w:szCs w:val="18"/>
                                </w:rPr>
                                <w:t>10</w:t>
                              </w:r>
                              <w:r>
                                <w:rPr>
                                  <w:color w:val="000000" w:themeColor="text1"/>
                                  <w:sz w:val="18"/>
                                  <w:szCs w:val="18"/>
                                </w:rPr>
                                <w:t xml:space="preserve"> per cent</w:t>
                              </w:r>
                              <w:r w:rsidRPr="009243EC">
                                <w:rPr>
                                  <w:color w:val="000000" w:themeColor="text1"/>
                                  <w:sz w:val="18"/>
                                  <w:szCs w:val="18"/>
                                </w:rPr>
                                <w:t xml:space="preserve"> (</w:t>
                              </w:r>
                              <w:r>
                                <w:rPr>
                                  <w:color w:val="000000" w:themeColor="text1"/>
                                  <w:sz w:val="18"/>
                                  <w:szCs w:val="18"/>
                                </w:rPr>
                                <w:t xml:space="preserve">with profit above this level </w:t>
                              </w:r>
                              <w:r w:rsidRPr="009243EC">
                                <w:rPr>
                                  <w:color w:val="000000" w:themeColor="text1"/>
                                  <w:sz w:val="18"/>
                                  <w:szCs w:val="18"/>
                                </w:rPr>
                                <w:t xml:space="preserve">referred to as </w:t>
                              </w:r>
                              <w:r>
                                <w:rPr>
                                  <w:color w:val="000000" w:themeColor="text1"/>
                                  <w:sz w:val="18"/>
                                  <w:szCs w:val="18"/>
                                </w:rPr>
                                <w:t>‘</w:t>
                              </w:r>
                              <w:r w:rsidRPr="009243EC">
                                <w:rPr>
                                  <w:color w:val="000000" w:themeColor="text1"/>
                                  <w:sz w:val="18"/>
                                  <w:szCs w:val="18"/>
                                </w:rPr>
                                <w:t>residual profit</w:t>
                              </w:r>
                              <w:r>
                                <w:rPr>
                                  <w:color w:val="000000" w:themeColor="text1"/>
                                  <w:sz w:val="18"/>
                                  <w:szCs w:val="18"/>
                                </w:rPr>
                                <w:t>’</w:t>
                              </w:r>
                              <w:r w:rsidRPr="009243EC">
                                <w:rPr>
                                  <w:color w:val="000000" w:themeColor="text1"/>
                                  <w:sz w:val="18"/>
                                  <w:szCs w:val="18"/>
                                </w:rPr>
                                <w:t xml:space="preserve">). Extractive and Regulated Financial Services are excluded. </w:t>
                              </w:r>
                            </w:p>
                            <w:p w14:paraId="31D76FEC" w14:textId="77777777" w:rsidR="00C60F30" w:rsidRPr="009243EC" w:rsidRDefault="00C60F30" w:rsidP="009008E2">
                              <w:pPr>
                                <w:rPr>
                                  <w:color w:val="000000" w:themeColor="text1"/>
                                  <w:sz w:val="18"/>
                                  <w:szCs w:val="18"/>
                                </w:rPr>
                              </w:pPr>
                              <w:r w:rsidRPr="009243EC">
                                <w:rPr>
                                  <w:b/>
                                  <w:bCs/>
                                  <w:color w:val="000000" w:themeColor="text1"/>
                                  <w:sz w:val="18"/>
                                  <w:szCs w:val="18"/>
                                </w:rPr>
                                <w:t>Nexus</w:t>
                              </w:r>
                              <w:r w:rsidRPr="009243EC">
                                <w:rPr>
                                  <w:color w:val="000000" w:themeColor="text1"/>
                                  <w:sz w:val="18"/>
                                  <w:szCs w:val="18"/>
                                </w:rPr>
                                <w:t xml:space="preserve"> refers to the revenue threshold before a country is eligible to receive the new taxing right. This is set at EUR1 million</w:t>
                              </w:r>
                              <w:r>
                                <w:rPr>
                                  <w:color w:val="000000" w:themeColor="text1"/>
                                  <w:sz w:val="18"/>
                                  <w:szCs w:val="18"/>
                                </w:rPr>
                                <w:t xml:space="preserve"> for most countries but lower for smaller economies</w:t>
                              </w:r>
                              <w:r w:rsidRPr="009243EC">
                                <w:rPr>
                                  <w:color w:val="000000" w:themeColor="text1"/>
                                  <w:sz w:val="18"/>
                                  <w:szCs w:val="18"/>
                                </w:rPr>
                                <w:t xml:space="preserve">.   </w:t>
                              </w:r>
                            </w:p>
                            <w:p w14:paraId="30ED742C" w14:textId="77777777" w:rsidR="00C60F30" w:rsidRPr="009243EC" w:rsidRDefault="00C60F30" w:rsidP="009008E2">
                              <w:pPr>
                                <w:rPr>
                                  <w:b/>
                                  <w:bCs/>
                                  <w:color w:val="000000" w:themeColor="text1"/>
                                  <w:sz w:val="18"/>
                                  <w:szCs w:val="18"/>
                                </w:rPr>
                              </w:pPr>
                              <w:r w:rsidRPr="009243EC">
                                <w:rPr>
                                  <w:b/>
                                  <w:bCs/>
                                  <w:color w:val="000000" w:themeColor="text1"/>
                                  <w:sz w:val="18"/>
                                  <w:szCs w:val="18"/>
                                </w:rPr>
                                <w:t xml:space="preserve">Quantum </w:t>
                              </w:r>
                              <w:r w:rsidRPr="009243EC">
                                <w:rPr>
                                  <w:color w:val="000000" w:themeColor="text1"/>
                                  <w:sz w:val="18"/>
                                  <w:szCs w:val="18"/>
                                </w:rPr>
                                <w:t>refers to the size of the new taxing right.</w:t>
                              </w:r>
                              <w:r w:rsidRPr="009243EC">
                                <w:rPr>
                                  <w:b/>
                                  <w:bCs/>
                                  <w:color w:val="000000" w:themeColor="text1"/>
                                  <w:sz w:val="18"/>
                                  <w:szCs w:val="18"/>
                                </w:rPr>
                                <w:t xml:space="preserve"> </w:t>
                              </w:r>
                              <w:r w:rsidRPr="009243EC">
                                <w:rPr>
                                  <w:color w:val="000000" w:themeColor="text1"/>
                                  <w:sz w:val="18"/>
                                  <w:szCs w:val="18"/>
                                </w:rPr>
                                <w:t>Which is 25 per cent of the profit above the 10 per cent profit to revenue ratio.</w:t>
                              </w:r>
                              <w:r w:rsidRPr="009243EC">
                                <w:rPr>
                                  <w:b/>
                                  <w:bCs/>
                                  <w:color w:val="000000" w:themeColor="text1"/>
                                  <w:sz w:val="18"/>
                                  <w:szCs w:val="18"/>
                                </w:rPr>
                                <w:t xml:space="preserve"> </w:t>
                              </w:r>
                              <w:r>
                                <w:rPr>
                                  <w:color w:val="000000" w:themeColor="text1"/>
                                  <w:sz w:val="18"/>
                                  <w:szCs w:val="18"/>
                                </w:rPr>
                                <w:t>As the Quantum is</w:t>
                              </w:r>
                              <w:r w:rsidRPr="009243EC">
                                <w:rPr>
                                  <w:color w:val="000000" w:themeColor="text1"/>
                                  <w:sz w:val="18"/>
                                  <w:szCs w:val="18"/>
                                </w:rPr>
                                <w:t xml:space="preserve"> a percentage of a percentage, </w:t>
                              </w:r>
                              <w:r>
                                <w:rPr>
                                  <w:color w:val="000000" w:themeColor="text1"/>
                                  <w:sz w:val="18"/>
                                  <w:szCs w:val="18"/>
                                </w:rPr>
                                <w:t>this</w:t>
                              </w:r>
                              <w:r w:rsidRPr="009243EC">
                                <w:rPr>
                                  <w:color w:val="000000" w:themeColor="text1"/>
                                  <w:sz w:val="18"/>
                                  <w:szCs w:val="18"/>
                                </w:rPr>
                                <w:t xml:space="preserve"> means </w:t>
                              </w:r>
                              <w:r>
                                <w:rPr>
                                  <w:color w:val="000000" w:themeColor="text1"/>
                                  <w:sz w:val="18"/>
                                  <w:szCs w:val="18"/>
                                </w:rPr>
                                <w:t>that only a minority of the total taxing rights are being redistributed</w:t>
                              </w:r>
                              <w:r w:rsidRPr="009243EC">
                                <w:rPr>
                                  <w:color w:val="000000" w:themeColor="text1"/>
                                  <w:sz w:val="18"/>
                                  <w:szCs w:val="18"/>
                                </w:rPr>
                                <w:t xml:space="preserve">. </w:t>
                              </w:r>
                            </w:p>
                            <w:p w14:paraId="208E81BF" w14:textId="79CDB095" w:rsidR="00C60F30" w:rsidRPr="009243EC" w:rsidRDefault="00C60F30" w:rsidP="00795668">
                              <w:pPr>
                                <w:rPr>
                                  <w:color w:val="000000" w:themeColor="text1"/>
                                  <w:sz w:val="18"/>
                                  <w:szCs w:val="18"/>
                                </w:rPr>
                              </w:pPr>
                              <w:r w:rsidRPr="009243EC">
                                <w:rPr>
                                  <w:b/>
                                  <w:bCs/>
                                  <w:color w:val="000000" w:themeColor="text1"/>
                                  <w:sz w:val="18"/>
                                  <w:szCs w:val="18"/>
                                </w:rPr>
                                <w:t>Revenue Sourcing</w:t>
                              </w:r>
                              <w:r w:rsidRPr="009243EC">
                                <w:rPr>
                                  <w:color w:val="000000" w:themeColor="text1"/>
                                  <w:sz w:val="18"/>
                                  <w:szCs w:val="18"/>
                                </w:rPr>
                                <w:t xml:space="preserve"> refers to the mechanism to determine </w:t>
                              </w:r>
                              <w:r>
                                <w:rPr>
                                  <w:color w:val="000000" w:themeColor="text1"/>
                                  <w:sz w:val="18"/>
                                  <w:szCs w:val="18"/>
                                </w:rPr>
                                <w:t>how much profit</w:t>
                              </w:r>
                              <w:r w:rsidRPr="009243EC">
                                <w:rPr>
                                  <w:color w:val="000000" w:themeColor="text1"/>
                                  <w:sz w:val="18"/>
                                  <w:szCs w:val="18"/>
                                </w:rPr>
                                <w:t xml:space="preserve"> countries are allocated </w:t>
                              </w:r>
                              <w:r>
                                <w:rPr>
                                  <w:color w:val="000000" w:themeColor="text1"/>
                                  <w:sz w:val="18"/>
                                  <w:szCs w:val="18"/>
                                </w:rPr>
                                <w:t xml:space="preserve">under </w:t>
                              </w:r>
                              <w:r w:rsidRPr="009243EC">
                                <w:rPr>
                                  <w:color w:val="000000" w:themeColor="text1"/>
                                  <w:sz w:val="18"/>
                                  <w:szCs w:val="18"/>
                                </w:rPr>
                                <w:t xml:space="preserve">the new taxing right. This </w:t>
                              </w:r>
                              <w:r>
                                <w:rPr>
                                  <w:color w:val="000000" w:themeColor="text1"/>
                                  <w:sz w:val="18"/>
                                  <w:szCs w:val="18"/>
                                </w:rPr>
                                <w:t>is</w:t>
                              </w:r>
                              <w:r w:rsidRPr="009243EC">
                                <w:rPr>
                                  <w:color w:val="000000" w:themeColor="text1"/>
                                  <w:sz w:val="18"/>
                                  <w:szCs w:val="18"/>
                                </w:rPr>
                                <w:t xml:space="preserve"> determined </w:t>
                              </w:r>
                              <w:r>
                                <w:rPr>
                                  <w:color w:val="000000" w:themeColor="text1"/>
                                  <w:sz w:val="18"/>
                                  <w:szCs w:val="18"/>
                                </w:rPr>
                                <w:t>based on</w:t>
                              </w:r>
                              <w:r w:rsidRPr="009243EC">
                                <w:rPr>
                                  <w:color w:val="000000" w:themeColor="text1"/>
                                  <w:sz w:val="18"/>
                                  <w:szCs w:val="18"/>
                                </w:rPr>
                                <w:t xml:space="preserve"> the end market jurisdictions where goods and services are consumed.  </w:t>
                              </w:r>
                            </w:p>
                            <w:p w14:paraId="161433FD" w14:textId="77777777" w:rsidR="00C60F30" w:rsidRPr="009243EC" w:rsidRDefault="00C60F30" w:rsidP="00795668">
                              <w:pPr>
                                <w:rPr>
                                  <w:color w:val="000000" w:themeColor="text1"/>
                                  <w:sz w:val="18"/>
                                  <w:szCs w:val="18"/>
                                </w:rPr>
                              </w:pPr>
                              <w:r w:rsidRPr="009243EC">
                                <w:rPr>
                                  <w:b/>
                                  <w:bCs/>
                                  <w:color w:val="000000" w:themeColor="text1"/>
                                  <w:sz w:val="18"/>
                                  <w:szCs w:val="18"/>
                                </w:rPr>
                                <w:t>Tax base</w:t>
                              </w:r>
                              <w:r w:rsidRPr="009243EC" w:rsidDel="004A3496">
                                <w:rPr>
                                  <w:b/>
                                  <w:bCs/>
                                  <w:color w:val="000000" w:themeColor="text1"/>
                                  <w:sz w:val="18"/>
                                  <w:szCs w:val="18"/>
                                </w:rPr>
                                <w:t xml:space="preserve"> </w:t>
                              </w:r>
                              <w:r w:rsidRPr="009243EC">
                                <w:rPr>
                                  <w:color w:val="000000" w:themeColor="text1"/>
                                  <w:sz w:val="18"/>
                                  <w:szCs w:val="18"/>
                                </w:rPr>
                                <w:t>refers to rules for how global profit is calculated</w:t>
                              </w:r>
                              <w:r>
                                <w:rPr>
                                  <w:color w:val="000000" w:themeColor="text1"/>
                                  <w:sz w:val="18"/>
                                  <w:szCs w:val="18"/>
                                </w:rPr>
                                <w:t>. It has been agreed this w</w:t>
                              </w:r>
                              <w:r w:rsidRPr="009243EC">
                                <w:rPr>
                                  <w:color w:val="000000" w:themeColor="text1"/>
                                  <w:sz w:val="18"/>
                                  <w:szCs w:val="18"/>
                                </w:rPr>
                                <w:t>ill be based on the existing global financial accounting reports produced by multinational</w:t>
                              </w:r>
                              <w:r>
                                <w:rPr>
                                  <w:color w:val="000000" w:themeColor="text1"/>
                                  <w:sz w:val="18"/>
                                  <w:szCs w:val="18"/>
                                </w:rPr>
                                <w:t>s</w:t>
                              </w:r>
                              <w:r w:rsidRPr="009243EC">
                                <w:rPr>
                                  <w:color w:val="000000" w:themeColor="text1"/>
                                  <w:sz w:val="18"/>
                                  <w:szCs w:val="18"/>
                                </w:rPr>
                                <w:t xml:space="preserve">, with a limited number of adjustments. </w:t>
                              </w:r>
                            </w:p>
                            <w:p w14:paraId="201B1BD9" w14:textId="77777777" w:rsidR="00C60F30" w:rsidRDefault="00C60F30" w:rsidP="009008E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F926B" w14:textId="77777777" w:rsidR="00C60F30" w:rsidRDefault="00C60F30">
                              <w:pPr>
                                <w:pStyle w:val="NoSpacing"/>
                                <w:jc w:val="center"/>
                                <w:rPr>
                                  <w:rFonts w:asciiTheme="majorHAnsi" w:eastAsiaTheme="majorEastAsia" w:hAnsiTheme="majorHAnsi" w:cstheme="majorBidi"/>
                                  <w:caps/>
                                  <w:color w:val="2C384A" w:themeColor="accent1"/>
                                  <w:sz w:val="28"/>
                                  <w:szCs w:val="28"/>
                                </w:rPr>
                              </w:pPr>
                              <w:r>
                                <w:rPr>
                                  <w:rFonts w:asciiTheme="majorHAnsi" w:eastAsiaTheme="majorEastAsia" w:hAnsiTheme="majorHAnsi" w:cstheme="majorBidi"/>
                                  <w:caps/>
                                  <w:color w:val="2C384A" w:themeColor="accent1"/>
                                  <w:sz w:val="28"/>
                                  <w:szCs w:val="28"/>
                                </w:rPr>
                                <w:t>Pillar One Building Blocks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60315C47" id="Group 201" o:spid="_x0000_s1030" style="position:absolute;margin-left:0;margin-top:-.1pt;width:2in;height:620.35pt;z-index:-251658230;mso-width-percent:308;mso-wrap-distance-left:18pt;mso-wrap-distance-right:18pt;mso-position-horizontal:left;mso-position-horizontal-relative:margin;mso-position-vertical-relative:margin;mso-width-percent:308;mso-width-relative:margin;mso-height-relative:margin" coordsize="18288,7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">
                <v:rect id="Rectangle 202" o:spid="_x0000_s1031"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" fillcolor="#cdd5e1 [660]" stroked="f" strokeweight="2pt"/>
                <v:rect id="Rectangle 203" o:spid="_x0000_s1032" style="position:absolute;top:9295;width:18288;height:6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" fillcolor="#cdd5e1 [660]" stroked="f" strokeweight="2pt">
                  <v:textbox inset=",14.4pt,8.64pt,18pt">
                    <w:txbxContent>
                      <w:p w14:paraId="51E4CE2A" w14:textId="77777777" w:rsidR="00C60F30" w:rsidRPr="009243EC" w:rsidRDefault="00C60F30" w:rsidP="009008E2">
                        <w:pPr>
                          <w:rPr>
                            <w:color w:val="000000" w:themeColor="text1"/>
                            <w:sz w:val="18"/>
                            <w:szCs w:val="18"/>
                          </w:rPr>
                        </w:pPr>
                        <w:r w:rsidRPr="009243EC">
                          <w:rPr>
                            <w:color w:val="000000" w:themeColor="text1"/>
                            <w:sz w:val="18"/>
                            <w:szCs w:val="18"/>
                          </w:rPr>
                          <w:t xml:space="preserve">The implementation plan agreed by the OECD </w:t>
                        </w:r>
                        <w:r>
                          <w:rPr>
                            <w:color w:val="000000" w:themeColor="text1"/>
                            <w:sz w:val="18"/>
                            <w:szCs w:val="18"/>
                          </w:rPr>
                          <w:t>Inclusive Framework</w:t>
                        </w:r>
                        <w:r w:rsidRPr="009243EC">
                          <w:rPr>
                            <w:color w:val="000000" w:themeColor="text1"/>
                            <w:sz w:val="18"/>
                            <w:szCs w:val="18"/>
                          </w:rPr>
                          <w:t xml:space="preserve"> in October 2021 includes reference to several</w:t>
                        </w:r>
                        <w:r w:rsidRPr="009243EC" w:rsidDel="004A3496">
                          <w:rPr>
                            <w:color w:val="000000" w:themeColor="text1"/>
                            <w:sz w:val="18"/>
                            <w:szCs w:val="18"/>
                          </w:rPr>
                          <w:t xml:space="preserve"> </w:t>
                        </w:r>
                        <w:r w:rsidRPr="009243EC">
                          <w:rPr>
                            <w:color w:val="000000" w:themeColor="text1"/>
                            <w:sz w:val="18"/>
                            <w:szCs w:val="18"/>
                          </w:rPr>
                          <w:t xml:space="preserve">building blocks for Pillar One. </w:t>
                        </w:r>
                      </w:p>
                      <w:p w14:paraId="51C5F1BB" w14:textId="77777777" w:rsidR="00C60F30" w:rsidRPr="009243EC" w:rsidRDefault="00C60F30" w:rsidP="009008E2">
                        <w:pPr>
                          <w:rPr>
                            <w:color w:val="000000" w:themeColor="text1"/>
                            <w:sz w:val="18"/>
                            <w:szCs w:val="18"/>
                          </w:rPr>
                        </w:pPr>
                        <w:r w:rsidRPr="009243EC">
                          <w:rPr>
                            <w:b/>
                            <w:bCs/>
                            <w:color w:val="000000" w:themeColor="text1"/>
                            <w:sz w:val="18"/>
                            <w:szCs w:val="18"/>
                          </w:rPr>
                          <w:t>Scope</w:t>
                        </w:r>
                        <w:r w:rsidRPr="009243EC">
                          <w:rPr>
                            <w:color w:val="000000" w:themeColor="text1"/>
                            <w:sz w:val="18"/>
                            <w:szCs w:val="18"/>
                          </w:rPr>
                          <w:t xml:space="preserve"> refers to which multinationals the new taxing right applies. This is set at global turnover above EUR20 </w:t>
                        </w:r>
                        <w:r>
                          <w:rPr>
                            <w:color w:val="000000" w:themeColor="text1"/>
                            <w:sz w:val="18"/>
                            <w:szCs w:val="18"/>
                          </w:rPr>
                          <w:t>b</w:t>
                        </w:r>
                        <w:r w:rsidRPr="009243EC">
                          <w:rPr>
                            <w:color w:val="000000" w:themeColor="text1"/>
                            <w:sz w:val="18"/>
                            <w:szCs w:val="18"/>
                          </w:rPr>
                          <w:t xml:space="preserve">illion and profit to revenue ratio above </w:t>
                        </w:r>
                        <w:r>
                          <w:rPr>
                            <w:color w:val="000000" w:themeColor="text1"/>
                            <w:sz w:val="18"/>
                            <w:szCs w:val="18"/>
                          </w:rPr>
                          <w:br/>
                        </w:r>
                        <w:r w:rsidRPr="009243EC">
                          <w:rPr>
                            <w:color w:val="000000" w:themeColor="text1"/>
                            <w:sz w:val="18"/>
                            <w:szCs w:val="18"/>
                          </w:rPr>
                          <w:t>10</w:t>
                        </w:r>
                        <w:r>
                          <w:rPr>
                            <w:color w:val="000000" w:themeColor="text1"/>
                            <w:sz w:val="18"/>
                            <w:szCs w:val="18"/>
                          </w:rPr>
                          <w:t xml:space="preserve"> per cent</w:t>
                        </w:r>
                        <w:r w:rsidRPr="009243EC">
                          <w:rPr>
                            <w:color w:val="000000" w:themeColor="text1"/>
                            <w:sz w:val="18"/>
                            <w:szCs w:val="18"/>
                          </w:rPr>
                          <w:t xml:space="preserve"> (</w:t>
                        </w:r>
                        <w:r>
                          <w:rPr>
                            <w:color w:val="000000" w:themeColor="text1"/>
                            <w:sz w:val="18"/>
                            <w:szCs w:val="18"/>
                          </w:rPr>
                          <w:t xml:space="preserve">with profit above this level </w:t>
                        </w:r>
                        <w:r w:rsidRPr="009243EC">
                          <w:rPr>
                            <w:color w:val="000000" w:themeColor="text1"/>
                            <w:sz w:val="18"/>
                            <w:szCs w:val="18"/>
                          </w:rPr>
                          <w:t xml:space="preserve">referred to as </w:t>
                        </w:r>
                        <w:r>
                          <w:rPr>
                            <w:color w:val="000000" w:themeColor="text1"/>
                            <w:sz w:val="18"/>
                            <w:szCs w:val="18"/>
                          </w:rPr>
                          <w:t>‘</w:t>
                        </w:r>
                        <w:r w:rsidRPr="009243EC">
                          <w:rPr>
                            <w:color w:val="000000" w:themeColor="text1"/>
                            <w:sz w:val="18"/>
                            <w:szCs w:val="18"/>
                          </w:rPr>
                          <w:t>residual profit</w:t>
                        </w:r>
                        <w:r>
                          <w:rPr>
                            <w:color w:val="000000" w:themeColor="text1"/>
                            <w:sz w:val="18"/>
                            <w:szCs w:val="18"/>
                          </w:rPr>
                          <w:t>’</w:t>
                        </w:r>
                        <w:r w:rsidRPr="009243EC">
                          <w:rPr>
                            <w:color w:val="000000" w:themeColor="text1"/>
                            <w:sz w:val="18"/>
                            <w:szCs w:val="18"/>
                          </w:rPr>
                          <w:t xml:space="preserve">). Extractive and Regulated Financial Services are excluded. </w:t>
                        </w:r>
                      </w:p>
                      <w:p w14:paraId="31D76FEC" w14:textId="77777777" w:rsidR="00C60F30" w:rsidRPr="009243EC" w:rsidRDefault="00C60F30" w:rsidP="009008E2">
                        <w:pPr>
                          <w:rPr>
                            <w:color w:val="000000" w:themeColor="text1"/>
                            <w:sz w:val="18"/>
                            <w:szCs w:val="18"/>
                          </w:rPr>
                        </w:pPr>
                        <w:r w:rsidRPr="009243EC">
                          <w:rPr>
                            <w:b/>
                            <w:bCs/>
                            <w:color w:val="000000" w:themeColor="text1"/>
                            <w:sz w:val="18"/>
                            <w:szCs w:val="18"/>
                          </w:rPr>
                          <w:t>Nexus</w:t>
                        </w:r>
                        <w:r w:rsidRPr="009243EC">
                          <w:rPr>
                            <w:color w:val="000000" w:themeColor="text1"/>
                            <w:sz w:val="18"/>
                            <w:szCs w:val="18"/>
                          </w:rPr>
                          <w:t xml:space="preserve"> refers to the revenue threshold before a country is eligible to receive the new taxing right. This is set at EUR1 million</w:t>
                        </w:r>
                        <w:r>
                          <w:rPr>
                            <w:color w:val="000000" w:themeColor="text1"/>
                            <w:sz w:val="18"/>
                            <w:szCs w:val="18"/>
                          </w:rPr>
                          <w:t xml:space="preserve"> for most countries but lower for smaller economies</w:t>
                        </w:r>
                        <w:r w:rsidRPr="009243EC">
                          <w:rPr>
                            <w:color w:val="000000" w:themeColor="text1"/>
                            <w:sz w:val="18"/>
                            <w:szCs w:val="18"/>
                          </w:rPr>
                          <w:t xml:space="preserve">.   </w:t>
                        </w:r>
                      </w:p>
                      <w:p w14:paraId="30ED742C" w14:textId="77777777" w:rsidR="00C60F30" w:rsidRPr="009243EC" w:rsidRDefault="00C60F30" w:rsidP="009008E2">
                        <w:pPr>
                          <w:rPr>
                            <w:b/>
                            <w:bCs/>
                            <w:color w:val="000000" w:themeColor="text1"/>
                            <w:sz w:val="18"/>
                            <w:szCs w:val="18"/>
                          </w:rPr>
                        </w:pPr>
                        <w:r w:rsidRPr="009243EC">
                          <w:rPr>
                            <w:b/>
                            <w:bCs/>
                            <w:color w:val="000000" w:themeColor="text1"/>
                            <w:sz w:val="18"/>
                            <w:szCs w:val="18"/>
                          </w:rPr>
                          <w:t xml:space="preserve">Quantum </w:t>
                        </w:r>
                        <w:r w:rsidRPr="009243EC">
                          <w:rPr>
                            <w:color w:val="000000" w:themeColor="text1"/>
                            <w:sz w:val="18"/>
                            <w:szCs w:val="18"/>
                          </w:rPr>
                          <w:t>refers to the size of the new taxing right.</w:t>
                        </w:r>
                        <w:r w:rsidRPr="009243EC">
                          <w:rPr>
                            <w:b/>
                            <w:bCs/>
                            <w:color w:val="000000" w:themeColor="text1"/>
                            <w:sz w:val="18"/>
                            <w:szCs w:val="18"/>
                          </w:rPr>
                          <w:t xml:space="preserve"> </w:t>
                        </w:r>
                        <w:r w:rsidRPr="009243EC">
                          <w:rPr>
                            <w:color w:val="000000" w:themeColor="text1"/>
                            <w:sz w:val="18"/>
                            <w:szCs w:val="18"/>
                          </w:rPr>
                          <w:t>Which is 25 per cent of the profit above the 10 per cent profit to revenue ratio.</w:t>
                        </w:r>
                        <w:r w:rsidRPr="009243EC">
                          <w:rPr>
                            <w:b/>
                            <w:bCs/>
                            <w:color w:val="000000" w:themeColor="text1"/>
                            <w:sz w:val="18"/>
                            <w:szCs w:val="18"/>
                          </w:rPr>
                          <w:t xml:space="preserve"> </w:t>
                        </w:r>
                        <w:r>
                          <w:rPr>
                            <w:color w:val="000000" w:themeColor="text1"/>
                            <w:sz w:val="18"/>
                            <w:szCs w:val="18"/>
                          </w:rPr>
                          <w:t>As the Quantum is</w:t>
                        </w:r>
                        <w:r w:rsidRPr="009243EC">
                          <w:rPr>
                            <w:color w:val="000000" w:themeColor="text1"/>
                            <w:sz w:val="18"/>
                            <w:szCs w:val="18"/>
                          </w:rPr>
                          <w:t xml:space="preserve"> a percentage of a percentage, </w:t>
                        </w:r>
                        <w:r>
                          <w:rPr>
                            <w:color w:val="000000" w:themeColor="text1"/>
                            <w:sz w:val="18"/>
                            <w:szCs w:val="18"/>
                          </w:rPr>
                          <w:t>this</w:t>
                        </w:r>
                        <w:r w:rsidRPr="009243EC">
                          <w:rPr>
                            <w:color w:val="000000" w:themeColor="text1"/>
                            <w:sz w:val="18"/>
                            <w:szCs w:val="18"/>
                          </w:rPr>
                          <w:t xml:space="preserve"> means </w:t>
                        </w:r>
                        <w:r>
                          <w:rPr>
                            <w:color w:val="000000" w:themeColor="text1"/>
                            <w:sz w:val="18"/>
                            <w:szCs w:val="18"/>
                          </w:rPr>
                          <w:t>that only a minority of the total taxing rights are being redistributed</w:t>
                        </w:r>
                        <w:r w:rsidRPr="009243EC">
                          <w:rPr>
                            <w:color w:val="000000" w:themeColor="text1"/>
                            <w:sz w:val="18"/>
                            <w:szCs w:val="18"/>
                          </w:rPr>
                          <w:t xml:space="preserve">. </w:t>
                        </w:r>
                      </w:p>
                      <w:p w14:paraId="208E81BF" w14:textId="79CDB095" w:rsidR="00C60F30" w:rsidRPr="009243EC" w:rsidRDefault="00C60F30" w:rsidP="00795668">
                        <w:pPr>
                          <w:rPr>
                            <w:color w:val="000000" w:themeColor="text1"/>
                            <w:sz w:val="18"/>
                            <w:szCs w:val="18"/>
                          </w:rPr>
                        </w:pPr>
                        <w:r w:rsidRPr="009243EC">
                          <w:rPr>
                            <w:b/>
                            <w:bCs/>
                            <w:color w:val="000000" w:themeColor="text1"/>
                            <w:sz w:val="18"/>
                            <w:szCs w:val="18"/>
                          </w:rPr>
                          <w:t>Revenue Sourcing</w:t>
                        </w:r>
                        <w:r w:rsidRPr="009243EC">
                          <w:rPr>
                            <w:color w:val="000000" w:themeColor="text1"/>
                            <w:sz w:val="18"/>
                            <w:szCs w:val="18"/>
                          </w:rPr>
                          <w:t xml:space="preserve"> refers to the mechanism to determine </w:t>
                        </w:r>
                        <w:r>
                          <w:rPr>
                            <w:color w:val="000000" w:themeColor="text1"/>
                            <w:sz w:val="18"/>
                            <w:szCs w:val="18"/>
                          </w:rPr>
                          <w:t>how much profit</w:t>
                        </w:r>
                        <w:r w:rsidRPr="009243EC">
                          <w:rPr>
                            <w:color w:val="000000" w:themeColor="text1"/>
                            <w:sz w:val="18"/>
                            <w:szCs w:val="18"/>
                          </w:rPr>
                          <w:t xml:space="preserve"> countries are allocated </w:t>
                        </w:r>
                        <w:r>
                          <w:rPr>
                            <w:color w:val="000000" w:themeColor="text1"/>
                            <w:sz w:val="18"/>
                            <w:szCs w:val="18"/>
                          </w:rPr>
                          <w:t xml:space="preserve">under </w:t>
                        </w:r>
                        <w:r w:rsidRPr="009243EC">
                          <w:rPr>
                            <w:color w:val="000000" w:themeColor="text1"/>
                            <w:sz w:val="18"/>
                            <w:szCs w:val="18"/>
                          </w:rPr>
                          <w:t xml:space="preserve">the new taxing right. This </w:t>
                        </w:r>
                        <w:r>
                          <w:rPr>
                            <w:color w:val="000000" w:themeColor="text1"/>
                            <w:sz w:val="18"/>
                            <w:szCs w:val="18"/>
                          </w:rPr>
                          <w:t>is</w:t>
                        </w:r>
                        <w:r w:rsidRPr="009243EC">
                          <w:rPr>
                            <w:color w:val="000000" w:themeColor="text1"/>
                            <w:sz w:val="18"/>
                            <w:szCs w:val="18"/>
                          </w:rPr>
                          <w:t xml:space="preserve"> determined </w:t>
                        </w:r>
                        <w:r>
                          <w:rPr>
                            <w:color w:val="000000" w:themeColor="text1"/>
                            <w:sz w:val="18"/>
                            <w:szCs w:val="18"/>
                          </w:rPr>
                          <w:t>based on</w:t>
                        </w:r>
                        <w:r w:rsidRPr="009243EC">
                          <w:rPr>
                            <w:color w:val="000000" w:themeColor="text1"/>
                            <w:sz w:val="18"/>
                            <w:szCs w:val="18"/>
                          </w:rPr>
                          <w:t xml:space="preserve"> the end market jurisdictions where goods and services are consumed.  </w:t>
                        </w:r>
                      </w:p>
                      <w:p w14:paraId="161433FD" w14:textId="77777777" w:rsidR="00C60F30" w:rsidRPr="009243EC" w:rsidRDefault="00C60F30" w:rsidP="00795668">
                        <w:pPr>
                          <w:rPr>
                            <w:color w:val="000000" w:themeColor="text1"/>
                            <w:sz w:val="18"/>
                            <w:szCs w:val="18"/>
                          </w:rPr>
                        </w:pPr>
                        <w:r w:rsidRPr="009243EC">
                          <w:rPr>
                            <w:b/>
                            <w:bCs/>
                            <w:color w:val="000000" w:themeColor="text1"/>
                            <w:sz w:val="18"/>
                            <w:szCs w:val="18"/>
                          </w:rPr>
                          <w:t>Tax base</w:t>
                        </w:r>
                        <w:r w:rsidRPr="009243EC" w:rsidDel="004A3496">
                          <w:rPr>
                            <w:b/>
                            <w:bCs/>
                            <w:color w:val="000000" w:themeColor="text1"/>
                            <w:sz w:val="18"/>
                            <w:szCs w:val="18"/>
                          </w:rPr>
                          <w:t xml:space="preserve"> </w:t>
                        </w:r>
                        <w:r w:rsidRPr="009243EC">
                          <w:rPr>
                            <w:color w:val="000000" w:themeColor="text1"/>
                            <w:sz w:val="18"/>
                            <w:szCs w:val="18"/>
                          </w:rPr>
                          <w:t>refers to rules for how global profit is calculated</w:t>
                        </w:r>
                        <w:r>
                          <w:rPr>
                            <w:color w:val="000000" w:themeColor="text1"/>
                            <w:sz w:val="18"/>
                            <w:szCs w:val="18"/>
                          </w:rPr>
                          <w:t>. It has been agreed this w</w:t>
                        </w:r>
                        <w:r w:rsidRPr="009243EC">
                          <w:rPr>
                            <w:color w:val="000000" w:themeColor="text1"/>
                            <w:sz w:val="18"/>
                            <w:szCs w:val="18"/>
                          </w:rPr>
                          <w:t>ill be based on the existing global financial accounting reports produced by multinational</w:t>
                        </w:r>
                        <w:r>
                          <w:rPr>
                            <w:color w:val="000000" w:themeColor="text1"/>
                            <w:sz w:val="18"/>
                            <w:szCs w:val="18"/>
                          </w:rPr>
                          <w:t>s</w:t>
                        </w:r>
                        <w:r w:rsidRPr="009243EC">
                          <w:rPr>
                            <w:color w:val="000000" w:themeColor="text1"/>
                            <w:sz w:val="18"/>
                            <w:szCs w:val="18"/>
                          </w:rPr>
                          <w:t xml:space="preserve">, with a limited number of adjustments. </w:t>
                        </w:r>
                      </w:p>
                      <w:p w14:paraId="201B1BD9" w14:textId="77777777" w:rsidR="00C60F30" w:rsidRDefault="00C60F30" w:rsidP="009008E2">
                        <w:pPr>
                          <w:rPr>
                            <w:color w:val="FFFFFF" w:themeColor="background1"/>
                          </w:rPr>
                        </w:pPr>
                      </w:p>
                    </w:txbxContent>
                  </v:textbox>
                </v:rect>
                <v:shape id="Text Box 204" o:spid="_x0000_s1033"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4BF926B" w14:textId="77777777" w:rsidR="00C60F30" w:rsidRDefault="00C60F30">
                        <w:pPr>
                          <w:pStyle w:val="NoSpacing"/>
                          <w:jc w:val="center"/>
                          <w:rPr>
                            <w:rFonts w:asciiTheme="majorHAnsi" w:eastAsiaTheme="majorEastAsia" w:hAnsiTheme="majorHAnsi" w:cstheme="majorBidi"/>
                            <w:caps/>
                            <w:color w:val="2C384A" w:themeColor="accent1"/>
                            <w:sz w:val="28"/>
                            <w:szCs w:val="28"/>
                          </w:rPr>
                        </w:pPr>
                        <w:r>
                          <w:rPr>
                            <w:rFonts w:asciiTheme="majorHAnsi" w:eastAsiaTheme="majorEastAsia" w:hAnsiTheme="majorHAnsi" w:cstheme="majorBidi"/>
                            <w:caps/>
                            <w:color w:val="2C384A" w:themeColor="accent1"/>
                            <w:sz w:val="28"/>
                            <w:szCs w:val="28"/>
                          </w:rPr>
                          <w:t>Pillar One Building Blocks</w:t>
                        </w:r>
                      </w:p>
                    </w:txbxContent>
                  </v:textbox>
                </v:shape>
                <w10:wrap type="square" anchorx="margin" anchory="margin"/>
              </v:group>
            </w:pict>
          </mc:Fallback>
        </mc:AlternateContent>
      </w:r>
      <w:r w:rsidR="000366F4">
        <w:t>Under this option,</w:t>
      </w:r>
      <w:r w:rsidR="00654411">
        <w:t xml:space="preserve"> Australia </w:t>
      </w:r>
      <w:r w:rsidR="000366F4">
        <w:t>would enter into a</w:t>
      </w:r>
      <w:r w:rsidR="00654411">
        <w:t xml:space="preserve"> </w:t>
      </w:r>
      <w:r w:rsidR="000C78FD">
        <w:t>M</w:t>
      </w:r>
      <w:r w:rsidR="00654411">
        <w:t xml:space="preserve">ultilateral </w:t>
      </w:r>
      <w:r w:rsidR="000C78FD">
        <w:t>C</w:t>
      </w:r>
      <w:r w:rsidR="00654411">
        <w:t xml:space="preserve">onvention (treaty), along with all other major countries, so as to create a global redistribution of corporate income taxing rights. </w:t>
      </w:r>
    </w:p>
    <w:p w14:paraId="5460F075" w14:textId="77777777" w:rsidR="00654411" w:rsidRDefault="009008E2" w:rsidP="00654411">
      <w:r>
        <w:t xml:space="preserve">The </w:t>
      </w:r>
      <w:r w:rsidR="000C78FD">
        <w:t>M</w:t>
      </w:r>
      <w:r>
        <w:t xml:space="preserve">ultilateral </w:t>
      </w:r>
      <w:r w:rsidR="000C78FD">
        <w:t>C</w:t>
      </w:r>
      <w:r>
        <w:t>onvention aims for a</w:t>
      </w:r>
      <w:r w:rsidR="00654411">
        <w:t xml:space="preserve"> fairer distribution of taxing rights among jurisdictions over the largest and most profitable multinational enterprises. </w:t>
      </w:r>
      <w:r w:rsidR="00654411" w:rsidRPr="003D60D2">
        <w:t>More specifically</w:t>
      </w:r>
      <w:r w:rsidR="00654411">
        <w:t>, it:</w:t>
      </w:r>
    </w:p>
    <w:p w14:paraId="25F58D53" w14:textId="77777777" w:rsidR="00654411" w:rsidRDefault="00654411" w:rsidP="009C440B">
      <w:pPr>
        <w:pStyle w:val="Bullet"/>
        <w:spacing w:after="120" w:line="240" w:lineRule="auto"/>
      </w:pPr>
      <w:r w:rsidRPr="00F36329">
        <w:t xml:space="preserve">Seeks to redesign the international income tax system to adapt to new business models and taxation challenges, </w:t>
      </w:r>
      <w:r w:rsidR="00EA3453">
        <w:t>by making changes</w:t>
      </w:r>
      <w:r w:rsidRPr="00F36329">
        <w:t xml:space="preserve"> to the outdated profit allocation rules</w:t>
      </w:r>
      <w:r>
        <w:t xml:space="preserve">; and </w:t>
      </w:r>
    </w:p>
    <w:p w14:paraId="583B744E" w14:textId="77777777" w:rsidR="00654411" w:rsidRDefault="00654411" w:rsidP="009C440B">
      <w:pPr>
        <w:pStyle w:val="Bullet"/>
        <w:spacing w:after="120" w:line="240" w:lineRule="auto"/>
      </w:pPr>
      <w:r>
        <w:t xml:space="preserve">Attempts to </w:t>
      </w:r>
      <w:r w:rsidRPr="003D60D2">
        <w:t>expand the taxing rights of market jurisdictions (where the consumer is located)</w:t>
      </w:r>
      <w:r>
        <w:t>.</w:t>
      </w:r>
    </w:p>
    <w:p w14:paraId="7BE9B54A" w14:textId="77777777" w:rsidR="00654411" w:rsidRDefault="00654411" w:rsidP="00310BF4">
      <w:pPr>
        <w:pStyle w:val="Bullet"/>
        <w:numPr>
          <w:ilvl w:val="0"/>
          <w:numId w:val="0"/>
        </w:numPr>
        <w:spacing w:after="120" w:line="240" w:lineRule="auto"/>
        <w:ind w:left="520"/>
      </w:pPr>
      <w:r w:rsidRPr="001651E4">
        <w:t xml:space="preserve">The existing design will remain and be supplemented with a new reallocation of taxing rights over </w:t>
      </w:r>
      <w:r w:rsidR="00FC675B">
        <w:t>multinational</w:t>
      </w:r>
      <w:r w:rsidR="00704BB4">
        <w:t>s’</w:t>
      </w:r>
      <w:r w:rsidR="00FC675B" w:rsidRPr="001651E4">
        <w:t xml:space="preserve"> </w:t>
      </w:r>
      <w:r w:rsidRPr="001651E4">
        <w:t xml:space="preserve">profits, reallocating from </w:t>
      </w:r>
      <w:r w:rsidR="00FD6149">
        <w:t>investment</w:t>
      </w:r>
      <w:r w:rsidR="00FD6149" w:rsidRPr="001651E4">
        <w:t xml:space="preserve"> </w:t>
      </w:r>
      <w:r w:rsidRPr="001651E4">
        <w:t xml:space="preserve">hubs to market </w:t>
      </w:r>
      <w:r w:rsidR="00FD6149">
        <w:t>jurisdictions</w:t>
      </w:r>
      <w:r w:rsidRPr="001651E4">
        <w:t>.</w:t>
      </w:r>
    </w:p>
    <w:p w14:paraId="4FDCD9BC" w14:textId="77777777" w:rsidR="00654411" w:rsidRDefault="00654411" w:rsidP="00654411">
      <w:r w:rsidRPr="003D60D2">
        <w:t xml:space="preserve">This will help </w:t>
      </w:r>
      <w:r>
        <w:t xml:space="preserve">to </w:t>
      </w:r>
      <w:r w:rsidRPr="003D60D2">
        <w:t xml:space="preserve">address the problem of </w:t>
      </w:r>
      <w:r w:rsidR="00131794">
        <w:t>‘</w:t>
      </w:r>
      <w:r w:rsidRPr="003D60D2">
        <w:t>scale without mass</w:t>
      </w:r>
      <w:r w:rsidR="00131794">
        <w:t>’</w:t>
      </w:r>
      <w:r w:rsidRPr="003D60D2">
        <w:t xml:space="preserve">, where a company can make profits while paying little to no income tax in the jurisdiction where </w:t>
      </w:r>
      <w:r>
        <w:t>the good or service is</w:t>
      </w:r>
      <w:r w:rsidRPr="003D60D2">
        <w:t xml:space="preserve"> consumed.</w:t>
      </w:r>
    </w:p>
    <w:p w14:paraId="6699D2E4" w14:textId="77777777" w:rsidR="00654411" w:rsidRDefault="00654411" w:rsidP="00654411">
      <w:r>
        <w:t xml:space="preserve">Key elements of Pillar One include: </w:t>
      </w:r>
    </w:p>
    <w:p w14:paraId="363C6D9D" w14:textId="77777777" w:rsidR="00654411" w:rsidRDefault="00654411" w:rsidP="009C440B">
      <w:pPr>
        <w:pStyle w:val="Bullet"/>
        <w:spacing w:after="120" w:line="240" w:lineRule="auto"/>
      </w:pPr>
      <w:r>
        <w:t xml:space="preserve">Reallocation of certain taxing rights over large and highly profitable multinationals to market jurisdictions where their users and customers are located (Amount A). </w:t>
      </w:r>
    </w:p>
    <w:p w14:paraId="4745F262" w14:textId="77777777" w:rsidR="00654411" w:rsidRPr="00BB400E" w:rsidRDefault="00654411" w:rsidP="009C440B">
      <w:pPr>
        <w:pStyle w:val="Bullet"/>
        <w:spacing w:after="120" w:line="240" w:lineRule="auto"/>
        <w:rPr>
          <w:b/>
        </w:rPr>
      </w:pPr>
      <w:r>
        <w:t>Streamlined application of transfer pricing rules (based on the arm’s length principle) to in-country baseline marketing and distribution activities (Amount B).</w:t>
      </w:r>
    </w:p>
    <w:p w14:paraId="617064FA" w14:textId="77777777" w:rsidR="00F877C5" w:rsidRDefault="00F877C5" w:rsidP="00CD03BE">
      <w:pPr>
        <w:pStyle w:val="Bullet"/>
        <w:numPr>
          <w:ilvl w:val="0"/>
          <w:numId w:val="0"/>
        </w:numPr>
        <w:spacing w:after="120" w:line="240" w:lineRule="auto"/>
        <w:ind w:left="520" w:hanging="520"/>
      </w:pPr>
    </w:p>
    <w:p w14:paraId="2FDEC0AF" w14:textId="77777777" w:rsidR="00F877C5" w:rsidRPr="00310BF4" w:rsidRDefault="00F877C5" w:rsidP="00CD03BE">
      <w:pPr>
        <w:pStyle w:val="Bullet"/>
        <w:numPr>
          <w:ilvl w:val="0"/>
          <w:numId w:val="0"/>
        </w:numPr>
        <w:spacing w:after="120" w:line="240" w:lineRule="auto"/>
        <w:ind w:left="520" w:hanging="520"/>
        <w:rPr>
          <w:rFonts w:cs="Arial"/>
          <w:color w:val="4D7861" w:themeColor="accent2"/>
          <w:kern w:val="32"/>
          <w:sz w:val="24"/>
          <w:szCs w:val="26"/>
        </w:rPr>
      </w:pPr>
      <w:r w:rsidRPr="00310BF4">
        <w:rPr>
          <w:rFonts w:cs="Arial"/>
          <w:color w:val="4D7861" w:themeColor="accent2"/>
          <w:kern w:val="32"/>
          <w:sz w:val="24"/>
          <w:szCs w:val="26"/>
        </w:rPr>
        <w:t>Reallocation of taxing rights (Amount A)</w:t>
      </w:r>
    </w:p>
    <w:p w14:paraId="0F92C8B4" w14:textId="77777777" w:rsidR="00F877C5" w:rsidRDefault="00F877C5" w:rsidP="00310BF4">
      <w:r>
        <w:t>This would involve large and highly profitable multinationals being required to undertake a number of formulaic steps, the key ones being to determine whether they are in scope for Amount A, determining the tax base, assessing the quantum of re-allocations and attributing revenue to markets.</w:t>
      </w:r>
      <w:r w:rsidRPr="00F877C5">
        <w:t xml:space="preserve"> </w:t>
      </w:r>
    </w:p>
    <w:p w14:paraId="0D2A4DAD" w14:textId="77777777" w:rsidR="00F877C5" w:rsidRDefault="00F877C5" w:rsidP="00310BF4">
      <w:r w:rsidRPr="00F877C5">
        <w:t>The amount of taxing rights to be redistributed under Pillar One is known as ‘Amount A’. This redistribution would only apply where a multinational has global revenues exceeding EUR20 billion per annum and a profit before-tax to revenue ratio exceeding 10 per cent. The OECD has estimated that around 100 multinationals would be in the scope of Pillar One initially.</w:t>
      </w:r>
    </w:p>
    <w:p w14:paraId="2AF2A6BD" w14:textId="7AAD44DA" w:rsidR="00654411" w:rsidRDefault="00EA3453" w:rsidP="00B66300">
      <w:r w:rsidRPr="00310BF4">
        <w:rPr>
          <w:noProof/>
        </w:rPr>
        <w:lastRenderedPageBreak/>
        <mc:AlternateContent>
          <mc:Choice Requires="wpg">
            <w:drawing>
              <wp:anchor distT="0" distB="0" distL="228600" distR="228600" simplePos="0" relativeHeight="251658251" behindDoc="1" locked="0" layoutInCell="1" allowOverlap="1" wp14:anchorId="7D0D29F7" wp14:editId="3D75234E">
                <wp:simplePos x="0" y="0"/>
                <wp:positionH relativeFrom="margin">
                  <wp:posOffset>3980180</wp:posOffset>
                </wp:positionH>
                <wp:positionV relativeFrom="margin">
                  <wp:align>top</wp:align>
                </wp:positionV>
                <wp:extent cx="1828800" cy="7315200"/>
                <wp:effectExtent l="0" t="0" r="0" b="7620"/>
                <wp:wrapSquare wrapText="bothSides"/>
                <wp:docPr id="50" name="Group 50"/>
                <wp:cNvGraphicFramePr/>
                <a:graphic xmlns:a="http://schemas.openxmlformats.org/drawingml/2006/main">
                  <a:graphicData uri="http://schemas.microsoft.com/office/word/2010/wordprocessingGroup">
                    <wpg:wgp>
                      <wpg:cNvGrpSpPr/>
                      <wpg:grpSpPr>
                        <a:xfrm>
                          <a:off x="0" y="0"/>
                          <a:ext cx="1828800" cy="7315200"/>
                          <a:chOff x="0" y="0"/>
                          <a:chExt cx="1828800" cy="7968344"/>
                        </a:xfrm>
                      </wpg:grpSpPr>
                      <wps:wsp>
                        <wps:cNvPr id="51" name="Rectangle 51"/>
                        <wps:cNvSpPr/>
                        <wps:spPr>
                          <a:xfrm>
                            <a:off x="0" y="0"/>
                            <a:ext cx="1828800" cy="228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929592"/>
                            <a:ext cx="1828800" cy="703875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82684" w14:textId="77777777" w:rsidR="00C60F30" w:rsidRPr="009243EC" w:rsidRDefault="00C60F30" w:rsidP="00394D85">
                              <w:pPr>
                                <w:rPr>
                                  <w:color w:val="000000" w:themeColor="text1"/>
                                  <w:sz w:val="18"/>
                                  <w:szCs w:val="18"/>
                                </w:rPr>
                              </w:pPr>
                              <w:r w:rsidRPr="009243EC">
                                <w:rPr>
                                  <w:b/>
                                  <w:bCs/>
                                  <w:color w:val="000000" w:themeColor="text1"/>
                                  <w:sz w:val="18"/>
                                  <w:szCs w:val="18"/>
                                </w:rPr>
                                <w:t>Segmentation</w:t>
                              </w:r>
                              <w:r w:rsidRPr="009243EC">
                                <w:rPr>
                                  <w:color w:val="000000" w:themeColor="text1"/>
                                  <w:sz w:val="18"/>
                                  <w:szCs w:val="18"/>
                                </w:rPr>
                                <w:t xml:space="preserve"> refers to situations where the multinational may be split up for the purposes of calculating the profitability. To be used in situations where a large multinational has business groups of varying profitability. </w:t>
                              </w:r>
                            </w:p>
                            <w:p w14:paraId="0A6A7783" w14:textId="77777777" w:rsidR="00C60F30" w:rsidRPr="009243EC" w:rsidRDefault="00C60F30" w:rsidP="00394D85">
                              <w:pPr>
                                <w:rPr>
                                  <w:color w:val="000000" w:themeColor="text1"/>
                                  <w:sz w:val="18"/>
                                  <w:szCs w:val="18"/>
                                </w:rPr>
                              </w:pPr>
                              <w:r w:rsidRPr="009243EC">
                                <w:rPr>
                                  <w:b/>
                                  <w:bCs/>
                                  <w:color w:val="000000" w:themeColor="text1"/>
                                  <w:sz w:val="18"/>
                                  <w:szCs w:val="18"/>
                                </w:rPr>
                                <w:t xml:space="preserve">Marketing Distribution Profits Safe </w:t>
                              </w:r>
                              <w:r>
                                <w:rPr>
                                  <w:b/>
                                  <w:bCs/>
                                  <w:color w:val="000000" w:themeColor="text1"/>
                                  <w:sz w:val="18"/>
                                  <w:szCs w:val="18"/>
                                </w:rPr>
                                <w:t>H</w:t>
                              </w:r>
                              <w:r w:rsidRPr="009243EC">
                                <w:rPr>
                                  <w:b/>
                                  <w:bCs/>
                                  <w:color w:val="000000" w:themeColor="text1"/>
                                  <w:sz w:val="18"/>
                                  <w:szCs w:val="18"/>
                                </w:rPr>
                                <w:t>arbour</w:t>
                              </w:r>
                              <w:r w:rsidRPr="009243EC">
                                <w:rPr>
                                  <w:color w:val="000000" w:themeColor="text1"/>
                                  <w:sz w:val="18"/>
                                  <w:szCs w:val="18"/>
                                </w:rPr>
                                <w:t xml:space="preserve"> is the mechanism that will cap</w:t>
                              </w:r>
                              <w:r>
                                <w:rPr>
                                  <w:color w:val="000000" w:themeColor="text1"/>
                                  <w:sz w:val="18"/>
                                  <w:szCs w:val="18"/>
                                </w:rPr>
                                <w:t xml:space="preserve"> an</w:t>
                              </w:r>
                              <w:r w:rsidRPr="009243EC">
                                <w:rPr>
                                  <w:color w:val="000000" w:themeColor="text1"/>
                                  <w:sz w:val="18"/>
                                  <w:szCs w:val="18"/>
                                </w:rPr>
                                <w:t xml:space="preserve"> allocation of new taxing rights, where a country is already taxing ‘residual profits’. </w:t>
                              </w:r>
                            </w:p>
                            <w:p w14:paraId="3177A319" w14:textId="77777777" w:rsidR="00C60F30" w:rsidRPr="009243EC" w:rsidRDefault="00C60F30" w:rsidP="00394D85">
                              <w:pPr>
                                <w:rPr>
                                  <w:color w:val="000000" w:themeColor="text1"/>
                                  <w:sz w:val="18"/>
                                  <w:szCs w:val="18"/>
                                </w:rPr>
                              </w:pPr>
                              <w:r w:rsidRPr="009243EC">
                                <w:rPr>
                                  <w:b/>
                                  <w:bCs/>
                                  <w:color w:val="000000" w:themeColor="text1"/>
                                  <w:sz w:val="18"/>
                                  <w:szCs w:val="18"/>
                                </w:rPr>
                                <w:t>Elimination of Double Taxation</w:t>
                              </w:r>
                              <w:r w:rsidRPr="009243EC">
                                <w:rPr>
                                  <w:color w:val="000000" w:themeColor="text1"/>
                                  <w:sz w:val="18"/>
                                  <w:szCs w:val="18"/>
                                </w:rPr>
                                <w:t xml:space="preserve"> is the mechanism for deciding which countries give up taxing rights to be reallocated to other countries. This has been determined to be the countries that capture the most ‘residual profit’.</w:t>
                              </w:r>
                            </w:p>
                            <w:p w14:paraId="55B8CCFF" w14:textId="77777777" w:rsidR="00C60F30" w:rsidRPr="009243EC" w:rsidRDefault="00C60F30" w:rsidP="00394D85">
                              <w:pPr>
                                <w:rPr>
                                  <w:color w:val="000000" w:themeColor="text1"/>
                                  <w:sz w:val="18"/>
                                  <w:szCs w:val="18"/>
                                </w:rPr>
                              </w:pPr>
                              <w:r w:rsidRPr="009243EC">
                                <w:rPr>
                                  <w:b/>
                                  <w:bCs/>
                                  <w:color w:val="000000" w:themeColor="text1"/>
                                  <w:sz w:val="18"/>
                                  <w:szCs w:val="18"/>
                                </w:rPr>
                                <w:t>Tax Certainty</w:t>
                              </w:r>
                              <w:r w:rsidRPr="009243EC">
                                <w:rPr>
                                  <w:color w:val="000000" w:themeColor="text1"/>
                                  <w:sz w:val="18"/>
                                  <w:szCs w:val="18"/>
                                </w:rPr>
                                <w:t xml:space="preserve"> refers to a new dispute resolution and prevention mechanism. </w:t>
                              </w:r>
                            </w:p>
                            <w:p w14:paraId="2D9D4774" w14:textId="77777777" w:rsidR="00C60F30" w:rsidRPr="009243EC" w:rsidRDefault="00C60F30" w:rsidP="00394D85">
                              <w:pPr>
                                <w:rPr>
                                  <w:color w:val="000000" w:themeColor="text1"/>
                                  <w:sz w:val="18"/>
                                  <w:szCs w:val="18"/>
                                </w:rPr>
                              </w:pPr>
                              <w:r w:rsidRPr="009243EC">
                                <w:rPr>
                                  <w:b/>
                                  <w:bCs/>
                                  <w:color w:val="000000" w:themeColor="text1"/>
                                  <w:sz w:val="18"/>
                                  <w:szCs w:val="18"/>
                                </w:rPr>
                                <w:t>Administration</w:t>
                              </w:r>
                              <w:r w:rsidRPr="009243EC">
                                <w:rPr>
                                  <w:color w:val="000000" w:themeColor="text1"/>
                                  <w:sz w:val="18"/>
                                  <w:szCs w:val="18"/>
                                </w:rPr>
                                <w:t xml:space="preserve"> refers to the filing of the global tax return. Which can be a single entity within the multinational group. </w:t>
                              </w:r>
                            </w:p>
                            <w:p w14:paraId="05CAE770" w14:textId="77777777" w:rsidR="00C60F30" w:rsidRPr="009243EC" w:rsidRDefault="00C60F30" w:rsidP="00394D85">
                              <w:pPr>
                                <w:rPr>
                                  <w:color w:val="000000" w:themeColor="text1"/>
                                  <w:sz w:val="18"/>
                                  <w:szCs w:val="18"/>
                                </w:rPr>
                              </w:pPr>
                              <w:r w:rsidRPr="009243EC">
                                <w:rPr>
                                  <w:b/>
                                  <w:bCs/>
                                  <w:color w:val="000000" w:themeColor="text1"/>
                                  <w:sz w:val="18"/>
                                  <w:szCs w:val="18"/>
                                </w:rPr>
                                <w:t>Unilateral Measure</w:t>
                              </w:r>
                              <w:r w:rsidRPr="009243EC">
                                <w:rPr>
                                  <w:color w:val="000000" w:themeColor="text1"/>
                                  <w:sz w:val="18"/>
                                  <w:szCs w:val="18"/>
                                </w:rPr>
                                <w:t xml:space="preserve"> refers to Digital Services Taxes and other similar measures. It has been determined countries will need to remove Digital Services Taxes to receive the new taxing right. </w:t>
                              </w:r>
                            </w:p>
                            <w:p w14:paraId="541D734D" w14:textId="3222E9E2" w:rsidR="00C60F30" w:rsidRPr="009243EC" w:rsidRDefault="00C60F30" w:rsidP="00394D85">
                              <w:pPr>
                                <w:rPr>
                                  <w:color w:val="000000" w:themeColor="text1"/>
                                  <w:sz w:val="18"/>
                                  <w:szCs w:val="18"/>
                                </w:rPr>
                              </w:pPr>
                              <w:r w:rsidRPr="009243EC">
                                <w:rPr>
                                  <w:b/>
                                  <w:bCs/>
                                  <w:color w:val="000000" w:themeColor="text1"/>
                                  <w:sz w:val="18"/>
                                  <w:szCs w:val="18"/>
                                </w:rPr>
                                <w:t>Implementation</w:t>
                              </w:r>
                              <w:r w:rsidRPr="009243EC">
                                <w:rPr>
                                  <w:color w:val="000000" w:themeColor="text1"/>
                                  <w:sz w:val="18"/>
                                  <w:szCs w:val="18"/>
                                </w:rPr>
                                <w:t xml:space="preserve"> is the legal enforcement mechanism. Which has been determined as</w:t>
                              </w:r>
                              <w:r>
                                <w:rPr>
                                  <w:color w:val="000000" w:themeColor="text1"/>
                                  <w:sz w:val="18"/>
                                  <w:szCs w:val="18"/>
                                </w:rPr>
                                <w:t xml:space="preserve"> a </w:t>
                              </w:r>
                              <w:r w:rsidR="00F95038">
                                <w:rPr>
                                  <w:color w:val="000000" w:themeColor="text1"/>
                                  <w:sz w:val="18"/>
                                  <w:szCs w:val="18"/>
                                </w:rPr>
                                <w:t>M</w:t>
                              </w:r>
                              <w:r w:rsidRPr="009243EC">
                                <w:rPr>
                                  <w:color w:val="000000" w:themeColor="text1"/>
                                  <w:sz w:val="18"/>
                                  <w:szCs w:val="18"/>
                                </w:rPr>
                                <w:t xml:space="preserve">ultilateral </w:t>
                              </w:r>
                              <w:r w:rsidR="00F95038">
                                <w:rPr>
                                  <w:color w:val="000000" w:themeColor="text1"/>
                                  <w:sz w:val="18"/>
                                  <w:szCs w:val="18"/>
                                </w:rPr>
                                <w:t>C</w:t>
                              </w:r>
                              <w:r w:rsidRPr="009243EC">
                                <w:rPr>
                                  <w:color w:val="000000" w:themeColor="text1"/>
                                  <w:sz w:val="18"/>
                                  <w:szCs w:val="18"/>
                                </w:rPr>
                                <w:t xml:space="preserve">onvention.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53" name="Text Box 53"/>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1D046" w14:textId="77777777" w:rsidR="00C60F30" w:rsidRDefault="00C60F30" w:rsidP="00686812">
                              <w:pPr>
                                <w:pStyle w:val="NoSpacing"/>
                                <w:jc w:val="center"/>
                                <w:rPr>
                                  <w:rFonts w:asciiTheme="majorHAnsi" w:eastAsiaTheme="majorEastAsia" w:hAnsiTheme="majorHAnsi" w:cstheme="majorBidi"/>
                                  <w:caps/>
                                  <w:color w:val="2C384A" w:themeColor="accent1"/>
                                  <w:sz w:val="28"/>
                                  <w:szCs w:val="28"/>
                                </w:rPr>
                              </w:pPr>
                              <w:r>
                                <w:rPr>
                                  <w:rFonts w:asciiTheme="majorHAnsi" w:eastAsiaTheme="majorEastAsia" w:hAnsiTheme="majorHAnsi" w:cstheme="majorBidi"/>
                                  <w:caps/>
                                  <w:color w:val="2C384A" w:themeColor="accent1"/>
                                  <w:sz w:val="28"/>
                                  <w:szCs w:val="28"/>
                                </w:rPr>
                                <w:t>Pillar One Building Blocks</w:t>
                              </w:r>
                            </w:p>
                            <w:p w14:paraId="3CDFB7C4" w14:textId="77777777" w:rsidR="00C60F30" w:rsidRDefault="00C60F30">
                              <w:pPr>
                                <w:pStyle w:val="NoSpacing"/>
                                <w:jc w:val="center"/>
                                <w:rPr>
                                  <w:rFonts w:asciiTheme="majorHAnsi" w:eastAsiaTheme="majorEastAsia" w:hAnsiTheme="majorHAnsi" w:cstheme="majorBidi"/>
                                  <w:caps/>
                                  <w:color w:val="2C384A" w:themeColor="accent1"/>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7D0D29F7" id="Group 50" o:spid="_x0000_s1034" style="position:absolute;margin-left:313.4pt;margin-top:0;width:2in;height:8in;z-index:-251658229;mso-width-percent:308;mso-wrap-distance-left:18pt;mso-wrap-distance-right:18pt;mso-position-horizontal-relative:margin;mso-position-vertical:top;mso-position-vertical-relative:margin;mso-width-percent:308;mso-width-relative:margin;mso-height-relative:margin" coordsize="18288,7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">
                <v:rect id="Rectangle 51" o:spid="_x0000_s1035"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" fillcolor="#cdd5e1 [660]" stroked="f" strokeweight="2pt"/>
                <v:rect id="Rectangle 52" o:spid="_x0000_s1036" style="position:absolute;top:9295;width:18288;height:70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" fillcolor="#cdd5e1 [660]" stroked="f" strokeweight="2pt">
                  <v:textbox inset=",14.4pt,8.64pt,18pt">
                    <w:txbxContent>
                      <w:p w14:paraId="46782684" w14:textId="77777777" w:rsidR="00C60F30" w:rsidRPr="009243EC" w:rsidRDefault="00C60F30" w:rsidP="00394D85">
                        <w:pPr>
                          <w:rPr>
                            <w:color w:val="000000" w:themeColor="text1"/>
                            <w:sz w:val="18"/>
                            <w:szCs w:val="18"/>
                          </w:rPr>
                        </w:pPr>
                        <w:r w:rsidRPr="009243EC">
                          <w:rPr>
                            <w:b/>
                            <w:bCs/>
                            <w:color w:val="000000" w:themeColor="text1"/>
                            <w:sz w:val="18"/>
                            <w:szCs w:val="18"/>
                          </w:rPr>
                          <w:t>Segmentation</w:t>
                        </w:r>
                        <w:r w:rsidRPr="009243EC">
                          <w:rPr>
                            <w:color w:val="000000" w:themeColor="text1"/>
                            <w:sz w:val="18"/>
                            <w:szCs w:val="18"/>
                          </w:rPr>
                          <w:t xml:space="preserve"> refers to situations where the multinational may be split up for the purposes of calculating the profitability. To be used in situations where a large multinational has business groups of varying profitability. </w:t>
                        </w:r>
                      </w:p>
                      <w:p w14:paraId="0A6A7783" w14:textId="77777777" w:rsidR="00C60F30" w:rsidRPr="009243EC" w:rsidRDefault="00C60F30" w:rsidP="00394D85">
                        <w:pPr>
                          <w:rPr>
                            <w:color w:val="000000" w:themeColor="text1"/>
                            <w:sz w:val="18"/>
                            <w:szCs w:val="18"/>
                          </w:rPr>
                        </w:pPr>
                        <w:r w:rsidRPr="009243EC">
                          <w:rPr>
                            <w:b/>
                            <w:bCs/>
                            <w:color w:val="000000" w:themeColor="text1"/>
                            <w:sz w:val="18"/>
                            <w:szCs w:val="18"/>
                          </w:rPr>
                          <w:t xml:space="preserve">Marketing Distribution Profits Safe </w:t>
                        </w:r>
                        <w:r>
                          <w:rPr>
                            <w:b/>
                            <w:bCs/>
                            <w:color w:val="000000" w:themeColor="text1"/>
                            <w:sz w:val="18"/>
                            <w:szCs w:val="18"/>
                          </w:rPr>
                          <w:t>H</w:t>
                        </w:r>
                        <w:r w:rsidRPr="009243EC">
                          <w:rPr>
                            <w:b/>
                            <w:bCs/>
                            <w:color w:val="000000" w:themeColor="text1"/>
                            <w:sz w:val="18"/>
                            <w:szCs w:val="18"/>
                          </w:rPr>
                          <w:t>arbour</w:t>
                        </w:r>
                        <w:r w:rsidRPr="009243EC">
                          <w:rPr>
                            <w:color w:val="000000" w:themeColor="text1"/>
                            <w:sz w:val="18"/>
                            <w:szCs w:val="18"/>
                          </w:rPr>
                          <w:t xml:space="preserve"> is the mechanism that will cap</w:t>
                        </w:r>
                        <w:r>
                          <w:rPr>
                            <w:color w:val="000000" w:themeColor="text1"/>
                            <w:sz w:val="18"/>
                            <w:szCs w:val="18"/>
                          </w:rPr>
                          <w:t xml:space="preserve"> an</w:t>
                        </w:r>
                        <w:r w:rsidRPr="009243EC">
                          <w:rPr>
                            <w:color w:val="000000" w:themeColor="text1"/>
                            <w:sz w:val="18"/>
                            <w:szCs w:val="18"/>
                          </w:rPr>
                          <w:t xml:space="preserve"> allocation of new taxing rights, where a country is already taxing ‘residual profits’. </w:t>
                        </w:r>
                      </w:p>
                      <w:p w14:paraId="3177A319" w14:textId="77777777" w:rsidR="00C60F30" w:rsidRPr="009243EC" w:rsidRDefault="00C60F30" w:rsidP="00394D85">
                        <w:pPr>
                          <w:rPr>
                            <w:color w:val="000000" w:themeColor="text1"/>
                            <w:sz w:val="18"/>
                            <w:szCs w:val="18"/>
                          </w:rPr>
                        </w:pPr>
                        <w:r w:rsidRPr="009243EC">
                          <w:rPr>
                            <w:b/>
                            <w:bCs/>
                            <w:color w:val="000000" w:themeColor="text1"/>
                            <w:sz w:val="18"/>
                            <w:szCs w:val="18"/>
                          </w:rPr>
                          <w:t>Elimination of Double Taxation</w:t>
                        </w:r>
                        <w:r w:rsidRPr="009243EC">
                          <w:rPr>
                            <w:color w:val="000000" w:themeColor="text1"/>
                            <w:sz w:val="18"/>
                            <w:szCs w:val="18"/>
                          </w:rPr>
                          <w:t xml:space="preserve"> is the mechanism for deciding which countries give up taxing rights to be reallocated to other countries. This has been determined to be the countries that capture the most ‘residual profit’.</w:t>
                        </w:r>
                      </w:p>
                      <w:p w14:paraId="55B8CCFF" w14:textId="77777777" w:rsidR="00C60F30" w:rsidRPr="009243EC" w:rsidRDefault="00C60F30" w:rsidP="00394D85">
                        <w:pPr>
                          <w:rPr>
                            <w:color w:val="000000" w:themeColor="text1"/>
                            <w:sz w:val="18"/>
                            <w:szCs w:val="18"/>
                          </w:rPr>
                        </w:pPr>
                        <w:r w:rsidRPr="009243EC">
                          <w:rPr>
                            <w:b/>
                            <w:bCs/>
                            <w:color w:val="000000" w:themeColor="text1"/>
                            <w:sz w:val="18"/>
                            <w:szCs w:val="18"/>
                          </w:rPr>
                          <w:t>Tax Certainty</w:t>
                        </w:r>
                        <w:r w:rsidRPr="009243EC">
                          <w:rPr>
                            <w:color w:val="000000" w:themeColor="text1"/>
                            <w:sz w:val="18"/>
                            <w:szCs w:val="18"/>
                          </w:rPr>
                          <w:t xml:space="preserve"> refers to a new dispute resolution and prevention mechanism. </w:t>
                        </w:r>
                      </w:p>
                      <w:p w14:paraId="2D9D4774" w14:textId="77777777" w:rsidR="00C60F30" w:rsidRPr="009243EC" w:rsidRDefault="00C60F30" w:rsidP="00394D85">
                        <w:pPr>
                          <w:rPr>
                            <w:color w:val="000000" w:themeColor="text1"/>
                            <w:sz w:val="18"/>
                            <w:szCs w:val="18"/>
                          </w:rPr>
                        </w:pPr>
                        <w:r w:rsidRPr="009243EC">
                          <w:rPr>
                            <w:b/>
                            <w:bCs/>
                            <w:color w:val="000000" w:themeColor="text1"/>
                            <w:sz w:val="18"/>
                            <w:szCs w:val="18"/>
                          </w:rPr>
                          <w:t>Administration</w:t>
                        </w:r>
                        <w:r w:rsidRPr="009243EC">
                          <w:rPr>
                            <w:color w:val="000000" w:themeColor="text1"/>
                            <w:sz w:val="18"/>
                            <w:szCs w:val="18"/>
                          </w:rPr>
                          <w:t xml:space="preserve"> refers to the filing of the global tax return. Which can be a single entity within the multinational group. </w:t>
                        </w:r>
                      </w:p>
                      <w:p w14:paraId="05CAE770" w14:textId="77777777" w:rsidR="00C60F30" w:rsidRPr="009243EC" w:rsidRDefault="00C60F30" w:rsidP="00394D85">
                        <w:pPr>
                          <w:rPr>
                            <w:color w:val="000000" w:themeColor="text1"/>
                            <w:sz w:val="18"/>
                            <w:szCs w:val="18"/>
                          </w:rPr>
                        </w:pPr>
                        <w:r w:rsidRPr="009243EC">
                          <w:rPr>
                            <w:b/>
                            <w:bCs/>
                            <w:color w:val="000000" w:themeColor="text1"/>
                            <w:sz w:val="18"/>
                            <w:szCs w:val="18"/>
                          </w:rPr>
                          <w:t>Unilateral Measure</w:t>
                        </w:r>
                        <w:r w:rsidRPr="009243EC">
                          <w:rPr>
                            <w:color w:val="000000" w:themeColor="text1"/>
                            <w:sz w:val="18"/>
                            <w:szCs w:val="18"/>
                          </w:rPr>
                          <w:t xml:space="preserve"> refers to Digital Services Taxes and other similar measures. It has been determined countries will need to remove Digital Services Taxes to receive the new taxing right. </w:t>
                        </w:r>
                      </w:p>
                      <w:p w14:paraId="541D734D" w14:textId="3222E9E2" w:rsidR="00C60F30" w:rsidRPr="009243EC" w:rsidRDefault="00C60F30" w:rsidP="00394D85">
                        <w:pPr>
                          <w:rPr>
                            <w:color w:val="000000" w:themeColor="text1"/>
                            <w:sz w:val="18"/>
                            <w:szCs w:val="18"/>
                          </w:rPr>
                        </w:pPr>
                        <w:r w:rsidRPr="009243EC">
                          <w:rPr>
                            <w:b/>
                            <w:bCs/>
                            <w:color w:val="000000" w:themeColor="text1"/>
                            <w:sz w:val="18"/>
                            <w:szCs w:val="18"/>
                          </w:rPr>
                          <w:t>Implementation</w:t>
                        </w:r>
                        <w:r w:rsidRPr="009243EC">
                          <w:rPr>
                            <w:color w:val="000000" w:themeColor="text1"/>
                            <w:sz w:val="18"/>
                            <w:szCs w:val="18"/>
                          </w:rPr>
                          <w:t xml:space="preserve"> is the legal enforcement mechanism. Which has been determined as</w:t>
                        </w:r>
                        <w:r>
                          <w:rPr>
                            <w:color w:val="000000" w:themeColor="text1"/>
                            <w:sz w:val="18"/>
                            <w:szCs w:val="18"/>
                          </w:rPr>
                          <w:t xml:space="preserve"> a </w:t>
                        </w:r>
                        <w:r w:rsidR="00F95038">
                          <w:rPr>
                            <w:color w:val="000000" w:themeColor="text1"/>
                            <w:sz w:val="18"/>
                            <w:szCs w:val="18"/>
                          </w:rPr>
                          <w:t>M</w:t>
                        </w:r>
                        <w:r w:rsidRPr="009243EC">
                          <w:rPr>
                            <w:color w:val="000000" w:themeColor="text1"/>
                            <w:sz w:val="18"/>
                            <w:szCs w:val="18"/>
                          </w:rPr>
                          <w:t xml:space="preserve">ultilateral </w:t>
                        </w:r>
                        <w:r w:rsidR="00F95038">
                          <w:rPr>
                            <w:color w:val="000000" w:themeColor="text1"/>
                            <w:sz w:val="18"/>
                            <w:szCs w:val="18"/>
                          </w:rPr>
                          <w:t>C</w:t>
                        </w:r>
                        <w:r w:rsidRPr="009243EC">
                          <w:rPr>
                            <w:color w:val="000000" w:themeColor="text1"/>
                            <w:sz w:val="18"/>
                            <w:szCs w:val="18"/>
                          </w:rPr>
                          <w:t xml:space="preserve">onvention. </w:t>
                        </w:r>
                      </w:p>
                    </w:txbxContent>
                  </v:textbox>
                </v:rect>
                <v:shape id="Text Box 53" o:spid="_x0000_s1037"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" fillcolor="white [3212]" stroked="f" strokeweight=".5pt">
                  <v:textbox inset=",7.2pt,,7.2pt">
                    <w:txbxContent>
                      <w:p w14:paraId="0941D046" w14:textId="77777777" w:rsidR="00C60F30" w:rsidRDefault="00C60F30" w:rsidP="00686812">
                        <w:pPr>
                          <w:pStyle w:val="NoSpacing"/>
                          <w:jc w:val="center"/>
                          <w:rPr>
                            <w:rFonts w:asciiTheme="majorHAnsi" w:eastAsiaTheme="majorEastAsia" w:hAnsiTheme="majorHAnsi" w:cstheme="majorBidi"/>
                            <w:caps/>
                            <w:color w:val="2C384A" w:themeColor="accent1"/>
                            <w:sz w:val="28"/>
                            <w:szCs w:val="28"/>
                          </w:rPr>
                        </w:pPr>
                        <w:r>
                          <w:rPr>
                            <w:rFonts w:asciiTheme="majorHAnsi" w:eastAsiaTheme="majorEastAsia" w:hAnsiTheme="majorHAnsi" w:cstheme="majorBidi"/>
                            <w:caps/>
                            <w:color w:val="2C384A" w:themeColor="accent1"/>
                            <w:sz w:val="28"/>
                            <w:szCs w:val="28"/>
                          </w:rPr>
                          <w:t>Pillar One Building Blocks</w:t>
                        </w:r>
                      </w:p>
                      <w:p w14:paraId="3CDFB7C4" w14:textId="77777777" w:rsidR="00C60F30" w:rsidRDefault="00C60F30">
                        <w:pPr>
                          <w:pStyle w:val="NoSpacing"/>
                          <w:jc w:val="center"/>
                          <w:rPr>
                            <w:rFonts w:asciiTheme="majorHAnsi" w:eastAsiaTheme="majorEastAsia" w:hAnsiTheme="majorHAnsi" w:cstheme="majorBidi"/>
                            <w:caps/>
                            <w:color w:val="2C384A" w:themeColor="accent1"/>
                            <w:sz w:val="28"/>
                            <w:szCs w:val="28"/>
                          </w:rPr>
                        </w:pPr>
                      </w:p>
                    </w:txbxContent>
                  </v:textbox>
                </v:shape>
                <w10:wrap type="square" anchorx="margin" anchory="margin"/>
              </v:group>
            </w:pict>
          </mc:Fallback>
        </mc:AlternateContent>
      </w:r>
      <w:r w:rsidR="00654411">
        <w:t>There is an exclusion for Extractives and Regulated Financial Services from the scope of Amount A. These exclusions reflect the policy goals of retaining source country taxing rights over economic rents from location-specific non-renewable extractive resources and returns by financial firms subject to regulated capital adequacy requirements (or similar internationally recognised regulatory regimes).</w:t>
      </w:r>
    </w:p>
    <w:p w14:paraId="6D99A5BA" w14:textId="77777777" w:rsidR="00654411" w:rsidRDefault="00654411" w:rsidP="00B66300">
      <w:r>
        <w:t xml:space="preserve">Amount A is equal to </w:t>
      </w:r>
      <w:r w:rsidRPr="003D1A55">
        <w:t xml:space="preserve">25 per cent of </w:t>
      </w:r>
      <w:r>
        <w:t xml:space="preserve">the multinational’s </w:t>
      </w:r>
      <w:r w:rsidRPr="003D1A55">
        <w:t xml:space="preserve">global </w:t>
      </w:r>
      <w:r>
        <w:t xml:space="preserve">residual profits. For the purpose of Amount A, global residual profit is defined as </w:t>
      </w:r>
      <w:r w:rsidR="0038761D">
        <w:t xml:space="preserve">all </w:t>
      </w:r>
      <w:r>
        <w:t xml:space="preserve">profit above </w:t>
      </w:r>
      <w:r w:rsidR="0038761D">
        <w:t xml:space="preserve">a </w:t>
      </w:r>
      <w:r w:rsidRPr="00537B7A">
        <w:t xml:space="preserve">10 per cent profit </w:t>
      </w:r>
      <w:r w:rsidR="00113D12">
        <w:t>to revenue ratio</w:t>
      </w:r>
      <w:r w:rsidRPr="00537B7A">
        <w:t>.</w:t>
      </w:r>
      <w:r>
        <w:t xml:space="preserve"> </w:t>
      </w:r>
      <w:r w:rsidR="00832638">
        <w:t>For example, if a company had a total profit of $15, and total revenue of $100, then residual profit would be $5, and the size of Amount A would be $1.25.</w:t>
      </w:r>
      <w:r w:rsidR="00832638" w:rsidDel="00D3490C">
        <w:t xml:space="preserve"> </w:t>
      </w:r>
      <w:r w:rsidR="0038761D">
        <w:t xml:space="preserve">The </w:t>
      </w:r>
      <w:r>
        <w:t xml:space="preserve">multinational would </w:t>
      </w:r>
      <w:r w:rsidR="0038761D">
        <w:t xml:space="preserve">then </w:t>
      </w:r>
      <w:r>
        <w:t xml:space="preserve">allocate these Amount A profits among market jurisdictions based on the proportion of their revenue sourced from each jurisdiction. </w:t>
      </w:r>
      <w:r w:rsidRPr="000E7140">
        <w:t xml:space="preserve">The market jurisdiction would then apply their domestic corporate tax </w:t>
      </w:r>
      <w:r>
        <w:t>system to tax the allocated residual profits, while another ‘relieving jurisdiction’ would be required to effectively relinquish their taxing rights over these profits (</w:t>
      </w:r>
      <w:r w:rsidR="00855E3E">
        <w:t>a</w:t>
      </w:r>
      <w:r>
        <w:t>lso referred to as eliminat</w:t>
      </w:r>
      <w:r w:rsidR="00D3490C">
        <w:t>ion of</w:t>
      </w:r>
      <w:r>
        <w:t xml:space="preserve"> double taxation)</w:t>
      </w:r>
      <w:r w:rsidRPr="000E7140">
        <w:t xml:space="preserve">. Pillar One </w:t>
      </w:r>
      <w:r>
        <w:t>would also</w:t>
      </w:r>
      <w:r w:rsidRPr="000E7140">
        <w:t xml:space="preserve"> include a </w:t>
      </w:r>
      <w:r>
        <w:t>‘</w:t>
      </w:r>
      <w:r w:rsidR="005501BE">
        <w:t>M</w:t>
      </w:r>
      <w:r w:rsidRPr="000E7140">
        <w:t xml:space="preserve">arketing and </w:t>
      </w:r>
      <w:r w:rsidR="005501BE">
        <w:t>D</w:t>
      </w:r>
      <w:r w:rsidRPr="000E7140">
        <w:t xml:space="preserve">istribution </w:t>
      </w:r>
      <w:r w:rsidR="005501BE">
        <w:t>P</w:t>
      </w:r>
      <w:r w:rsidRPr="000E7140">
        <w:t>rofit</w:t>
      </w:r>
      <w:r>
        <w:t>s</w:t>
      </w:r>
      <w:r w:rsidRPr="000E7140">
        <w:t xml:space="preserve"> </w:t>
      </w:r>
      <w:r w:rsidR="005501BE">
        <w:t>S</w:t>
      </w:r>
      <w:r w:rsidRPr="000E7140">
        <w:t xml:space="preserve">afe </w:t>
      </w:r>
      <w:r w:rsidR="005501BE">
        <w:t>H</w:t>
      </w:r>
      <w:r w:rsidRPr="000E7140">
        <w:t>arbour</w:t>
      </w:r>
      <w:r>
        <w:t>’</w:t>
      </w:r>
      <w:r w:rsidRPr="000E7140">
        <w:t xml:space="preserve"> </w:t>
      </w:r>
      <w:r>
        <w:t xml:space="preserve">to cap the amount of </w:t>
      </w:r>
      <w:r w:rsidRPr="000E7140">
        <w:t xml:space="preserve">profit </w:t>
      </w:r>
      <w:r>
        <w:t>reallocated to a market jurisdiction that is already able to tax the multinational’s residual profits.</w:t>
      </w:r>
      <w:r w:rsidRPr="000E7140">
        <w:t xml:space="preserve"> </w:t>
      </w:r>
    </w:p>
    <w:p w14:paraId="3A77D45F" w14:textId="77777777" w:rsidR="00654411" w:rsidRDefault="00654411" w:rsidP="00B66300">
      <w:r>
        <w:t>As a condition of joining Pillar One, countries need to remove all Digital Services Taxes and commit to not introducing similar measures in the future. This would help stabilise the international tax rules and reduce the risk of trade disputes.</w:t>
      </w:r>
    </w:p>
    <w:p w14:paraId="221B0779" w14:textId="77777777" w:rsidR="00654411" w:rsidRPr="004C221A" w:rsidRDefault="00654411" w:rsidP="00310BF4">
      <w:pPr>
        <w:pStyle w:val="Heading4"/>
        <w:spacing w:before="120" w:after="120" w:line="240" w:lineRule="auto"/>
      </w:pPr>
      <w:r w:rsidRPr="004C221A">
        <w:t>Streamlined application of the arm’s length principle</w:t>
      </w:r>
      <w:r w:rsidR="00AB5E5A">
        <w:t xml:space="preserve"> (Amount B)</w:t>
      </w:r>
    </w:p>
    <w:p w14:paraId="01FA60F6" w14:textId="77777777" w:rsidR="00654411" w:rsidRDefault="00654411" w:rsidP="00654411">
      <w:r w:rsidRPr="004559B3">
        <w:t xml:space="preserve">Amount B </w:t>
      </w:r>
      <w:r>
        <w:t xml:space="preserve">aims to simplify and streamline the process of applying transfer pricing rules under the </w:t>
      </w:r>
      <w:r w:rsidR="00136278">
        <w:t>arm’s length</w:t>
      </w:r>
      <w:r>
        <w:t xml:space="preserve"> principle for “baseline marketing and distribution activities”, with a particular focus on the needs of </w:t>
      </w:r>
      <w:r w:rsidR="00B66C86">
        <w:t>low-capacity</w:t>
      </w:r>
      <w:r>
        <w:t xml:space="preserve"> jurisdictions</w:t>
      </w:r>
      <w:r w:rsidR="0038761D">
        <w:t xml:space="preserve"> (</w:t>
      </w:r>
      <w:r w:rsidR="00410CEE">
        <w:t>relating to</w:t>
      </w:r>
      <w:r w:rsidR="0038761D">
        <w:t xml:space="preserve"> the capacity to administer </w:t>
      </w:r>
      <w:r w:rsidR="006A3598">
        <w:t xml:space="preserve">complex </w:t>
      </w:r>
      <w:r w:rsidR="0038761D">
        <w:t>taxation law)</w:t>
      </w:r>
      <w:r>
        <w:t xml:space="preserve">. </w:t>
      </w:r>
      <w:r w:rsidR="00B72FA1">
        <w:t>Baseline marketing and distribution activities essentially amounts to the downstream advertising, transport and retailing of the good</w:t>
      </w:r>
      <w:r w:rsidR="00B66C86">
        <w:t>s</w:t>
      </w:r>
      <w:r w:rsidR="00B72FA1">
        <w:t xml:space="preserve"> or services that typically occur near customers. </w:t>
      </w:r>
      <w:r w:rsidRPr="004559B3">
        <w:t>Amount B is not limited to the multinationals in</w:t>
      </w:r>
      <w:r w:rsidR="00B66C86">
        <w:t xml:space="preserve"> </w:t>
      </w:r>
      <w:r w:rsidRPr="004559B3">
        <w:t xml:space="preserve">scope of Amount A. </w:t>
      </w:r>
      <w:r>
        <w:t xml:space="preserve">The details of Amount B are still being negotiated. </w:t>
      </w:r>
    </w:p>
    <w:p w14:paraId="7D667316" w14:textId="77777777" w:rsidR="00F877C5" w:rsidRDefault="00F877C5" w:rsidP="00310BF4">
      <w:pPr>
        <w:rPr>
          <w:rFonts w:ascii="Calibri" w:hAnsi="Calibri" w:cs="Arial"/>
          <w:iCs/>
          <w:color w:val="2C384A"/>
          <w:kern w:val="32"/>
          <w:sz w:val="36"/>
          <w:szCs w:val="28"/>
        </w:rPr>
      </w:pPr>
      <w:bookmarkStart w:id="60" w:name="_Toc116375708"/>
      <w:bookmarkStart w:id="61" w:name="_Toc116380345"/>
      <w:r>
        <w:br w:type="page"/>
      </w:r>
    </w:p>
    <w:p w14:paraId="5E5A1C43" w14:textId="77777777" w:rsidR="00E548BA" w:rsidRDefault="00DD2EAA" w:rsidP="00310BF4">
      <w:pPr>
        <w:pStyle w:val="Heading2"/>
        <w:spacing w:before="120" w:line="240" w:lineRule="auto"/>
      </w:pPr>
      <w:r>
        <w:lastRenderedPageBreak/>
        <w:t xml:space="preserve">Option 2: </w:t>
      </w:r>
      <w:r w:rsidR="004C6608">
        <w:t xml:space="preserve">Australia to implement </w:t>
      </w:r>
      <w:r w:rsidR="00E548BA">
        <w:t>Pillar Two</w:t>
      </w:r>
      <w:r w:rsidR="006A1B52">
        <w:t xml:space="preserve"> </w:t>
      </w:r>
      <w:bookmarkEnd w:id="60"/>
      <w:bookmarkEnd w:id="61"/>
    </w:p>
    <w:tbl>
      <w:tblPr>
        <w:tblStyle w:val="TableGrid"/>
        <w:tblW w:w="0" w:type="auto"/>
        <w:shd w:val="clear" w:color="auto" w:fill="D8E6DF" w:themeFill="accent2" w:themeFillTint="33"/>
        <w:tblLook w:val="04A0" w:firstRow="1" w:lastRow="0" w:firstColumn="1" w:lastColumn="0" w:noHBand="0" w:noVBand="1"/>
      </w:tblPr>
      <w:tblGrid>
        <w:gridCol w:w="4535"/>
        <w:gridCol w:w="4535"/>
      </w:tblGrid>
      <w:tr w:rsidR="005F36E6" w14:paraId="59C4EE11" w14:textId="77777777" w:rsidTr="00C87A40">
        <w:trPr>
          <w:cnfStyle w:val="100000000000" w:firstRow="1" w:lastRow="0" w:firstColumn="0" w:lastColumn="0" w:oddVBand="0" w:evenVBand="0" w:oddHBand="0" w:evenHBand="0" w:firstRowFirstColumn="0" w:firstRowLastColumn="0" w:lastRowFirstColumn="0" w:lastRowLastColumn="0"/>
        </w:trPr>
        <w:tc>
          <w:tcPr>
            <w:tcW w:w="9070" w:type="dxa"/>
            <w:gridSpan w:val="2"/>
            <w:shd w:val="clear" w:color="auto" w:fill="D8E6DF" w:themeFill="accent2" w:themeFillTint="33"/>
          </w:tcPr>
          <w:p w14:paraId="41FB1E44" w14:textId="77777777" w:rsidR="005F36E6" w:rsidRDefault="005F36E6" w:rsidP="00310BF4">
            <w:pPr>
              <w:spacing w:beforeLines="0" w:afterLines="0"/>
              <w:jc w:val="center"/>
            </w:pPr>
            <w:r>
              <w:t>Pillar Two Summary</w:t>
            </w:r>
          </w:p>
        </w:tc>
      </w:tr>
      <w:tr w:rsidR="005F36E6" w14:paraId="4CAD2FA0" w14:textId="77777777" w:rsidTr="00C87A40">
        <w:tc>
          <w:tcPr>
            <w:tcW w:w="4535" w:type="dxa"/>
            <w:shd w:val="clear" w:color="auto" w:fill="D8E6DF" w:themeFill="accent2" w:themeFillTint="33"/>
          </w:tcPr>
          <w:p w14:paraId="72EDFA6F" w14:textId="77777777" w:rsidR="005F36E6" w:rsidRPr="00B663EA" w:rsidRDefault="005F36E6" w:rsidP="00CA7E38">
            <w:pPr>
              <w:rPr>
                <w:b/>
                <w:bCs/>
              </w:rPr>
            </w:pPr>
            <w:r w:rsidRPr="00B663EA">
              <w:rPr>
                <w:b/>
                <w:bCs/>
              </w:rPr>
              <w:t>What does it do?</w:t>
            </w:r>
          </w:p>
        </w:tc>
        <w:tc>
          <w:tcPr>
            <w:tcW w:w="4535" w:type="dxa"/>
            <w:shd w:val="clear" w:color="auto" w:fill="D8E6DF" w:themeFill="accent2" w:themeFillTint="33"/>
          </w:tcPr>
          <w:p w14:paraId="2EAD629F" w14:textId="77777777" w:rsidR="005F36E6" w:rsidRDefault="005F36E6" w:rsidP="00CA7E38">
            <w:r>
              <w:t xml:space="preserve">Primarily allows countries which implement Pillar Two to apply a top-up tax on multinationals where they are taxed below the global minimum rate. </w:t>
            </w:r>
          </w:p>
        </w:tc>
      </w:tr>
      <w:tr w:rsidR="005F36E6" w14:paraId="5209B0B9" w14:textId="77777777" w:rsidTr="00C87A40">
        <w:tc>
          <w:tcPr>
            <w:tcW w:w="4535" w:type="dxa"/>
            <w:shd w:val="clear" w:color="auto" w:fill="D8E6DF" w:themeFill="accent2" w:themeFillTint="33"/>
          </w:tcPr>
          <w:p w14:paraId="2B08DA01" w14:textId="77777777" w:rsidR="005F36E6" w:rsidRPr="00B663EA" w:rsidRDefault="005F36E6" w:rsidP="00CA7E38">
            <w:pPr>
              <w:rPr>
                <w:b/>
                <w:bCs/>
              </w:rPr>
            </w:pPr>
            <w:r>
              <w:rPr>
                <w:b/>
                <w:bCs/>
              </w:rPr>
              <w:t>What do multinationals do differently?</w:t>
            </w:r>
            <w:r w:rsidRPr="00B663EA">
              <w:rPr>
                <w:b/>
                <w:bCs/>
              </w:rPr>
              <w:t xml:space="preserve"> </w:t>
            </w:r>
          </w:p>
        </w:tc>
        <w:tc>
          <w:tcPr>
            <w:tcW w:w="4535" w:type="dxa"/>
            <w:shd w:val="clear" w:color="auto" w:fill="D8E6DF" w:themeFill="accent2" w:themeFillTint="33"/>
          </w:tcPr>
          <w:p w14:paraId="0DA019C7" w14:textId="77777777" w:rsidR="005F36E6" w:rsidRDefault="005F36E6" w:rsidP="00CA7E38">
            <w:r>
              <w:t xml:space="preserve">Complete a new global information return, as well as other reporting requirements to meet the new rules and possibly pay top-up taxes.      </w:t>
            </w:r>
          </w:p>
        </w:tc>
      </w:tr>
      <w:tr w:rsidR="005F36E6" w14:paraId="03FDF4DD" w14:textId="77777777" w:rsidTr="00C87A40">
        <w:tc>
          <w:tcPr>
            <w:tcW w:w="4535" w:type="dxa"/>
            <w:shd w:val="clear" w:color="auto" w:fill="D8E6DF" w:themeFill="accent2" w:themeFillTint="33"/>
          </w:tcPr>
          <w:p w14:paraId="58CD8358" w14:textId="77777777" w:rsidR="005F36E6" w:rsidRPr="00B663EA" w:rsidRDefault="005F36E6" w:rsidP="00CA7E38">
            <w:pPr>
              <w:rPr>
                <w:b/>
                <w:bCs/>
              </w:rPr>
            </w:pPr>
            <w:r w:rsidRPr="00B663EA">
              <w:rPr>
                <w:b/>
                <w:bCs/>
              </w:rPr>
              <w:t>Who is in scope?</w:t>
            </w:r>
          </w:p>
        </w:tc>
        <w:tc>
          <w:tcPr>
            <w:tcW w:w="4535" w:type="dxa"/>
            <w:shd w:val="clear" w:color="auto" w:fill="D8E6DF" w:themeFill="accent2" w:themeFillTint="33"/>
          </w:tcPr>
          <w:p w14:paraId="5F34B483" w14:textId="77777777" w:rsidR="005F36E6" w:rsidRDefault="005F36E6" w:rsidP="00CA7E38">
            <w:r>
              <w:t>Multinationals who have global revenue of at least EUR750 million.</w:t>
            </w:r>
          </w:p>
        </w:tc>
      </w:tr>
      <w:tr w:rsidR="005F36E6" w14:paraId="3F9C22BD" w14:textId="77777777" w:rsidTr="00C87A40">
        <w:tc>
          <w:tcPr>
            <w:tcW w:w="4535" w:type="dxa"/>
            <w:shd w:val="clear" w:color="auto" w:fill="D8E6DF" w:themeFill="accent2" w:themeFillTint="33"/>
          </w:tcPr>
          <w:p w14:paraId="40A76BA5" w14:textId="77777777" w:rsidR="005F36E6" w:rsidRPr="00B663EA" w:rsidRDefault="005F36E6" w:rsidP="00CA7E38">
            <w:pPr>
              <w:rPr>
                <w:b/>
                <w:bCs/>
              </w:rPr>
            </w:pPr>
            <w:r w:rsidRPr="00B663EA">
              <w:rPr>
                <w:b/>
                <w:bCs/>
              </w:rPr>
              <w:t>Major exemptions?</w:t>
            </w:r>
          </w:p>
        </w:tc>
        <w:tc>
          <w:tcPr>
            <w:tcW w:w="4535" w:type="dxa"/>
            <w:shd w:val="clear" w:color="auto" w:fill="D8E6DF" w:themeFill="accent2" w:themeFillTint="33"/>
          </w:tcPr>
          <w:p w14:paraId="71D97CF8" w14:textId="77777777" w:rsidR="005F36E6" w:rsidRDefault="005F36E6" w:rsidP="00CA7E38">
            <w:r>
              <w:t xml:space="preserve">International shipping, Government enterprises and pension funds. </w:t>
            </w:r>
          </w:p>
        </w:tc>
      </w:tr>
    </w:tbl>
    <w:p w14:paraId="63ED952F" w14:textId="7960ED87" w:rsidR="00C92427" w:rsidRPr="00C92427" w:rsidRDefault="00B66300" w:rsidP="00C92427">
      <w:r w:rsidRPr="00AB5E5A">
        <w:rPr>
          <w:noProof/>
        </w:rPr>
        <mc:AlternateContent>
          <mc:Choice Requires="wps">
            <w:drawing>
              <wp:inline distT="0" distB="0" distL="0" distR="0" wp14:anchorId="1C3D9652" wp14:editId="07228A22">
                <wp:extent cx="5730240" cy="3333750"/>
                <wp:effectExtent l="0" t="0" r="22860" b="19050"/>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333750"/>
                        </a:xfrm>
                        <a:prstGeom prst="rect">
                          <a:avLst/>
                        </a:prstGeom>
                        <a:solidFill>
                          <a:srgbClr val="4D7861">
                            <a:lumMod val="20000"/>
                            <a:lumOff val="80000"/>
                          </a:srgbClr>
                        </a:solidFill>
                        <a:ln w="9525">
                          <a:solidFill>
                            <a:srgbClr val="000000"/>
                          </a:solidFill>
                          <a:miter lim="800000"/>
                          <a:headEnd/>
                          <a:tailEnd/>
                        </a:ln>
                      </wps:spPr>
                      <wps:txbx>
                        <w:txbxContent>
                          <w:p w14:paraId="3CD243D8" w14:textId="77777777" w:rsidR="00C60F30" w:rsidRPr="00AB5E5A" w:rsidRDefault="00C60F30" w:rsidP="00B66300">
                            <w:pPr>
                              <w:rPr>
                                <w:b/>
                                <w:bCs/>
                                <w:sz w:val="20"/>
                              </w:rPr>
                            </w:pPr>
                            <w:r w:rsidRPr="00AB5E5A">
                              <w:rPr>
                                <w:b/>
                                <w:bCs/>
                                <w:sz w:val="20"/>
                              </w:rPr>
                              <w:t xml:space="preserve">Pillar </w:t>
                            </w:r>
                            <w:r>
                              <w:rPr>
                                <w:b/>
                                <w:bCs/>
                                <w:sz w:val="20"/>
                              </w:rPr>
                              <w:t>Two</w:t>
                            </w:r>
                            <w:r w:rsidRPr="00AB5E5A">
                              <w:rPr>
                                <w:b/>
                                <w:bCs/>
                                <w:sz w:val="20"/>
                              </w:rPr>
                              <w:t xml:space="preserve"> Cameo</w:t>
                            </w:r>
                          </w:p>
                          <w:p w14:paraId="69818185" w14:textId="6A9B086B" w:rsidR="00C60F30" w:rsidRDefault="00C60F30" w:rsidP="00B66300">
                            <w:pPr>
                              <w:rPr>
                                <w:sz w:val="20"/>
                              </w:rPr>
                            </w:pPr>
                            <w:r w:rsidRPr="00AB5E5A">
                              <w:rPr>
                                <w:sz w:val="20"/>
                              </w:rPr>
                              <w:t>Megacorporation operates in nearly every country in the world, has large revenues and is highly profitable. To minimise global taxation Megacorporation has consolidated the majority of their intellectual</w:t>
                            </w:r>
                            <w:r>
                              <w:rPr>
                                <w:sz w:val="20"/>
                              </w:rPr>
                              <w:t xml:space="preserve"> property</w:t>
                            </w:r>
                            <w:r w:rsidRPr="00AB5E5A">
                              <w:rPr>
                                <w:sz w:val="20"/>
                              </w:rPr>
                              <w:t xml:space="preserve"> and intangible assets in a low</w:t>
                            </w:r>
                            <w:r>
                              <w:rPr>
                                <w:sz w:val="20"/>
                              </w:rPr>
                              <w:t>-</w:t>
                            </w:r>
                            <w:r w:rsidRPr="00AB5E5A">
                              <w:rPr>
                                <w:sz w:val="20"/>
                              </w:rPr>
                              <w:t xml:space="preserve">tax jurisdiction. The legal entity operating in the </w:t>
                            </w:r>
                            <w:r>
                              <w:rPr>
                                <w:sz w:val="20"/>
                              </w:rPr>
                              <w:t>low-tax jurisdiction</w:t>
                            </w:r>
                            <w:r w:rsidRPr="00AB5E5A">
                              <w:rPr>
                                <w:sz w:val="20"/>
                              </w:rPr>
                              <w:t xml:space="preserve"> then charges fees to Megacorporation’s subsidiaries in other higher taxing countries.</w:t>
                            </w:r>
                          </w:p>
                          <w:p w14:paraId="2852B32B" w14:textId="77777777" w:rsidR="00C60F30" w:rsidRPr="00AB5E5A" w:rsidRDefault="00C60F30" w:rsidP="00B66300">
                            <w:pPr>
                              <w:rPr>
                                <w:sz w:val="20"/>
                              </w:rPr>
                            </w:pPr>
                            <w:r w:rsidRPr="00AB5E5A">
                              <w:rPr>
                                <w:sz w:val="20"/>
                              </w:rPr>
                              <w:t xml:space="preserve">Once in scope of Pillar </w:t>
                            </w:r>
                            <w:r>
                              <w:rPr>
                                <w:sz w:val="20"/>
                              </w:rPr>
                              <w:t>Two</w:t>
                            </w:r>
                            <w:r w:rsidRPr="00AB5E5A">
                              <w:rPr>
                                <w:sz w:val="20"/>
                              </w:rPr>
                              <w:t xml:space="preserve">, Megacorporation will need to file a new type of global </w:t>
                            </w:r>
                            <w:r>
                              <w:rPr>
                                <w:sz w:val="20"/>
                              </w:rPr>
                              <w:t xml:space="preserve">information </w:t>
                            </w:r>
                            <w:r w:rsidRPr="00AB5E5A">
                              <w:rPr>
                                <w:sz w:val="20"/>
                              </w:rPr>
                              <w:t>return</w:t>
                            </w:r>
                            <w:r>
                              <w:rPr>
                                <w:sz w:val="20"/>
                              </w:rPr>
                              <w:t xml:space="preserve">. </w:t>
                            </w:r>
                            <w:r w:rsidRPr="00AB5E5A">
                              <w:rPr>
                                <w:sz w:val="20"/>
                              </w:rPr>
                              <w:t>The new global</w:t>
                            </w:r>
                            <w:r>
                              <w:rPr>
                                <w:sz w:val="20"/>
                              </w:rPr>
                              <w:t xml:space="preserve"> information</w:t>
                            </w:r>
                            <w:r w:rsidRPr="00AB5E5A">
                              <w:rPr>
                                <w:sz w:val="20"/>
                              </w:rPr>
                              <w:t xml:space="preserve"> return </w:t>
                            </w:r>
                            <w:r>
                              <w:rPr>
                                <w:sz w:val="20"/>
                              </w:rPr>
                              <w:t>would indicate whether they are paying tax above or below the global minimum rate of 15 per cent in each jurisdiction in which it operates.</w:t>
                            </w:r>
                            <w:r w:rsidRPr="00AB5E5A">
                              <w:rPr>
                                <w:sz w:val="20"/>
                              </w:rPr>
                              <w:t xml:space="preserve"> </w:t>
                            </w:r>
                            <w:r>
                              <w:rPr>
                                <w:sz w:val="20"/>
                              </w:rPr>
                              <w:t>If they are being taxed below the global minimum, they will be required to pay top-up taxes in up to the point where they are paying the minimum global tax rate in each jurisdiction.</w:t>
                            </w:r>
                          </w:p>
                          <w:p w14:paraId="07B04906" w14:textId="77777777" w:rsidR="00C60F30" w:rsidRDefault="00C60F30" w:rsidP="00B66300">
                            <w:pPr>
                              <w:rPr>
                                <w:sz w:val="20"/>
                              </w:rPr>
                            </w:pPr>
                            <w:r>
                              <w:rPr>
                                <w:sz w:val="20"/>
                              </w:rPr>
                              <w:t>For high taxing countries there may be situations where they can increase their taxation revenue through the collection of top-up taxes. However, low-tax jurisdictions may respond by increasing their tax rates, as companies operating in their country will be charged top-up taxes by other countries anyway, so they may as well tax them instead.</w:t>
                            </w:r>
                          </w:p>
                          <w:p w14:paraId="10EE1AD6" w14:textId="10C74EA9" w:rsidR="00C60F30" w:rsidRPr="00EC747F" w:rsidRDefault="00C60F30" w:rsidP="00B66300">
                            <w:pPr>
                              <w:rPr>
                                <w:sz w:val="20"/>
                              </w:rPr>
                            </w:pPr>
                            <w:r w:rsidRPr="00AB5E5A">
                              <w:rPr>
                                <w:sz w:val="20"/>
                              </w:rPr>
                              <w:t>Megacorporation</w:t>
                            </w:r>
                            <w:r w:rsidR="00D34ABE">
                              <w:rPr>
                                <w:sz w:val="20"/>
                              </w:rPr>
                              <w:t xml:space="preserve"> </w:t>
                            </w:r>
                            <w:r>
                              <w:rPr>
                                <w:sz w:val="20"/>
                              </w:rPr>
                              <w:t>will pay an overall higher amount of taxation where it does not pay the minimum rate in jurisdictions. Additionally, as Pillar Two has in effect put a floor on tax competition, it will partly reduce the financial benefits for Megacorporation to undertake profit shifting activity.</w:t>
                            </w:r>
                          </w:p>
                        </w:txbxContent>
                      </wps:txbx>
                      <wps:bodyPr rot="0" vert="horz" wrap="square" lIns="91440" tIns="45720" rIns="91440" bIns="45720" anchor="t" anchorCtr="0">
                        <a:noAutofit/>
                      </wps:bodyPr>
                    </wps:wsp>
                  </a:graphicData>
                </a:graphic>
              </wp:inline>
            </w:drawing>
          </mc:Choice>
          <mc:Fallback>
            <w:pict>
              <v:shape w14:anchorId="1C3D9652" id="Text Box 192" o:spid="_x0000_s1038" type="#_x0000_t202" style="width:451.2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" fillcolor="#d9e7df">
                <v:textbox>
                  <w:txbxContent>
                    <w:p w14:paraId="3CD243D8" w14:textId="77777777" w:rsidR="00C60F30" w:rsidRPr="00AB5E5A" w:rsidRDefault="00C60F30" w:rsidP="00B66300">
                      <w:pPr>
                        <w:rPr>
                          <w:b/>
                          <w:bCs/>
                          <w:sz w:val="20"/>
                        </w:rPr>
                      </w:pPr>
                      <w:r w:rsidRPr="00AB5E5A">
                        <w:rPr>
                          <w:b/>
                          <w:bCs/>
                          <w:sz w:val="20"/>
                        </w:rPr>
                        <w:t xml:space="preserve">Pillar </w:t>
                      </w:r>
                      <w:r>
                        <w:rPr>
                          <w:b/>
                          <w:bCs/>
                          <w:sz w:val="20"/>
                        </w:rPr>
                        <w:t>Two</w:t>
                      </w:r>
                      <w:r w:rsidRPr="00AB5E5A">
                        <w:rPr>
                          <w:b/>
                          <w:bCs/>
                          <w:sz w:val="20"/>
                        </w:rPr>
                        <w:t xml:space="preserve"> Cameo</w:t>
                      </w:r>
                    </w:p>
                    <w:p w14:paraId="69818185" w14:textId="6A9B086B" w:rsidR="00C60F30" w:rsidRDefault="00C60F30" w:rsidP="00B66300">
                      <w:pPr>
                        <w:rPr>
                          <w:sz w:val="20"/>
                        </w:rPr>
                      </w:pPr>
                      <w:r w:rsidRPr="00AB5E5A">
                        <w:rPr>
                          <w:sz w:val="20"/>
                        </w:rPr>
                        <w:t>Megacorporation operates in nearly every country in the world, has large revenues and is highly profitable. To minimise global taxation Megacorporation has consolidated the majority of their intellectual</w:t>
                      </w:r>
                      <w:r>
                        <w:rPr>
                          <w:sz w:val="20"/>
                        </w:rPr>
                        <w:t xml:space="preserve"> property</w:t>
                      </w:r>
                      <w:r w:rsidRPr="00AB5E5A">
                        <w:rPr>
                          <w:sz w:val="20"/>
                        </w:rPr>
                        <w:t xml:space="preserve"> and intangible assets in a low</w:t>
                      </w:r>
                      <w:r>
                        <w:rPr>
                          <w:sz w:val="20"/>
                        </w:rPr>
                        <w:t>-</w:t>
                      </w:r>
                      <w:r w:rsidRPr="00AB5E5A">
                        <w:rPr>
                          <w:sz w:val="20"/>
                        </w:rPr>
                        <w:t xml:space="preserve">tax jurisdiction. The legal entity operating in the </w:t>
                      </w:r>
                      <w:r>
                        <w:rPr>
                          <w:sz w:val="20"/>
                        </w:rPr>
                        <w:t>low-tax jurisdiction</w:t>
                      </w:r>
                      <w:r w:rsidRPr="00AB5E5A">
                        <w:rPr>
                          <w:sz w:val="20"/>
                        </w:rPr>
                        <w:t xml:space="preserve"> then charges fees to Megacorporation’s subsidiaries in other higher taxing countries.</w:t>
                      </w:r>
                    </w:p>
                    <w:p w14:paraId="2852B32B" w14:textId="77777777" w:rsidR="00C60F30" w:rsidRPr="00AB5E5A" w:rsidRDefault="00C60F30" w:rsidP="00B66300">
                      <w:pPr>
                        <w:rPr>
                          <w:sz w:val="20"/>
                        </w:rPr>
                      </w:pPr>
                      <w:r w:rsidRPr="00AB5E5A">
                        <w:rPr>
                          <w:sz w:val="20"/>
                        </w:rPr>
                        <w:t xml:space="preserve">Once in scope of Pillar </w:t>
                      </w:r>
                      <w:r>
                        <w:rPr>
                          <w:sz w:val="20"/>
                        </w:rPr>
                        <w:t>Two</w:t>
                      </w:r>
                      <w:r w:rsidRPr="00AB5E5A">
                        <w:rPr>
                          <w:sz w:val="20"/>
                        </w:rPr>
                        <w:t xml:space="preserve">, Megacorporation will need to file a new type of global </w:t>
                      </w:r>
                      <w:r>
                        <w:rPr>
                          <w:sz w:val="20"/>
                        </w:rPr>
                        <w:t xml:space="preserve">information </w:t>
                      </w:r>
                      <w:r w:rsidRPr="00AB5E5A">
                        <w:rPr>
                          <w:sz w:val="20"/>
                        </w:rPr>
                        <w:t>return</w:t>
                      </w:r>
                      <w:r>
                        <w:rPr>
                          <w:sz w:val="20"/>
                        </w:rPr>
                        <w:t xml:space="preserve">. </w:t>
                      </w:r>
                      <w:r w:rsidRPr="00AB5E5A">
                        <w:rPr>
                          <w:sz w:val="20"/>
                        </w:rPr>
                        <w:t>The new global</w:t>
                      </w:r>
                      <w:r>
                        <w:rPr>
                          <w:sz w:val="20"/>
                        </w:rPr>
                        <w:t xml:space="preserve"> information</w:t>
                      </w:r>
                      <w:r w:rsidRPr="00AB5E5A">
                        <w:rPr>
                          <w:sz w:val="20"/>
                        </w:rPr>
                        <w:t xml:space="preserve"> return </w:t>
                      </w:r>
                      <w:r>
                        <w:rPr>
                          <w:sz w:val="20"/>
                        </w:rPr>
                        <w:t>would indicate whether they are paying tax above or below the global minimum rate of 15 per cent in each jurisdiction in which it operates.</w:t>
                      </w:r>
                      <w:r w:rsidRPr="00AB5E5A">
                        <w:rPr>
                          <w:sz w:val="20"/>
                        </w:rPr>
                        <w:t xml:space="preserve"> </w:t>
                      </w:r>
                      <w:r>
                        <w:rPr>
                          <w:sz w:val="20"/>
                        </w:rPr>
                        <w:t>If they are being taxed below the global minimum, they will be required to pay top-up taxes in up to the point where they are paying the minimum global tax rate in each jurisdiction.</w:t>
                      </w:r>
                    </w:p>
                    <w:p w14:paraId="07B04906" w14:textId="77777777" w:rsidR="00C60F30" w:rsidRDefault="00C60F30" w:rsidP="00B66300">
                      <w:pPr>
                        <w:rPr>
                          <w:sz w:val="20"/>
                        </w:rPr>
                      </w:pPr>
                      <w:r>
                        <w:rPr>
                          <w:sz w:val="20"/>
                        </w:rPr>
                        <w:t>For high taxing countries there may be situations where they can increase their taxation revenue through the collection of top-up taxes. However, low-tax jurisdictions may respond by increasing their tax rates, as companies operating in their country will be charged top-up taxes by other countries anyway, so they may as well tax them instead.</w:t>
                      </w:r>
                    </w:p>
                    <w:p w14:paraId="10EE1AD6" w14:textId="10C74EA9" w:rsidR="00C60F30" w:rsidRPr="00EC747F" w:rsidRDefault="00C60F30" w:rsidP="00B66300">
                      <w:pPr>
                        <w:rPr>
                          <w:sz w:val="20"/>
                        </w:rPr>
                      </w:pPr>
                      <w:r w:rsidRPr="00AB5E5A">
                        <w:rPr>
                          <w:sz w:val="20"/>
                        </w:rPr>
                        <w:t>Megacorporation</w:t>
                      </w:r>
                      <w:r w:rsidR="00D34ABE">
                        <w:rPr>
                          <w:sz w:val="20"/>
                        </w:rPr>
                        <w:t xml:space="preserve"> </w:t>
                      </w:r>
                      <w:r>
                        <w:rPr>
                          <w:sz w:val="20"/>
                        </w:rPr>
                        <w:t>will pay an overall higher amount of taxation where it does not pay the minimum rate in jurisdictions. Additionally, as Pillar Two has in effect put a floor on tax competition, it will partly reduce the financial benefits for Megacorporation to undertake profit shifting activity.</w:t>
                      </w:r>
                    </w:p>
                  </w:txbxContent>
                </v:textbox>
                <w10:anchorlock/>
              </v:shape>
            </w:pict>
          </mc:Fallback>
        </mc:AlternateContent>
      </w:r>
    </w:p>
    <w:p w14:paraId="19884B4D" w14:textId="77777777" w:rsidR="00F877C5" w:rsidRDefault="00F877C5" w:rsidP="00CA7E38"/>
    <w:p w14:paraId="1CBD8E5C" w14:textId="77777777" w:rsidR="00F877C5" w:rsidRDefault="00F877C5" w:rsidP="00CA7E38"/>
    <w:p w14:paraId="2F0B1A8B" w14:textId="77777777" w:rsidR="00F877C5" w:rsidRDefault="00F877C5" w:rsidP="00CA7E38"/>
    <w:p w14:paraId="58060609" w14:textId="223BE05E" w:rsidR="003D6E5F" w:rsidRDefault="00B66300" w:rsidP="00772434">
      <w:r w:rsidRPr="00594E76">
        <w:rPr>
          <w:noProof/>
        </w:rPr>
        <w:lastRenderedPageBreak/>
        <mc:AlternateContent>
          <mc:Choice Requires="wpg">
            <w:drawing>
              <wp:anchor distT="0" distB="0" distL="228600" distR="228600" simplePos="0" relativeHeight="251658252" behindDoc="0" locked="0" layoutInCell="1" allowOverlap="1" wp14:anchorId="2819702D" wp14:editId="1E30B3BD">
                <wp:simplePos x="0" y="0"/>
                <wp:positionH relativeFrom="page">
                  <wp:posOffset>739471</wp:posOffset>
                </wp:positionH>
                <wp:positionV relativeFrom="page">
                  <wp:posOffset>993862</wp:posOffset>
                </wp:positionV>
                <wp:extent cx="2649017" cy="8187967"/>
                <wp:effectExtent l="0" t="0" r="0" b="3810"/>
                <wp:wrapSquare wrapText="bothSides"/>
                <wp:docPr id="193" name="Group 193"/>
                <wp:cNvGraphicFramePr/>
                <a:graphic xmlns:a="http://schemas.openxmlformats.org/drawingml/2006/main">
                  <a:graphicData uri="http://schemas.microsoft.com/office/word/2010/wordprocessingGroup">
                    <wpg:wgp>
                      <wpg:cNvGrpSpPr/>
                      <wpg:grpSpPr>
                        <a:xfrm>
                          <a:off x="0" y="0"/>
                          <a:ext cx="2649017" cy="8187967"/>
                          <a:chOff x="0" y="-1057206"/>
                          <a:chExt cx="2638693" cy="8026862"/>
                        </a:xfrm>
                      </wpg:grpSpPr>
                      <wps:wsp>
                        <wps:cNvPr id="194" name="Text Box 194"/>
                        <wps:cNvSpPr txBox="1"/>
                        <wps:spPr>
                          <a:xfrm>
                            <a:off x="172144" y="-1057156"/>
                            <a:ext cx="2379003" cy="7983144"/>
                          </a:xfrm>
                          <a:prstGeom prst="rect">
                            <a:avLst/>
                          </a:prstGeom>
                          <a:solidFill>
                            <a:schemeClr val="accent2">
                              <a:lumMod val="20000"/>
                              <a:lumOff val="80000"/>
                            </a:schemeClr>
                          </a:solidFill>
                          <a:ln w="6350">
                            <a:noFill/>
                          </a:ln>
                          <a:effectLst/>
                        </wps:spPr>
                        <wps:txbx>
                          <w:txbxContent>
                            <w:p w14:paraId="00CF1643" w14:textId="77777777" w:rsidR="00C60F30" w:rsidRDefault="00C60F30" w:rsidP="00594E76">
                              <w:r w:rsidRPr="00DE749F">
                                <w:t xml:space="preserve">The implementation plan agreed by the OECD </w:t>
                              </w:r>
                              <w:r>
                                <w:t>Inclusive Framework</w:t>
                              </w:r>
                              <w:r w:rsidRPr="00DE749F">
                                <w:t xml:space="preserve"> in October 2021 includ</w:t>
                              </w:r>
                              <w:r>
                                <w:t>ed the overall design for Pillar Two</w:t>
                              </w:r>
                              <w:r w:rsidRPr="00DE749F">
                                <w:t xml:space="preserve">. </w:t>
                              </w:r>
                            </w:p>
                            <w:p w14:paraId="2395C422" w14:textId="77777777" w:rsidR="00C60F30" w:rsidRDefault="00C60F30" w:rsidP="00594E76">
                              <w:r w:rsidRPr="00DE749F">
                                <w:rPr>
                                  <w:b/>
                                  <w:bCs/>
                                </w:rPr>
                                <w:t xml:space="preserve">Global anti-Base Erosion </w:t>
                              </w:r>
                              <w:r>
                                <w:rPr>
                                  <w:b/>
                                  <w:bCs/>
                                </w:rPr>
                                <w:t xml:space="preserve">Model </w:t>
                              </w:r>
                              <w:r w:rsidRPr="00DE749F">
                                <w:rPr>
                                  <w:b/>
                                  <w:bCs/>
                                </w:rPr>
                                <w:t>Rules</w:t>
                              </w:r>
                              <w:r>
                                <w:t xml:space="preserve">, which include: </w:t>
                              </w:r>
                            </w:p>
                            <w:p w14:paraId="4392243E" w14:textId="77777777" w:rsidR="00C60F30" w:rsidRDefault="00C60F30" w:rsidP="00594E76">
                              <w:r>
                                <w:t xml:space="preserve">(i) an </w:t>
                              </w:r>
                              <w:r w:rsidRPr="00DE749F">
                                <w:rPr>
                                  <w:b/>
                                  <w:bCs/>
                                </w:rPr>
                                <w:t>Income Inclusion Rule</w:t>
                              </w:r>
                              <w:r>
                                <w:t>, which imposes top-up tax on a parent entity in respect of the low taxed income of a constituent entity in another jurisdiction; and</w:t>
                              </w:r>
                            </w:p>
                            <w:p w14:paraId="58854656" w14:textId="77777777" w:rsidR="00C60F30" w:rsidRDefault="00C60F30" w:rsidP="00594E76">
                              <w:r>
                                <w:t xml:space="preserve">(ii) an </w:t>
                              </w:r>
                              <w:r w:rsidRPr="00594E76">
                                <w:rPr>
                                  <w:b/>
                                  <w:bCs/>
                                </w:rPr>
                                <w:t>Undertaxed Payment Rule</w:t>
                              </w:r>
                              <w:r w:rsidRPr="00594E76">
                                <w:t>,</w:t>
                              </w:r>
                              <w:r>
                                <w:t xml:space="preserve"> which denies deductions or requires an equivalent adjustment to the extent the low-tax income of a constituent entity in another jurisdiction is not subject to tax under an IIR.</w:t>
                              </w:r>
                            </w:p>
                            <w:p w14:paraId="0BE8314E" w14:textId="77777777" w:rsidR="00C60F30" w:rsidRDefault="00C60F30" w:rsidP="00594E76">
                              <w:r w:rsidRPr="00594E76">
                                <w:t xml:space="preserve">The GloBE </w:t>
                              </w:r>
                              <w:r>
                                <w:t>Model R</w:t>
                              </w:r>
                              <w:r w:rsidRPr="00594E76">
                                <w:t xml:space="preserve">ules will operate to </w:t>
                              </w:r>
                              <w:r>
                                <w:t>calculate the</w:t>
                              </w:r>
                              <w:r w:rsidRPr="00594E76">
                                <w:t xml:space="preserve"> </w:t>
                              </w:r>
                              <w:r w:rsidRPr="00594E76">
                                <w:rPr>
                                  <w:b/>
                                  <w:bCs/>
                                </w:rPr>
                                <w:t>effective tax rate</w:t>
                              </w:r>
                              <w:r w:rsidRPr="00594E76">
                                <w:t xml:space="preserve"> on a jurisdictional basis us</w:t>
                              </w:r>
                              <w:r>
                                <w:t>ing</w:t>
                              </w:r>
                              <w:r w:rsidRPr="00594E76">
                                <w:t xml:space="preserve"> a common definition of covered taxes and a tax base determined by reference to financial accounting income</w:t>
                              </w:r>
                              <w:r>
                                <w:t>.</w:t>
                              </w:r>
                            </w:p>
                            <w:p w14:paraId="65B82B91" w14:textId="77777777" w:rsidR="00C60F30" w:rsidRPr="00594E76" w:rsidRDefault="00C60F30" w:rsidP="00594E76">
                              <w:r w:rsidRPr="00594E76">
                                <w:t xml:space="preserve">The </w:t>
                              </w:r>
                              <w:r w:rsidRPr="00594E76">
                                <w:rPr>
                                  <w:b/>
                                  <w:bCs/>
                                </w:rPr>
                                <w:t>minimum tax rate</w:t>
                              </w:r>
                              <w:r w:rsidRPr="00594E76">
                                <w:t xml:space="preserve"> used for purposes of the IIR and UTPR will be 15%</w:t>
                              </w:r>
                              <w:r>
                                <w:t xml:space="preserve"> and the GloBE Model Rules will operate to impose a top-up tax where the effective tax rate falls below this rate</w:t>
                              </w:r>
                              <w:r w:rsidRPr="00594E76">
                                <w:t>.</w:t>
                              </w:r>
                            </w:p>
                            <w:p w14:paraId="656C3649" w14:textId="77777777" w:rsidR="00C60F30" w:rsidRDefault="00C60F30" w:rsidP="00594E76">
                              <w:pPr>
                                <w:rPr>
                                  <w:color w:val="595959" w:themeColor="text1" w:themeTint="A6"/>
                                  <w:sz w:val="20"/>
                                </w:rPr>
                              </w:pPr>
                              <w:r>
                                <w:t>Separately, Pillar Two also has a treaty-based rule (</w:t>
                              </w:r>
                              <w:r w:rsidRPr="00594E76">
                                <w:rPr>
                                  <w:b/>
                                  <w:bCs/>
                                </w:rPr>
                                <w:t>the Subject to Tax Rule</w:t>
                              </w:r>
                              <w:r w:rsidRPr="00485F11">
                                <w:t>)</w:t>
                              </w:r>
                              <w:r>
                                <w:t xml:space="preserve"> that allows source jurisdictions to impose limited source taxation on certain related party payments subject to tax below a minimum rate.</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95" name="Rectangle 3"/>
                        <wps:cNvSpPr/>
                        <wps:spPr>
                          <a:xfrm>
                            <a:off x="0" y="-1057206"/>
                            <a:ext cx="190500" cy="8026862"/>
                          </a:xfrm>
                          <a:prstGeom prst="rect">
                            <a:avLst/>
                          </a:prstGeom>
                          <a:solidFill>
                            <a:srgbClr val="5F5F5F"/>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Pentagon 4"/>
                        <wps:cNvSpPr/>
                        <wps:spPr>
                          <a:xfrm>
                            <a:off x="172190" y="-761291"/>
                            <a:ext cx="2466503" cy="384809"/>
                          </a:xfrm>
                          <a:prstGeom prst="homePlate">
                            <a:avLst/>
                          </a:prstGeom>
                          <a:solidFill>
                            <a:srgbClr val="2C384A"/>
                          </a:solidFill>
                          <a:ln w="25400" cap="flat" cmpd="sng" algn="ctr">
                            <a:noFill/>
                            <a:prstDash val="solid"/>
                          </a:ln>
                          <a:effectLst/>
                        </wps:spPr>
                        <wps:txbx>
                          <w:txbxContent>
                            <w:p w14:paraId="795CF4AD" w14:textId="77777777" w:rsidR="00C60F30" w:rsidRDefault="00C60F30" w:rsidP="00594E76">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Pillar Two Key elements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19702D" id="Group 193" o:spid="_x0000_s1039" style="position:absolute;margin-left:58.25pt;margin-top:78.25pt;width:208.6pt;height:644.7pt;z-index:251658252;mso-wrap-distance-left:18pt;mso-wrap-distance-right:18pt;mso-position-horizontal-relative:page;mso-position-vertical-relative:page" coordorigin=",-10572" coordsize="26386,8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">
                <v:shape id="Text Box 194" o:spid="_x0000_s1040" type="#_x0000_t202" style="position:absolute;left:1721;top:-10571;width:23790;height:79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" fillcolor="#d8e6df [661]" stroked="f" strokeweight=".5pt">
                  <v:textbox inset="14.4pt,1in,14.4pt,14.4pt">
                    <w:txbxContent>
                      <w:p w14:paraId="00CF1643" w14:textId="77777777" w:rsidR="00C60F30" w:rsidRDefault="00C60F30" w:rsidP="00594E76">
                        <w:r w:rsidRPr="00DE749F">
                          <w:t xml:space="preserve">The implementation plan agreed by the OECD </w:t>
                        </w:r>
                        <w:r>
                          <w:t>Inclusive Framework</w:t>
                        </w:r>
                        <w:r w:rsidRPr="00DE749F">
                          <w:t xml:space="preserve"> in October 2021 includ</w:t>
                        </w:r>
                        <w:r>
                          <w:t>ed the overall design for Pillar Two</w:t>
                        </w:r>
                        <w:r w:rsidRPr="00DE749F">
                          <w:t xml:space="preserve">. </w:t>
                        </w:r>
                      </w:p>
                      <w:p w14:paraId="2395C422" w14:textId="77777777" w:rsidR="00C60F30" w:rsidRDefault="00C60F30" w:rsidP="00594E76">
                        <w:r w:rsidRPr="00DE749F">
                          <w:rPr>
                            <w:b/>
                            <w:bCs/>
                          </w:rPr>
                          <w:t xml:space="preserve">Global anti-Base Erosion </w:t>
                        </w:r>
                        <w:r>
                          <w:rPr>
                            <w:b/>
                            <w:bCs/>
                          </w:rPr>
                          <w:t xml:space="preserve">Model </w:t>
                        </w:r>
                        <w:r w:rsidRPr="00DE749F">
                          <w:rPr>
                            <w:b/>
                            <w:bCs/>
                          </w:rPr>
                          <w:t>Rules</w:t>
                        </w:r>
                        <w:r>
                          <w:t xml:space="preserve">, which include: </w:t>
                        </w:r>
                      </w:p>
                      <w:p w14:paraId="4392243E" w14:textId="77777777" w:rsidR="00C60F30" w:rsidRDefault="00C60F30" w:rsidP="00594E76">
                        <w:r>
                          <w:t xml:space="preserve">(i) an </w:t>
                        </w:r>
                        <w:r w:rsidRPr="00DE749F">
                          <w:rPr>
                            <w:b/>
                            <w:bCs/>
                          </w:rPr>
                          <w:t>Income Inclusion Rule</w:t>
                        </w:r>
                        <w:r>
                          <w:t>, which imposes top-up tax on a parent entity in respect of the low taxed income of a constituent entity in another jurisdiction; and</w:t>
                        </w:r>
                      </w:p>
                      <w:p w14:paraId="58854656" w14:textId="77777777" w:rsidR="00C60F30" w:rsidRDefault="00C60F30" w:rsidP="00594E76">
                        <w:r>
                          <w:t xml:space="preserve">(ii) an </w:t>
                        </w:r>
                        <w:r w:rsidRPr="00594E76">
                          <w:rPr>
                            <w:b/>
                            <w:bCs/>
                          </w:rPr>
                          <w:t>Undertaxed Payment Rule</w:t>
                        </w:r>
                        <w:r w:rsidRPr="00594E76">
                          <w:t>,</w:t>
                        </w:r>
                        <w:r>
                          <w:t xml:space="preserve"> which denies deductions or requires an equivalent adjustment to the extent the low-tax income of a constituent entity in another jurisdiction is not subject to tax under an IIR.</w:t>
                        </w:r>
                      </w:p>
                      <w:p w14:paraId="0BE8314E" w14:textId="77777777" w:rsidR="00C60F30" w:rsidRDefault="00C60F30" w:rsidP="00594E76">
                        <w:r w:rsidRPr="00594E76">
                          <w:t xml:space="preserve">The GloBE </w:t>
                        </w:r>
                        <w:r>
                          <w:t>Model R</w:t>
                        </w:r>
                        <w:r w:rsidRPr="00594E76">
                          <w:t xml:space="preserve">ules will operate to </w:t>
                        </w:r>
                        <w:r>
                          <w:t>calculate the</w:t>
                        </w:r>
                        <w:r w:rsidRPr="00594E76">
                          <w:t xml:space="preserve"> </w:t>
                        </w:r>
                        <w:r w:rsidRPr="00594E76">
                          <w:rPr>
                            <w:b/>
                            <w:bCs/>
                          </w:rPr>
                          <w:t>effective tax rate</w:t>
                        </w:r>
                        <w:r w:rsidRPr="00594E76">
                          <w:t xml:space="preserve"> on a jurisdictional basis us</w:t>
                        </w:r>
                        <w:r>
                          <w:t>ing</w:t>
                        </w:r>
                        <w:r w:rsidRPr="00594E76">
                          <w:t xml:space="preserve"> a common definition of covered taxes and a tax base determined by reference to financial accounting income</w:t>
                        </w:r>
                        <w:r>
                          <w:t>.</w:t>
                        </w:r>
                      </w:p>
                      <w:p w14:paraId="65B82B91" w14:textId="77777777" w:rsidR="00C60F30" w:rsidRPr="00594E76" w:rsidRDefault="00C60F30" w:rsidP="00594E76">
                        <w:r w:rsidRPr="00594E76">
                          <w:t xml:space="preserve">The </w:t>
                        </w:r>
                        <w:r w:rsidRPr="00594E76">
                          <w:rPr>
                            <w:b/>
                            <w:bCs/>
                          </w:rPr>
                          <w:t>minimum tax rate</w:t>
                        </w:r>
                        <w:r w:rsidRPr="00594E76">
                          <w:t xml:space="preserve"> used for purposes of the IIR and UTPR will be 15%</w:t>
                        </w:r>
                        <w:r>
                          <w:t xml:space="preserve"> and the GloBE Model Rules will operate to impose a top-up tax where the effective tax rate falls below this rate</w:t>
                        </w:r>
                        <w:r w:rsidRPr="00594E76">
                          <w:t>.</w:t>
                        </w:r>
                      </w:p>
                      <w:p w14:paraId="656C3649" w14:textId="77777777" w:rsidR="00C60F30" w:rsidRDefault="00C60F30" w:rsidP="00594E76">
                        <w:pPr>
                          <w:rPr>
                            <w:color w:val="595959" w:themeColor="text1" w:themeTint="A6"/>
                            <w:sz w:val="20"/>
                          </w:rPr>
                        </w:pPr>
                        <w:r>
                          <w:t>Separately, Pillar Two also has a treaty-based rule (</w:t>
                        </w:r>
                        <w:r w:rsidRPr="00594E76">
                          <w:rPr>
                            <w:b/>
                            <w:bCs/>
                          </w:rPr>
                          <w:t>the Subject to Tax Rule</w:t>
                        </w:r>
                        <w:r w:rsidRPr="00485F11">
                          <w:t>)</w:t>
                        </w:r>
                        <w:r>
                          <w:t xml:space="preserve"> that allows source jurisdictions to impose limited source taxation on certain related party payments subject to tax below a minimum rate.</w:t>
                        </w:r>
                      </w:p>
                    </w:txbxContent>
                  </v:textbox>
                </v:shape>
                <v:rect id="Rectangle 3" o:spid="_x0000_s1041" style="position:absolute;top:-10572;width:1905;height:80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" fillcolor="#5f5f5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42" type="#_x0000_t15" style="position:absolute;left:1721;top:-7612;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" adj="19915" fillcolor="#2c384a" stroked="f" strokeweight="2pt">
                  <v:textbox inset="28.8pt,0,14.4pt,0">
                    <w:txbxContent>
                      <w:p w14:paraId="795CF4AD" w14:textId="77777777" w:rsidR="00C60F30" w:rsidRDefault="00C60F30" w:rsidP="00594E76">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Pillar Two Key elements</w:t>
                        </w:r>
                      </w:p>
                    </w:txbxContent>
                  </v:textbox>
                </v:shape>
                <w10:wrap type="square" anchorx="page" anchory="page"/>
              </v:group>
            </w:pict>
          </mc:Fallback>
        </mc:AlternateContent>
      </w:r>
      <w:r w:rsidR="003D6E5F">
        <w:t xml:space="preserve">Under this option, Australia along with other major countries would </w:t>
      </w:r>
      <w:r w:rsidR="00F1475B">
        <w:t xml:space="preserve">implement </w:t>
      </w:r>
      <w:r w:rsidR="003D6E5F">
        <w:t>domestic legislation that brings about a common approach to under taxation</w:t>
      </w:r>
      <w:r w:rsidR="00F1475B">
        <w:t xml:space="preserve">.  </w:t>
      </w:r>
    </w:p>
    <w:p w14:paraId="7E239A1D" w14:textId="77777777" w:rsidR="00772434" w:rsidRDefault="00EB3673" w:rsidP="00772434">
      <w:r>
        <w:t xml:space="preserve">Pillar Two is intended to address the </w:t>
      </w:r>
      <w:r w:rsidR="00B43551">
        <w:t>‘</w:t>
      </w:r>
      <w:r>
        <w:t>race to the bottom</w:t>
      </w:r>
      <w:r w:rsidR="00B43551">
        <w:t>’</w:t>
      </w:r>
      <w:r>
        <w:t xml:space="preserve"> where countries are competing with each other to attract mobile capital through offering lower corporate tax rates</w:t>
      </w:r>
      <w:r w:rsidR="00986266">
        <w:t>.</w:t>
      </w:r>
      <w:r w:rsidR="004B0FD7">
        <w:t xml:space="preserve"> </w:t>
      </w:r>
      <w:r w:rsidR="00B43551">
        <w:t>Pillar Two</w:t>
      </w:r>
      <w:r>
        <w:t xml:space="preserve"> does not explicitly mandate that any country increase their corporate tax rate, rather it creates incentives for countries to do so on their own accord. It does this by granting countries the right to tax </w:t>
      </w:r>
      <w:r w:rsidR="0079482E">
        <w:t xml:space="preserve">the </w:t>
      </w:r>
      <w:r>
        <w:t xml:space="preserve">profits of entities within a large multinational group where the group operates in </w:t>
      </w:r>
      <w:r w:rsidR="0079482E">
        <w:t xml:space="preserve">a </w:t>
      </w:r>
      <w:r>
        <w:t xml:space="preserve">particular </w:t>
      </w:r>
      <w:r w:rsidR="0079482E">
        <w:t xml:space="preserve">jurisdiction </w:t>
      </w:r>
      <w:r>
        <w:t xml:space="preserve">and the </w:t>
      </w:r>
      <w:r w:rsidR="0079482E">
        <w:t>effective tax rate of that jurisdiction falls below the</w:t>
      </w:r>
      <w:r>
        <w:t xml:space="preserve"> globally agreed minimum tax rate. </w:t>
      </w:r>
    </w:p>
    <w:p w14:paraId="36DC41BF" w14:textId="77777777" w:rsidR="00DC6622" w:rsidRDefault="0079482E" w:rsidP="00772434">
      <w:r>
        <w:t xml:space="preserve">The </w:t>
      </w:r>
      <w:r w:rsidRPr="00EE2AA0">
        <w:t>Global anti-Base Erosion Rules (</w:t>
      </w:r>
      <w:proofErr w:type="spellStart"/>
      <w:r w:rsidRPr="00EE2AA0">
        <w:t>GloBE</w:t>
      </w:r>
      <w:proofErr w:type="spellEnd"/>
      <w:r w:rsidRPr="00EE2AA0">
        <w:t xml:space="preserve">) </w:t>
      </w:r>
      <w:r w:rsidR="008607DA">
        <w:t>Model R</w:t>
      </w:r>
      <w:r w:rsidRPr="00EE2AA0">
        <w:t>ules</w:t>
      </w:r>
      <w:r w:rsidR="00DC6622" w:rsidRPr="00DC6622">
        <w:t xml:space="preserve"> will determine whether an entity is undertaxed </w:t>
      </w:r>
      <w:r w:rsidR="00805590">
        <w:t xml:space="preserve">in a jurisdiction </w:t>
      </w:r>
      <w:r w:rsidR="00DC6622" w:rsidRPr="00DC6622">
        <w:t xml:space="preserve">by </w:t>
      </w:r>
      <w:r w:rsidR="00CC6340">
        <w:t xml:space="preserve">calculating </w:t>
      </w:r>
      <w:r w:rsidR="00DC6622" w:rsidRPr="00DC6622">
        <w:t xml:space="preserve">their effective tax rate. </w:t>
      </w:r>
      <w:r w:rsidR="00446BF5">
        <w:t>T</w:t>
      </w:r>
      <w:r w:rsidR="00DC6622" w:rsidRPr="00DC6622">
        <w:t>o make compliance simpler, safe harbours and carve</w:t>
      </w:r>
      <w:r w:rsidR="004537B0">
        <w:t>-</w:t>
      </w:r>
      <w:r w:rsidR="00DC6622" w:rsidRPr="00DC6622">
        <w:t xml:space="preserve">outs from the </w:t>
      </w:r>
      <w:proofErr w:type="spellStart"/>
      <w:r w:rsidR="00805590">
        <w:t>GloBE</w:t>
      </w:r>
      <w:proofErr w:type="spellEnd"/>
      <w:r w:rsidR="00DC6622" w:rsidRPr="00DC6622">
        <w:t xml:space="preserve"> </w:t>
      </w:r>
      <w:r w:rsidR="008607DA">
        <w:t xml:space="preserve">Model </w:t>
      </w:r>
      <w:r w:rsidR="00A40577">
        <w:t>Rules</w:t>
      </w:r>
      <w:r w:rsidR="00A40577" w:rsidRPr="00DC6622">
        <w:t xml:space="preserve"> will</w:t>
      </w:r>
      <w:r w:rsidR="00DC6622" w:rsidRPr="00DC6622">
        <w:t xml:space="preserve"> be provided, including for substantive tangible assets and payroll and for entities with minimal financial presence.</w:t>
      </w:r>
    </w:p>
    <w:p w14:paraId="3AD315ED" w14:textId="77777777" w:rsidR="00772434" w:rsidRDefault="00772434" w:rsidP="00772434">
      <w:r w:rsidRPr="00E72551">
        <w:t>The stated objective for Pillar Two is that it seeks to ensure that all large and internationally operating businesses pay at least a minimum level of tax globally. More specifically</w:t>
      </w:r>
      <w:r>
        <w:t>,</w:t>
      </w:r>
      <w:r w:rsidRPr="00E72551">
        <w:t xml:space="preserve"> Pillar Two seeks to put a floor on tax competition on corporate income tax through the introduction of a global minimum corporate tax </w:t>
      </w:r>
      <w:r w:rsidR="00925022">
        <w:t>rate</w:t>
      </w:r>
      <w:r w:rsidRPr="00E72551">
        <w:t>. Pillar Two set</w:t>
      </w:r>
      <w:r w:rsidR="001B6537">
        <w:t>s</w:t>
      </w:r>
      <w:r w:rsidRPr="00E72551">
        <w:t xml:space="preserve"> multilaterally agreed limitations on </w:t>
      </w:r>
      <w:r w:rsidR="001B6537">
        <w:t>tax competition</w:t>
      </w:r>
      <w:r w:rsidRPr="00E72551">
        <w:t xml:space="preserve">. </w:t>
      </w:r>
    </w:p>
    <w:p w14:paraId="4EFD0142" w14:textId="796DE987" w:rsidR="00C22EC1" w:rsidRDefault="00EB3673" w:rsidP="00EB3673">
      <w:r>
        <w:t xml:space="preserve">The </w:t>
      </w:r>
      <w:r w:rsidR="006F47B0">
        <w:t xml:space="preserve">October </w:t>
      </w:r>
      <w:r w:rsidR="00446BF5">
        <w:t>S</w:t>
      </w:r>
      <w:r>
        <w:t>tatement</w:t>
      </w:r>
      <w:r w:rsidR="007B0FBE">
        <w:rPr>
          <w:rStyle w:val="FootnoteReference"/>
        </w:rPr>
        <w:footnoteReference w:id="10"/>
      </w:r>
      <w:r>
        <w:t xml:space="preserve"> </w:t>
      </w:r>
      <w:r w:rsidR="006727AF">
        <w:t>set</w:t>
      </w:r>
      <w:r>
        <w:t xml:space="preserve"> this minimum rate </w:t>
      </w:r>
      <w:r w:rsidR="006727AF">
        <w:t>at</w:t>
      </w:r>
      <w:r>
        <w:t xml:space="preserve"> 15</w:t>
      </w:r>
      <w:r w:rsidR="00A71EAC">
        <w:t> </w:t>
      </w:r>
      <w:r>
        <w:t xml:space="preserve">per </w:t>
      </w:r>
      <w:r w:rsidR="004242A4">
        <w:t xml:space="preserve">cent. </w:t>
      </w:r>
      <w:r w:rsidR="00FF07E0">
        <w:t>This is</w:t>
      </w:r>
      <w:r>
        <w:t xml:space="preserve"> an effective</w:t>
      </w:r>
      <w:r w:rsidR="00FF07E0">
        <w:t xml:space="preserve"> tax</w:t>
      </w:r>
      <w:r>
        <w:t xml:space="preserve"> rate, which would </w:t>
      </w:r>
      <w:proofErr w:type="gramStart"/>
      <w:r>
        <w:t>take into account</w:t>
      </w:r>
      <w:proofErr w:type="gramEnd"/>
      <w:r>
        <w:t xml:space="preserve"> </w:t>
      </w:r>
      <w:r w:rsidR="001651E4">
        <w:t xml:space="preserve">incentives </w:t>
      </w:r>
      <w:r>
        <w:t xml:space="preserve">provided to multinationals that lower their effective tax rates below </w:t>
      </w:r>
      <w:r w:rsidR="00C90657">
        <w:t xml:space="preserve">a jurisdiction’s </w:t>
      </w:r>
      <w:r>
        <w:t xml:space="preserve">headline tax rate. For example, a country </w:t>
      </w:r>
      <w:r w:rsidR="00A7289D">
        <w:t>with</w:t>
      </w:r>
      <w:r>
        <w:t xml:space="preserve"> a headline tax rate of 20 per cent </w:t>
      </w:r>
      <w:r w:rsidR="00A7289D">
        <w:t xml:space="preserve">that </w:t>
      </w:r>
      <w:r>
        <w:t xml:space="preserve">provides tax concessions </w:t>
      </w:r>
      <w:r w:rsidR="003E2CFC">
        <w:t>c</w:t>
      </w:r>
      <w:r>
        <w:t>ould have a</w:t>
      </w:r>
      <w:r w:rsidR="00A7289D">
        <w:t>n</w:t>
      </w:r>
      <w:r>
        <w:t xml:space="preserve"> effective tax rate</w:t>
      </w:r>
      <w:r w:rsidR="007B0FBE">
        <w:t xml:space="preserve"> </w:t>
      </w:r>
      <w:r w:rsidR="00A7289D">
        <w:t>lower than 15 per cent for</w:t>
      </w:r>
      <w:r w:rsidR="007B0FBE">
        <w:t xml:space="preserve"> </w:t>
      </w:r>
      <w:r w:rsidR="00A7289D">
        <w:t>some</w:t>
      </w:r>
      <w:r w:rsidR="007B0FBE">
        <w:t xml:space="preserve"> multinationals</w:t>
      </w:r>
      <w:r>
        <w:t>.</w:t>
      </w:r>
    </w:p>
    <w:p w14:paraId="6246B9EC" w14:textId="08A4E798" w:rsidR="00EB3673" w:rsidRDefault="00567C69" w:rsidP="00EB3673">
      <w:r>
        <w:t xml:space="preserve">The </w:t>
      </w:r>
      <w:proofErr w:type="spellStart"/>
      <w:r w:rsidR="00C427DF">
        <w:t>GloBE</w:t>
      </w:r>
      <w:proofErr w:type="spellEnd"/>
      <w:r w:rsidR="00EB3673">
        <w:t xml:space="preserve"> </w:t>
      </w:r>
      <w:r w:rsidR="009D4E9D">
        <w:t>M</w:t>
      </w:r>
      <w:r>
        <w:t xml:space="preserve">odel </w:t>
      </w:r>
      <w:r w:rsidR="009D4E9D">
        <w:t>R</w:t>
      </w:r>
      <w:r>
        <w:t xml:space="preserve">ules </w:t>
      </w:r>
      <w:r w:rsidR="00EB3673">
        <w:t>w</w:t>
      </w:r>
      <w:r w:rsidR="004D3439">
        <w:t xml:space="preserve">ill </w:t>
      </w:r>
      <w:r w:rsidR="00EB3673">
        <w:t xml:space="preserve">apply to multinational groups with consolidated revenues of </w:t>
      </w:r>
      <w:r w:rsidR="00E633FD">
        <w:t>at least</w:t>
      </w:r>
      <w:r w:rsidR="00EB3673">
        <w:t xml:space="preserve"> EUR750</w:t>
      </w:r>
      <w:r w:rsidR="00A71EAC">
        <w:t> </w:t>
      </w:r>
      <w:r w:rsidR="00EB3673">
        <w:t xml:space="preserve">million. It will not apply to entities that </w:t>
      </w:r>
      <w:r w:rsidR="00EB3673">
        <w:lastRenderedPageBreak/>
        <w:t>already pay low</w:t>
      </w:r>
      <w:r w:rsidR="00C34292" w:rsidRPr="00C34292">
        <w:t>- or no-</w:t>
      </w:r>
      <w:r w:rsidR="00EB3673">
        <w:t xml:space="preserve">tax for public policy reasons (e.g. government organisations, </w:t>
      </w:r>
      <w:r w:rsidR="00805590">
        <w:t xml:space="preserve">certain </w:t>
      </w:r>
      <w:r w:rsidR="00EB3673">
        <w:t>investment funds, pension funds and non-profit organisations). Income from international shipping operations and some related activities will also be excluded.</w:t>
      </w:r>
    </w:p>
    <w:p w14:paraId="4E576C93" w14:textId="77777777" w:rsidR="00EE2AA0" w:rsidRDefault="00EE2AA0" w:rsidP="004C221A">
      <w:bookmarkStart w:id="62" w:name="_Hlk97289101"/>
      <w:r w:rsidRPr="00EE2AA0">
        <w:t xml:space="preserve">Implementation of Pillar Two would </w:t>
      </w:r>
      <w:r w:rsidR="00E633FD">
        <w:t xml:space="preserve">require </w:t>
      </w:r>
      <w:r w:rsidRPr="00EE2AA0">
        <w:t xml:space="preserve">domestic legislation to implement the </w:t>
      </w:r>
      <w:proofErr w:type="spellStart"/>
      <w:r w:rsidRPr="00EE2AA0">
        <w:t>GloBE</w:t>
      </w:r>
      <w:proofErr w:type="spellEnd"/>
      <w:r w:rsidRPr="00EE2AA0">
        <w:t xml:space="preserve"> </w:t>
      </w:r>
      <w:r w:rsidR="00E33484">
        <w:t>Model R</w:t>
      </w:r>
      <w:r w:rsidRPr="00EE2AA0">
        <w:t xml:space="preserve">ules. It would also involve a treaty to implement a </w:t>
      </w:r>
      <w:r w:rsidR="003172FA">
        <w:t>S</w:t>
      </w:r>
      <w:r w:rsidR="003172FA" w:rsidRPr="00EE2AA0">
        <w:t xml:space="preserve">ubject </w:t>
      </w:r>
      <w:r w:rsidRPr="00EE2AA0">
        <w:t xml:space="preserve">to </w:t>
      </w:r>
      <w:r w:rsidR="00457FBC">
        <w:t>T</w:t>
      </w:r>
      <w:r w:rsidRPr="00EE2AA0">
        <w:t xml:space="preserve">ax </w:t>
      </w:r>
      <w:r w:rsidR="00457FBC">
        <w:t>R</w:t>
      </w:r>
      <w:r w:rsidRPr="00EE2AA0">
        <w:t>ule</w:t>
      </w:r>
      <w:r w:rsidR="00512B46">
        <w:t xml:space="preserve"> (STTR)</w:t>
      </w:r>
      <w:r>
        <w:t>.</w:t>
      </w:r>
      <w:r w:rsidR="00594E76" w:rsidRPr="00594E76">
        <w:rPr>
          <w:noProof/>
        </w:rPr>
        <w:t xml:space="preserve"> </w:t>
      </w:r>
    </w:p>
    <w:p w14:paraId="0AED1514" w14:textId="77777777" w:rsidR="00EC6C65" w:rsidRPr="00D349D1" w:rsidRDefault="00EC6C65" w:rsidP="00310BF4">
      <w:pPr>
        <w:pStyle w:val="Heading4"/>
        <w:spacing w:before="120" w:after="120" w:line="240" w:lineRule="auto"/>
      </w:pPr>
      <w:r w:rsidRPr="00D349D1">
        <w:t xml:space="preserve">Global </w:t>
      </w:r>
      <w:r>
        <w:t>a</w:t>
      </w:r>
      <w:r w:rsidRPr="00D349D1">
        <w:t>nti-Base Erosion (</w:t>
      </w:r>
      <w:proofErr w:type="spellStart"/>
      <w:r w:rsidRPr="00D349D1">
        <w:t>GloBE</w:t>
      </w:r>
      <w:proofErr w:type="spellEnd"/>
      <w:r w:rsidRPr="00D349D1">
        <w:t xml:space="preserve">) </w:t>
      </w:r>
      <w:r w:rsidR="00567C69">
        <w:t xml:space="preserve">Model </w:t>
      </w:r>
      <w:r w:rsidRPr="00D349D1">
        <w:t xml:space="preserve">Rules </w:t>
      </w:r>
    </w:p>
    <w:p w14:paraId="444E534B" w14:textId="77777777" w:rsidR="00EC6C65" w:rsidRDefault="00EC6C65" w:rsidP="00EC6C65">
      <w:r w:rsidRPr="00042AD7">
        <w:t xml:space="preserve">The </w:t>
      </w:r>
      <w:proofErr w:type="spellStart"/>
      <w:r w:rsidRPr="00042AD7">
        <w:t>GloBE</w:t>
      </w:r>
      <w:proofErr w:type="spellEnd"/>
      <w:r w:rsidRPr="00042AD7">
        <w:t xml:space="preserve"> </w:t>
      </w:r>
      <w:r w:rsidR="00567C69">
        <w:t xml:space="preserve">Model </w:t>
      </w:r>
      <w:r w:rsidRPr="00042AD7">
        <w:t>Rules consist of two interlocking rules</w:t>
      </w:r>
      <w:r w:rsidR="00E73848">
        <w:t xml:space="preserve">: </w:t>
      </w:r>
      <w:r w:rsidRPr="00042AD7">
        <w:t>the Income Inclusion Rule (IIR) and the Undertaxed Payments Rule (UTPR)</w:t>
      </w:r>
      <w:r w:rsidR="00E73848">
        <w:t>. These rules are</w:t>
      </w:r>
      <w:r>
        <w:t xml:space="preserve"> </w:t>
      </w:r>
      <w:r w:rsidRPr="00042AD7">
        <w:t xml:space="preserve">designed to collect a top-up tax on profits undertaxed </w:t>
      </w:r>
      <w:r w:rsidR="00FD3B73">
        <w:t xml:space="preserve">in </w:t>
      </w:r>
      <w:r w:rsidRPr="00042AD7">
        <w:t xml:space="preserve">jurisdictions </w:t>
      </w:r>
      <w:r w:rsidR="00025361">
        <w:t>in which</w:t>
      </w:r>
      <w:r w:rsidR="00025361" w:rsidRPr="00042AD7">
        <w:t xml:space="preserve"> </w:t>
      </w:r>
      <w:r w:rsidRPr="00042AD7">
        <w:t xml:space="preserve">a </w:t>
      </w:r>
      <w:r w:rsidR="00AC22DB">
        <w:t>multinational</w:t>
      </w:r>
      <w:r w:rsidR="00025361">
        <w:t xml:space="preserve"> operates</w:t>
      </w:r>
      <w:r w:rsidRPr="00042AD7">
        <w:t>.</w:t>
      </w:r>
      <w:r>
        <w:t xml:space="preserve"> These rules are discussed in more detail below.</w:t>
      </w:r>
    </w:p>
    <w:p w14:paraId="0BDE327A" w14:textId="19CF8A7F" w:rsidR="00EC6C65" w:rsidRDefault="00EC6C65" w:rsidP="00EC6C65">
      <w:r w:rsidRPr="00FE4866">
        <w:t xml:space="preserve">The </w:t>
      </w:r>
      <w:r>
        <w:t>OECD Inclusive Framework</w:t>
      </w:r>
      <w:r w:rsidRPr="00FE4866">
        <w:t xml:space="preserve"> has released the </w:t>
      </w:r>
      <w:proofErr w:type="spellStart"/>
      <w:r>
        <w:t>GloBE</w:t>
      </w:r>
      <w:proofErr w:type="spellEnd"/>
      <w:r w:rsidRPr="00FE4866">
        <w:t xml:space="preserve"> </w:t>
      </w:r>
      <w:r>
        <w:t>M</w:t>
      </w:r>
      <w:r w:rsidRPr="00FE4866">
        <w:t xml:space="preserve">odel </w:t>
      </w:r>
      <w:r>
        <w:t>R</w:t>
      </w:r>
      <w:r w:rsidRPr="00FE4866">
        <w:t>ules</w:t>
      </w:r>
      <w:r>
        <w:t xml:space="preserve">, Commentary and Examples to inform the design of domestic legislation. </w:t>
      </w:r>
      <w:r w:rsidR="0088070D" w:rsidRPr="0088070D">
        <w:t>An Implementation Framework, addressing high priority implementation and administration issues</w:t>
      </w:r>
      <w:r w:rsidR="00DD2EAA">
        <w:t xml:space="preserve"> </w:t>
      </w:r>
      <w:r w:rsidR="00C014C4">
        <w:t>has also been released</w:t>
      </w:r>
      <w:r w:rsidR="0088070D" w:rsidRPr="0088070D">
        <w:t>. Administrative guidance on issues not critical for domestic implementation will continue to be published by the Inclusive Framework in an ongoing manner</w:t>
      </w:r>
      <w:r w:rsidR="001F5301">
        <w:t>.</w:t>
      </w:r>
    </w:p>
    <w:p w14:paraId="664317B5" w14:textId="77777777" w:rsidR="00EC6C65" w:rsidRDefault="00EC6C65" w:rsidP="00EC6C65">
      <w:r>
        <w:t xml:space="preserve">The </w:t>
      </w:r>
      <w:proofErr w:type="spellStart"/>
      <w:r>
        <w:t>GloBE</w:t>
      </w:r>
      <w:proofErr w:type="spellEnd"/>
      <w:r>
        <w:t xml:space="preserve"> </w:t>
      </w:r>
      <w:r w:rsidR="001F5301">
        <w:t xml:space="preserve">Model </w:t>
      </w:r>
      <w:r>
        <w:t xml:space="preserve">Rules </w:t>
      </w:r>
      <w:r w:rsidR="00C427DF">
        <w:t xml:space="preserve">also </w:t>
      </w:r>
      <w:r>
        <w:t>allow</w:t>
      </w:r>
      <w:r w:rsidRPr="006B7598" w:rsidDel="006B7598">
        <w:t xml:space="preserve">, </w:t>
      </w:r>
      <w:r>
        <w:t>but do not require, a jurisdiction</w:t>
      </w:r>
      <w:r w:rsidRPr="006B7598" w:rsidDel="006B7598">
        <w:t xml:space="preserve"> which </w:t>
      </w:r>
      <w:r>
        <w:t>implements the rules</w:t>
      </w:r>
      <w:r w:rsidRPr="006B7598" w:rsidDel="006B7598">
        <w:t xml:space="preserve"> to </w:t>
      </w:r>
      <w:r>
        <w:t>claim primary rights</w:t>
      </w:r>
      <w:r w:rsidRPr="00930559" w:rsidDel="006B7598">
        <w:t xml:space="preserve"> </w:t>
      </w:r>
      <w:r>
        <w:t>over</w:t>
      </w:r>
      <w:r w:rsidRPr="00930559" w:rsidDel="006B7598">
        <w:t xml:space="preserve"> </w:t>
      </w:r>
      <w:r>
        <w:t xml:space="preserve">the </w:t>
      </w:r>
      <w:r w:rsidRPr="00930559" w:rsidDel="006B7598">
        <w:t xml:space="preserve">collection of any top-up tax </w:t>
      </w:r>
      <w:r>
        <w:t>on undertaxed profits in that jurisdiction</w:t>
      </w:r>
      <w:r w:rsidRPr="00930559" w:rsidDel="006B7598">
        <w:t>.</w:t>
      </w:r>
      <w:r w:rsidDel="006B7598">
        <w:t xml:space="preserve"> </w:t>
      </w:r>
      <w:r>
        <w:t xml:space="preserve">This </w:t>
      </w:r>
      <w:r w:rsidR="00CE36FE">
        <w:t xml:space="preserve">can be </w:t>
      </w:r>
      <w:r>
        <w:t xml:space="preserve">achieved </w:t>
      </w:r>
      <w:r w:rsidR="00CE36FE">
        <w:t xml:space="preserve">by that jurisdiction </w:t>
      </w:r>
      <w:r>
        <w:t>implementing a Domestic Minimum Tax</w:t>
      </w:r>
      <w:r w:rsidR="00CE36FE">
        <w:t xml:space="preserve"> to prevent </w:t>
      </w:r>
      <w:r w:rsidR="00F1273C">
        <w:t xml:space="preserve">local </w:t>
      </w:r>
      <w:r w:rsidR="00CE36FE">
        <w:t>under-taxation</w:t>
      </w:r>
      <w:r>
        <w:t>.</w:t>
      </w:r>
      <w:r w:rsidDel="006B7598">
        <w:t xml:space="preserve"> </w:t>
      </w:r>
      <w:r>
        <w:t xml:space="preserve"> </w:t>
      </w:r>
    </w:p>
    <w:bookmarkEnd w:id="62"/>
    <w:p w14:paraId="36F16D18" w14:textId="77777777" w:rsidR="00EC6C65" w:rsidRPr="00AB2F46" w:rsidRDefault="00EC6C65" w:rsidP="00310BF4">
      <w:pPr>
        <w:pStyle w:val="Heading7"/>
        <w:spacing w:before="120" w:after="120" w:line="240" w:lineRule="auto"/>
      </w:pPr>
      <w:r w:rsidRPr="00AB2F46">
        <w:t>Income Inclusion Rule (IIR)</w:t>
      </w:r>
    </w:p>
    <w:p w14:paraId="66F31299" w14:textId="06B09E75" w:rsidR="00EC6C65" w:rsidRDefault="00EC6C65" w:rsidP="00251EE1">
      <w:r>
        <w:t xml:space="preserve">The IIR would allow jurisdictions to apply a top-up tax on a resident multinational ‘parent’ company, where the </w:t>
      </w:r>
      <w:bookmarkStart w:id="63" w:name="_Hlk104280326"/>
      <w:r>
        <w:t>group’s income in another jurisdiction is being taxed below the global minimum rate of 15 per cent</w:t>
      </w:r>
      <w:bookmarkEnd w:id="63"/>
      <w:r>
        <w:t>. For example, if a multinational had its headquarters in Australia, but its foreign subsidiaries in a particular jurisdiction were paying an effective tax rate of 10 per cent, Australia may be able to apply a top-up tax on the Australian parent company equivalent to 5 per cent of the foreign subsidiaries’ profits.</w:t>
      </w:r>
      <w:r>
        <w:rPr>
          <w:rStyle w:val="FootnoteReference"/>
        </w:rPr>
        <w:footnoteReference w:id="11"/>
      </w:r>
      <w:r>
        <w:t xml:space="preserve"> </w:t>
      </w:r>
    </w:p>
    <w:p w14:paraId="02BD14E1" w14:textId="77777777" w:rsidR="00EC6C65" w:rsidRPr="00FC513C" w:rsidRDefault="00EC6C65" w:rsidP="00310BF4">
      <w:pPr>
        <w:pStyle w:val="Heading7"/>
        <w:spacing w:before="120" w:after="120" w:line="240" w:lineRule="auto"/>
      </w:pPr>
      <w:r w:rsidRPr="00FC513C">
        <w:t>Undertaxed Payments Rule</w:t>
      </w:r>
      <w:r>
        <w:t xml:space="preserve"> (UTPR)</w:t>
      </w:r>
    </w:p>
    <w:p w14:paraId="2AD6A074" w14:textId="77777777" w:rsidR="00EC6C65" w:rsidRDefault="00EC6C65" w:rsidP="00251EE1">
      <w:r>
        <w:t xml:space="preserve">The UTPR would allow jurisdictions to apply a top-up tax on a resident subsidiary member of a multinational group if the group’s income in another jurisdiction is being taxed below the global minimum rate of 15 per cent and where no IIR applies. </w:t>
      </w:r>
      <w:r w:rsidRPr="00D83C96">
        <w:t xml:space="preserve">For example, if a multinational subsidiary </w:t>
      </w:r>
      <w:r w:rsidRPr="00866A89">
        <w:t xml:space="preserve">in Australia had a foreign related </w:t>
      </w:r>
      <w:r w:rsidRPr="00BA5947">
        <w:t xml:space="preserve">entity </w:t>
      </w:r>
      <w:r w:rsidRPr="00866A89">
        <w:t>paying less than the global minimum rate on its profits</w:t>
      </w:r>
      <w:r>
        <w:t>,</w:t>
      </w:r>
      <w:r w:rsidRPr="00EE0292">
        <w:rPr>
          <w:rFonts w:eastAsiaTheme="minorHAnsi" w:cstheme="minorBidi"/>
          <w:vertAlign w:val="superscript"/>
          <w:lang w:eastAsia="en-US"/>
        </w:rPr>
        <w:footnoteReference w:id="12"/>
      </w:r>
      <w:r w:rsidRPr="00EE0292">
        <w:rPr>
          <w:rFonts w:eastAsiaTheme="minorHAnsi" w:cstheme="minorBidi"/>
          <w:szCs w:val="22"/>
          <w:vertAlign w:val="superscript"/>
          <w:lang w:eastAsia="en-US"/>
        </w:rPr>
        <w:t xml:space="preserve"> </w:t>
      </w:r>
      <w:r w:rsidRPr="00866A89">
        <w:t xml:space="preserve">and there was no foreign </w:t>
      </w:r>
      <w:r>
        <w:t>jurisdiction</w:t>
      </w:r>
      <w:r w:rsidRPr="00866A89">
        <w:t xml:space="preserve"> applying the </w:t>
      </w:r>
      <w:r>
        <w:t>IIR</w:t>
      </w:r>
      <w:r w:rsidRPr="00BA5947">
        <w:t xml:space="preserve"> in relation to those profits</w:t>
      </w:r>
      <w:r w:rsidRPr="00866A89">
        <w:t xml:space="preserve">, then Australia may be able to apply </w:t>
      </w:r>
      <w:r w:rsidRPr="00BA5947">
        <w:t xml:space="preserve">the UTPR </w:t>
      </w:r>
      <w:r w:rsidRPr="00866A89">
        <w:t>to the Australian subsidiary in respect of the under</w:t>
      </w:r>
      <w:r w:rsidRPr="00BA5947">
        <w:t>-</w:t>
      </w:r>
      <w:r w:rsidRPr="00866A89">
        <w:t xml:space="preserve">taxation in the </w:t>
      </w:r>
      <w:r w:rsidRPr="00BA5947">
        <w:t xml:space="preserve">related </w:t>
      </w:r>
      <w:r w:rsidRPr="00866A89">
        <w:t>entity’s jurisdiction.</w:t>
      </w:r>
      <w:r w:rsidRPr="00D83C96">
        <w:t xml:space="preserve"> </w:t>
      </w:r>
      <w:r>
        <w:t>Top-up tax would be allocated using substance-based allocation factors among countries in which the multinational group operates and that have implemented the UTPR. Broadly, a country with proportionately more tangible assets and employees will receive a larger allocation of the UTPR top-up tax.</w:t>
      </w:r>
    </w:p>
    <w:p w14:paraId="55C24574" w14:textId="77777777" w:rsidR="005F5A27" w:rsidRDefault="005F5A27" w:rsidP="00251EE1"/>
    <w:p w14:paraId="506B6C3A" w14:textId="77777777" w:rsidR="005F5A27" w:rsidRDefault="005F5A27" w:rsidP="00251EE1"/>
    <w:p w14:paraId="68995499" w14:textId="77777777" w:rsidR="00C23741" w:rsidRPr="00310BF4" w:rsidRDefault="001A5435" w:rsidP="00B73E9E">
      <w:pPr>
        <w:rPr>
          <w:rFonts w:cs="Arial"/>
          <w:color w:val="4D7861" w:themeColor="accent2"/>
          <w:kern w:val="32"/>
          <w:sz w:val="24"/>
          <w:szCs w:val="26"/>
        </w:rPr>
      </w:pPr>
      <w:r>
        <w:rPr>
          <w:rFonts w:cs="Arial"/>
          <w:color w:val="4D7861" w:themeColor="accent2"/>
          <w:kern w:val="32"/>
          <w:sz w:val="24"/>
          <w:szCs w:val="26"/>
        </w:rPr>
        <w:lastRenderedPageBreak/>
        <w:t>Should</w:t>
      </w:r>
      <w:r w:rsidR="00FF499E" w:rsidRPr="00310BF4">
        <w:rPr>
          <w:rFonts w:cs="Arial"/>
          <w:color w:val="4D7861" w:themeColor="accent2"/>
          <w:kern w:val="32"/>
          <w:sz w:val="24"/>
          <w:szCs w:val="26"/>
        </w:rPr>
        <w:t xml:space="preserve"> Australia implement a </w:t>
      </w:r>
      <w:r w:rsidR="00C23741" w:rsidRPr="00310BF4">
        <w:rPr>
          <w:rFonts w:cs="Arial"/>
          <w:color w:val="4D7861" w:themeColor="accent2"/>
          <w:kern w:val="32"/>
          <w:sz w:val="24"/>
          <w:szCs w:val="26"/>
        </w:rPr>
        <w:t>Domestic Minimum Tax</w:t>
      </w:r>
      <w:r>
        <w:rPr>
          <w:rFonts w:cs="Arial"/>
          <w:color w:val="4D7861" w:themeColor="accent2"/>
          <w:kern w:val="32"/>
          <w:sz w:val="24"/>
          <w:szCs w:val="26"/>
        </w:rPr>
        <w:t>?</w:t>
      </w:r>
      <w:r w:rsidR="00C23741" w:rsidRPr="00310BF4">
        <w:rPr>
          <w:rFonts w:cs="Arial"/>
          <w:color w:val="4D7861" w:themeColor="accent2"/>
          <w:kern w:val="32"/>
          <w:sz w:val="24"/>
          <w:szCs w:val="26"/>
        </w:rPr>
        <w:t xml:space="preserve"> </w:t>
      </w:r>
    </w:p>
    <w:p w14:paraId="5D4F6006" w14:textId="77777777" w:rsidR="00E1091D" w:rsidRDefault="00E1091D" w:rsidP="00CA7E38">
      <w:r>
        <w:t xml:space="preserve">A sub-option </w:t>
      </w:r>
      <w:r w:rsidR="00B43ED3">
        <w:t>in</w:t>
      </w:r>
      <w:r>
        <w:t xml:space="preserve"> implementing Pillar Two is whether or not to introduce a Domestic Minimum Tax. </w:t>
      </w:r>
    </w:p>
    <w:p w14:paraId="4923BC57" w14:textId="77777777" w:rsidR="00C23741" w:rsidRDefault="00C23741" w:rsidP="00B66300">
      <w:r>
        <w:t xml:space="preserve">The </w:t>
      </w:r>
      <w:proofErr w:type="spellStart"/>
      <w:r>
        <w:t>GloBE</w:t>
      </w:r>
      <w:proofErr w:type="spellEnd"/>
      <w:r>
        <w:t xml:space="preserve"> Model Rules allow</w:t>
      </w:r>
      <w:r w:rsidR="00662040">
        <w:t>,</w:t>
      </w:r>
      <w:r>
        <w:t xml:space="preserve"> but do not require</w:t>
      </w:r>
      <w:r w:rsidR="00662040">
        <w:t>,</w:t>
      </w:r>
      <w:r>
        <w:t xml:space="preserve"> a jurisdiction which implements the </w:t>
      </w:r>
      <w:proofErr w:type="spellStart"/>
      <w:r>
        <w:t>GloBE</w:t>
      </w:r>
      <w:proofErr w:type="spellEnd"/>
      <w:r>
        <w:t xml:space="preserve"> </w:t>
      </w:r>
      <w:r w:rsidR="00567C69">
        <w:t xml:space="preserve">Model </w:t>
      </w:r>
      <w:r>
        <w:t xml:space="preserve">Rules to adopt a Domestic Minimum Tax, giving the jurisdiction the first claim to additional taxing rights on any low-taxed domestic income. </w:t>
      </w:r>
    </w:p>
    <w:p w14:paraId="7AFD409A" w14:textId="225304C1" w:rsidR="00691E39" w:rsidRDefault="0097164F" w:rsidP="00B66300">
      <w:r>
        <w:t xml:space="preserve">Should Australia not introduce a Domestic Minimum Tax, </w:t>
      </w:r>
      <w:r w:rsidR="00551F18">
        <w:t>then</w:t>
      </w:r>
      <w:r>
        <w:t xml:space="preserve"> other countries could potentially </w:t>
      </w:r>
      <w:r w:rsidR="00551F18">
        <w:t>gain</w:t>
      </w:r>
      <w:r>
        <w:t xml:space="preserve"> corporate taxing rights over </w:t>
      </w:r>
      <w:r w:rsidR="00E1091D">
        <w:t xml:space="preserve">Australia’s </w:t>
      </w:r>
      <w:r w:rsidR="00551F18">
        <w:t xml:space="preserve">undertaxed </w:t>
      </w:r>
      <w:r>
        <w:t>profits</w:t>
      </w:r>
      <w:r w:rsidR="00551F18">
        <w:t>. This would happen</w:t>
      </w:r>
      <w:r>
        <w:t xml:space="preserve"> in certain situations where Australia’s tax system tax</w:t>
      </w:r>
      <w:r w:rsidR="00566F8E">
        <w:t>es</w:t>
      </w:r>
      <w:r>
        <w:t xml:space="preserve"> at an effective rate of at least 15 per cent</w:t>
      </w:r>
      <w:r w:rsidR="00551F18">
        <w:t>, possibly due to tax concessions and incentives built into the system</w:t>
      </w:r>
      <w:r>
        <w:t xml:space="preserve">. </w:t>
      </w:r>
      <w:r w:rsidR="00290FCB">
        <w:t xml:space="preserve">As such there is a strong </w:t>
      </w:r>
      <w:r w:rsidR="00E1091D">
        <w:t>financial</w:t>
      </w:r>
      <w:r w:rsidR="00290FCB">
        <w:t xml:space="preserve"> incentive for Australia to have a Domestic Minimum Tax </w:t>
      </w:r>
      <w:r w:rsidR="000A2DD1">
        <w:t xml:space="preserve">since </w:t>
      </w:r>
      <w:r w:rsidR="00162C7C">
        <w:t>it would allow Australia to collect</w:t>
      </w:r>
      <w:r w:rsidR="002808FA">
        <w:t xml:space="preserve"> tax that</w:t>
      </w:r>
      <w:r w:rsidR="00777079">
        <w:t xml:space="preserve"> would otherwise be collected by other jurisdictions</w:t>
      </w:r>
      <w:r w:rsidR="00290FCB">
        <w:t xml:space="preserve">.  </w:t>
      </w:r>
      <w:r>
        <w:t xml:space="preserve"> </w:t>
      </w:r>
    </w:p>
    <w:p w14:paraId="60A43C78" w14:textId="65EA2CFD" w:rsidR="001A5435" w:rsidRDefault="00290FCB" w:rsidP="001A5435">
      <w:pPr>
        <w:rPr>
          <w:rFonts w:ascii="Calibri" w:hAnsi="Calibri" w:cs="Arial"/>
          <w:b/>
          <w:color w:val="5D779D" w:themeColor="accent3"/>
          <w:kern w:val="32"/>
          <w:sz w:val="44"/>
          <w:szCs w:val="36"/>
        </w:rPr>
      </w:pPr>
      <w:r>
        <w:t xml:space="preserve">It will be important </w:t>
      </w:r>
      <w:r w:rsidR="007C2CA5">
        <w:t xml:space="preserve">that </w:t>
      </w:r>
      <w:r w:rsidR="005A7C7C" w:rsidDel="00E33484">
        <w:t>the</w:t>
      </w:r>
      <w:r w:rsidR="001A5435" w:rsidDel="00E33484">
        <w:t xml:space="preserve"> Domestic</w:t>
      </w:r>
      <w:r w:rsidR="001A5435">
        <w:t xml:space="preserve"> Minimum Tax is implemented in a way that is consistent with the outcomes under the </w:t>
      </w:r>
      <w:proofErr w:type="spellStart"/>
      <w:r w:rsidR="001A5435">
        <w:t>GloBE</w:t>
      </w:r>
      <w:proofErr w:type="spellEnd"/>
      <w:r w:rsidR="001A5435">
        <w:t xml:space="preserve"> Model Rules</w:t>
      </w:r>
      <w:r w:rsidR="00720A01">
        <w:t>, known as a</w:t>
      </w:r>
      <w:r w:rsidR="001A5435">
        <w:t xml:space="preserve"> Qualified Domestic Minimum Tax. Designing a Domestic Minimum Tax on a different basis could mean that it is non-qualified</w:t>
      </w:r>
      <w:r w:rsidR="0000253A">
        <w:t>.</w:t>
      </w:r>
      <w:r w:rsidR="001A5435">
        <w:t xml:space="preserve"> </w:t>
      </w:r>
      <w:r w:rsidR="00B864D9">
        <w:t>Adopting a Quali</w:t>
      </w:r>
      <w:r w:rsidR="00643DA2">
        <w:t xml:space="preserve">fied Domestic Minimum Tax </w:t>
      </w:r>
      <w:r w:rsidR="00F6288C">
        <w:t>will help lower compliance costs as well as</w:t>
      </w:r>
      <w:r w:rsidR="00815AFD">
        <w:t xml:space="preserve"> reduce the risk other countries could take taxing rights from Australia. </w:t>
      </w:r>
    </w:p>
    <w:p w14:paraId="17B0B06C" w14:textId="77777777" w:rsidR="00EC6C65" w:rsidRPr="00FC513C" w:rsidRDefault="00EC6C65" w:rsidP="00310BF4">
      <w:pPr>
        <w:pStyle w:val="Heading4"/>
        <w:spacing w:before="120" w:after="120" w:line="240" w:lineRule="auto"/>
      </w:pPr>
      <w:bookmarkStart w:id="64" w:name="_Hlk114499535"/>
      <w:r w:rsidRPr="00FC513C">
        <w:t>Subject</w:t>
      </w:r>
      <w:r>
        <w:t xml:space="preserve"> </w:t>
      </w:r>
      <w:r w:rsidRPr="00FC513C">
        <w:t>to</w:t>
      </w:r>
      <w:r>
        <w:t xml:space="preserve"> </w:t>
      </w:r>
      <w:r w:rsidR="00662040">
        <w:t>T</w:t>
      </w:r>
      <w:r w:rsidRPr="00FC513C">
        <w:t xml:space="preserve">ax </w:t>
      </w:r>
      <w:r w:rsidR="00662040">
        <w:t>R</w:t>
      </w:r>
      <w:r w:rsidRPr="00FC513C">
        <w:t xml:space="preserve">ule </w:t>
      </w:r>
      <w:r>
        <w:t>(STTR)</w:t>
      </w:r>
    </w:p>
    <w:p w14:paraId="706CD721" w14:textId="77777777" w:rsidR="00F673B7" w:rsidRDefault="00EC6C65" w:rsidP="006F5879">
      <w:r w:rsidRPr="004346D9">
        <w:t xml:space="preserve">The </w:t>
      </w:r>
      <w:r>
        <w:t xml:space="preserve">STTR is primarily intended to overcome </w:t>
      </w:r>
      <w:r w:rsidR="006F5879">
        <w:t xml:space="preserve">concerns faced by </w:t>
      </w:r>
      <w:r w:rsidRPr="001975E2">
        <w:t>developing countries</w:t>
      </w:r>
      <w:r>
        <w:t xml:space="preserve"> </w:t>
      </w:r>
      <w:r w:rsidR="006F5879">
        <w:t>that have entered into</w:t>
      </w:r>
      <w:r w:rsidRPr="001975E2">
        <w:t xml:space="preserve"> </w:t>
      </w:r>
      <w:r>
        <w:t xml:space="preserve">bilateral </w:t>
      </w:r>
      <w:r w:rsidRPr="001975E2">
        <w:t>tax treaties</w:t>
      </w:r>
      <w:r>
        <w:t>,</w:t>
      </w:r>
      <w:r w:rsidRPr="001975E2">
        <w:t xml:space="preserve"> </w:t>
      </w:r>
      <w:r w:rsidR="00F673B7">
        <w:t>which have reduced their taxing rights on certain related</w:t>
      </w:r>
      <w:r w:rsidR="00662040">
        <w:t>-</w:t>
      </w:r>
      <w:r w:rsidR="00F673B7">
        <w:t>party income. The STTR allows those developing countries to regain such taxing rights by allowing them to tax up to the STTR minimum rate of 9 per cent, when such income is taxed below that rate.</w:t>
      </w:r>
    </w:p>
    <w:p w14:paraId="1A85FA29" w14:textId="63C16872" w:rsidR="00EC6C65" w:rsidRDefault="00EC6C65" w:rsidP="00EC6C65">
      <w:r w:rsidRPr="004346D9">
        <w:t xml:space="preserve">If </w:t>
      </w:r>
      <w:r>
        <w:t xml:space="preserve">an </w:t>
      </w:r>
      <w:r w:rsidRPr="004346D9">
        <w:t xml:space="preserve">Inclusive Framework </w:t>
      </w:r>
      <w:r>
        <w:t>member country</w:t>
      </w:r>
      <w:r w:rsidRPr="004346D9">
        <w:t xml:space="preserve"> is taxing </w:t>
      </w:r>
      <w:r>
        <w:t xml:space="preserve">certain income </w:t>
      </w:r>
      <w:r w:rsidRPr="004346D9">
        <w:t>below th</w:t>
      </w:r>
      <w:r w:rsidR="00F673B7">
        <w:t>is</w:t>
      </w:r>
      <w:r w:rsidRPr="004346D9">
        <w:t xml:space="preserve"> </w:t>
      </w:r>
      <w:r>
        <w:t xml:space="preserve">STTR </w:t>
      </w:r>
      <w:r w:rsidRPr="004346D9">
        <w:t>minimum rate</w:t>
      </w:r>
      <w:r w:rsidR="003607B5">
        <w:t>,</w:t>
      </w:r>
      <w:r w:rsidR="00923111" w:rsidRPr="00EE0292">
        <w:rPr>
          <w:rFonts w:eastAsiaTheme="minorHAnsi" w:cstheme="minorBidi"/>
          <w:vertAlign w:val="superscript"/>
          <w:lang w:eastAsia="en-US"/>
        </w:rPr>
        <w:footnoteReference w:id="13"/>
      </w:r>
      <w:r w:rsidRPr="00EE0292">
        <w:rPr>
          <w:rFonts w:eastAsiaTheme="minorHAnsi" w:cstheme="minorBidi"/>
          <w:vertAlign w:val="superscript"/>
          <w:lang w:eastAsia="en-US"/>
        </w:rPr>
        <w:t xml:space="preserve"> </w:t>
      </w:r>
      <w:r w:rsidRPr="004346D9">
        <w:t xml:space="preserve">it is obligated to include </w:t>
      </w:r>
      <w:r w:rsidR="00F673B7">
        <w:t>a</w:t>
      </w:r>
      <w:r w:rsidR="00032129">
        <w:t>n</w:t>
      </w:r>
      <w:r w:rsidR="00F673B7" w:rsidRPr="004346D9">
        <w:t xml:space="preserve"> </w:t>
      </w:r>
      <w:r>
        <w:t>STTR</w:t>
      </w:r>
      <w:r w:rsidRPr="004346D9">
        <w:t xml:space="preserve"> into </w:t>
      </w:r>
      <w:r w:rsidR="004F6D72">
        <w:t>its</w:t>
      </w:r>
      <w:r w:rsidRPr="004346D9">
        <w:t xml:space="preserve"> bilateral tax treaty </w:t>
      </w:r>
      <w:r w:rsidR="00F673B7">
        <w:t>when</w:t>
      </w:r>
      <w:r w:rsidR="00F673B7" w:rsidRPr="004346D9">
        <w:t xml:space="preserve"> </w:t>
      </w:r>
      <w:r w:rsidRPr="004346D9">
        <w:t>requested to do so by the developing country treaty partner.</w:t>
      </w:r>
      <w:r w:rsidR="00F673B7">
        <w:t xml:space="preserve"> </w:t>
      </w:r>
      <w:r>
        <w:t>If a</w:t>
      </w:r>
      <w:r w:rsidR="00032129">
        <w:t>n</w:t>
      </w:r>
      <w:r>
        <w:t xml:space="preserve"> STTR is included in an existing bilateral tax treaty then, broadly,</w:t>
      </w:r>
      <w:r w:rsidRPr="00A21ADC">
        <w:rPr>
          <w:i/>
          <w:iCs/>
        </w:rPr>
        <w:t xml:space="preserve"> </w:t>
      </w:r>
      <w:r w:rsidRPr="00A21ADC">
        <w:t>the payer jurisdiction may additionally tax certain related</w:t>
      </w:r>
      <w:r w:rsidR="009C1556">
        <w:t>-</w:t>
      </w:r>
      <w:r w:rsidRPr="00A21ADC">
        <w:t>party payments on its gross amount where the payee jurisdiction has taxed the payment below the STTR minimum rate. This taxing right will be limited to the difference between the STTR minimum rate and the tax rate on the payment.</w:t>
      </w:r>
    </w:p>
    <w:p w14:paraId="0386E4FE" w14:textId="77777777" w:rsidR="00AD780F" w:rsidRDefault="00DD2EAA" w:rsidP="00310BF4">
      <w:pPr>
        <w:pStyle w:val="Heading2"/>
        <w:spacing w:before="120" w:line="240" w:lineRule="auto"/>
      </w:pPr>
      <w:bookmarkStart w:id="65" w:name="_Toc116375709"/>
      <w:bookmarkStart w:id="66" w:name="_Toc116376476"/>
      <w:bookmarkStart w:id="67" w:name="_Toc116380346"/>
      <w:bookmarkStart w:id="68" w:name="_Hlk118730475"/>
      <w:bookmarkEnd w:id="64"/>
      <w:r>
        <w:t>Option 3</w:t>
      </w:r>
      <w:r w:rsidR="00AD780F">
        <w:t xml:space="preserve">: Australia to </w:t>
      </w:r>
      <w:r w:rsidR="00BA7069" w:rsidRPr="0065624C">
        <w:rPr>
          <w:u w:val="single"/>
        </w:rPr>
        <w:t>not</w:t>
      </w:r>
      <w:r w:rsidR="00BA7069">
        <w:t xml:space="preserve"> implement </w:t>
      </w:r>
      <w:bookmarkEnd w:id="65"/>
      <w:bookmarkEnd w:id="66"/>
      <w:bookmarkEnd w:id="67"/>
      <w:r>
        <w:t>Pillar One</w:t>
      </w:r>
      <w:r w:rsidR="000902ED">
        <w:t xml:space="preserve"> </w:t>
      </w:r>
    </w:p>
    <w:bookmarkEnd w:id="68"/>
    <w:p w14:paraId="690B9BF1" w14:textId="77777777" w:rsidR="00DD2EAA" w:rsidRDefault="00DD2EAA" w:rsidP="00DD2EAA">
      <w:r w:rsidRPr="009327AB">
        <w:t>Under this option,</w:t>
      </w:r>
      <w:r>
        <w:t xml:space="preserve"> Australia would not implement Pillar One. It is currently assumed that </w:t>
      </w:r>
      <w:r w:rsidR="006642C2">
        <w:t>the remaining</w:t>
      </w:r>
      <w:r>
        <w:t xml:space="preserve"> OECD Inclusive Framework members would continue to work towards implementation of Pillar One. </w:t>
      </w:r>
    </w:p>
    <w:p w14:paraId="7D6A6B2D" w14:textId="77777777" w:rsidR="00DD2EAA" w:rsidRDefault="00DD2EAA" w:rsidP="00310BF4">
      <w:pPr>
        <w:pStyle w:val="Heading2"/>
        <w:spacing w:before="120" w:line="240" w:lineRule="auto"/>
      </w:pPr>
      <w:r>
        <w:t xml:space="preserve">Option 4: Australia to </w:t>
      </w:r>
      <w:r w:rsidRPr="0065624C">
        <w:rPr>
          <w:u w:val="single"/>
        </w:rPr>
        <w:t>not</w:t>
      </w:r>
      <w:r>
        <w:t xml:space="preserve"> implement Pillar Two </w:t>
      </w:r>
    </w:p>
    <w:p w14:paraId="769E9C7F" w14:textId="63CCCDAF" w:rsidR="00DD2EAA" w:rsidRDefault="00DD2EAA" w:rsidP="000A1929">
      <w:pPr>
        <w:rPr>
          <w:rFonts w:ascii="Calibri" w:hAnsi="Calibri" w:cs="Arial"/>
          <w:b/>
          <w:color w:val="5D779D" w:themeColor="accent3"/>
          <w:kern w:val="32"/>
          <w:sz w:val="44"/>
          <w:szCs w:val="36"/>
        </w:rPr>
      </w:pPr>
      <w:r w:rsidRPr="009327AB">
        <w:t>Under this option,</w:t>
      </w:r>
      <w:r>
        <w:t xml:space="preserve"> Australia would not implement Pillar Two. It is currently assumed that </w:t>
      </w:r>
      <w:r w:rsidR="006642C2">
        <w:t>the remaining</w:t>
      </w:r>
      <w:r>
        <w:t xml:space="preserve"> OECD Inclusive Framework members would continue to work towards implementation of Pillar Two. </w:t>
      </w:r>
    </w:p>
    <w:p w14:paraId="3DE6BDC8" w14:textId="77777777" w:rsidR="0086751B" w:rsidRDefault="0086751B" w:rsidP="00310BF4">
      <w:pPr>
        <w:pStyle w:val="Heading1"/>
        <w:spacing w:before="120" w:line="240" w:lineRule="auto"/>
      </w:pPr>
      <w:bookmarkStart w:id="69" w:name="_Toc116375711"/>
      <w:bookmarkStart w:id="70" w:name="_Toc116376478"/>
      <w:bookmarkStart w:id="71" w:name="_Toc116380348"/>
      <w:bookmarkStart w:id="72" w:name="_Toc125462474"/>
      <w:bookmarkStart w:id="73" w:name="_Toc131405124"/>
      <w:bookmarkStart w:id="74" w:name="_Toc103784607"/>
      <w:r w:rsidRPr="004461F2">
        <w:lastRenderedPageBreak/>
        <w:t>Impacts</w:t>
      </w:r>
      <w:bookmarkEnd w:id="69"/>
      <w:bookmarkEnd w:id="70"/>
      <w:bookmarkEnd w:id="71"/>
      <w:bookmarkEnd w:id="72"/>
      <w:bookmarkEnd w:id="73"/>
    </w:p>
    <w:p w14:paraId="580B6F0E" w14:textId="77777777" w:rsidR="004F6D72" w:rsidRDefault="000C5760" w:rsidP="00310BF4">
      <w:pPr>
        <w:pStyle w:val="Heading2"/>
        <w:spacing w:before="120" w:line="240" w:lineRule="auto"/>
      </w:pPr>
      <w:bookmarkStart w:id="75" w:name="_Toc116375712"/>
      <w:bookmarkStart w:id="76" w:name="_Toc116376479"/>
      <w:bookmarkStart w:id="77" w:name="_Toc116380349"/>
      <w:r>
        <w:t>Impact</w:t>
      </w:r>
      <w:r w:rsidR="00C30944">
        <w:t xml:space="preserve"> on</w:t>
      </w:r>
      <w:r w:rsidR="00C30944" w:rsidRPr="004461F2">
        <w:t xml:space="preserve"> Australia</w:t>
      </w:r>
      <w:r w:rsidR="004461F2" w:rsidRPr="004461F2">
        <w:t xml:space="preserve"> </w:t>
      </w:r>
      <w:r w:rsidR="00DD2701">
        <w:t xml:space="preserve">from </w:t>
      </w:r>
      <w:r w:rsidR="004461F2" w:rsidRPr="004461F2">
        <w:t>implement</w:t>
      </w:r>
      <w:r w:rsidR="00C30944">
        <w:t>ing</w:t>
      </w:r>
      <w:r w:rsidR="004461F2" w:rsidRPr="004461F2">
        <w:t xml:space="preserve"> </w:t>
      </w:r>
      <w:bookmarkEnd w:id="74"/>
      <w:bookmarkEnd w:id="75"/>
      <w:bookmarkEnd w:id="76"/>
      <w:bookmarkEnd w:id="77"/>
      <w:r w:rsidR="00A31694">
        <w:t>Pillar One</w:t>
      </w:r>
    </w:p>
    <w:p w14:paraId="49B05E47" w14:textId="77777777" w:rsidR="00DD2701" w:rsidRDefault="00DD2701" w:rsidP="00310BF4">
      <w:pPr>
        <w:pStyle w:val="Heading3"/>
        <w:spacing w:before="120" w:after="120" w:line="240" w:lineRule="auto"/>
      </w:pPr>
      <w:bookmarkStart w:id="78" w:name="_Toc116375717"/>
      <w:bookmarkStart w:id="79" w:name="_Toc116380354"/>
      <w:r>
        <w:t>Pillar One revenue impacts</w:t>
      </w:r>
      <w:bookmarkEnd w:id="78"/>
      <w:bookmarkEnd w:id="79"/>
    </w:p>
    <w:p w14:paraId="0E1D9CBE" w14:textId="77777777" w:rsidR="00DD2701" w:rsidRPr="00F35F1E" w:rsidRDefault="00DD2701" w:rsidP="00DD2701">
      <w:r>
        <w:t>With a number of detailed design elements yet to be settled, it is too early to formalise a revenue impact estimate for Australia regarding Pillar One at this stage.</w:t>
      </w:r>
      <w:r w:rsidRPr="006A5010">
        <w:rPr>
          <w:rFonts w:eastAsiaTheme="minorHAnsi" w:cstheme="minorBidi"/>
          <w:vertAlign w:val="superscript"/>
          <w:lang w:eastAsia="en-US"/>
        </w:rPr>
        <w:footnoteReference w:id="14"/>
      </w:r>
      <w:r>
        <w:t xml:space="preserve"> </w:t>
      </w:r>
      <w:r w:rsidR="00626B04" w:rsidRPr="006007DF">
        <w:rPr>
          <w:szCs w:val="22"/>
          <w:lang w:eastAsia="en-US"/>
        </w:rPr>
        <w:t xml:space="preserve">Australia remains actively involved in </w:t>
      </w:r>
      <w:r w:rsidR="00626B04">
        <w:rPr>
          <w:szCs w:val="22"/>
          <w:lang w:eastAsia="en-US"/>
        </w:rPr>
        <w:t xml:space="preserve">the OECD </w:t>
      </w:r>
      <w:r w:rsidR="00626B04" w:rsidRPr="006007DF">
        <w:rPr>
          <w:szCs w:val="22"/>
          <w:lang w:eastAsia="en-US"/>
        </w:rPr>
        <w:t>negotiations.</w:t>
      </w:r>
      <w:r w:rsidR="00545A1F" w:rsidRPr="00545A1F">
        <w:t xml:space="preserve"> </w:t>
      </w:r>
    </w:p>
    <w:p w14:paraId="6B789320" w14:textId="77777777" w:rsidR="00DD2701" w:rsidRDefault="00DD2701" w:rsidP="00DD2701">
      <w:r>
        <w:t xml:space="preserve">Because there will be a net transfer of taxing rights from lower tax jurisdictions to higher tax jurisdictions, global tax paid </w:t>
      </w:r>
      <w:r w:rsidR="00990114">
        <w:t>is expected to</w:t>
      </w:r>
      <w:r>
        <w:t xml:space="preserve"> increase</w:t>
      </w:r>
      <w:r w:rsidRPr="00D454BC">
        <w:rPr>
          <w:i/>
          <w:iCs/>
        </w:rPr>
        <w:t xml:space="preserve">. </w:t>
      </w:r>
      <w:r w:rsidRPr="00485F11">
        <w:t>The</w:t>
      </w:r>
      <w:r w:rsidRPr="000B42CD">
        <w:t xml:space="preserve"> </w:t>
      </w:r>
      <w:r>
        <w:t>OECD has estimated that the average percentage revenue gains from Pillar One may be greater for low-income countries than the gains for middle- and high-income countries.</w:t>
      </w:r>
    </w:p>
    <w:p w14:paraId="0BB12B1D" w14:textId="42FBA25E" w:rsidR="006007DF" w:rsidRDefault="00DD2701" w:rsidP="00DD2701">
      <w:pPr>
        <w:rPr>
          <w:szCs w:val="22"/>
          <w:lang w:eastAsia="en-US"/>
        </w:rPr>
      </w:pPr>
      <w:r>
        <w:t xml:space="preserve">At this stage, the extent to which Australia would benefit from the </w:t>
      </w:r>
      <w:r w:rsidDel="00A02C51">
        <w:t xml:space="preserve">estimated </w:t>
      </w:r>
      <w:r>
        <w:t xml:space="preserve">reallocation remains dependent on factors still under negotiation, such as the </w:t>
      </w:r>
      <w:r w:rsidR="00843C13">
        <w:t>M</w:t>
      </w:r>
      <w:r>
        <w:t xml:space="preserve">arketing and </w:t>
      </w:r>
      <w:r w:rsidR="00843C13">
        <w:t>D</w:t>
      </w:r>
      <w:r>
        <w:t xml:space="preserve">istribution </w:t>
      </w:r>
      <w:r w:rsidR="00843C13">
        <w:t>P</w:t>
      </w:r>
      <w:r>
        <w:t xml:space="preserve">rofits </w:t>
      </w:r>
      <w:r w:rsidR="00843C13">
        <w:t>S</w:t>
      </w:r>
      <w:r>
        <w:t xml:space="preserve">afe </w:t>
      </w:r>
      <w:r w:rsidR="00843C13">
        <w:t>H</w:t>
      </w:r>
      <w:r>
        <w:t xml:space="preserve">arbour and </w:t>
      </w:r>
      <w:r w:rsidR="00843C13">
        <w:t>E</w:t>
      </w:r>
      <w:r>
        <w:t xml:space="preserve">limination of </w:t>
      </w:r>
      <w:r w:rsidR="00843C13">
        <w:t>D</w:t>
      </w:r>
      <w:r>
        <w:t xml:space="preserve">ouble </w:t>
      </w:r>
      <w:r w:rsidR="00843C13">
        <w:t>T</w:t>
      </w:r>
      <w:r>
        <w:t>ax</w:t>
      </w:r>
      <w:r w:rsidR="002E48B7">
        <w:t>ation</w:t>
      </w:r>
      <w:r>
        <w:t xml:space="preserve"> </w:t>
      </w:r>
      <w:r>
        <w:rPr>
          <w:szCs w:val="22"/>
          <w:lang w:eastAsia="en-US"/>
        </w:rPr>
        <w:t>mechanisms</w:t>
      </w:r>
      <w:r w:rsidR="007B2B22">
        <w:rPr>
          <w:szCs w:val="22"/>
          <w:lang w:eastAsia="en-US"/>
        </w:rPr>
        <w:t>.</w:t>
      </w:r>
      <w:r w:rsidR="00626B04">
        <w:rPr>
          <w:szCs w:val="22"/>
          <w:lang w:eastAsia="en-US"/>
        </w:rPr>
        <w:t xml:space="preserve"> </w:t>
      </w:r>
      <w:r>
        <w:rPr>
          <w:szCs w:val="22"/>
          <w:lang w:eastAsia="en-US"/>
        </w:rPr>
        <w:t xml:space="preserve">There </w:t>
      </w:r>
      <w:r w:rsidR="000B42CD">
        <w:rPr>
          <w:szCs w:val="22"/>
          <w:lang w:eastAsia="en-US"/>
        </w:rPr>
        <w:t>are</w:t>
      </w:r>
      <w:r>
        <w:rPr>
          <w:szCs w:val="22"/>
          <w:lang w:eastAsia="en-US"/>
        </w:rPr>
        <w:t xml:space="preserve"> also theoretical </w:t>
      </w:r>
      <w:r w:rsidR="00163972">
        <w:rPr>
          <w:szCs w:val="22"/>
          <w:lang w:eastAsia="en-US"/>
        </w:rPr>
        <w:t>impacts</w:t>
      </w:r>
      <w:r>
        <w:rPr>
          <w:szCs w:val="22"/>
          <w:lang w:eastAsia="en-US"/>
        </w:rPr>
        <w:t xml:space="preserve"> to</w:t>
      </w:r>
      <w:r w:rsidRPr="00A51791">
        <w:t xml:space="preserve"> </w:t>
      </w:r>
      <w:r w:rsidRPr="00A51791">
        <w:rPr>
          <w:szCs w:val="22"/>
          <w:lang w:eastAsia="en-US"/>
        </w:rPr>
        <w:t xml:space="preserve">revenue from positions </w:t>
      </w:r>
      <w:r w:rsidR="00B60C45">
        <w:rPr>
          <w:szCs w:val="22"/>
          <w:lang w:eastAsia="en-US"/>
        </w:rPr>
        <w:t xml:space="preserve">that could be </w:t>
      </w:r>
      <w:r w:rsidRPr="00A51791">
        <w:rPr>
          <w:szCs w:val="22"/>
          <w:lang w:eastAsia="en-US"/>
        </w:rPr>
        <w:t xml:space="preserve">overturned </w:t>
      </w:r>
      <w:r w:rsidR="00B60C45">
        <w:rPr>
          <w:szCs w:val="22"/>
          <w:lang w:eastAsia="en-US"/>
        </w:rPr>
        <w:t>through</w:t>
      </w:r>
      <w:r w:rsidR="00B60C45" w:rsidRPr="00A51791">
        <w:rPr>
          <w:szCs w:val="22"/>
          <w:lang w:eastAsia="en-US"/>
        </w:rPr>
        <w:t xml:space="preserve"> </w:t>
      </w:r>
      <w:r w:rsidRPr="00A51791">
        <w:rPr>
          <w:szCs w:val="22"/>
          <w:lang w:eastAsia="en-US"/>
        </w:rPr>
        <w:t xml:space="preserve">arbitration under </w:t>
      </w:r>
      <w:r>
        <w:rPr>
          <w:szCs w:val="22"/>
          <w:lang w:eastAsia="en-US"/>
        </w:rPr>
        <w:t xml:space="preserve">the </w:t>
      </w:r>
      <w:r w:rsidR="00163972">
        <w:rPr>
          <w:szCs w:val="22"/>
          <w:lang w:eastAsia="en-US"/>
        </w:rPr>
        <w:t xml:space="preserve">new </w:t>
      </w:r>
      <w:r w:rsidRPr="00A51791">
        <w:rPr>
          <w:szCs w:val="22"/>
          <w:lang w:eastAsia="en-US"/>
        </w:rPr>
        <w:t>Tax Certainty process of issues related to Amount A</w:t>
      </w:r>
      <w:r w:rsidR="00163972">
        <w:rPr>
          <w:szCs w:val="22"/>
          <w:lang w:eastAsia="en-US"/>
        </w:rPr>
        <w:t>. I</w:t>
      </w:r>
      <w:r>
        <w:rPr>
          <w:szCs w:val="22"/>
          <w:lang w:eastAsia="en-US"/>
        </w:rPr>
        <w:t xml:space="preserve">n </w:t>
      </w:r>
      <w:r w:rsidR="000B42CD">
        <w:rPr>
          <w:szCs w:val="22"/>
          <w:lang w:eastAsia="en-US"/>
        </w:rPr>
        <w:t>addition,</w:t>
      </w:r>
      <w:r>
        <w:rPr>
          <w:szCs w:val="22"/>
          <w:lang w:eastAsia="en-US"/>
        </w:rPr>
        <w:t xml:space="preserve"> t</w:t>
      </w:r>
      <w:r w:rsidRPr="00A51791">
        <w:rPr>
          <w:szCs w:val="22"/>
          <w:lang w:eastAsia="en-US"/>
        </w:rPr>
        <w:t>here could also be revenue impacts from Amount B</w:t>
      </w:r>
      <w:r>
        <w:rPr>
          <w:szCs w:val="22"/>
          <w:lang w:eastAsia="en-US"/>
        </w:rPr>
        <w:t xml:space="preserve"> </w:t>
      </w:r>
      <w:r w:rsidR="006007DF">
        <w:rPr>
          <w:szCs w:val="22"/>
          <w:lang w:eastAsia="en-US"/>
        </w:rPr>
        <w:t xml:space="preserve">(transfer pricing simplification) </w:t>
      </w:r>
      <w:r>
        <w:rPr>
          <w:szCs w:val="22"/>
          <w:lang w:eastAsia="en-US"/>
        </w:rPr>
        <w:t>to the extent negotiated changes become mandatory</w:t>
      </w:r>
      <w:r w:rsidRPr="00A51791">
        <w:rPr>
          <w:szCs w:val="22"/>
          <w:lang w:eastAsia="en-US"/>
        </w:rPr>
        <w:t>.</w:t>
      </w:r>
      <w:r w:rsidR="006007DF">
        <w:rPr>
          <w:szCs w:val="22"/>
          <w:lang w:eastAsia="en-US"/>
        </w:rPr>
        <w:t xml:space="preserve"> </w:t>
      </w:r>
    </w:p>
    <w:p w14:paraId="26CFAE03" w14:textId="77777777" w:rsidR="00B84E3E" w:rsidRDefault="00B84E3E" w:rsidP="00A6297A">
      <w:pPr>
        <w:jc w:val="center"/>
      </w:pPr>
    </w:p>
    <w:p w14:paraId="08535E98" w14:textId="77777777" w:rsidR="006E030F" w:rsidRPr="004461F2" w:rsidRDefault="006E030F" w:rsidP="00310BF4">
      <w:pPr>
        <w:pStyle w:val="Heading3"/>
        <w:spacing w:before="120" w:after="120" w:line="240" w:lineRule="auto"/>
      </w:pPr>
      <w:r>
        <w:t>Pillar One</w:t>
      </w:r>
      <w:r w:rsidRPr="00437D5B">
        <w:t xml:space="preserve"> </w:t>
      </w:r>
      <w:r>
        <w:t>economic impact</w:t>
      </w:r>
    </w:p>
    <w:p w14:paraId="016094DC" w14:textId="4ED26669" w:rsidR="006E030F" w:rsidRDefault="006E030F" w:rsidP="00310BF4">
      <w:pPr>
        <w:pStyle w:val="Heading4"/>
        <w:spacing w:before="120" w:after="120" w:line="240" w:lineRule="auto"/>
      </w:pPr>
      <w:r>
        <w:t>Benefits</w:t>
      </w:r>
    </w:p>
    <w:p w14:paraId="624E27B7" w14:textId="143DBCA1" w:rsidR="00261613" w:rsidRDefault="009E134F" w:rsidP="006E030F">
      <w:pPr>
        <w:rPr>
          <w:rFonts w:eastAsiaTheme="minorHAnsi" w:cstheme="minorBidi"/>
          <w:vertAlign w:val="superscript"/>
          <w:lang w:eastAsia="en-US"/>
        </w:rPr>
      </w:pPr>
      <w:r w:rsidRPr="003A530D">
        <w:rPr>
          <w:noProof/>
        </w:rPr>
        <mc:AlternateContent>
          <mc:Choice Requires="wps">
            <w:drawing>
              <wp:anchor distT="45720" distB="45720" distL="114300" distR="114300" simplePos="0" relativeHeight="251658245" behindDoc="0" locked="0" layoutInCell="1" allowOverlap="1" wp14:anchorId="3A957147" wp14:editId="0D72BDC3">
                <wp:simplePos x="0" y="0"/>
                <wp:positionH relativeFrom="margin">
                  <wp:align>right</wp:align>
                </wp:positionH>
                <wp:positionV relativeFrom="paragraph">
                  <wp:posOffset>69619</wp:posOffset>
                </wp:positionV>
                <wp:extent cx="2766060" cy="1767205"/>
                <wp:effectExtent l="0" t="0" r="15240"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767205"/>
                        </a:xfrm>
                        <a:prstGeom prst="rect">
                          <a:avLst/>
                        </a:prstGeom>
                        <a:solidFill>
                          <a:srgbClr val="FFFFFF"/>
                        </a:solidFill>
                        <a:ln w="9525">
                          <a:solidFill>
                            <a:srgbClr val="000000"/>
                          </a:solidFill>
                          <a:miter lim="800000"/>
                          <a:headEnd/>
                          <a:tailEnd/>
                        </a:ln>
                      </wps:spPr>
                      <wps:txbx>
                        <w:txbxContent>
                          <w:p w14:paraId="1A5443A2" w14:textId="12ED50AF" w:rsidR="00C60F30" w:rsidRDefault="00C60F30" w:rsidP="009924E2">
                            <w:pPr>
                              <w:pStyle w:val="Heading4"/>
                            </w:pPr>
                            <w:r w:rsidRPr="003A530D">
                              <w:rPr>
                                <w:rFonts w:ascii="Open Sans" w:hAnsi="Open Sans" w:cs="Open Sans"/>
                                <w:i/>
                                <w:iCs/>
                                <w:color w:val="auto"/>
                                <w:kern w:val="0"/>
                                <w:szCs w:val="24"/>
                              </w:rPr>
                              <w:t xml:space="preserve">The OECD </w:t>
                            </w:r>
                            <w:r>
                              <w:rPr>
                                <w:rFonts w:ascii="Open Sans" w:hAnsi="Open Sans" w:cs="Open Sans"/>
                                <w:i/>
                                <w:iCs/>
                                <w:color w:val="auto"/>
                                <w:kern w:val="0"/>
                                <w:szCs w:val="24"/>
                              </w:rPr>
                              <w:t xml:space="preserve">estimates indicate that </w:t>
                            </w:r>
                            <w:r w:rsidRPr="003A530D">
                              <w:rPr>
                                <w:rFonts w:ascii="Open Sans" w:hAnsi="Open Sans" w:cs="Open Sans"/>
                                <w:i/>
                                <w:iCs/>
                                <w:color w:val="auto"/>
                                <w:kern w:val="0"/>
                                <w:szCs w:val="24"/>
                              </w:rPr>
                              <w:t xml:space="preserve">Pillar One </w:t>
                            </w:r>
                            <w:r>
                              <w:rPr>
                                <w:rFonts w:ascii="Open Sans" w:hAnsi="Open Sans" w:cs="Open Sans"/>
                                <w:i/>
                                <w:iCs/>
                                <w:color w:val="auto"/>
                                <w:kern w:val="0"/>
                                <w:szCs w:val="24"/>
                              </w:rPr>
                              <w:t>may</w:t>
                            </w:r>
                            <w:r w:rsidRPr="003A530D">
                              <w:rPr>
                                <w:rFonts w:ascii="Open Sans" w:hAnsi="Open Sans" w:cs="Open Sans"/>
                                <w:i/>
                                <w:iCs/>
                                <w:color w:val="auto"/>
                                <w:kern w:val="0"/>
                                <w:szCs w:val="24"/>
                              </w:rPr>
                              <w:t xml:space="preserve"> </w:t>
                            </w:r>
                            <w:r>
                              <w:rPr>
                                <w:rFonts w:ascii="Open Sans" w:hAnsi="Open Sans" w:cs="Open Sans"/>
                                <w:i/>
                                <w:iCs/>
                                <w:color w:val="auto"/>
                                <w:kern w:val="0"/>
                                <w:szCs w:val="24"/>
                              </w:rPr>
                              <w:t>reallocate</w:t>
                            </w:r>
                            <w:r w:rsidRPr="003A530D">
                              <w:rPr>
                                <w:rFonts w:ascii="Open Sans" w:hAnsi="Open Sans" w:cs="Open Sans"/>
                                <w:i/>
                                <w:iCs/>
                                <w:color w:val="auto"/>
                                <w:kern w:val="0"/>
                                <w:szCs w:val="24"/>
                              </w:rPr>
                              <w:t xml:space="preserve"> about US</w:t>
                            </w:r>
                            <w:r>
                              <w:rPr>
                                <w:rFonts w:ascii="Open Sans" w:hAnsi="Open Sans" w:cs="Open Sans"/>
                                <w:i/>
                                <w:iCs/>
                                <w:color w:val="auto"/>
                                <w:kern w:val="0"/>
                                <w:szCs w:val="24"/>
                              </w:rPr>
                              <w:t>$200</w:t>
                            </w:r>
                            <w:r w:rsidRPr="003A530D">
                              <w:rPr>
                                <w:rFonts w:ascii="Open Sans" w:hAnsi="Open Sans" w:cs="Open Sans"/>
                                <w:i/>
                                <w:iCs/>
                                <w:color w:val="auto"/>
                                <w:kern w:val="0"/>
                                <w:szCs w:val="24"/>
                              </w:rPr>
                              <w:t xml:space="preserve"> billion</w:t>
                            </w:r>
                            <w:r>
                              <w:rPr>
                                <w:rFonts w:ascii="Open Sans" w:hAnsi="Open Sans" w:cs="Open Sans"/>
                                <w:i/>
                                <w:iCs/>
                                <w:color w:val="auto"/>
                                <w:kern w:val="0"/>
                                <w:szCs w:val="24"/>
                              </w:rPr>
                              <w:t xml:space="preserve"> of taxing rights </w:t>
                            </w:r>
                            <w:r w:rsidRPr="003A530D">
                              <w:rPr>
                                <w:rFonts w:ascii="Open Sans" w:hAnsi="Open Sans" w:cs="Open Sans"/>
                                <w:i/>
                                <w:iCs/>
                                <w:color w:val="auto"/>
                                <w:kern w:val="0"/>
                                <w:szCs w:val="24"/>
                              </w:rPr>
                              <w:t xml:space="preserve">towards market jurisdictions (where the consumers are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57147" id="Text Box 217" o:spid="_x0000_s1043" type="#_x0000_t202" style="position:absolute;margin-left:166.6pt;margin-top:5.5pt;width:217.8pt;height:139.1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">
                <v:textbox>
                  <w:txbxContent>
                    <w:p w14:paraId="1A5443A2" w14:textId="12ED50AF" w:rsidR="00C60F30" w:rsidRDefault="00C60F30" w:rsidP="009924E2">
                      <w:pPr>
                        <w:pStyle w:val="Heading4"/>
                      </w:pPr>
                      <w:r w:rsidRPr="003A530D">
                        <w:rPr>
                          <w:rFonts w:ascii="Open Sans" w:hAnsi="Open Sans" w:cs="Open Sans"/>
                          <w:i/>
                          <w:iCs/>
                          <w:color w:val="auto"/>
                          <w:kern w:val="0"/>
                          <w:szCs w:val="24"/>
                        </w:rPr>
                        <w:t xml:space="preserve">The OECD </w:t>
                      </w:r>
                      <w:r>
                        <w:rPr>
                          <w:rFonts w:ascii="Open Sans" w:hAnsi="Open Sans" w:cs="Open Sans"/>
                          <w:i/>
                          <w:iCs/>
                          <w:color w:val="auto"/>
                          <w:kern w:val="0"/>
                          <w:szCs w:val="24"/>
                        </w:rPr>
                        <w:t xml:space="preserve">estimates indicate that </w:t>
                      </w:r>
                      <w:r w:rsidRPr="003A530D">
                        <w:rPr>
                          <w:rFonts w:ascii="Open Sans" w:hAnsi="Open Sans" w:cs="Open Sans"/>
                          <w:i/>
                          <w:iCs/>
                          <w:color w:val="auto"/>
                          <w:kern w:val="0"/>
                          <w:szCs w:val="24"/>
                        </w:rPr>
                        <w:t xml:space="preserve">Pillar One </w:t>
                      </w:r>
                      <w:r>
                        <w:rPr>
                          <w:rFonts w:ascii="Open Sans" w:hAnsi="Open Sans" w:cs="Open Sans"/>
                          <w:i/>
                          <w:iCs/>
                          <w:color w:val="auto"/>
                          <w:kern w:val="0"/>
                          <w:szCs w:val="24"/>
                        </w:rPr>
                        <w:t>may</w:t>
                      </w:r>
                      <w:r w:rsidRPr="003A530D">
                        <w:rPr>
                          <w:rFonts w:ascii="Open Sans" w:hAnsi="Open Sans" w:cs="Open Sans"/>
                          <w:i/>
                          <w:iCs/>
                          <w:color w:val="auto"/>
                          <w:kern w:val="0"/>
                          <w:szCs w:val="24"/>
                        </w:rPr>
                        <w:t xml:space="preserve"> </w:t>
                      </w:r>
                      <w:r>
                        <w:rPr>
                          <w:rFonts w:ascii="Open Sans" w:hAnsi="Open Sans" w:cs="Open Sans"/>
                          <w:i/>
                          <w:iCs/>
                          <w:color w:val="auto"/>
                          <w:kern w:val="0"/>
                          <w:szCs w:val="24"/>
                        </w:rPr>
                        <w:t>reallocate</w:t>
                      </w:r>
                      <w:r w:rsidRPr="003A530D">
                        <w:rPr>
                          <w:rFonts w:ascii="Open Sans" w:hAnsi="Open Sans" w:cs="Open Sans"/>
                          <w:i/>
                          <w:iCs/>
                          <w:color w:val="auto"/>
                          <w:kern w:val="0"/>
                          <w:szCs w:val="24"/>
                        </w:rPr>
                        <w:t xml:space="preserve"> about US</w:t>
                      </w:r>
                      <w:r>
                        <w:rPr>
                          <w:rFonts w:ascii="Open Sans" w:hAnsi="Open Sans" w:cs="Open Sans"/>
                          <w:i/>
                          <w:iCs/>
                          <w:color w:val="auto"/>
                          <w:kern w:val="0"/>
                          <w:szCs w:val="24"/>
                        </w:rPr>
                        <w:t>$200</w:t>
                      </w:r>
                      <w:r w:rsidRPr="003A530D">
                        <w:rPr>
                          <w:rFonts w:ascii="Open Sans" w:hAnsi="Open Sans" w:cs="Open Sans"/>
                          <w:i/>
                          <w:iCs/>
                          <w:color w:val="auto"/>
                          <w:kern w:val="0"/>
                          <w:szCs w:val="24"/>
                        </w:rPr>
                        <w:t xml:space="preserve"> billion</w:t>
                      </w:r>
                      <w:r>
                        <w:rPr>
                          <w:rFonts w:ascii="Open Sans" w:hAnsi="Open Sans" w:cs="Open Sans"/>
                          <w:i/>
                          <w:iCs/>
                          <w:color w:val="auto"/>
                          <w:kern w:val="0"/>
                          <w:szCs w:val="24"/>
                        </w:rPr>
                        <w:t xml:space="preserve"> of taxing rights </w:t>
                      </w:r>
                      <w:r w:rsidRPr="003A530D">
                        <w:rPr>
                          <w:rFonts w:ascii="Open Sans" w:hAnsi="Open Sans" w:cs="Open Sans"/>
                          <w:i/>
                          <w:iCs/>
                          <w:color w:val="auto"/>
                          <w:kern w:val="0"/>
                          <w:szCs w:val="24"/>
                        </w:rPr>
                        <w:t xml:space="preserve">towards market jurisdictions (where the consumers are located). </w:t>
                      </w:r>
                    </w:p>
                  </w:txbxContent>
                </v:textbox>
                <w10:wrap type="square" anchorx="margin"/>
              </v:shape>
            </w:pict>
          </mc:Fallback>
        </mc:AlternateContent>
      </w:r>
      <w:r w:rsidR="006E030F" w:rsidRPr="00EB5272">
        <w:t xml:space="preserve">Ordinarily, higher taxation on its own </w:t>
      </w:r>
      <w:r w:rsidR="006E030F">
        <w:t>can be expected to</w:t>
      </w:r>
      <w:r w:rsidR="006E030F" w:rsidRPr="00EB5272">
        <w:t xml:space="preserve"> decrease economic output. </w:t>
      </w:r>
      <w:r w:rsidR="006E030F">
        <w:t>However, the OECD analysis indicates that if</w:t>
      </w:r>
      <w:r w:rsidR="006E030F" w:rsidRPr="00EB5272">
        <w:t xml:space="preserve"> Pillar One can help avoid the current proliferation of uncoordinated unilateral tax measures (e.g. </w:t>
      </w:r>
      <w:r w:rsidR="006E030F">
        <w:t>D</w:t>
      </w:r>
      <w:r w:rsidR="006E030F" w:rsidRPr="00EB5272">
        <w:t xml:space="preserve">igital </w:t>
      </w:r>
      <w:r w:rsidR="006E030F">
        <w:t>S</w:t>
      </w:r>
      <w:r w:rsidR="006E030F" w:rsidRPr="00EB5272">
        <w:t xml:space="preserve">ervices </w:t>
      </w:r>
      <w:r w:rsidR="006E030F">
        <w:t>T</w:t>
      </w:r>
      <w:r w:rsidR="006E030F" w:rsidRPr="00EB5272">
        <w:t xml:space="preserve">axes) as well as prevent damaging tax and trade disputes, it </w:t>
      </w:r>
      <w:r w:rsidR="006E030F">
        <w:t xml:space="preserve">will have a net positive </w:t>
      </w:r>
      <w:r w:rsidR="006E030F" w:rsidRPr="00EB5272">
        <w:t>impact on the global economy</w:t>
      </w:r>
      <w:r w:rsidR="006E030F">
        <w:t>.</w:t>
      </w:r>
      <w:r w:rsidR="006E030F" w:rsidRPr="00EE0292">
        <w:rPr>
          <w:rFonts w:eastAsiaTheme="minorHAnsi" w:cstheme="minorBidi"/>
          <w:vertAlign w:val="superscript"/>
          <w:lang w:eastAsia="en-US"/>
        </w:rPr>
        <w:footnoteReference w:id="15"/>
      </w:r>
      <w:r w:rsidR="006E030F">
        <w:t xml:space="preserve"> </w:t>
      </w:r>
      <w:r w:rsidR="00261613">
        <w:t>The OECD has estimated that the negative economic implications of a protracted tax and trade related conflict would reduce global GDP from somewhere between 0.1 per cent to 1.2 per cent.</w:t>
      </w:r>
      <w:r w:rsidR="00261613" w:rsidRPr="00EE0292">
        <w:rPr>
          <w:rFonts w:eastAsiaTheme="minorHAnsi" w:cstheme="minorBidi"/>
          <w:vertAlign w:val="superscript"/>
          <w:lang w:eastAsia="en-US"/>
        </w:rPr>
        <w:footnoteReference w:id="16"/>
      </w:r>
      <w:r w:rsidR="00261613" w:rsidRPr="00EE0292">
        <w:rPr>
          <w:rFonts w:eastAsiaTheme="minorHAnsi" w:cstheme="minorBidi"/>
          <w:vertAlign w:val="superscript"/>
          <w:lang w:eastAsia="en-US"/>
        </w:rPr>
        <w:t xml:space="preserve"> </w:t>
      </w:r>
    </w:p>
    <w:p w14:paraId="1CB270E5" w14:textId="33C49789" w:rsidR="00201E50" w:rsidRDefault="00387C96" w:rsidP="006E030F">
      <w:r>
        <w:t xml:space="preserve">Pillar One will </w:t>
      </w:r>
      <w:r w:rsidR="00094060">
        <w:t xml:space="preserve">affect </w:t>
      </w:r>
      <w:r>
        <w:t>jurisdictions</w:t>
      </w:r>
      <w:r w:rsidR="00094060">
        <w:t xml:space="preserve"> differently, </w:t>
      </w:r>
      <w:r w:rsidR="007708D9">
        <w:t xml:space="preserve">particularly </w:t>
      </w:r>
      <w:r w:rsidR="00094060">
        <w:t>depend</w:t>
      </w:r>
      <w:r>
        <w:t xml:space="preserve">ing </w:t>
      </w:r>
      <w:r w:rsidR="00094060">
        <w:t xml:space="preserve">on </w:t>
      </w:r>
      <w:r w:rsidR="00E868D5">
        <w:t>whether they are</w:t>
      </w:r>
      <w:r w:rsidR="00094060">
        <w:t xml:space="preserve"> investment hub</w:t>
      </w:r>
      <w:r w:rsidR="00E868D5">
        <w:t>s</w:t>
      </w:r>
      <w:r w:rsidR="00094060">
        <w:t xml:space="preserve"> or market jurisdiction</w:t>
      </w:r>
      <w:r w:rsidR="00E868D5">
        <w:t>s</w:t>
      </w:r>
      <w:r w:rsidR="00094060">
        <w:t>. In general, investment hubs (</w:t>
      </w:r>
      <w:r w:rsidR="00096BC6">
        <w:t>jurisdictions</w:t>
      </w:r>
      <w:r w:rsidR="00ED0F69">
        <w:t xml:space="preserve"> </w:t>
      </w:r>
      <w:r w:rsidR="00094060">
        <w:t xml:space="preserve">where lower </w:t>
      </w:r>
      <w:r w:rsidR="00621DBA">
        <w:t>corporate income tax rates</w:t>
      </w:r>
      <w:r w:rsidR="00094060">
        <w:t xml:space="preserve"> </w:t>
      </w:r>
      <w:r w:rsidR="00621DBA">
        <w:t xml:space="preserve">attract </w:t>
      </w:r>
      <w:r w:rsidR="00D40B93">
        <w:t xml:space="preserve">high levels of </w:t>
      </w:r>
      <w:r w:rsidR="00621DBA">
        <w:t>business investment</w:t>
      </w:r>
      <w:r w:rsidR="005E73D1">
        <w:t>, resulting in high residual profits</w:t>
      </w:r>
      <w:r w:rsidR="00621DBA">
        <w:t>)</w:t>
      </w:r>
      <w:r w:rsidR="00525F0D">
        <w:t xml:space="preserve"> will be negatively affected, as their </w:t>
      </w:r>
      <w:r w:rsidR="00D40B93">
        <w:t xml:space="preserve">high residual </w:t>
      </w:r>
      <w:r w:rsidR="00F22A69">
        <w:t>profits</w:t>
      </w:r>
      <w:r w:rsidR="005E73D1">
        <w:t xml:space="preserve"> relevant to their local consumer base</w:t>
      </w:r>
      <w:r w:rsidR="00D40B93">
        <w:t xml:space="preserve"> </w:t>
      </w:r>
      <w:r w:rsidR="00525F0D">
        <w:t xml:space="preserve">will </w:t>
      </w:r>
      <w:r w:rsidR="00AE441D">
        <w:t xml:space="preserve">result in reallocations </w:t>
      </w:r>
      <w:r w:rsidR="00AE441D">
        <w:lastRenderedPageBreak/>
        <w:t>of taxing rights</w:t>
      </w:r>
      <w:r w:rsidR="00A7507B">
        <w:t xml:space="preserve"> </w:t>
      </w:r>
      <w:r w:rsidR="00D40B93">
        <w:t xml:space="preserve">to market jurisdictions through </w:t>
      </w:r>
      <w:r w:rsidR="008F0C92">
        <w:t>Pillar One</w:t>
      </w:r>
      <w:r w:rsidR="00683D3E">
        <w:t>’s</w:t>
      </w:r>
      <w:r w:rsidR="008F0C92">
        <w:t xml:space="preserve"> Amount A.</w:t>
      </w:r>
      <w:r w:rsidR="00EE1223">
        <w:t xml:space="preserve"> Market jurisdictions (</w:t>
      </w:r>
      <w:r w:rsidR="00BE7836">
        <w:t xml:space="preserve">including many </w:t>
      </w:r>
      <w:r w:rsidR="00EE1223">
        <w:t>jurisdictions that have higher corporate income tax rates</w:t>
      </w:r>
      <w:r w:rsidR="00D51556">
        <w:t>,</w:t>
      </w:r>
      <w:r w:rsidR="005E73D1">
        <w:t xml:space="preserve"> lower residual profits</w:t>
      </w:r>
      <w:r w:rsidR="0076451F">
        <w:t>,</w:t>
      </w:r>
      <w:r w:rsidR="00D51556">
        <w:t xml:space="preserve"> </w:t>
      </w:r>
      <w:r w:rsidR="00616FB1">
        <w:t xml:space="preserve">but many end-consumers) stand to benefit </w:t>
      </w:r>
      <w:r w:rsidR="00EB28B1">
        <w:t>from the reforms</w:t>
      </w:r>
      <w:r w:rsidR="00785ECD">
        <w:t xml:space="preserve">, as these jurisdictions will receive the aforementioned re-allocated Pillar One Amount A taxing rights. </w:t>
      </w:r>
      <w:r w:rsidR="00020BE2">
        <w:t xml:space="preserve">In broad terms, </w:t>
      </w:r>
      <w:r w:rsidR="009919C6">
        <w:t>Australia</w:t>
      </w:r>
      <w:r w:rsidR="00020BE2">
        <w:t xml:space="preserve"> is </w:t>
      </w:r>
      <w:r w:rsidR="009919C6">
        <w:t>a market jurisdiction</w:t>
      </w:r>
      <w:r w:rsidR="00F33775">
        <w:t xml:space="preserve"> for these purposes</w:t>
      </w:r>
      <w:r w:rsidR="009919C6">
        <w:t xml:space="preserve">. </w:t>
      </w:r>
    </w:p>
    <w:p w14:paraId="0E4AEDF5" w14:textId="77777777" w:rsidR="006E030F" w:rsidRDefault="006E030F" w:rsidP="00310BF4">
      <w:pPr>
        <w:pStyle w:val="Heading4"/>
        <w:spacing w:before="120" w:after="120" w:line="240" w:lineRule="auto"/>
      </w:pPr>
      <w:r w:rsidRPr="004C221A">
        <w:t>Costs</w:t>
      </w:r>
    </w:p>
    <w:p w14:paraId="6B97959C" w14:textId="77777777" w:rsidR="006E030F" w:rsidRPr="004C221A" w:rsidRDefault="006E030F" w:rsidP="006E030F">
      <w:pPr>
        <w:rPr>
          <w:rFonts w:eastAsiaTheme="minorHAnsi" w:cstheme="minorBidi"/>
          <w:vertAlign w:val="superscript"/>
          <w:lang w:eastAsia="en-US"/>
        </w:rPr>
      </w:pPr>
      <w:r>
        <w:t>T</w:t>
      </w:r>
      <w:r w:rsidRPr="00571071">
        <w:t xml:space="preserve">he OECD has estimated that </w:t>
      </w:r>
      <w:r>
        <w:t xml:space="preserve">the direct negative investment impacts from </w:t>
      </w:r>
      <w:r w:rsidRPr="00571071">
        <w:t>higher taxation</w:t>
      </w:r>
      <w:r>
        <w:t xml:space="preserve"> resulting</w:t>
      </w:r>
      <w:r w:rsidRPr="00571071">
        <w:t xml:space="preserve"> </w:t>
      </w:r>
      <w:r>
        <w:t>from Pillar One and</w:t>
      </w:r>
      <w:r w:rsidR="003A62FF">
        <w:t xml:space="preserve"> Pillar</w:t>
      </w:r>
      <w:r>
        <w:t xml:space="preserve"> Two </w:t>
      </w:r>
      <w:r w:rsidRPr="00571071">
        <w:t xml:space="preserve">would lead to a reduction of global GDP </w:t>
      </w:r>
      <w:r>
        <w:t xml:space="preserve">of less than </w:t>
      </w:r>
      <w:r w:rsidRPr="00571071">
        <w:t>0.1 per cent</w:t>
      </w:r>
      <w:r>
        <w:t>.</w:t>
      </w:r>
      <w:r w:rsidRPr="00EE0292">
        <w:rPr>
          <w:rFonts w:eastAsiaTheme="minorHAnsi" w:cstheme="minorBidi"/>
          <w:vertAlign w:val="superscript"/>
          <w:lang w:eastAsia="en-US"/>
        </w:rPr>
        <w:footnoteReference w:id="17"/>
      </w:r>
      <w:r w:rsidRPr="00EE0292">
        <w:rPr>
          <w:rFonts w:eastAsiaTheme="minorHAnsi" w:cstheme="minorBidi"/>
          <w:vertAlign w:val="superscript"/>
          <w:lang w:eastAsia="en-US"/>
        </w:rPr>
        <w:t xml:space="preserve"> </w:t>
      </w:r>
      <w:r>
        <w:t>The OECD believes this cost is small and would</w:t>
      </w:r>
      <w:r w:rsidRPr="00571071">
        <w:t xml:space="preserve"> be more than offset </w:t>
      </w:r>
      <w:r>
        <w:t>by</w:t>
      </w:r>
      <w:r w:rsidRPr="00571071">
        <w:t xml:space="preserve"> </w:t>
      </w:r>
      <w:r>
        <w:t xml:space="preserve">other factors, such as </w:t>
      </w:r>
      <w:r w:rsidRPr="00571071">
        <w:t>greater investment certainty and reduced compliance costs</w:t>
      </w:r>
      <w:r>
        <w:t xml:space="preserve"> from avoiding the proliferation of unilateral taxes</w:t>
      </w:r>
      <w:r w:rsidRPr="00571071">
        <w:t>.</w:t>
      </w:r>
    </w:p>
    <w:p w14:paraId="6A31B0FC" w14:textId="77777777" w:rsidR="006E030F" w:rsidRDefault="006E030F" w:rsidP="006E030F">
      <w:r w:rsidDel="00347962">
        <w:t xml:space="preserve">Pillar One </w:t>
      </w:r>
      <w:r>
        <w:t>also</w:t>
      </w:r>
      <w:r w:rsidDel="00347962">
        <w:t xml:space="preserve"> work</w:t>
      </w:r>
      <w:r>
        <w:t>s</w:t>
      </w:r>
      <w:r w:rsidDel="00347962">
        <w:t xml:space="preserve"> towards </w:t>
      </w:r>
      <w:r>
        <w:t xml:space="preserve">creating a more </w:t>
      </w:r>
      <w:r w:rsidRPr="001B5316" w:rsidDel="00347962">
        <w:t>even playing field</w:t>
      </w:r>
      <w:r w:rsidDel="00347962">
        <w:t xml:space="preserve"> between the world’s largest and most profitable multinationals and local businesses</w:t>
      </w:r>
      <w:r>
        <w:t>. A</w:t>
      </w:r>
      <w:r w:rsidDel="00347962">
        <w:t xml:space="preserve"> more even playing field </w:t>
      </w:r>
      <w:r>
        <w:t>within and between countries should,</w:t>
      </w:r>
      <w:r w:rsidDel="00347962">
        <w:t xml:space="preserve"> over the long</w:t>
      </w:r>
      <w:r w:rsidRPr="00E35A35" w:rsidDel="00347962">
        <w:t>-term</w:t>
      </w:r>
      <w:r>
        <w:t>,</w:t>
      </w:r>
      <w:r w:rsidRPr="00E35A35" w:rsidDel="00347962">
        <w:t xml:space="preserve"> </w:t>
      </w:r>
      <w:r w:rsidDel="00347962">
        <w:t xml:space="preserve">lead to </w:t>
      </w:r>
      <w:r w:rsidRPr="00E35A35" w:rsidDel="00347962">
        <w:t xml:space="preserve">some </w:t>
      </w:r>
      <w:r w:rsidDel="00347962">
        <w:t xml:space="preserve">economic </w:t>
      </w:r>
      <w:r w:rsidRPr="00E35A35" w:rsidDel="00347962">
        <w:t>efficiency improvements</w:t>
      </w:r>
      <w:r w:rsidDel="00347962">
        <w:t>,</w:t>
      </w:r>
      <w:r>
        <w:t xml:space="preserve"> from better competition and from </w:t>
      </w:r>
      <w:r w:rsidRPr="00E35A35" w:rsidDel="00347962">
        <w:t xml:space="preserve">operational decisions </w:t>
      </w:r>
      <w:r w:rsidDel="00347962">
        <w:t>being</w:t>
      </w:r>
      <w:r w:rsidRPr="00E35A35" w:rsidDel="00347962">
        <w:t xml:space="preserve"> based more on economic </w:t>
      </w:r>
      <w:r>
        <w:t>(</w:t>
      </w:r>
      <w:r w:rsidRPr="00E35A35" w:rsidDel="00347962">
        <w:t>rather than taxation</w:t>
      </w:r>
      <w:r>
        <w:t>)</w:t>
      </w:r>
      <w:r w:rsidRPr="00E35A35" w:rsidDel="00347962">
        <w:t xml:space="preserve"> rationales.</w:t>
      </w:r>
      <w:r w:rsidDel="00347962">
        <w:t xml:space="preserve">  </w:t>
      </w:r>
    </w:p>
    <w:p w14:paraId="0F5FB613" w14:textId="5E28D921" w:rsidR="00DD2701" w:rsidRDefault="00DD2701" w:rsidP="00310BF4">
      <w:pPr>
        <w:pStyle w:val="Heading3"/>
        <w:spacing w:before="120" w:after="120" w:line="240" w:lineRule="auto"/>
      </w:pPr>
      <w:r>
        <w:t xml:space="preserve">Pillar </w:t>
      </w:r>
      <w:r w:rsidR="00181450">
        <w:t>One</w:t>
      </w:r>
      <w:r w:rsidRPr="00437D5B">
        <w:t xml:space="preserve"> </w:t>
      </w:r>
      <w:r>
        <w:t>impact on Australian business</w:t>
      </w:r>
    </w:p>
    <w:p w14:paraId="74F774A2" w14:textId="39FD1B0B" w:rsidR="00D62B9C" w:rsidRDefault="006C14AC" w:rsidP="006C14AC">
      <w:r>
        <w:t>Treasury estimates that no Australian headquartered multinationals currently fall in</w:t>
      </w:r>
      <w:r w:rsidR="000156C3">
        <w:t xml:space="preserve"> </w:t>
      </w:r>
      <w:r>
        <w:t>scope of Amount</w:t>
      </w:r>
      <w:r w:rsidR="007D2301">
        <w:t> </w:t>
      </w:r>
      <w:r>
        <w:t>A. However, as a result of future changing economic conditions, profitability and revenue levels, some Australian multinationals may eventually meet the EUR20 billion</w:t>
      </w:r>
      <w:r w:rsidR="00D86DB5">
        <w:t xml:space="preserve"> </w:t>
      </w:r>
      <w:r w:rsidR="00B92715">
        <w:t>revenue</w:t>
      </w:r>
      <w:r>
        <w:t xml:space="preserve"> and 10 per cent profitability </w:t>
      </w:r>
      <w:r w:rsidR="00CC50AA">
        <w:t>thresholds. Also</w:t>
      </w:r>
      <w:r w:rsidR="005410AC">
        <w:t>, a</w:t>
      </w:r>
      <w:r>
        <w:t xml:space="preserve"> revised EUR10 billion revenue threshold is expected to take effect if the seven-year review (around 2030) finds that Amount A has been successfully implemented. </w:t>
      </w:r>
      <w:r w:rsidR="004B0FD7">
        <w:t xml:space="preserve">The OECD has estimated that at these thresholds, there would be about 100 multinationals globally currently in scope of Pillar One (Amount A). </w:t>
      </w:r>
    </w:p>
    <w:p w14:paraId="058E6B98" w14:textId="5C50B367" w:rsidR="006F67AC" w:rsidRDefault="000E64CE" w:rsidP="006C14AC">
      <w:r>
        <w:t>Some o</w:t>
      </w:r>
      <w:r w:rsidR="000063C8">
        <w:t xml:space="preserve">ut-of-scope multinationals may face increased compliance burdens, </w:t>
      </w:r>
      <w:r w:rsidR="00AC7891">
        <w:t>as they may be required to check how close they are to revenue and profitability thresholds.</w:t>
      </w:r>
      <w:r w:rsidR="00487A84">
        <w:t xml:space="preserve"> </w:t>
      </w:r>
    </w:p>
    <w:p w14:paraId="29F1E5A7" w14:textId="4B7798FC" w:rsidR="00CD689A" w:rsidRPr="001B080A" w:rsidRDefault="006F67AC" w:rsidP="006C14AC">
      <w:r>
        <w:t>For in-scope (non-Australian) multinationals,</w:t>
      </w:r>
      <w:r w:rsidR="004D6C41">
        <w:t xml:space="preserve"> Pillar One (Amount A) is expected to have limited impact on business operations</w:t>
      </w:r>
      <w:r w:rsidR="00AD55B4">
        <w:t xml:space="preserve">. </w:t>
      </w:r>
      <w:r w:rsidR="00CE31DF">
        <w:t>Since Amount A reallocates taxing rights over multinational profits between countries</w:t>
      </w:r>
      <w:r w:rsidR="005A7D49">
        <w:t xml:space="preserve"> based on </w:t>
      </w:r>
      <w:r w:rsidR="00B11B57">
        <w:t>the location of consumers</w:t>
      </w:r>
      <w:r w:rsidR="00CE31DF">
        <w:t xml:space="preserve">, there is limited ability or incentive for multinationals to </w:t>
      </w:r>
      <w:r w:rsidR="002A2ABB">
        <w:t>change their operations, especially in market jurisdictions like Australia</w:t>
      </w:r>
      <w:r w:rsidR="00C66E2C">
        <w:t xml:space="preserve">. </w:t>
      </w:r>
    </w:p>
    <w:p w14:paraId="544262E3" w14:textId="77777777" w:rsidR="00D62B9C" w:rsidRDefault="00D62B9C" w:rsidP="006C14AC">
      <w:r w:rsidRPr="00D62B9C">
        <w:t xml:space="preserve">Importantly the design of Pillar One reflects Australia’s national interests, in that extractive activities and regulated financial services industries are excluded. These entities represent a significant component of Australia’s existing corporate tax base. </w:t>
      </w:r>
    </w:p>
    <w:p w14:paraId="11D87802" w14:textId="70B8A479" w:rsidR="006C14AC" w:rsidRDefault="006C14AC" w:rsidP="006C14AC">
      <w:r>
        <w:t xml:space="preserve">Additionally, Australian subsidiaries of in-scope multinationals </w:t>
      </w:r>
      <w:r w:rsidR="009D46B3">
        <w:t xml:space="preserve">could </w:t>
      </w:r>
      <w:r>
        <w:t xml:space="preserve">be impacted </w:t>
      </w:r>
      <w:r w:rsidR="00C4644F">
        <w:t xml:space="preserve">to some extent </w:t>
      </w:r>
      <w:r>
        <w:t>by certain elements of Amount A, in particular the Elimination of Double Taxation (EODT) and the Marketing and Distribution Profits Safe Harbour (MDSH) mechanisms.</w:t>
      </w:r>
    </w:p>
    <w:p w14:paraId="38809A87" w14:textId="77777777" w:rsidR="00DD2701" w:rsidRPr="004461F2" w:rsidRDefault="00DD2701" w:rsidP="00310BF4">
      <w:pPr>
        <w:pStyle w:val="Heading3"/>
        <w:spacing w:before="120" w:after="120" w:line="240" w:lineRule="auto"/>
      </w:pPr>
      <w:bookmarkStart w:id="80" w:name="_Hlk124940861"/>
      <w:r>
        <w:t xml:space="preserve">Pillar </w:t>
      </w:r>
      <w:r w:rsidR="00181450">
        <w:t>One</w:t>
      </w:r>
      <w:r w:rsidRPr="00437D5B">
        <w:t xml:space="preserve"> </w:t>
      </w:r>
      <w:r>
        <w:t xml:space="preserve">impact on Australian consumers </w:t>
      </w:r>
      <w:r w:rsidR="00E202B2">
        <w:t>and employment</w:t>
      </w:r>
    </w:p>
    <w:p w14:paraId="7D9F05E5" w14:textId="1B3EEC3F" w:rsidR="00C84A5C" w:rsidRDefault="002B0A53" w:rsidP="00DD2701">
      <w:r>
        <w:t>P</w:t>
      </w:r>
      <w:r w:rsidR="00181450">
        <w:t>illar One</w:t>
      </w:r>
      <w:r>
        <w:t xml:space="preserve"> </w:t>
      </w:r>
      <w:r w:rsidR="00CF0922">
        <w:t>is</w:t>
      </w:r>
      <w:r>
        <w:t xml:space="preserve"> </w:t>
      </w:r>
      <w:r w:rsidR="00CF0922">
        <w:t xml:space="preserve">likely </w:t>
      </w:r>
      <w:r>
        <w:t xml:space="preserve">have </w:t>
      </w:r>
      <w:r w:rsidR="0016175B">
        <w:t xml:space="preserve">little to </w:t>
      </w:r>
      <w:r>
        <w:t>no impact on Australian</w:t>
      </w:r>
      <w:r w:rsidR="003D69EA">
        <w:t>s’</w:t>
      </w:r>
      <w:r>
        <w:t xml:space="preserve"> consumer experience</w:t>
      </w:r>
      <w:r w:rsidR="00545A1F">
        <w:t xml:space="preserve"> or employment levels.</w:t>
      </w:r>
      <w:r w:rsidR="00A72584">
        <w:t xml:space="preserve"> </w:t>
      </w:r>
      <w:r w:rsidR="004406D0">
        <w:t xml:space="preserve">This is because Pillar One </w:t>
      </w:r>
      <w:r w:rsidR="007E116E">
        <w:t xml:space="preserve">involves coordinated action to address </w:t>
      </w:r>
      <w:r w:rsidR="00904BD8">
        <w:t xml:space="preserve">tax </w:t>
      </w:r>
      <w:r w:rsidR="00A043D0">
        <w:t xml:space="preserve">distortions </w:t>
      </w:r>
      <w:r w:rsidR="00F7345D">
        <w:t>without discouraging economic activity in market countries.</w:t>
      </w:r>
      <w:r w:rsidR="00CD6045">
        <w:t xml:space="preserve"> This coordination includes a mechanism to avoid double tax by </w:t>
      </w:r>
      <w:r w:rsidR="00C84A5C">
        <w:lastRenderedPageBreak/>
        <w:t xml:space="preserve">reducing tax liabilities in jurisdictions with current </w:t>
      </w:r>
      <w:r w:rsidR="000221D8">
        <w:t xml:space="preserve">residual profits </w:t>
      </w:r>
      <w:r w:rsidR="00030599">
        <w:t xml:space="preserve">by an amount equal to the profits allocated to market </w:t>
      </w:r>
      <w:r w:rsidR="004A6C90">
        <w:t>jurisdictions. This is what makes Pillar One a reallocation of taxable profits</w:t>
      </w:r>
      <w:r w:rsidR="0063796E">
        <w:t xml:space="preserve">. </w:t>
      </w:r>
    </w:p>
    <w:p w14:paraId="38B4F08E" w14:textId="02F6A007" w:rsidR="00E5565E" w:rsidRDefault="0068211D" w:rsidP="00DD2701">
      <w:r>
        <w:t xml:space="preserve">Overall, </w:t>
      </w:r>
      <w:r w:rsidR="005622E9">
        <w:t>Pillar One should not</w:t>
      </w:r>
      <w:r>
        <w:t xml:space="preserve"> restrict service delivery or availability to the Australian market.</w:t>
      </w:r>
      <w:r w:rsidDel="00B84060">
        <w:t xml:space="preserve"> </w:t>
      </w:r>
      <w:r>
        <w:t>S</w:t>
      </w:r>
      <w:r w:rsidR="00251454">
        <w:t xml:space="preserve">ince </w:t>
      </w:r>
      <w:r w:rsidR="00A64CAD">
        <w:t>m</w:t>
      </w:r>
      <w:r w:rsidR="00CE19A3">
        <w:t xml:space="preserve">ultinationals will still </w:t>
      </w:r>
      <w:r w:rsidR="00A64CAD">
        <w:t>want</w:t>
      </w:r>
      <w:r w:rsidR="00CE19A3">
        <w:t xml:space="preserve"> to earn profits from </w:t>
      </w:r>
      <w:r w:rsidR="00A64CAD">
        <w:t>market</w:t>
      </w:r>
      <w:r w:rsidR="00CE19A3">
        <w:t xml:space="preserve"> jurisdictions,</w:t>
      </w:r>
      <w:r w:rsidR="001D6002">
        <w:t xml:space="preserve"> an increase in the share of their global profits that are taxed locally should not</w:t>
      </w:r>
      <w:r w:rsidR="003B19B3">
        <w:t xml:space="preserve"> materially impact their </w:t>
      </w:r>
      <w:r w:rsidR="00E57E07">
        <w:t>activities</w:t>
      </w:r>
      <w:r w:rsidR="003B19B3">
        <w:t xml:space="preserve">. This is particularly likely given that </w:t>
      </w:r>
      <w:r w:rsidR="00251454">
        <w:t>Pillar One (</w:t>
      </w:r>
      <w:r w:rsidR="00214DD1">
        <w:t>Amount A</w:t>
      </w:r>
      <w:r w:rsidR="00251454">
        <w:t>)</w:t>
      </w:r>
      <w:r w:rsidR="00214DD1">
        <w:t xml:space="preserve"> only affect</w:t>
      </w:r>
      <w:r w:rsidR="002802FE">
        <w:t>s</w:t>
      </w:r>
      <w:r w:rsidR="00214DD1">
        <w:t xml:space="preserve"> the residual profits of in-scope multinationals</w:t>
      </w:r>
      <w:r w:rsidR="003B19B3">
        <w:t>.</w:t>
      </w:r>
      <w:r w:rsidR="00214DD1">
        <w:t xml:space="preserve"> </w:t>
      </w:r>
      <w:r w:rsidR="003F1837">
        <w:t>T</w:t>
      </w:r>
      <w:r w:rsidR="00214DD1">
        <w:t xml:space="preserve">hese residual profits </w:t>
      </w:r>
      <w:r w:rsidR="00434B14">
        <w:t xml:space="preserve">are </w:t>
      </w:r>
      <w:r w:rsidR="003F1837">
        <w:t xml:space="preserve">expected to be </w:t>
      </w:r>
      <w:r w:rsidR="00434B14">
        <w:t xml:space="preserve">above the level of return </w:t>
      </w:r>
      <w:r w:rsidR="0079335F">
        <w:t xml:space="preserve">multinationals </w:t>
      </w:r>
      <w:r w:rsidR="00434B14">
        <w:t>require to carry on the</w:t>
      </w:r>
      <w:r w:rsidR="00D54FA0">
        <w:t>ir</w:t>
      </w:r>
      <w:r w:rsidR="00434B14">
        <w:t xml:space="preserve"> </w:t>
      </w:r>
      <w:r w:rsidR="00B33080">
        <w:t xml:space="preserve">global </w:t>
      </w:r>
      <w:r w:rsidR="00D54FA0">
        <w:t>business</w:t>
      </w:r>
      <w:r w:rsidR="00D53094">
        <w:t>.</w:t>
      </w:r>
      <w:r w:rsidR="00BB2844">
        <w:t xml:space="preserve"> </w:t>
      </w:r>
      <w:r w:rsidR="00D53094">
        <w:t>In theory, these profits can be taxed at a higher rate</w:t>
      </w:r>
      <w:r w:rsidR="00BB2844">
        <w:t xml:space="preserve"> without affecting supply.</w:t>
      </w:r>
    </w:p>
    <w:p w14:paraId="50CCF7B5" w14:textId="3B392FBE" w:rsidR="00BA2D9C" w:rsidRDefault="000234BB" w:rsidP="00DD2701">
      <w:r>
        <w:t>There is a possibility that</w:t>
      </w:r>
      <w:r w:rsidR="00BA2D9C">
        <w:t xml:space="preserve"> increased global tax expenses </w:t>
      </w:r>
      <w:r>
        <w:t xml:space="preserve">of multinationals </w:t>
      </w:r>
      <w:r w:rsidR="00BA2D9C">
        <w:t xml:space="preserve">will </w:t>
      </w:r>
      <w:r w:rsidR="004A6C5B">
        <w:t xml:space="preserve">affect the way that these multinationals carry on their business </w:t>
      </w:r>
      <w:r w:rsidR="008C376C">
        <w:t>or price their products</w:t>
      </w:r>
      <w:r w:rsidR="007C7F07">
        <w:t>.</w:t>
      </w:r>
      <w:r w:rsidR="008C376C">
        <w:t xml:space="preserve"> However, this is a far less likely outcome for Amount A’s profit reallocation system compared with </w:t>
      </w:r>
      <w:r w:rsidR="00F6247C">
        <w:t xml:space="preserve">other </w:t>
      </w:r>
      <w:r w:rsidR="00A15C42">
        <w:t>designs,</w:t>
      </w:r>
      <w:r w:rsidR="00F6247C">
        <w:t xml:space="preserve"> </w:t>
      </w:r>
      <w:r w:rsidR="00A15C42">
        <w:t>such as</w:t>
      </w:r>
      <w:r w:rsidR="00F6247C">
        <w:t xml:space="preserve"> Digital Services Taxes.</w:t>
      </w:r>
      <w:r>
        <w:t xml:space="preserve"> </w:t>
      </w:r>
    </w:p>
    <w:p w14:paraId="30B28AE7" w14:textId="17A7D15D" w:rsidR="006E030F" w:rsidRDefault="006E030F" w:rsidP="00310BF4">
      <w:pPr>
        <w:pStyle w:val="Heading3"/>
        <w:spacing w:before="120" w:after="120" w:line="240" w:lineRule="auto"/>
      </w:pPr>
      <w:bookmarkStart w:id="81" w:name="_Toc116375715"/>
      <w:bookmarkStart w:id="82" w:name="_Toc116380352"/>
      <w:bookmarkStart w:id="83" w:name="_Hlk90454999"/>
      <w:bookmarkEnd w:id="80"/>
      <w:r>
        <w:t>Pillar One compliance costs</w:t>
      </w:r>
      <w:bookmarkEnd w:id="81"/>
      <w:bookmarkEnd w:id="82"/>
    </w:p>
    <w:p w14:paraId="0DDF2ED2" w14:textId="42DC9FA5" w:rsidR="00B31AC8" w:rsidRDefault="006E030F" w:rsidP="006E030F">
      <w:r>
        <w:t xml:space="preserve">The OECD considers the </w:t>
      </w:r>
      <w:r w:rsidR="00881C04">
        <w:t xml:space="preserve">global </w:t>
      </w:r>
      <w:r>
        <w:t xml:space="preserve">compliance costs from Pillar One will be relatively minor compared to the revenues of in-scope </w:t>
      </w:r>
      <w:r w:rsidR="00F5236B">
        <w:t>multinationals</w:t>
      </w:r>
      <w:r>
        <w:t>, with most of the additional activities required under Pillar One expected to leverage existing activities that a multinational group would already undertake. For example, existing tax returns, financial reports and consolidated accounting statements, as well as multilateral obligations like Country-by-Country Reporting, would be utilised for Pillar One calculations.</w:t>
      </w:r>
      <w:r w:rsidR="001A1495">
        <w:t xml:space="preserve"> </w:t>
      </w:r>
      <w:r w:rsidR="00F01C22">
        <w:t xml:space="preserve">In practice, it is likely that the vast majority of the increase in compliance costs and burdens from Pillar One will </w:t>
      </w:r>
      <w:r w:rsidR="00943CB5">
        <w:t>be imposed</w:t>
      </w:r>
      <w:r w:rsidR="00F01C22">
        <w:t xml:space="preserve"> by other countries, primarily investment hub and headquarter countries. </w:t>
      </w:r>
    </w:p>
    <w:p w14:paraId="4C879197" w14:textId="4354CECF" w:rsidR="006E030F" w:rsidRDefault="00E74E85" w:rsidP="006E030F">
      <w:r>
        <w:t>Nonetheless, it is likely that Australian entities will see increases in compliance costs</w:t>
      </w:r>
      <w:r w:rsidR="008140C0">
        <w:t xml:space="preserve"> due to the need to determine if they are within scope. </w:t>
      </w:r>
      <w:r w:rsidR="00E436E1">
        <w:t>While n</w:t>
      </w:r>
      <w:r w:rsidR="000B2FB0">
        <w:t>o Australian</w:t>
      </w:r>
      <w:r w:rsidR="001A1495">
        <w:t xml:space="preserve"> headquartered </w:t>
      </w:r>
      <w:r w:rsidR="00AE672F">
        <w:t>multinationals</w:t>
      </w:r>
      <w:r w:rsidR="001A1495">
        <w:t xml:space="preserve"> are </w:t>
      </w:r>
      <w:r w:rsidR="000B2FB0">
        <w:t>likely to be in scope of</w:t>
      </w:r>
      <w:r w:rsidR="001A1495">
        <w:t xml:space="preserve"> Pillar One</w:t>
      </w:r>
      <w:r w:rsidR="000B2FB0">
        <w:t xml:space="preserve"> in the near term</w:t>
      </w:r>
      <w:r w:rsidR="00E436E1">
        <w:t>,</w:t>
      </w:r>
      <w:r w:rsidR="006E0EF8">
        <w:t xml:space="preserve"> </w:t>
      </w:r>
      <w:r w:rsidR="001A1495">
        <w:t xml:space="preserve">some stakeholders have raised concerns that the calculations needed to rely on the extraction exclusion will still add compliance costs. </w:t>
      </w:r>
    </w:p>
    <w:p w14:paraId="2A60C0D4" w14:textId="224C359D" w:rsidR="00956056" w:rsidRDefault="00B639C6" w:rsidP="006E030F">
      <w:r>
        <w:t xml:space="preserve">Multinationals will need to invest in recruitment and training of staff to ensure that they </w:t>
      </w:r>
      <w:r w:rsidR="001B1DC4">
        <w:t xml:space="preserve">understand the </w:t>
      </w:r>
      <w:r w:rsidR="001B72C3">
        <w:t>rules and</w:t>
      </w:r>
      <w:r w:rsidR="001B1DC4">
        <w:t xml:space="preserve"> are compliant where they are in scope.</w:t>
      </w:r>
      <w:r w:rsidR="004359FE">
        <w:t xml:space="preserve"> </w:t>
      </w:r>
      <w:r w:rsidR="00E257CD">
        <w:t xml:space="preserve">There is a potential that Australian </w:t>
      </w:r>
      <w:r w:rsidR="00AE7AE2">
        <w:t xml:space="preserve">subsidiary entities will be </w:t>
      </w:r>
      <w:r w:rsidR="004B384F">
        <w:t xml:space="preserve">responsible for </w:t>
      </w:r>
      <w:r w:rsidR="00BB5A38">
        <w:t>some</w:t>
      </w:r>
      <w:r w:rsidR="00DB2B6A">
        <w:t xml:space="preserve"> aspects of </w:t>
      </w:r>
      <w:r w:rsidR="00BB5A38">
        <w:t>this</w:t>
      </w:r>
      <w:r w:rsidR="00DB2B6A">
        <w:t xml:space="preserve"> compliance</w:t>
      </w:r>
      <w:r w:rsidR="00BB5A38">
        <w:t xml:space="preserve"> if they are</w:t>
      </w:r>
      <w:r w:rsidR="00DB2B6A">
        <w:t xml:space="preserve"> required to report to their foreign parent entities. </w:t>
      </w:r>
    </w:p>
    <w:p w14:paraId="6DBE204D" w14:textId="43D018B7" w:rsidR="00DC1677" w:rsidRDefault="00632C92" w:rsidP="006E030F">
      <w:r>
        <w:t xml:space="preserve">For Pillar One, there will be a requirement of additional record keeping systems and procedures to ensure relevant calculations can be made, but also, that it can be determined an entity is compliant with the reforms. </w:t>
      </w:r>
      <w:r w:rsidR="00FE1C5A">
        <w:t xml:space="preserve">The </w:t>
      </w:r>
      <w:r w:rsidR="00A30906">
        <w:t xml:space="preserve">use of the global consolidated financial statements </w:t>
      </w:r>
      <w:r w:rsidR="00FE1C5A">
        <w:t>provides a simple</w:t>
      </w:r>
      <w:r w:rsidR="00A30906">
        <w:t xml:space="preserve"> starting point, </w:t>
      </w:r>
      <w:r w:rsidR="00CB07DD">
        <w:t xml:space="preserve">however more detailed information will need to be gathered to </w:t>
      </w:r>
      <w:r w:rsidR="005070D3">
        <w:t xml:space="preserve">comply with </w:t>
      </w:r>
      <w:r w:rsidR="00FE1C5A">
        <w:t>novel rules, such as</w:t>
      </w:r>
      <w:r w:rsidR="005070D3">
        <w:t xml:space="preserve"> </w:t>
      </w:r>
      <w:r w:rsidR="00FE1C5A">
        <w:t xml:space="preserve">in relation to </w:t>
      </w:r>
      <w:r w:rsidR="005070D3">
        <w:t>revenue sourcing</w:t>
      </w:r>
      <w:r w:rsidR="00965D88">
        <w:t xml:space="preserve">. </w:t>
      </w:r>
      <w:r w:rsidR="000545E8">
        <w:t xml:space="preserve">Owing to the nature of the Amount A calculations, multinationals will only be aware of the Amount A liability after the </w:t>
      </w:r>
      <w:r w:rsidR="004A4802">
        <w:t xml:space="preserve">relevant period, </w:t>
      </w:r>
      <w:r w:rsidR="00C67B15">
        <w:t>meaning</w:t>
      </w:r>
      <w:r w:rsidR="004A4802">
        <w:t xml:space="preserve"> </w:t>
      </w:r>
      <w:r w:rsidR="00E77F03">
        <w:t xml:space="preserve">there will likely be necessary adjustments to </w:t>
      </w:r>
      <w:r w:rsidR="00CC3B06">
        <w:t xml:space="preserve">closing procedures for year-end </w:t>
      </w:r>
      <w:r w:rsidR="00F35217">
        <w:t xml:space="preserve">to account for Amount A </w:t>
      </w:r>
      <w:r w:rsidR="00E23DF0">
        <w:t>outcomes.</w:t>
      </w:r>
    </w:p>
    <w:p w14:paraId="768D7AA8" w14:textId="19660DB3" w:rsidR="00DF48EA" w:rsidRDefault="00BA0B41" w:rsidP="00DF48EA">
      <w:r>
        <w:t xml:space="preserve">Additionally, Pillar One will introduce a high level of complexity in its early years. </w:t>
      </w:r>
      <w:r w:rsidR="006D0B21">
        <w:t>This is due to the international nature of the work</w:t>
      </w:r>
      <w:r w:rsidR="00F51A6E">
        <w:t xml:space="preserve"> requiring </w:t>
      </w:r>
      <w:r w:rsidR="00922860">
        <w:t>many stakeholders working together to understand, and comply</w:t>
      </w:r>
      <w:r w:rsidR="00F51A6E">
        <w:t xml:space="preserve"> with</w:t>
      </w:r>
      <w:r w:rsidR="00922860">
        <w:t>, the rules.</w:t>
      </w:r>
      <w:r w:rsidR="006D0B21">
        <w:t xml:space="preserve"> </w:t>
      </w:r>
      <w:r w:rsidR="00DF48EA">
        <w:t xml:space="preserve">The </w:t>
      </w:r>
      <w:r w:rsidR="00AB2B5D">
        <w:t xml:space="preserve">compliance </w:t>
      </w:r>
      <w:r w:rsidR="00DF48EA">
        <w:t xml:space="preserve">complexity of Pillar One is </w:t>
      </w:r>
      <w:r w:rsidR="00AE40B7">
        <w:t>potentially offset</w:t>
      </w:r>
      <w:r w:rsidR="00DF48EA">
        <w:t xml:space="preserve"> by </w:t>
      </w:r>
      <w:r w:rsidR="00AE40B7">
        <w:t xml:space="preserve">the </w:t>
      </w:r>
      <w:r w:rsidR="00DF48EA">
        <w:t>tax certainty framework and Amount B, which are intended to provide certainty to taxpayers, and simplify the transfer pricing processes respectively.</w:t>
      </w:r>
    </w:p>
    <w:p w14:paraId="7F2C1FCE" w14:textId="5B979F7E" w:rsidR="00F252B9" w:rsidRDefault="00F122B1" w:rsidP="000575C7">
      <w:r>
        <w:t>C</w:t>
      </w:r>
      <w:r w:rsidR="006E030F" w:rsidRPr="00251EE1">
        <w:t xml:space="preserve">oncerns about complexity and compliance challenges have consistently </w:t>
      </w:r>
      <w:r>
        <w:t>been raised</w:t>
      </w:r>
      <w:r w:rsidR="006E030F" w:rsidRPr="00251EE1">
        <w:t xml:space="preserve"> during public consultation. </w:t>
      </w:r>
      <w:r w:rsidR="00062F5F">
        <w:t>Recruitment, training, and external advisory will likely contribute to significant costs upfront.</w:t>
      </w:r>
      <w:r w:rsidR="00646D38">
        <w:t xml:space="preserve"> </w:t>
      </w:r>
    </w:p>
    <w:p w14:paraId="230EAC45" w14:textId="59A6C4AA" w:rsidR="0039793C" w:rsidRDefault="00C020F9" w:rsidP="006E030F">
      <w:r>
        <w:lastRenderedPageBreak/>
        <w:t>More broadly, t</w:t>
      </w:r>
      <w:r w:rsidR="00F04695">
        <w:t xml:space="preserve">he </w:t>
      </w:r>
      <w:r w:rsidR="006E030F">
        <w:t>OECD has argued that</w:t>
      </w:r>
      <w:r w:rsidR="006E030F" w:rsidRPr="004E0EEA">
        <w:t xml:space="preserve"> Pillar One could result in lower overall compliance costs on large multinationals over the long</w:t>
      </w:r>
      <w:r w:rsidR="0015306F">
        <w:t>-</w:t>
      </w:r>
      <w:r w:rsidR="006E030F" w:rsidRPr="004E0EEA">
        <w:t xml:space="preserve">term, </w:t>
      </w:r>
      <w:r w:rsidR="00062EDB">
        <w:t>compared to the alternative of</w:t>
      </w:r>
      <w:r w:rsidR="006E030F" w:rsidRPr="004E0EEA">
        <w:t xml:space="preserve"> a proliferation of </w:t>
      </w:r>
      <w:r w:rsidR="006E030F">
        <w:t>D</w:t>
      </w:r>
      <w:r w:rsidR="006E030F" w:rsidRPr="004E0EEA">
        <w:t xml:space="preserve">igital </w:t>
      </w:r>
      <w:r w:rsidR="006E030F">
        <w:t>S</w:t>
      </w:r>
      <w:r w:rsidR="006E030F" w:rsidRPr="004E0EEA">
        <w:t xml:space="preserve">ervices </w:t>
      </w:r>
      <w:r w:rsidR="006E030F">
        <w:t>T</w:t>
      </w:r>
      <w:r w:rsidR="006E030F" w:rsidRPr="004E0EEA">
        <w:t>axes</w:t>
      </w:r>
      <w:r w:rsidR="000621F6">
        <w:t xml:space="preserve"> with </w:t>
      </w:r>
      <w:r w:rsidR="003B2D53">
        <w:t>inconsistent implementation</w:t>
      </w:r>
      <w:r w:rsidR="006E030F" w:rsidRPr="004E0EEA">
        <w:t>.</w:t>
      </w:r>
    </w:p>
    <w:p w14:paraId="07E92740" w14:textId="6DD389FE" w:rsidR="006E030F" w:rsidRDefault="0039793C" w:rsidP="006E030F">
      <w:r>
        <w:t>Finally</w:t>
      </w:r>
      <w:r w:rsidR="00A663AE">
        <w:t>, Pillar One includes new tax certainty provisions that could reduce tax disputes</w:t>
      </w:r>
      <w:r w:rsidR="0074490D">
        <w:t xml:space="preserve"> </w:t>
      </w:r>
      <w:r w:rsidR="00DB5606">
        <w:t xml:space="preserve">over time </w:t>
      </w:r>
      <w:r w:rsidR="0074490D">
        <w:t>internationally</w:t>
      </w:r>
      <w:r w:rsidR="00A527C6">
        <w:t xml:space="preserve">, potentially reducing </w:t>
      </w:r>
      <w:r w:rsidR="00C127C5">
        <w:t>costs for business and tax administrations</w:t>
      </w:r>
      <w:r w:rsidR="00A663AE">
        <w:t xml:space="preserve">. </w:t>
      </w:r>
    </w:p>
    <w:p w14:paraId="16936A1D" w14:textId="77777777" w:rsidR="006E030F" w:rsidRPr="0065624C" w:rsidRDefault="006E030F" w:rsidP="00110580">
      <w:pPr>
        <w:keepNext/>
        <w:rPr>
          <w:rFonts w:cs="Arial"/>
          <w:color w:val="4D7861" w:themeColor="accent2"/>
          <w:kern w:val="32"/>
          <w:sz w:val="24"/>
          <w:szCs w:val="26"/>
        </w:rPr>
      </w:pPr>
      <w:r w:rsidRPr="0065624C">
        <w:rPr>
          <w:rFonts w:cs="Arial"/>
          <w:color w:val="4D7861" w:themeColor="accent2"/>
          <w:kern w:val="32"/>
          <w:sz w:val="24"/>
          <w:szCs w:val="26"/>
        </w:rPr>
        <w:t>Tax Certainty</w:t>
      </w:r>
    </w:p>
    <w:p w14:paraId="305AA64A" w14:textId="6761C61D" w:rsidR="006E030F" w:rsidRDefault="006E030F" w:rsidP="00310BF4">
      <w:pPr>
        <w:pStyle w:val="Bullet"/>
        <w:numPr>
          <w:ilvl w:val="0"/>
          <w:numId w:val="0"/>
        </w:numPr>
        <w:spacing w:after="120" w:line="240" w:lineRule="auto"/>
      </w:pPr>
      <w:r w:rsidRPr="00260A71">
        <w:t xml:space="preserve">A central element of Pillar One, Amount A, is a new Tax Certainty Framework that aims to reduce compliance costs for large multinationals. </w:t>
      </w:r>
      <w:r w:rsidR="00F122B1">
        <w:t>I</w:t>
      </w:r>
      <w:r w:rsidRPr="00260A71">
        <w:t xml:space="preserve">t seeks to provide certainty over all aspects of Amount A, including the elimination of double taxation. This eliminates the risk of uncoordinated compliance activity in potentially every jurisdiction where a </w:t>
      </w:r>
      <w:r w:rsidR="00C93A96">
        <w:t xml:space="preserve">multinational </w:t>
      </w:r>
      <w:r w:rsidR="00E855D6">
        <w:t>G</w:t>
      </w:r>
      <w:r w:rsidR="00E855D6" w:rsidRPr="00260A71">
        <w:t xml:space="preserve">roup </w:t>
      </w:r>
      <w:r w:rsidRPr="00260A71">
        <w:t>has revenues, as well as a complex and time-consuming process to eliminate the resulting double taxation. The tax certainty process include</w:t>
      </w:r>
      <w:r w:rsidR="008E2D93">
        <w:t>s</w:t>
      </w:r>
      <w:r w:rsidRPr="00260A71">
        <w:t xml:space="preserve">: </w:t>
      </w:r>
    </w:p>
    <w:p w14:paraId="20AA30DD" w14:textId="77777777" w:rsidR="006E030F" w:rsidRDefault="006E030F" w:rsidP="009C440B">
      <w:pPr>
        <w:pStyle w:val="Bullet"/>
        <w:spacing w:after="120" w:line="240" w:lineRule="auto"/>
      </w:pPr>
      <w:r>
        <w:t>A Scope Certainty Review, to provide an out-of-scope Group with certainty that it is not in</w:t>
      </w:r>
      <w:r w:rsidR="008E2D93">
        <w:t xml:space="preserve"> </w:t>
      </w:r>
      <w:r>
        <w:t>scope of</w:t>
      </w:r>
      <w:r w:rsidR="008E2D93">
        <w:t xml:space="preserve"> the</w:t>
      </w:r>
      <w:r>
        <w:t xml:space="preserve"> rules for Amount A for a Period, removing the risk of unilateral compliance </w:t>
      </w:r>
      <w:proofErr w:type="gramStart"/>
      <w:r>
        <w:t>actions</w:t>
      </w:r>
      <w:r w:rsidR="00C2553D">
        <w:t>;</w:t>
      </w:r>
      <w:proofErr w:type="gramEnd"/>
    </w:p>
    <w:p w14:paraId="3C2148CE" w14:textId="77777777" w:rsidR="006E030F" w:rsidRDefault="006E030F" w:rsidP="009C440B">
      <w:pPr>
        <w:pStyle w:val="Bullet"/>
        <w:spacing w:after="120" w:line="240" w:lineRule="auto"/>
      </w:pPr>
      <w:r>
        <w:t>An Advance Certainty Review, to provide certainty over a Group’s methodology for applying specific aspects of the new rules that are specific to Amount A, which will apply for a number of future Periods</w:t>
      </w:r>
      <w:r w:rsidR="00C2553D">
        <w:t>; and</w:t>
      </w:r>
    </w:p>
    <w:p w14:paraId="63F2DB5A" w14:textId="77777777" w:rsidR="006E030F" w:rsidRDefault="006E030F" w:rsidP="009C440B">
      <w:pPr>
        <w:pStyle w:val="Bullet"/>
        <w:spacing w:after="120" w:line="240" w:lineRule="auto"/>
      </w:pPr>
      <w:r>
        <w:t>A Comprehensive Certainty Review to provide an in-scope Group with binding multilateral certainty over its application of all aspects of the new rules for a Period that has ended, building on the outcomes of any advance certainty applicable for the Period.</w:t>
      </w:r>
    </w:p>
    <w:p w14:paraId="76D607B3" w14:textId="77777777" w:rsidR="006E030F" w:rsidRDefault="006E030F" w:rsidP="00310BF4">
      <w:pPr>
        <w:pStyle w:val="Heading4"/>
        <w:spacing w:before="120" w:after="120" w:line="240" w:lineRule="auto"/>
      </w:pPr>
      <w:r>
        <w:t>Regulatory obligations on in-scope Pillar One companies</w:t>
      </w:r>
    </w:p>
    <w:p w14:paraId="551C7B7F" w14:textId="17943071" w:rsidR="00F52E4E" w:rsidRDefault="006E030F" w:rsidP="006E030F">
      <w:r>
        <w:t xml:space="preserve">Under Pillar One, the ultimate parent entity of a multinational </w:t>
      </w:r>
      <w:r w:rsidR="00EC098F">
        <w:t>g</w:t>
      </w:r>
      <w:r>
        <w:t xml:space="preserve">roup will </w:t>
      </w:r>
      <w:r w:rsidR="00F52E4E">
        <w:t xml:space="preserve">carry the </w:t>
      </w:r>
      <w:r>
        <w:t xml:space="preserve">primary </w:t>
      </w:r>
      <w:r w:rsidR="00F52E4E">
        <w:t>obligation for</w:t>
      </w:r>
      <w:r>
        <w:t xml:space="preserve"> compliance </w:t>
      </w:r>
      <w:r w:rsidR="00F52E4E">
        <w:t xml:space="preserve">with </w:t>
      </w:r>
      <w:r>
        <w:t xml:space="preserve">the new rules. </w:t>
      </w:r>
      <w:r w:rsidR="00961EE2">
        <w:t>S</w:t>
      </w:r>
      <w:r>
        <w:t xml:space="preserve">ome subsidiaries within </w:t>
      </w:r>
      <w:bookmarkEnd w:id="83"/>
      <w:r>
        <w:t>th</w:t>
      </w:r>
      <w:r w:rsidRPr="00CB4AB9">
        <w:t xml:space="preserve">e </w:t>
      </w:r>
      <w:r w:rsidR="00961EE2">
        <w:t xml:space="preserve">multinational </w:t>
      </w:r>
      <w:r w:rsidR="00912352">
        <w:t>G</w:t>
      </w:r>
      <w:r w:rsidRPr="00CB4AB9">
        <w:t xml:space="preserve">roup </w:t>
      </w:r>
      <w:r w:rsidR="00961EE2">
        <w:t>– especially those</w:t>
      </w:r>
      <w:r w:rsidRPr="00CB4AB9">
        <w:t xml:space="preserve"> entities entitled to double tax relief </w:t>
      </w:r>
      <w:r w:rsidR="00961EE2">
        <w:t xml:space="preserve">– </w:t>
      </w:r>
      <w:r w:rsidRPr="00CB4AB9">
        <w:t xml:space="preserve">will also have administrative obligations with respect </w:t>
      </w:r>
      <w:r w:rsidR="00F52E4E">
        <w:t>to</w:t>
      </w:r>
      <w:r w:rsidR="00F52E4E" w:rsidRPr="00CB4AB9">
        <w:t xml:space="preserve"> </w:t>
      </w:r>
      <w:r w:rsidRPr="00CB4AB9">
        <w:t>Pillar One</w:t>
      </w:r>
      <w:r w:rsidR="00961EE2">
        <w:t>.</w:t>
      </w:r>
      <w:r w:rsidRPr="00CB4AB9">
        <w:t xml:space="preserve"> </w:t>
      </w:r>
    </w:p>
    <w:p w14:paraId="0BF24F79" w14:textId="351DD90C" w:rsidR="006E030F" w:rsidRDefault="006E030F" w:rsidP="006E030F">
      <w:r>
        <w:t>While it is estimated that no Australian headquartered company will be in</w:t>
      </w:r>
      <w:r w:rsidR="00961EE2">
        <w:t xml:space="preserve"> </w:t>
      </w:r>
      <w:r>
        <w:t xml:space="preserve">scope initially, Australia </w:t>
      </w:r>
      <w:r w:rsidRPr="005C49B3">
        <w:t xml:space="preserve">will </w:t>
      </w:r>
      <w:r>
        <w:t>still need legislative changes</w:t>
      </w:r>
      <w:r w:rsidRPr="005C49B3">
        <w:t xml:space="preserve"> to implement Pillar One. This </w:t>
      </w:r>
      <w:r>
        <w:t>might</w:t>
      </w:r>
      <w:r w:rsidRPr="005C49B3">
        <w:t xml:space="preserve"> include legislation </w:t>
      </w:r>
      <w:r>
        <w:t xml:space="preserve">to enable </w:t>
      </w:r>
      <w:r w:rsidRPr="005C49B3">
        <w:t xml:space="preserve">the Australian Government to </w:t>
      </w:r>
      <w:r>
        <w:t>collect</w:t>
      </w:r>
      <w:r w:rsidRPr="005C49B3">
        <w:t xml:space="preserve"> the Pillar One taxation payments from foreign companies, </w:t>
      </w:r>
      <w:r>
        <w:t xml:space="preserve">who are </w:t>
      </w:r>
      <w:r w:rsidRPr="005C49B3">
        <w:t xml:space="preserve">not necessarily captured by our existing tax system. </w:t>
      </w:r>
      <w:r>
        <w:t xml:space="preserve">Tax certainty processes may also require Australia to collect and exchange taxpayer information with other tax administrations. </w:t>
      </w:r>
    </w:p>
    <w:p w14:paraId="69DF88BB" w14:textId="2B13118E" w:rsidR="006E030F" w:rsidRDefault="006E030F" w:rsidP="006E030F">
      <w:r>
        <w:t xml:space="preserve">While the precise requirements on Australian businesses will depend on their role within an in-scope group, the </w:t>
      </w:r>
      <w:r w:rsidR="00702122">
        <w:t xml:space="preserve">likely </w:t>
      </w:r>
      <w:r>
        <w:t xml:space="preserve">steps for a multinational to comply with Amount A of Pillar One are outlined below. </w:t>
      </w:r>
    </w:p>
    <w:p w14:paraId="3F8D5B7B" w14:textId="77777777" w:rsidR="006E030F" w:rsidRPr="004A65A9" w:rsidRDefault="006E030F" w:rsidP="00310BF4">
      <w:pPr>
        <w:pStyle w:val="Heading7"/>
        <w:spacing w:before="120" w:after="120" w:line="240" w:lineRule="auto"/>
      </w:pPr>
      <w:bookmarkStart w:id="84" w:name="_Toc82428788"/>
      <w:r>
        <w:t>Step One: Determine whether a multinational is in</w:t>
      </w:r>
      <w:r w:rsidR="00B1197D">
        <w:t xml:space="preserve"> </w:t>
      </w:r>
      <w:r>
        <w:t>scope</w:t>
      </w:r>
      <w:bookmarkEnd w:id="84"/>
    </w:p>
    <w:p w14:paraId="2CFB4697" w14:textId="77777777" w:rsidR="006E030F" w:rsidRDefault="006E030F" w:rsidP="006E030F">
      <w:r>
        <w:t>Multinationals would need to check whether they are in</w:t>
      </w:r>
      <w:r w:rsidR="00B1197D">
        <w:t xml:space="preserve"> </w:t>
      </w:r>
      <w:r>
        <w:t xml:space="preserve">scope, with global revenues exceeding EUR20 billion per annum and profitability to revenue ratios exceeding 10 per cent (regardless of whether they are ‘digital’ businesses or not). The scope excludes Extractives and certain Regulated Financial Services businesses. </w:t>
      </w:r>
    </w:p>
    <w:p w14:paraId="3ECFDE94" w14:textId="77777777" w:rsidR="006E030F" w:rsidRPr="004A65A9" w:rsidRDefault="006E030F" w:rsidP="00310BF4">
      <w:pPr>
        <w:pStyle w:val="Heading7"/>
        <w:spacing w:before="120" w:after="120" w:line="240" w:lineRule="auto"/>
      </w:pPr>
      <w:bookmarkStart w:id="85" w:name="_Toc82428789"/>
      <w:r>
        <w:t>Step Two: Determine the tax base</w:t>
      </w:r>
      <w:bookmarkEnd w:id="85"/>
    </w:p>
    <w:p w14:paraId="479AB7CB" w14:textId="77777777" w:rsidR="006E030F" w:rsidRDefault="006E030F" w:rsidP="006E030F">
      <w:r>
        <w:t xml:space="preserve">In-scope multinationals would then determine their total global profit, by consolidating all the financial accounts of foreign subsidiaries, with certain adjustments. </w:t>
      </w:r>
    </w:p>
    <w:p w14:paraId="1589D365" w14:textId="77777777" w:rsidR="006E030F" w:rsidRPr="004A65A9" w:rsidRDefault="006E030F" w:rsidP="00310BF4">
      <w:pPr>
        <w:pStyle w:val="Heading7"/>
        <w:spacing w:before="120" w:after="120" w:line="240" w:lineRule="auto"/>
      </w:pPr>
      <w:bookmarkStart w:id="86" w:name="_Toc82428790"/>
      <w:r w:rsidRPr="004A65A9">
        <w:lastRenderedPageBreak/>
        <w:t xml:space="preserve">Step </w:t>
      </w:r>
      <w:r>
        <w:t>T</w:t>
      </w:r>
      <w:r w:rsidRPr="004A65A9">
        <w:t>hree: Determine the quantum</w:t>
      </w:r>
      <w:bookmarkEnd w:id="86"/>
      <w:r w:rsidRPr="004A65A9">
        <w:t xml:space="preserve"> </w:t>
      </w:r>
    </w:p>
    <w:p w14:paraId="637F8BB4" w14:textId="77777777" w:rsidR="006E030F" w:rsidRDefault="006E030F" w:rsidP="006E030F">
      <w:r>
        <w:t xml:space="preserve">In-scope multinationals would then identify their global profits in excess of the 10 per cent profitability threshold (known as ‘residual profits’) and identify 25 per cent of these residual profits, being their ‘Amount A’. </w:t>
      </w:r>
    </w:p>
    <w:p w14:paraId="2F1F5334" w14:textId="77777777" w:rsidR="006E030F" w:rsidRDefault="006E030F" w:rsidP="00310BF4">
      <w:pPr>
        <w:pStyle w:val="Heading7"/>
        <w:spacing w:before="120" w:after="120" w:line="240" w:lineRule="auto"/>
      </w:pPr>
      <w:bookmarkStart w:id="87" w:name="_Toc82428791"/>
      <w:r w:rsidRPr="004A65A9">
        <w:t>Step Four: Attribute revenue sourcing</w:t>
      </w:r>
      <w:bookmarkEnd w:id="87"/>
    </w:p>
    <w:p w14:paraId="5FC7D16C" w14:textId="77777777" w:rsidR="006E030F" w:rsidRDefault="006E030F" w:rsidP="006E030F">
      <w:pPr>
        <w:rPr>
          <w:rFonts w:cs="Calibri Light"/>
        </w:rPr>
      </w:pPr>
      <w:r w:rsidRPr="00360AC4">
        <w:rPr>
          <w:rFonts w:cs="Calibri Light"/>
        </w:rPr>
        <w:t xml:space="preserve">The taxing right for the </w:t>
      </w:r>
      <w:r>
        <w:rPr>
          <w:rFonts w:cs="Calibri Light"/>
        </w:rPr>
        <w:t>Amount A</w:t>
      </w:r>
      <w:r w:rsidRPr="00360AC4">
        <w:rPr>
          <w:rFonts w:cs="Calibri Light"/>
        </w:rPr>
        <w:t xml:space="preserve"> profit would then be allocated by the multinational proportionally to the </w:t>
      </w:r>
      <w:r>
        <w:rPr>
          <w:rFonts w:cs="Calibri Light"/>
        </w:rPr>
        <w:t>jurisdictions</w:t>
      </w:r>
      <w:r w:rsidRPr="00360AC4">
        <w:rPr>
          <w:rFonts w:cs="Calibri Light"/>
        </w:rPr>
        <w:t xml:space="preserve"> where the goods and services were consumed (the ‘market </w:t>
      </w:r>
      <w:r w:rsidR="000136AD">
        <w:rPr>
          <w:rFonts w:cs="Calibri Light"/>
        </w:rPr>
        <w:t>jurisdictions</w:t>
      </w:r>
      <w:r w:rsidR="000136AD" w:rsidRPr="00360AC4">
        <w:rPr>
          <w:rFonts w:cs="Calibri Light"/>
        </w:rPr>
        <w:t>’</w:t>
      </w:r>
      <w:r w:rsidRPr="00360AC4">
        <w:rPr>
          <w:rFonts w:cs="Calibri Light"/>
        </w:rPr>
        <w:t xml:space="preserve">), providing sales meet the nexus test of </w:t>
      </w:r>
      <w:r>
        <w:rPr>
          <w:rFonts w:cs="Calibri Light"/>
        </w:rPr>
        <w:t>EUR</w:t>
      </w:r>
      <w:r w:rsidRPr="00360AC4">
        <w:rPr>
          <w:rFonts w:cs="Calibri Light"/>
        </w:rPr>
        <w:t xml:space="preserve">1 million within the </w:t>
      </w:r>
      <w:r w:rsidR="00C46ED3">
        <w:rPr>
          <w:rFonts w:cs="Calibri Light"/>
        </w:rPr>
        <w:t>jurisdiction</w:t>
      </w:r>
      <w:r w:rsidRPr="00360AC4">
        <w:rPr>
          <w:rFonts w:cs="Calibri Light"/>
        </w:rPr>
        <w:t>, with</w:t>
      </w:r>
      <w:r>
        <w:rPr>
          <w:rFonts w:cs="Calibri Light"/>
        </w:rPr>
        <w:t xml:space="preserve"> a</w:t>
      </w:r>
      <w:r w:rsidRPr="00360AC4">
        <w:rPr>
          <w:rFonts w:cs="Calibri Light"/>
        </w:rPr>
        <w:t xml:space="preserve"> lower threshold for developing countries. The market </w:t>
      </w:r>
      <w:r w:rsidR="00C46ED3">
        <w:rPr>
          <w:rFonts w:cs="Calibri Light"/>
        </w:rPr>
        <w:t>jurisdictions</w:t>
      </w:r>
      <w:r w:rsidR="00C46ED3" w:rsidRPr="00360AC4">
        <w:rPr>
          <w:rFonts w:cs="Calibri Light"/>
        </w:rPr>
        <w:t xml:space="preserve"> </w:t>
      </w:r>
      <w:r w:rsidRPr="00360AC4">
        <w:rPr>
          <w:rFonts w:cs="Calibri Light"/>
        </w:rPr>
        <w:t xml:space="preserve">would then apply their domestic corporate tax rate </w:t>
      </w:r>
      <w:r>
        <w:rPr>
          <w:rFonts w:cs="Calibri Light"/>
        </w:rPr>
        <w:t>to</w:t>
      </w:r>
      <w:r w:rsidRPr="00360AC4">
        <w:rPr>
          <w:rFonts w:cs="Calibri Light"/>
        </w:rPr>
        <w:t xml:space="preserve"> </w:t>
      </w:r>
      <w:r>
        <w:rPr>
          <w:rFonts w:cs="Calibri Light"/>
        </w:rPr>
        <w:t>the share of the</w:t>
      </w:r>
      <w:r w:rsidRPr="00360AC4">
        <w:rPr>
          <w:rFonts w:cs="Calibri Light"/>
        </w:rPr>
        <w:t xml:space="preserve"> </w:t>
      </w:r>
      <w:r>
        <w:rPr>
          <w:rFonts w:cs="Calibri Light"/>
        </w:rPr>
        <w:t>Amount A</w:t>
      </w:r>
      <w:r w:rsidRPr="00360AC4">
        <w:rPr>
          <w:rFonts w:cs="Calibri Light"/>
        </w:rPr>
        <w:t xml:space="preserve"> profit allocated to them</w:t>
      </w:r>
      <w:r>
        <w:rPr>
          <w:rFonts w:cs="Calibri Light"/>
        </w:rPr>
        <w:t>,</w:t>
      </w:r>
      <w:r w:rsidRPr="00360AC4">
        <w:rPr>
          <w:rFonts w:cs="Calibri Light"/>
        </w:rPr>
        <w:t xml:space="preserve"> receiv</w:t>
      </w:r>
      <w:r>
        <w:rPr>
          <w:rFonts w:cs="Calibri Light"/>
        </w:rPr>
        <w:t>ing</w:t>
      </w:r>
      <w:r w:rsidRPr="00360AC4">
        <w:rPr>
          <w:rFonts w:cs="Calibri Light"/>
        </w:rPr>
        <w:t xml:space="preserve"> taxation revenue</w:t>
      </w:r>
      <w:r>
        <w:rPr>
          <w:rFonts w:cs="Calibri Light"/>
        </w:rPr>
        <w:t xml:space="preserve"> on this basis</w:t>
      </w:r>
      <w:r w:rsidRPr="00360AC4">
        <w:rPr>
          <w:rFonts w:cs="Calibri Light"/>
        </w:rPr>
        <w:t>.</w:t>
      </w:r>
      <w:r>
        <w:rPr>
          <w:rFonts w:cs="Calibri Light"/>
        </w:rPr>
        <w:t xml:space="preserve"> The allocation to each </w:t>
      </w:r>
      <w:r w:rsidR="00C46ED3">
        <w:rPr>
          <w:rFonts w:cs="Calibri Light"/>
        </w:rPr>
        <w:t xml:space="preserve">jurisdiction </w:t>
      </w:r>
      <w:r>
        <w:rPr>
          <w:rFonts w:cs="Calibri Light"/>
        </w:rPr>
        <w:t>is subject to</w:t>
      </w:r>
      <w:r w:rsidRPr="00360AC4">
        <w:rPr>
          <w:rFonts w:cs="Calibri Light"/>
        </w:rPr>
        <w:t xml:space="preserve"> a </w:t>
      </w:r>
      <w:r w:rsidR="00C46ED3">
        <w:rPr>
          <w:rFonts w:cs="Calibri Light"/>
        </w:rPr>
        <w:t>M</w:t>
      </w:r>
      <w:r w:rsidRPr="00360AC4">
        <w:rPr>
          <w:rFonts w:cs="Calibri Light"/>
        </w:rPr>
        <w:t xml:space="preserve">arketing and </w:t>
      </w:r>
      <w:r w:rsidR="00C46ED3">
        <w:rPr>
          <w:rFonts w:cs="Calibri Light"/>
        </w:rPr>
        <w:t>D</w:t>
      </w:r>
      <w:r w:rsidRPr="00360AC4">
        <w:rPr>
          <w:rFonts w:cs="Calibri Light"/>
        </w:rPr>
        <w:t xml:space="preserve">istribution </w:t>
      </w:r>
      <w:r w:rsidR="00C46ED3">
        <w:rPr>
          <w:rFonts w:cs="Calibri Light"/>
        </w:rPr>
        <w:t>P</w:t>
      </w:r>
      <w:r w:rsidRPr="00360AC4">
        <w:rPr>
          <w:rFonts w:cs="Calibri Light"/>
        </w:rPr>
        <w:t>rofit</w:t>
      </w:r>
      <w:r w:rsidR="00C46ED3">
        <w:rPr>
          <w:rFonts w:cs="Calibri Light"/>
        </w:rPr>
        <w:t>s</w:t>
      </w:r>
      <w:r w:rsidRPr="00360AC4">
        <w:rPr>
          <w:rFonts w:cs="Calibri Light"/>
        </w:rPr>
        <w:t xml:space="preserve"> </w:t>
      </w:r>
      <w:r w:rsidR="00C46ED3">
        <w:rPr>
          <w:rFonts w:cs="Calibri Light"/>
        </w:rPr>
        <w:t>S</w:t>
      </w:r>
      <w:r w:rsidRPr="00360AC4">
        <w:rPr>
          <w:rFonts w:cs="Calibri Light"/>
        </w:rPr>
        <w:t xml:space="preserve">afe </w:t>
      </w:r>
      <w:r w:rsidR="00C46ED3">
        <w:rPr>
          <w:rFonts w:cs="Calibri Light"/>
        </w:rPr>
        <w:t>H</w:t>
      </w:r>
      <w:r w:rsidRPr="00360AC4">
        <w:rPr>
          <w:rFonts w:cs="Calibri Light"/>
        </w:rPr>
        <w:t xml:space="preserve">arbour, which may limit some of the reallocation of taxing rights where the </w:t>
      </w:r>
      <w:r>
        <w:rPr>
          <w:rFonts w:cs="Calibri Light"/>
        </w:rPr>
        <w:t>multinational</w:t>
      </w:r>
      <w:r w:rsidRPr="00360AC4">
        <w:rPr>
          <w:rFonts w:cs="Calibri Light"/>
        </w:rPr>
        <w:t xml:space="preserve"> already </w:t>
      </w:r>
      <w:r>
        <w:rPr>
          <w:rFonts w:cs="Calibri Light"/>
        </w:rPr>
        <w:t>has a profitable taxable presence</w:t>
      </w:r>
      <w:r w:rsidRPr="00360AC4">
        <w:rPr>
          <w:rFonts w:cs="Calibri Light"/>
        </w:rPr>
        <w:t xml:space="preserve"> within a </w:t>
      </w:r>
      <w:r w:rsidR="00C46ED3">
        <w:rPr>
          <w:rFonts w:cs="Calibri Light"/>
        </w:rPr>
        <w:t>jurisdiction</w:t>
      </w:r>
      <w:r w:rsidRPr="00360AC4">
        <w:rPr>
          <w:rFonts w:cs="Calibri Light"/>
        </w:rPr>
        <w:t>.</w:t>
      </w:r>
    </w:p>
    <w:p w14:paraId="0FBA0CC8" w14:textId="77777777" w:rsidR="006E030F" w:rsidRDefault="006E030F" w:rsidP="00310BF4">
      <w:pPr>
        <w:pStyle w:val="Heading7"/>
        <w:spacing w:before="120" w:after="120" w:line="240" w:lineRule="auto"/>
      </w:pPr>
      <w:r w:rsidRPr="004A65A9">
        <w:t xml:space="preserve">Step </w:t>
      </w:r>
      <w:r>
        <w:t>Five</w:t>
      </w:r>
      <w:r w:rsidRPr="004A65A9">
        <w:t xml:space="preserve">: </w:t>
      </w:r>
      <w:r>
        <w:t>Eliminate double taxation</w:t>
      </w:r>
    </w:p>
    <w:p w14:paraId="6F890163" w14:textId="15953866" w:rsidR="006E030F" w:rsidRDefault="006E030F" w:rsidP="008C5B03">
      <w:r w:rsidRPr="009D7058">
        <w:t xml:space="preserve">Double taxation of profit allocated to market jurisdictions will be relieved </w:t>
      </w:r>
      <w:r>
        <w:t xml:space="preserve">by jurisdictions with the </w:t>
      </w:r>
      <w:r w:rsidR="009B45DD">
        <w:t xml:space="preserve">highest </w:t>
      </w:r>
      <w:r>
        <w:t>amount of residual profit</w:t>
      </w:r>
      <w:r w:rsidR="009B45DD">
        <w:t>s</w:t>
      </w:r>
      <w:r>
        <w:t xml:space="preserve">, according to tiers which are </w:t>
      </w:r>
      <w:r w:rsidR="009B45DD">
        <w:t xml:space="preserve">currently </w:t>
      </w:r>
      <w:r>
        <w:t xml:space="preserve">being negotiated. </w:t>
      </w:r>
      <w:r w:rsidR="007A043A">
        <w:t>Negotiations will examine the form of t</w:t>
      </w:r>
      <w:r>
        <w:t>ax relief</w:t>
      </w:r>
      <w:r w:rsidR="007A043A">
        <w:t xml:space="preserve">, which could be in the </w:t>
      </w:r>
      <w:r w:rsidR="00CC50AA">
        <w:t>form of</w:t>
      </w:r>
      <w:r>
        <w:t xml:space="preserve"> either a tax exemption or tax credit.</w:t>
      </w:r>
    </w:p>
    <w:p w14:paraId="76071DA9" w14:textId="77777777" w:rsidR="006E030F" w:rsidRPr="004C221A" w:rsidRDefault="006E030F" w:rsidP="00310BF4">
      <w:pPr>
        <w:pStyle w:val="Heading4"/>
        <w:spacing w:before="120" w:after="120" w:line="240" w:lineRule="auto"/>
      </w:pPr>
      <w:r w:rsidRPr="004C221A">
        <w:t xml:space="preserve">Compliance </w:t>
      </w:r>
      <w:r>
        <w:t>c</w:t>
      </w:r>
      <w:r w:rsidRPr="004C221A">
        <w:t>osts</w:t>
      </w:r>
      <w:r>
        <w:t xml:space="preserve"> on out-of-scope businesses </w:t>
      </w:r>
    </w:p>
    <w:p w14:paraId="0A09CF6A" w14:textId="18A1634B" w:rsidR="006E030F" w:rsidRDefault="00EF7DBD" w:rsidP="006E030F">
      <w:r>
        <w:t>As noted above, even</w:t>
      </w:r>
      <w:r w:rsidR="00F5236B">
        <w:t xml:space="preserve"> if a multinational </w:t>
      </w:r>
      <w:r w:rsidR="000F7301">
        <w:t>ends up</w:t>
      </w:r>
      <w:r w:rsidR="006E030F">
        <w:t xml:space="preserve"> not </w:t>
      </w:r>
      <w:r w:rsidR="000F7301">
        <w:t xml:space="preserve">being </w:t>
      </w:r>
      <w:r w:rsidR="006E030F">
        <w:t>in</w:t>
      </w:r>
      <w:r w:rsidR="00C91DF3">
        <w:t xml:space="preserve"> </w:t>
      </w:r>
      <w:r w:rsidR="006E030F">
        <w:t xml:space="preserve">scope of Pillar One, it </w:t>
      </w:r>
      <w:r w:rsidR="00F5236B">
        <w:t>may</w:t>
      </w:r>
      <w:r w:rsidR="006E030F">
        <w:t xml:space="preserve"> still </w:t>
      </w:r>
      <w:r w:rsidR="000F7301">
        <w:t>create</w:t>
      </w:r>
      <w:r w:rsidR="006E030F">
        <w:t xml:space="preserve"> a compliance </w:t>
      </w:r>
      <w:r w:rsidR="000F7301">
        <w:t xml:space="preserve">burden for them to check how close they are to revenue and profitability thresholds. </w:t>
      </w:r>
      <w:r w:rsidR="006E030F">
        <w:t>To make this easier</w:t>
      </w:r>
      <w:r w:rsidR="00C91DF3">
        <w:t>,</w:t>
      </w:r>
      <w:r w:rsidR="006E030F">
        <w:t xml:space="preserve"> it is likely global accounting firms will create guidance and tools (like a smart spreadsheet or software package) in order to help advise multinationals as to whether they are in</w:t>
      </w:r>
      <w:r w:rsidR="00C91DF3">
        <w:t xml:space="preserve"> </w:t>
      </w:r>
      <w:r w:rsidR="006E030F">
        <w:t xml:space="preserve">scope. </w:t>
      </w:r>
      <w:r w:rsidR="00C91DF3">
        <w:t>Further, it is expected that</w:t>
      </w:r>
      <w:r w:rsidR="006E030F">
        <w:t xml:space="preserve"> the tax certainty process would help reduce some of th</w:t>
      </w:r>
      <w:r w:rsidR="00C91DF3">
        <w:t>e</w:t>
      </w:r>
      <w:r w:rsidR="006E030F">
        <w:t xml:space="preserve"> costs associated with determining scope</w:t>
      </w:r>
      <w:r w:rsidR="006E030F" w:rsidRPr="00C03AB8">
        <w:t>.</w:t>
      </w:r>
      <w:r w:rsidR="006E030F">
        <w:t xml:space="preserve"> It is presumed that large multinationals would already have global accounting firms contractually engaged, and that they would extend their existing contractual services to receive top-up specialist advice on Pillar One scope. The multinationals’ employees will also need to take time to gather data for the purposes of determining scope, as well as briefing their Boards on the Pillar One design and scope matters. </w:t>
      </w:r>
    </w:p>
    <w:tbl>
      <w:tblPr>
        <w:tblpPr w:leftFromText="180" w:rightFromText="180" w:vertAnchor="text" w:horzAnchor="margin" w:tblpY="151"/>
        <w:tblW w:w="5000" w:type="pct"/>
        <w:shd w:val="clear" w:color="auto" w:fill="FEF8F4"/>
        <w:tblCellMar>
          <w:top w:w="227" w:type="dxa"/>
          <w:left w:w="227" w:type="dxa"/>
          <w:bottom w:w="227" w:type="dxa"/>
          <w:right w:w="227" w:type="dxa"/>
        </w:tblCellMar>
        <w:tblLook w:val="04A0" w:firstRow="1" w:lastRow="0" w:firstColumn="1" w:lastColumn="0" w:noHBand="0" w:noVBand="1"/>
      </w:tblPr>
      <w:tblGrid>
        <w:gridCol w:w="9070"/>
      </w:tblGrid>
      <w:tr w:rsidR="006E030F" w14:paraId="510FEF9A" w14:textId="77777777">
        <w:tc>
          <w:tcPr>
            <w:tcW w:w="5000" w:type="pct"/>
            <w:shd w:val="clear" w:color="auto" w:fill="FEF8F4"/>
          </w:tcPr>
          <w:p w14:paraId="3566C217" w14:textId="026AFD9B" w:rsidR="006E030F" w:rsidRDefault="007A043A" w:rsidP="00310BF4">
            <w:pPr>
              <w:pStyle w:val="TextOpensans"/>
              <w:spacing w:before="120" w:after="120" w:line="240" w:lineRule="auto"/>
            </w:pPr>
            <w:r w:rsidRPr="007A043A">
              <w:rPr>
                <w:rFonts w:ascii="Calibri Light" w:eastAsia="Times New Roman" w:hAnsi="Calibri Light" w:cs="Times New Roman"/>
                <w:szCs w:val="20"/>
                <w:lang w:eastAsia="en-AU"/>
              </w:rPr>
              <w:t xml:space="preserve">While no Australian multinationals are expected to be in scope of Pillar One at this stage, top Australian-incorporated multinationals will likely want to seek assurances that they are out of scope, as well as get a general understanding of the Pillar One regime. </w:t>
            </w:r>
            <w:r w:rsidR="00030A8E">
              <w:rPr>
                <w:rFonts w:ascii="Calibri Light" w:eastAsia="Times New Roman" w:hAnsi="Calibri Light" w:cs="Times New Roman"/>
                <w:szCs w:val="20"/>
                <w:lang w:eastAsia="en-AU"/>
              </w:rPr>
              <w:t xml:space="preserve">This </w:t>
            </w:r>
            <w:r w:rsidR="00BA68ED">
              <w:rPr>
                <w:rFonts w:ascii="Calibri Light" w:eastAsia="Times New Roman" w:hAnsi="Calibri Light" w:cs="Times New Roman"/>
                <w:szCs w:val="20"/>
                <w:lang w:eastAsia="en-AU"/>
              </w:rPr>
              <w:t xml:space="preserve">may involve:   </w:t>
            </w:r>
          </w:p>
          <w:p w14:paraId="4230C91E" w14:textId="77777777" w:rsidR="006E030F" w:rsidRDefault="006E030F" w:rsidP="009C440B">
            <w:pPr>
              <w:pStyle w:val="Bullet"/>
              <w:spacing w:after="120" w:line="240" w:lineRule="auto"/>
            </w:pPr>
            <w:r w:rsidRPr="00550B8D">
              <w:t>Upfront cost</w:t>
            </w:r>
            <w:r w:rsidR="00030A8E">
              <w:t>s</w:t>
            </w:r>
            <w:r w:rsidRPr="00550B8D">
              <w:t xml:space="preserve"> to receive external specialist advice to understand Pillar One </w:t>
            </w:r>
            <w:proofErr w:type="gramStart"/>
            <w:r w:rsidR="00765FA8">
              <w:t>rules</w:t>
            </w:r>
            <w:r w:rsidR="00611A28">
              <w:t>;</w:t>
            </w:r>
            <w:proofErr w:type="gramEnd"/>
          </w:p>
          <w:p w14:paraId="64A058CA" w14:textId="77777777" w:rsidR="006E030F" w:rsidRDefault="006E030F" w:rsidP="009C440B">
            <w:pPr>
              <w:pStyle w:val="Bullet"/>
              <w:spacing w:after="120" w:line="240" w:lineRule="auto"/>
            </w:pPr>
            <w:r>
              <w:t>Upfront cost</w:t>
            </w:r>
            <w:r w:rsidR="00030A8E">
              <w:t>s</w:t>
            </w:r>
            <w:r>
              <w:t xml:space="preserve"> to </w:t>
            </w:r>
            <w:r w:rsidR="002511CD">
              <w:t xml:space="preserve">make system changes to </w:t>
            </w:r>
            <w:r>
              <w:t>gather data</w:t>
            </w:r>
            <w:r w:rsidR="002511CD">
              <w:t xml:space="preserve"> in-line with Pillar One rules</w:t>
            </w:r>
            <w:r w:rsidR="00611A28">
              <w:t>; and</w:t>
            </w:r>
          </w:p>
          <w:p w14:paraId="767B35DD" w14:textId="77777777" w:rsidR="006E030F" w:rsidRPr="00765FA8" w:rsidRDefault="006E030F" w:rsidP="009C440B">
            <w:pPr>
              <w:pStyle w:val="Bullet"/>
              <w:spacing w:after="120" w:line="240" w:lineRule="auto"/>
            </w:pPr>
            <w:r>
              <w:t>Ongoing cost</w:t>
            </w:r>
            <w:r w:rsidR="00030A8E">
              <w:t>s</w:t>
            </w:r>
            <w:r>
              <w:t xml:space="preserve"> </w:t>
            </w:r>
            <w:r w:rsidR="002511CD">
              <w:t>to calculate their global revenue and profit ratios</w:t>
            </w:r>
            <w:r w:rsidR="00765FA8">
              <w:t xml:space="preserve"> </w:t>
            </w:r>
            <w:r w:rsidR="002511CD">
              <w:t xml:space="preserve">in-line with Pillar One rules. </w:t>
            </w:r>
            <w:r w:rsidR="00163972">
              <w:rPr>
                <w:rFonts w:cs="Calibri Light"/>
              </w:rPr>
              <w:t xml:space="preserve"> </w:t>
            </w:r>
          </w:p>
          <w:p w14:paraId="6FCE627B" w14:textId="712FDA33" w:rsidR="00765FA8" w:rsidRDefault="005A41A0" w:rsidP="00310BF4">
            <w:pPr>
              <w:pStyle w:val="Bullet"/>
              <w:numPr>
                <w:ilvl w:val="0"/>
                <w:numId w:val="0"/>
              </w:numPr>
              <w:spacing w:after="120" w:line="240" w:lineRule="auto"/>
            </w:pPr>
            <w:r>
              <w:rPr>
                <w:rFonts w:cs="Calibri Light"/>
              </w:rPr>
              <w:t>While not factored into Australian compliance cost calculations, f</w:t>
            </w:r>
            <w:r w:rsidR="00765FA8">
              <w:rPr>
                <w:rFonts w:cs="Calibri Light"/>
              </w:rPr>
              <w:t>oreign</w:t>
            </w:r>
            <w:r w:rsidR="00611A28">
              <w:rPr>
                <w:rFonts w:cs="Calibri Light"/>
              </w:rPr>
              <w:t>-</w:t>
            </w:r>
            <w:r w:rsidR="00765FA8">
              <w:rPr>
                <w:rFonts w:cs="Calibri Light"/>
              </w:rPr>
              <w:t xml:space="preserve">headquartered multinationals operating in </w:t>
            </w:r>
            <w:r w:rsidR="00CC50AA">
              <w:rPr>
                <w:rFonts w:cs="Calibri Light"/>
              </w:rPr>
              <w:t>Australia can</w:t>
            </w:r>
            <w:r w:rsidR="00765FA8">
              <w:rPr>
                <w:rFonts w:cs="Calibri Light"/>
              </w:rPr>
              <w:t xml:space="preserve"> expect lower compliance costs from</w:t>
            </w:r>
            <w:r w:rsidR="00167A7B">
              <w:rPr>
                <w:rFonts w:cs="Calibri Light"/>
              </w:rPr>
              <w:t xml:space="preserve"> some aspects of Pillar One including</w:t>
            </w:r>
            <w:r w:rsidR="00765FA8">
              <w:rPr>
                <w:rFonts w:cs="Calibri Light"/>
              </w:rPr>
              <w:t>:</w:t>
            </w:r>
          </w:p>
          <w:p w14:paraId="5BA50AFC" w14:textId="77777777" w:rsidR="006E030F" w:rsidRPr="006F1249" w:rsidRDefault="006E030F" w:rsidP="009C440B">
            <w:pPr>
              <w:pStyle w:val="Bullet"/>
              <w:tabs>
                <w:tab w:val="num" w:pos="623"/>
              </w:tabs>
              <w:spacing w:after="120" w:line="240" w:lineRule="auto"/>
            </w:pPr>
            <w:r w:rsidRPr="00765FA8">
              <w:rPr>
                <w:rFonts w:cs="Calibri Light"/>
              </w:rPr>
              <w:lastRenderedPageBreak/>
              <w:t>Reduction in costs from the tax certainty provisions under Pillar One, which have the potential to reduce the costs associated with resolving tax disputes;</w:t>
            </w:r>
            <w:r w:rsidR="00765FA8">
              <w:rPr>
                <w:rFonts w:cs="Calibri Light"/>
              </w:rPr>
              <w:t xml:space="preserve"> and</w:t>
            </w:r>
          </w:p>
          <w:p w14:paraId="65A33A97" w14:textId="5A1CBE8D" w:rsidR="006E030F" w:rsidRPr="00206551" w:rsidRDefault="00765FA8" w:rsidP="009C440B">
            <w:pPr>
              <w:pStyle w:val="Bullet"/>
              <w:tabs>
                <w:tab w:val="num" w:pos="623"/>
              </w:tabs>
              <w:spacing w:after="120" w:line="240" w:lineRule="auto"/>
            </w:pPr>
            <w:r>
              <w:rPr>
                <w:rFonts w:cs="Calibri Light"/>
              </w:rPr>
              <w:t xml:space="preserve">Potential </w:t>
            </w:r>
            <w:r w:rsidR="00167A7B">
              <w:rPr>
                <w:rFonts w:cs="Calibri Light"/>
              </w:rPr>
              <w:t>transfer pricing simplification under Amount B</w:t>
            </w:r>
            <w:r>
              <w:rPr>
                <w:rFonts w:cs="Calibri Light"/>
              </w:rPr>
              <w:t xml:space="preserve">. </w:t>
            </w:r>
          </w:p>
          <w:p w14:paraId="420B92EA" w14:textId="6EEF8B62" w:rsidR="006E030F" w:rsidRPr="000D1284" w:rsidRDefault="00C239FA" w:rsidP="00310BF4">
            <w:pPr>
              <w:pStyle w:val="Bullet"/>
              <w:numPr>
                <w:ilvl w:val="0"/>
                <w:numId w:val="0"/>
              </w:numPr>
              <w:tabs>
                <w:tab w:val="num" w:pos="623"/>
              </w:tabs>
              <w:spacing w:after="120" w:line="240" w:lineRule="auto"/>
            </w:pPr>
            <w:r>
              <w:t>Using the Office of Impact Analysis’ Regulatory Burden Framework</w:t>
            </w:r>
            <w:r w:rsidR="00494516">
              <w:t>,</w:t>
            </w:r>
            <w:r>
              <w:t xml:space="preserve"> the average annual regulatory burden is estimated </w:t>
            </w:r>
            <w:r w:rsidR="008D5E98">
              <w:t xml:space="preserve">to </w:t>
            </w:r>
            <w:r w:rsidR="00494516">
              <w:t xml:space="preserve">be </w:t>
            </w:r>
            <w:r>
              <w:t xml:space="preserve">$0.7 million. For clarity this </w:t>
            </w:r>
            <w:r w:rsidR="008D5E98">
              <w:t xml:space="preserve">regulatory </w:t>
            </w:r>
            <w:r w:rsidR="004B461E">
              <w:t xml:space="preserve">cost </w:t>
            </w:r>
            <w:r>
              <w:t xml:space="preserve">reflects </w:t>
            </w:r>
            <w:r w:rsidR="004B461E">
              <w:t xml:space="preserve">only </w:t>
            </w:r>
            <w:r>
              <w:t xml:space="preserve">the cost to </w:t>
            </w:r>
            <w:r w:rsidR="004B461E">
              <w:t xml:space="preserve">a small number of </w:t>
            </w:r>
            <w:r>
              <w:t>Australian businesses in confirming they are not in scope</w:t>
            </w:r>
            <w:r w:rsidR="004B461E">
              <w:t xml:space="preserve"> of Amount A.</w:t>
            </w:r>
            <w:r w:rsidR="008D5E98">
              <w:t xml:space="preserve"> </w:t>
            </w:r>
            <w:r w:rsidR="004B461E">
              <w:t>T</w:t>
            </w:r>
            <w:r w:rsidR="008D5E98">
              <w:t>he</w:t>
            </w:r>
            <w:r w:rsidR="004B461E">
              <w:t xml:space="preserve"> expected</w:t>
            </w:r>
            <w:r w:rsidR="008D5E98">
              <w:t xml:space="preserve"> decreased cost</w:t>
            </w:r>
            <w:r w:rsidR="00795C12">
              <w:t>s</w:t>
            </w:r>
            <w:r w:rsidR="008D5E98">
              <w:t xml:space="preserve"> from </w:t>
            </w:r>
            <w:r w:rsidR="00494516">
              <w:t>foreign</w:t>
            </w:r>
            <w:r w:rsidR="00D21BD0">
              <w:t>-</w:t>
            </w:r>
            <w:r w:rsidR="008D5E98">
              <w:t xml:space="preserve">headquartered multinationals not needing to comply with a </w:t>
            </w:r>
            <w:r w:rsidR="00795C12">
              <w:t xml:space="preserve">theoretical Australian </w:t>
            </w:r>
            <w:r w:rsidR="008D5E98">
              <w:t>D</w:t>
            </w:r>
            <w:r w:rsidR="00D97AB9">
              <w:t xml:space="preserve">igital </w:t>
            </w:r>
            <w:r w:rsidR="008D5E98">
              <w:t>S</w:t>
            </w:r>
            <w:r w:rsidR="00D97AB9">
              <w:t xml:space="preserve">ervices </w:t>
            </w:r>
            <w:r w:rsidR="008D5E98">
              <w:t>T</w:t>
            </w:r>
            <w:r w:rsidR="00D97AB9">
              <w:t>ax</w:t>
            </w:r>
            <w:r w:rsidR="008D5E98">
              <w:t xml:space="preserve"> </w:t>
            </w:r>
            <w:r w:rsidR="00795C12">
              <w:t>(as such a tax is banned under Pillar One)</w:t>
            </w:r>
            <w:r w:rsidR="0098287C">
              <w:t xml:space="preserve">, </w:t>
            </w:r>
            <w:r w:rsidR="008D5E98">
              <w:t>reduced tax disputes with the ATO</w:t>
            </w:r>
            <w:r w:rsidR="00795C12">
              <w:t xml:space="preserve"> from new tax certainty process</w:t>
            </w:r>
            <w:r w:rsidR="002F6B1C">
              <w:t>es</w:t>
            </w:r>
            <w:r w:rsidR="0098287C">
              <w:t>, and simplified transfer pricing under Amount B have not been quantified</w:t>
            </w:r>
            <w:r w:rsidR="008D5E98">
              <w:t>.</w:t>
            </w:r>
            <w:r>
              <w:t xml:space="preserve"> </w:t>
            </w:r>
            <w:r w:rsidR="00795C12">
              <w:t xml:space="preserve">The remaining regulatory burden imposed on </w:t>
            </w:r>
            <w:r w:rsidR="00795C12" w:rsidDel="00D21BD0">
              <w:t>foreign</w:t>
            </w:r>
            <w:r w:rsidR="00D21BD0">
              <w:t>-</w:t>
            </w:r>
            <w:r w:rsidR="00795C12">
              <w:t>headquartered multinationals that are in scope of Pillar One is presumed to be imposed by their home country (not Australia)</w:t>
            </w:r>
            <w:r w:rsidR="00480FFE">
              <w:t xml:space="preserve"> and would be unchanged </w:t>
            </w:r>
            <w:r w:rsidR="003020D9">
              <w:t>regardless of whether Australia implement</w:t>
            </w:r>
            <w:r w:rsidR="0098287C">
              <w:t>s</w:t>
            </w:r>
            <w:r w:rsidR="003020D9">
              <w:t xml:space="preserve"> Pillar One</w:t>
            </w:r>
            <w:r w:rsidR="00795C12">
              <w:t xml:space="preserve">. </w:t>
            </w:r>
          </w:p>
        </w:tc>
      </w:tr>
    </w:tbl>
    <w:p w14:paraId="6B67C38E" w14:textId="77777777" w:rsidR="00C30944" w:rsidRDefault="00C30944" w:rsidP="00310BF4">
      <w:pPr>
        <w:pStyle w:val="Heading2"/>
        <w:spacing w:before="120" w:line="240" w:lineRule="auto"/>
      </w:pPr>
      <w:r>
        <w:lastRenderedPageBreak/>
        <w:t>Impact on</w:t>
      </w:r>
      <w:r w:rsidRPr="004461F2">
        <w:t xml:space="preserve"> Australia </w:t>
      </w:r>
      <w:r w:rsidR="00DD2701">
        <w:t xml:space="preserve">from </w:t>
      </w:r>
      <w:r w:rsidRPr="004461F2">
        <w:t>implement</w:t>
      </w:r>
      <w:r>
        <w:t>ing</w:t>
      </w:r>
      <w:r w:rsidRPr="004461F2">
        <w:t xml:space="preserve"> </w:t>
      </w:r>
      <w:r>
        <w:t>Pillar Two</w:t>
      </w:r>
    </w:p>
    <w:p w14:paraId="06C60BE9" w14:textId="77777777" w:rsidR="00DD2701" w:rsidRDefault="00DD2701" w:rsidP="00310BF4">
      <w:pPr>
        <w:pStyle w:val="Heading3"/>
        <w:spacing w:before="120" w:after="120" w:line="240" w:lineRule="auto"/>
      </w:pPr>
      <w:bookmarkStart w:id="88" w:name="_Toc116375718"/>
      <w:bookmarkStart w:id="89" w:name="_Toc116380355"/>
      <w:bookmarkStart w:id="90" w:name="_Toc116375714"/>
      <w:bookmarkStart w:id="91" w:name="_Toc116380351"/>
      <w:r>
        <w:t>Pillar Two revenue impacts</w:t>
      </w:r>
      <w:bookmarkEnd w:id="88"/>
      <w:bookmarkEnd w:id="89"/>
      <w:r>
        <w:t xml:space="preserve"> </w:t>
      </w:r>
    </w:p>
    <w:p w14:paraId="76C39DB7" w14:textId="7D3833B2" w:rsidR="006C14AC" w:rsidRDefault="0050665E" w:rsidP="00DD2701">
      <w:r>
        <w:t xml:space="preserve">Implementing </w:t>
      </w:r>
      <w:r w:rsidR="00545A1F">
        <w:t xml:space="preserve">Pillar Two </w:t>
      </w:r>
      <w:r>
        <w:t>and a qualifying domestic minimum tax is estimate</w:t>
      </w:r>
      <w:r w:rsidR="00B90575">
        <w:t>d</w:t>
      </w:r>
      <w:r>
        <w:t xml:space="preserve"> to increase receipts by </w:t>
      </w:r>
      <w:r w:rsidR="00E078FE" w:rsidRPr="00417B22">
        <w:t>$</w:t>
      </w:r>
      <w:r w:rsidR="00B11336">
        <w:t>370 million</w:t>
      </w:r>
      <w:r w:rsidR="00B90575">
        <w:t xml:space="preserve"> and increase payments by $111 million over the five years from 2022-23</w:t>
      </w:r>
      <w:r w:rsidR="00545A1F">
        <w:t xml:space="preserve">. </w:t>
      </w:r>
      <w:r w:rsidR="00B90575">
        <w:t>The actual revenue gain outcome will be dependent on the response of other jurisdictions in implementing the Pillar Two rules, their own domestic minimum taxes, and behavioural responses by multinational groups.</w:t>
      </w:r>
    </w:p>
    <w:p w14:paraId="47BF1C7D" w14:textId="633E18F7" w:rsidR="00DD2701" w:rsidRPr="006A5010" w:rsidRDefault="00DD2701" w:rsidP="00DD2701">
      <w:pPr>
        <w:rPr>
          <w:rFonts w:eastAsiaTheme="minorHAnsi" w:cstheme="minorBidi"/>
          <w:vertAlign w:val="superscript"/>
          <w:lang w:eastAsia="en-US"/>
        </w:rPr>
      </w:pPr>
      <w:r>
        <w:t xml:space="preserve">Overall, the OECD has estimated that Pillar Two would </w:t>
      </w:r>
      <w:r w:rsidR="00D82919">
        <w:t xml:space="preserve">increase </w:t>
      </w:r>
      <w:r>
        <w:t>global tax revenues.</w:t>
      </w:r>
      <w:r w:rsidRPr="006A5010">
        <w:rPr>
          <w:rFonts w:eastAsiaTheme="minorHAnsi" w:cstheme="minorBidi"/>
          <w:vertAlign w:val="superscript"/>
          <w:lang w:eastAsia="en-US"/>
        </w:rPr>
        <w:footnoteReference w:id="18"/>
      </w:r>
      <w:r>
        <w:t xml:space="preserve"> </w:t>
      </w:r>
      <w:r w:rsidR="0051617F">
        <w:t xml:space="preserve">These </w:t>
      </w:r>
      <w:r w:rsidR="00343CC8">
        <w:t xml:space="preserve">tax revenue increases will come through the </w:t>
      </w:r>
      <w:r w:rsidR="006D6DFB">
        <w:t>adoption of a</w:t>
      </w:r>
      <w:r w:rsidR="00BD7373">
        <w:t xml:space="preserve"> global minimum tax </w:t>
      </w:r>
      <w:r w:rsidR="00711887">
        <w:t>by a critical mass of jurisdictions</w:t>
      </w:r>
      <w:r w:rsidR="008666DA">
        <w:t xml:space="preserve">. </w:t>
      </w:r>
      <w:r w:rsidR="00174D67">
        <w:t xml:space="preserve">Countries that implement the </w:t>
      </w:r>
      <w:proofErr w:type="spellStart"/>
      <w:r w:rsidR="00174D67">
        <w:t>GloBE</w:t>
      </w:r>
      <w:proofErr w:type="spellEnd"/>
      <w:r w:rsidR="00174D67">
        <w:t xml:space="preserve"> Model Rules will </w:t>
      </w:r>
      <w:r w:rsidR="00A97A0D">
        <w:t xml:space="preserve">increase tax revenue </w:t>
      </w:r>
      <w:r w:rsidR="00417936">
        <w:t xml:space="preserve">via the </w:t>
      </w:r>
      <w:r w:rsidR="00624833">
        <w:t>global minimum tax</w:t>
      </w:r>
      <w:r w:rsidR="00942BC6">
        <w:t xml:space="preserve"> if the</w:t>
      </w:r>
      <w:r w:rsidR="001D0218">
        <w:t>re are entities in the MNE group operating in low tax jurisdictions</w:t>
      </w:r>
      <w:r w:rsidR="00417936">
        <w:t xml:space="preserve">. </w:t>
      </w:r>
      <w:r w:rsidR="004A738A">
        <w:t>However</w:t>
      </w:r>
      <w:r w:rsidR="00F17AA3">
        <w:t xml:space="preserve">, </w:t>
      </w:r>
      <w:r w:rsidR="00CA54B8">
        <w:t xml:space="preserve">these </w:t>
      </w:r>
      <w:r w:rsidR="00F17AA3">
        <w:t>low</w:t>
      </w:r>
      <w:r w:rsidR="00624833">
        <w:t xml:space="preserve"> </w:t>
      </w:r>
      <w:r w:rsidR="00F17AA3">
        <w:t xml:space="preserve">tax </w:t>
      </w:r>
      <w:r w:rsidR="002A07F4">
        <w:t xml:space="preserve">jurisdictions </w:t>
      </w:r>
      <w:r w:rsidR="00F17AA3">
        <w:t xml:space="preserve">may increase their revenue by </w:t>
      </w:r>
      <w:r w:rsidR="002A07F4">
        <w:t>choosing to increase their corporate tax rates</w:t>
      </w:r>
      <w:r w:rsidR="00CA54B8">
        <w:t xml:space="preserve"> or implement domestic minimum taxes</w:t>
      </w:r>
      <w:r w:rsidR="002A07F4">
        <w:t>.</w:t>
      </w:r>
      <w:r w:rsidR="008666DA">
        <w:t xml:space="preserve"> </w:t>
      </w:r>
      <w:r>
        <w:t>While the OECD had estimated that the average percentage revenue gains from Pillar Two may be greater for high</w:t>
      </w:r>
      <w:r w:rsidR="00B04E3A">
        <w:t>-</w:t>
      </w:r>
      <w:r>
        <w:t>income jurisdictions than the gains for middle- and low-income jurisdictions, that estimate was based on earlier design assumptions.</w:t>
      </w:r>
      <w:r w:rsidRPr="006A5010">
        <w:rPr>
          <w:rFonts w:eastAsiaTheme="minorHAnsi" w:cstheme="minorBidi"/>
          <w:vertAlign w:val="superscript"/>
          <w:lang w:eastAsia="en-US"/>
        </w:rPr>
        <w:footnoteReference w:id="19"/>
      </w:r>
      <w:r w:rsidR="00EE0B45">
        <w:t xml:space="preserve"> </w:t>
      </w:r>
    </w:p>
    <w:p w14:paraId="6F99403E" w14:textId="6583855A" w:rsidR="00DD2701" w:rsidRPr="00BB381E" w:rsidRDefault="00DD2701" w:rsidP="00EC2366">
      <w:pPr>
        <w:pStyle w:val="Bullet"/>
        <w:numPr>
          <w:ilvl w:val="0"/>
          <w:numId w:val="0"/>
        </w:numPr>
        <w:spacing w:line="240" w:lineRule="auto"/>
        <w:rPr>
          <w:szCs w:val="22"/>
        </w:rPr>
      </w:pPr>
      <w:r>
        <w:t>From an economic perspective, implementing Pillar Two will help strengthen Australia’s corporate tax base. A smaller differential between the headline tax rates of Australia and other countries may help make Australia more attractive for new business and investment. Also, multinationals that have already invested in Australia may have less incentive to relocate or to shift profits to other countries due to this decreased differential.</w:t>
      </w:r>
      <w:r w:rsidR="00A20B23">
        <w:t xml:space="preserve"> </w:t>
      </w:r>
      <w:r w:rsidR="00377298">
        <w:t xml:space="preserve">However, if </w:t>
      </w:r>
      <w:r w:rsidR="00377298">
        <w:rPr>
          <w:szCs w:val="22"/>
        </w:rPr>
        <w:t>l</w:t>
      </w:r>
      <w:r w:rsidR="00A20B23">
        <w:rPr>
          <w:szCs w:val="22"/>
        </w:rPr>
        <w:t>ow</w:t>
      </w:r>
      <w:r w:rsidR="00B816FD">
        <w:rPr>
          <w:szCs w:val="22"/>
        </w:rPr>
        <w:t>-</w:t>
      </w:r>
      <w:r w:rsidR="00A20B23">
        <w:rPr>
          <w:szCs w:val="22"/>
        </w:rPr>
        <w:t xml:space="preserve">tax jurisdictions increase </w:t>
      </w:r>
      <w:r w:rsidR="00465D2C">
        <w:rPr>
          <w:szCs w:val="22"/>
        </w:rPr>
        <w:t xml:space="preserve">their </w:t>
      </w:r>
      <w:r w:rsidR="00A20B23">
        <w:rPr>
          <w:szCs w:val="22"/>
        </w:rPr>
        <w:t>tax rates</w:t>
      </w:r>
      <w:r w:rsidR="00652E8D">
        <w:rPr>
          <w:szCs w:val="22"/>
        </w:rPr>
        <w:t>,</w:t>
      </w:r>
      <w:r w:rsidR="00A20B23">
        <w:rPr>
          <w:szCs w:val="22"/>
        </w:rPr>
        <w:t xml:space="preserve"> the amount of low-tax income subject to Australian </w:t>
      </w:r>
      <w:r w:rsidR="004F56C3">
        <w:rPr>
          <w:szCs w:val="22"/>
        </w:rPr>
        <w:t xml:space="preserve">Pillar Two </w:t>
      </w:r>
      <w:r w:rsidR="00011972">
        <w:rPr>
          <w:szCs w:val="22"/>
        </w:rPr>
        <w:t>top-up</w:t>
      </w:r>
      <w:r w:rsidR="00A20B23">
        <w:rPr>
          <w:szCs w:val="22"/>
        </w:rPr>
        <w:t xml:space="preserve"> tax </w:t>
      </w:r>
      <w:r w:rsidR="005C5E9B">
        <w:rPr>
          <w:szCs w:val="22"/>
        </w:rPr>
        <w:t>may</w:t>
      </w:r>
      <w:r w:rsidR="00A20B23">
        <w:rPr>
          <w:szCs w:val="22"/>
        </w:rPr>
        <w:t xml:space="preserve"> be reduced.</w:t>
      </w:r>
    </w:p>
    <w:p w14:paraId="457D4B8F" w14:textId="394E0412" w:rsidR="00163972" w:rsidRDefault="002C6DC5" w:rsidP="00DD2701">
      <w:r w:rsidRPr="003A530D">
        <w:rPr>
          <w:noProof/>
        </w:rPr>
        <w:lastRenderedPageBreak/>
        <mc:AlternateContent>
          <mc:Choice Requires="wps">
            <w:drawing>
              <wp:anchor distT="45720" distB="45720" distL="114300" distR="114300" simplePos="0" relativeHeight="251658247" behindDoc="0" locked="0" layoutInCell="1" allowOverlap="1" wp14:anchorId="49E825C9" wp14:editId="0760A028">
                <wp:simplePos x="0" y="0"/>
                <wp:positionH relativeFrom="margin">
                  <wp:posOffset>2412810</wp:posOffset>
                </wp:positionH>
                <wp:positionV relativeFrom="paragraph">
                  <wp:posOffset>13838</wp:posOffset>
                </wp:positionV>
                <wp:extent cx="3276600" cy="1516380"/>
                <wp:effectExtent l="0" t="0" r="19050" b="26670"/>
                <wp:wrapSquare wrapText="bothSides"/>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516380"/>
                        </a:xfrm>
                        <a:prstGeom prst="rect">
                          <a:avLst/>
                        </a:prstGeom>
                        <a:solidFill>
                          <a:srgbClr val="FFFFFF"/>
                        </a:solidFill>
                        <a:ln w="9525">
                          <a:solidFill>
                            <a:srgbClr val="000000"/>
                          </a:solidFill>
                          <a:miter lim="800000"/>
                          <a:headEnd/>
                          <a:tailEnd/>
                        </a:ln>
                      </wps:spPr>
                      <wps:txbx>
                        <w:txbxContent>
                          <w:p w14:paraId="46B730F7" w14:textId="77777777" w:rsidR="00C60F30" w:rsidRPr="003A530D" w:rsidRDefault="00C60F30" w:rsidP="009F3DC3">
                            <w:pPr>
                              <w:pStyle w:val="Heading4"/>
                              <w:rPr>
                                <w:rFonts w:ascii="Open Sans" w:hAnsi="Open Sans" w:cs="Open Sans"/>
                                <w:i/>
                                <w:iCs/>
                                <w:color w:val="auto"/>
                                <w:kern w:val="0"/>
                                <w:szCs w:val="24"/>
                              </w:rPr>
                            </w:pPr>
                            <w:r w:rsidRPr="003A530D">
                              <w:rPr>
                                <w:rFonts w:ascii="Open Sans" w:hAnsi="Open Sans" w:cs="Open Sans"/>
                                <w:i/>
                                <w:iCs/>
                                <w:color w:val="auto"/>
                                <w:kern w:val="0"/>
                                <w:szCs w:val="24"/>
                              </w:rPr>
                              <w:t xml:space="preserve">The OECD </w:t>
                            </w:r>
                            <w:r>
                              <w:rPr>
                                <w:rFonts w:ascii="Open Sans" w:hAnsi="Open Sans" w:cs="Open Sans"/>
                                <w:i/>
                                <w:iCs/>
                                <w:color w:val="auto"/>
                                <w:kern w:val="0"/>
                                <w:szCs w:val="24"/>
                              </w:rPr>
                              <w:t>estimates that in 2018 about US$1,717 billion of corporate profits were low-taxed, which will continue to increase over time without Pillar Two.</w:t>
                            </w:r>
                          </w:p>
                          <w:p w14:paraId="7CDE60D3" w14:textId="77777777" w:rsidR="00C60F30" w:rsidRDefault="00C60F30" w:rsidP="009F3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825C9" id="Text Box 209" o:spid="_x0000_s1044" type="#_x0000_t202" style="position:absolute;margin-left:190pt;margin-top:1.1pt;width:258pt;height:119.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">
                <v:textbox>
                  <w:txbxContent>
                    <w:p w14:paraId="46B730F7" w14:textId="77777777" w:rsidR="00C60F30" w:rsidRPr="003A530D" w:rsidRDefault="00C60F30" w:rsidP="009F3DC3">
                      <w:pPr>
                        <w:pStyle w:val="Heading4"/>
                        <w:rPr>
                          <w:rFonts w:ascii="Open Sans" w:hAnsi="Open Sans" w:cs="Open Sans"/>
                          <w:i/>
                          <w:iCs/>
                          <w:color w:val="auto"/>
                          <w:kern w:val="0"/>
                          <w:szCs w:val="24"/>
                        </w:rPr>
                      </w:pPr>
                      <w:r w:rsidRPr="003A530D">
                        <w:rPr>
                          <w:rFonts w:ascii="Open Sans" w:hAnsi="Open Sans" w:cs="Open Sans"/>
                          <w:i/>
                          <w:iCs/>
                          <w:color w:val="auto"/>
                          <w:kern w:val="0"/>
                          <w:szCs w:val="24"/>
                        </w:rPr>
                        <w:t xml:space="preserve">The OECD </w:t>
                      </w:r>
                      <w:r>
                        <w:rPr>
                          <w:rFonts w:ascii="Open Sans" w:hAnsi="Open Sans" w:cs="Open Sans"/>
                          <w:i/>
                          <w:iCs/>
                          <w:color w:val="auto"/>
                          <w:kern w:val="0"/>
                          <w:szCs w:val="24"/>
                        </w:rPr>
                        <w:t>estimates that in 2018 about US$1,717 billion of corporate profits were low-taxed, which will continue to increase over time without Pillar Two.</w:t>
                      </w:r>
                    </w:p>
                    <w:p w14:paraId="7CDE60D3" w14:textId="77777777" w:rsidR="00C60F30" w:rsidRDefault="00C60F30" w:rsidP="009F3DC3"/>
                  </w:txbxContent>
                </v:textbox>
                <w10:wrap type="square" anchorx="margin"/>
              </v:shape>
            </w:pict>
          </mc:Fallback>
        </mc:AlternateContent>
      </w:r>
      <w:r w:rsidR="00B92CC9">
        <w:t>A</w:t>
      </w:r>
      <w:r w:rsidR="00163972">
        <w:t xml:space="preserve"> domestic minimum tax </w:t>
      </w:r>
      <w:r w:rsidR="00B92CC9">
        <w:t>implemented alongside</w:t>
      </w:r>
      <w:r w:rsidR="00163972">
        <w:t xml:space="preserve"> Pillar Two</w:t>
      </w:r>
      <w:r w:rsidR="00B92CC9">
        <w:t xml:space="preserve"> </w:t>
      </w:r>
      <w:r w:rsidR="00231B2A">
        <w:t xml:space="preserve">(Sub-option 2(a)) </w:t>
      </w:r>
      <w:r w:rsidR="00B92CC9">
        <w:t xml:space="preserve">may increase revenue for Australia. </w:t>
      </w:r>
      <w:r w:rsidR="00445620">
        <w:t xml:space="preserve">However, </w:t>
      </w:r>
      <w:r w:rsidR="000C1854">
        <w:t xml:space="preserve">as </w:t>
      </w:r>
      <w:r w:rsidR="00445620">
        <w:t>Australia</w:t>
      </w:r>
      <w:r w:rsidR="000C1854">
        <w:t xml:space="preserve"> has a</w:t>
      </w:r>
      <w:r w:rsidR="00445620">
        <w:t xml:space="preserve"> </w:t>
      </w:r>
      <w:r w:rsidR="006761E8">
        <w:t xml:space="preserve">headline </w:t>
      </w:r>
      <w:r w:rsidR="00445620">
        <w:t xml:space="preserve">corporate tax rate </w:t>
      </w:r>
      <w:r w:rsidR="006761E8">
        <w:t>above the minimum rate</w:t>
      </w:r>
      <w:r w:rsidR="000C1854">
        <w:t>, it is expected that few companies will have a</w:t>
      </w:r>
      <w:r w:rsidR="00983AB6">
        <w:t>n</w:t>
      </w:r>
      <w:r w:rsidR="000C1854">
        <w:t xml:space="preserve"> </w:t>
      </w:r>
      <w:r w:rsidR="00B6745A">
        <w:t xml:space="preserve">effective </w:t>
      </w:r>
      <w:r w:rsidR="000C1854">
        <w:t>tax rate under the minimum and would therefore be required to pay top-up tax</w:t>
      </w:r>
      <w:r w:rsidR="00445620">
        <w:t>.</w:t>
      </w:r>
      <w:r w:rsidR="00B92CC9">
        <w:t xml:space="preserve"> </w:t>
      </w:r>
    </w:p>
    <w:p w14:paraId="7A356A79" w14:textId="40609A30" w:rsidR="00437D5B" w:rsidRPr="004461F2" w:rsidRDefault="00437D5B" w:rsidP="00310BF4">
      <w:pPr>
        <w:pStyle w:val="Heading3"/>
        <w:spacing w:before="120" w:after="120" w:line="240" w:lineRule="auto"/>
      </w:pPr>
      <w:r>
        <w:t>Pillar Two</w:t>
      </w:r>
      <w:r w:rsidRPr="00437D5B">
        <w:t xml:space="preserve"> </w:t>
      </w:r>
      <w:r w:rsidR="00D00988">
        <w:t>e</w:t>
      </w:r>
      <w:r>
        <w:t xml:space="preserve">conomic </w:t>
      </w:r>
      <w:r w:rsidR="00D00988">
        <w:t>i</w:t>
      </w:r>
      <w:r>
        <w:t>mpact</w:t>
      </w:r>
      <w:bookmarkEnd w:id="90"/>
      <w:bookmarkEnd w:id="91"/>
    </w:p>
    <w:p w14:paraId="6E428C7B" w14:textId="77777777" w:rsidR="00347962" w:rsidRDefault="0004026A" w:rsidP="00310BF4">
      <w:pPr>
        <w:pStyle w:val="Heading4"/>
        <w:spacing w:before="120" w:after="120" w:line="240" w:lineRule="auto"/>
      </w:pPr>
      <w:r>
        <w:t xml:space="preserve">Pillar Two Economic </w:t>
      </w:r>
      <w:r w:rsidR="00347962">
        <w:t>Benefits</w:t>
      </w:r>
    </w:p>
    <w:p w14:paraId="0A143383" w14:textId="529E1EE7" w:rsidR="00144926" w:rsidRDefault="00410291" w:rsidP="00300AEB">
      <w:r>
        <w:t xml:space="preserve">While work to model the economic impacts of </w:t>
      </w:r>
      <w:r w:rsidR="00042750">
        <w:t xml:space="preserve">Pillar Two </w:t>
      </w:r>
      <w:r>
        <w:t xml:space="preserve">are ongoing, in a qualitative sense it should </w:t>
      </w:r>
      <w:r w:rsidR="00042750">
        <w:t xml:space="preserve">have a slight positive impact, </w:t>
      </w:r>
      <w:r w:rsidR="00144926">
        <w:t xml:space="preserve">primarily </w:t>
      </w:r>
      <w:r w:rsidR="00042750">
        <w:t>from making Australia a relativel</w:t>
      </w:r>
      <w:r w:rsidR="00144926">
        <w:t xml:space="preserve">y more attractive place for mobile capital investments. This is because </w:t>
      </w:r>
      <w:r w:rsidR="00300AEB">
        <w:t>Australia</w:t>
      </w:r>
      <w:r w:rsidR="007A7B76">
        <w:t>’s headline</w:t>
      </w:r>
      <w:r w:rsidR="00300AEB">
        <w:t xml:space="preserve"> corporate tax rate</w:t>
      </w:r>
      <w:r w:rsidR="007A7B76">
        <w:t xml:space="preserve"> is relatively higher than other</w:t>
      </w:r>
      <w:r w:rsidR="00CF38EB" w:rsidDel="007A7B76">
        <w:t xml:space="preserve"> </w:t>
      </w:r>
      <w:r w:rsidR="00CF38EB">
        <w:t>countries</w:t>
      </w:r>
      <w:r w:rsidR="00144926">
        <w:t>,</w:t>
      </w:r>
      <w:r w:rsidR="00197C7D">
        <w:t xml:space="preserve"> which to some extent</w:t>
      </w:r>
      <w:r w:rsidR="00E5565E">
        <w:t xml:space="preserve"> reduces foreign investment</w:t>
      </w:r>
      <w:r w:rsidR="00144926">
        <w:t>, particularly for tax sensitive mobile capital</w:t>
      </w:r>
      <w:r w:rsidR="002E7EC8">
        <w:t xml:space="preserve">. </w:t>
      </w:r>
      <w:r w:rsidR="00144926">
        <w:t>Accordingly, if</w:t>
      </w:r>
      <w:r w:rsidR="002E7EC8">
        <w:t xml:space="preserve"> Pillar Two</w:t>
      </w:r>
      <w:r w:rsidR="00300AEB">
        <w:t xml:space="preserve"> </w:t>
      </w:r>
      <w:r w:rsidR="00144926">
        <w:t xml:space="preserve">brings about an effective </w:t>
      </w:r>
      <w:r w:rsidR="00300AEB">
        <w:t xml:space="preserve">global minimum tax </w:t>
      </w:r>
      <w:r w:rsidR="00144926">
        <w:t xml:space="preserve">rate, there </w:t>
      </w:r>
      <w:r w:rsidR="0079227F">
        <w:t>should</w:t>
      </w:r>
      <w:r w:rsidR="00144926">
        <w:t xml:space="preserve"> be reduced tax competition between jurisdictions, which </w:t>
      </w:r>
      <w:r w:rsidR="002E7EC8">
        <w:t xml:space="preserve">will </w:t>
      </w:r>
      <w:r w:rsidR="00144926">
        <w:t>make</w:t>
      </w:r>
      <w:r w:rsidR="0079227F">
        <w:t xml:space="preserve"> investing in</w:t>
      </w:r>
      <w:r w:rsidR="00144926">
        <w:t xml:space="preserve"> higher taxing jurisdictions like Australia relatively </w:t>
      </w:r>
      <w:r w:rsidR="0079227F">
        <w:t xml:space="preserve">more attractive </w:t>
      </w:r>
      <w:r w:rsidR="007E73C2">
        <w:t xml:space="preserve">as compared </w:t>
      </w:r>
      <w:r w:rsidR="0079227F">
        <w:t xml:space="preserve">to </w:t>
      </w:r>
      <w:r w:rsidR="00144926">
        <w:t>the status quo.</w:t>
      </w:r>
      <w:r w:rsidR="0079227F">
        <w:t xml:space="preserve"> </w:t>
      </w:r>
    </w:p>
    <w:p w14:paraId="4408E090" w14:textId="77777777" w:rsidR="00300AEB" w:rsidRDefault="00144926" w:rsidP="00300AEB">
      <w:r>
        <w:t xml:space="preserve">Another economic benefit will come from reducing </w:t>
      </w:r>
      <w:r w:rsidR="0079227F">
        <w:t xml:space="preserve">the financial incentives for Australian companies to </w:t>
      </w:r>
      <w:r>
        <w:t>offshor</w:t>
      </w:r>
      <w:r w:rsidR="0079227F">
        <w:t>e</w:t>
      </w:r>
      <w:r>
        <w:t xml:space="preserve"> </w:t>
      </w:r>
      <w:r w:rsidR="0079227F">
        <w:t xml:space="preserve">their </w:t>
      </w:r>
      <w:r>
        <w:t xml:space="preserve">economic activity for tax purposes. For example, </w:t>
      </w:r>
      <w:r w:rsidR="0079227F">
        <w:t>at the moment Australian companies can get a financial benefit from offshoring their global marketing services to low</w:t>
      </w:r>
      <w:r w:rsidR="00E33866">
        <w:t>-</w:t>
      </w:r>
      <w:r w:rsidR="0079227F">
        <w:t xml:space="preserve">tax jurisdictions. </w:t>
      </w:r>
    </w:p>
    <w:p w14:paraId="239BC217" w14:textId="77777777" w:rsidR="00300AEB" w:rsidRDefault="00A45978" w:rsidP="00300AEB">
      <w:r>
        <w:t xml:space="preserve">Should Pillar Two bring about overall higher global tax rates on large multinationals, it may </w:t>
      </w:r>
      <w:r w:rsidR="003B0535">
        <w:t>have slight competition benefits</w:t>
      </w:r>
      <w:r w:rsidR="00410291">
        <w:t xml:space="preserve"> for small Australian business</w:t>
      </w:r>
      <w:r>
        <w:t xml:space="preserve">, by way of </w:t>
      </w:r>
      <w:r w:rsidR="00410291">
        <w:t xml:space="preserve">reducing </w:t>
      </w:r>
      <w:r>
        <w:t>some of the tax advantages some large multinationals</w:t>
      </w:r>
      <w:r w:rsidR="00410291">
        <w:t xml:space="preserve"> </w:t>
      </w:r>
      <w:r>
        <w:t>have.</w:t>
      </w:r>
    </w:p>
    <w:p w14:paraId="0A2C9C1A" w14:textId="157790BE" w:rsidR="00261022" w:rsidRPr="002E1477" w:rsidRDefault="00261022" w:rsidP="00D040CC">
      <w:pPr>
        <w:pStyle w:val="Heading4"/>
        <w:spacing w:before="120" w:after="120" w:line="240" w:lineRule="auto"/>
      </w:pPr>
      <w:r>
        <w:rPr>
          <w:rFonts w:cs="Times New Roman"/>
          <w:color w:val="auto"/>
          <w:kern w:val="0"/>
          <w:sz w:val="22"/>
          <w:szCs w:val="20"/>
        </w:rPr>
        <w:t>Note it is not possible to</w:t>
      </w:r>
      <w:r w:rsidRPr="00042750">
        <w:rPr>
          <w:rFonts w:cs="Times New Roman"/>
          <w:color w:val="auto"/>
          <w:kern w:val="0"/>
          <w:sz w:val="22"/>
          <w:szCs w:val="20"/>
        </w:rPr>
        <w:t xml:space="preserve"> model the quantitative economic impacts on Australia’s economy</w:t>
      </w:r>
      <w:r>
        <w:rPr>
          <w:rFonts w:cs="Times New Roman"/>
          <w:color w:val="auto"/>
          <w:kern w:val="0"/>
          <w:sz w:val="22"/>
          <w:szCs w:val="20"/>
        </w:rPr>
        <w:t xml:space="preserve"> for Pillar Two</w:t>
      </w:r>
      <w:r w:rsidRPr="00042750">
        <w:rPr>
          <w:rFonts w:cs="Times New Roman"/>
          <w:color w:val="auto"/>
          <w:kern w:val="0"/>
          <w:sz w:val="22"/>
          <w:szCs w:val="20"/>
        </w:rPr>
        <w:t xml:space="preserve">, </w:t>
      </w:r>
      <w:r>
        <w:rPr>
          <w:rFonts w:cs="Times New Roman"/>
          <w:color w:val="auto"/>
          <w:kern w:val="0"/>
          <w:sz w:val="22"/>
          <w:szCs w:val="20"/>
        </w:rPr>
        <w:t>primarily</w:t>
      </w:r>
      <w:r w:rsidRPr="00042750">
        <w:rPr>
          <w:rFonts w:cs="Times New Roman"/>
          <w:color w:val="auto"/>
          <w:kern w:val="0"/>
          <w:sz w:val="22"/>
          <w:szCs w:val="20"/>
        </w:rPr>
        <w:t xml:space="preserve"> because of uncertainty around behavioural responses of low</w:t>
      </w:r>
      <w:r>
        <w:rPr>
          <w:rFonts w:cs="Times New Roman"/>
          <w:color w:val="auto"/>
          <w:kern w:val="0"/>
          <w:sz w:val="22"/>
          <w:szCs w:val="20"/>
        </w:rPr>
        <w:t>-</w:t>
      </w:r>
      <w:r w:rsidRPr="00042750">
        <w:rPr>
          <w:rFonts w:cs="Times New Roman"/>
          <w:color w:val="auto"/>
          <w:kern w:val="0"/>
          <w:sz w:val="22"/>
          <w:szCs w:val="20"/>
        </w:rPr>
        <w:t xml:space="preserve">tax jurisdictions, and </w:t>
      </w:r>
      <w:r w:rsidR="005F11DE" w:rsidRPr="00042750">
        <w:rPr>
          <w:rFonts w:cs="Times New Roman"/>
          <w:color w:val="auto"/>
          <w:kern w:val="0"/>
          <w:sz w:val="22"/>
          <w:szCs w:val="20"/>
        </w:rPr>
        <w:t>the resultant</w:t>
      </w:r>
      <w:r w:rsidRPr="00042750">
        <w:rPr>
          <w:rFonts w:cs="Times New Roman"/>
          <w:color w:val="auto"/>
          <w:kern w:val="0"/>
          <w:sz w:val="22"/>
          <w:szCs w:val="20"/>
        </w:rPr>
        <w:t xml:space="preserve"> behavioural change in multinational profit shifting incentives and strategies. </w:t>
      </w:r>
    </w:p>
    <w:p w14:paraId="6C6D49B7" w14:textId="77777777" w:rsidR="00BC5269" w:rsidRDefault="0004026A" w:rsidP="00310BF4">
      <w:pPr>
        <w:pStyle w:val="Heading4"/>
        <w:spacing w:before="120" w:after="120" w:line="240" w:lineRule="auto"/>
      </w:pPr>
      <w:r>
        <w:t xml:space="preserve">Pillar Two Economic </w:t>
      </w:r>
      <w:r w:rsidR="00BC5269">
        <w:t>Costs</w:t>
      </w:r>
    </w:p>
    <w:p w14:paraId="37B1DB21" w14:textId="77777777" w:rsidR="00042750" w:rsidRDefault="00042750" w:rsidP="00BC5269">
      <w:r>
        <w:t xml:space="preserve">The </w:t>
      </w:r>
      <w:r w:rsidR="00371B66">
        <w:t xml:space="preserve">most significant </w:t>
      </w:r>
      <w:r>
        <w:t>negative economic impact from Pillar Two on the Australian economy is an increase in compliance costs</w:t>
      </w:r>
      <w:r w:rsidR="00261022">
        <w:t xml:space="preserve">, which arise from the need to calculate effective </w:t>
      </w:r>
      <w:r w:rsidR="00536126">
        <w:t xml:space="preserve">global </w:t>
      </w:r>
      <w:r w:rsidR="000E7D42">
        <w:t xml:space="preserve">income and </w:t>
      </w:r>
      <w:r w:rsidR="00261022">
        <w:t>tax paid</w:t>
      </w:r>
      <w:r w:rsidR="000E7D42">
        <w:t xml:space="preserve"> over a </w:t>
      </w:r>
      <w:r w:rsidR="000E7D42" w:rsidDel="000A52B8">
        <w:t>four</w:t>
      </w:r>
      <w:r w:rsidR="000A52B8">
        <w:t>-</w:t>
      </w:r>
      <w:r w:rsidR="000E7D42">
        <w:t>year period</w:t>
      </w:r>
      <w:r w:rsidR="00261022">
        <w:t>. This is different to the current system</w:t>
      </w:r>
      <w:r w:rsidR="000E7D42">
        <w:t>,</w:t>
      </w:r>
      <w:r w:rsidR="00261022">
        <w:t xml:space="preserve"> where companies </w:t>
      </w:r>
      <w:r w:rsidR="000E7D42">
        <w:t>generally just</w:t>
      </w:r>
      <w:r w:rsidR="00261022">
        <w:t xml:space="preserve"> need to calculate </w:t>
      </w:r>
      <w:r w:rsidR="000E7D42">
        <w:t>profit year to year</w:t>
      </w:r>
      <w:r w:rsidR="00261022">
        <w:t xml:space="preserve"> </w:t>
      </w:r>
      <w:r w:rsidR="000E7D42">
        <w:t>in each country</w:t>
      </w:r>
      <w:r>
        <w:t xml:space="preserve">. </w:t>
      </w:r>
    </w:p>
    <w:p w14:paraId="3D305F53" w14:textId="74DB262C" w:rsidR="00042750" w:rsidRDefault="00042750" w:rsidP="00042750">
      <w:r>
        <w:t xml:space="preserve">Under Pillar Two, </w:t>
      </w:r>
      <w:r w:rsidR="00536126">
        <w:t>the financial incentives</w:t>
      </w:r>
      <w:r>
        <w:t xml:space="preserve"> for multinationals to use profit shifting strategies </w:t>
      </w:r>
      <w:r w:rsidR="00536126">
        <w:t>will be reduced, given there will be an effective minimum tax rate</w:t>
      </w:r>
      <w:r>
        <w:t xml:space="preserve">. </w:t>
      </w:r>
      <w:r w:rsidR="002C1251">
        <w:t>Given overall more tax is paid</w:t>
      </w:r>
      <w:r w:rsidR="002C1251" w:rsidDel="00E3792A">
        <w:t>,</w:t>
      </w:r>
      <w:r>
        <w:t xml:space="preserve"> over the long</w:t>
      </w:r>
      <w:r w:rsidR="00834B73">
        <w:t>-</w:t>
      </w:r>
      <w:r>
        <w:t xml:space="preserve">term, the amount of global investment can be expected to be </w:t>
      </w:r>
      <w:r w:rsidR="002C1251">
        <w:t xml:space="preserve">slightly </w:t>
      </w:r>
      <w:r>
        <w:t>lower</w:t>
      </w:r>
      <w:r w:rsidR="002C1251">
        <w:t xml:space="preserve">. </w:t>
      </w:r>
      <w:r w:rsidR="00B36A1A" w:rsidRPr="0010421F">
        <w:t xml:space="preserve">This also flows through to slightly </w:t>
      </w:r>
      <w:r w:rsidR="00D208A8" w:rsidRPr="002E1477">
        <w:t>lower</w:t>
      </w:r>
      <w:r w:rsidR="00D208A8" w:rsidRPr="0010421F">
        <w:t xml:space="preserve"> </w:t>
      </w:r>
      <w:r w:rsidR="00B36A1A" w:rsidRPr="0010421F">
        <w:t>investment</w:t>
      </w:r>
      <w:r w:rsidR="00B36A1A">
        <w:t xml:space="preserve"> returns for shareholders over the long term</w:t>
      </w:r>
      <w:r w:rsidR="00D208A8">
        <w:t xml:space="preserve">. It is important to note, however, that investment impacts are unavoidable and inherent to all forms of taxation. </w:t>
      </w:r>
    </w:p>
    <w:p w14:paraId="03C5C0EF" w14:textId="77777777" w:rsidR="00042750" w:rsidRDefault="00042750" w:rsidP="00042750">
      <w:r>
        <w:t xml:space="preserve">The OECD estimates that Pillar Two is expected to increase </w:t>
      </w:r>
      <w:r w:rsidR="003B0535">
        <w:t xml:space="preserve">total </w:t>
      </w:r>
      <w:r>
        <w:t>global taxation revenue to a greater extent than Pillar One (since Pillar One is more a reallocation of taxing rights, while Pillar Two provides for new top</w:t>
      </w:r>
      <w:r w:rsidR="00834B73">
        <w:t>-</w:t>
      </w:r>
      <w:r>
        <w:t>up taxes that will incentivise some countries to increase their tax rates). Increased corporate income tax is associated with a reduction in return to investors</w:t>
      </w:r>
      <w:r w:rsidR="00B36A1A">
        <w:t xml:space="preserve">. </w:t>
      </w:r>
      <w:r w:rsidR="00AB17AC">
        <w:t xml:space="preserve">A lower return to investors can make it harder for new investment projects to get started. </w:t>
      </w:r>
      <w:r>
        <w:t xml:space="preserve">  </w:t>
      </w:r>
    </w:p>
    <w:p w14:paraId="548732C4" w14:textId="77777777" w:rsidR="00834B73" w:rsidRDefault="0004026A" w:rsidP="00310BF4">
      <w:pPr>
        <w:pStyle w:val="Heading4"/>
        <w:spacing w:before="120" w:after="120" w:line="240" w:lineRule="auto"/>
        <w:rPr>
          <w:rFonts w:cs="Times New Roman"/>
          <w:color w:val="auto"/>
          <w:kern w:val="0"/>
          <w:sz w:val="22"/>
          <w:szCs w:val="20"/>
        </w:rPr>
      </w:pPr>
      <w:r>
        <w:lastRenderedPageBreak/>
        <w:t>Pillar Two consumer impact</w:t>
      </w:r>
      <w:r w:rsidR="00E5565E">
        <w:t xml:space="preserve"> and employment</w:t>
      </w:r>
      <w:bookmarkStart w:id="92" w:name="_Toc116375716"/>
      <w:bookmarkStart w:id="93" w:name="_Toc116380353"/>
      <w:bookmarkStart w:id="94" w:name="_Toc103784609"/>
      <w:bookmarkStart w:id="95" w:name="_Toc88155558"/>
    </w:p>
    <w:p w14:paraId="7CB65E40" w14:textId="13031AA1" w:rsidR="001C40E0" w:rsidRDefault="002B0A53" w:rsidP="00485F11">
      <w:r w:rsidRPr="002B0A53">
        <w:t xml:space="preserve">It is expected that </w:t>
      </w:r>
      <w:r w:rsidR="00E5565E">
        <w:t xml:space="preserve">if choosing to implement </w:t>
      </w:r>
      <w:r w:rsidRPr="002B0A53">
        <w:t xml:space="preserve">Pillar </w:t>
      </w:r>
      <w:r>
        <w:t>Two</w:t>
      </w:r>
      <w:r w:rsidRPr="002B0A53">
        <w:t xml:space="preserve"> </w:t>
      </w:r>
      <w:r w:rsidR="00E5565E">
        <w:t xml:space="preserve">along with </w:t>
      </w:r>
      <w:r w:rsidR="00CE1EB9">
        <w:t>many other jurisdictions</w:t>
      </w:r>
      <w:r w:rsidR="00E5565E">
        <w:t xml:space="preserve">, there </w:t>
      </w:r>
      <w:r w:rsidRPr="002B0A53">
        <w:t xml:space="preserve">will </w:t>
      </w:r>
      <w:r w:rsidR="00E5565E">
        <w:t>be</w:t>
      </w:r>
      <w:r w:rsidRPr="002B0A53">
        <w:t xml:space="preserve"> no </w:t>
      </w:r>
      <w:r w:rsidR="000D469C">
        <w:t xml:space="preserve">material </w:t>
      </w:r>
      <w:r w:rsidR="00A45978">
        <w:t xml:space="preserve">direct </w:t>
      </w:r>
      <w:r w:rsidRPr="002B0A53">
        <w:t>impact on Australian consumer experience</w:t>
      </w:r>
      <w:r>
        <w:t>s</w:t>
      </w:r>
      <w:r w:rsidRPr="002B0A53">
        <w:t>.</w:t>
      </w:r>
      <w:r w:rsidR="00D73339">
        <w:t xml:space="preserve"> </w:t>
      </w:r>
      <w:r w:rsidR="00351A08">
        <w:t xml:space="preserve">While </w:t>
      </w:r>
      <w:r w:rsidR="00556CDB">
        <w:t xml:space="preserve">some </w:t>
      </w:r>
      <w:r w:rsidR="00351A08">
        <w:t>m</w:t>
      </w:r>
      <w:r w:rsidR="001F2B81">
        <w:t>ultinationals</w:t>
      </w:r>
      <w:r w:rsidR="00694528">
        <w:t xml:space="preserve"> </w:t>
      </w:r>
      <w:r w:rsidR="00F067A9">
        <w:t xml:space="preserve">subject to </w:t>
      </w:r>
      <w:r w:rsidR="00556CDB">
        <w:t xml:space="preserve">Pillar Two </w:t>
      </w:r>
      <w:r w:rsidR="00F067A9">
        <w:t>top-up tax</w:t>
      </w:r>
      <w:r w:rsidR="00556CDB">
        <w:t>es</w:t>
      </w:r>
      <w:r w:rsidR="00F067A9">
        <w:t xml:space="preserve"> might </w:t>
      </w:r>
      <w:r w:rsidR="00255BCD">
        <w:t xml:space="preserve">cease activities that </w:t>
      </w:r>
      <w:r w:rsidR="00EF4136">
        <w:t>are</w:t>
      </w:r>
      <w:r w:rsidR="0008195C">
        <w:t xml:space="preserve"> only </w:t>
      </w:r>
      <w:r w:rsidR="00EF4136">
        <w:t xml:space="preserve">worthwhile for them in a low or no tax environment, </w:t>
      </w:r>
      <w:r w:rsidR="00E54AC1">
        <w:t>this should have minimal impact on Australia</w:t>
      </w:r>
      <w:r w:rsidR="00556CDB">
        <w:t>.</w:t>
      </w:r>
      <w:r w:rsidR="004B4A19">
        <w:t xml:space="preserve"> In general, multinational</w:t>
      </w:r>
      <w:r w:rsidR="00DA3185">
        <w:t>s</w:t>
      </w:r>
      <w:r w:rsidR="004B4A19">
        <w:t xml:space="preserve"> operating in Australia are not contingent on </w:t>
      </w:r>
      <w:r w:rsidR="00463546">
        <w:t xml:space="preserve">low or no tax arrangements that will be </w:t>
      </w:r>
      <w:r w:rsidR="004F6053">
        <w:t>affected by Pillar Two</w:t>
      </w:r>
      <w:r w:rsidR="00463546">
        <w:t>. Additionally, multinational</w:t>
      </w:r>
      <w:r w:rsidR="004F6053">
        <w:t>s</w:t>
      </w:r>
      <w:r w:rsidR="001F2B81">
        <w:t xml:space="preserve"> will still wish to earn profits from the Australian market, and as such, </w:t>
      </w:r>
      <w:r w:rsidR="004F6053">
        <w:t>it is</w:t>
      </w:r>
      <w:r w:rsidR="001F2B81">
        <w:t xml:space="preserve"> not expect</w:t>
      </w:r>
      <w:r w:rsidR="004F6053">
        <w:t>ed</w:t>
      </w:r>
      <w:r w:rsidR="001F2B81">
        <w:t xml:space="preserve"> that there will be any restrictions by multinationals to </w:t>
      </w:r>
      <w:r w:rsidR="001C40E0">
        <w:t xml:space="preserve">Australian </w:t>
      </w:r>
      <w:r w:rsidR="00E83B81">
        <w:t>product</w:t>
      </w:r>
      <w:r w:rsidR="001F2B81">
        <w:t xml:space="preserve"> delivery.</w:t>
      </w:r>
    </w:p>
    <w:p w14:paraId="61B36DE8" w14:textId="2AE08FB3" w:rsidR="002B0A53" w:rsidRDefault="008C4F41" w:rsidP="00485F11">
      <w:r>
        <w:t xml:space="preserve">Since Australia already has </w:t>
      </w:r>
      <w:r w:rsidR="007140F6">
        <w:t>a corporate income tax rate above the minimum 15 per cent rate</w:t>
      </w:r>
      <w:r w:rsidR="00132948">
        <w:t>,</w:t>
      </w:r>
      <w:r w:rsidR="00936057">
        <w:t xml:space="preserve"> it is unlikely </w:t>
      </w:r>
      <w:r w:rsidR="007140F6">
        <w:t xml:space="preserve">that </w:t>
      </w:r>
      <w:r w:rsidR="00936057">
        <w:t xml:space="preserve">any Australian based new investment projects (and their associated employment benefits) will be </w:t>
      </w:r>
      <w:r>
        <w:t xml:space="preserve">negatively </w:t>
      </w:r>
      <w:r w:rsidR="00936057">
        <w:t>affected by Pillar Two</w:t>
      </w:r>
      <w:r w:rsidR="00D94A17">
        <w:t>. Given that</w:t>
      </w:r>
      <w:r w:rsidR="007F19B5">
        <w:t xml:space="preserve"> MNEs will have </w:t>
      </w:r>
      <w:r w:rsidR="000B5A80">
        <w:t>less</w:t>
      </w:r>
      <w:r w:rsidR="007F19B5">
        <w:t xml:space="preserve"> incentive to shift their profits to low</w:t>
      </w:r>
      <w:r w:rsidR="007764C6">
        <w:t>er-tax jurisdictions</w:t>
      </w:r>
      <w:r w:rsidR="00182905">
        <w:t xml:space="preserve"> when they can only offer a tax rate as low as 15 per cent</w:t>
      </w:r>
      <w:r w:rsidR="00D94A17">
        <w:t xml:space="preserve">, </w:t>
      </w:r>
      <w:r w:rsidR="00D305D7">
        <w:t>Australia will be</w:t>
      </w:r>
      <w:r w:rsidR="006867C9">
        <w:t>come</w:t>
      </w:r>
      <w:r w:rsidR="00D305D7">
        <w:t xml:space="preserve"> relatively more attractive for new investment </w:t>
      </w:r>
      <w:r w:rsidR="00A84EA3">
        <w:t>compared to now</w:t>
      </w:r>
      <w:r w:rsidR="00132948">
        <w:t>.</w:t>
      </w:r>
      <w:r w:rsidR="002B0A53" w:rsidRPr="002B0A53">
        <w:t xml:space="preserve"> </w:t>
      </w:r>
      <w:r w:rsidR="006F3023" w:rsidRPr="006F3023">
        <w:t xml:space="preserve"> </w:t>
      </w:r>
    </w:p>
    <w:p w14:paraId="68593037" w14:textId="77777777" w:rsidR="008A3AA2" w:rsidRDefault="008A3AA2" w:rsidP="00310BF4">
      <w:pPr>
        <w:pStyle w:val="Heading3"/>
        <w:spacing w:before="120" w:after="120" w:line="240" w:lineRule="auto"/>
      </w:pPr>
      <w:r>
        <w:t xml:space="preserve">Pillar Two </w:t>
      </w:r>
      <w:r w:rsidR="001C2A6B">
        <w:t>compliance costs</w:t>
      </w:r>
      <w:bookmarkEnd w:id="92"/>
      <w:bookmarkEnd w:id="93"/>
    </w:p>
    <w:p w14:paraId="788E9E7C" w14:textId="187EB957" w:rsidR="00E25817" w:rsidRDefault="00DC3424" w:rsidP="00E25817">
      <w:r>
        <w:t>T</w:t>
      </w:r>
      <w:r w:rsidR="000E1CB5">
        <w:t>he</w:t>
      </w:r>
      <w:r w:rsidR="000E1CB5" w:rsidRPr="000E1CB5">
        <w:t xml:space="preserve"> compliance costs of </w:t>
      </w:r>
      <w:r w:rsidR="000E1CB5">
        <w:t>Pillar Two</w:t>
      </w:r>
      <w:r w:rsidR="000E1CB5" w:rsidRPr="000E1CB5">
        <w:t xml:space="preserve"> </w:t>
      </w:r>
      <w:r w:rsidR="000E1CB5">
        <w:t>on in</w:t>
      </w:r>
      <w:r w:rsidR="00C63672">
        <w:t>-</w:t>
      </w:r>
      <w:r w:rsidR="000E1CB5">
        <w:t xml:space="preserve">scope business </w:t>
      </w:r>
      <w:r w:rsidR="003B23DD">
        <w:t>are</w:t>
      </w:r>
      <w:r w:rsidR="000E1CB5" w:rsidRPr="000E1CB5">
        <w:t xml:space="preserve"> expected to be significant. </w:t>
      </w:r>
      <w:r w:rsidR="00CE1AA5">
        <w:t xml:space="preserve">Concerns about complexity and compliance challenges have consistently </w:t>
      </w:r>
      <w:r>
        <w:t xml:space="preserve">been </w:t>
      </w:r>
      <w:r w:rsidR="00E83502">
        <w:t>raised during</w:t>
      </w:r>
      <w:r w:rsidR="00CE1AA5">
        <w:t xml:space="preserve"> public consultation. </w:t>
      </w:r>
      <w:r w:rsidR="00207768">
        <w:t>S</w:t>
      </w:r>
      <w:r w:rsidR="00621855">
        <w:t xml:space="preserve">ignificant increases in the upfront compliance costs of large multinationals’ time and investment </w:t>
      </w:r>
      <w:r w:rsidR="00207768">
        <w:t>are expected</w:t>
      </w:r>
      <w:r w:rsidR="00C8316C">
        <w:t xml:space="preserve">, </w:t>
      </w:r>
      <w:r w:rsidR="00621855">
        <w:t xml:space="preserve">in relation to, but not limited to, </w:t>
      </w:r>
      <w:r w:rsidR="00C8316C">
        <w:t>training</w:t>
      </w:r>
      <w:r w:rsidR="00621855">
        <w:t xml:space="preserve">, business operation planning, and </w:t>
      </w:r>
      <w:r w:rsidR="00E25817">
        <w:t xml:space="preserve">software and/or hardware to support compliance. </w:t>
      </w:r>
      <w:r w:rsidR="005E36CB">
        <w:t xml:space="preserve">Costs of advisory services are also expected to increase as </w:t>
      </w:r>
      <w:r w:rsidR="00E25817">
        <w:t>large multinationals</w:t>
      </w:r>
      <w:r w:rsidR="005E36CB">
        <w:t xml:space="preserve"> are expected to </w:t>
      </w:r>
      <w:r w:rsidR="00E25817">
        <w:t xml:space="preserve">rely on external advisors to support this transition. </w:t>
      </w:r>
    </w:p>
    <w:p w14:paraId="409B942F" w14:textId="7D27DA75" w:rsidR="000E1CB5" w:rsidRDefault="002B0C12" w:rsidP="00E665EC">
      <w:r>
        <w:t>T</w:t>
      </w:r>
      <w:r w:rsidR="000E1CB5">
        <w:t>hese</w:t>
      </w:r>
      <w:r w:rsidR="000E1CB5" w:rsidRPr="000E1CB5">
        <w:t xml:space="preserve"> costs </w:t>
      </w:r>
      <w:r>
        <w:t xml:space="preserve">may </w:t>
      </w:r>
      <w:r w:rsidR="000E1CB5">
        <w:t>be</w:t>
      </w:r>
      <w:r w:rsidR="000E1CB5" w:rsidRPr="000E1CB5">
        <w:t xml:space="preserve"> reduced</w:t>
      </w:r>
      <w:r>
        <w:t xml:space="preserve"> to some extent</w:t>
      </w:r>
      <w:r w:rsidR="000E1CB5" w:rsidRPr="000E1CB5">
        <w:t xml:space="preserve"> through the </w:t>
      </w:r>
      <w:r w:rsidR="00163AC2">
        <w:t>addition</w:t>
      </w:r>
      <w:r w:rsidR="000E1CB5" w:rsidRPr="000E1CB5">
        <w:t xml:space="preserve"> of safe harbour provisions</w:t>
      </w:r>
      <w:r w:rsidR="006E302E" w:rsidRPr="000E1CB5">
        <w:t>.</w:t>
      </w:r>
      <w:r w:rsidR="006E302E">
        <w:rPr>
          <w:rStyle w:val="CommentReference"/>
        </w:rPr>
        <w:t xml:space="preserve"> </w:t>
      </w:r>
      <w:r w:rsidR="005D6409">
        <w:t xml:space="preserve">Pillar </w:t>
      </w:r>
      <w:r w:rsidR="00AE4064">
        <w:t>Two will</w:t>
      </w:r>
      <w:r w:rsidR="006E302E">
        <w:t xml:space="preserve"> </w:t>
      </w:r>
      <w:r w:rsidR="005D6409">
        <w:t xml:space="preserve">require </w:t>
      </w:r>
      <w:r w:rsidR="006E302E">
        <w:t>a new global income tax</w:t>
      </w:r>
      <w:r w:rsidR="006E302E" w:rsidRPr="006E302E">
        <w:t xml:space="preserve"> return </w:t>
      </w:r>
      <w:r w:rsidR="008436CB">
        <w:t xml:space="preserve">(known as the </w:t>
      </w:r>
      <w:proofErr w:type="spellStart"/>
      <w:r w:rsidR="008436CB">
        <w:t>GloBE</w:t>
      </w:r>
      <w:proofErr w:type="spellEnd"/>
      <w:r w:rsidR="008436CB">
        <w:t xml:space="preserve"> </w:t>
      </w:r>
      <w:r w:rsidR="00250259">
        <w:t>I</w:t>
      </w:r>
      <w:r w:rsidR="008436CB">
        <w:t xml:space="preserve">nformation </w:t>
      </w:r>
      <w:r w:rsidR="00250259">
        <w:t>R</w:t>
      </w:r>
      <w:r w:rsidR="008436CB">
        <w:t xml:space="preserve">eturn) </w:t>
      </w:r>
      <w:r w:rsidR="005D6409">
        <w:t>to be</w:t>
      </w:r>
      <w:r w:rsidR="006E302E" w:rsidRPr="006E302E">
        <w:t xml:space="preserve"> lodged and shared between tax administrations, </w:t>
      </w:r>
      <w:r w:rsidR="005D6409">
        <w:t>and it is</w:t>
      </w:r>
      <w:r w:rsidR="005D6409" w:rsidRPr="006E302E">
        <w:t xml:space="preserve"> </w:t>
      </w:r>
      <w:r w:rsidR="006E302E" w:rsidRPr="006E302E">
        <w:t>also likely that jurisdiction</w:t>
      </w:r>
      <w:r w:rsidR="00FF01C2">
        <w:t>s</w:t>
      </w:r>
      <w:r w:rsidR="006E302E" w:rsidRPr="006E302E">
        <w:t xml:space="preserve"> </w:t>
      </w:r>
      <w:r w:rsidR="00FF01C2">
        <w:t>may</w:t>
      </w:r>
      <w:r w:rsidR="00FF01C2" w:rsidRPr="006E302E">
        <w:t xml:space="preserve"> </w:t>
      </w:r>
      <w:r w:rsidR="006E302E" w:rsidRPr="006E302E">
        <w:t xml:space="preserve">require </w:t>
      </w:r>
      <w:r w:rsidR="00FF01C2">
        <w:t xml:space="preserve">additional </w:t>
      </w:r>
      <w:r w:rsidR="006E302E" w:rsidRPr="006E302E">
        <w:t xml:space="preserve">local lodgements associated with </w:t>
      </w:r>
      <w:r w:rsidR="006E302E">
        <w:t xml:space="preserve">the </w:t>
      </w:r>
      <w:proofErr w:type="spellStart"/>
      <w:r w:rsidR="007C0AF0">
        <w:t>GloBE</w:t>
      </w:r>
      <w:proofErr w:type="spellEnd"/>
      <w:r w:rsidR="007C0AF0">
        <w:t xml:space="preserve"> Information Return</w:t>
      </w:r>
      <w:r w:rsidR="007C0AF0" w:rsidDel="007C0AF0">
        <w:t xml:space="preserve"> </w:t>
      </w:r>
      <w:r w:rsidR="005D6409">
        <w:t>and</w:t>
      </w:r>
      <w:r w:rsidR="00464623">
        <w:t>/or</w:t>
      </w:r>
      <w:r w:rsidR="005D6409">
        <w:t xml:space="preserve"> any domestic minimum tax</w:t>
      </w:r>
      <w:r w:rsidR="00464623">
        <w:t>es</w:t>
      </w:r>
      <w:r w:rsidR="006E302E">
        <w:t xml:space="preserve">. </w:t>
      </w:r>
    </w:p>
    <w:p w14:paraId="7E540A63" w14:textId="210DD30E" w:rsidR="00420F6B" w:rsidRDefault="006A3B34" w:rsidP="00A17CED">
      <w:r>
        <w:t xml:space="preserve">Compliance costs </w:t>
      </w:r>
      <w:r w:rsidR="00051258">
        <w:t xml:space="preserve">may </w:t>
      </w:r>
      <w:r>
        <w:t xml:space="preserve">be reduced </w:t>
      </w:r>
      <w:r w:rsidR="00CD1628">
        <w:t xml:space="preserve">where </w:t>
      </w:r>
      <w:r w:rsidR="00320CE9">
        <w:t>domestic minimum tax</w:t>
      </w:r>
      <w:r w:rsidR="00320CE9" w:rsidRPr="00320CE9">
        <w:t xml:space="preserve"> </w:t>
      </w:r>
      <w:r w:rsidR="00CD1628">
        <w:t xml:space="preserve">design </w:t>
      </w:r>
      <w:r w:rsidR="00320CE9" w:rsidRPr="00320CE9">
        <w:t>mirror</w:t>
      </w:r>
      <w:r>
        <w:t>s</w:t>
      </w:r>
      <w:r w:rsidR="00320CE9" w:rsidRPr="00320CE9">
        <w:t xml:space="preserve"> </w:t>
      </w:r>
      <w:r w:rsidR="005D6409">
        <w:t xml:space="preserve">the </w:t>
      </w:r>
      <w:proofErr w:type="spellStart"/>
      <w:r w:rsidR="009302DD">
        <w:t>GloBE</w:t>
      </w:r>
      <w:proofErr w:type="spellEnd"/>
      <w:r w:rsidR="009302DD">
        <w:t xml:space="preserve"> Model Rules</w:t>
      </w:r>
      <w:r w:rsidR="00B8462C">
        <w:t xml:space="preserve">. </w:t>
      </w:r>
      <w:r w:rsidR="006C39FB">
        <w:t>This is because</w:t>
      </w:r>
      <w:r w:rsidR="00147D8A">
        <w:t xml:space="preserve"> </w:t>
      </w:r>
      <w:r w:rsidR="00B8462C">
        <w:t xml:space="preserve">there </w:t>
      </w:r>
      <w:r w:rsidR="004B0150">
        <w:t>will be</w:t>
      </w:r>
      <w:r w:rsidR="00147D8A">
        <w:t xml:space="preserve"> fewer intricacies that a multinational will need to understand to comply with the</w:t>
      </w:r>
      <w:r w:rsidR="00B8462C">
        <w:t xml:space="preserve"> domestic minimum tax </w:t>
      </w:r>
      <w:r w:rsidR="00147D8A">
        <w:t>legislation.</w:t>
      </w:r>
      <w:r w:rsidR="00D20439">
        <w:t xml:space="preserve"> Since the absence of a domestic minimum tax would result in affected businesses being liable to pay top-up tax to other jurisdictions, </w:t>
      </w:r>
      <w:r w:rsidR="0052425F">
        <w:t>interacting with a local tax authority in relation to a domestic minimum tax is potentially a less burdensome</w:t>
      </w:r>
      <w:r w:rsidR="00671AB9">
        <w:t xml:space="preserve"> implementation option.</w:t>
      </w:r>
    </w:p>
    <w:p w14:paraId="0598A429" w14:textId="77777777" w:rsidR="00163AC2" w:rsidRDefault="00163AC2" w:rsidP="00163AC2">
      <w:r>
        <w:t xml:space="preserve">The OECD has argued that the existence of Pillar Two will help moderate countries going it alone with their own unique solutions, which may stifle global tax certainty. A globally harmonised approach could </w:t>
      </w:r>
      <w:r w:rsidR="005D6409">
        <w:t xml:space="preserve">therefore </w:t>
      </w:r>
      <w:r>
        <w:t xml:space="preserve">lower overall compliance costs </w:t>
      </w:r>
      <w:r w:rsidR="003B23DD">
        <w:t xml:space="preserve">over time </w:t>
      </w:r>
      <w:r>
        <w:t xml:space="preserve">compared to ad-hoc unilateral measures </w:t>
      </w:r>
      <w:r w:rsidR="001979A0">
        <w:t>(</w:t>
      </w:r>
      <w:r w:rsidR="0025629C">
        <w:t>e.g.</w:t>
      </w:r>
      <w:r w:rsidR="001979A0">
        <w:t xml:space="preserve"> each jurisdiction adopting unique domestic minimum taxes).</w:t>
      </w:r>
      <w:r>
        <w:t xml:space="preserve">  </w:t>
      </w:r>
    </w:p>
    <w:p w14:paraId="4BDE7F07" w14:textId="77777777" w:rsidR="00163AC2" w:rsidRDefault="00163AC2" w:rsidP="00E665EC">
      <w:pPr>
        <w:rPr>
          <w:rFonts w:cs="Arial"/>
          <w:color w:val="4D7861" w:themeColor="accent2"/>
          <w:kern w:val="32"/>
          <w:sz w:val="24"/>
          <w:szCs w:val="26"/>
        </w:rPr>
      </w:pPr>
      <w:r w:rsidRPr="00163AC2">
        <w:rPr>
          <w:rFonts w:cs="Arial"/>
          <w:color w:val="4D7861" w:themeColor="accent2"/>
          <w:kern w:val="32"/>
          <w:sz w:val="24"/>
          <w:szCs w:val="26"/>
        </w:rPr>
        <w:t>Population of affected Australian businesses</w:t>
      </w:r>
    </w:p>
    <w:p w14:paraId="31BC09FC" w14:textId="507116EA" w:rsidR="00163AC2" w:rsidRDefault="00163AC2" w:rsidP="00E665EC">
      <w:r>
        <w:t xml:space="preserve">Compared to Pillar One, the scope of Pillar Two is much broader due to a lower revenue threshold of only </w:t>
      </w:r>
      <w:r w:rsidR="00066304">
        <w:t>EUR</w:t>
      </w:r>
      <w:r w:rsidRPr="00044CE3">
        <w:t>750 million</w:t>
      </w:r>
      <w:r w:rsidR="00823BE4">
        <w:t xml:space="preserve"> and no profitability threshold</w:t>
      </w:r>
      <w:r w:rsidR="00066304">
        <w:t>.</w:t>
      </w:r>
      <w:r w:rsidRPr="00044CE3">
        <w:t xml:space="preserve"> </w:t>
      </w:r>
      <w:r>
        <w:t xml:space="preserve">The estimated population of businesses in Australia </w:t>
      </w:r>
      <w:r w:rsidR="00066304">
        <w:t xml:space="preserve">captured </w:t>
      </w:r>
      <w:r>
        <w:t>by Pillar Two is still uncertain at this stage</w:t>
      </w:r>
      <w:r w:rsidR="00E84BE0">
        <w:t>, however, based on the number of multination</w:t>
      </w:r>
      <w:r w:rsidR="00B6745A">
        <w:t>a</w:t>
      </w:r>
      <w:r w:rsidR="00E84BE0">
        <w:t>ls self-identifying as Significant Global Entities, with global income exceeding $1 billion is in the order of about 5,000.</w:t>
      </w:r>
      <w:r w:rsidR="00110A0A">
        <w:t xml:space="preserve"> However, only a subset of these entities </w:t>
      </w:r>
      <w:r w:rsidR="009E3919">
        <w:t xml:space="preserve">would be </w:t>
      </w:r>
      <w:r w:rsidR="00972EFD">
        <w:t>subject</w:t>
      </w:r>
      <w:r w:rsidR="009E3919">
        <w:t xml:space="preserve"> to top-up taxes requiring detailed engagement with the </w:t>
      </w:r>
      <w:r w:rsidR="008E12FA">
        <w:t xml:space="preserve">Pillar Two rules. </w:t>
      </w:r>
      <w:r w:rsidR="00DA2A8D">
        <w:t xml:space="preserve">It is currently estimated that there are about </w:t>
      </w:r>
      <w:r w:rsidR="005C5C7E">
        <w:t>1</w:t>
      </w:r>
      <w:r w:rsidR="00DA2A8D">
        <w:t xml:space="preserve">40 Australian headquartered multinationals </w:t>
      </w:r>
      <w:r w:rsidR="00EF0FFD">
        <w:t xml:space="preserve">or </w:t>
      </w:r>
      <w:r w:rsidR="00C93E09">
        <w:t xml:space="preserve">Australian </w:t>
      </w:r>
      <w:r w:rsidR="00EF0FFD">
        <w:t xml:space="preserve">subsidiaries of </w:t>
      </w:r>
      <w:r w:rsidR="00B700A0">
        <w:t>foreign multinationals</w:t>
      </w:r>
      <w:r w:rsidR="005C5C7E">
        <w:t xml:space="preserve"> </w:t>
      </w:r>
      <w:r w:rsidR="009965E6">
        <w:t xml:space="preserve">that would likely be subject to top-up taxes under the Pillar Two </w:t>
      </w:r>
      <w:r w:rsidR="00D37943">
        <w:t xml:space="preserve">rules </w:t>
      </w:r>
      <w:r w:rsidR="00A762D6">
        <w:t xml:space="preserve">and/or a domestic minimum tax. </w:t>
      </w:r>
    </w:p>
    <w:p w14:paraId="15D7C53E" w14:textId="6FADBD9D" w:rsidR="00163AC2" w:rsidRDefault="00163AC2" w:rsidP="00E665EC">
      <w:r>
        <w:lastRenderedPageBreak/>
        <w:t>The design o</w:t>
      </w:r>
      <w:r w:rsidR="00A51791">
        <w:t>f</w:t>
      </w:r>
      <w:r>
        <w:t xml:space="preserve"> Pillar Two is novel in that even if a country has not signed up to Pillar Two,</w:t>
      </w:r>
      <w:r w:rsidR="00EF2334">
        <w:t xml:space="preserve"> </w:t>
      </w:r>
      <w:r>
        <w:t>multination</w:t>
      </w:r>
      <w:r w:rsidR="00A24FD8">
        <w:t>a</w:t>
      </w:r>
      <w:r>
        <w:t xml:space="preserve">ls operating in that country may still be obliged to comply </w:t>
      </w:r>
      <w:r w:rsidR="00A51791">
        <w:t xml:space="preserve">if </w:t>
      </w:r>
      <w:r>
        <w:t xml:space="preserve">they have subsidiaries in countries that have adopted Pillar Two. </w:t>
      </w:r>
      <w:r w:rsidR="003E5C7F">
        <w:t>Therefore,</w:t>
      </w:r>
      <w:r>
        <w:t xml:space="preserve"> just one </w:t>
      </w:r>
      <w:r w:rsidR="00E8564B">
        <w:t>entity</w:t>
      </w:r>
      <w:r>
        <w:t xml:space="preserve"> of the multinational </w:t>
      </w:r>
      <w:r w:rsidR="0010473B">
        <w:t xml:space="preserve">operating </w:t>
      </w:r>
      <w:r>
        <w:t xml:space="preserve">in </w:t>
      </w:r>
      <w:r w:rsidR="00B94D4B">
        <w:t xml:space="preserve">a </w:t>
      </w:r>
      <w:r>
        <w:t xml:space="preserve">single jurisdiction </w:t>
      </w:r>
      <w:r w:rsidR="0010473B">
        <w:t>which implements Pillar Two</w:t>
      </w:r>
      <w:r>
        <w:t xml:space="preserve"> </w:t>
      </w:r>
      <w:r w:rsidR="00E8564B">
        <w:t xml:space="preserve">could bring </w:t>
      </w:r>
      <w:r>
        <w:t>the whole mu</w:t>
      </w:r>
      <w:r w:rsidR="00E8564B">
        <w:t>ltinational</w:t>
      </w:r>
      <w:r w:rsidR="00B031A7">
        <w:t>’</w:t>
      </w:r>
      <w:r w:rsidR="00F36367">
        <w:t xml:space="preserve">s global operations </w:t>
      </w:r>
      <w:r>
        <w:t>into scope</w:t>
      </w:r>
      <w:r w:rsidR="00E8564B">
        <w:t xml:space="preserve"> of Pillar Two</w:t>
      </w:r>
      <w:r>
        <w:t>.</w:t>
      </w:r>
      <w:r w:rsidR="001B4F1D">
        <w:t xml:space="preserve"> This also means that the decision of a</w:t>
      </w:r>
      <w:r w:rsidR="004F6658">
        <w:t>ny</w:t>
      </w:r>
      <w:r w:rsidR="001B4F1D">
        <w:t xml:space="preserve"> jurisdiction to implement Pillar Two or not will have limited impact on the compliance </w:t>
      </w:r>
      <w:r w:rsidR="00040327">
        <w:t xml:space="preserve">impact of Pillar Two across </w:t>
      </w:r>
      <w:r w:rsidR="004F6658">
        <w:t>a</w:t>
      </w:r>
      <w:r w:rsidR="00040327">
        <w:t xml:space="preserve"> multinational</w:t>
      </w:r>
      <w:r w:rsidR="004F6658">
        <w:t xml:space="preserve"> </w:t>
      </w:r>
      <w:r w:rsidR="009A0079">
        <w:t>G</w:t>
      </w:r>
      <w:r w:rsidR="004F6658">
        <w:t>roup</w:t>
      </w:r>
      <w:r w:rsidR="00040327">
        <w:t>.</w:t>
      </w:r>
    </w:p>
    <w:p w14:paraId="11B693F3" w14:textId="77777777" w:rsidR="000E1CB5" w:rsidRDefault="000E1CB5" w:rsidP="00310BF4">
      <w:pPr>
        <w:pStyle w:val="Heading4"/>
        <w:spacing w:before="120" w:after="120" w:line="240" w:lineRule="auto"/>
      </w:pPr>
      <w:bookmarkStart w:id="96" w:name="_Hlk114497705"/>
      <w:r>
        <w:t>Regulatory obligations on in-scope Pillar Two companies</w:t>
      </w:r>
    </w:p>
    <w:p w14:paraId="24567C23" w14:textId="77777777" w:rsidR="001D5AB4" w:rsidRDefault="00EF70AD" w:rsidP="001D5AB4">
      <w:r>
        <w:t>M</w:t>
      </w:r>
      <w:r w:rsidR="001D5AB4">
        <w:t xml:space="preserve">ultinationals </w:t>
      </w:r>
      <w:r>
        <w:t>w</w:t>
      </w:r>
      <w:r w:rsidR="009A419D">
        <w:t>ill</w:t>
      </w:r>
      <w:r>
        <w:t xml:space="preserve"> need to monitor whether the jurisdictions in which </w:t>
      </w:r>
      <w:r w:rsidR="009A419D">
        <w:t>they</w:t>
      </w:r>
      <w:r>
        <w:t xml:space="preserve"> operate implement Pillar Two and </w:t>
      </w:r>
      <w:r w:rsidR="009A419D">
        <w:t xml:space="preserve">if so, </w:t>
      </w:r>
      <w:r w:rsidR="001D5AB4">
        <w:t xml:space="preserve">determine </w:t>
      </w:r>
      <w:r w:rsidR="009A419D">
        <w:t xml:space="preserve">whether they meet the revenue threshold to fall within the scope </w:t>
      </w:r>
      <w:r w:rsidR="00275900">
        <w:t>of the</w:t>
      </w:r>
      <w:r w:rsidR="001D5AB4">
        <w:t xml:space="preserve"> </w:t>
      </w:r>
      <w:proofErr w:type="spellStart"/>
      <w:r w:rsidR="001D5AB4">
        <w:t>GloBE</w:t>
      </w:r>
      <w:proofErr w:type="spellEnd"/>
      <w:r w:rsidR="001D5AB4">
        <w:t xml:space="preserve"> </w:t>
      </w:r>
      <w:r w:rsidR="00567C69">
        <w:t xml:space="preserve">Model </w:t>
      </w:r>
      <w:r w:rsidR="001D5AB4">
        <w:t xml:space="preserve">Rules. </w:t>
      </w:r>
      <w:r w:rsidR="009A419D">
        <w:t xml:space="preserve">Where </w:t>
      </w:r>
      <w:r w:rsidR="001D5AB4">
        <w:t xml:space="preserve">multinationals </w:t>
      </w:r>
      <w:r w:rsidR="009A419D">
        <w:t xml:space="preserve">are in scope of Pillar Two, </w:t>
      </w:r>
      <w:r w:rsidR="00E959D3">
        <w:t xml:space="preserve">subject to the application of safe harbours, </w:t>
      </w:r>
      <w:r w:rsidR="009A419D">
        <w:t xml:space="preserve">they </w:t>
      </w:r>
      <w:r w:rsidR="001D5AB4">
        <w:t xml:space="preserve">will </w:t>
      </w:r>
      <w:r w:rsidR="009A419D">
        <w:t xml:space="preserve">need </w:t>
      </w:r>
      <w:r w:rsidR="001D5AB4">
        <w:t xml:space="preserve">to comply with complex domestic </w:t>
      </w:r>
      <w:r w:rsidR="001D5AB4" w:rsidRPr="005C49B3">
        <w:t xml:space="preserve">legislation </w:t>
      </w:r>
      <w:r w:rsidR="001D5AB4">
        <w:t xml:space="preserve">to determine </w:t>
      </w:r>
      <w:r w:rsidR="009A419D">
        <w:t xml:space="preserve">the </w:t>
      </w:r>
      <w:r w:rsidR="001D5AB4">
        <w:t xml:space="preserve">effective tax rates and any potential under-taxation in jurisdictions in which they operate. If top-up tax is payable, multinationals </w:t>
      </w:r>
      <w:r w:rsidR="009A419D">
        <w:t xml:space="preserve">will </w:t>
      </w:r>
      <w:r w:rsidR="00E959D3">
        <w:t xml:space="preserve">not only bear the cost of that top-up </w:t>
      </w:r>
      <w:r w:rsidR="00E83502">
        <w:t>tax,</w:t>
      </w:r>
      <w:r w:rsidR="00E959D3">
        <w:t xml:space="preserve"> but they will </w:t>
      </w:r>
      <w:r w:rsidR="001D5AB4">
        <w:t xml:space="preserve">also need to determine where that tax should be paid. </w:t>
      </w:r>
    </w:p>
    <w:p w14:paraId="24E520A9" w14:textId="1F846EE5" w:rsidR="001D5AB4" w:rsidRDefault="001D5AB4" w:rsidP="001D5AB4">
      <w:r>
        <w:t xml:space="preserve">Regardless of whether a top-up tax liability exists, all in-scope multinationals will need to complete </w:t>
      </w:r>
      <w:r w:rsidR="008436CB">
        <w:t>the</w:t>
      </w:r>
      <w:r w:rsidR="007A043A">
        <w:t xml:space="preserve"> </w:t>
      </w:r>
      <w:proofErr w:type="spellStart"/>
      <w:r w:rsidR="007A043A">
        <w:t>Glo</w:t>
      </w:r>
      <w:r w:rsidR="006D7D41">
        <w:t>BE</w:t>
      </w:r>
      <w:proofErr w:type="spellEnd"/>
      <w:r>
        <w:t xml:space="preserve"> Information Return. It is likely Pillar Two will </w:t>
      </w:r>
      <w:r w:rsidR="00F51241">
        <w:t>also require</w:t>
      </w:r>
      <w:r>
        <w:t xml:space="preserve"> additional domestic forms to be filed in each jurisdiction they operate in. </w:t>
      </w:r>
      <w:r w:rsidR="00CD113C">
        <w:t>Where jurisdictions qualify for a s</w:t>
      </w:r>
      <w:r w:rsidR="00E959D3">
        <w:t>afe harbour</w:t>
      </w:r>
      <w:r w:rsidR="00CD113C">
        <w:t>, this</w:t>
      </w:r>
      <w:r w:rsidR="00E959D3">
        <w:t xml:space="preserve"> may reduce the amount of information required to be disclosed in </w:t>
      </w:r>
      <w:r w:rsidR="00CD113C">
        <w:t>any returns that are required to be lodged.</w:t>
      </w:r>
    </w:p>
    <w:p w14:paraId="0522B3FD" w14:textId="77777777" w:rsidR="001D5AB4" w:rsidRDefault="001D5AB4" w:rsidP="001D5AB4">
      <w:r w:rsidRPr="006A4397">
        <w:t xml:space="preserve">Most </w:t>
      </w:r>
      <w:r w:rsidR="002F566A">
        <w:t xml:space="preserve">of the </w:t>
      </w:r>
      <w:r w:rsidRPr="006A4397">
        <w:t xml:space="preserve">information </w:t>
      </w:r>
      <w:r w:rsidR="002F566A">
        <w:t xml:space="preserve">that </w:t>
      </w:r>
      <w:r>
        <w:t xml:space="preserve">multinationals </w:t>
      </w:r>
      <w:r w:rsidR="002F566A">
        <w:t xml:space="preserve">require </w:t>
      </w:r>
      <w:r>
        <w:t>should be</w:t>
      </w:r>
      <w:r w:rsidRPr="006A4397">
        <w:t xml:space="preserve"> available through </w:t>
      </w:r>
      <w:r>
        <w:t>existing internal</w:t>
      </w:r>
      <w:r w:rsidRPr="006A4397">
        <w:t xml:space="preserve"> accounting information systems. </w:t>
      </w:r>
      <w:r>
        <w:t xml:space="preserve">Nonetheless, significant upfront and ongoing costs associated with amending existing reporting processes as well as establishing new internal assurance processes may be expected. </w:t>
      </w:r>
    </w:p>
    <w:p w14:paraId="1F5F940E" w14:textId="716BB8CC" w:rsidR="008F61EC" w:rsidRDefault="008F61EC" w:rsidP="00310BF4">
      <w:pPr>
        <w:pStyle w:val="Heading4"/>
        <w:spacing w:before="120" w:after="120" w:line="240" w:lineRule="auto"/>
      </w:pPr>
      <w:r>
        <w:t>S</w:t>
      </w:r>
      <w:r w:rsidR="00147D8A">
        <w:t xml:space="preserve">ubject </w:t>
      </w:r>
      <w:r w:rsidR="00984BA0">
        <w:t xml:space="preserve">to </w:t>
      </w:r>
      <w:r>
        <w:t>T</w:t>
      </w:r>
      <w:r w:rsidR="00984BA0">
        <w:t xml:space="preserve">ax </w:t>
      </w:r>
      <w:r>
        <w:t>R</w:t>
      </w:r>
      <w:r w:rsidR="00984BA0">
        <w:t>ule</w:t>
      </w:r>
      <w:r>
        <w:t xml:space="preserve"> </w:t>
      </w:r>
      <w:r w:rsidR="00984BA0">
        <w:t>(STTR)</w:t>
      </w:r>
      <w:r w:rsidR="00431144">
        <w:t xml:space="preserve"> </w:t>
      </w:r>
      <w:r>
        <w:t>compliance costs</w:t>
      </w:r>
    </w:p>
    <w:p w14:paraId="41308971" w14:textId="0C4840B1" w:rsidR="001D5AB4" w:rsidRDefault="001D5AB4" w:rsidP="001D5AB4">
      <w:r>
        <w:t xml:space="preserve">The Inclusive Framework will develop a </w:t>
      </w:r>
      <w:r w:rsidR="00287E67">
        <w:t>M</w:t>
      </w:r>
      <w:r>
        <w:t xml:space="preserve">ultilateral </w:t>
      </w:r>
      <w:r w:rsidR="00287E67">
        <w:t>I</w:t>
      </w:r>
      <w:r>
        <w:t>nstrument to facilitate implementation of the STTR in relevant bilateral tax treaties and a process to assist in implementing the STTR will be agreed. To the extent a</w:t>
      </w:r>
      <w:r w:rsidR="00180836">
        <w:t>n</w:t>
      </w:r>
      <w:r>
        <w:t xml:space="preserve"> STTR is included in relevant bilateral tax treaties (including bilateral tax treaties between jurisdictions other than Australia), multinational groups that seek treaty benefits in relation to their operations and activities will be affected, with the STTR applying to interest, royalties and a defined set of other payments yet to be settled. This may lead to additional compliance costs. </w:t>
      </w:r>
    </w:p>
    <w:p w14:paraId="7E157D54" w14:textId="77777777" w:rsidR="001D5AB4" w:rsidRDefault="001D5AB4" w:rsidP="001D5AB4">
      <w:r>
        <w:t xml:space="preserve">There will also be upfront costs for Australian entities to understand the </w:t>
      </w:r>
      <w:r w:rsidR="007F4FF6">
        <w:t>STTR</w:t>
      </w:r>
      <w:r>
        <w:t xml:space="preserve"> if Australia is required to implement one due to a request from a developing country for a respective bilateral tax treaty. The technical detail of precisely what income is included and the thresholds to trigger </w:t>
      </w:r>
      <w:r w:rsidR="007F4FF6">
        <w:t>an STTR</w:t>
      </w:r>
      <w:r>
        <w:t xml:space="preserve"> application are yet to be finalised. However, the rule draws on existing understood principles under tax treaties and the OECD work is looking into collection mechanisms that minimise complexity and eases administration. </w:t>
      </w:r>
    </w:p>
    <w:p w14:paraId="1975F215" w14:textId="77777777" w:rsidR="005D35FA" w:rsidRDefault="001D5AB4" w:rsidP="0080610E">
      <w:r>
        <w:t>Even if Australia is not requested to include a</w:t>
      </w:r>
      <w:r w:rsidR="007F4FF6">
        <w:t>n STTR</w:t>
      </w:r>
      <w:r>
        <w:t xml:space="preserve"> in its tax treaties, Australian multinationals may be required to understand the </w:t>
      </w:r>
      <w:r w:rsidR="00F36367">
        <w:t>S</w:t>
      </w:r>
      <w:r w:rsidR="007F4FF6">
        <w:t>TTR</w:t>
      </w:r>
      <w:r>
        <w:t xml:space="preserve"> to the extent it operates in other countries and accesses other countries’ bilateral tax treaties where a</w:t>
      </w:r>
      <w:r w:rsidR="007F4FF6">
        <w:t>n STTR</w:t>
      </w:r>
      <w:r>
        <w:t xml:space="preserve"> is included.</w:t>
      </w:r>
      <w:r w:rsidR="00064D65">
        <w:br/>
      </w:r>
    </w:p>
    <w:tbl>
      <w:tblPr>
        <w:tblpPr w:leftFromText="180" w:rightFromText="180" w:vertAnchor="text" w:horzAnchor="margin" w:tblpY="-51"/>
        <w:tblW w:w="5000" w:type="pct"/>
        <w:shd w:val="clear" w:color="auto" w:fill="FEF8F4"/>
        <w:tblCellMar>
          <w:top w:w="227" w:type="dxa"/>
          <w:left w:w="227" w:type="dxa"/>
          <w:bottom w:w="227" w:type="dxa"/>
          <w:right w:w="227" w:type="dxa"/>
        </w:tblCellMar>
        <w:tblLook w:val="04A0" w:firstRow="1" w:lastRow="0" w:firstColumn="1" w:lastColumn="0" w:noHBand="0" w:noVBand="1"/>
      </w:tblPr>
      <w:tblGrid>
        <w:gridCol w:w="9070"/>
      </w:tblGrid>
      <w:tr w:rsidR="004E0EEA" w14:paraId="3E0A79BE" w14:textId="77777777" w:rsidTr="004E0EEA">
        <w:tc>
          <w:tcPr>
            <w:tcW w:w="5000" w:type="pct"/>
            <w:shd w:val="clear" w:color="auto" w:fill="FEF8F4"/>
          </w:tcPr>
          <w:p w14:paraId="5CD4DF20" w14:textId="77777777" w:rsidR="00163AC2" w:rsidRDefault="00756A02" w:rsidP="00310BF4">
            <w:pPr>
              <w:pStyle w:val="TextOpensans"/>
              <w:spacing w:before="120" w:after="120" w:line="240" w:lineRule="auto"/>
            </w:pPr>
            <w:r w:rsidRPr="00756A02">
              <w:rPr>
                <w:rFonts w:ascii="Calibri Light" w:eastAsia="Times New Roman" w:hAnsi="Calibri Light" w:cs="Times New Roman"/>
                <w:szCs w:val="20"/>
                <w:lang w:eastAsia="en-AU"/>
              </w:rPr>
              <w:lastRenderedPageBreak/>
              <w:t>Australian</w:t>
            </w:r>
            <w:r w:rsidR="00063D66">
              <w:rPr>
                <w:rFonts w:ascii="Calibri Light" w:eastAsia="Times New Roman" w:hAnsi="Calibri Light" w:cs="Times New Roman"/>
                <w:szCs w:val="20"/>
                <w:lang w:eastAsia="en-AU"/>
              </w:rPr>
              <w:t>-</w:t>
            </w:r>
            <w:r w:rsidRPr="00756A02">
              <w:rPr>
                <w:rFonts w:ascii="Calibri Light" w:eastAsia="Times New Roman" w:hAnsi="Calibri Light" w:cs="Times New Roman"/>
                <w:szCs w:val="20"/>
                <w:lang w:eastAsia="en-AU"/>
              </w:rPr>
              <w:t>headquartered multination</w:t>
            </w:r>
            <w:r w:rsidR="00063D66">
              <w:rPr>
                <w:rFonts w:ascii="Calibri Light" w:eastAsia="Times New Roman" w:hAnsi="Calibri Light" w:cs="Times New Roman"/>
                <w:szCs w:val="20"/>
                <w:lang w:eastAsia="en-AU"/>
              </w:rPr>
              <w:t>a</w:t>
            </w:r>
            <w:r w:rsidRPr="00756A02">
              <w:rPr>
                <w:rFonts w:ascii="Calibri Light" w:eastAsia="Times New Roman" w:hAnsi="Calibri Light" w:cs="Times New Roman"/>
                <w:szCs w:val="20"/>
                <w:lang w:eastAsia="en-AU"/>
              </w:rPr>
              <w:t xml:space="preserve">ls </w:t>
            </w:r>
            <w:r w:rsidR="00C7508D">
              <w:rPr>
                <w:rFonts w:ascii="Calibri Light" w:eastAsia="Times New Roman" w:hAnsi="Calibri Light" w:cs="Times New Roman"/>
                <w:szCs w:val="20"/>
                <w:lang w:eastAsia="en-AU"/>
              </w:rPr>
              <w:t xml:space="preserve">will need to incur the following costs </w:t>
            </w:r>
            <w:r w:rsidR="00273B38">
              <w:rPr>
                <w:rFonts w:ascii="Calibri Light" w:eastAsia="Times New Roman" w:hAnsi="Calibri Light" w:cs="Times New Roman"/>
                <w:szCs w:val="20"/>
                <w:lang w:eastAsia="en-AU"/>
              </w:rPr>
              <w:t xml:space="preserve">to comply with the Pillar Two rules: </w:t>
            </w:r>
          </w:p>
          <w:p w14:paraId="6D80C41C" w14:textId="77777777" w:rsidR="006213D1" w:rsidRDefault="006213D1" w:rsidP="009C440B">
            <w:pPr>
              <w:pStyle w:val="Bullet"/>
              <w:spacing w:after="120" w:line="240" w:lineRule="auto"/>
            </w:pPr>
            <w:r>
              <w:t xml:space="preserve">Upfront cost to understand the new Pillar Two </w:t>
            </w:r>
            <w:proofErr w:type="gramStart"/>
            <w:r w:rsidR="00273B38">
              <w:t>rules</w:t>
            </w:r>
            <w:r w:rsidR="00284013">
              <w:t>;</w:t>
            </w:r>
            <w:proofErr w:type="gramEnd"/>
          </w:p>
          <w:p w14:paraId="7FF05F2D" w14:textId="77777777" w:rsidR="006213D1" w:rsidRDefault="006213D1" w:rsidP="009C440B">
            <w:pPr>
              <w:pStyle w:val="Bullet"/>
              <w:spacing w:after="120" w:line="240" w:lineRule="auto"/>
            </w:pPr>
            <w:r>
              <w:t xml:space="preserve">Upfront cost to </w:t>
            </w:r>
            <w:r w:rsidR="00C53DA0">
              <w:t xml:space="preserve">update systems to </w:t>
            </w:r>
            <w:r>
              <w:t xml:space="preserve">gather data </w:t>
            </w:r>
            <w:r w:rsidR="00C53DA0">
              <w:t xml:space="preserve">according to the </w:t>
            </w:r>
            <w:r>
              <w:t xml:space="preserve">Pillar Two </w:t>
            </w:r>
            <w:proofErr w:type="gramStart"/>
            <w:r w:rsidR="00C53DA0">
              <w:t>rules</w:t>
            </w:r>
            <w:r w:rsidR="00284013">
              <w:t>;</w:t>
            </w:r>
            <w:proofErr w:type="gramEnd"/>
            <w:r w:rsidR="00063D66">
              <w:t xml:space="preserve"> and</w:t>
            </w:r>
          </w:p>
          <w:p w14:paraId="43804F0A" w14:textId="77777777" w:rsidR="00754B88" w:rsidRDefault="006213D1" w:rsidP="009C440B">
            <w:pPr>
              <w:pStyle w:val="Bullet"/>
              <w:spacing w:after="120" w:line="240" w:lineRule="auto"/>
            </w:pPr>
            <w:r>
              <w:t xml:space="preserve">Ongoing cost </w:t>
            </w:r>
            <w:r w:rsidR="00C53DA0">
              <w:t xml:space="preserve">to file their annual global taxation forms. </w:t>
            </w:r>
          </w:p>
          <w:p w14:paraId="2C64F8B1" w14:textId="77777777" w:rsidR="00BC60CF" w:rsidRDefault="00486FA6" w:rsidP="00310BF4">
            <w:pPr>
              <w:pStyle w:val="Bullet"/>
              <w:numPr>
                <w:ilvl w:val="0"/>
                <w:numId w:val="0"/>
              </w:numPr>
              <w:spacing w:after="120" w:line="240" w:lineRule="auto"/>
            </w:pPr>
            <w:r w:rsidRPr="00486FA6">
              <w:t xml:space="preserve">Foreign Headquartered Multinationals with subsidiaries in Australia will be required to file a local DMT / </w:t>
            </w:r>
            <w:proofErr w:type="spellStart"/>
            <w:r w:rsidRPr="00486FA6">
              <w:t>Glo</w:t>
            </w:r>
            <w:r w:rsidR="00E11543">
              <w:t>BE</w:t>
            </w:r>
            <w:proofErr w:type="spellEnd"/>
            <w:r w:rsidRPr="00486FA6">
              <w:t xml:space="preserve"> </w:t>
            </w:r>
            <w:r w:rsidR="0008671C">
              <w:t>I</w:t>
            </w:r>
            <w:r w:rsidR="008A30C4">
              <w:t xml:space="preserve">nformation </w:t>
            </w:r>
            <w:r w:rsidR="0008671C">
              <w:t>R</w:t>
            </w:r>
            <w:r w:rsidRPr="00486FA6">
              <w:t>eturn with the ATO</w:t>
            </w:r>
            <w:r w:rsidR="00B85B03">
              <w:t xml:space="preserve">. </w:t>
            </w:r>
          </w:p>
          <w:p w14:paraId="07F1B64D" w14:textId="4AE68983" w:rsidR="00EA170B" w:rsidRDefault="0041780B" w:rsidP="00310BF4">
            <w:pPr>
              <w:pStyle w:val="Bullet"/>
              <w:numPr>
                <w:ilvl w:val="0"/>
                <w:numId w:val="0"/>
              </w:numPr>
              <w:spacing w:after="120" w:line="240" w:lineRule="auto"/>
            </w:pPr>
            <w:r>
              <w:t>Using the Office of Impact Analysis</w:t>
            </w:r>
            <w:r w:rsidR="000F619C">
              <w:t>’s</w:t>
            </w:r>
            <w:r>
              <w:t xml:space="preserve"> Regulatory Burden Framework</w:t>
            </w:r>
            <w:r w:rsidR="00290707">
              <w:t>,</w:t>
            </w:r>
            <w:r>
              <w:t xml:space="preserve"> the</w:t>
            </w:r>
            <w:r w:rsidR="001E7CB7">
              <w:t xml:space="preserve"> total</w:t>
            </w:r>
            <w:r>
              <w:t xml:space="preserve"> average annual regulatory burden</w:t>
            </w:r>
            <w:r w:rsidR="001E7CB7">
              <w:t xml:space="preserve"> on all business</w:t>
            </w:r>
            <w:r w:rsidR="00EF38DA">
              <w:t>es</w:t>
            </w:r>
            <w:r>
              <w:t xml:space="preserve"> is </w:t>
            </w:r>
            <w:r w:rsidR="000F619C">
              <w:t xml:space="preserve">estimated at </w:t>
            </w:r>
            <w:r>
              <w:t>$</w:t>
            </w:r>
            <w:r w:rsidR="006141E6">
              <w:t>31</w:t>
            </w:r>
            <w:r w:rsidR="00866A0A">
              <w:t>.</w:t>
            </w:r>
            <w:r w:rsidR="006141E6">
              <w:t>6</w:t>
            </w:r>
            <w:r>
              <w:t xml:space="preserve"> million</w:t>
            </w:r>
            <w:r w:rsidR="00E11543">
              <w:t xml:space="preserve">, with this cost concentrated among the estimated 100 MNE groups potentially liable to pay Australian DMT and the </w:t>
            </w:r>
            <w:r w:rsidR="009F5C0B">
              <w:t>estimated 40 Australian headquartered MNEs</w:t>
            </w:r>
            <w:r w:rsidR="001F3F35">
              <w:t xml:space="preserve"> potentially liable to pay Australian tax under the </w:t>
            </w:r>
            <w:proofErr w:type="spellStart"/>
            <w:r w:rsidR="00FA5DDB">
              <w:t>GloBE</w:t>
            </w:r>
            <w:proofErr w:type="spellEnd"/>
            <w:r w:rsidR="00FA5DDB">
              <w:t xml:space="preserve"> </w:t>
            </w:r>
            <w:r w:rsidR="00647C3C">
              <w:t>Model R</w:t>
            </w:r>
            <w:r w:rsidR="00FA5DDB">
              <w:t>ules due to having operations in foreign jur</w:t>
            </w:r>
            <w:r w:rsidR="00D07716">
              <w:t>isdictions whose profits are</w:t>
            </w:r>
            <w:r w:rsidR="00BC60CF">
              <w:t xml:space="preserve"> insufficiently taxed</w:t>
            </w:r>
            <w:r>
              <w:t xml:space="preserve">. </w:t>
            </w:r>
          </w:p>
          <w:p w14:paraId="38A571C6" w14:textId="2D576655" w:rsidR="00754B88" w:rsidRPr="000D1284" w:rsidRDefault="00D71845" w:rsidP="00310BF4">
            <w:pPr>
              <w:pStyle w:val="Bullet"/>
              <w:numPr>
                <w:ilvl w:val="0"/>
                <w:numId w:val="0"/>
              </w:numPr>
              <w:spacing w:after="120" w:line="240" w:lineRule="auto"/>
            </w:pPr>
            <w:r>
              <w:t>T</w:t>
            </w:r>
            <w:r w:rsidR="0078673C">
              <w:t xml:space="preserve">his </w:t>
            </w:r>
            <w:r w:rsidR="00EA170B">
              <w:t>estimate</w:t>
            </w:r>
            <w:r w:rsidR="0078673C">
              <w:t xml:space="preserve"> relates only to Australian </w:t>
            </w:r>
            <w:r w:rsidR="00B36DB0">
              <w:t>implementation</w:t>
            </w:r>
            <w:r w:rsidR="001F2125">
              <w:t xml:space="preserve"> of Pillar Two</w:t>
            </w:r>
            <w:r w:rsidR="0078673C">
              <w:t>.</w:t>
            </w:r>
            <w:r w:rsidR="000410AB">
              <w:t xml:space="preserve"> </w:t>
            </w:r>
            <w:r w:rsidR="00581EB2">
              <w:t xml:space="preserve">While </w:t>
            </w:r>
            <w:r w:rsidR="005C019C">
              <w:t xml:space="preserve">the global compliance impact of Pillar Two across affected Australian multinationals would </w:t>
            </w:r>
            <w:r w:rsidR="00EA170B">
              <w:t>potentially be even higher if Australia does not implement a domestic minimum tax</w:t>
            </w:r>
            <w:r>
              <w:t>, exposing these multinationals to top-up tax in other jurisdictions,</w:t>
            </w:r>
            <w:r w:rsidR="000410AB">
              <w:t xml:space="preserve"> </w:t>
            </w:r>
            <w:r w:rsidR="00501012">
              <w:t>this estimate aims to convey the fact that Australian implementation of Pillar Two would involve significant interaction with the ATO.</w:t>
            </w:r>
          </w:p>
        </w:tc>
      </w:tr>
    </w:tbl>
    <w:bookmarkEnd w:id="96"/>
    <w:p w14:paraId="32ED4C6F" w14:textId="77777777" w:rsidR="00C30944" w:rsidRDefault="00C30944" w:rsidP="00310BF4">
      <w:pPr>
        <w:pStyle w:val="Heading2"/>
        <w:spacing w:before="120" w:line="240" w:lineRule="auto"/>
      </w:pPr>
      <w:r>
        <w:t>Impact on</w:t>
      </w:r>
      <w:r w:rsidRPr="004461F2">
        <w:t xml:space="preserve"> Australia </w:t>
      </w:r>
      <w:r>
        <w:t xml:space="preserve">from </w:t>
      </w:r>
      <w:r w:rsidRPr="00E47EA7">
        <w:rPr>
          <w:u w:val="single"/>
        </w:rPr>
        <w:t>not</w:t>
      </w:r>
      <w:r>
        <w:t xml:space="preserve"> </w:t>
      </w:r>
      <w:r w:rsidRPr="004461F2">
        <w:t>implement</w:t>
      </w:r>
      <w:r>
        <w:t>ing</w:t>
      </w:r>
      <w:r w:rsidRPr="004461F2">
        <w:t xml:space="preserve"> </w:t>
      </w:r>
      <w:r>
        <w:t>Pillar One</w:t>
      </w:r>
    </w:p>
    <w:p w14:paraId="549A1311" w14:textId="77777777" w:rsidR="0037308B" w:rsidRDefault="0037308B" w:rsidP="00310BF4">
      <w:pPr>
        <w:pStyle w:val="Heading3"/>
        <w:spacing w:before="120" w:after="120" w:line="240" w:lineRule="auto"/>
      </w:pPr>
      <w:r>
        <w:t>Revenue impact from not implementing Pillar One:</w:t>
      </w:r>
    </w:p>
    <w:p w14:paraId="35DA5DBA" w14:textId="77777777" w:rsidR="00370C88" w:rsidRDefault="00370C88" w:rsidP="00370C88">
      <w:r>
        <w:t>By not implementing Pillar One Australia will forgo taxation revenue that would otherwise be allocated to it</w:t>
      </w:r>
      <w:r w:rsidR="004B0DAD">
        <w:t>.</w:t>
      </w:r>
    </w:p>
    <w:p w14:paraId="154A674A" w14:textId="77777777" w:rsidR="00854343" w:rsidRDefault="00370C88" w:rsidP="00370C88">
      <w:r>
        <w:t xml:space="preserve">Australia would continue to have corporate tax policy options outside of the </w:t>
      </w:r>
      <w:r w:rsidR="00841CEE">
        <w:t>T</w:t>
      </w:r>
      <w:r>
        <w:t>wo</w:t>
      </w:r>
      <w:r w:rsidR="00841CEE">
        <w:t>-</w:t>
      </w:r>
      <w:r>
        <w:t xml:space="preserve">Pillar </w:t>
      </w:r>
      <w:r w:rsidR="00841CEE">
        <w:t>S</w:t>
      </w:r>
      <w:r>
        <w:t xml:space="preserve">olution. </w:t>
      </w:r>
    </w:p>
    <w:p w14:paraId="626936A1" w14:textId="77777777" w:rsidR="00370C88" w:rsidRDefault="00370C88" w:rsidP="00370C88">
      <w:r>
        <w:t xml:space="preserve">Australia already has relatively comprehensive anti-avoidance measures, </w:t>
      </w:r>
      <w:r w:rsidR="00D33CC8">
        <w:t xml:space="preserve">so </w:t>
      </w:r>
      <w:r>
        <w:t xml:space="preserve">the scope for additional action </w:t>
      </w:r>
      <w:r w:rsidR="00D33CC8">
        <w:t>may be</w:t>
      </w:r>
      <w:r>
        <w:t xml:space="preserve"> limited and </w:t>
      </w:r>
      <w:r w:rsidR="00D33CC8">
        <w:t xml:space="preserve">unilateral action </w:t>
      </w:r>
      <w:r>
        <w:t xml:space="preserve">may not be able to effectively contend with the global nature of problems from </w:t>
      </w:r>
      <w:r w:rsidR="00E1065D">
        <w:t>‘</w:t>
      </w:r>
      <w:r>
        <w:t>scale without mass</w:t>
      </w:r>
      <w:r w:rsidR="00E1065D">
        <w:t>’</w:t>
      </w:r>
      <w:r>
        <w:t xml:space="preserve"> and the </w:t>
      </w:r>
      <w:r w:rsidR="00E1065D">
        <w:t>‘</w:t>
      </w:r>
      <w:r>
        <w:t>race to the bottom</w:t>
      </w:r>
      <w:r w:rsidR="00E1065D">
        <w:t>’</w:t>
      </w:r>
      <w:r>
        <w:t xml:space="preserve">. The effectiveness and benefit of unilateral policy actions related to corporate taxation is also dependent on how well accepted they are by other jurisdictions and multinationals. Measures outside of the accepted multilateral framework are more likely to be challenged and provoke </w:t>
      </w:r>
      <w:r w:rsidR="00CC12DA">
        <w:t xml:space="preserve">trade </w:t>
      </w:r>
      <w:r>
        <w:t>retaliation.</w:t>
      </w:r>
    </w:p>
    <w:p w14:paraId="7961B9E4" w14:textId="77777777" w:rsidR="0037308B" w:rsidRDefault="0037308B" w:rsidP="00310BF4">
      <w:pPr>
        <w:pStyle w:val="Heading3"/>
        <w:spacing w:before="120" w:after="120" w:line="240" w:lineRule="auto"/>
      </w:pPr>
      <w:r>
        <w:t>Economic impact from not implementing Pillar One:</w:t>
      </w:r>
    </w:p>
    <w:p w14:paraId="35256640" w14:textId="77777777" w:rsidR="0048283B" w:rsidRDefault="0048283B" w:rsidP="00370C88">
      <w:r>
        <w:t xml:space="preserve">If Australia does not implement Pillar One, while the rest of the world does, it may lead to greater </w:t>
      </w:r>
      <w:r w:rsidR="00370C88">
        <w:t>investment uncertainty</w:t>
      </w:r>
      <w:r>
        <w:t xml:space="preserve"> in Australia. This is because multinationals may factor in the sovereign risk of Australia implementing a Digital Services Tax or similar measure. </w:t>
      </w:r>
    </w:p>
    <w:p w14:paraId="76D079FE" w14:textId="77777777" w:rsidR="00AF7BC5" w:rsidRDefault="00AF7BC5" w:rsidP="00AF7BC5">
      <w:r>
        <w:t xml:space="preserve">By being outside the tent, Australia may also lose influence over the future design of the international tax system. This may lead to a system that is not as favourable for Australia’s special circumstances, for example taking account of the important role corporate income tax has in relation to the Australia community extracting fair value for the sale of its minerals. </w:t>
      </w:r>
    </w:p>
    <w:p w14:paraId="36E4EFD3" w14:textId="77777777" w:rsidR="0037308B" w:rsidRDefault="0037308B" w:rsidP="00310BF4">
      <w:pPr>
        <w:pStyle w:val="Heading3"/>
        <w:spacing w:before="120" w:after="120" w:line="240" w:lineRule="auto"/>
      </w:pPr>
      <w:r>
        <w:lastRenderedPageBreak/>
        <w:t>Compliance Costs from not implementing Pillar One:</w:t>
      </w:r>
    </w:p>
    <w:p w14:paraId="07D13085" w14:textId="77777777" w:rsidR="00A31694" w:rsidRDefault="000E4C82" w:rsidP="00586B86">
      <w:r>
        <w:t>The current assumption is that all major countries will adopt Pillar One. So</w:t>
      </w:r>
      <w:r w:rsidR="00A36200">
        <w:t>,</w:t>
      </w:r>
      <w:r>
        <w:t xml:space="preserve"> e</w:t>
      </w:r>
      <w:r w:rsidR="00C26536">
        <w:t xml:space="preserve">ven though Australia may not implement Pillar One, our headquartered </w:t>
      </w:r>
      <w:r w:rsidR="00DF7254">
        <w:t>multinationals</w:t>
      </w:r>
      <w:r w:rsidR="00C26536">
        <w:t xml:space="preserve"> </w:t>
      </w:r>
      <w:r w:rsidR="00DF7254">
        <w:t>will still do</w:t>
      </w:r>
      <w:r w:rsidR="00C26536">
        <w:t xml:space="preserve"> business in </w:t>
      </w:r>
      <w:r w:rsidR="00DF7254">
        <w:t>jurisdictions</w:t>
      </w:r>
      <w:r w:rsidR="00C26536">
        <w:t xml:space="preserve"> that have </w:t>
      </w:r>
      <w:r w:rsidR="00DF7254">
        <w:t xml:space="preserve">adopted Pillar One. </w:t>
      </w:r>
      <w:r>
        <w:t>In this way</w:t>
      </w:r>
      <w:r w:rsidR="00DF7254">
        <w:t xml:space="preserve"> </w:t>
      </w:r>
      <w:r w:rsidR="000D743B">
        <w:t>the compliance</w:t>
      </w:r>
      <w:r w:rsidR="00DF7254">
        <w:t xml:space="preserve"> costs </w:t>
      </w:r>
      <w:r w:rsidR="000D743B">
        <w:t>impact will</w:t>
      </w:r>
      <w:r w:rsidR="00DF7254">
        <w:t xml:space="preserve"> be </w:t>
      </w:r>
      <w:r>
        <w:t>very similar</w:t>
      </w:r>
      <w:r w:rsidR="000D743B">
        <w:t>, whether Australia adopts Pillar One</w:t>
      </w:r>
      <w:r w:rsidR="002D40E0" w:rsidRPr="002D40E0">
        <w:t xml:space="preserve"> </w:t>
      </w:r>
      <w:r w:rsidR="002D40E0">
        <w:t>or not</w:t>
      </w:r>
      <w:r w:rsidR="00DF7254">
        <w:t xml:space="preserve">. </w:t>
      </w:r>
      <w:r w:rsidR="00C26536">
        <w:t xml:space="preserve"> </w:t>
      </w:r>
      <w:r w:rsidR="00CC12DA">
        <w:t xml:space="preserve"> </w:t>
      </w:r>
    </w:p>
    <w:p w14:paraId="7F3F2100" w14:textId="77777777" w:rsidR="00C30944" w:rsidRDefault="00C30944" w:rsidP="00310BF4">
      <w:pPr>
        <w:pStyle w:val="Heading2"/>
        <w:spacing w:before="120" w:line="240" w:lineRule="auto"/>
      </w:pPr>
      <w:r>
        <w:t>Impact on</w:t>
      </w:r>
      <w:r w:rsidRPr="004461F2">
        <w:t xml:space="preserve"> Australia </w:t>
      </w:r>
      <w:r>
        <w:t xml:space="preserve">from </w:t>
      </w:r>
      <w:r w:rsidRPr="00E47EA7">
        <w:rPr>
          <w:u w:val="single"/>
        </w:rPr>
        <w:t>not</w:t>
      </w:r>
      <w:r>
        <w:t xml:space="preserve"> </w:t>
      </w:r>
      <w:r w:rsidRPr="004461F2">
        <w:t>implement</w:t>
      </w:r>
      <w:r>
        <w:t>ing</w:t>
      </w:r>
      <w:r w:rsidRPr="004461F2">
        <w:t xml:space="preserve"> </w:t>
      </w:r>
      <w:r>
        <w:t>Pillar Two</w:t>
      </w:r>
    </w:p>
    <w:p w14:paraId="33E1F02A" w14:textId="77777777" w:rsidR="0037308B" w:rsidRDefault="0037308B" w:rsidP="00310BF4">
      <w:pPr>
        <w:pStyle w:val="Heading3"/>
        <w:spacing w:before="120" w:after="120" w:line="240" w:lineRule="auto"/>
      </w:pPr>
      <w:r>
        <w:t xml:space="preserve">Revenue impact from not implementing Pillar </w:t>
      </w:r>
      <w:r w:rsidR="005E7A49">
        <w:t>Two</w:t>
      </w:r>
      <w:r>
        <w:t>:</w:t>
      </w:r>
    </w:p>
    <w:p w14:paraId="7DC75C23" w14:textId="77777777" w:rsidR="0037308B" w:rsidRDefault="00370C88" w:rsidP="0037308B">
      <w:r>
        <w:t>By not implement</w:t>
      </w:r>
      <w:r w:rsidR="00B63118">
        <w:t>ing</w:t>
      </w:r>
      <w:r>
        <w:t xml:space="preserve"> Pillar Two</w:t>
      </w:r>
      <w:r w:rsidR="00B63118">
        <w:t>,</w:t>
      </w:r>
      <w:r>
        <w:t xml:space="preserve"> Australia will forgo potential increased corporate taxation revenue</w:t>
      </w:r>
      <w:r w:rsidR="004B0DAD">
        <w:t xml:space="preserve">. </w:t>
      </w:r>
    </w:p>
    <w:p w14:paraId="6426A598" w14:textId="77777777" w:rsidR="00E612B6" w:rsidRDefault="004667F0" w:rsidP="00E612B6">
      <w:r>
        <w:t>For example</w:t>
      </w:r>
      <w:r w:rsidR="00E612B6">
        <w:t>,</w:t>
      </w:r>
      <w:r>
        <w:t xml:space="preserve"> if a multinational</w:t>
      </w:r>
      <w:r w:rsidR="00E612B6">
        <w:t>’s</w:t>
      </w:r>
      <w:r>
        <w:t xml:space="preserve"> global tax rate is </w:t>
      </w:r>
      <w:r w:rsidR="00D376CF">
        <w:t xml:space="preserve">determined to be </w:t>
      </w:r>
      <w:r>
        <w:t>below the global minimum rate</w:t>
      </w:r>
      <w:r w:rsidR="00D376CF">
        <w:t xml:space="preserve"> in a </w:t>
      </w:r>
      <w:r w:rsidR="001D11AF">
        <w:t>jurisdiction</w:t>
      </w:r>
      <w:r>
        <w:t xml:space="preserve">, Australia </w:t>
      </w:r>
      <w:r w:rsidR="001D11AF">
        <w:t xml:space="preserve">may </w:t>
      </w:r>
      <w:r>
        <w:t>miss out on the ability to apply a top</w:t>
      </w:r>
      <w:r w:rsidR="00B63118">
        <w:t>-</w:t>
      </w:r>
      <w:r>
        <w:t xml:space="preserve">up tax on that multinational. </w:t>
      </w:r>
      <w:r w:rsidR="00B63118">
        <w:t xml:space="preserve">This </w:t>
      </w:r>
      <w:r w:rsidR="008D6835">
        <w:t>c</w:t>
      </w:r>
      <w:r w:rsidR="00B63118">
        <w:t xml:space="preserve">ould mean that Australia </w:t>
      </w:r>
      <w:r w:rsidR="00E612B6">
        <w:t xml:space="preserve">is forgoing taxing rights, </w:t>
      </w:r>
      <w:r w:rsidR="001D11AF">
        <w:t>which would</w:t>
      </w:r>
      <w:r w:rsidR="00B63118">
        <w:t xml:space="preserve"> then</w:t>
      </w:r>
      <w:r w:rsidR="00E612B6">
        <w:t xml:space="preserve"> </w:t>
      </w:r>
      <w:r w:rsidR="001D11AF">
        <w:t>be</w:t>
      </w:r>
      <w:r w:rsidR="00E612B6">
        <w:t xml:space="preserve"> automatically picked up by other countries.</w:t>
      </w:r>
    </w:p>
    <w:p w14:paraId="39ABB43A" w14:textId="77777777" w:rsidR="004667F0" w:rsidRDefault="00E612B6" w:rsidP="0037308B">
      <w:r>
        <w:t>Other</w:t>
      </w:r>
      <w:r w:rsidRPr="00E612B6">
        <w:t xml:space="preserve"> countries may </w:t>
      </w:r>
      <w:r>
        <w:t>also impose top</w:t>
      </w:r>
      <w:r w:rsidR="00B63118">
        <w:t>-</w:t>
      </w:r>
      <w:r>
        <w:t xml:space="preserve">up taxes on </w:t>
      </w:r>
      <w:r w:rsidRPr="00E612B6">
        <w:t>Australian</w:t>
      </w:r>
      <w:r w:rsidR="001A5198">
        <w:t>-</w:t>
      </w:r>
      <w:r>
        <w:t>headquartered</w:t>
      </w:r>
      <w:r w:rsidRPr="00E612B6">
        <w:t xml:space="preserve"> multinationals</w:t>
      </w:r>
      <w:r>
        <w:t xml:space="preserve">, where the </w:t>
      </w:r>
      <w:r w:rsidR="008D6835">
        <w:t xml:space="preserve">Australian </w:t>
      </w:r>
      <w:r w:rsidR="00DC4698">
        <w:t xml:space="preserve">jurisdictional </w:t>
      </w:r>
      <w:r w:rsidR="008D6835">
        <w:t>effective tax rate</w:t>
      </w:r>
      <w:r>
        <w:t xml:space="preserve"> is below </w:t>
      </w:r>
      <w:r w:rsidRPr="00E612B6">
        <w:t>the global minimum</w:t>
      </w:r>
      <w:r w:rsidR="008D6835">
        <w:t xml:space="preserve"> rate</w:t>
      </w:r>
      <w:r>
        <w:t xml:space="preserve">. </w:t>
      </w:r>
      <w:r w:rsidR="00F316D1">
        <w:t xml:space="preserve">This could happen in situations where due to </w:t>
      </w:r>
      <w:r w:rsidR="00C267B9">
        <w:t xml:space="preserve">industry </w:t>
      </w:r>
      <w:r w:rsidR="00F316D1">
        <w:t xml:space="preserve">concessions and </w:t>
      </w:r>
      <w:r w:rsidR="00C267B9">
        <w:t xml:space="preserve">investment </w:t>
      </w:r>
      <w:r w:rsidR="00F316D1">
        <w:t>incentives built into the Australian tax system, effective taxation</w:t>
      </w:r>
      <w:r w:rsidR="00C267B9">
        <w:t xml:space="preserve"> of a company</w:t>
      </w:r>
      <w:r w:rsidR="00F316D1">
        <w:t xml:space="preserve"> falls below the 15 per cent</w:t>
      </w:r>
      <w:r w:rsidR="00C267B9">
        <w:t xml:space="preserve"> minimum</w:t>
      </w:r>
      <w:r w:rsidR="00F316D1">
        <w:t xml:space="preserve"> rate. </w:t>
      </w:r>
      <w:r w:rsidR="0048283B">
        <w:t>Whereas</w:t>
      </w:r>
      <w:r>
        <w:t xml:space="preserve"> if Australia has implemented Pillar Two, with a qualified domestic minimum tax, it would mean Australia </w:t>
      </w:r>
      <w:r w:rsidR="00DC4698">
        <w:t xml:space="preserve">would have </w:t>
      </w:r>
      <w:r>
        <w:t xml:space="preserve">first rights </w:t>
      </w:r>
      <w:r w:rsidR="0048283B">
        <w:t xml:space="preserve">over </w:t>
      </w:r>
      <w:r w:rsidR="00DC4698">
        <w:t xml:space="preserve">Australian </w:t>
      </w:r>
      <w:r w:rsidR="0048283B">
        <w:t xml:space="preserve">undertaxed </w:t>
      </w:r>
      <w:r w:rsidR="00DC4698">
        <w:t>profits</w:t>
      </w:r>
      <w:r w:rsidR="0048283B">
        <w:t xml:space="preserve">. </w:t>
      </w:r>
    </w:p>
    <w:p w14:paraId="0B2DE027" w14:textId="77777777" w:rsidR="0037308B" w:rsidRDefault="0037308B" w:rsidP="00310BF4">
      <w:pPr>
        <w:pStyle w:val="Heading3"/>
        <w:spacing w:before="120" w:after="120" w:line="240" w:lineRule="auto"/>
      </w:pPr>
      <w:r>
        <w:t xml:space="preserve">Economic impact from not implementing Pillar </w:t>
      </w:r>
      <w:r w:rsidR="005E7A49">
        <w:t>Two</w:t>
      </w:r>
      <w:r>
        <w:t>:</w:t>
      </w:r>
    </w:p>
    <w:p w14:paraId="79FCEBCA" w14:textId="09363DCF" w:rsidR="0048283B" w:rsidRDefault="0048283B" w:rsidP="0048283B">
      <w:r>
        <w:t>Presuming other major countr</w:t>
      </w:r>
      <w:r w:rsidR="00DC4698">
        <w:t>ies</w:t>
      </w:r>
      <w:r>
        <w:t xml:space="preserve"> </w:t>
      </w:r>
      <w:r w:rsidR="00DC4698">
        <w:t>implement</w:t>
      </w:r>
      <w:r>
        <w:t xml:space="preserve"> P</w:t>
      </w:r>
      <w:r w:rsidR="003073D5">
        <w:t>illar Two</w:t>
      </w:r>
      <w:r>
        <w:t xml:space="preserve">, there is an argument </w:t>
      </w:r>
      <w:r w:rsidR="00DC4698">
        <w:t xml:space="preserve">that </w:t>
      </w:r>
      <w:r>
        <w:t xml:space="preserve">Australia would </w:t>
      </w:r>
      <w:r w:rsidR="00893F30">
        <w:t>still benefit</w:t>
      </w:r>
      <w:r>
        <w:t xml:space="preserve"> off the actions of other countries</w:t>
      </w:r>
      <w:r w:rsidR="00DC4698">
        <w:t xml:space="preserve"> given that </w:t>
      </w:r>
      <w:r w:rsidR="006F10E6">
        <w:t>the headline differential would still be reduced</w:t>
      </w:r>
      <w:r w:rsidRPr="001D1A95">
        <w:t xml:space="preserve"> as low tax jurisdictions will be brought up to </w:t>
      </w:r>
      <w:r w:rsidR="006F10E6">
        <w:t xml:space="preserve">the global minimum rate of </w:t>
      </w:r>
      <w:r w:rsidRPr="001D1A95">
        <w:t>15</w:t>
      </w:r>
      <w:r w:rsidR="007A789C">
        <w:t xml:space="preserve"> per cent</w:t>
      </w:r>
      <w:r w:rsidR="007A789C" w:rsidRPr="001D1A95">
        <w:t xml:space="preserve">.  </w:t>
      </w:r>
    </w:p>
    <w:p w14:paraId="76EEAA5A" w14:textId="77777777" w:rsidR="0048283B" w:rsidRDefault="006F10E6" w:rsidP="0048283B">
      <w:r>
        <w:t>Although, i</w:t>
      </w:r>
      <w:r w:rsidR="0048283B">
        <w:t>n the longer term, multinationals may be less likely to have their headquarters in Australia if there is uncertainty as to where top</w:t>
      </w:r>
      <w:r w:rsidR="0015439F">
        <w:t>-</w:t>
      </w:r>
      <w:r w:rsidR="0048283B">
        <w:t xml:space="preserve">up taxes may be imposed if Australia is not part of Pillar Two. </w:t>
      </w:r>
      <w:r w:rsidR="00B92CC9">
        <w:t xml:space="preserve">This would have a detrimental impact on </w:t>
      </w:r>
      <w:r w:rsidR="0015439F">
        <w:t xml:space="preserve">Australian </w:t>
      </w:r>
      <w:r w:rsidR="00B92CC9">
        <w:t xml:space="preserve">employment </w:t>
      </w:r>
      <w:r w:rsidR="0015439F">
        <w:t xml:space="preserve">figures </w:t>
      </w:r>
      <w:r w:rsidR="00B92CC9">
        <w:t>associated with</w:t>
      </w:r>
      <w:r w:rsidR="0015439F">
        <w:t xml:space="preserve"> the executive</w:t>
      </w:r>
      <w:r w:rsidR="00B92CC9">
        <w:t xml:space="preserve"> manag</w:t>
      </w:r>
      <w:r w:rsidR="0015439F">
        <w:t>ement of</w:t>
      </w:r>
      <w:r w:rsidR="00B92CC9">
        <w:t xml:space="preserve"> large multinational</w:t>
      </w:r>
      <w:r w:rsidR="0015439F">
        <w:t>s</w:t>
      </w:r>
      <w:r w:rsidR="00B92CC9">
        <w:t xml:space="preserve">. </w:t>
      </w:r>
    </w:p>
    <w:p w14:paraId="3D0A3635" w14:textId="77777777" w:rsidR="0037308B" w:rsidRDefault="0037308B" w:rsidP="00310BF4">
      <w:pPr>
        <w:pStyle w:val="Heading3"/>
        <w:spacing w:before="120" w:after="120" w:line="240" w:lineRule="auto"/>
      </w:pPr>
      <w:r>
        <w:t xml:space="preserve">Compliance Costs from not implementing Pillar </w:t>
      </w:r>
      <w:r w:rsidR="005E7A49">
        <w:t>Two</w:t>
      </w:r>
      <w:r>
        <w:t>:</w:t>
      </w:r>
    </w:p>
    <w:p w14:paraId="4BCE5E4E" w14:textId="77777777" w:rsidR="004667F0" w:rsidRDefault="00C267B9" w:rsidP="004667F0">
      <w:r>
        <w:t xml:space="preserve">The current assumption is that all major countries will adopt Pillar Two. </w:t>
      </w:r>
      <w:r w:rsidR="004667F0">
        <w:t xml:space="preserve">By choosing not to implement Pillar Two, </w:t>
      </w:r>
      <w:r w:rsidR="004667F0" w:rsidRPr="00B05318">
        <w:t xml:space="preserve">this does not stop </w:t>
      </w:r>
      <w:r w:rsidR="006F10E6">
        <w:t>multinationals</w:t>
      </w:r>
      <w:r w:rsidR="006F10E6" w:rsidRPr="00B05318">
        <w:t xml:space="preserve"> </w:t>
      </w:r>
      <w:r w:rsidR="004667F0" w:rsidRPr="00B05318">
        <w:t xml:space="preserve">operating in Australia </w:t>
      </w:r>
      <w:r w:rsidR="00A456E6">
        <w:t xml:space="preserve">from being </w:t>
      </w:r>
      <w:r w:rsidR="004667F0" w:rsidRPr="00B05318">
        <w:t xml:space="preserve">subject to </w:t>
      </w:r>
      <w:r w:rsidR="004667F0">
        <w:t xml:space="preserve">Pillar Two </w:t>
      </w:r>
      <w:r w:rsidR="004E5ACA">
        <w:t>if they operate in another</w:t>
      </w:r>
      <w:r>
        <w:t xml:space="preserve"> jurisdiction</w:t>
      </w:r>
      <w:r w:rsidR="004E5ACA">
        <w:t xml:space="preserve"> that does implement Pillar Two.</w:t>
      </w:r>
      <w:r w:rsidR="004667F0">
        <w:t xml:space="preserve"> Therefore</w:t>
      </w:r>
      <w:r w:rsidR="00715D1F">
        <w:t>,</w:t>
      </w:r>
      <w:r w:rsidR="004667F0">
        <w:t xml:space="preserve"> the compliance costs on Australian</w:t>
      </w:r>
      <w:r w:rsidR="00715D1F">
        <w:t>-</w:t>
      </w:r>
      <w:r w:rsidR="004667F0">
        <w:t xml:space="preserve">headquartered multinationals </w:t>
      </w:r>
      <w:r>
        <w:t xml:space="preserve">will be </w:t>
      </w:r>
      <w:r w:rsidR="004929F9">
        <w:t>similar</w:t>
      </w:r>
      <w:r w:rsidR="006E64D0">
        <w:t xml:space="preserve"> or higher given the additional complexity of the Pillar Two rules being applied by</w:t>
      </w:r>
      <w:r w:rsidR="00D13D71">
        <w:t xml:space="preserve"> multiple</w:t>
      </w:r>
      <w:r w:rsidR="006E64D0">
        <w:t xml:space="preserve"> non-headquarter </w:t>
      </w:r>
      <w:r w:rsidR="009D34BE">
        <w:t>jurisdictions</w:t>
      </w:r>
      <w:r w:rsidR="004667F0">
        <w:t>.</w:t>
      </w:r>
      <w:r>
        <w:t xml:space="preserve"> However, should Australia not adopt Pillar Two, there would be slightly lower compliance costs on foreign subsidiaries operating in Australia, as they would not need to submit a separate global information return to the Australian Taxation Office.  </w:t>
      </w:r>
    </w:p>
    <w:p w14:paraId="4704A203" w14:textId="77777777" w:rsidR="00F66078" w:rsidRDefault="00F66078" w:rsidP="00310BF4">
      <w:pPr>
        <w:pStyle w:val="Heading1"/>
        <w:spacing w:before="120" w:line="240" w:lineRule="auto"/>
      </w:pPr>
      <w:bookmarkStart w:id="97" w:name="_Toc116375727"/>
      <w:bookmarkStart w:id="98" w:name="_Toc116376482"/>
      <w:bookmarkStart w:id="99" w:name="_Toc116380364"/>
      <w:bookmarkStart w:id="100" w:name="_Toc125462475"/>
      <w:bookmarkStart w:id="101" w:name="_Toc131405125"/>
      <w:bookmarkEnd w:id="94"/>
      <w:r>
        <w:t>Consultation</w:t>
      </w:r>
      <w:bookmarkEnd w:id="97"/>
      <w:bookmarkEnd w:id="98"/>
      <w:bookmarkEnd w:id="99"/>
      <w:bookmarkEnd w:id="100"/>
      <w:bookmarkEnd w:id="101"/>
    </w:p>
    <w:p w14:paraId="1E008621" w14:textId="264DC40E" w:rsidR="0029736B" w:rsidRDefault="001764D3" w:rsidP="001764D3">
      <w:r w:rsidRPr="001764D3">
        <w:t>The OECD/</w:t>
      </w:r>
      <w:proofErr w:type="spellStart"/>
      <w:r w:rsidRPr="001764D3">
        <w:t>G20</w:t>
      </w:r>
      <w:proofErr w:type="spellEnd"/>
      <w:r w:rsidRPr="001764D3">
        <w:t xml:space="preserve"> Inclusive Framework process has been the subject of multiple consultations since it began in 2013. The subject of Pillar One and</w:t>
      </w:r>
      <w:r w:rsidR="002F6D93">
        <w:t xml:space="preserve"> Pillar</w:t>
      </w:r>
      <w:r w:rsidRPr="001764D3">
        <w:t xml:space="preserve"> Two has been consulted on since 2018</w:t>
      </w:r>
      <w:r w:rsidR="003411FA">
        <w:t xml:space="preserve"> both by the OECD and Treasury</w:t>
      </w:r>
      <w:r w:rsidR="00845273">
        <w:t xml:space="preserve">. Comments </w:t>
      </w:r>
      <w:r w:rsidR="001A7052">
        <w:t xml:space="preserve">garnered from respondents have been considered </w:t>
      </w:r>
      <w:r w:rsidR="00845273">
        <w:t xml:space="preserve">in the design </w:t>
      </w:r>
      <w:r w:rsidR="004E4316">
        <w:t xml:space="preserve">of </w:t>
      </w:r>
      <w:r w:rsidR="004E4316">
        <w:lastRenderedPageBreak/>
        <w:t>Pillar One and Pillar Two and have informe</w:t>
      </w:r>
      <w:r w:rsidR="00B651DB">
        <w:t>d Treasury’s participation in the negotiations with the OECD</w:t>
      </w:r>
      <w:r w:rsidR="000844F9">
        <w:t>/</w:t>
      </w:r>
      <w:proofErr w:type="spellStart"/>
      <w:r w:rsidR="000844F9">
        <w:t>G20</w:t>
      </w:r>
      <w:proofErr w:type="spellEnd"/>
      <w:r w:rsidR="00B651DB">
        <w:t xml:space="preserve"> Inclusive Framework</w:t>
      </w:r>
      <w:r w:rsidR="004260F0">
        <w:t xml:space="preserve">, as </w:t>
      </w:r>
      <w:r w:rsidR="00A6105B">
        <w:t xml:space="preserve">summarised </w:t>
      </w:r>
      <w:r w:rsidR="004260F0">
        <w:t>below</w:t>
      </w:r>
      <w:r w:rsidR="00A6105B">
        <w:t xml:space="preserve">. </w:t>
      </w:r>
    </w:p>
    <w:p w14:paraId="105CF86A" w14:textId="7C23CAF7" w:rsidR="004260F0" w:rsidRDefault="0029736B" w:rsidP="00726DE4">
      <w:pPr>
        <w:pStyle w:val="Heading2"/>
        <w:spacing w:before="120" w:line="240" w:lineRule="auto"/>
      </w:pPr>
      <w:r>
        <w:t>Consultation by the OECD</w:t>
      </w:r>
    </w:p>
    <w:p w14:paraId="5952D2D0" w14:textId="120068F9" w:rsidR="00F83FE4" w:rsidRPr="00F83FE4" w:rsidRDefault="00A42D50" w:rsidP="008736CA">
      <w:r>
        <w:rPr>
          <w:szCs w:val="22"/>
        </w:rPr>
        <w:t xml:space="preserve">A summary of the </w:t>
      </w:r>
      <w:r w:rsidR="0029736B" w:rsidRPr="4978EF66">
        <w:rPr>
          <w:szCs w:val="22"/>
        </w:rPr>
        <w:t xml:space="preserve">OECD </w:t>
      </w:r>
      <w:r w:rsidR="001B5293" w:rsidRPr="4978EF66">
        <w:rPr>
          <w:szCs w:val="22"/>
        </w:rPr>
        <w:t>consultations</w:t>
      </w:r>
      <w:r w:rsidR="00163322" w:rsidRPr="4978EF66">
        <w:rPr>
          <w:szCs w:val="22"/>
        </w:rPr>
        <w:t xml:space="preserve"> on </w:t>
      </w:r>
      <w:r w:rsidR="006F1055" w:rsidRPr="00A42D50">
        <w:rPr>
          <w:szCs w:val="22"/>
        </w:rPr>
        <w:t>the</w:t>
      </w:r>
      <w:r w:rsidR="00163322" w:rsidRPr="00A42D50">
        <w:rPr>
          <w:szCs w:val="22"/>
        </w:rPr>
        <w:t xml:space="preserve"> Two</w:t>
      </w:r>
      <w:r w:rsidR="006F1055" w:rsidRPr="00A42D50">
        <w:rPr>
          <w:szCs w:val="22"/>
        </w:rPr>
        <w:t>-Pillars Solution</w:t>
      </w:r>
      <w:r>
        <w:rPr>
          <w:szCs w:val="22"/>
        </w:rPr>
        <w:t xml:space="preserve"> is presented as follows.</w:t>
      </w:r>
      <w:r w:rsidR="008736CA">
        <w:t xml:space="preserve"> </w:t>
      </w:r>
      <w:r w:rsidRPr="00A42D50">
        <w:t xml:space="preserve">Further details on each consultation are provided in Appendix </w:t>
      </w:r>
      <w:r w:rsidR="008B5C48">
        <w:t>A</w:t>
      </w:r>
      <w:r w:rsidRPr="00A42D50">
        <w:t>.</w:t>
      </w:r>
    </w:p>
    <w:p w14:paraId="3CB1F7D2" w14:textId="77777777" w:rsidR="000C2382" w:rsidRDefault="000C2382" w:rsidP="00D3532B">
      <w:pPr>
        <w:pStyle w:val="Heading3"/>
      </w:pPr>
      <w:r w:rsidRPr="000C2382">
        <w:t>OECD Reports on the Pillar One and Pillar Two Blueprint and the OECD Business Advisory Group (2020 to 2022)</w:t>
      </w:r>
    </w:p>
    <w:p w14:paraId="69BAED8E" w14:textId="41A96C70" w:rsidR="0036759F" w:rsidRDefault="00E70AAE" w:rsidP="00CF1B57">
      <w:pPr>
        <w:rPr>
          <w:rFonts w:cs="Calibri Light"/>
        </w:rPr>
      </w:pPr>
      <w:r>
        <w:t xml:space="preserve">The </w:t>
      </w:r>
      <w:r w:rsidR="006960D9">
        <w:t>OECD</w:t>
      </w:r>
      <w:r>
        <w:t xml:space="preserve"> has released various reports on the Pillar One and Pillar Two Blueprints during the Two-Pillar Solution negotiations. These reports provide updates on the policy design proposals of the OECD secretariat, which are informed through the course of the OECD negotiations with country delegates. The Blueprint papers were released for consultation, and received 201 submissions from stakeholders on Pillar One, and 197 submissions from stakeholders on Pillar Two.</w:t>
      </w:r>
      <w:r w:rsidR="00043C35">
        <w:t xml:space="preserve"> </w:t>
      </w:r>
      <w:r w:rsidR="00CF1B57" w:rsidRPr="00DF23C0">
        <w:rPr>
          <w:rFonts w:cs="Calibri Light"/>
        </w:rPr>
        <w:t>The OECD has also been undertaking targeted consultation with the Business Advisory Group,</w:t>
      </w:r>
      <w:r w:rsidR="00CF1B57" w:rsidRPr="00DF23C0">
        <w:rPr>
          <w:rFonts w:eastAsiaTheme="minorHAnsi" w:cs="Calibri Light"/>
          <w:vertAlign w:val="superscript"/>
          <w:lang w:eastAsia="en-US"/>
        </w:rPr>
        <w:footnoteReference w:id="20"/>
      </w:r>
      <w:r w:rsidR="00CF1B57" w:rsidRPr="00DF23C0">
        <w:rPr>
          <w:rFonts w:eastAsiaTheme="minorHAnsi" w:cs="Calibri Light"/>
          <w:vertAlign w:val="superscript"/>
          <w:lang w:eastAsia="en-US"/>
        </w:rPr>
        <w:t xml:space="preserve"> </w:t>
      </w:r>
      <w:r w:rsidR="00CF1B57" w:rsidRPr="00DF23C0">
        <w:rPr>
          <w:rFonts w:cs="Calibri Light"/>
        </w:rPr>
        <w:t xml:space="preserve">which includes </w:t>
      </w:r>
      <w:r w:rsidR="00CF1B57">
        <w:rPr>
          <w:rFonts w:cs="Calibri Light"/>
        </w:rPr>
        <w:t>representatives of Australian businesses</w:t>
      </w:r>
      <w:r w:rsidR="00CF1B57" w:rsidRPr="00DF23C0">
        <w:rPr>
          <w:rFonts w:cs="Calibri Light"/>
        </w:rPr>
        <w:t xml:space="preserve">, throughout the negotiations. </w:t>
      </w:r>
    </w:p>
    <w:p w14:paraId="127CFE85" w14:textId="2C2061B4" w:rsidR="00E70AAE" w:rsidRDefault="0036759F" w:rsidP="001065E5">
      <w:pPr>
        <w:pStyle w:val="Heading4"/>
      </w:pPr>
      <w:r>
        <w:t xml:space="preserve">Key comments received: </w:t>
      </w:r>
    </w:p>
    <w:p w14:paraId="4A5010A8" w14:textId="77777777" w:rsidR="000B282D" w:rsidRPr="00C66B59" w:rsidRDefault="000B282D" w:rsidP="000B282D">
      <w:pPr>
        <w:pStyle w:val="Bullet"/>
        <w:spacing w:after="120" w:line="240" w:lineRule="auto"/>
      </w:pPr>
      <w:r w:rsidRPr="00C66B59">
        <w:t xml:space="preserve">Continue pursuing implementation on of the Two-Pillar Solution. </w:t>
      </w:r>
    </w:p>
    <w:p w14:paraId="0135DEB2" w14:textId="3F0E7F94" w:rsidR="000B282D" w:rsidRPr="00C66B59" w:rsidRDefault="000B282D" w:rsidP="000B282D">
      <w:pPr>
        <w:pStyle w:val="Bullet"/>
        <w:spacing w:after="120" w:line="240" w:lineRule="auto"/>
      </w:pPr>
      <w:r w:rsidRPr="00C66B59">
        <w:t>Include a</w:t>
      </w:r>
      <w:r>
        <w:t xml:space="preserve"> wide </w:t>
      </w:r>
      <w:r w:rsidRPr="00C66B59">
        <w:t>extractives carve</w:t>
      </w:r>
      <w:r w:rsidR="00E52AD6">
        <w:t>-</w:t>
      </w:r>
      <w:r w:rsidRPr="00C66B59">
        <w:t xml:space="preserve">out from Pillar One. </w:t>
      </w:r>
    </w:p>
    <w:p w14:paraId="0AAD126E" w14:textId="77777777" w:rsidR="000B282D" w:rsidRPr="00C66B59" w:rsidRDefault="000B282D" w:rsidP="000B282D">
      <w:pPr>
        <w:pStyle w:val="Bullet"/>
        <w:spacing w:after="120" w:line="240" w:lineRule="auto"/>
      </w:pPr>
      <w:r w:rsidRPr="00C66B59">
        <w:t xml:space="preserve">Include large transition period for revenue sourcing rules. </w:t>
      </w:r>
    </w:p>
    <w:p w14:paraId="720AF8BD" w14:textId="2FE7DB6F" w:rsidR="000B282D" w:rsidRDefault="000B282D" w:rsidP="000B282D">
      <w:pPr>
        <w:pStyle w:val="Bullet"/>
        <w:spacing w:after="120" w:line="240" w:lineRule="auto"/>
      </w:pPr>
      <w:r>
        <w:t>General support for safe harbour concepts.</w:t>
      </w:r>
    </w:p>
    <w:p w14:paraId="03CCF1B2" w14:textId="733BEAF3" w:rsidR="000B282D" w:rsidRPr="00C66B59" w:rsidRDefault="00192C24" w:rsidP="000B282D">
      <w:pPr>
        <w:pStyle w:val="Bullet"/>
        <w:spacing w:after="120" w:line="240" w:lineRule="auto"/>
      </w:pPr>
      <w:r>
        <w:t>E</w:t>
      </w:r>
      <w:r w:rsidR="000B282D" w:rsidRPr="00C66B59">
        <w:t>xpansion of tax certainty options</w:t>
      </w:r>
      <w:r>
        <w:t>.</w:t>
      </w:r>
      <w:r w:rsidR="000B282D" w:rsidRPr="00C66B59">
        <w:t xml:space="preserve"> </w:t>
      </w:r>
    </w:p>
    <w:p w14:paraId="3F510566" w14:textId="640730C8" w:rsidR="00451F1F" w:rsidRPr="00B016D0" w:rsidRDefault="00192C24" w:rsidP="001D2267">
      <w:pPr>
        <w:pStyle w:val="Bullet"/>
        <w:spacing w:after="120" w:line="240" w:lineRule="auto"/>
      </w:pPr>
      <w:r>
        <w:t>Withdrawal</w:t>
      </w:r>
      <w:r w:rsidR="009D587E">
        <w:t xml:space="preserve"> of</w:t>
      </w:r>
      <w:r>
        <w:t xml:space="preserve"> e</w:t>
      </w:r>
      <w:r w:rsidR="000B282D" w:rsidRPr="00C66B59">
        <w:t>xisting unilateral measures</w:t>
      </w:r>
      <w:r>
        <w:t>.</w:t>
      </w:r>
    </w:p>
    <w:p w14:paraId="3645DC51" w14:textId="759DD446" w:rsidR="00F25E22" w:rsidRDefault="00322760" w:rsidP="001065E5">
      <w:pPr>
        <w:pStyle w:val="Heading4"/>
      </w:pPr>
      <w:r>
        <w:t>OECD response</w:t>
      </w:r>
      <w:r w:rsidR="008504C6">
        <w:t>:</w:t>
      </w:r>
    </w:p>
    <w:p w14:paraId="1BB52093" w14:textId="646B0A82" w:rsidR="00322760" w:rsidRDefault="00F25E22" w:rsidP="00544D02">
      <w:r w:rsidRPr="00621B87">
        <w:t>The OECD noted the</w:t>
      </w:r>
      <w:r w:rsidR="00A7163C" w:rsidRPr="00621B87">
        <w:t xml:space="preserve"> importance of public consultation and committed to considering the public comments. </w:t>
      </w:r>
      <w:r w:rsidR="008A29B2" w:rsidRPr="00621B87">
        <w:t xml:space="preserve">In following OECD negotiations, the OECD </w:t>
      </w:r>
      <w:r w:rsidR="001E55FE" w:rsidRPr="00621B87">
        <w:t>S</w:t>
      </w:r>
      <w:r w:rsidR="008A29B2" w:rsidRPr="00621B87">
        <w:t xml:space="preserve">ecretariat brought forward proposed </w:t>
      </w:r>
      <w:r w:rsidR="00DD1A01" w:rsidRPr="00621B87">
        <w:t>policy designs related to some of the recommendations received from the public.</w:t>
      </w:r>
      <w:r w:rsidRPr="00621B87">
        <w:t xml:space="preserve"> </w:t>
      </w:r>
    </w:p>
    <w:p w14:paraId="2F7511F1" w14:textId="77777777" w:rsidR="000C2382" w:rsidRDefault="000C2382" w:rsidP="00D3532B">
      <w:pPr>
        <w:pStyle w:val="Heading3"/>
      </w:pPr>
      <w:r w:rsidRPr="000C2382">
        <w:t>OECD Consultation: Pillar One Progress Report (2022)</w:t>
      </w:r>
    </w:p>
    <w:p w14:paraId="393E18ED" w14:textId="37071969" w:rsidR="00796B28" w:rsidRDefault="00796B28" w:rsidP="00796B28">
      <w:r>
        <w:t>In July 2022, the OECD released a Progress Report on Pillar One for consideration by country delegates.</w:t>
      </w:r>
      <w:r w:rsidR="000D4906" w:rsidRPr="000D4906">
        <w:rPr>
          <w:rStyle w:val="FootnoteReference"/>
        </w:rPr>
        <w:t xml:space="preserve"> </w:t>
      </w:r>
      <w:r w:rsidR="000D4906">
        <w:rPr>
          <w:rStyle w:val="FootnoteReference"/>
        </w:rPr>
        <w:footnoteReference w:id="21"/>
      </w:r>
      <w:r w:rsidR="000D4906" w:rsidRPr="00650D4E">
        <w:t xml:space="preserve"> </w:t>
      </w:r>
      <w:r>
        <w:t>This report garnered 71 submissions in relation to the progress of Amount A under Pillar One. Comments received contributed to updates being made to the policy design of various aspects of Pillar One’s Amount A.</w:t>
      </w:r>
    </w:p>
    <w:p w14:paraId="08ABB594" w14:textId="3C287186" w:rsidR="00292874" w:rsidRDefault="00292874" w:rsidP="001065E5">
      <w:pPr>
        <w:pStyle w:val="Heading4"/>
      </w:pPr>
      <w:r>
        <w:lastRenderedPageBreak/>
        <w:t xml:space="preserve">Key comments received: </w:t>
      </w:r>
    </w:p>
    <w:p w14:paraId="4AF08CC9" w14:textId="1107D0DF" w:rsidR="00292874" w:rsidRDefault="00E52AD6" w:rsidP="00E52AD6">
      <w:pPr>
        <w:pStyle w:val="Bullet"/>
      </w:pPr>
      <w:r>
        <w:t>Preferences for applying averaging mechanisms to the scope criterion.</w:t>
      </w:r>
    </w:p>
    <w:p w14:paraId="48034EEB" w14:textId="71BA4429" w:rsidR="00E52AD6" w:rsidRDefault="00E52AD6" w:rsidP="00E52AD6">
      <w:pPr>
        <w:pStyle w:val="Bullet"/>
      </w:pPr>
      <w:r>
        <w:t>Ongoing support for a wide extractives carve-out from Pillar One.</w:t>
      </w:r>
    </w:p>
    <w:p w14:paraId="40002444" w14:textId="3D1DC493" w:rsidR="00437AD5" w:rsidRDefault="00C82DC4" w:rsidP="00E52AD6">
      <w:pPr>
        <w:pStyle w:val="Bullet"/>
      </w:pPr>
      <w:r>
        <w:t>More specific guidance needed for revenue sourcing.</w:t>
      </w:r>
    </w:p>
    <w:p w14:paraId="54C50E02" w14:textId="5DE1E40E" w:rsidR="00C82DC4" w:rsidRDefault="00F326E4" w:rsidP="00E52AD6">
      <w:pPr>
        <w:pStyle w:val="Bullet"/>
      </w:pPr>
      <w:r>
        <w:t>Longer time limitations for loss carry-forwards.</w:t>
      </w:r>
    </w:p>
    <w:p w14:paraId="48A8858D" w14:textId="4378887C" w:rsidR="00F326E4" w:rsidRDefault="00991BB5" w:rsidP="00E52AD6">
      <w:pPr>
        <w:pStyle w:val="Bullet"/>
      </w:pPr>
      <w:r>
        <w:t xml:space="preserve">Request for more </w:t>
      </w:r>
      <w:r w:rsidR="00DD1C4B">
        <w:t>detail to the Return on Depreciation and Payroll metric in the Marketing and Distribution Profits Safe Harbour.</w:t>
      </w:r>
    </w:p>
    <w:p w14:paraId="7D5CF6A1" w14:textId="3D4BC0BC" w:rsidR="00DD1C4B" w:rsidRDefault="003903FA" w:rsidP="00E52AD6">
      <w:pPr>
        <w:pStyle w:val="Bullet"/>
      </w:pPr>
      <w:r>
        <w:t xml:space="preserve">Questions over how the Elimination of Double Taxation metric should </w:t>
      </w:r>
      <w:r w:rsidR="007A6CF1">
        <w:t>relieve</w:t>
      </w:r>
      <w:r>
        <w:t>.</w:t>
      </w:r>
    </w:p>
    <w:p w14:paraId="400F5E72" w14:textId="0C62E3B2" w:rsidR="007A6CF1" w:rsidRDefault="007A6CF1" w:rsidP="00E52AD6">
      <w:pPr>
        <w:pStyle w:val="Bullet"/>
      </w:pPr>
      <w:r>
        <w:t xml:space="preserve">Support for the inclusion of a </w:t>
      </w:r>
      <w:r w:rsidR="008D0CE5">
        <w:t xml:space="preserve">prohibited unilateral measures list in the </w:t>
      </w:r>
      <w:r w:rsidR="00F427AF">
        <w:t>M</w:t>
      </w:r>
      <w:r w:rsidR="008D0CE5">
        <w:t xml:space="preserve">ultilateral </w:t>
      </w:r>
      <w:r w:rsidR="00F427AF">
        <w:t>C</w:t>
      </w:r>
      <w:r w:rsidR="008D0CE5">
        <w:t>onvention.</w:t>
      </w:r>
    </w:p>
    <w:p w14:paraId="38464057" w14:textId="19781DA6" w:rsidR="008D0CE5" w:rsidRDefault="008D0CE5" w:rsidP="00F12A9F">
      <w:pPr>
        <w:pStyle w:val="Bullet"/>
      </w:pPr>
      <w:r>
        <w:t xml:space="preserve">Strong support for Amount B to provide tax certainty </w:t>
      </w:r>
      <w:r w:rsidR="00B87192">
        <w:t>and for this work to be expedited.</w:t>
      </w:r>
    </w:p>
    <w:p w14:paraId="78CDCE18" w14:textId="0F944AB7" w:rsidR="00292874" w:rsidRPr="006B7395" w:rsidRDefault="00292874" w:rsidP="001065E5">
      <w:pPr>
        <w:pStyle w:val="Heading4"/>
      </w:pPr>
      <w:r>
        <w:t>OECD response</w:t>
      </w:r>
      <w:r w:rsidR="00AB4E71">
        <w:t>:</w:t>
      </w:r>
    </w:p>
    <w:p w14:paraId="2CC79DB7" w14:textId="44E863C1" w:rsidR="00AD5148" w:rsidRPr="00AD5148" w:rsidRDefault="00B12B60" w:rsidP="008736CA">
      <w:r>
        <w:t xml:space="preserve">The OECD </w:t>
      </w:r>
      <w:r w:rsidR="00EE0065">
        <w:t xml:space="preserve">hosted a </w:t>
      </w:r>
      <w:r w:rsidR="002D69CC">
        <w:t xml:space="preserve">panel discussion following receipt of the submissions from the public on the Pillar One Progress Report. </w:t>
      </w:r>
      <w:r w:rsidR="008934C8">
        <w:t xml:space="preserve">At the panel discussion, representatives from some commentators were invited to discuss various aspects of the Progress Report. This </w:t>
      </w:r>
      <w:r w:rsidR="00FC1C1D">
        <w:t xml:space="preserve">resulted in the OECD Secretariat taking on suggestions to update the </w:t>
      </w:r>
      <w:r w:rsidR="00D65139">
        <w:t>design of various Pillar One aspects.</w:t>
      </w:r>
    </w:p>
    <w:p w14:paraId="566198AA" w14:textId="77777777" w:rsidR="00D07123" w:rsidRDefault="00D07123" w:rsidP="00D3532B">
      <w:pPr>
        <w:pStyle w:val="Heading3"/>
      </w:pPr>
      <w:r>
        <w:t xml:space="preserve">OECD Consultation: Pillar Two </w:t>
      </w:r>
      <w:proofErr w:type="spellStart"/>
      <w:r>
        <w:t>GloBE</w:t>
      </w:r>
      <w:proofErr w:type="spellEnd"/>
      <w:r>
        <w:t xml:space="preserve"> Implementation Framework (2022) </w:t>
      </w:r>
    </w:p>
    <w:p w14:paraId="4E1C9C31" w14:textId="37164FB4" w:rsidR="00716DCD" w:rsidRPr="008736CA" w:rsidRDefault="00D07123" w:rsidP="00D3532B">
      <w:r w:rsidRPr="008736CA">
        <w:t xml:space="preserve">In April 2022, the OECD conducted a public consultation process on the administration and implementation issues under Pillar Two’s </w:t>
      </w:r>
      <w:proofErr w:type="spellStart"/>
      <w:r w:rsidRPr="008736CA">
        <w:t>GloBE</w:t>
      </w:r>
      <w:proofErr w:type="spellEnd"/>
      <w:r w:rsidRPr="008736CA">
        <w:t xml:space="preserve"> Implementation Framework. </w:t>
      </w:r>
      <w:r w:rsidR="007E64E4" w:rsidRPr="008736CA">
        <w:t xml:space="preserve">Written comments from </w:t>
      </w:r>
      <w:r w:rsidR="00730B21" w:rsidRPr="008736CA">
        <w:t xml:space="preserve">73 </w:t>
      </w:r>
      <w:r w:rsidR="007E64E4" w:rsidRPr="008736CA">
        <w:t xml:space="preserve">interested stakeholders were received and discussed in a public meeting. </w:t>
      </w:r>
      <w:r w:rsidR="00716DCD" w:rsidRPr="008736CA">
        <w:t xml:space="preserve">Key comments </w:t>
      </w:r>
      <w:r w:rsidR="002F7BD2" w:rsidRPr="008736CA">
        <w:t>received</w:t>
      </w:r>
      <w:r w:rsidR="00716DCD" w:rsidRPr="008736CA">
        <w:t xml:space="preserve">: </w:t>
      </w:r>
    </w:p>
    <w:p w14:paraId="3AA0DB51" w14:textId="77777777" w:rsidR="00716DCD" w:rsidRDefault="00716DCD" w:rsidP="009C440B">
      <w:pPr>
        <w:pStyle w:val="Bullet"/>
        <w:spacing w:after="120" w:line="240" w:lineRule="auto"/>
      </w:pPr>
      <w:r>
        <w:t xml:space="preserve">A workplan is needed for a peer review process for a jurisdiction’s domestic implementation plans. </w:t>
      </w:r>
    </w:p>
    <w:p w14:paraId="480A9242" w14:textId="77777777" w:rsidR="00716DCD" w:rsidRDefault="00716DCD" w:rsidP="009C440B">
      <w:pPr>
        <w:pStyle w:val="Bullet"/>
        <w:spacing w:after="120" w:line="240" w:lineRule="auto"/>
      </w:pPr>
      <w:r>
        <w:t xml:space="preserve">The OECD should also develop the Implementation Framework addressing: </w:t>
      </w:r>
    </w:p>
    <w:p w14:paraId="5899D407" w14:textId="77777777" w:rsidR="00716DCD" w:rsidRPr="00480E84" w:rsidRDefault="00716DCD" w:rsidP="009C440B">
      <w:pPr>
        <w:pStyle w:val="Bullet"/>
        <w:numPr>
          <w:ilvl w:val="1"/>
          <w:numId w:val="8"/>
        </w:numPr>
        <w:spacing w:after="120" w:line="240" w:lineRule="auto"/>
      </w:pPr>
      <w:r>
        <w:t xml:space="preserve">administrative guidance. </w:t>
      </w:r>
    </w:p>
    <w:p w14:paraId="2067F985" w14:textId="77777777" w:rsidR="00716DCD" w:rsidRDefault="00716DCD" w:rsidP="009C440B">
      <w:pPr>
        <w:pStyle w:val="Bullet"/>
        <w:numPr>
          <w:ilvl w:val="1"/>
          <w:numId w:val="8"/>
        </w:numPr>
        <w:spacing w:after="120" w:line="240" w:lineRule="auto"/>
      </w:pPr>
      <w:r>
        <w:t xml:space="preserve">a standardised </w:t>
      </w:r>
      <w:proofErr w:type="spellStart"/>
      <w:r>
        <w:t>GloBE</w:t>
      </w:r>
      <w:proofErr w:type="spellEnd"/>
      <w:r>
        <w:t xml:space="preserve"> Information Return and information exchange between tax authorities.</w:t>
      </w:r>
    </w:p>
    <w:p w14:paraId="4FDC2926" w14:textId="77777777" w:rsidR="00716DCD" w:rsidRDefault="00716DCD" w:rsidP="009C440B">
      <w:pPr>
        <w:pStyle w:val="Bullet"/>
        <w:numPr>
          <w:ilvl w:val="1"/>
          <w:numId w:val="8"/>
        </w:numPr>
        <w:spacing w:after="120" w:line="240" w:lineRule="auto"/>
      </w:pPr>
      <w:r>
        <w:t xml:space="preserve">safe harbours. </w:t>
      </w:r>
    </w:p>
    <w:p w14:paraId="4C237BBC" w14:textId="77777777" w:rsidR="00716DCD" w:rsidRDefault="00716DCD" w:rsidP="009C440B">
      <w:pPr>
        <w:pStyle w:val="Bullet"/>
        <w:numPr>
          <w:ilvl w:val="1"/>
          <w:numId w:val="8"/>
        </w:numPr>
        <w:spacing w:after="120" w:line="240" w:lineRule="auto"/>
      </w:pPr>
      <w:r>
        <w:t xml:space="preserve">workshops and webinars to promote technical awareness. </w:t>
      </w:r>
    </w:p>
    <w:p w14:paraId="24F7AB66" w14:textId="48C5E227" w:rsidR="002F7BD2" w:rsidRDefault="002F7BD2" w:rsidP="00DB3212">
      <w:pPr>
        <w:pStyle w:val="Heading4"/>
      </w:pPr>
      <w:r w:rsidRPr="00DB3212">
        <w:t>OECD’s response</w:t>
      </w:r>
      <w:r w:rsidR="00AB4E71">
        <w:t>:</w:t>
      </w:r>
    </w:p>
    <w:p w14:paraId="7BA0AD2B" w14:textId="04E16CFE" w:rsidR="001C7FF3" w:rsidRDefault="004A0CAD" w:rsidP="00716DCD">
      <w:r>
        <w:t>In response to stakeholders’ feedback, the OECD designed a</w:t>
      </w:r>
      <w:r w:rsidR="00716DCD">
        <w:t xml:space="preserve"> plan to develop the implementation framework. Further, the </w:t>
      </w:r>
      <w:r w:rsidR="00F83057">
        <w:t xml:space="preserve">OECD has </w:t>
      </w:r>
      <w:r w:rsidR="003D258B">
        <w:t xml:space="preserve">recently released </w:t>
      </w:r>
      <w:r w:rsidR="00935759">
        <w:t xml:space="preserve">an Implementation Framework package that contains administrative guidance on technical issues </w:t>
      </w:r>
      <w:r w:rsidR="00A51087">
        <w:t>identified by stakeholders during the consultation process.</w:t>
      </w:r>
    </w:p>
    <w:p w14:paraId="4CA2073E" w14:textId="6A81DEBD" w:rsidR="00716DCD" w:rsidRDefault="00B43907" w:rsidP="00716DCD">
      <w:r>
        <w:t>While stakeholder feedback has been noted and acknowledged</w:t>
      </w:r>
      <w:r w:rsidR="00245481">
        <w:t xml:space="preserve"> by the OECD</w:t>
      </w:r>
      <w:r>
        <w:t xml:space="preserve">, </w:t>
      </w:r>
      <w:r w:rsidR="00716DCD" w:rsidRPr="00DB3212">
        <w:t xml:space="preserve">there are limitations to what can </w:t>
      </w:r>
      <w:r w:rsidR="00245481">
        <w:t xml:space="preserve">be </w:t>
      </w:r>
      <w:r w:rsidR="00716DCD" w:rsidRPr="00DB3212">
        <w:t>incorporate</w:t>
      </w:r>
      <w:r w:rsidR="00245481">
        <w:t>d</w:t>
      </w:r>
      <w:r w:rsidR="00716DCD" w:rsidRPr="00DB3212">
        <w:t xml:space="preserve"> in the implementation framework</w:t>
      </w:r>
      <w:r w:rsidR="00245481">
        <w:t xml:space="preserve">, </w:t>
      </w:r>
      <w:r w:rsidR="00EA76DF">
        <w:t>given th</w:t>
      </w:r>
      <w:r w:rsidR="003C1709">
        <w:t xml:space="preserve">at the </w:t>
      </w:r>
      <w:r w:rsidR="00FD2A8E">
        <w:t>T</w:t>
      </w:r>
      <w:r w:rsidR="003C1709">
        <w:t>wo-</w:t>
      </w:r>
      <w:r w:rsidR="00FD2A8E">
        <w:t>P</w:t>
      </w:r>
      <w:r w:rsidR="003C1709">
        <w:t xml:space="preserve">illar </w:t>
      </w:r>
      <w:r w:rsidR="00FD2A8E">
        <w:t>S</w:t>
      </w:r>
      <w:r w:rsidR="003C1709">
        <w:t>olution is a globally negotiated agreement</w:t>
      </w:r>
      <w:r w:rsidR="00716DCD" w:rsidRPr="00DB3212">
        <w:t xml:space="preserve">. It is necessary for the implementation framework to be agreeable by </w:t>
      </w:r>
      <w:r w:rsidR="00716DCD" w:rsidRPr="00DB3212">
        <w:lastRenderedPageBreak/>
        <w:t>all jurisdictions, as failure to ratify</w:t>
      </w:r>
      <w:r w:rsidR="00C20FCA" w:rsidRPr="00DB3212">
        <w:t xml:space="preserve"> them</w:t>
      </w:r>
      <w:r w:rsidR="00716DCD" w:rsidRPr="00DB3212">
        <w:t>, may undermine the multilateral process.</w:t>
      </w:r>
      <w:r w:rsidR="00FF1BFC">
        <w:t xml:space="preserve"> In general, public stakeholder feedback on the technical design elements of both Pillars has been more </w:t>
      </w:r>
      <w:r w:rsidR="00596CEC">
        <w:t>directly addressed and incorporated</w:t>
      </w:r>
      <w:r w:rsidR="00FF1BFC">
        <w:t xml:space="preserve"> compared with </w:t>
      </w:r>
      <w:r w:rsidR="00A5648D">
        <w:t xml:space="preserve">feedback on the fundamental approach of the </w:t>
      </w:r>
      <w:r w:rsidR="00E72F8A">
        <w:t>work</w:t>
      </w:r>
      <w:r w:rsidR="00A5648D">
        <w:t>.</w:t>
      </w:r>
    </w:p>
    <w:p w14:paraId="340E3A9B" w14:textId="134ADA12" w:rsidR="0046102B" w:rsidRDefault="0046102B" w:rsidP="00D3532B">
      <w:pPr>
        <w:pStyle w:val="Heading2"/>
        <w:spacing w:before="120" w:line="240" w:lineRule="auto"/>
      </w:pPr>
      <w:r>
        <w:t xml:space="preserve">Consultation by Treasury </w:t>
      </w:r>
    </w:p>
    <w:p w14:paraId="22AB8E0E" w14:textId="77777777" w:rsidR="006F030A" w:rsidRPr="00AE158A" w:rsidRDefault="006F030A" w:rsidP="00D3532B">
      <w:pPr>
        <w:pStyle w:val="Heading3"/>
      </w:pPr>
      <w:bookmarkStart w:id="102" w:name="_Toc116375728"/>
      <w:bookmarkStart w:id="103" w:name="_Toc116376483"/>
      <w:bookmarkStart w:id="104" w:name="_Toc116380365"/>
      <w:r w:rsidRPr="00AE158A">
        <w:t>Treasury Discussion Paper: The digital economy and</w:t>
      </w:r>
      <w:r>
        <w:t xml:space="preserve"> </w:t>
      </w:r>
      <w:r w:rsidRPr="00AE158A">
        <w:t>Australia’s corporate tax system (2018)</w:t>
      </w:r>
      <w:bookmarkEnd w:id="102"/>
      <w:bookmarkEnd w:id="103"/>
      <w:bookmarkEnd w:id="104"/>
    </w:p>
    <w:p w14:paraId="45DAE3FB" w14:textId="3F653F08" w:rsidR="00FE37F2" w:rsidRDefault="00131165" w:rsidP="00131165">
      <w:pPr>
        <w:pStyle w:val="Bullet"/>
        <w:numPr>
          <w:ilvl w:val="0"/>
          <w:numId w:val="0"/>
        </w:numPr>
        <w:spacing w:after="120" w:line="240" w:lineRule="auto"/>
      </w:pPr>
      <w:r>
        <w:t>Treasury released a discussion paper in 2018 titled: The digital economy and Australia’s corporate tax system</w:t>
      </w:r>
      <w:r w:rsidRPr="006A5010">
        <w:rPr>
          <w:rFonts w:eastAsiaTheme="minorHAnsi" w:cstheme="minorBidi"/>
          <w:vertAlign w:val="superscript"/>
          <w:lang w:eastAsia="en-US"/>
        </w:rPr>
        <w:footnoteReference w:id="22"/>
      </w:r>
      <w:r>
        <w:t xml:space="preserve">, seeking comments on digital taxation issues. </w:t>
      </w:r>
    </w:p>
    <w:p w14:paraId="4F9E139D" w14:textId="2B9E4E13" w:rsidR="00370BF0" w:rsidRDefault="00370BF0" w:rsidP="00107988">
      <w:pPr>
        <w:pStyle w:val="Heading4"/>
      </w:pPr>
      <w:r w:rsidRPr="004F4256">
        <w:t>Key comments</w:t>
      </w:r>
      <w:r w:rsidR="00AB4E71">
        <w:t xml:space="preserve"> received:</w:t>
      </w:r>
      <w:r w:rsidRPr="004F4256">
        <w:t xml:space="preserve"> </w:t>
      </w:r>
    </w:p>
    <w:p w14:paraId="7E635C7A" w14:textId="759B85B7" w:rsidR="00C968B3" w:rsidRPr="00C968B3" w:rsidDel="0082156E" w:rsidRDefault="00C968B3" w:rsidP="009C440B">
      <w:pPr>
        <w:pStyle w:val="Bullet"/>
        <w:spacing w:after="120" w:line="240" w:lineRule="auto"/>
      </w:pPr>
      <w:r w:rsidDel="0082156E">
        <w:t>Concern</w:t>
      </w:r>
      <w:r w:rsidR="00A8311E" w:rsidDel="0082156E">
        <w:t>s</w:t>
      </w:r>
      <w:r w:rsidDel="0082156E">
        <w:t xml:space="preserve"> about the impacts of a </w:t>
      </w:r>
      <w:r w:rsidRPr="00C968B3" w:rsidDel="0082156E">
        <w:t>Digital Services Tax</w:t>
      </w:r>
      <w:r w:rsidDel="0082156E">
        <w:t>,</w:t>
      </w:r>
      <w:r w:rsidRPr="00C968B3" w:rsidDel="0082156E">
        <w:t xml:space="preserve"> such as the likely pass-through of costs to consumers, compliance costs, the effect on competition and innovation, retaliatory trade actions and the risk of double taxation. </w:t>
      </w:r>
      <w:r w:rsidR="006E3A71">
        <w:t xml:space="preserve">44 </w:t>
      </w:r>
      <w:r w:rsidR="006D5A5F">
        <w:t>submissions</w:t>
      </w:r>
      <w:r w:rsidR="00E40216">
        <w:t xml:space="preserve"> were </w:t>
      </w:r>
      <w:r w:rsidR="00E40216" w:rsidRPr="000660A6">
        <w:t>received</w:t>
      </w:r>
      <w:r w:rsidR="00ED2991">
        <w:t>.</w:t>
      </w:r>
      <w:r w:rsidR="00B04025" w:rsidRPr="000660A6">
        <w:rPr>
          <w:rStyle w:val="FootnoteReference"/>
        </w:rPr>
        <w:footnoteReference w:id="23"/>
      </w:r>
      <w:r w:rsidR="00E40216" w:rsidRPr="000660A6">
        <w:t xml:space="preserve"> </w:t>
      </w:r>
    </w:p>
    <w:p w14:paraId="44DFAA7B" w14:textId="77777777" w:rsidR="00E25006" w:rsidDel="0082156E" w:rsidRDefault="00C968B3" w:rsidP="009C440B">
      <w:pPr>
        <w:pStyle w:val="Bullet"/>
        <w:spacing w:after="120" w:line="240" w:lineRule="auto"/>
      </w:pPr>
      <w:r w:rsidDel="0082156E">
        <w:t xml:space="preserve">Very strong support to continue </w:t>
      </w:r>
      <w:r w:rsidR="00E25006" w:rsidDel="0082156E">
        <w:t>participating in the OECD/</w:t>
      </w:r>
      <w:proofErr w:type="spellStart"/>
      <w:r w:rsidR="00E25006" w:rsidDel="0082156E">
        <w:t>G20</w:t>
      </w:r>
      <w:proofErr w:type="spellEnd"/>
      <w:r w:rsidR="00E25006" w:rsidDel="0082156E">
        <w:t xml:space="preserve"> Inclusive Framework process to develop a multilateral solution.</w:t>
      </w:r>
    </w:p>
    <w:p w14:paraId="3E60F87B" w14:textId="450D16D3" w:rsidR="00370BF0" w:rsidRDefault="00A927BC" w:rsidP="00107988">
      <w:pPr>
        <w:pStyle w:val="Heading4"/>
      </w:pPr>
      <w:r>
        <w:t>Government</w:t>
      </w:r>
      <w:r w:rsidR="00370BF0">
        <w:t xml:space="preserve"> response</w:t>
      </w:r>
      <w:r w:rsidR="00AB4E71">
        <w:t>:</w:t>
      </w:r>
    </w:p>
    <w:p w14:paraId="05157B53" w14:textId="43DB50CA" w:rsidR="00131165" w:rsidRDefault="00131165" w:rsidP="00FC4202">
      <w:pPr>
        <w:pStyle w:val="Bullet"/>
        <w:numPr>
          <w:ilvl w:val="0"/>
          <w:numId w:val="0"/>
        </w:numPr>
        <w:spacing w:after="120" w:line="240" w:lineRule="auto"/>
      </w:pPr>
      <w:r>
        <w:t>In response to stakeholders’ feedback, the former Government announced that it would not be pursuing a unilateral measure, such as a Digital Services Tax,</w:t>
      </w:r>
      <w:r w:rsidR="00811EC3">
        <w:t xml:space="preserve"> at that time</w:t>
      </w:r>
      <w:r>
        <w:t xml:space="preserve"> and committed to working with the OECD to develop a multilateral solution.</w:t>
      </w:r>
    </w:p>
    <w:p w14:paraId="7FA34416" w14:textId="78735752" w:rsidR="008A191C" w:rsidRDefault="008A191C" w:rsidP="00FC4202">
      <w:pPr>
        <w:pStyle w:val="Heading3"/>
      </w:pPr>
      <w:bookmarkStart w:id="105" w:name="_Toc116375731"/>
      <w:bookmarkStart w:id="106" w:name="_Toc116376484"/>
      <w:bookmarkStart w:id="107" w:name="_Toc116380368"/>
      <w:r w:rsidRPr="000C2382">
        <w:t>Digital Tax Working Group, Board of Taxation and the National Tax Liaison Group (2020 to 202</w:t>
      </w:r>
      <w:r w:rsidR="009067E4">
        <w:t>3</w:t>
      </w:r>
      <w:r w:rsidRPr="000C2382">
        <w:t>)</w:t>
      </w:r>
      <w:bookmarkEnd w:id="105"/>
      <w:bookmarkEnd w:id="106"/>
      <w:bookmarkEnd w:id="107"/>
    </w:p>
    <w:p w14:paraId="105B1A69" w14:textId="19BB8024" w:rsidR="009067E4" w:rsidRDefault="009067E4" w:rsidP="009067E4">
      <w:r>
        <w:t>Since 20</w:t>
      </w:r>
      <w:r w:rsidR="00253DAC">
        <w:t>19</w:t>
      </w:r>
      <w:r>
        <w:t xml:space="preserve">, Treasury has engaged with </w:t>
      </w:r>
      <w:r w:rsidR="00E237DF">
        <w:t xml:space="preserve">a </w:t>
      </w:r>
      <w:r>
        <w:t>Digital Tax Working Group, the Board of Taxation and the ATO’s National Tax Liaison Group. In these groups, Treasury provides updates on digital tax matters, and benefits from discussing these with the representatives from the various bodies.</w:t>
      </w:r>
      <w:r w:rsidRPr="009067E4">
        <w:t xml:space="preserve"> </w:t>
      </w:r>
      <w:r w:rsidR="001E121D">
        <w:t>Treasury has hosted at least one round of</w:t>
      </w:r>
      <w:r>
        <w:t xml:space="preserve"> Digital Tax Working Group </w:t>
      </w:r>
      <w:r w:rsidR="001E121D">
        <w:t>meetings every</w:t>
      </w:r>
      <w:r w:rsidR="007019BF">
        <w:t xml:space="preserve"> year </w:t>
      </w:r>
      <w:r w:rsidR="006A58BD">
        <w:t>between 2019 and 2022</w:t>
      </w:r>
      <w:r w:rsidR="0009598A">
        <w:t>.</w:t>
      </w:r>
      <w:r w:rsidR="0009598A" w:rsidDel="0009598A">
        <w:t xml:space="preserve"> </w:t>
      </w:r>
      <w:r w:rsidR="00C16D3A">
        <w:t xml:space="preserve">In </w:t>
      </w:r>
      <w:r w:rsidR="00BE3D05">
        <w:t xml:space="preserve">addition to </w:t>
      </w:r>
      <w:r w:rsidR="00C16D3A">
        <w:t>these meetings</w:t>
      </w:r>
      <w:r w:rsidR="00E72D44">
        <w:t>, the</w:t>
      </w:r>
      <w:r>
        <w:t xml:space="preserve"> </w:t>
      </w:r>
      <w:r w:rsidR="00E72D44">
        <w:t>Digital Tax Working Group has been kept up to date r</w:t>
      </w:r>
      <w:r w:rsidR="005E0CD7">
        <w:t>egarding developments at the OECD via email</w:t>
      </w:r>
      <w:r w:rsidR="005E369A">
        <w:t>,</w:t>
      </w:r>
      <w:r w:rsidR="005E0CD7">
        <w:t xml:space="preserve"> </w:t>
      </w:r>
      <w:r w:rsidR="007C6894">
        <w:t>and smaller group meetings have been held on specific issues</w:t>
      </w:r>
      <w:r>
        <w:t xml:space="preserve">. </w:t>
      </w:r>
    </w:p>
    <w:p w14:paraId="79079399" w14:textId="0A682EA6" w:rsidR="00FC73EA" w:rsidRPr="00FC4202" w:rsidRDefault="00FC73EA" w:rsidP="00FC4202">
      <w:pPr>
        <w:rPr>
          <w:sz w:val="24"/>
        </w:rPr>
      </w:pPr>
      <w:r w:rsidRPr="00FC4202">
        <w:rPr>
          <w:color w:val="4D7861" w:themeColor="accent2"/>
          <w:sz w:val="24"/>
        </w:rPr>
        <w:t>Range of stakeholders:</w:t>
      </w:r>
      <w:r w:rsidRPr="001B7E40">
        <w:rPr>
          <w:rFonts w:cs="Arial"/>
          <w:color w:val="4D7861" w:themeColor="accent2"/>
          <w:sz w:val="24"/>
          <w:szCs w:val="24"/>
        </w:rPr>
        <w:t xml:space="preserve"> </w:t>
      </w:r>
    </w:p>
    <w:p w14:paraId="087A3440" w14:textId="77777777" w:rsidR="00E65AB8" w:rsidRDefault="00E65AB8" w:rsidP="00E65AB8">
      <w:r w:rsidRPr="00930BE4">
        <w:t xml:space="preserve">The Digital Tax Working Group includes representatives from around 60 organisations and stakeholders, including multinationals such as Alphabet, Amazon, Meta and Rio Tinto. Advisory firms, academics, financial institutions, cloud computing companies, industry bodies, mining companies and other multinationals are also included to ensure that a broad cross section of views is captured. Membership has been broadened as the scope of the Two-Pillar Solution has shifted. The Group was </w:t>
      </w:r>
      <w:r w:rsidRPr="00930BE4">
        <w:lastRenderedPageBreak/>
        <w:t>established as an ongoing forum for discussion of options and issues being contemplated in the OECD/</w:t>
      </w:r>
      <w:proofErr w:type="spellStart"/>
      <w:r w:rsidRPr="00930BE4">
        <w:t>G20</w:t>
      </w:r>
      <w:proofErr w:type="spellEnd"/>
      <w:r w:rsidRPr="00930BE4">
        <w:t xml:space="preserve"> Inclusive Framework process. </w:t>
      </w:r>
    </w:p>
    <w:p w14:paraId="18EE6DFA" w14:textId="77777777" w:rsidR="00E65AB8" w:rsidRDefault="00E65AB8" w:rsidP="00E65AB8">
      <w:r w:rsidRPr="00C968B3">
        <w:t xml:space="preserve">The Board of Taxation is a non-statutory advisory body charged with </w:t>
      </w:r>
      <w:r>
        <w:t xml:space="preserve">providing advice to the Treasurer. Its role is to </w:t>
      </w:r>
      <w:r w:rsidRPr="00C968B3">
        <w:t>contribut</w:t>
      </w:r>
      <w:r>
        <w:t>e</w:t>
      </w:r>
      <w:r w:rsidRPr="00C968B3">
        <w:t xml:space="preserve"> a business and broader community perspective to improving the design of taxation laws and their operation.</w:t>
      </w:r>
    </w:p>
    <w:p w14:paraId="3378E460" w14:textId="2477B52E" w:rsidR="005A1008" w:rsidRPr="00FC4202" w:rsidRDefault="00E65AB8" w:rsidP="009067E4">
      <w:pPr>
        <w:rPr>
          <w:color w:val="4D7861" w:themeColor="accent2"/>
          <w:kern w:val="32"/>
          <w:sz w:val="24"/>
        </w:rPr>
      </w:pPr>
      <w:r w:rsidRPr="00A37FEB">
        <w:t>The National Tax Liaison Group is one of the Stewardship groups operated by the ATO as a means of improving the client experience and administration of Australia’s taxation and superannuation system.</w:t>
      </w:r>
    </w:p>
    <w:p w14:paraId="07776E04" w14:textId="327C4405" w:rsidR="00496AE5" w:rsidRDefault="00496AE5" w:rsidP="00FC4202">
      <w:pPr>
        <w:pStyle w:val="Heading4"/>
      </w:pPr>
      <w:r w:rsidRPr="004F4256">
        <w:t xml:space="preserve">Key comments </w:t>
      </w:r>
      <w:r>
        <w:t>received:</w:t>
      </w:r>
    </w:p>
    <w:p w14:paraId="0BC4518B" w14:textId="77777777" w:rsidR="00AB54A4" w:rsidDel="00486DFF" w:rsidRDefault="00287A55" w:rsidP="009C440B">
      <w:pPr>
        <w:pStyle w:val="Bullet"/>
        <w:spacing w:after="120" w:line="240" w:lineRule="auto"/>
      </w:pPr>
      <w:r w:rsidDel="00486DFF">
        <w:t>Desire for Australia</w:t>
      </w:r>
      <w:r w:rsidR="00930BE4" w:rsidDel="00486DFF">
        <w:t xml:space="preserve"> to continue pursuing implementation on of the Two-Pillar </w:t>
      </w:r>
      <w:r w:rsidR="00E06181" w:rsidDel="00486DFF">
        <w:t>S</w:t>
      </w:r>
      <w:r w:rsidR="00930BE4" w:rsidDel="00486DFF">
        <w:t xml:space="preserve">olution. </w:t>
      </w:r>
    </w:p>
    <w:p w14:paraId="0578FCEB" w14:textId="77777777" w:rsidR="00930BE4" w:rsidDel="00486DFF" w:rsidRDefault="00287A55" w:rsidP="009C440B">
      <w:pPr>
        <w:pStyle w:val="Bullet"/>
        <w:spacing w:after="120" w:line="240" w:lineRule="auto"/>
      </w:pPr>
      <w:r w:rsidDel="00486DFF">
        <w:t xml:space="preserve">Desire for </w:t>
      </w:r>
      <w:r w:rsidR="00930BE4" w:rsidDel="00486DFF">
        <w:t xml:space="preserve">Australia to provide ample transition time for implementation. </w:t>
      </w:r>
    </w:p>
    <w:p w14:paraId="0D8B786C" w14:textId="4F47E5B9" w:rsidR="00930BE4" w:rsidRPr="00AB54A4" w:rsidDel="00486DFF" w:rsidRDefault="00930BE4" w:rsidP="009C440B">
      <w:pPr>
        <w:pStyle w:val="Bullet"/>
        <w:spacing w:after="120" w:line="240" w:lineRule="auto"/>
      </w:pPr>
      <w:r w:rsidDel="00486DFF">
        <w:t xml:space="preserve">Australia </w:t>
      </w:r>
      <w:r w:rsidR="002337EF" w:rsidDel="00486DFF">
        <w:t xml:space="preserve">should continue </w:t>
      </w:r>
      <w:r w:rsidDel="00486DFF">
        <w:t xml:space="preserve">to advocate to the OECD </w:t>
      </w:r>
      <w:r w:rsidR="004C7DC7">
        <w:t>S</w:t>
      </w:r>
      <w:r w:rsidR="00496AE5">
        <w:t>ecretariat</w:t>
      </w:r>
      <w:r w:rsidDel="00486DFF">
        <w:t xml:space="preserve"> to find more ways to reduce compliance costs. </w:t>
      </w:r>
    </w:p>
    <w:p w14:paraId="3A9791CA" w14:textId="77777777" w:rsidR="000D07CB" w:rsidDel="00486DFF" w:rsidRDefault="002337EF" w:rsidP="009C440B">
      <w:pPr>
        <w:pStyle w:val="Bullet"/>
        <w:spacing w:after="120" w:line="240" w:lineRule="auto"/>
      </w:pPr>
      <w:r w:rsidRPr="000153F2" w:rsidDel="00486DFF">
        <w:t>T</w:t>
      </w:r>
      <w:r w:rsidR="00031E0D" w:rsidRPr="000153F2" w:rsidDel="00486DFF">
        <w:t>here is a</w:t>
      </w:r>
      <w:r w:rsidR="000D07CB" w:rsidRPr="000153F2" w:rsidDel="00486DFF">
        <w:t xml:space="preserve"> preference </w:t>
      </w:r>
      <w:r w:rsidR="00031E0D" w:rsidRPr="000153F2" w:rsidDel="00486DFF">
        <w:t xml:space="preserve">for </w:t>
      </w:r>
      <w:r w:rsidR="000D07CB" w:rsidRPr="000153F2" w:rsidDel="00486DFF">
        <w:t>a global approach, as opposed to the current proliferation of unilateral Digital Service</w:t>
      </w:r>
      <w:r w:rsidR="00C2144F" w:rsidRPr="000153F2" w:rsidDel="00486DFF">
        <w:t>s</w:t>
      </w:r>
      <w:r w:rsidR="000D07CB" w:rsidRPr="000153F2" w:rsidDel="00486DFF">
        <w:t xml:space="preserve"> Taxes and the potential for trade sanctions.</w:t>
      </w:r>
    </w:p>
    <w:p w14:paraId="63C0C1F4" w14:textId="77777777" w:rsidR="00E9437E" w:rsidDel="00486DFF" w:rsidRDefault="002337EF" w:rsidP="009C440B">
      <w:pPr>
        <w:pStyle w:val="Bullet"/>
        <w:spacing w:after="120" w:line="240" w:lineRule="auto"/>
      </w:pPr>
      <w:r w:rsidRPr="000153F2" w:rsidDel="00486DFF">
        <w:t xml:space="preserve">The </w:t>
      </w:r>
      <w:r w:rsidR="00C12487" w:rsidRPr="000153F2" w:rsidDel="00486DFF">
        <w:t>T</w:t>
      </w:r>
      <w:r w:rsidR="008F2212" w:rsidRPr="000153F2" w:rsidDel="00486DFF">
        <w:t>wo-</w:t>
      </w:r>
      <w:r w:rsidR="00C12487" w:rsidRPr="000153F2" w:rsidDel="00486DFF">
        <w:t>P</w:t>
      </w:r>
      <w:r w:rsidR="008F2212" w:rsidRPr="000153F2" w:rsidDel="00486DFF">
        <w:t xml:space="preserve">illar </w:t>
      </w:r>
      <w:r w:rsidR="00C12487" w:rsidRPr="000153F2" w:rsidDel="00486DFF">
        <w:t>S</w:t>
      </w:r>
      <w:r w:rsidR="008F2212" w:rsidRPr="000153F2" w:rsidDel="00486DFF">
        <w:t>olution is very complex</w:t>
      </w:r>
      <w:r w:rsidR="0088667D" w:rsidRPr="000153F2" w:rsidDel="00486DFF">
        <w:t>, and simplification is desired</w:t>
      </w:r>
      <w:r w:rsidR="00E9437E" w:rsidRPr="000153F2" w:rsidDel="00486DFF">
        <w:t>.</w:t>
      </w:r>
    </w:p>
    <w:p w14:paraId="74DDAA18" w14:textId="77777777" w:rsidR="0088667D" w:rsidDel="00486DFF" w:rsidRDefault="002337EF" w:rsidP="009C440B">
      <w:pPr>
        <w:pStyle w:val="Bullet"/>
        <w:spacing w:after="120" w:line="240" w:lineRule="auto"/>
      </w:pPr>
      <w:r w:rsidDel="00486DFF">
        <w:t>C</w:t>
      </w:r>
      <w:r w:rsidR="0088667D" w:rsidDel="00486DFF">
        <w:t>oncern</w:t>
      </w:r>
      <w:r w:rsidR="00432A20" w:rsidDel="00486DFF">
        <w:t>s</w:t>
      </w:r>
      <w:r w:rsidR="0088667D" w:rsidDel="00486DFF">
        <w:t xml:space="preserve"> about the timing of implementation, given the need to update system</w:t>
      </w:r>
      <w:r w:rsidR="00031E0D" w:rsidDel="00486DFF">
        <w:t>s</w:t>
      </w:r>
      <w:r w:rsidR="0088667D" w:rsidDel="00486DFF">
        <w:t xml:space="preserve"> to collect data – as well as to inform business planning and future investment decisions. </w:t>
      </w:r>
    </w:p>
    <w:p w14:paraId="76D34F9B" w14:textId="77777777" w:rsidR="008F2212" w:rsidDel="00486DFF" w:rsidRDefault="00E9437E" w:rsidP="009C440B">
      <w:pPr>
        <w:pStyle w:val="Bullet"/>
        <w:spacing w:after="120" w:line="240" w:lineRule="auto"/>
      </w:pPr>
      <w:r w:rsidDel="00486DFF">
        <w:t>T</w:t>
      </w:r>
      <w:r w:rsidR="008F2212" w:rsidDel="00486DFF">
        <w:t xml:space="preserve">here are </w:t>
      </w:r>
      <w:r w:rsidR="00845BB3" w:rsidDel="00486DFF">
        <w:t>significant</w:t>
      </w:r>
      <w:r w:rsidR="008F2212" w:rsidDel="00486DFF">
        <w:t xml:space="preserve"> compliance challenges</w:t>
      </w:r>
      <w:r w:rsidDel="00486DFF">
        <w:t xml:space="preserve">, such as </w:t>
      </w:r>
      <w:r w:rsidR="00845BB3" w:rsidDel="00486DFF">
        <w:t>calculation of profit using financial</w:t>
      </w:r>
      <w:r w:rsidDel="00486DFF">
        <w:t xml:space="preserve"> accounting </w:t>
      </w:r>
      <w:r w:rsidR="00845BB3" w:rsidDel="00486DFF">
        <w:t xml:space="preserve">statements under the rules. </w:t>
      </w:r>
    </w:p>
    <w:p w14:paraId="23A1D4F0" w14:textId="77777777" w:rsidR="008F2212" w:rsidDel="00486DFF" w:rsidRDefault="00E9437E" w:rsidP="009C440B">
      <w:pPr>
        <w:pStyle w:val="Bullet"/>
        <w:spacing w:after="120" w:line="240" w:lineRule="auto"/>
      </w:pPr>
      <w:r w:rsidDel="00486DFF">
        <w:t>C</w:t>
      </w:r>
      <w:r w:rsidR="008F2212" w:rsidDel="00486DFF">
        <w:t>oncern</w:t>
      </w:r>
      <w:r w:rsidR="00031E0D" w:rsidDel="00486DFF">
        <w:t>s</w:t>
      </w:r>
      <w:r w:rsidR="008F2212" w:rsidDel="00486DFF">
        <w:t xml:space="preserve"> about the lack of principles underpinning </w:t>
      </w:r>
      <w:r w:rsidDel="00486DFF">
        <w:t xml:space="preserve">design of the </w:t>
      </w:r>
      <w:r w:rsidR="008F2212" w:rsidDel="00486DFF">
        <w:t>proposals</w:t>
      </w:r>
      <w:r w:rsidDel="00486DFF">
        <w:t xml:space="preserve">. </w:t>
      </w:r>
    </w:p>
    <w:p w14:paraId="1272B6C2" w14:textId="77777777" w:rsidR="00845BB3" w:rsidDel="00486DFF" w:rsidRDefault="001218BC" w:rsidP="009C440B">
      <w:pPr>
        <w:pStyle w:val="Bullet"/>
        <w:spacing w:after="120" w:line="240" w:lineRule="auto"/>
      </w:pPr>
      <w:r w:rsidRPr="000153F2" w:rsidDel="00486DFF">
        <w:t xml:space="preserve">Desire for an extractives </w:t>
      </w:r>
      <w:r w:rsidR="004537B0" w:rsidRPr="000153F2" w:rsidDel="00486DFF">
        <w:t>carve-out</w:t>
      </w:r>
      <w:r w:rsidRPr="000153F2" w:rsidDel="00486DFF">
        <w:t xml:space="preserve"> for Pillar One.</w:t>
      </w:r>
      <w:r w:rsidDel="00486DFF">
        <w:t xml:space="preserve"> </w:t>
      </w:r>
    </w:p>
    <w:p w14:paraId="55D9F376" w14:textId="77777777" w:rsidR="00E25006" w:rsidDel="00486DFF" w:rsidRDefault="001218BC" w:rsidP="009C440B">
      <w:pPr>
        <w:pStyle w:val="Bullet"/>
        <w:spacing w:after="120" w:line="240" w:lineRule="auto"/>
      </w:pPr>
      <w:r w:rsidDel="00486DFF">
        <w:t xml:space="preserve">Concerns about Pillar Two </w:t>
      </w:r>
      <w:r w:rsidR="00C76C03" w:rsidDel="00486DFF">
        <w:t xml:space="preserve">imposing </w:t>
      </w:r>
      <w:r w:rsidDel="00486DFF">
        <w:t xml:space="preserve">top up taxes </w:t>
      </w:r>
      <w:r w:rsidR="00C76C03" w:rsidDel="00486DFF">
        <w:t xml:space="preserve">as a result of </w:t>
      </w:r>
      <w:r w:rsidDel="00486DFF">
        <w:t xml:space="preserve">stimulatory policies like accelerated depreciation. </w:t>
      </w:r>
    </w:p>
    <w:p w14:paraId="255DDE8B" w14:textId="77777777" w:rsidR="004D1A8E" w:rsidDel="00486DFF" w:rsidRDefault="004D1A8E" w:rsidP="009C440B">
      <w:pPr>
        <w:pStyle w:val="Bullet"/>
        <w:spacing w:after="120" w:line="240" w:lineRule="auto"/>
      </w:pPr>
      <w:r w:rsidRPr="000153F2" w:rsidDel="00486DFF">
        <w:t xml:space="preserve">Safe harbours under </w:t>
      </w:r>
      <w:r w:rsidR="00031E0D" w:rsidRPr="000153F2" w:rsidDel="00486DFF">
        <w:t xml:space="preserve">Pillar Two </w:t>
      </w:r>
      <w:r w:rsidRPr="000153F2" w:rsidDel="00486DFF">
        <w:t xml:space="preserve">will be </w:t>
      </w:r>
      <w:r w:rsidR="00031E0D" w:rsidRPr="000153F2" w:rsidDel="00486DFF">
        <w:t>an</w:t>
      </w:r>
      <w:r w:rsidRPr="000153F2" w:rsidDel="00486DFF">
        <w:t xml:space="preserve"> important aspect to help reduce compliance costs.</w:t>
      </w:r>
    </w:p>
    <w:p w14:paraId="3CEC3D5A" w14:textId="2E7D8D06" w:rsidR="003E587A" w:rsidRDefault="004D1A8E" w:rsidP="009C440B">
      <w:pPr>
        <w:pStyle w:val="Bullet"/>
        <w:spacing w:after="120" w:line="240" w:lineRule="auto"/>
      </w:pPr>
      <w:r w:rsidDel="00486DFF">
        <w:t>Concern</w:t>
      </w:r>
      <w:r w:rsidR="00031E0D" w:rsidDel="00486DFF">
        <w:t>s</w:t>
      </w:r>
      <w:r w:rsidDel="00486DFF">
        <w:t xml:space="preserve"> around “doubling compliance burden” where any domestic minimum tax does not mirror the </w:t>
      </w:r>
      <w:r w:rsidR="00031E0D" w:rsidDel="00486DFF">
        <w:t xml:space="preserve">Pillar Two </w:t>
      </w:r>
      <w:r w:rsidDel="00486DFF">
        <w:t>calculations.</w:t>
      </w:r>
    </w:p>
    <w:p w14:paraId="45641A50" w14:textId="2A48CF93" w:rsidR="00417A94" w:rsidRDefault="00417A94" w:rsidP="000B0F8D">
      <w:pPr>
        <w:pStyle w:val="Heading4"/>
      </w:pPr>
      <w:r>
        <w:t>Treasury’s response</w:t>
      </w:r>
    </w:p>
    <w:p w14:paraId="28C64DDE" w14:textId="2E04F634" w:rsidR="00AD1824" w:rsidRDefault="00E7318F" w:rsidP="00AD1824">
      <w:pPr>
        <w:pStyle w:val="Bullet"/>
        <w:numPr>
          <w:ilvl w:val="0"/>
          <w:numId w:val="0"/>
        </w:numPr>
        <w:tabs>
          <w:tab w:val="clear" w:pos="720"/>
        </w:tabs>
        <w:spacing w:after="120" w:line="240" w:lineRule="auto"/>
      </w:pPr>
      <w:r>
        <w:t xml:space="preserve">Stakeholders’ feedback has informed Australia’s position during the multilateral negotiation of the two pillars. </w:t>
      </w:r>
      <w:r w:rsidR="00641589">
        <w:t>Treasury</w:t>
      </w:r>
      <w:r w:rsidR="00AD1824">
        <w:t xml:space="preserve"> has advocated on behalf of the stakeholders who have provided their commentary in the Digital Tax Working Group, Board of Taxation and National Tax Liaison Group forums. Various points from the above that Treasury ha</w:t>
      </w:r>
      <w:r w:rsidR="00CB228B">
        <w:t>s</w:t>
      </w:r>
      <w:r w:rsidR="00AD1824">
        <w:t xml:space="preserve"> advocated for, </w:t>
      </w:r>
      <w:proofErr w:type="gramStart"/>
      <w:r w:rsidR="00AD1824">
        <w:t>include:</w:t>
      </w:r>
      <w:proofErr w:type="gramEnd"/>
      <w:r w:rsidR="005115AE">
        <w:t xml:space="preserve"> </w:t>
      </w:r>
      <w:r w:rsidR="00855E73">
        <w:t xml:space="preserve">accommodation of Australian tax approaches </w:t>
      </w:r>
      <w:r w:rsidR="005115AE">
        <w:t>in Pillar Two</w:t>
      </w:r>
      <w:r w:rsidR="00684D3E">
        <w:t>;</w:t>
      </w:r>
      <w:r w:rsidR="00AD1824">
        <w:t xml:space="preserve"> the extractives carve-out</w:t>
      </w:r>
      <w:r w:rsidR="00856405">
        <w:t xml:space="preserve"> from Pillar One</w:t>
      </w:r>
      <w:r w:rsidR="00AD1824">
        <w:t xml:space="preserve"> which has greatly protected Australian interests; the restriction of Digital Services Taxes; and</w:t>
      </w:r>
      <w:r w:rsidR="00684D3E">
        <w:t>,</w:t>
      </w:r>
      <w:r w:rsidR="005448C2">
        <w:t xml:space="preserve"> </w:t>
      </w:r>
      <w:r w:rsidR="00AD1824">
        <w:t xml:space="preserve">the simplification of the </w:t>
      </w:r>
      <w:r w:rsidR="005448C2">
        <w:t xml:space="preserve">design of the </w:t>
      </w:r>
      <w:r w:rsidR="00AD1824">
        <w:t xml:space="preserve">Two-Pillar Solution. </w:t>
      </w:r>
    </w:p>
    <w:p w14:paraId="5AA5F385" w14:textId="0F65EAD5" w:rsidR="00AD1824" w:rsidRDefault="00554A7C" w:rsidP="0078511D">
      <w:pPr>
        <w:pStyle w:val="Bullet"/>
        <w:numPr>
          <w:ilvl w:val="0"/>
          <w:numId w:val="0"/>
        </w:numPr>
        <w:tabs>
          <w:tab w:val="clear" w:pos="720"/>
        </w:tabs>
        <w:spacing w:after="120" w:line="240" w:lineRule="auto"/>
      </w:pPr>
      <w:r>
        <w:t>O</w:t>
      </w:r>
      <w:r w:rsidR="00AD1824">
        <w:t>wing to the multilateral nature of the proposed reforms, Treasury needs to analyse the merit of, and apply judgement to, the various comments it receives from the public. Multilateral projects generally involve a high level of negotiation and compromise between jurisdictions</w:t>
      </w:r>
      <w:r w:rsidR="009A774D">
        <w:t xml:space="preserve">, and therefore, </w:t>
      </w:r>
      <w:r w:rsidR="00A92751">
        <w:t>Australia’s</w:t>
      </w:r>
      <w:r w:rsidR="009A774D">
        <w:t xml:space="preserve"> influence over the negotiations is </w:t>
      </w:r>
      <w:r w:rsidR="00A92751">
        <w:t>not absolute and</w:t>
      </w:r>
      <w:r w:rsidR="009A774D">
        <w:t xml:space="preserve"> compromises </w:t>
      </w:r>
      <w:r w:rsidR="00A92751">
        <w:t>are needed to</w:t>
      </w:r>
      <w:r w:rsidR="001346D5">
        <w:t xml:space="preserve"> ultimately reach </w:t>
      </w:r>
      <w:r w:rsidR="001346D5">
        <w:lastRenderedPageBreak/>
        <w:t>consensus</w:t>
      </w:r>
      <w:r w:rsidR="00AD1824">
        <w:t>. As such,</w:t>
      </w:r>
      <w:r w:rsidR="006B3418">
        <w:t xml:space="preserve"> </w:t>
      </w:r>
      <w:r w:rsidR="006A798D">
        <w:t>the</w:t>
      </w:r>
      <w:r w:rsidR="005D2137">
        <w:t xml:space="preserve"> information and suggestions received have been used to varying degrees during the course of the negotiations</w:t>
      </w:r>
      <w:r w:rsidR="00AD1824">
        <w:t>.</w:t>
      </w:r>
    </w:p>
    <w:p w14:paraId="5A565DA2" w14:textId="509EC836" w:rsidR="002A6847" w:rsidRDefault="002A6847" w:rsidP="00FC4202">
      <w:pPr>
        <w:pStyle w:val="Heading3"/>
      </w:pPr>
      <w:bookmarkStart w:id="108" w:name="_Toc116375744"/>
      <w:bookmarkStart w:id="109" w:name="_Toc116376488"/>
      <w:bookmarkStart w:id="110" w:name="_Toc116380381"/>
      <w:r>
        <w:t>Treasury Consultation on the Two-Pillar Solution (2022)</w:t>
      </w:r>
      <w:bookmarkEnd w:id="108"/>
      <w:bookmarkEnd w:id="109"/>
      <w:bookmarkEnd w:id="110"/>
      <w:r>
        <w:t xml:space="preserve"> </w:t>
      </w:r>
    </w:p>
    <w:p w14:paraId="7BE704A4" w14:textId="6EBFB701" w:rsidR="008216A3" w:rsidRDefault="008216A3" w:rsidP="008216A3">
      <w:r>
        <w:t xml:space="preserve">On 4 October 2022, </w:t>
      </w:r>
      <w:r w:rsidRPr="001D7936">
        <w:t xml:space="preserve">Treasury </w:t>
      </w:r>
      <w:r>
        <w:t>launched</w:t>
      </w:r>
      <w:r w:rsidRPr="001D7936">
        <w:t xml:space="preserve"> public consultation to seek views from interested parties on how Australia can best engage with the </w:t>
      </w:r>
      <w:r>
        <w:t>T</w:t>
      </w:r>
      <w:r w:rsidRPr="001D7936">
        <w:t>wo-</w:t>
      </w:r>
      <w:r>
        <w:t>P</w:t>
      </w:r>
      <w:r w:rsidRPr="001D7936">
        <w:t xml:space="preserve">illar </w:t>
      </w:r>
      <w:r>
        <w:t>S</w:t>
      </w:r>
      <w:r w:rsidRPr="001D7936">
        <w:t>olution, including the Pillar Two Model Rules and Commentary.</w:t>
      </w:r>
      <w:r>
        <w:t xml:space="preserve"> The consultation included an explanation of the problem driving the Two-Pillar Solution, potential options and impacts. It sought feedback particularly on the interactions with Australia’s existing corporate tax system, ways to minimise compliance costs, and the implementation of a Domestic Minimum Tax. </w:t>
      </w:r>
    </w:p>
    <w:p w14:paraId="30C61334" w14:textId="77777777" w:rsidR="0049329C" w:rsidRDefault="0049329C" w:rsidP="00FC4202">
      <w:pPr>
        <w:pStyle w:val="Heading4"/>
      </w:pPr>
      <w:r>
        <w:t>Range of stakeholders:</w:t>
      </w:r>
    </w:p>
    <w:p w14:paraId="39DB739B" w14:textId="77777777" w:rsidR="0049329C" w:rsidRDefault="0049329C" w:rsidP="0049329C">
      <w:pPr>
        <w:pStyle w:val="Bullet"/>
        <w:spacing w:after="120" w:line="240" w:lineRule="auto"/>
      </w:pPr>
      <w:r>
        <w:t>Professional Services: EY, Deloitte and PwC</w:t>
      </w:r>
    </w:p>
    <w:p w14:paraId="32EECBC0" w14:textId="77777777" w:rsidR="0049329C" w:rsidRDefault="0049329C" w:rsidP="0049329C">
      <w:pPr>
        <w:pStyle w:val="Bullet"/>
        <w:spacing w:after="120" w:line="240" w:lineRule="auto"/>
      </w:pPr>
      <w:r>
        <w:t xml:space="preserve">Advocacy Group: Corporate Tax Association, </w:t>
      </w:r>
      <w:r w:rsidRPr="00012346">
        <w:t>Australian Chamber of Commerce and Industry</w:t>
      </w:r>
      <w:r>
        <w:t xml:space="preserve">, Association of Superannuation Funds of Australia, Law Council of Australia, Australian Retailers Association, Property Council, Public Services Union, Asia Internet Coalition, Uniting Church of Australia, National Foreign Trade Council, Information Technology Industry Council </w:t>
      </w:r>
    </w:p>
    <w:p w14:paraId="0E0B5D05" w14:textId="77777777" w:rsidR="0049329C" w:rsidRDefault="0049329C" w:rsidP="0049329C">
      <w:pPr>
        <w:pStyle w:val="Bullet"/>
        <w:spacing w:after="120" w:line="240" w:lineRule="auto"/>
      </w:pPr>
      <w:r>
        <w:t xml:space="preserve">Academic: </w:t>
      </w:r>
      <w:r w:rsidRPr="00963002">
        <w:t>Professor Kerrie Sadiq</w:t>
      </w:r>
      <w:r>
        <w:t xml:space="preserve"> and </w:t>
      </w:r>
      <w:r w:rsidRPr="00963002">
        <w:t>Professor Richard Krever</w:t>
      </w:r>
    </w:p>
    <w:p w14:paraId="01BA5BA1" w14:textId="2AC113EA" w:rsidR="0049329C" w:rsidRDefault="0049329C" w:rsidP="00957C62">
      <w:pPr>
        <w:pStyle w:val="Bullet"/>
        <w:spacing w:after="120" w:line="240" w:lineRule="auto"/>
      </w:pPr>
      <w:r>
        <w:t xml:space="preserve">Multinational: CSL, </w:t>
      </w:r>
      <w:proofErr w:type="spellStart"/>
      <w:r>
        <w:t>South32</w:t>
      </w:r>
      <w:proofErr w:type="spellEnd"/>
    </w:p>
    <w:p w14:paraId="32BB3D72" w14:textId="20FECCC7" w:rsidR="008216A3" w:rsidRDefault="008216A3" w:rsidP="00FC4202">
      <w:pPr>
        <w:pStyle w:val="Heading4"/>
      </w:pPr>
      <w:r w:rsidRPr="00FC4202">
        <w:t xml:space="preserve">Key comments </w:t>
      </w:r>
      <w:r w:rsidR="00000108" w:rsidRPr="00F94E7C">
        <w:t>received</w:t>
      </w:r>
      <w:r w:rsidRPr="00FC4202">
        <w:t>:</w:t>
      </w:r>
      <w:r>
        <w:t xml:space="preserve"> </w:t>
      </w:r>
    </w:p>
    <w:p w14:paraId="7B0BAF46" w14:textId="77777777" w:rsidR="00692F7E" w:rsidRPr="002A5EBF" w:rsidRDefault="00692F7E" w:rsidP="00FC4202">
      <w:pPr>
        <w:pStyle w:val="Bullet"/>
      </w:pPr>
      <w:r w:rsidRPr="002A5EBF">
        <w:t>Support for the Two-Pillar Solution.</w:t>
      </w:r>
    </w:p>
    <w:p w14:paraId="543115EE" w14:textId="4D3EA21F" w:rsidR="008216A3" w:rsidRPr="002A5EBF" w:rsidRDefault="008216A3" w:rsidP="00FC4202">
      <w:pPr>
        <w:pStyle w:val="Bullet"/>
      </w:pPr>
      <w:r w:rsidRPr="002A5EBF">
        <w:t xml:space="preserve">Consideration should be given to Australia’s existing taxation system when translating OECD Model Rules into domestic legislation. </w:t>
      </w:r>
    </w:p>
    <w:p w14:paraId="7A232B4A" w14:textId="0485D767" w:rsidR="008216A3" w:rsidRPr="002A5EBF" w:rsidRDefault="008216A3" w:rsidP="00FC4202">
      <w:pPr>
        <w:pStyle w:val="Bullet"/>
      </w:pPr>
      <w:r w:rsidRPr="002A5EBF">
        <w:t xml:space="preserve">Plans should be progressed for administrative and transitional support arrangements. </w:t>
      </w:r>
    </w:p>
    <w:p w14:paraId="3240C24D" w14:textId="77777777" w:rsidR="008216A3" w:rsidRPr="002A5EBF" w:rsidRDefault="008216A3" w:rsidP="00FC4202">
      <w:pPr>
        <w:pStyle w:val="Bullet"/>
      </w:pPr>
      <w:r w:rsidRPr="002A5EBF">
        <w:t xml:space="preserve">Negotiations with the OECD should ensure effective safe harbours are in place for Pillar Two.  </w:t>
      </w:r>
    </w:p>
    <w:p w14:paraId="1056EE12" w14:textId="77777777" w:rsidR="008216A3" w:rsidRPr="002A5EBF" w:rsidRDefault="008216A3" w:rsidP="00FC4202">
      <w:pPr>
        <w:pStyle w:val="Bullet"/>
      </w:pPr>
      <w:r w:rsidRPr="002A5EBF">
        <w:t xml:space="preserve">Support for a qualified domestic minimum tax as part of Pillar Two implementation and that Australia should align implementation with EU countries and US. </w:t>
      </w:r>
    </w:p>
    <w:p w14:paraId="71F7DF02" w14:textId="77777777" w:rsidR="008216A3" w:rsidRPr="002A5EBF" w:rsidRDefault="008216A3" w:rsidP="00FC4202">
      <w:pPr>
        <w:pStyle w:val="Bullet"/>
      </w:pPr>
      <w:r w:rsidRPr="002A5EBF">
        <w:t xml:space="preserve">Common view that 2023 start dates for either Pillar are very challenging for businesses, given not all rules are clarified. Better to start in 2024. </w:t>
      </w:r>
    </w:p>
    <w:p w14:paraId="4D3351F4" w14:textId="77777777" w:rsidR="008216A3" w:rsidRPr="002A5EBF" w:rsidRDefault="008216A3" w:rsidP="00FC4202">
      <w:pPr>
        <w:pStyle w:val="Bullet"/>
      </w:pPr>
      <w:r w:rsidRPr="002A5EBF">
        <w:t xml:space="preserve">Widespread concerns over compliance costs and the need for Pillar Two safe harbours to lower compliance costs. Leverage existing </w:t>
      </w:r>
      <w:proofErr w:type="spellStart"/>
      <w:r w:rsidRPr="002A5EBF">
        <w:t>CbCR</w:t>
      </w:r>
      <w:proofErr w:type="spellEnd"/>
      <w:r w:rsidRPr="002A5EBF">
        <w:t xml:space="preserve"> rules and data to lower compliance costs. </w:t>
      </w:r>
    </w:p>
    <w:p w14:paraId="43D70FE2" w14:textId="482710C2" w:rsidR="004352FE" w:rsidRPr="002A5EBF" w:rsidRDefault="00B23A79" w:rsidP="009C440B">
      <w:pPr>
        <w:pStyle w:val="Bullet"/>
      </w:pPr>
      <w:r>
        <w:t xml:space="preserve">Franking credits should be allowed for </w:t>
      </w:r>
      <w:proofErr w:type="spellStart"/>
      <w:r>
        <w:t>GloBE</w:t>
      </w:r>
      <w:proofErr w:type="spellEnd"/>
      <w:r>
        <w:t xml:space="preserve"> taxes and DMT</w:t>
      </w:r>
      <w:r w:rsidR="00692F7E">
        <w:t>.</w:t>
      </w:r>
      <w:r>
        <w:t xml:space="preserve"> </w:t>
      </w:r>
    </w:p>
    <w:p w14:paraId="44DBCBCA" w14:textId="77777777" w:rsidR="008216A3" w:rsidRPr="002A5EBF" w:rsidRDefault="008216A3" w:rsidP="00FC4202">
      <w:pPr>
        <w:pStyle w:val="Bullet"/>
      </w:pPr>
      <w:r w:rsidRPr="002A5EBF">
        <w:t xml:space="preserve">Desire for a more defined extractive definition in Pillar One. </w:t>
      </w:r>
    </w:p>
    <w:p w14:paraId="3F25EF88" w14:textId="77777777" w:rsidR="008216A3" w:rsidRDefault="008216A3" w:rsidP="00FC4202">
      <w:pPr>
        <w:pStyle w:val="Bullet"/>
      </w:pPr>
      <w:r w:rsidRPr="002A5EBF">
        <w:t xml:space="preserve">Need to consult further on domestic legislation. </w:t>
      </w:r>
    </w:p>
    <w:p w14:paraId="45ECEAE8" w14:textId="19A02F05" w:rsidR="00A82322" w:rsidRPr="00F94E7C" w:rsidRDefault="00A82322" w:rsidP="00F94E7C">
      <w:pPr>
        <w:pStyle w:val="Heading4"/>
      </w:pPr>
      <w:r w:rsidRPr="002D7B1F">
        <w:lastRenderedPageBreak/>
        <w:t>Treasury’s response</w:t>
      </w:r>
    </w:p>
    <w:p w14:paraId="396DAF6A" w14:textId="7E60BD03" w:rsidR="00F357A9" w:rsidRDefault="00F84489" w:rsidP="00A63116">
      <w:pPr>
        <w:pStyle w:val="Bullet"/>
        <w:numPr>
          <w:ilvl w:val="0"/>
          <w:numId w:val="0"/>
        </w:numPr>
        <w:tabs>
          <w:tab w:val="clear" w:pos="720"/>
        </w:tabs>
        <w:spacing w:after="120" w:line="240" w:lineRule="auto"/>
      </w:pPr>
      <w:r>
        <w:t xml:space="preserve">The </w:t>
      </w:r>
      <w:r w:rsidR="001905D7">
        <w:t>T</w:t>
      </w:r>
      <w:r>
        <w:t>wo-</w:t>
      </w:r>
      <w:r w:rsidR="001905D7">
        <w:t>P</w:t>
      </w:r>
      <w:r>
        <w:t xml:space="preserve">illar </w:t>
      </w:r>
      <w:r w:rsidR="001905D7">
        <w:t>S</w:t>
      </w:r>
      <w:r>
        <w:t>olution is a multilateral agreement that requires a high level of negotiation and compromise between jurisdictions</w:t>
      </w:r>
      <w:r w:rsidR="00A63116">
        <w:t>. Hence, i</w:t>
      </w:r>
      <w:r w:rsidR="00F357A9">
        <w:t xml:space="preserve">n considering the feedback from stakeholders, Treasury </w:t>
      </w:r>
      <w:r w:rsidR="00971F8C">
        <w:t>should ensure that Australia</w:t>
      </w:r>
      <w:r w:rsidR="00A63116">
        <w:t>’s</w:t>
      </w:r>
      <w:r w:rsidR="00971F8C">
        <w:t xml:space="preserve"> implement</w:t>
      </w:r>
      <w:r w:rsidR="00A63116">
        <w:t xml:space="preserve">ation of </w:t>
      </w:r>
      <w:r w:rsidR="00971F8C">
        <w:t xml:space="preserve">the two Pillars </w:t>
      </w:r>
      <w:r w:rsidR="005A0298">
        <w:t xml:space="preserve">aligns with the global agreement. </w:t>
      </w:r>
      <w:r w:rsidR="00E35163">
        <w:t xml:space="preserve">This means that, while some stakeholders may prefer a different approach or treatment, </w:t>
      </w:r>
      <w:r w:rsidR="008C12E5">
        <w:t xml:space="preserve">the resulting products may not necessarily reflect the preference of individual stakeholders. </w:t>
      </w:r>
    </w:p>
    <w:p w14:paraId="2D630482" w14:textId="5A35EBF0" w:rsidR="008216A3" w:rsidRDefault="00E26B0D" w:rsidP="008216A3">
      <w:pPr>
        <w:pStyle w:val="Bullet"/>
        <w:numPr>
          <w:ilvl w:val="0"/>
          <w:numId w:val="0"/>
        </w:numPr>
        <w:tabs>
          <w:tab w:val="clear" w:pos="720"/>
        </w:tabs>
        <w:spacing w:after="120" w:line="240" w:lineRule="auto"/>
      </w:pPr>
      <w:r>
        <w:t>I</w:t>
      </w:r>
      <w:r w:rsidR="008C12E5">
        <w:t>n</w:t>
      </w:r>
      <w:r w:rsidR="00DE2D49">
        <w:t xml:space="preserve"> light of the received feedback</w:t>
      </w:r>
      <w:r w:rsidR="008216A3">
        <w:t xml:space="preserve">, </w:t>
      </w:r>
      <w:r w:rsidR="004462BB">
        <w:t>Treasury</w:t>
      </w:r>
      <w:r w:rsidR="008216A3">
        <w:t xml:space="preserve"> has considered the </w:t>
      </w:r>
      <w:r w:rsidR="00DE2D49">
        <w:t xml:space="preserve">following </w:t>
      </w:r>
      <w:r w:rsidR="008216A3">
        <w:t xml:space="preserve">in its proposed approach for future implementation </w:t>
      </w:r>
      <w:r w:rsidR="00DE2D49">
        <w:t>of</w:t>
      </w:r>
      <w:r w:rsidR="008216A3">
        <w:t xml:space="preserve"> Pillar One and Two</w:t>
      </w:r>
      <w:r w:rsidR="00DE2D49">
        <w:t xml:space="preserve">: </w:t>
      </w:r>
    </w:p>
    <w:p w14:paraId="4AB0A95F" w14:textId="100388DF" w:rsidR="008216A3" w:rsidRPr="00A0284A" w:rsidRDefault="002A23ED" w:rsidP="00957C62">
      <w:pPr>
        <w:pStyle w:val="Bullet"/>
      </w:pPr>
      <w:r>
        <w:t>The</w:t>
      </w:r>
      <w:r w:rsidR="00F814B9">
        <w:t xml:space="preserve"> </w:t>
      </w:r>
      <w:r w:rsidR="00DE2D49" w:rsidRPr="00A0284A">
        <w:t xml:space="preserve">implementation of Pillar Two </w:t>
      </w:r>
      <w:r w:rsidR="00F814B9" w:rsidRPr="00A0284A">
        <w:t>in Australia should be</w:t>
      </w:r>
      <w:r w:rsidR="00DE2D49" w:rsidRPr="00A0284A">
        <w:t xml:space="preserve"> aligned </w:t>
      </w:r>
      <w:r w:rsidR="008216A3" w:rsidRPr="00A0284A">
        <w:t xml:space="preserve">with the OECD’s </w:t>
      </w:r>
      <w:proofErr w:type="spellStart"/>
      <w:r w:rsidR="008216A3" w:rsidRPr="00A0284A">
        <w:t>GloBE</w:t>
      </w:r>
      <w:proofErr w:type="spellEnd"/>
      <w:r w:rsidR="008216A3" w:rsidRPr="00A0284A">
        <w:t xml:space="preserve"> Model Rules</w:t>
      </w:r>
      <w:r w:rsidR="00DE2D49" w:rsidRPr="00A0284A">
        <w:t>, Commentary and Implementation Framework</w:t>
      </w:r>
      <w:r w:rsidR="008216A3" w:rsidRPr="00A0284A">
        <w:t xml:space="preserve">, to ensure that compliance burdens and costs are reduced as much as possible to support multinationals in the transition to the new </w:t>
      </w:r>
      <w:proofErr w:type="gramStart"/>
      <w:r w:rsidR="008216A3" w:rsidRPr="00A0284A">
        <w:t>rules;</w:t>
      </w:r>
      <w:proofErr w:type="gramEnd"/>
    </w:p>
    <w:p w14:paraId="6C521766" w14:textId="64EC553F" w:rsidR="00957C62" w:rsidRDefault="00DE2D49" w:rsidP="00957C62">
      <w:pPr>
        <w:pStyle w:val="Bullet"/>
      </w:pPr>
      <w:r w:rsidRPr="00A0284A">
        <w:t xml:space="preserve">Australia should implement a </w:t>
      </w:r>
      <w:r w:rsidR="008216A3" w:rsidRPr="00A0284A">
        <w:t xml:space="preserve">qualified domestic minimum tax to </w:t>
      </w:r>
      <w:r w:rsidR="00CF0887" w:rsidRPr="00A0284A">
        <w:t xml:space="preserve">avoid increasing compliance burden in </w:t>
      </w:r>
      <w:proofErr w:type="gramStart"/>
      <w:r w:rsidR="00CF0887" w:rsidRPr="00A0284A">
        <w:t>Australia</w:t>
      </w:r>
      <w:r w:rsidR="0075623D" w:rsidRPr="00A0284A">
        <w:t>;</w:t>
      </w:r>
      <w:proofErr w:type="gramEnd"/>
      <w:r w:rsidR="0075623D" w:rsidRPr="00A0284A">
        <w:t xml:space="preserve"> </w:t>
      </w:r>
    </w:p>
    <w:p w14:paraId="6598934F" w14:textId="1F7BD2C8" w:rsidR="0075623D" w:rsidRPr="00A0284A" w:rsidRDefault="0075623D" w:rsidP="00957C62">
      <w:pPr>
        <w:pStyle w:val="Bullet"/>
      </w:pPr>
      <w:r w:rsidRPr="00A0284A">
        <w:t xml:space="preserve">Domestic implementation of the Pillars will ensure appropriate interaction with Australia’s existing taxation </w:t>
      </w:r>
      <w:proofErr w:type="gramStart"/>
      <w:r w:rsidRPr="00A0284A">
        <w:t>system;</w:t>
      </w:r>
      <w:proofErr w:type="gramEnd"/>
      <w:r w:rsidRPr="00A0284A">
        <w:t xml:space="preserve"> </w:t>
      </w:r>
    </w:p>
    <w:p w14:paraId="22E087F8" w14:textId="3AD22D5B" w:rsidR="00EF07A1" w:rsidRPr="00A0284A" w:rsidRDefault="00EF07A1" w:rsidP="00957C62">
      <w:pPr>
        <w:pStyle w:val="Bullet"/>
      </w:pPr>
      <w:r w:rsidRPr="00A0284A">
        <w:t>In deciding whether top</w:t>
      </w:r>
      <w:r w:rsidR="00A00530" w:rsidRPr="00A0284A">
        <w:t xml:space="preserve">-up taxes under the </w:t>
      </w:r>
      <w:proofErr w:type="spellStart"/>
      <w:r w:rsidR="00A00530" w:rsidRPr="00A0284A">
        <w:t>GloBE</w:t>
      </w:r>
      <w:proofErr w:type="spellEnd"/>
      <w:r w:rsidR="00A00530" w:rsidRPr="00A0284A">
        <w:t xml:space="preserve"> Rules and DMT should give rise to franking credits</w:t>
      </w:r>
      <w:r w:rsidR="006E5BA0" w:rsidRPr="00A0284A">
        <w:t xml:space="preserve"> or not</w:t>
      </w:r>
      <w:r w:rsidR="00A00530" w:rsidRPr="00A0284A">
        <w:t xml:space="preserve">, </w:t>
      </w:r>
      <w:r w:rsidR="006E5BA0" w:rsidRPr="00A0284A">
        <w:t xml:space="preserve">consideration has been given to aligning Australia’s implementation with the policy intent of the </w:t>
      </w:r>
      <w:proofErr w:type="spellStart"/>
      <w:r w:rsidR="006E5BA0" w:rsidRPr="00A0284A">
        <w:t>GloBE</w:t>
      </w:r>
      <w:proofErr w:type="spellEnd"/>
      <w:r w:rsidR="006E5BA0" w:rsidRPr="00A0284A">
        <w:t xml:space="preserve"> Model </w:t>
      </w:r>
      <w:proofErr w:type="gramStart"/>
      <w:r w:rsidR="006E5BA0" w:rsidRPr="00A0284A">
        <w:t>Rules;</w:t>
      </w:r>
      <w:proofErr w:type="gramEnd"/>
      <w:r w:rsidR="006E5BA0" w:rsidRPr="00A0284A">
        <w:t xml:space="preserve"> </w:t>
      </w:r>
    </w:p>
    <w:p w14:paraId="216A0079" w14:textId="0ECB53F7" w:rsidR="008216A3" w:rsidRPr="00A0284A" w:rsidRDefault="008216A3" w:rsidP="00957C62">
      <w:pPr>
        <w:pStyle w:val="Bullet"/>
      </w:pPr>
      <w:r w:rsidRPr="00A0284A">
        <w:t xml:space="preserve">Acknowledging the concerns of multinationals in introducing either Pillar too early, proposing implementation of Pillar One and Two </w:t>
      </w:r>
      <w:r w:rsidR="003F7880" w:rsidRPr="00A0284A">
        <w:t xml:space="preserve">from </w:t>
      </w:r>
      <w:r w:rsidRPr="00A0284A">
        <w:t xml:space="preserve">1 January 2024 at the earliest, to ensure that multinationals have sufficient time to understand and prepare for the transition to the </w:t>
      </w:r>
      <w:proofErr w:type="gramStart"/>
      <w:r w:rsidRPr="00A0284A">
        <w:t>rules;</w:t>
      </w:r>
      <w:proofErr w:type="gramEnd"/>
      <w:r w:rsidRPr="00A0284A">
        <w:t xml:space="preserve"> </w:t>
      </w:r>
    </w:p>
    <w:p w14:paraId="336AB41A" w14:textId="171BA8D2" w:rsidR="009441BF" w:rsidRPr="00A0284A" w:rsidRDefault="0076741E" w:rsidP="00957C62">
      <w:pPr>
        <w:pStyle w:val="Bullet"/>
      </w:pPr>
      <w:r w:rsidRPr="00A0284A">
        <w:t xml:space="preserve">We will ensure </w:t>
      </w:r>
      <w:r w:rsidR="008216A3" w:rsidRPr="00A0284A">
        <w:t>that further consultation is conducted at the time of drafting</w:t>
      </w:r>
      <w:r w:rsidR="002D7B1F" w:rsidRPr="00A0284A">
        <w:t xml:space="preserve"> </w:t>
      </w:r>
      <w:r w:rsidR="008216A3" w:rsidRPr="00A0284A">
        <w:t xml:space="preserve">the domestic legislation for the domestic minimum tax and </w:t>
      </w:r>
      <w:proofErr w:type="spellStart"/>
      <w:r w:rsidR="008216A3" w:rsidRPr="00A0284A">
        <w:t>GloBE</w:t>
      </w:r>
      <w:proofErr w:type="spellEnd"/>
      <w:r w:rsidR="008216A3" w:rsidRPr="00A0284A">
        <w:t xml:space="preserve"> Model Rules</w:t>
      </w:r>
      <w:r w:rsidR="00B27596" w:rsidRPr="00A0284A">
        <w:t xml:space="preserve">; and </w:t>
      </w:r>
      <w:r w:rsidR="008216A3" w:rsidRPr="00A0284A">
        <w:t xml:space="preserve"> </w:t>
      </w:r>
    </w:p>
    <w:p w14:paraId="0737FC55" w14:textId="5E3047CC" w:rsidR="00B86EDA" w:rsidRPr="00B86EDA" w:rsidRDefault="005A0298" w:rsidP="00957C62">
      <w:pPr>
        <w:pStyle w:val="Bullet"/>
      </w:pPr>
      <w:r w:rsidRPr="00A0284A">
        <w:t>Comments concerning</w:t>
      </w:r>
      <w:r>
        <w:t xml:space="preserve"> the negotiations with the OECD, including on aspects such as safe harbours, </w:t>
      </w:r>
      <w:r w:rsidR="0075623D">
        <w:t>have</w:t>
      </w:r>
      <w:r w:rsidR="00D90542">
        <w:t xml:space="preserve"> been noted</w:t>
      </w:r>
      <w:r w:rsidR="00D65475">
        <w:t xml:space="preserve"> in preparation for the </w:t>
      </w:r>
      <w:r w:rsidR="00F35841">
        <w:t>respective OECD meetings</w:t>
      </w:r>
      <w:r w:rsidR="00D65475">
        <w:t xml:space="preserve">. </w:t>
      </w:r>
      <w:r w:rsidR="009441BF">
        <w:t xml:space="preserve"> </w:t>
      </w:r>
    </w:p>
    <w:p w14:paraId="7508BC15" w14:textId="00076F13" w:rsidR="00B45B6F" w:rsidRDefault="00B45B6F" w:rsidP="00310BF4">
      <w:pPr>
        <w:pStyle w:val="Heading2"/>
        <w:spacing w:before="120" w:line="240" w:lineRule="auto"/>
      </w:pPr>
      <w:bookmarkStart w:id="111" w:name="_Toc81382308"/>
      <w:bookmarkStart w:id="112" w:name="_Toc81413159"/>
      <w:bookmarkStart w:id="113" w:name="_Toc82428825"/>
      <w:bookmarkStart w:id="114" w:name="_Toc83727259"/>
      <w:bookmarkStart w:id="115" w:name="_Toc116375747"/>
      <w:bookmarkStart w:id="116" w:name="_Toc116380384"/>
      <w:r>
        <w:t>Additional consultation</w:t>
      </w:r>
      <w:bookmarkEnd w:id="111"/>
      <w:bookmarkEnd w:id="112"/>
      <w:bookmarkEnd w:id="113"/>
      <w:bookmarkEnd w:id="114"/>
      <w:r w:rsidR="00DC4F44">
        <w:t xml:space="preserve"> 2023 and beyond</w:t>
      </w:r>
      <w:bookmarkEnd w:id="115"/>
      <w:bookmarkEnd w:id="116"/>
    </w:p>
    <w:p w14:paraId="6B246637" w14:textId="77777777" w:rsidR="00B45B6F" w:rsidRDefault="00B45B6F" w:rsidP="003C3B7B">
      <w:r>
        <w:t xml:space="preserve">Both the </w:t>
      </w:r>
      <w:r w:rsidRPr="009A6C76">
        <w:t>OECD/</w:t>
      </w:r>
      <w:proofErr w:type="spellStart"/>
      <w:r w:rsidRPr="009A6C76">
        <w:t>G20</w:t>
      </w:r>
      <w:proofErr w:type="spellEnd"/>
      <w:r w:rsidRPr="009A6C76">
        <w:t xml:space="preserve"> Inclusive Framework </w:t>
      </w:r>
      <w:r>
        <w:t xml:space="preserve">and Treasury intend to remain </w:t>
      </w:r>
      <w:r w:rsidR="00E838BF">
        <w:t>engaged with</w:t>
      </w:r>
      <w:r>
        <w:t xml:space="preserve"> stakeholders. In preparation for the final stage of negotiations, Treasury will continue to consult with our Digital Tax Working Group to explain the current proposals and seek feedback on practical implications and implementation. Treasury will also continue to engage with the Board of Tax</w:t>
      </w:r>
      <w:r w:rsidR="006A22C6">
        <w:t>ation</w:t>
      </w:r>
      <w:r>
        <w:t>, who already receive regular updates on the digital tax process.</w:t>
      </w:r>
    </w:p>
    <w:p w14:paraId="6E723E18" w14:textId="77777777" w:rsidR="001D1D60" w:rsidRDefault="00B45B6F" w:rsidP="00EA1C96">
      <w:r>
        <w:t xml:space="preserve">Consultation </w:t>
      </w:r>
      <w:r w:rsidR="00CF6537">
        <w:t xml:space="preserve">with stakeholders and the public </w:t>
      </w:r>
      <w:r>
        <w:t xml:space="preserve">will occur at key points </w:t>
      </w:r>
      <w:r w:rsidR="00B44243">
        <w:t xml:space="preserve">through the OECD and by Australia to support </w:t>
      </w:r>
      <w:r>
        <w:t xml:space="preserve">domestic implementation </w:t>
      </w:r>
      <w:r w:rsidR="00CF6537">
        <w:t>such as</w:t>
      </w:r>
      <w:r w:rsidRPr="003C3B7B">
        <w:t xml:space="preserve"> exposure draft legislation. As dates for commencement and implementation </w:t>
      </w:r>
      <w:r w:rsidR="00676CC8">
        <w:t xml:space="preserve">of some aspects </w:t>
      </w:r>
      <w:r w:rsidRPr="003C3B7B">
        <w:t xml:space="preserve">are still the subject </w:t>
      </w:r>
      <w:r w:rsidR="00B44243">
        <w:t>to</w:t>
      </w:r>
      <w:r w:rsidRPr="003C3B7B">
        <w:t xml:space="preserve"> negotiations, a precise timeline </w:t>
      </w:r>
      <w:r w:rsidR="00CF6537">
        <w:t xml:space="preserve">for consultation </w:t>
      </w:r>
      <w:r w:rsidRPr="003C3B7B">
        <w:t>cannot be given at this point. The OECD/</w:t>
      </w:r>
      <w:proofErr w:type="spellStart"/>
      <w:r w:rsidRPr="003C3B7B">
        <w:t>G20</w:t>
      </w:r>
      <w:proofErr w:type="spellEnd"/>
      <w:r w:rsidRPr="003C3B7B">
        <w:t xml:space="preserve"> Inclusive Framework has flagged that technical issues will continue to be developed</w:t>
      </w:r>
      <w:r w:rsidR="00676CC8">
        <w:t>, the pace of which may also affect future consultation and timing of implementation.</w:t>
      </w:r>
      <w:r w:rsidR="001D1D60">
        <w:br w:type="page"/>
      </w:r>
    </w:p>
    <w:p w14:paraId="2FC51123" w14:textId="77777777" w:rsidR="00F66078" w:rsidRDefault="00432A20" w:rsidP="00310BF4">
      <w:pPr>
        <w:pStyle w:val="Heading1"/>
        <w:spacing w:before="120" w:line="240" w:lineRule="auto"/>
      </w:pPr>
      <w:bookmarkStart w:id="117" w:name="_Toc125462476"/>
      <w:bookmarkStart w:id="118" w:name="_Toc131405126"/>
      <w:r>
        <w:lastRenderedPageBreak/>
        <w:t>Recommended option</w:t>
      </w:r>
      <w:bookmarkEnd w:id="117"/>
      <w:bookmarkEnd w:id="118"/>
    </w:p>
    <w:p w14:paraId="362F2D47" w14:textId="4D2879D3" w:rsidR="00290F53" w:rsidRDefault="00DC5DD4" w:rsidP="006D1D18">
      <w:r>
        <w:t xml:space="preserve">Based on the impact analysis the recommended </w:t>
      </w:r>
      <w:r w:rsidR="007D0F1D">
        <w:t>option</w:t>
      </w:r>
      <w:r>
        <w:t xml:space="preserve"> for</w:t>
      </w:r>
      <w:r w:rsidR="00FA2641">
        <w:t xml:space="preserve"> Australia is to </w:t>
      </w:r>
      <w:r>
        <w:t>choose</w:t>
      </w:r>
      <w:r w:rsidR="00C267B9">
        <w:t xml:space="preserve"> Option 1</w:t>
      </w:r>
      <w:r w:rsidR="00E66DD8">
        <w:t>,</w:t>
      </w:r>
      <w:r w:rsidR="00C267B9">
        <w:t xml:space="preserve"> Australia to implement Pillar One</w:t>
      </w:r>
      <w:r w:rsidR="00E66DD8">
        <w:t>,</w:t>
      </w:r>
      <w:r w:rsidR="00C267B9">
        <w:t xml:space="preserve"> and Option 2</w:t>
      </w:r>
      <w:r w:rsidR="00E66DD8">
        <w:t>,</w:t>
      </w:r>
      <w:r w:rsidR="00C267B9">
        <w:t xml:space="preserve"> Australia to implement Pillar Two. </w:t>
      </w:r>
      <w:r w:rsidR="00325FBA">
        <w:t xml:space="preserve">However, </w:t>
      </w:r>
      <w:r w:rsidR="007034F5">
        <w:t xml:space="preserve">this </w:t>
      </w:r>
      <w:r w:rsidR="00325FBA">
        <w:t>reco</w:t>
      </w:r>
      <w:r w:rsidR="0015219E">
        <w:t>mmendation</w:t>
      </w:r>
      <w:r w:rsidR="007034F5">
        <w:t xml:space="preserve"> </w:t>
      </w:r>
      <w:r w:rsidR="00105D6A">
        <w:t xml:space="preserve">is contingent </w:t>
      </w:r>
      <w:r w:rsidR="00DF7AC4">
        <w:t xml:space="preserve">on the policy design continuing </w:t>
      </w:r>
      <w:r w:rsidR="002F6B53">
        <w:t>to align with Australia’s interests</w:t>
      </w:r>
      <w:r w:rsidR="00147C95">
        <w:t xml:space="preserve"> as the final details sett</w:t>
      </w:r>
      <w:r w:rsidR="00DA3FAA">
        <w:t>led in the negotiations</w:t>
      </w:r>
      <w:r w:rsidR="00255861">
        <w:t>.</w:t>
      </w:r>
    </w:p>
    <w:p w14:paraId="611FFACA" w14:textId="77777777" w:rsidR="00A777AC" w:rsidRDefault="00E66DD8" w:rsidP="00FA2641">
      <w:r>
        <w:t xml:space="preserve">This would </w:t>
      </w:r>
      <w:r w:rsidR="009847BC">
        <w:t>include</w:t>
      </w:r>
      <w:r>
        <w:t>:</w:t>
      </w:r>
    </w:p>
    <w:p w14:paraId="22E505AE" w14:textId="7A92AC84" w:rsidR="00A777AC" w:rsidRDefault="007D553A" w:rsidP="009C440B">
      <w:pPr>
        <w:pStyle w:val="Bullet"/>
        <w:spacing w:after="120" w:line="240" w:lineRule="auto"/>
      </w:pPr>
      <w:r>
        <w:t>C</w:t>
      </w:r>
      <w:r w:rsidR="00FA2641">
        <w:t xml:space="preserve">ontinuing to work with OECD Inclusive Framework to finalise the outstanding details of the Two-Pillar </w:t>
      </w:r>
      <w:proofErr w:type="gramStart"/>
      <w:r w:rsidR="00FA2641">
        <w:t>Solution</w:t>
      </w:r>
      <w:r w:rsidR="00CF67AC">
        <w:t>;</w:t>
      </w:r>
      <w:proofErr w:type="gramEnd"/>
    </w:p>
    <w:p w14:paraId="4717A613" w14:textId="2E3ADF6B" w:rsidR="00A777AC" w:rsidRDefault="007D553A" w:rsidP="009C440B">
      <w:pPr>
        <w:pStyle w:val="Bullet"/>
        <w:spacing w:after="120" w:line="240" w:lineRule="auto"/>
      </w:pPr>
      <w:r>
        <w:t>C</w:t>
      </w:r>
      <w:r w:rsidR="00FA2641">
        <w:t>ontinuing consultation with key stakeholders,</w:t>
      </w:r>
      <w:r w:rsidR="00A777AC">
        <w:t xml:space="preserve"> and </w:t>
      </w:r>
      <w:r w:rsidR="00FA2641">
        <w:t>assess</w:t>
      </w:r>
      <w:r w:rsidR="00A777AC">
        <w:t>ment of</w:t>
      </w:r>
      <w:r w:rsidR="00FA2641">
        <w:t xml:space="preserve"> the impacts on Australia</w:t>
      </w:r>
      <w:r w:rsidR="00C50895">
        <w:t>;</w:t>
      </w:r>
      <w:r w:rsidR="00FA2641">
        <w:t xml:space="preserve"> and </w:t>
      </w:r>
    </w:p>
    <w:p w14:paraId="714AF3C7" w14:textId="2399E63D" w:rsidR="00FA2641" w:rsidRDefault="007D553A" w:rsidP="009C440B">
      <w:pPr>
        <w:pStyle w:val="Bullet"/>
        <w:spacing w:after="120" w:line="240" w:lineRule="auto"/>
      </w:pPr>
      <w:r>
        <w:t>H</w:t>
      </w:r>
      <w:r w:rsidR="00FA2641">
        <w:t>aving a workplan to minimise complexity and compliance costs for business</w:t>
      </w:r>
      <w:r w:rsidR="00B44243">
        <w:t xml:space="preserve"> as part of implementation</w:t>
      </w:r>
      <w:r w:rsidR="00FA2641">
        <w:t xml:space="preserve">. </w:t>
      </w:r>
    </w:p>
    <w:p w14:paraId="7FF1B4BF" w14:textId="5CF82C01" w:rsidR="005F5EBA" w:rsidRDefault="002A5EBF" w:rsidP="00D62B9C">
      <w:r>
        <w:t xml:space="preserve">The implementation of both Pillar One and Pillar Two </w:t>
      </w:r>
      <w:r w:rsidR="00790F90">
        <w:t>would ensure</w:t>
      </w:r>
      <w:r>
        <w:t xml:space="preserve"> that Australia remains steadfast with the international community in combatting multinational tax </w:t>
      </w:r>
      <w:r w:rsidR="00D57549">
        <w:t>avoidance and</w:t>
      </w:r>
      <w:r>
        <w:t xml:space="preserve"> contributing to the stabilisation of the international tax framework. </w:t>
      </w:r>
      <w:r w:rsidR="00260F22">
        <w:t xml:space="preserve">Failure to support the international tax community and not implement either, or both, Pillars, may negatively </w:t>
      </w:r>
      <w:r w:rsidR="006D6C13">
        <w:t>impact Australia’s international reputation as a global contributor to a fairer international tax framework</w:t>
      </w:r>
      <w:r w:rsidR="00260F22">
        <w:t xml:space="preserve">. </w:t>
      </w:r>
    </w:p>
    <w:p w14:paraId="5516FB2F" w14:textId="40E43CAB" w:rsidR="002A5EBF" w:rsidRDefault="002A5EBF" w:rsidP="00D62B9C">
      <w:r>
        <w:t>Further, both Pillar One and Pillar Two are generally expected to provide Australia with increased tax revenues</w:t>
      </w:r>
      <w:r w:rsidR="005F5EBA">
        <w:t>. Failing to implement either Pillar One or Pillar Two, may mean that A</w:t>
      </w:r>
      <w:r w:rsidR="00A83E10">
        <w:t>ustralia misses out on the opportunity to receive additional taxing rights under Pillar One, or fails to apply top-up taxes to undertaxed profits under Pillar Two. As such, the implementation will not only protect, but increase, Australia’s generation of tax revenue.</w:t>
      </w:r>
    </w:p>
    <w:p w14:paraId="63770111" w14:textId="79DA2DAA" w:rsidR="00D62B9C" w:rsidRDefault="003C7B13" w:rsidP="00D62B9C">
      <w:r>
        <w:t>More broadly,</w:t>
      </w:r>
      <w:r w:rsidRPr="00FA2641">
        <w:t xml:space="preserve"> </w:t>
      </w:r>
      <w:r w:rsidR="00A777AC" w:rsidRPr="00FA2641">
        <w:t>Pillar One and Pillar Two work towards a more level playing field between the taxation of Australian and foreign-based businesses.</w:t>
      </w:r>
      <w:r w:rsidR="00A777AC">
        <w:t xml:space="preserve"> </w:t>
      </w:r>
      <w:r w:rsidR="00B44243">
        <w:t xml:space="preserve">They both also modernise the international </w:t>
      </w:r>
      <w:r w:rsidR="00E83502">
        <w:t>corporate</w:t>
      </w:r>
      <w:r w:rsidR="00B44243">
        <w:t xml:space="preserve"> taxation system to take account of new digital business models. </w:t>
      </w:r>
      <w:r w:rsidR="006C5A4A">
        <w:t>This</w:t>
      </w:r>
      <w:r w:rsidR="00FA2641" w:rsidRPr="00FA2641">
        <w:t xml:space="preserve"> should help promote greater investment into Australia and allow our businesses to be more competitive. </w:t>
      </w:r>
      <w:r w:rsidR="00B609DF">
        <w:t>T</w:t>
      </w:r>
      <w:r w:rsidR="00D62B9C">
        <w:t xml:space="preserve">he Two-Pillar Solution </w:t>
      </w:r>
      <w:r w:rsidR="00D62B9C" w:rsidRPr="00D812E9">
        <w:t xml:space="preserve">will not supplant the need for existing corporate tax integrity measures (which remain complementary). </w:t>
      </w:r>
    </w:p>
    <w:p w14:paraId="6770D90B" w14:textId="77777777" w:rsidR="00E84BE0" w:rsidRDefault="00492F3C" w:rsidP="00D62B9C">
      <w:r>
        <w:t xml:space="preserve">Given the baseline </w:t>
      </w:r>
      <w:r w:rsidR="00EA7310">
        <w:t xml:space="preserve">assumption </w:t>
      </w:r>
      <w:r>
        <w:t xml:space="preserve">is that the rest of the world implements the Two-Pillar Solution, a decision by Australia to not </w:t>
      </w:r>
      <w:r w:rsidR="00D62B9C">
        <w:t xml:space="preserve">implement the Two-Pillar Solution </w:t>
      </w:r>
      <w:r>
        <w:t xml:space="preserve">would </w:t>
      </w:r>
      <w:r w:rsidR="00D62B9C">
        <w:t>undermine t</w:t>
      </w:r>
      <w:r w:rsidR="00D62B9C" w:rsidRPr="00E105CB">
        <w:t>he international rules-based order that open economies like Australia benefit from</w:t>
      </w:r>
      <w:r>
        <w:t>. I</w:t>
      </w:r>
      <w:r w:rsidR="00E10C39">
        <w:t xml:space="preserve">t </w:t>
      </w:r>
      <w:r w:rsidR="00D62B9C" w:rsidRPr="00E105CB">
        <w:t xml:space="preserve">would </w:t>
      </w:r>
      <w:r w:rsidR="00E10C39">
        <w:t xml:space="preserve">also </w:t>
      </w:r>
      <w:r w:rsidR="00D62B9C" w:rsidRPr="00E105CB">
        <w:t xml:space="preserve">reduce </w:t>
      </w:r>
      <w:r>
        <w:t>Australia’s</w:t>
      </w:r>
      <w:r w:rsidRPr="00E105CB">
        <w:t xml:space="preserve"> </w:t>
      </w:r>
      <w:r w:rsidR="00D62B9C">
        <w:t xml:space="preserve">ability to influence the design and implementation manner of the Two Pillar Solution. </w:t>
      </w:r>
    </w:p>
    <w:p w14:paraId="6F435C1A" w14:textId="6AD4133F" w:rsidR="001A637B" w:rsidRDefault="00F66078" w:rsidP="00310BF4">
      <w:pPr>
        <w:pStyle w:val="Heading1"/>
        <w:spacing w:before="120" w:line="240" w:lineRule="auto"/>
      </w:pPr>
      <w:bookmarkStart w:id="119" w:name="_Toc116375751"/>
      <w:bookmarkStart w:id="120" w:name="_Toc116380386"/>
      <w:bookmarkStart w:id="121" w:name="_Toc125462477"/>
      <w:bookmarkStart w:id="122" w:name="_Toc131405127"/>
      <w:bookmarkEnd w:id="95"/>
      <w:r>
        <w:t>Implementation</w:t>
      </w:r>
      <w:bookmarkEnd w:id="119"/>
      <w:bookmarkEnd w:id="120"/>
      <w:bookmarkEnd w:id="121"/>
      <w:bookmarkEnd w:id="122"/>
    </w:p>
    <w:p w14:paraId="06313AE0" w14:textId="5E36E6FB" w:rsidR="00F91770" w:rsidRPr="00CA7426" w:rsidRDefault="00F91770" w:rsidP="0065624C">
      <w:bookmarkStart w:id="123" w:name="_Toc116375753"/>
      <w:bookmarkStart w:id="124" w:name="_Toc116380388"/>
      <w:r w:rsidRPr="00694326">
        <w:t>Implementation requires work to be completed at the O</w:t>
      </w:r>
      <w:r w:rsidR="006C5A4A">
        <w:t>EC</w:t>
      </w:r>
      <w:r w:rsidRPr="00694326">
        <w:t xml:space="preserve">D level for both Pillars. This work includes the negotiations of </w:t>
      </w:r>
      <w:r w:rsidR="006C5A4A">
        <w:t xml:space="preserve">the </w:t>
      </w:r>
      <w:r w:rsidR="00E76A73">
        <w:t>M</w:t>
      </w:r>
      <w:r w:rsidRPr="00694326">
        <w:t xml:space="preserve">ultilateral </w:t>
      </w:r>
      <w:r w:rsidR="00FE3B8A">
        <w:t>I</w:t>
      </w:r>
      <w:r w:rsidRPr="00694326">
        <w:t xml:space="preserve">nstrument and </w:t>
      </w:r>
      <w:r w:rsidR="00FE3B8A">
        <w:t>C</w:t>
      </w:r>
      <w:r w:rsidRPr="00694326">
        <w:t>onvention, resolution of various</w:t>
      </w:r>
      <w:r w:rsidRPr="00550B8D">
        <w:t xml:space="preserve"> significant and complex issues, and the finalisation of policy documents, such as the Implementation Framework for the </w:t>
      </w:r>
      <w:proofErr w:type="spellStart"/>
      <w:r w:rsidRPr="00550B8D">
        <w:t>GloBE</w:t>
      </w:r>
      <w:proofErr w:type="spellEnd"/>
      <w:r w:rsidRPr="00550B8D">
        <w:t xml:space="preserve"> </w:t>
      </w:r>
      <w:r w:rsidR="00A50D77">
        <w:t xml:space="preserve">Model </w:t>
      </w:r>
      <w:r w:rsidRPr="00550B8D">
        <w:t xml:space="preserve">Rules. </w:t>
      </w:r>
      <w:r w:rsidRPr="00ED6315">
        <w:t>Until key design elements are settled at the OECD level, it will be difficult to assess the magnitude, complexity and timeframe required for the implementation task, including interactions with Australia’s domestic tax framew</w:t>
      </w:r>
      <w:r w:rsidRPr="00CA7426">
        <w:t xml:space="preserve">ork and administration.  </w:t>
      </w:r>
    </w:p>
    <w:p w14:paraId="29AC465E" w14:textId="50091A0C" w:rsidR="00F91770" w:rsidRPr="00D941D6" w:rsidRDefault="00F91770" w:rsidP="00FC4202">
      <w:pPr>
        <w:pStyle w:val="SingleParagraph"/>
      </w:pPr>
      <w:r w:rsidRPr="00EB5DF9">
        <w:t xml:space="preserve">Key elements of the policy involve Australia becoming a signatory to and implementing a </w:t>
      </w:r>
      <w:r w:rsidR="00FE3B8A">
        <w:t>M</w:t>
      </w:r>
      <w:r w:rsidRPr="00EB5DF9">
        <w:t xml:space="preserve">ultilateral </w:t>
      </w:r>
      <w:r w:rsidR="00FE3B8A">
        <w:t>I</w:t>
      </w:r>
      <w:r w:rsidRPr="00EB5DF9">
        <w:t xml:space="preserve">nstrument and </w:t>
      </w:r>
      <w:r w:rsidR="00FE3B8A">
        <w:t>C</w:t>
      </w:r>
      <w:r w:rsidRPr="00EB5DF9">
        <w:t xml:space="preserve">onvention. Australia’s domestic procedures for implementing a treaty involve many </w:t>
      </w:r>
      <w:r w:rsidRPr="00EB5DF9">
        <w:lastRenderedPageBreak/>
        <w:t>steps including tabling the con</w:t>
      </w:r>
      <w:r w:rsidRPr="00260A71">
        <w:t xml:space="preserve">vention and instrument, </w:t>
      </w:r>
      <w:r w:rsidR="00A640C2">
        <w:t>policy impact analysis</w:t>
      </w:r>
      <w:r w:rsidRPr="00260A71">
        <w:t xml:space="preserve"> and national interest analysis before both Houses of Parliament. Major treaty actions must be tabled before Parliament for 20 joint sitting days to allow sufficient time for the Joint Standing Committee on Treaties to make a recommendation on binding trea</w:t>
      </w:r>
      <w:r w:rsidRPr="00D941D6">
        <w:t xml:space="preserve">ty action. </w:t>
      </w:r>
    </w:p>
    <w:p w14:paraId="51145751" w14:textId="77777777" w:rsidR="005C7F59" w:rsidRDefault="005C7F59" w:rsidP="005C7F59">
      <w:r>
        <w:t>Some</w:t>
      </w:r>
      <w:r w:rsidRPr="009002C9">
        <w:t xml:space="preserve"> elements of the new rules may be optional for individual countries to implement or may provide flexibility for countries to choose between various options. Additional decisions on implementation will be needed, including the dates of operation of parts of the consensus and timeframes for implementation (this is likely to be several years, however implementation timelines are under debate in the negotiations).</w:t>
      </w:r>
    </w:p>
    <w:p w14:paraId="1466B018" w14:textId="77777777" w:rsidR="00F91770" w:rsidRDefault="00F91770" w:rsidP="00F91770">
      <w:r w:rsidRPr="00F91770">
        <w:t xml:space="preserve">The development of domestic legislation </w:t>
      </w:r>
      <w:r w:rsidR="00AC68F3">
        <w:t>involves drafting</w:t>
      </w:r>
      <w:r w:rsidRPr="00F91770">
        <w:t xml:space="preserve"> legislation and supporting material, as well as allow</w:t>
      </w:r>
      <w:r w:rsidR="00AC68F3">
        <w:t>ing</w:t>
      </w:r>
      <w:r w:rsidRPr="00F91770">
        <w:t xml:space="preserve"> adequate time for stakeholder consultation, which will be critical to successful implementation. Inadequate consultation would create the risk of substantial criticism from stakeholders. </w:t>
      </w:r>
    </w:p>
    <w:p w14:paraId="427E5140" w14:textId="58AB4120" w:rsidR="001A637B" w:rsidRDefault="001A637B" w:rsidP="00310BF4">
      <w:pPr>
        <w:pStyle w:val="Heading2"/>
        <w:spacing w:before="120" w:line="240" w:lineRule="auto"/>
      </w:pPr>
      <w:r>
        <w:t>Pillar One</w:t>
      </w:r>
      <w:r w:rsidR="00DC6622">
        <w:t xml:space="preserve"> Implementation</w:t>
      </w:r>
      <w:bookmarkEnd w:id="123"/>
      <w:bookmarkEnd w:id="124"/>
    </w:p>
    <w:p w14:paraId="02FFD780" w14:textId="77777777" w:rsidR="009A402F" w:rsidRDefault="0058278F" w:rsidP="0065624C">
      <w:r>
        <w:t xml:space="preserve">Subject to a decision by Government to implement Pillar One, the steps below are indicative of the </w:t>
      </w:r>
      <w:r w:rsidR="00E83502">
        <w:t>approach. Note</w:t>
      </w:r>
      <w:r w:rsidR="00002A6D">
        <w:t xml:space="preserve"> that the timing is dependent on many variables and decisions by Government.</w:t>
      </w:r>
    </w:p>
    <w:tbl>
      <w:tblPr>
        <w:tblStyle w:val="TableGrid1"/>
        <w:tblW w:w="0" w:type="auto"/>
        <w:tblLook w:val="04A0" w:firstRow="1" w:lastRow="0" w:firstColumn="1" w:lastColumn="0" w:noHBand="0" w:noVBand="1"/>
      </w:tblPr>
      <w:tblGrid>
        <w:gridCol w:w="2122"/>
        <w:gridCol w:w="6938"/>
      </w:tblGrid>
      <w:tr w:rsidR="009A402F" w:rsidRPr="009002C9" w14:paraId="49680F35" w14:textId="77777777" w:rsidTr="00485F11">
        <w:tc>
          <w:tcPr>
            <w:tcW w:w="2122" w:type="dxa"/>
          </w:tcPr>
          <w:p w14:paraId="2BFAF569" w14:textId="77777777" w:rsidR="009A402F" w:rsidRPr="00485F11" w:rsidRDefault="009A402F">
            <w:pPr>
              <w:rPr>
                <w:b/>
              </w:rPr>
            </w:pPr>
            <w:r w:rsidRPr="00485F11">
              <w:rPr>
                <w:b/>
              </w:rPr>
              <w:t>Approximate date</w:t>
            </w:r>
          </w:p>
        </w:tc>
        <w:tc>
          <w:tcPr>
            <w:tcW w:w="6938" w:type="dxa"/>
          </w:tcPr>
          <w:p w14:paraId="55A5818E" w14:textId="77777777" w:rsidR="009A402F" w:rsidRPr="00485F11" w:rsidRDefault="00002A6D">
            <w:pPr>
              <w:rPr>
                <w:b/>
              </w:rPr>
            </w:pPr>
            <w:r>
              <w:rPr>
                <w:b/>
                <w:bCs/>
              </w:rPr>
              <w:t>Step</w:t>
            </w:r>
          </w:p>
        </w:tc>
      </w:tr>
      <w:tr w:rsidR="009A402F" w:rsidRPr="009002C9" w14:paraId="36978926" w14:textId="77777777" w:rsidTr="00485F11">
        <w:tc>
          <w:tcPr>
            <w:tcW w:w="2122" w:type="dxa"/>
          </w:tcPr>
          <w:p w14:paraId="381C504D" w14:textId="77777777" w:rsidR="009A402F" w:rsidRPr="009002C9" w:rsidRDefault="009A402F">
            <w:r w:rsidRPr="009002C9">
              <w:t>2022 to 2023</w:t>
            </w:r>
          </w:p>
        </w:tc>
        <w:tc>
          <w:tcPr>
            <w:tcW w:w="6938" w:type="dxa"/>
          </w:tcPr>
          <w:p w14:paraId="314170F7" w14:textId="77777777" w:rsidR="009A402F" w:rsidRPr="009002C9" w:rsidRDefault="009A402F">
            <w:r w:rsidRPr="00485F11">
              <w:rPr>
                <w:u w:val="single"/>
              </w:rPr>
              <w:t>Negotiation</w:t>
            </w:r>
            <w:r w:rsidRPr="009002C9">
              <w:t>: OECD/</w:t>
            </w:r>
            <w:proofErr w:type="spellStart"/>
            <w:r w:rsidRPr="009002C9">
              <w:t>G20</w:t>
            </w:r>
            <w:proofErr w:type="spellEnd"/>
            <w:r w:rsidRPr="009002C9">
              <w:t xml:space="preserve"> Inclusive Framework </w:t>
            </w:r>
            <w:r>
              <w:t xml:space="preserve">to agree on final design for Pillar </w:t>
            </w:r>
            <w:r w:rsidR="00695A1C">
              <w:t>One</w:t>
            </w:r>
            <w:r>
              <w:t xml:space="preserve">. </w:t>
            </w:r>
            <w:r w:rsidRPr="009002C9">
              <w:t xml:space="preserve"> </w:t>
            </w:r>
          </w:p>
        </w:tc>
      </w:tr>
      <w:tr w:rsidR="009A402F" w:rsidRPr="009002C9" w14:paraId="127C93A4" w14:textId="77777777" w:rsidTr="00485F11">
        <w:tc>
          <w:tcPr>
            <w:tcW w:w="2122" w:type="dxa"/>
          </w:tcPr>
          <w:p w14:paraId="6E755357" w14:textId="77777777" w:rsidR="009A402F" w:rsidRPr="009002C9" w:rsidRDefault="009A402F">
            <w:r w:rsidRPr="009002C9">
              <w:t>2023</w:t>
            </w:r>
          </w:p>
        </w:tc>
        <w:tc>
          <w:tcPr>
            <w:tcW w:w="6938" w:type="dxa"/>
          </w:tcPr>
          <w:p w14:paraId="260B16F6" w14:textId="77777777" w:rsidR="009A402F" w:rsidRPr="009002C9" w:rsidRDefault="009A402F" w:rsidP="00B56AB7">
            <w:r w:rsidRPr="00485F11">
              <w:rPr>
                <w:u w:val="single"/>
              </w:rPr>
              <w:t>Decision</w:t>
            </w:r>
            <w:r w:rsidRPr="009002C9">
              <w:t xml:space="preserve">: Australia to consider being a signatory to </w:t>
            </w:r>
            <w:r w:rsidR="00B56AB7">
              <w:t xml:space="preserve">the Multilateral Convention. </w:t>
            </w:r>
            <w:r w:rsidR="00002A6D">
              <w:t xml:space="preserve">Begin </w:t>
            </w:r>
            <w:r w:rsidR="00B56AB7">
              <w:t>Australia’s standard treaty making process, including</w:t>
            </w:r>
            <w:r w:rsidRPr="00F91770">
              <w:t xml:space="preserve"> consideration by the Joint Standing Committee on Treaties.</w:t>
            </w:r>
          </w:p>
        </w:tc>
      </w:tr>
      <w:tr w:rsidR="009A402F" w:rsidRPr="009002C9" w14:paraId="3150D2CC" w14:textId="77777777" w:rsidTr="00485F11">
        <w:tc>
          <w:tcPr>
            <w:tcW w:w="2122" w:type="dxa"/>
          </w:tcPr>
          <w:p w14:paraId="5038BDDD" w14:textId="77777777" w:rsidR="009A402F" w:rsidRPr="009002C9" w:rsidRDefault="009A402F">
            <w:r w:rsidRPr="009002C9">
              <w:t>2023</w:t>
            </w:r>
          </w:p>
        </w:tc>
        <w:tc>
          <w:tcPr>
            <w:tcW w:w="6938" w:type="dxa"/>
          </w:tcPr>
          <w:p w14:paraId="2BD8A579" w14:textId="4D355E5D" w:rsidR="009A402F" w:rsidRPr="009002C9" w:rsidRDefault="009A402F">
            <w:r w:rsidRPr="00485F11">
              <w:rPr>
                <w:u w:val="single"/>
              </w:rPr>
              <w:t>Consultation</w:t>
            </w:r>
            <w:r w:rsidRPr="009002C9">
              <w:t>: Public consultation on exposure draft legislation</w:t>
            </w:r>
            <w:r w:rsidR="00B56AB7">
              <w:t xml:space="preserve"> to change Australia’s taxation laws to comply with the </w:t>
            </w:r>
            <w:r w:rsidR="0095383D">
              <w:t>M</w:t>
            </w:r>
            <w:r w:rsidR="00B56AB7">
              <w:t xml:space="preserve">ultilateral </w:t>
            </w:r>
            <w:r w:rsidR="0095383D">
              <w:t>C</w:t>
            </w:r>
            <w:r w:rsidR="00B56AB7">
              <w:t>onvention</w:t>
            </w:r>
            <w:r w:rsidRPr="009002C9">
              <w:t xml:space="preserve">. </w:t>
            </w:r>
          </w:p>
        </w:tc>
      </w:tr>
      <w:tr w:rsidR="009A402F" w:rsidRPr="009002C9" w14:paraId="49748539" w14:textId="77777777" w:rsidTr="00485F11">
        <w:tc>
          <w:tcPr>
            <w:tcW w:w="2122" w:type="dxa"/>
          </w:tcPr>
          <w:p w14:paraId="04B3ACA9" w14:textId="77777777" w:rsidR="009A402F" w:rsidRPr="009002C9" w:rsidRDefault="009A402F">
            <w:r w:rsidRPr="009002C9">
              <w:t>202</w:t>
            </w:r>
            <w:r>
              <w:t>4</w:t>
            </w:r>
            <w:r w:rsidRPr="009002C9">
              <w:t xml:space="preserve"> onwards</w:t>
            </w:r>
          </w:p>
        </w:tc>
        <w:tc>
          <w:tcPr>
            <w:tcW w:w="6938" w:type="dxa"/>
          </w:tcPr>
          <w:p w14:paraId="7BF38CFB" w14:textId="77777777" w:rsidR="009A402F" w:rsidRPr="009002C9" w:rsidRDefault="009A402F">
            <w:r w:rsidRPr="00485F11">
              <w:rPr>
                <w:u w:val="single"/>
              </w:rPr>
              <w:t>Implementation</w:t>
            </w:r>
            <w:r w:rsidRPr="009002C9">
              <w:t xml:space="preserve">: Treaty and domestic legislation </w:t>
            </w:r>
            <w:r w:rsidRPr="00F91770">
              <w:t xml:space="preserve">(including subordinate law) </w:t>
            </w:r>
            <w:r w:rsidRPr="009002C9">
              <w:t xml:space="preserve">comes into </w:t>
            </w:r>
            <w:r>
              <w:t xml:space="preserve">legal </w:t>
            </w:r>
            <w:r w:rsidRPr="009002C9">
              <w:t xml:space="preserve">effect, </w:t>
            </w:r>
            <w:r>
              <w:t xml:space="preserve">presuming critical mass has been reached. </w:t>
            </w:r>
            <w:r w:rsidRPr="009002C9">
              <w:t xml:space="preserve"> </w:t>
            </w:r>
          </w:p>
        </w:tc>
      </w:tr>
      <w:tr w:rsidR="00AC68F3" w:rsidRPr="009002C9" w14:paraId="6C41DC76" w14:textId="77777777" w:rsidTr="00002A6D">
        <w:tc>
          <w:tcPr>
            <w:tcW w:w="2122" w:type="dxa"/>
          </w:tcPr>
          <w:p w14:paraId="1627C848" w14:textId="77777777" w:rsidR="00AC68F3" w:rsidRPr="009002C9" w:rsidRDefault="00AC68F3">
            <w:r>
              <w:t>2029 onwards</w:t>
            </w:r>
          </w:p>
        </w:tc>
        <w:tc>
          <w:tcPr>
            <w:tcW w:w="6938" w:type="dxa"/>
          </w:tcPr>
          <w:p w14:paraId="0F3B2D34" w14:textId="77777777" w:rsidR="00AC68F3" w:rsidRPr="00AC68F3" w:rsidRDefault="00794308">
            <w:pPr>
              <w:rPr>
                <w:u w:val="single"/>
              </w:rPr>
            </w:pPr>
            <w:r w:rsidRPr="00485F11">
              <w:rPr>
                <w:u w:val="single"/>
              </w:rPr>
              <w:t>Review</w:t>
            </w:r>
            <w:r>
              <w:rPr>
                <w:u w:val="single"/>
              </w:rPr>
              <w:t>/Evaluation</w:t>
            </w:r>
            <w:r w:rsidRPr="00CD2908">
              <w:t>:</w:t>
            </w:r>
            <w:r>
              <w:t xml:space="preserve"> Post-Implementation Reviews are required after five years for proposals that have substantial or widespread impacts (Post-Implement</w:t>
            </w:r>
            <w:r w:rsidR="008A52EE">
              <w:t>ation</w:t>
            </w:r>
            <w:r>
              <w:t xml:space="preserve"> Reviews Guidance Note, Office of Impact Analysis).   </w:t>
            </w:r>
          </w:p>
        </w:tc>
      </w:tr>
      <w:tr w:rsidR="009A402F" w:rsidRPr="009002C9" w14:paraId="2E7CEDF8" w14:textId="77777777" w:rsidTr="00485F11">
        <w:tc>
          <w:tcPr>
            <w:tcW w:w="2122" w:type="dxa"/>
          </w:tcPr>
          <w:p w14:paraId="35B37A07" w14:textId="77777777" w:rsidR="009A402F" w:rsidRPr="009002C9" w:rsidRDefault="009A402F">
            <w:r w:rsidRPr="009002C9">
              <w:t>2030 onwards</w:t>
            </w:r>
          </w:p>
        </w:tc>
        <w:tc>
          <w:tcPr>
            <w:tcW w:w="6938" w:type="dxa"/>
          </w:tcPr>
          <w:p w14:paraId="415D2C65" w14:textId="77777777" w:rsidR="009A402F" w:rsidRPr="009002C9" w:rsidRDefault="009A402F">
            <w:r w:rsidRPr="00CD2908">
              <w:rPr>
                <w:u w:val="single"/>
              </w:rPr>
              <w:t>Review</w:t>
            </w:r>
            <w:r w:rsidRPr="008A52EE">
              <w:t>:</w:t>
            </w:r>
            <w:r w:rsidRPr="009002C9">
              <w:t xml:space="preserve"> OECD/</w:t>
            </w:r>
            <w:proofErr w:type="spellStart"/>
            <w:r w:rsidRPr="009002C9">
              <w:t>G20</w:t>
            </w:r>
            <w:proofErr w:type="spellEnd"/>
            <w:r w:rsidRPr="009002C9">
              <w:t xml:space="preserve"> Inclusive Framework to facilitate review seven years after implementation. </w:t>
            </w:r>
          </w:p>
        </w:tc>
      </w:tr>
    </w:tbl>
    <w:p w14:paraId="09C1FD51" w14:textId="1372025C" w:rsidR="001A637B" w:rsidRDefault="001A637B" w:rsidP="00790235">
      <w:r>
        <w:t xml:space="preserve">According to the </w:t>
      </w:r>
      <w:r w:rsidR="00002A6D">
        <w:t>agreed OECD</w:t>
      </w:r>
      <w:r>
        <w:t xml:space="preserve"> </w:t>
      </w:r>
      <w:hyperlink r:id="rId38" w:history="1">
        <w:r w:rsidRPr="001713BF">
          <w:rPr>
            <w:rStyle w:val="Hyperlink"/>
            <w:u w:val="none"/>
          </w:rPr>
          <w:t>implementation plan</w:t>
        </w:r>
      </w:hyperlink>
      <w:r w:rsidRPr="00565131">
        <w:rPr>
          <w:rStyle w:val="Hyperlink"/>
          <w:color w:val="auto"/>
          <w:u w:val="none"/>
        </w:rPr>
        <w:t>,</w:t>
      </w:r>
      <w:r w:rsidRPr="006A5010">
        <w:rPr>
          <w:rFonts w:eastAsiaTheme="minorHAnsi" w:cstheme="minorBidi"/>
          <w:vertAlign w:val="superscript"/>
          <w:lang w:eastAsia="en-US"/>
        </w:rPr>
        <w:footnoteReference w:id="24"/>
      </w:r>
      <w:r w:rsidRPr="006A5010">
        <w:rPr>
          <w:rFonts w:eastAsiaTheme="minorHAnsi" w:cstheme="minorBidi"/>
          <w:vertAlign w:val="superscript"/>
          <w:lang w:eastAsia="en-US"/>
        </w:rPr>
        <w:t xml:space="preserve"> </w:t>
      </w:r>
      <w:r w:rsidRPr="00251EE1">
        <w:t>Pillar One</w:t>
      </w:r>
      <w:r w:rsidRPr="005001BB">
        <w:t> would</w:t>
      </w:r>
      <w:r w:rsidRPr="00224D4F">
        <w:t xml:space="preserve"> be made effective through a Multilateral Convention (</w:t>
      </w:r>
      <w:r w:rsidR="00AB2096">
        <w:t xml:space="preserve">MLC) </w:t>
      </w:r>
      <w:r w:rsidRPr="00224D4F">
        <w:t>(treaty)</w:t>
      </w:r>
      <w:r w:rsidR="001872DD">
        <w:t xml:space="preserve"> </w:t>
      </w:r>
      <w:r w:rsidRPr="00F722B6">
        <w:t>originally due to be signed by mid-2022 and come into effect in 2023 once</w:t>
      </w:r>
      <w:r w:rsidRPr="00224D4F">
        <w:t xml:space="preserve"> a critical mass of </w:t>
      </w:r>
      <w:r w:rsidR="009B067F">
        <w:t>countries</w:t>
      </w:r>
      <w:r w:rsidRPr="00224D4F">
        <w:t xml:space="preserve"> ha</w:t>
      </w:r>
      <w:r w:rsidR="005C06F8">
        <w:t>ve</w:t>
      </w:r>
      <w:r w:rsidRPr="00224D4F">
        <w:t xml:space="preserve"> ratified it.</w:t>
      </w:r>
      <w:r w:rsidR="00C56FF6">
        <w:t xml:space="preserve"> </w:t>
      </w:r>
      <w:r w:rsidR="00580B5E">
        <w:t>However,</w:t>
      </w:r>
      <w:r w:rsidR="001D3F91">
        <w:t xml:space="preserve"> </w:t>
      </w:r>
      <w:r w:rsidR="007A4E92">
        <w:t>on 11 July</w:t>
      </w:r>
      <w:r w:rsidR="002750A7">
        <w:t xml:space="preserve"> 2022</w:t>
      </w:r>
      <w:r w:rsidR="007A4E92">
        <w:t xml:space="preserve">, the OECD issued a revised timeline </w:t>
      </w:r>
      <w:r w:rsidR="001C01C5">
        <w:t xml:space="preserve">showing the </w:t>
      </w:r>
      <w:r w:rsidR="00C50C69">
        <w:t>MLC</w:t>
      </w:r>
      <w:r w:rsidR="001C01C5">
        <w:t xml:space="preserve"> would come into effect in 2024 when a critical mass </w:t>
      </w:r>
      <w:r w:rsidR="001B15A8">
        <w:t xml:space="preserve">of jurisdictions </w:t>
      </w:r>
      <w:r w:rsidR="001C01C5">
        <w:t xml:space="preserve">has been achieved. </w:t>
      </w:r>
      <w:r>
        <w:t>The implementation plan also includes the development of m</w:t>
      </w:r>
      <w:r w:rsidRPr="00630861">
        <w:t xml:space="preserve">odel rules to assist </w:t>
      </w:r>
      <w:r w:rsidR="009B067F">
        <w:t>countries</w:t>
      </w:r>
      <w:r w:rsidRPr="00630861">
        <w:t xml:space="preserve"> with </w:t>
      </w:r>
      <w:r w:rsidR="00D81BF9">
        <w:t>integrating</w:t>
      </w:r>
      <w:r w:rsidR="004D4780" w:rsidRPr="00630861">
        <w:t xml:space="preserve"> </w:t>
      </w:r>
      <w:r w:rsidRPr="00630861">
        <w:t xml:space="preserve">the </w:t>
      </w:r>
      <w:r w:rsidR="004D4780">
        <w:t>MLC</w:t>
      </w:r>
      <w:r w:rsidRPr="00630861">
        <w:t xml:space="preserve"> into domestic law</w:t>
      </w:r>
      <w:r>
        <w:t>,</w:t>
      </w:r>
      <w:r w:rsidRPr="00630861">
        <w:t xml:space="preserve"> where this might be</w:t>
      </w:r>
      <w:r>
        <w:t xml:space="preserve"> </w:t>
      </w:r>
      <w:r w:rsidRPr="00630861">
        <w:t>needed</w:t>
      </w:r>
      <w:r w:rsidRPr="00224D4F">
        <w:rPr>
          <w:b/>
          <w:bCs/>
        </w:rPr>
        <w:t xml:space="preserve">. </w:t>
      </w:r>
    </w:p>
    <w:p w14:paraId="47D829AB" w14:textId="77777777" w:rsidR="00877A5B" w:rsidRPr="00360AC4" w:rsidRDefault="00877A5B" w:rsidP="007B01CE">
      <w:pPr>
        <w:rPr>
          <w:rFonts w:cs="Calibri Light"/>
        </w:rPr>
      </w:pPr>
      <w:r>
        <w:lastRenderedPageBreak/>
        <w:t>Australia will likely need domestic legislation to activate the MLC, that may</w:t>
      </w:r>
      <w:r w:rsidRPr="00360AC4">
        <w:rPr>
          <w:rFonts w:cs="Calibri Light"/>
        </w:rPr>
        <w:t xml:space="preserve"> specify how such payments may be made, as well as provisions around the assessment of and Commissioner of Taxation powers in relation to auditing and managing payments. </w:t>
      </w:r>
    </w:p>
    <w:p w14:paraId="4AC34EC6" w14:textId="77777777" w:rsidR="001A637B" w:rsidRDefault="001A637B" w:rsidP="007B01CE">
      <w:r w:rsidRPr="00D81F4D">
        <w:t>As part of Pillar One</w:t>
      </w:r>
      <w:r>
        <w:t>,</w:t>
      </w:r>
      <w:r w:rsidRPr="00D81F4D">
        <w:t xml:space="preserve"> negotiation</w:t>
      </w:r>
      <w:r>
        <w:t>s</w:t>
      </w:r>
      <w:r w:rsidRPr="00D81F4D">
        <w:t xml:space="preserve"> will </w:t>
      </w:r>
      <w:r w:rsidR="006C7E55" w:rsidRPr="00D81F4D">
        <w:t>continue</w:t>
      </w:r>
      <w:r w:rsidRPr="00D81F4D">
        <w:t xml:space="preserve"> </w:t>
      </w:r>
      <w:r w:rsidR="006C7E55">
        <w:t xml:space="preserve">on </w:t>
      </w:r>
      <w:r w:rsidR="00307F70">
        <w:t>Amount B,</w:t>
      </w:r>
      <w:r w:rsidR="000A7E6B">
        <w:t xml:space="preserve"> the</w:t>
      </w:r>
      <w:r w:rsidRPr="00D81F4D">
        <w:t xml:space="preserve"> </w:t>
      </w:r>
      <w:r>
        <w:t xml:space="preserve">simplified </w:t>
      </w:r>
      <w:r w:rsidR="00D04780">
        <w:t xml:space="preserve">application of </w:t>
      </w:r>
      <w:r>
        <w:t xml:space="preserve">transfer pricing rules for </w:t>
      </w:r>
      <w:r w:rsidR="00D04780">
        <w:t xml:space="preserve">baseline </w:t>
      </w:r>
      <w:r>
        <w:t xml:space="preserve">marketing and distribution activities. </w:t>
      </w:r>
    </w:p>
    <w:p w14:paraId="41B1F0F9" w14:textId="77777777" w:rsidR="00044AE7" w:rsidRDefault="001A637B" w:rsidP="00580B5E">
      <w:r>
        <w:t xml:space="preserve">The implementation plan </w:t>
      </w:r>
      <w:r w:rsidR="002F3F79">
        <w:t>also specifies</w:t>
      </w:r>
      <w:r w:rsidR="00B15DF8">
        <w:t xml:space="preserve"> that</w:t>
      </w:r>
      <w:r w:rsidR="00044AE7">
        <w:t xml:space="preserve"> the scope threshold for Amount A will be reviewed after seven years of implementation. It is proposed that the threshold would be reduced to EUR10 billion to cover </w:t>
      </w:r>
      <w:r w:rsidR="00B6008D">
        <w:t>a wider range of</w:t>
      </w:r>
      <w:r w:rsidR="00044AE7">
        <w:t xml:space="preserve"> </w:t>
      </w:r>
      <w:r w:rsidR="00AC22DB">
        <w:t>multinationals</w:t>
      </w:r>
      <w:r w:rsidR="00044AE7">
        <w:t xml:space="preserve">. </w:t>
      </w:r>
    </w:p>
    <w:p w14:paraId="627661A3" w14:textId="77777777" w:rsidR="003C7C87" w:rsidRDefault="003C7C87" w:rsidP="003C7C87">
      <w:r>
        <w:t>The agreed building blocks explicitly state that extractives and regulated financial services will not be in</w:t>
      </w:r>
      <w:r w:rsidR="0095005E">
        <w:t xml:space="preserve"> </w:t>
      </w:r>
      <w:r>
        <w:t>scope of Pillar One. While the carve</w:t>
      </w:r>
      <w:r w:rsidR="0095005E">
        <w:t>-</w:t>
      </w:r>
      <w:r>
        <w:t>outs have broad support in the negotiations, the detailed design principles underlying each carve</w:t>
      </w:r>
      <w:r w:rsidR="0095005E">
        <w:t>-</w:t>
      </w:r>
      <w:r>
        <w:t xml:space="preserve">out may vary and are yet to be determined. </w:t>
      </w:r>
    </w:p>
    <w:p w14:paraId="728C9A9B" w14:textId="1CBDACA0" w:rsidR="003C7C87" w:rsidRDefault="003C7C87" w:rsidP="003C7C87">
      <w:r>
        <w:t xml:space="preserve">Pillar One will also require the </w:t>
      </w:r>
      <w:r w:rsidR="0016374E">
        <w:t xml:space="preserve">signatories to remove </w:t>
      </w:r>
      <w:r w:rsidR="00B15DF8">
        <w:t>their</w:t>
      </w:r>
      <w:r>
        <w:t xml:space="preserve"> unilateral measures, such as </w:t>
      </w:r>
      <w:r w:rsidR="00373E1E">
        <w:t>D</w:t>
      </w:r>
      <w:r>
        <w:t xml:space="preserve">igital </w:t>
      </w:r>
      <w:r w:rsidR="00373E1E">
        <w:t>S</w:t>
      </w:r>
      <w:r>
        <w:t xml:space="preserve">ervices </w:t>
      </w:r>
      <w:r w:rsidR="00373E1E">
        <w:t>T</w:t>
      </w:r>
      <w:r>
        <w:t>axes or similar measures</w:t>
      </w:r>
      <w:r w:rsidR="0017104D">
        <w:t xml:space="preserve"> and </w:t>
      </w:r>
      <w:r w:rsidR="00CD3ED8">
        <w:t>commit to not introducing such measures in future</w:t>
      </w:r>
      <w:r>
        <w:t xml:space="preserve">. Guidance for what constitutes a ‘unilateral measure’ (or similar measures) </w:t>
      </w:r>
      <w:r w:rsidR="00CC0BFA">
        <w:t xml:space="preserve">is still </w:t>
      </w:r>
      <w:r w:rsidR="00476BA8">
        <w:t>being</w:t>
      </w:r>
      <w:r>
        <w:t xml:space="preserve"> developed and agreed through the </w:t>
      </w:r>
      <w:r w:rsidR="00DB6A8B">
        <w:t xml:space="preserve">OECD </w:t>
      </w:r>
      <w:r>
        <w:t xml:space="preserve">negotiation process. </w:t>
      </w:r>
    </w:p>
    <w:p w14:paraId="171417D5" w14:textId="77777777" w:rsidR="00150AA8" w:rsidRDefault="00150AA8" w:rsidP="00310BF4">
      <w:pPr>
        <w:pStyle w:val="Heading3"/>
        <w:spacing w:before="120" w:after="120" w:line="240" w:lineRule="auto"/>
      </w:pPr>
      <w:r>
        <w:t xml:space="preserve">Challenges to implementation </w:t>
      </w:r>
    </w:p>
    <w:p w14:paraId="78E31307" w14:textId="77777777" w:rsidR="00150AA8" w:rsidRDefault="00150AA8" w:rsidP="00150AA8">
      <w:r>
        <w:t xml:space="preserve">The key challenges to implementation of Pillar One will be agreement of the text of the model rules to inform domestic legislation, the text of the </w:t>
      </w:r>
      <w:r w:rsidR="00FD3B47">
        <w:t>MLC</w:t>
      </w:r>
      <w:r>
        <w:t xml:space="preserve"> and associated explanatory memorandum. </w:t>
      </w:r>
    </w:p>
    <w:p w14:paraId="3A5DECC7" w14:textId="77777777" w:rsidR="001C5588" w:rsidRDefault="001C5588" w:rsidP="00150AA8">
      <w:r>
        <w:t>A failure to reach a critical mass of countries adopting Pillar One, may result in countries implementing unilateral measures to protect their corporate tax base. In this scenario, many countries may either continue or proceed with implementing Digital Services Taxes, to tax the revenue of large digital companies operating in their jurisdictions. As these Digital Services Taxes and other similar measures are applied to profits being taxed by other countries they may be viewed as discriminatory, which could in turn trigger trade sanctions. The OECD in their economic analysis has argued that in the absence of Pillar One, there would be an escalation of trade disputes globally.</w:t>
      </w:r>
    </w:p>
    <w:p w14:paraId="4051643C" w14:textId="77777777" w:rsidR="00150AA8" w:rsidRDefault="00150AA8" w:rsidP="00310BF4">
      <w:pPr>
        <w:pStyle w:val="Heading3"/>
        <w:spacing w:before="120" w:after="120" w:line="240" w:lineRule="auto"/>
      </w:pPr>
      <w:bookmarkStart w:id="125" w:name="_Toc116375754"/>
      <w:bookmarkStart w:id="126" w:name="_Toc116380389"/>
      <w:r>
        <w:t>Evaluation</w:t>
      </w:r>
    </w:p>
    <w:p w14:paraId="64B0E741" w14:textId="33942B66" w:rsidR="00150AA8" w:rsidRDefault="00150AA8" w:rsidP="00150AA8">
      <w:r>
        <w:t xml:space="preserve">The OECD will conduct a review of Pillar One, seven years from </w:t>
      </w:r>
      <w:r w:rsidR="00853ED6">
        <w:t>the agreement coming into force</w:t>
      </w:r>
      <w:r>
        <w:t xml:space="preserve">. </w:t>
      </w:r>
      <w:r w:rsidR="00794308" w:rsidRPr="00CD2908">
        <w:t>Treasury will also prepare a</w:t>
      </w:r>
      <w:r w:rsidR="00794308">
        <w:t xml:space="preserve"> Post-Implementation Review after five years in line with the Post</w:t>
      </w:r>
      <w:r w:rsidR="00794308">
        <w:noBreakHyphen/>
        <w:t xml:space="preserve">Implementation Reviews Guidance Note, Office of Impact Analysis. </w:t>
      </w:r>
      <w:r w:rsidR="002B2EBC">
        <w:t xml:space="preserve">The five-year timeframe for the Post-Implementation Review </w:t>
      </w:r>
      <w:r w:rsidR="00FE72CD">
        <w:t>considers</w:t>
      </w:r>
      <w:r w:rsidR="0061665A">
        <w:t xml:space="preserve"> that </w:t>
      </w:r>
      <w:r w:rsidR="00FE72CD">
        <w:t>this</w:t>
      </w:r>
      <w:r w:rsidR="002B2EBC">
        <w:t xml:space="preserve"> </w:t>
      </w:r>
      <w:r w:rsidR="008F24B1">
        <w:t>policy proposal is expected to have a substantial or widespread impact on the Australian economy</w:t>
      </w:r>
      <w:r w:rsidR="00EF27E8">
        <w:t xml:space="preserve">, </w:t>
      </w:r>
      <w:r w:rsidR="00737B5E">
        <w:t xml:space="preserve">as the implementation of the policy will significantly </w:t>
      </w:r>
      <w:r w:rsidR="002E4098">
        <w:t xml:space="preserve">change the international taxation framework in Australia. </w:t>
      </w:r>
      <w:r w:rsidR="00AD6A38">
        <w:t xml:space="preserve">Further, a five-year Post-Implementation Review will allow sufficient time for </w:t>
      </w:r>
      <w:r w:rsidR="0072783F">
        <w:t xml:space="preserve">the impacts of the policy to be </w:t>
      </w:r>
      <w:r w:rsidR="00A426C8">
        <w:t xml:space="preserve">seen and assessed, as well as it </w:t>
      </w:r>
      <w:proofErr w:type="gramStart"/>
      <w:r w:rsidR="00A426C8">
        <w:t>allowing</w:t>
      </w:r>
      <w:proofErr w:type="gramEnd"/>
      <w:r w:rsidR="00A426C8">
        <w:t xml:space="preserve"> sufficient time to identify any issues that may have arisen.</w:t>
      </w:r>
    </w:p>
    <w:p w14:paraId="355B869F" w14:textId="2D1BE535" w:rsidR="00E33403" w:rsidRPr="006827D3" w:rsidRDefault="002F71D9" w:rsidP="00150AA8">
      <w:pPr>
        <w:rPr>
          <w:rFonts w:cs="Calibri Light"/>
        </w:rPr>
      </w:pPr>
      <w:r>
        <w:t xml:space="preserve">Treasury’s Post-Implementation Review will commence gathering data on the effectiveness of the policy proposal </w:t>
      </w:r>
      <w:r w:rsidRPr="006827D3">
        <w:rPr>
          <w:rFonts w:cs="Calibri Light"/>
        </w:rPr>
        <w:t xml:space="preserve">upon the commencement of the policy’s implementation. </w:t>
      </w:r>
      <w:r w:rsidR="00F65947" w:rsidRPr="006827D3">
        <w:rPr>
          <w:rFonts w:cs="Calibri Light"/>
        </w:rPr>
        <w:t xml:space="preserve">Some of the data points that may be captured to be considered in the </w:t>
      </w:r>
      <w:r w:rsidR="00EA0053" w:rsidRPr="006827D3">
        <w:rPr>
          <w:rFonts w:cs="Calibri Light"/>
        </w:rPr>
        <w:t>Post-Implementation Review include</w:t>
      </w:r>
      <w:r w:rsidR="00D5059A">
        <w:rPr>
          <w:rFonts w:cs="Calibri Light"/>
        </w:rPr>
        <w:t>, but are not limited to</w:t>
      </w:r>
      <w:r w:rsidR="00EA0053" w:rsidRPr="006827D3">
        <w:rPr>
          <w:rFonts w:cs="Calibri Light"/>
        </w:rPr>
        <w:t>:</w:t>
      </w:r>
    </w:p>
    <w:p w14:paraId="5C88F1DF" w14:textId="7E5BEF79" w:rsidR="00EA0053" w:rsidRDefault="006827D3" w:rsidP="00362A83">
      <w:pPr>
        <w:pStyle w:val="Bullet"/>
      </w:pPr>
      <w:r>
        <w:t xml:space="preserve">Multinational tax compliance </w:t>
      </w:r>
      <w:r w:rsidR="00A0249A">
        <w:t>data points</w:t>
      </w:r>
      <w:r w:rsidR="0079123A">
        <w:t xml:space="preserve">, taken from the time of implementation, during implementation, and at the time of drafting the Post-Implementation </w:t>
      </w:r>
      <w:proofErr w:type="gramStart"/>
      <w:r w:rsidR="0079123A">
        <w:t>Review;</w:t>
      </w:r>
      <w:proofErr w:type="gramEnd"/>
    </w:p>
    <w:p w14:paraId="4C67D1CD" w14:textId="6CF6770E" w:rsidR="0079123A" w:rsidRDefault="0024483E" w:rsidP="00362A83">
      <w:pPr>
        <w:pStyle w:val="Bullet"/>
      </w:pPr>
      <w:r>
        <w:t xml:space="preserve">Multinational tax revenue figures generated from the implementation, compared to the multinational tax revenue figures </w:t>
      </w:r>
      <w:r w:rsidR="00AC1D15">
        <w:t>pre-</w:t>
      </w:r>
      <w:proofErr w:type="gramStart"/>
      <w:r w:rsidR="00AC1D15">
        <w:t>implementation;</w:t>
      </w:r>
      <w:proofErr w:type="gramEnd"/>
    </w:p>
    <w:p w14:paraId="204E70FD" w14:textId="4E9BEB3C" w:rsidR="00A0249A" w:rsidRDefault="002F6FF7" w:rsidP="00362A83">
      <w:pPr>
        <w:pStyle w:val="Bullet"/>
      </w:pPr>
      <w:r>
        <w:lastRenderedPageBreak/>
        <w:t xml:space="preserve">Consideration of the net public benefit from the implementation of the policy, including </w:t>
      </w:r>
      <w:r w:rsidR="00CC1EE6">
        <w:t>any</w:t>
      </w:r>
      <w:r>
        <w:t xml:space="preserve"> observed </w:t>
      </w:r>
      <w:r w:rsidR="00CC1EE6">
        <w:t>changes in</w:t>
      </w:r>
      <w:r>
        <w:t xml:space="preserve"> multinationals goods and services </w:t>
      </w:r>
      <w:r w:rsidR="00E06108">
        <w:t xml:space="preserve">supplies made to the Australian market, against the overall utilisation by the Government of the increased tax revenues </w:t>
      </w:r>
      <w:proofErr w:type="gramStart"/>
      <w:r w:rsidR="00E06108">
        <w:t>generated;</w:t>
      </w:r>
      <w:proofErr w:type="gramEnd"/>
    </w:p>
    <w:p w14:paraId="0ECD6806" w14:textId="6B3CD577" w:rsidR="00BA3424" w:rsidRDefault="00E06108" w:rsidP="00362A83">
      <w:pPr>
        <w:pStyle w:val="Bullet"/>
      </w:pPr>
      <w:r>
        <w:t xml:space="preserve">Consideration of </w:t>
      </w:r>
      <w:r w:rsidR="00B101AB">
        <w:t xml:space="preserve">the presence or absence of tax related trade disputes for Australia or </w:t>
      </w:r>
      <w:proofErr w:type="gramStart"/>
      <w:r w:rsidR="00B101AB">
        <w:t>others</w:t>
      </w:r>
      <w:r w:rsidR="006C3037">
        <w:t>;</w:t>
      </w:r>
      <w:proofErr w:type="gramEnd"/>
      <w:r w:rsidR="006C3037">
        <w:t xml:space="preserve"> </w:t>
      </w:r>
    </w:p>
    <w:p w14:paraId="559110F4" w14:textId="58DE465D" w:rsidR="00E06108" w:rsidRDefault="00BA3424" w:rsidP="00362A83">
      <w:pPr>
        <w:pStyle w:val="Bullet"/>
      </w:pPr>
      <w:r>
        <w:t xml:space="preserve">Comparison of Australia’s implementation and results against those of </w:t>
      </w:r>
      <w:r w:rsidR="00B6232C">
        <w:t>other jurisdictions who have implemented similar policies in line with</w:t>
      </w:r>
      <w:r w:rsidR="00887352">
        <w:t xml:space="preserve"> Pillar One of</w:t>
      </w:r>
      <w:r w:rsidR="00B6232C">
        <w:t xml:space="preserve"> the Two-Pillar Solution; </w:t>
      </w:r>
      <w:r w:rsidR="006C3037">
        <w:t>and</w:t>
      </w:r>
    </w:p>
    <w:p w14:paraId="5D8AC145" w14:textId="0BB058D0" w:rsidR="006C3037" w:rsidRDefault="00382EFE" w:rsidP="00362A83">
      <w:pPr>
        <w:pStyle w:val="Bullet"/>
      </w:pPr>
      <w:r>
        <w:t>Level of multinational investment in Australia.</w:t>
      </w:r>
    </w:p>
    <w:p w14:paraId="59BB035B" w14:textId="1DA5AD96" w:rsidR="00EA1B97" w:rsidRDefault="00072D0E" w:rsidP="00EA1B97">
      <w:pPr>
        <w:rPr>
          <w:rFonts w:cs="Calibri Light"/>
        </w:rPr>
      </w:pPr>
      <w:r>
        <w:rPr>
          <w:rFonts w:cs="Calibri Light"/>
        </w:rPr>
        <w:t xml:space="preserve">Some of the above datasets are currently being captured by various Government agencies, such as the datasets relating to the </w:t>
      </w:r>
      <w:r w:rsidR="00625D4E">
        <w:rPr>
          <w:rFonts w:cs="Calibri Light"/>
        </w:rPr>
        <w:t xml:space="preserve">tax compliance, revenues, profit shifting, </w:t>
      </w:r>
      <w:r w:rsidR="00382EFE">
        <w:rPr>
          <w:rFonts w:cs="Calibri Light"/>
        </w:rPr>
        <w:t>and foreign investment</w:t>
      </w:r>
      <w:r w:rsidR="00F174F0">
        <w:rPr>
          <w:rFonts w:cs="Calibri Light"/>
        </w:rPr>
        <w:t xml:space="preserve">, </w:t>
      </w:r>
      <w:r w:rsidR="00625D4E">
        <w:rPr>
          <w:rFonts w:cs="Calibri Light"/>
        </w:rPr>
        <w:t xml:space="preserve">which would currently be gathered, and/or estimated, by </w:t>
      </w:r>
      <w:r w:rsidR="00F174F0">
        <w:rPr>
          <w:rFonts w:cs="Calibri Light"/>
        </w:rPr>
        <w:t>Treasury, the ATO, and the ABS</w:t>
      </w:r>
      <w:r w:rsidR="00625D4E">
        <w:rPr>
          <w:rFonts w:cs="Calibri Light"/>
        </w:rPr>
        <w:t xml:space="preserve">. </w:t>
      </w:r>
      <w:r w:rsidR="00EA1B97">
        <w:rPr>
          <w:rFonts w:cs="Calibri Light"/>
        </w:rPr>
        <w:t xml:space="preserve">Treasury will also conduct consultation with stakeholders impacted by the proposed policy’s implementation, which will allow Treasury to </w:t>
      </w:r>
      <w:r w:rsidR="00991D2B">
        <w:rPr>
          <w:rFonts w:cs="Calibri Light"/>
        </w:rPr>
        <w:t>gain</w:t>
      </w:r>
      <w:r w:rsidR="00EA1B97">
        <w:rPr>
          <w:rFonts w:cs="Calibri Light"/>
        </w:rPr>
        <w:t xml:space="preserve"> a deeper understanding of how the policy’s implementation has impacted the wider public</w:t>
      </w:r>
      <w:r w:rsidR="00D6130C">
        <w:rPr>
          <w:rFonts w:cs="Calibri Light"/>
        </w:rPr>
        <w:t xml:space="preserve"> and how</w:t>
      </w:r>
      <w:r w:rsidR="00AC731B">
        <w:rPr>
          <w:rFonts w:cs="Calibri Light"/>
        </w:rPr>
        <w:t xml:space="preserve"> groups of </w:t>
      </w:r>
      <w:r w:rsidR="00D5707E">
        <w:rPr>
          <w:rFonts w:cs="Calibri Light"/>
        </w:rPr>
        <w:t>taxpayers</w:t>
      </w:r>
      <w:r w:rsidR="00AC731B">
        <w:rPr>
          <w:rFonts w:cs="Calibri Light"/>
        </w:rPr>
        <w:t xml:space="preserve"> may have been affected differently</w:t>
      </w:r>
      <w:r w:rsidR="00EA1B97">
        <w:rPr>
          <w:rFonts w:cs="Calibri Light"/>
        </w:rPr>
        <w:t xml:space="preserve">. A consideration of these against pre-implementation data and/or estimates would allow Treasury to determine whether the policy’s implementation was successful in its intent. </w:t>
      </w:r>
    </w:p>
    <w:p w14:paraId="2534255D" w14:textId="4E9C4206" w:rsidR="00EA1B97" w:rsidRPr="003855F0" w:rsidRDefault="00EA1B97" w:rsidP="00EA1B97">
      <w:pPr>
        <w:rPr>
          <w:rFonts w:cs="Calibri Light"/>
        </w:rPr>
      </w:pPr>
      <w:r>
        <w:rPr>
          <w:rFonts w:cs="Calibri Light"/>
        </w:rPr>
        <w:t xml:space="preserve">The policy will be deemed to have </w:t>
      </w:r>
      <w:r w:rsidRPr="003855F0">
        <w:rPr>
          <w:rFonts w:cs="Calibri Light"/>
        </w:rPr>
        <w:t xml:space="preserve">been successful </w:t>
      </w:r>
      <w:r w:rsidR="0082795A">
        <w:rPr>
          <w:rFonts w:cs="Calibri Light"/>
        </w:rPr>
        <w:t>to the extent</w:t>
      </w:r>
      <w:r w:rsidRPr="003855F0">
        <w:rPr>
          <w:rFonts w:cs="Calibri Light"/>
        </w:rPr>
        <w:t xml:space="preserve"> it has:</w:t>
      </w:r>
    </w:p>
    <w:p w14:paraId="5C8A396D" w14:textId="46588B56" w:rsidR="00EA1B97" w:rsidRDefault="00D7520A" w:rsidP="00D03975">
      <w:pPr>
        <w:pStyle w:val="Bullet"/>
      </w:pPr>
      <w:r>
        <w:t>Been complied with in</w:t>
      </w:r>
      <w:r w:rsidR="00EA1B97" w:rsidRPr="0067033E">
        <w:t xml:space="preserve"> Australia</w:t>
      </w:r>
      <w:r>
        <w:t xml:space="preserve"> by relevant </w:t>
      </w:r>
      <w:proofErr w:type="gramStart"/>
      <w:r>
        <w:t>multinationals</w:t>
      </w:r>
      <w:r w:rsidR="00EA1B97" w:rsidRPr="0067033E">
        <w:t>;</w:t>
      </w:r>
      <w:proofErr w:type="gramEnd"/>
    </w:p>
    <w:p w14:paraId="3DC9DFDE" w14:textId="3476E0AB" w:rsidR="00EA1B97" w:rsidRDefault="00332FB4" w:rsidP="00D03975">
      <w:pPr>
        <w:pStyle w:val="Bullet"/>
      </w:pPr>
      <w:r>
        <w:t>Contributed to</w:t>
      </w:r>
      <w:r w:rsidR="00EA1B97">
        <w:t xml:space="preserve"> multinationals </w:t>
      </w:r>
      <w:r w:rsidR="00091A3C">
        <w:t>paying a fairer</w:t>
      </w:r>
      <w:r w:rsidR="00EA1B97">
        <w:t xml:space="preserve"> share of tax on their profits earned in Australia (likely quantified by an increase in tax payments</w:t>
      </w:r>
      <w:proofErr w:type="gramStart"/>
      <w:r w:rsidR="00EA1B97">
        <w:t>);</w:t>
      </w:r>
      <w:proofErr w:type="gramEnd"/>
    </w:p>
    <w:p w14:paraId="049E1641" w14:textId="5651C783" w:rsidR="00EA1B97" w:rsidRDefault="00EA1B97" w:rsidP="00D03975">
      <w:pPr>
        <w:pStyle w:val="Bullet"/>
      </w:pPr>
      <w:r>
        <w:t>Reduced the incentive for multinational profit shifting from Australia to low-tax jurisdictions to avoid tax</w:t>
      </w:r>
      <w:r w:rsidR="007348E3">
        <w:t xml:space="preserve"> (potentially observed in investment patterns</w:t>
      </w:r>
      <w:r w:rsidR="00BF3CDC">
        <w:t xml:space="preserve"> or cross-border payments</w:t>
      </w:r>
      <w:proofErr w:type="gramStart"/>
      <w:r w:rsidR="007348E3">
        <w:t>)</w:t>
      </w:r>
      <w:r>
        <w:t>;</w:t>
      </w:r>
      <w:proofErr w:type="gramEnd"/>
    </w:p>
    <w:p w14:paraId="3FC85D7B" w14:textId="4E665331" w:rsidR="00EA1B97" w:rsidRDefault="00F3078B" w:rsidP="00D03975">
      <w:pPr>
        <w:pStyle w:val="Bullet"/>
      </w:pPr>
      <w:r w:rsidRPr="0060630E">
        <w:rPr>
          <w:szCs w:val="22"/>
        </w:rPr>
        <w:t xml:space="preserve">Not significantly contributed to changes in the prices or the availability and supply of </w:t>
      </w:r>
      <w:r>
        <w:rPr>
          <w:szCs w:val="22"/>
        </w:rPr>
        <w:t>multinationals’</w:t>
      </w:r>
      <w:r w:rsidRPr="0060630E">
        <w:rPr>
          <w:szCs w:val="22"/>
        </w:rPr>
        <w:t xml:space="preserve"> goods and services in the Australian market</w:t>
      </w:r>
      <w:r w:rsidR="00EA1B97">
        <w:t>;</w:t>
      </w:r>
      <w:r w:rsidR="005C58F1">
        <w:t xml:space="preserve"> and</w:t>
      </w:r>
    </w:p>
    <w:p w14:paraId="04B7156C" w14:textId="79E34047" w:rsidR="00EA1B97" w:rsidRDefault="007A1734" w:rsidP="00D03975">
      <w:pPr>
        <w:pStyle w:val="Bullet"/>
      </w:pPr>
      <w:r>
        <w:t>Helped Australia and/or other countries avoid tax related trade conflicts</w:t>
      </w:r>
      <w:r w:rsidR="005C58F1">
        <w:t>.</w:t>
      </w:r>
    </w:p>
    <w:p w14:paraId="71A489B8" w14:textId="71C3BB04" w:rsidR="00967846" w:rsidRPr="004C221A" w:rsidRDefault="00967846" w:rsidP="00310BF4">
      <w:pPr>
        <w:pStyle w:val="Heading3"/>
        <w:spacing w:before="120" w:after="120" w:line="240" w:lineRule="auto"/>
      </w:pPr>
      <w:bookmarkStart w:id="127" w:name="_Toc116375755"/>
      <w:bookmarkStart w:id="128" w:name="_Toc116380390"/>
      <w:bookmarkEnd w:id="125"/>
      <w:bookmarkEnd w:id="126"/>
      <w:r>
        <w:t>Amount B</w:t>
      </w:r>
      <w:bookmarkEnd w:id="127"/>
      <w:bookmarkEnd w:id="128"/>
      <w:r>
        <w:t xml:space="preserve"> </w:t>
      </w:r>
    </w:p>
    <w:p w14:paraId="50444144" w14:textId="77777777" w:rsidR="00F016D3" w:rsidRPr="00C22A93" w:rsidRDefault="00F73DB4" w:rsidP="003C7C87">
      <w:r>
        <w:t>Agreement on how</w:t>
      </w:r>
      <w:r w:rsidR="003C7C87">
        <w:t xml:space="preserve"> Amount B will operate has not yet been reached</w:t>
      </w:r>
      <w:r w:rsidR="004C6B7E">
        <w:t>.</w:t>
      </w:r>
      <w:r w:rsidR="00664066" w:rsidRPr="00664066">
        <w:t xml:space="preserve"> </w:t>
      </w:r>
      <w:r w:rsidR="00664066" w:rsidRPr="004B34AD">
        <w:t xml:space="preserve">The </w:t>
      </w:r>
      <w:r w:rsidR="0096021C">
        <w:t>OECD</w:t>
      </w:r>
      <w:r w:rsidR="00664066" w:rsidRPr="004B34AD">
        <w:t xml:space="preserve"> work on Amount B </w:t>
      </w:r>
      <w:r w:rsidR="00664066">
        <w:t>is</w:t>
      </w:r>
      <w:r w:rsidR="00664066" w:rsidRPr="004B34AD">
        <w:t xml:space="preserve"> proceed</w:t>
      </w:r>
      <w:r w:rsidR="00664066">
        <w:t>ing</w:t>
      </w:r>
      <w:r w:rsidR="00664066" w:rsidRPr="004B34AD">
        <w:t xml:space="preserve"> with a view to completing it in the first half of 2023</w:t>
      </w:r>
      <w:r w:rsidR="00664066">
        <w:t>, and may progress separately to the work on Amount A</w:t>
      </w:r>
      <w:r w:rsidR="00B15DF8">
        <w:t>.</w:t>
      </w:r>
      <w:r w:rsidR="00664066">
        <w:t xml:space="preserve">  </w:t>
      </w:r>
      <w:r w:rsidR="00B15DF8">
        <w:t xml:space="preserve">Amount B </w:t>
      </w:r>
      <w:r w:rsidR="00664066">
        <w:t xml:space="preserve">is not expected to be reflected in the Amount </w:t>
      </w:r>
      <w:proofErr w:type="gramStart"/>
      <w:r w:rsidR="00664066">
        <w:t>A</w:t>
      </w:r>
      <w:proofErr w:type="gramEnd"/>
      <w:r w:rsidR="00664066">
        <w:t xml:space="preserve"> MLC or </w:t>
      </w:r>
      <w:r w:rsidR="00DD26BE">
        <w:t>Model Rules</w:t>
      </w:r>
      <w:r w:rsidR="00664066">
        <w:t>.</w:t>
      </w:r>
    </w:p>
    <w:p w14:paraId="3ACD7D3B" w14:textId="77777777" w:rsidR="00347103" w:rsidRDefault="00347103">
      <w:pPr>
        <w:spacing w:before="0" w:after="160" w:line="259" w:lineRule="auto"/>
        <w:rPr>
          <w:rFonts w:ascii="Calibri" w:hAnsi="Calibri" w:cs="Arial"/>
          <w:iCs/>
          <w:color w:val="2C384A"/>
          <w:kern w:val="32"/>
          <w:sz w:val="36"/>
          <w:szCs w:val="28"/>
        </w:rPr>
      </w:pPr>
      <w:bookmarkStart w:id="129" w:name="_Toc116375756"/>
      <w:bookmarkStart w:id="130" w:name="_Toc116380391"/>
      <w:r>
        <w:br w:type="page"/>
      </w:r>
    </w:p>
    <w:p w14:paraId="6588BD6B" w14:textId="635F62A7" w:rsidR="001A637B" w:rsidRPr="00981BFA" w:rsidRDefault="001A637B" w:rsidP="00310BF4">
      <w:pPr>
        <w:pStyle w:val="Heading2"/>
        <w:spacing w:before="120" w:line="240" w:lineRule="auto"/>
      </w:pPr>
      <w:r w:rsidRPr="009D3FE2">
        <w:lastRenderedPageBreak/>
        <w:t>Pillar Two</w:t>
      </w:r>
      <w:r w:rsidR="00DC6622">
        <w:t xml:space="preserve"> Implementation</w:t>
      </w:r>
      <w:bookmarkEnd w:id="129"/>
      <w:bookmarkEnd w:id="130"/>
    </w:p>
    <w:p w14:paraId="20FB2074" w14:textId="0B4146FB" w:rsidR="00B26632" w:rsidRDefault="00B26632" w:rsidP="00B26632">
      <w:r>
        <w:t>Subject to a decision by Government to implement Pillar Two, the steps below are indicative of the approach. Note that the timing is dependent on many variables and decisions by Government.</w:t>
      </w:r>
    </w:p>
    <w:p w14:paraId="49D7AB68" w14:textId="77777777" w:rsidR="009A402F" w:rsidRDefault="009A402F" w:rsidP="009A402F">
      <w:r>
        <w:t xml:space="preserve">Pillar Two Implementation Timetable </w:t>
      </w:r>
    </w:p>
    <w:tbl>
      <w:tblPr>
        <w:tblStyle w:val="TableGrid1"/>
        <w:tblW w:w="0" w:type="auto"/>
        <w:tblLook w:val="04A0" w:firstRow="1" w:lastRow="0" w:firstColumn="1" w:lastColumn="0" w:noHBand="0" w:noVBand="1"/>
      </w:tblPr>
      <w:tblGrid>
        <w:gridCol w:w="2122"/>
        <w:gridCol w:w="6938"/>
      </w:tblGrid>
      <w:tr w:rsidR="009A402F" w:rsidRPr="009002C9" w14:paraId="4EA3ABED" w14:textId="77777777" w:rsidTr="00FC4202">
        <w:tc>
          <w:tcPr>
            <w:tcW w:w="2122" w:type="dxa"/>
          </w:tcPr>
          <w:p w14:paraId="71D78015" w14:textId="77777777" w:rsidR="009A402F" w:rsidRPr="009002C9" w:rsidRDefault="009A402F">
            <w:r w:rsidRPr="009002C9">
              <w:t>Approximate date</w:t>
            </w:r>
          </w:p>
        </w:tc>
        <w:tc>
          <w:tcPr>
            <w:tcW w:w="6938" w:type="dxa"/>
          </w:tcPr>
          <w:p w14:paraId="73599485" w14:textId="77777777" w:rsidR="009A402F" w:rsidRPr="009002C9" w:rsidRDefault="00853ED6">
            <w:r>
              <w:t>Step</w:t>
            </w:r>
          </w:p>
        </w:tc>
      </w:tr>
      <w:tr w:rsidR="009A402F" w:rsidRPr="009002C9" w14:paraId="6E817864" w14:textId="77777777" w:rsidTr="00FC4202">
        <w:tc>
          <w:tcPr>
            <w:tcW w:w="2122" w:type="dxa"/>
          </w:tcPr>
          <w:p w14:paraId="78077571" w14:textId="2515CC14" w:rsidR="009A402F" w:rsidRPr="009002C9" w:rsidRDefault="009A402F">
            <w:r w:rsidRPr="009002C9">
              <w:t>2023</w:t>
            </w:r>
          </w:p>
        </w:tc>
        <w:tc>
          <w:tcPr>
            <w:tcW w:w="6938" w:type="dxa"/>
          </w:tcPr>
          <w:p w14:paraId="513161CB" w14:textId="77777777" w:rsidR="009A402F" w:rsidRPr="009002C9" w:rsidRDefault="009A402F">
            <w:r w:rsidRPr="00485F11">
              <w:rPr>
                <w:u w:val="single"/>
              </w:rPr>
              <w:t>Negotiation</w:t>
            </w:r>
            <w:r w:rsidRPr="00CD2908">
              <w:t>:</w:t>
            </w:r>
            <w:r w:rsidRPr="009002C9">
              <w:t xml:space="preserve"> OECD/</w:t>
            </w:r>
            <w:proofErr w:type="spellStart"/>
            <w:r w:rsidRPr="009002C9">
              <w:t>G20</w:t>
            </w:r>
            <w:proofErr w:type="spellEnd"/>
            <w:r w:rsidRPr="009002C9">
              <w:t xml:space="preserve"> Inclusive Framework </w:t>
            </w:r>
            <w:r>
              <w:t xml:space="preserve">to </w:t>
            </w:r>
            <w:r w:rsidR="00150AA8">
              <w:t xml:space="preserve">continue to work on administrative processes for Pillar Two. </w:t>
            </w:r>
            <w:r>
              <w:t xml:space="preserve"> </w:t>
            </w:r>
            <w:r w:rsidRPr="009002C9">
              <w:t xml:space="preserve"> </w:t>
            </w:r>
          </w:p>
        </w:tc>
      </w:tr>
      <w:tr w:rsidR="009A402F" w:rsidRPr="009002C9" w14:paraId="15D71CC6" w14:textId="77777777" w:rsidTr="00FC4202">
        <w:tc>
          <w:tcPr>
            <w:tcW w:w="2122" w:type="dxa"/>
          </w:tcPr>
          <w:p w14:paraId="77F497C0" w14:textId="77777777" w:rsidR="009A402F" w:rsidRPr="009002C9" w:rsidRDefault="009A402F">
            <w:r w:rsidRPr="009002C9">
              <w:t>2023</w:t>
            </w:r>
          </w:p>
        </w:tc>
        <w:tc>
          <w:tcPr>
            <w:tcW w:w="6938" w:type="dxa"/>
          </w:tcPr>
          <w:p w14:paraId="7D6E91AA" w14:textId="30D95FFA" w:rsidR="009A402F" w:rsidRPr="009002C9" w:rsidRDefault="009A402F">
            <w:r w:rsidRPr="00485F11">
              <w:rPr>
                <w:u w:val="single"/>
              </w:rPr>
              <w:t>Decision</w:t>
            </w:r>
            <w:r w:rsidRPr="00CD2908">
              <w:t>:</w:t>
            </w:r>
            <w:r w:rsidRPr="009002C9">
              <w:t xml:space="preserve"> Australia to consider being a signatory to</w:t>
            </w:r>
            <w:r w:rsidR="00011FC6">
              <w:t xml:space="preserve"> the M</w:t>
            </w:r>
            <w:r w:rsidRPr="009002C9">
              <w:t xml:space="preserve">ultilateral </w:t>
            </w:r>
            <w:r w:rsidR="00011FC6">
              <w:t>I</w:t>
            </w:r>
            <w:r w:rsidRPr="009002C9">
              <w:t>nstrument</w:t>
            </w:r>
            <w:r>
              <w:t xml:space="preserve"> </w:t>
            </w:r>
            <w:r w:rsidR="00150AA8">
              <w:t>to implement the STTR</w:t>
            </w:r>
            <w:r w:rsidRPr="00F91770">
              <w:t xml:space="preserve">, </w:t>
            </w:r>
            <w:r w:rsidR="00150AA8">
              <w:t xml:space="preserve">which will follow Australia’s standard </w:t>
            </w:r>
            <w:r w:rsidR="00E10C39">
              <w:t xml:space="preserve">treaty </w:t>
            </w:r>
            <w:r w:rsidR="00150AA8">
              <w:t>making process, such as</w:t>
            </w:r>
            <w:r w:rsidRPr="00F91770">
              <w:t xml:space="preserve"> consideration by the Joint Standing Committee on Treaties.</w:t>
            </w:r>
          </w:p>
        </w:tc>
      </w:tr>
      <w:tr w:rsidR="009A402F" w:rsidRPr="009002C9" w14:paraId="2C4EFCDF" w14:textId="77777777" w:rsidTr="00FC4202">
        <w:tc>
          <w:tcPr>
            <w:tcW w:w="2122" w:type="dxa"/>
          </w:tcPr>
          <w:p w14:paraId="78778EB3" w14:textId="77777777" w:rsidR="009A402F" w:rsidRPr="009002C9" w:rsidRDefault="009A402F">
            <w:r w:rsidRPr="009002C9">
              <w:t>2023</w:t>
            </w:r>
          </w:p>
        </w:tc>
        <w:tc>
          <w:tcPr>
            <w:tcW w:w="6938" w:type="dxa"/>
          </w:tcPr>
          <w:p w14:paraId="1DAA60C4" w14:textId="77777777" w:rsidR="009A402F" w:rsidRPr="009002C9" w:rsidRDefault="009A402F">
            <w:r w:rsidRPr="00485F11">
              <w:rPr>
                <w:u w:val="single"/>
              </w:rPr>
              <w:t>Consultation</w:t>
            </w:r>
            <w:r w:rsidRPr="00CD2908">
              <w:t>:</w:t>
            </w:r>
            <w:r w:rsidRPr="009002C9">
              <w:t xml:space="preserve"> Public consultation on exposure draft legislation. </w:t>
            </w:r>
          </w:p>
        </w:tc>
      </w:tr>
      <w:tr w:rsidR="00695A1C" w:rsidRPr="009002C9" w14:paraId="4F4484A6" w14:textId="77777777" w:rsidTr="00FC4202">
        <w:tc>
          <w:tcPr>
            <w:tcW w:w="2122" w:type="dxa"/>
          </w:tcPr>
          <w:p w14:paraId="6D47BD4B" w14:textId="77777777" w:rsidR="00695A1C" w:rsidRPr="009002C9" w:rsidRDefault="00695A1C">
            <w:r>
              <w:t>2023</w:t>
            </w:r>
          </w:p>
        </w:tc>
        <w:tc>
          <w:tcPr>
            <w:tcW w:w="6938" w:type="dxa"/>
          </w:tcPr>
          <w:p w14:paraId="7435CE9E" w14:textId="6A5AEB50" w:rsidR="00695A1C" w:rsidRPr="00695A1C" w:rsidRDefault="00695A1C">
            <w:pPr>
              <w:rPr>
                <w:u w:val="single"/>
              </w:rPr>
            </w:pPr>
            <w:r w:rsidRPr="007E3CC6">
              <w:rPr>
                <w:u w:val="single"/>
              </w:rPr>
              <w:t>Decision</w:t>
            </w:r>
            <w:r w:rsidRPr="00CD2908">
              <w:t>:</w:t>
            </w:r>
            <w:r w:rsidRPr="009002C9">
              <w:t xml:space="preserve"> Australia to consider introducing domestic legislation</w:t>
            </w:r>
            <w:r>
              <w:t xml:space="preserve"> based on the OECD </w:t>
            </w:r>
            <w:r w:rsidR="00E83502">
              <w:t>Globe</w:t>
            </w:r>
            <w:r>
              <w:t xml:space="preserve"> </w:t>
            </w:r>
            <w:r w:rsidR="00A50D77">
              <w:t>Model R</w:t>
            </w:r>
            <w:r>
              <w:t>ules to implement Pillar Two</w:t>
            </w:r>
            <w:r w:rsidRPr="009002C9">
              <w:t>.</w:t>
            </w:r>
          </w:p>
        </w:tc>
      </w:tr>
      <w:tr w:rsidR="009A402F" w:rsidRPr="009002C9" w14:paraId="35B4EA57" w14:textId="77777777" w:rsidTr="00FC4202">
        <w:tc>
          <w:tcPr>
            <w:tcW w:w="2122" w:type="dxa"/>
          </w:tcPr>
          <w:p w14:paraId="12A1BAE2" w14:textId="77777777" w:rsidR="009A402F" w:rsidRPr="009002C9" w:rsidRDefault="009A402F">
            <w:r w:rsidRPr="009002C9">
              <w:t>202</w:t>
            </w:r>
            <w:r>
              <w:t>4</w:t>
            </w:r>
            <w:r w:rsidRPr="009002C9">
              <w:t xml:space="preserve"> onwards</w:t>
            </w:r>
          </w:p>
        </w:tc>
        <w:tc>
          <w:tcPr>
            <w:tcW w:w="6938" w:type="dxa"/>
          </w:tcPr>
          <w:p w14:paraId="618B3D20" w14:textId="77777777" w:rsidR="009A402F" w:rsidRPr="009002C9" w:rsidRDefault="009A402F">
            <w:r w:rsidRPr="00485F11">
              <w:rPr>
                <w:u w:val="single"/>
              </w:rPr>
              <w:t>Implementation</w:t>
            </w:r>
            <w:r w:rsidRPr="00CD2908">
              <w:t>:</w:t>
            </w:r>
            <w:r w:rsidRPr="009002C9">
              <w:t xml:space="preserve"> Treaty and domestic legislation </w:t>
            </w:r>
            <w:r w:rsidRPr="00F91770">
              <w:t xml:space="preserve">(including subordinate law) </w:t>
            </w:r>
            <w:r w:rsidRPr="009002C9">
              <w:t xml:space="preserve">comes into </w:t>
            </w:r>
            <w:r>
              <w:t xml:space="preserve">legal </w:t>
            </w:r>
            <w:r w:rsidRPr="009002C9">
              <w:t>effect</w:t>
            </w:r>
            <w:r w:rsidR="004B0DAD">
              <w:t>.</w:t>
            </w:r>
          </w:p>
        </w:tc>
      </w:tr>
      <w:tr w:rsidR="00695A1C" w:rsidRPr="009002C9" w14:paraId="2EFBC76E" w14:textId="77777777" w:rsidTr="00FC4202">
        <w:tc>
          <w:tcPr>
            <w:tcW w:w="2122" w:type="dxa"/>
          </w:tcPr>
          <w:p w14:paraId="788ECCCA" w14:textId="1E43CC65" w:rsidR="00695A1C" w:rsidRPr="009002C9" w:rsidRDefault="00695A1C">
            <w:r>
              <w:t>2029</w:t>
            </w:r>
          </w:p>
        </w:tc>
        <w:tc>
          <w:tcPr>
            <w:tcW w:w="6938" w:type="dxa"/>
          </w:tcPr>
          <w:p w14:paraId="195362A3" w14:textId="77777777" w:rsidR="00695A1C" w:rsidRPr="009002C9" w:rsidRDefault="00695A1C">
            <w:r w:rsidRPr="00485F11">
              <w:rPr>
                <w:u w:val="single"/>
              </w:rPr>
              <w:t>Review</w:t>
            </w:r>
            <w:r w:rsidR="00794308">
              <w:rPr>
                <w:u w:val="single"/>
              </w:rPr>
              <w:t>/Evaluation</w:t>
            </w:r>
            <w:r w:rsidRPr="00CD2908">
              <w:t>:</w:t>
            </w:r>
            <w:r>
              <w:t xml:space="preserve"> Post-Implementation Review</w:t>
            </w:r>
            <w:r w:rsidR="007E5B89">
              <w:t>s are</w:t>
            </w:r>
            <w:r w:rsidR="009B2FA6">
              <w:t xml:space="preserve"> </w:t>
            </w:r>
            <w:r w:rsidR="006F6106">
              <w:t>required after</w:t>
            </w:r>
            <w:r w:rsidR="009B2FA6">
              <w:t xml:space="preserve"> five years </w:t>
            </w:r>
            <w:r w:rsidR="006C0B44">
              <w:t>for proposals that have substantial or widespread impacts (Post- Implement</w:t>
            </w:r>
            <w:r w:rsidR="00DD26BE">
              <w:t>ation</w:t>
            </w:r>
            <w:r w:rsidR="006C0B44">
              <w:t xml:space="preserve"> Reviews Guidance Note, Office of Impact Analysis). </w:t>
            </w:r>
            <w:r w:rsidR="006D61C3">
              <w:t xml:space="preserve">  </w:t>
            </w:r>
          </w:p>
        </w:tc>
      </w:tr>
    </w:tbl>
    <w:p w14:paraId="0C202043" w14:textId="08B5AA8A" w:rsidR="001A637B" w:rsidRDefault="001A637B" w:rsidP="001A637B">
      <w:r>
        <w:t>The</w:t>
      </w:r>
      <w:r w:rsidR="0040287C" w:rsidRPr="0040287C">
        <w:rPr>
          <w:rStyle w:val="Hyperlink"/>
          <w:u w:val="none"/>
        </w:rPr>
        <w:t xml:space="preserve"> </w:t>
      </w:r>
      <w:hyperlink r:id="rId39" w:history="1">
        <w:r w:rsidRPr="001A3BBB">
          <w:rPr>
            <w:rStyle w:val="Hyperlink"/>
            <w:u w:val="none"/>
          </w:rPr>
          <w:t>implementation plan</w:t>
        </w:r>
      </w:hyperlink>
      <w:r w:rsidRPr="006A5010">
        <w:rPr>
          <w:rFonts w:eastAsiaTheme="minorHAnsi" w:cstheme="minorBidi"/>
          <w:vertAlign w:val="superscript"/>
          <w:lang w:eastAsia="en-US"/>
        </w:rPr>
        <w:footnoteReference w:id="25"/>
      </w:r>
      <w:r w:rsidRPr="00266DBF">
        <w:rPr>
          <w:vertAlign w:val="superscript"/>
        </w:rPr>
        <w:t xml:space="preserve"> </w:t>
      </w:r>
      <w:r>
        <w:t xml:space="preserve">envisages that the global minimum tax rate would become operational </w:t>
      </w:r>
      <w:r w:rsidR="00664066">
        <w:t>as individual jurisdictions</w:t>
      </w:r>
      <w:r>
        <w:t xml:space="preserve"> adopt legislation</w:t>
      </w:r>
      <w:r w:rsidR="00664066">
        <w:t xml:space="preserve">. </w:t>
      </w:r>
    </w:p>
    <w:p w14:paraId="7163F4EE" w14:textId="77777777" w:rsidR="009B6663" w:rsidRDefault="001A637B" w:rsidP="001A637B">
      <w:r>
        <w:t>Under the OECD/</w:t>
      </w:r>
      <w:proofErr w:type="spellStart"/>
      <w:r>
        <w:t>G20</w:t>
      </w:r>
      <w:proofErr w:type="spellEnd"/>
      <w:r>
        <w:t xml:space="preserve"> October Statement, </w:t>
      </w:r>
      <w:r w:rsidR="009B067F">
        <w:t>countries</w:t>
      </w:r>
      <w:r>
        <w:t xml:space="preserve"> implementing the </w:t>
      </w:r>
      <w:proofErr w:type="spellStart"/>
      <w:r>
        <w:t>GloBE</w:t>
      </w:r>
      <w:proofErr w:type="spellEnd"/>
      <w:r>
        <w:t xml:space="preserve"> </w:t>
      </w:r>
      <w:r w:rsidR="00F433FA">
        <w:t>Model R</w:t>
      </w:r>
      <w:r>
        <w:t xml:space="preserve">ules are required to do so in a manner consistent with the </w:t>
      </w:r>
      <w:proofErr w:type="spellStart"/>
      <w:r>
        <w:t>GloBE</w:t>
      </w:r>
      <w:proofErr w:type="spellEnd"/>
      <w:r>
        <w:t xml:space="preserve"> M</w:t>
      </w:r>
      <w:r w:rsidRPr="00BA5947">
        <w:t xml:space="preserve">odel </w:t>
      </w:r>
      <w:r>
        <w:t>R</w:t>
      </w:r>
      <w:r w:rsidRPr="00BA5947">
        <w:t>ules</w:t>
      </w:r>
      <w:r>
        <w:t xml:space="preserve">, Commentary and Examples agreed by the </w:t>
      </w:r>
      <w:r w:rsidR="009E2572">
        <w:t>Inclusive Framework</w:t>
      </w:r>
      <w:r>
        <w:t xml:space="preserve">. The OECD </w:t>
      </w:r>
      <w:r w:rsidR="00756285">
        <w:t xml:space="preserve">have </w:t>
      </w:r>
      <w:r>
        <w:t>develop</w:t>
      </w:r>
      <w:r w:rsidR="00756285">
        <w:t>ed</w:t>
      </w:r>
      <w:r>
        <w:t xml:space="preserve"> an Implementation Framework</w:t>
      </w:r>
      <w:r w:rsidR="00F70912">
        <w:t>. There are still further</w:t>
      </w:r>
      <w:r w:rsidR="008F6889">
        <w:t xml:space="preserve"> implementation and administration issues</w:t>
      </w:r>
      <w:r w:rsidR="00F70912">
        <w:t xml:space="preserve"> to be developed through 2023</w:t>
      </w:r>
      <w:r w:rsidRPr="00F722B6" w:rsidDel="00FA0743">
        <w:t>.</w:t>
      </w:r>
      <w:r w:rsidRPr="00F722B6">
        <w:t xml:space="preserve"> Through the Implementation Framework, the OECD will provide agreed administrative guidance, </w:t>
      </w:r>
      <w:r w:rsidR="00465173">
        <w:t xml:space="preserve">peer </w:t>
      </w:r>
      <w:r>
        <w:t>review processes and develop safe</w:t>
      </w:r>
      <w:r w:rsidR="000A4D61">
        <w:t xml:space="preserve"> </w:t>
      </w:r>
      <w:r>
        <w:t xml:space="preserve">harbours to facilitate the co-ordinated implementation and administration of the </w:t>
      </w:r>
      <w:proofErr w:type="spellStart"/>
      <w:r w:rsidR="00465500">
        <w:t>GloBE</w:t>
      </w:r>
      <w:proofErr w:type="spellEnd"/>
      <w:r w:rsidR="00465500">
        <w:t xml:space="preserve"> </w:t>
      </w:r>
      <w:r w:rsidR="00F433FA">
        <w:t>Model R</w:t>
      </w:r>
      <w:r w:rsidR="00465500">
        <w:t>ules</w:t>
      </w:r>
      <w:r>
        <w:t xml:space="preserve">. </w:t>
      </w:r>
    </w:p>
    <w:p w14:paraId="22B834F7" w14:textId="0B7F3D4A" w:rsidR="000F1497" w:rsidRDefault="00AA06B2" w:rsidP="001A637B">
      <w:r>
        <w:t xml:space="preserve">While the OECD timeline indicates that the </w:t>
      </w:r>
      <w:proofErr w:type="spellStart"/>
      <w:r w:rsidR="00465500">
        <w:t>GloBE</w:t>
      </w:r>
      <w:proofErr w:type="spellEnd"/>
      <w:r w:rsidR="00465500">
        <w:t xml:space="preserve"> </w:t>
      </w:r>
      <w:r w:rsidR="00F433FA">
        <w:t>Model R</w:t>
      </w:r>
      <w:r w:rsidR="00465500">
        <w:t>ules</w:t>
      </w:r>
      <w:r>
        <w:t xml:space="preserve"> </w:t>
      </w:r>
      <w:r w:rsidR="009B6663">
        <w:t xml:space="preserve">can </w:t>
      </w:r>
      <w:r>
        <w:t xml:space="preserve">come into effect </w:t>
      </w:r>
      <w:r w:rsidR="009B6663">
        <w:t xml:space="preserve">from </w:t>
      </w:r>
      <w:r>
        <w:t xml:space="preserve">2023, there </w:t>
      </w:r>
      <w:r w:rsidR="0035258B">
        <w:t xml:space="preserve">are </w:t>
      </w:r>
      <w:r w:rsidR="00756285">
        <w:t>many</w:t>
      </w:r>
      <w:r w:rsidR="00F82DC4">
        <w:t xml:space="preserve"> countries</w:t>
      </w:r>
      <w:r w:rsidR="008B5C48">
        <w:t xml:space="preserve"> that</w:t>
      </w:r>
      <w:r w:rsidR="00F82DC4">
        <w:t xml:space="preserve"> </w:t>
      </w:r>
      <w:r w:rsidR="003C5FA3">
        <w:t xml:space="preserve">have already announced </w:t>
      </w:r>
      <w:r w:rsidR="00381054">
        <w:t>delay</w:t>
      </w:r>
      <w:r w:rsidR="003C5FA3">
        <w:t>ed</w:t>
      </w:r>
      <w:r w:rsidR="00381054">
        <w:t xml:space="preserve"> </w:t>
      </w:r>
      <w:r w:rsidR="00F82DC4">
        <w:t>implement</w:t>
      </w:r>
      <w:r w:rsidR="00381054">
        <w:t xml:space="preserve">ation to </w:t>
      </w:r>
      <w:r w:rsidR="0093432F">
        <w:t>2024</w:t>
      </w:r>
      <w:r w:rsidR="009B6663">
        <w:t xml:space="preserve">, with a </w:t>
      </w:r>
      <w:r w:rsidR="00846B07">
        <w:t>one</w:t>
      </w:r>
      <w:r w:rsidR="00FA0743">
        <w:t>-year</w:t>
      </w:r>
      <w:r w:rsidR="009B6663">
        <w:t xml:space="preserve"> delayed commencement of the UTPR from 2025</w:t>
      </w:r>
      <w:r w:rsidR="0093432F">
        <w:t>.</w:t>
      </w:r>
      <w:r w:rsidR="00C02A5C">
        <w:t xml:space="preserve"> </w:t>
      </w:r>
    </w:p>
    <w:p w14:paraId="0FD4ADCB" w14:textId="4055DB92" w:rsidR="00D55C94" w:rsidRDefault="00D55C94" w:rsidP="001A637B">
      <w:r>
        <w:t>The United States’ global intangible low-tax income (GILTI) regime applies to companies with presence in the United States and involves a similar, but still somewhat different, set of rules to the ones proposed in Pillar Two. The October 2021 agreement established that GILTI will co-exist with the Pillar Two proposals, meaning that American companies in Australia may have different rules to comply with. Specific details on how these rules will interact are yet to be finalised</w:t>
      </w:r>
      <w:r w:rsidR="00542434">
        <w:t xml:space="preserve"> through the OECD</w:t>
      </w:r>
      <w:r w:rsidR="00A35E37">
        <w:t>.</w:t>
      </w:r>
    </w:p>
    <w:p w14:paraId="6D1BF1DA" w14:textId="77777777" w:rsidR="00834FD2" w:rsidRDefault="00834FD2" w:rsidP="00310BF4">
      <w:pPr>
        <w:pStyle w:val="Heading3"/>
        <w:spacing w:before="120" w:after="120" w:line="240" w:lineRule="auto"/>
      </w:pPr>
      <w:r>
        <w:lastRenderedPageBreak/>
        <w:t xml:space="preserve">Challenges to implementation </w:t>
      </w:r>
    </w:p>
    <w:p w14:paraId="641A1F5F" w14:textId="77777777" w:rsidR="00834FD2" w:rsidRDefault="00CD4912" w:rsidP="00834FD2">
      <w:r>
        <w:t>The key challenge to</w:t>
      </w:r>
      <w:r w:rsidR="005A26DB">
        <w:t xml:space="preserve"> the</w:t>
      </w:r>
      <w:r>
        <w:t xml:space="preserve"> implementation of Pillar Two is </w:t>
      </w:r>
      <w:r w:rsidR="005A26DB">
        <w:t xml:space="preserve">designing </w:t>
      </w:r>
      <w:r w:rsidR="009E3CF3">
        <w:t xml:space="preserve">the complex </w:t>
      </w:r>
      <w:r w:rsidR="00116DC8">
        <w:t xml:space="preserve">legislation within the required timeframe </w:t>
      </w:r>
      <w:r w:rsidR="009E3CF3">
        <w:t>so that it</w:t>
      </w:r>
      <w:r w:rsidR="00116DC8">
        <w:t xml:space="preserve"> interacts appropriately with other Australian legislation and is recognised by other jurisdictions which implement Pillar Two.</w:t>
      </w:r>
    </w:p>
    <w:p w14:paraId="59325DFF" w14:textId="77777777" w:rsidR="00552695" w:rsidRPr="007F1162" w:rsidRDefault="00552695" w:rsidP="00552695">
      <w:pPr>
        <w:pStyle w:val="CommentText"/>
        <w:rPr>
          <w:sz w:val="22"/>
          <w:szCs w:val="22"/>
        </w:rPr>
      </w:pPr>
      <w:r w:rsidRPr="007F1162">
        <w:rPr>
          <w:sz w:val="22"/>
          <w:szCs w:val="22"/>
        </w:rPr>
        <w:t>Under Pillar Two there is no requirement for a critical mass of countries to implement before Pillar Two is activated</w:t>
      </w:r>
      <w:r w:rsidRPr="007F1162" w:rsidDel="00156B13">
        <w:rPr>
          <w:sz w:val="22"/>
          <w:szCs w:val="22"/>
        </w:rPr>
        <w:t>.</w:t>
      </w:r>
      <w:r w:rsidRPr="007F1162">
        <w:rPr>
          <w:sz w:val="22"/>
          <w:szCs w:val="22"/>
        </w:rPr>
        <w:t xml:space="preserve"> </w:t>
      </w:r>
      <w:r>
        <w:rPr>
          <w:sz w:val="22"/>
          <w:szCs w:val="22"/>
        </w:rPr>
        <w:t>However, a</w:t>
      </w:r>
      <w:r w:rsidRPr="007F1162">
        <w:rPr>
          <w:sz w:val="22"/>
          <w:szCs w:val="22"/>
        </w:rPr>
        <w:t xml:space="preserve"> Pillar Two that is not widely implemented will be less effective in addressing the</w:t>
      </w:r>
      <w:r w:rsidR="00F434E6">
        <w:rPr>
          <w:sz w:val="22"/>
          <w:szCs w:val="22"/>
        </w:rPr>
        <w:t xml:space="preserve"> global</w:t>
      </w:r>
      <w:r w:rsidRPr="007F1162">
        <w:rPr>
          <w:sz w:val="22"/>
          <w:szCs w:val="22"/>
        </w:rPr>
        <w:t xml:space="preserve"> ‘race to the bottom’.</w:t>
      </w:r>
    </w:p>
    <w:p w14:paraId="7C4CDB58" w14:textId="6BE1A5CF" w:rsidR="00834FD2" w:rsidRDefault="00834FD2" w:rsidP="00310BF4">
      <w:pPr>
        <w:pStyle w:val="Heading3"/>
        <w:spacing w:before="120" w:after="120" w:line="240" w:lineRule="auto"/>
      </w:pPr>
      <w:r>
        <w:t>Evaluation</w:t>
      </w:r>
    </w:p>
    <w:p w14:paraId="13A0B702" w14:textId="7C516D00" w:rsidR="00834FD2" w:rsidRDefault="00CD4912" w:rsidP="001A637B">
      <w:r>
        <w:t xml:space="preserve">A standard </w:t>
      </w:r>
      <w:r w:rsidR="00C54C7C">
        <w:t>five-year</w:t>
      </w:r>
      <w:r>
        <w:t xml:space="preserve"> </w:t>
      </w:r>
      <w:r w:rsidR="00B35F03">
        <w:t xml:space="preserve">post-implementation </w:t>
      </w:r>
      <w:r>
        <w:t>review of Pillar Two legislation will be conducted</w:t>
      </w:r>
      <w:r w:rsidR="00B834D4">
        <w:t>, in line with the proposal for the Pillar One evaluation</w:t>
      </w:r>
      <w:r>
        <w:t xml:space="preserve">. </w:t>
      </w:r>
      <w:r w:rsidR="000075BA">
        <w:t>Treasury’s Post-Implementation Review will commence gathering data on the effective</w:t>
      </w:r>
      <w:r w:rsidR="00FF5230">
        <w:t>ness</w:t>
      </w:r>
      <w:r w:rsidR="000075BA">
        <w:t xml:space="preserve"> of the policy proposal upon the commencement of the policy’s implementation. A</w:t>
      </w:r>
      <w:r w:rsidR="00667262">
        <w:t>s discussed in the section above relating to Pillar One’s evaluation</w:t>
      </w:r>
      <w:r w:rsidR="00772354">
        <w:t xml:space="preserve">, some datasets to </w:t>
      </w:r>
      <w:r w:rsidR="00C60526">
        <w:t>evaluate the success of the policy may include</w:t>
      </w:r>
      <w:r w:rsidR="00887352">
        <w:t>, but are not limited to</w:t>
      </w:r>
      <w:r w:rsidR="00C60526">
        <w:t xml:space="preserve">: </w:t>
      </w:r>
    </w:p>
    <w:p w14:paraId="0BD74871" w14:textId="77777777" w:rsidR="00887352" w:rsidRDefault="00887352" w:rsidP="00DA3B3C">
      <w:pPr>
        <w:pStyle w:val="Bullet"/>
      </w:pPr>
      <w:r>
        <w:t xml:space="preserve">Multinational tax compliance data points, taken from the time of implementation, during implementation, and at the time of drafting the Post-Implementation </w:t>
      </w:r>
      <w:proofErr w:type="gramStart"/>
      <w:r>
        <w:t>Review;</w:t>
      </w:r>
      <w:proofErr w:type="gramEnd"/>
    </w:p>
    <w:p w14:paraId="5D02D251" w14:textId="77777777" w:rsidR="00887352" w:rsidRDefault="00887352" w:rsidP="00DA3B3C">
      <w:pPr>
        <w:pStyle w:val="Bullet"/>
      </w:pPr>
      <w:r>
        <w:t>Multinational tax revenue figures generated from the implementation, compared to the multinational tax revenue figures pre-</w:t>
      </w:r>
      <w:proofErr w:type="gramStart"/>
      <w:r>
        <w:t>implementation;</w:t>
      </w:r>
      <w:proofErr w:type="gramEnd"/>
    </w:p>
    <w:p w14:paraId="76DF407F" w14:textId="2D09BA73" w:rsidR="00887352" w:rsidRDefault="004D1861" w:rsidP="00DA3B3C">
      <w:pPr>
        <w:pStyle w:val="Bullet"/>
      </w:pPr>
      <w:r>
        <w:t xml:space="preserve">Consideration of the net public benefit from the implementation of the policy, including any observed changes in multinationals’ goods and services supplies made to the Australian market, against </w:t>
      </w:r>
      <w:r w:rsidR="00B90A2E">
        <w:t>any change in</w:t>
      </w:r>
      <w:r>
        <w:t xml:space="preserve"> tax revenues </w:t>
      </w:r>
      <w:proofErr w:type="gramStart"/>
      <w:r>
        <w:t>generated</w:t>
      </w:r>
      <w:r w:rsidR="00887352">
        <w:t>;</w:t>
      </w:r>
      <w:proofErr w:type="gramEnd"/>
    </w:p>
    <w:p w14:paraId="6DBA3D52" w14:textId="6B6DA0C3" w:rsidR="00887352" w:rsidRDefault="004D1861" w:rsidP="00DA3B3C">
      <w:pPr>
        <w:pStyle w:val="Bullet"/>
      </w:pPr>
      <w:r>
        <w:t xml:space="preserve">Consideration of the presence or absence of tax related trade disputes for Australia or </w:t>
      </w:r>
      <w:proofErr w:type="gramStart"/>
      <w:r>
        <w:t>others</w:t>
      </w:r>
      <w:r w:rsidR="00887352">
        <w:t>;</w:t>
      </w:r>
      <w:proofErr w:type="gramEnd"/>
      <w:r w:rsidR="00887352">
        <w:t xml:space="preserve"> </w:t>
      </w:r>
    </w:p>
    <w:p w14:paraId="1CCF764A" w14:textId="33469F11" w:rsidR="00887352" w:rsidRDefault="00887352" w:rsidP="00DA3B3C">
      <w:pPr>
        <w:pStyle w:val="Bullet"/>
      </w:pPr>
      <w:r>
        <w:t xml:space="preserve">Comparison of Australia’s implementation and results against those of other jurisdictions who have implemented similar policies in line with Pillar </w:t>
      </w:r>
      <w:r w:rsidR="000075BA">
        <w:t>Two</w:t>
      </w:r>
      <w:r>
        <w:t xml:space="preserve"> of the Two-Pillar Solution; and</w:t>
      </w:r>
    </w:p>
    <w:p w14:paraId="5DF9C654" w14:textId="3A6263AE" w:rsidR="00887352" w:rsidRDefault="00887352" w:rsidP="00DA3B3C">
      <w:pPr>
        <w:pStyle w:val="Bullet"/>
      </w:pPr>
      <w:r>
        <w:t>Level of multinational investment in Australia.</w:t>
      </w:r>
    </w:p>
    <w:p w14:paraId="2E433D1B" w14:textId="5D0A028E" w:rsidR="00997537" w:rsidRDefault="00997537" w:rsidP="00997537">
      <w:pPr>
        <w:rPr>
          <w:rFonts w:cs="Calibri Light"/>
        </w:rPr>
      </w:pPr>
      <w:r>
        <w:rPr>
          <w:rFonts w:cs="Calibri Light"/>
        </w:rPr>
        <w:t xml:space="preserve">Similarly discussed in the section above relating to Pillar One’s evaluation, some of the above datasets are currently being captured by various Government agencies, such as Treasury, the ATO, and the ABS. Treasury will also conduct consultation with stakeholders impacted by the proposed policy’s implementation, which will allow Treasury to have a </w:t>
      </w:r>
      <w:r w:rsidR="00EA1B97">
        <w:rPr>
          <w:rFonts w:cs="Calibri Light"/>
        </w:rPr>
        <w:t>deeper</w:t>
      </w:r>
      <w:r>
        <w:rPr>
          <w:rFonts w:cs="Calibri Light"/>
        </w:rPr>
        <w:t xml:space="preserve"> understanding of how the policy’s implementation has impacted the wider public</w:t>
      </w:r>
      <w:r w:rsidR="0082795A" w:rsidRPr="0082795A">
        <w:rPr>
          <w:rFonts w:cs="Calibri Light"/>
        </w:rPr>
        <w:t xml:space="preserve"> </w:t>
      </w:r>
      <w:r w:rsidR="0082795A">
        <w:rPr>
          <w:rFonts w:cs="Calibri Light"/>
        </w:rPr>
        <w:t>and how groups of taxpayers may have been affected differently</w:t>
      </w:r>
      <w:r>
        <w:rPr>
          <w:rFonts w:cs="Calibri Light"/>
        </w:rPr>
        <w:t xml:space="preserve">. A consideration of these against pre-implementation data and/or estimates would allow Treasury to determine whether the policy’s implementation was successful in its intent. </w:t>
      </w:r>
    </w:p>
    <w:p w14:paraId="4C62160D" w14:textId="23B824B6" w:rsidR="003855F0" w:rsidRPr="003855F0" w:rsidRDefault="003855F0" w:rsidP="00997537">
      <w:pPr>
        <w:rPr>
          <w:rFonts w:cs="Calibri Light"/>
        </w:rPr>
      </w:pPr>
      <w:r>
        <w:rPr>
          <w:rFonts w:cs="Calibri Light"/>
        </w:rPr>
        <w:t xml:space="preserve">The policy will be deemed to have </w:t>
      </w:r>
      <w:r w:rsidRPr="003855F0">
        <w:rPr>
          <w:rFonts w:cs="Calibri Light"/>
        </w:rPr>
        <w:t xml:space="preserve">been successful </w:t>
      </w:r>
      <w:r w:rsidR="000C71F7">
        <w:rPr>
          <w:rFonts w:cs="Calibri Light"/>
        </w:rPr>
        <w:t>to the extent</w:t>
      </w:r>
      <w:r w:rsidRPr="003855F0">
        <w:rPr>
          <w:rFonts w:cs="Calibri Light"/>
        </w:rPr>
        <w:t xml:space="preserve"> it has:</w:t>
      </w:r>
    </w:p>
    <w:p w14:paraId="1F1DEF6B" w14:textId="77777777" w:rsidR="00534AD9" w:rsidRDefault="00534AD9" w:rsidP="00534AD9">
      <w:pPr>
        <w:pStyle w:val="Bullet"/>
      </w:pPr>
      <w:r>
        <w:t>Been complied with in</w:t>
      </w:r>
      <w:r w:rsidRPr="0067033E">
        <w:t xml:space="preserve"> Australia</w:t>
      </w:r>
      <w:r>
        <w:t xml:space="preserve"> by relevant </w:t>
      </w:r>
      <w:proofErr w:type="gramStart"/>
      <w:r>
        <w:t>multinationals</w:t>
      </w:r>
      <w:r w:rsidRPr="0067033E">
        <w:t>;</w:t>
      </w:r>
      <w:proofErr w:type="gramEnd"/>
    </w:p>
    <w:p w14:paraId="5A769377" w14:textId="77777777" w:rsidR="00534AD9" w:rsidRDefault="00534AD9" w:rsidP="00534AD9">
      <w:pPr>
        <w:pStyle w:val="Bullet"/>
      </w:pPr>
      <w:r>
        <w:t>Contributed to multinationals paying a fairer share of tax on their profits earned in Australia (likely quantified by an increase in tax payments</w:t>
      </w:r>
      <w:proofErr w:type="gramStart"/>
      <w:r>
        <w:t>);</w:t>
      </w:r>
      <w:proofErr w:type="gramEnd"/>
    </w:p>
    <w:p w14:paraId="120433E5" w14:textId="77777777" w:rsidR="00534AD9" w:rsidRDefault="00534AD9" w:rsidP="00534AD9">
      <w:pPr>
        <w:pStyle w:val="Bullet"/>
      </w:pPr>
      <w:r>
        <w:t>Reduced the incentive for multinational profit shifting from Australia to low-tax jurisdictions to avoid tax (potentially observed in investment patterns or cross-border payments</w:t>
      </w:r>
      <w:proofErr w:type="gramStart"/>
      <w:r>
        <w:t>);</w:t>
      </w:r>
      <w:proofErr w:type="gramEnd"/>
    </w:p>
    <w:p w14:paraId="46478EBD" w14:textId="77777777" w:rsidR="00534AD9" w:rsidRDefault="00534AD9" w:rsidP="00534AD9">
      <w:pPr>
        <w:pStyle w:val="Bullet"/>
      </w:pPr>
      <w:r w:rsidRPr="0060630E">
        <w:rPr>
          <w:szCs w:val="22"/>
        </w:rPr>
        <w:lastRenderedPageBreak/>
        <w:t xml:space="preserve">Not significantly contributed to changes in the prices or the availability and supply of </w:t>
      </w:r>
      <w:r>
        <w:rPr>
          <w:szCs w:val="22"/>
        </w:rPr>
        <w:t>multinationals’</w:t>
      </w:r>
      <w:r w:rsidRPr="0060630E">
        <w:rPr>
          <w:szCs w:val="22"/>
        </w:rPr>
        <w:t xml:space="preserve"> goods and services in the Australian market</w:t>
      </w:r>
      <w:r>
        <w:t>; and</w:t>
      </w:r>
    </w:p>
    <w:p w14:paraId="2EE3D0C8" w14:textId="6CD313EC" w:rsidR="00C55D82" w:rsidRDefault="00534AD9" w:rsidP="00C55D82">
      <w:pPr>
        <w:pStyle w:val="Bullet"/>
      </w:pPr>
      <w:r>
        <w:t>Helped Australia and/or other countries avoid tax related trade conflicts</w:t>
      </w:r>
      <w:r w:rsidR="005C58F1">
        <w:t>.</w:t>
      </w:r>
    </w:p>
    <w:p w14:paraId="17997FED" w14:textId="7BE3DEE5" w:rsidR="00511550" w:rsidRPr="00717A52" w:rsidRDefault="0095599E" w:rsidP="00310BF4">
      <w:pPr>
        <w:pStyle w:val="Heading3"/>
        <w:spacing w:before="120" w:after="120" w:line="240" w:lineRule="auto"/>
      </w:pPr>
      <w:r>
        <w:t xml:space="preserve">Subject to </w:t>
      </w:r>
      <w:r w:rsidR="00511550">
        <w:t>T</w:t>
      </w:r>
      <w:r>
        <w:t xml:space="preserve">ax </w:t>
      </w:r>
      <w:r w:rsidR="00511550">
        <w:t>R</w:t>
      </w:r>
      <w:r>
        <w:t>ule</w:t>
      </w:r>
    </w:p>
    <w:p w14:paraId="406BBBD0" w14:textId="25D3BED6" w:rsidR="00D54609" w:rsidRDefault="0081769E" w:rsidP="001A637B">
      <w:r>
        <w:t>T</w:t>
      </w:r>
      <w:r w:rsidR="009A2E3E">
        <w:t>he</w:t>
      </w:r>
      <w:r w:rsidR="009A2E3E" w:rsidRPr="00BA5947">
        <w:t xml:space="preserve"> </w:t>
      </w:r>
      <w:r w:rsidR="0040287C">
        <w:t>I</w:t>
      </w:r>
      <w:r w:rsidR="00381781">
        <w:t xml:space="preserve">nclusive </w:t>
      </w:r>
      <w:r w:rsidR="0040287C">
        <w:t>F</w:t>
      </w:r>
      <w:r w:rsidR="00381781">
        <w:t>ramework</w:t>
      </w:r>
      <w:r w:rsidR="001A637B">
        <w:t xml:space="preserve"> </w:t>
      </w:r>
      <w:r w:rsidR="001A637B" w:rsidRPr="00BA5947">
        <w:t xml:space="preserve">is </w:t>
      </w:r>
      <w:r>
        <w:t>still</w:t>
      </w:r>
      <w:r w:rsidR="009A2E3E">
        <w:t xml:space="preserve"> </w:t>
      </w:r>
      <w:r w:rsidR="001A637B" w:rsidRPr="00BA5947">
        <w:t xml:space="preserve">developing a model treaty provision to give effect to the </w:t>
      </w:r>
      <w:r w:rsidR="001A637B">
        <w:t>STTR</w:t>
      </w:r>
      <w:r w:rsidR="001A637B" w:rsidRPr="00BA5947">
        <w:t xml:space="preserve">, and a </w:t>
      </w:r>
      <w:r w:rsidR="00B8513A">
        <w:t>M</w:t>
      </w:r>
      <w:r w:rsidR="001A637B" w:rsidRPr="00BA5947">
        <w:t xml:space="preserve">ultilateral </w:t>
      </w:r>
      <w:r w:rsidR="00F95038">
        <w:t>I</w:t>
      </w:r>
      <w:r w:rsidR="001A637B" w:rsidRPr="00BA5947">
        <w:t>nstrument to facilitate implementation of the rule.</w:t>
      </w:r>
      <w:r>
        <w:t xml:space="preserve"> </w:t>
      </w:r>
      <w:r w:rsidR="001A637B" w:rsidRPr="00BA5947">
        <w:t xml:space="preserve">The </w:t>
      </w:r>
      <w:r w:rsidR="00F95038">
        <w:t>M</w:t>
      </w:r>
      <w:r w:rsidR="001A637B" w:rsidRPr="00BA5947">
        <w:t xml:space="preserve">ultilateral </w:t>
      </w:r>
      <w:r w:rsidR="00F95038">
        <w:t>I</w:t>
      </w:r>
      <w:r w:rsidR="001A637B" w:rsidRPr="00BA5947">
        <w:t xml:space="preserve">nstrument </w:t>
      </w:r>
      <w:r w:rsidR="001A637B">
        <w:t>will</w:t>
      </w:r>
      <w:r w:rsidR="001A637B" w:rsidRPr="00BA5947">
        <w:t xml:space="preserve"> help jurisdictions amend their existing bilateral tax treaties</w:t>
      </w:r>
      <w:r w:rsidR="00197741">
        <w:t xml:space="preserve"> </w:t>
      </w:r>
      <w:r w:rsidR="001A637B" w:rsidRPr="00BA5947">
        <w:t xml:space="preserve">where relevant, to include a </w:t>
      </w:r>
      <w:r w:rsidR="001A637B">
        <w:t>STTR</w:t>
      </w:r>
      <w:r w:rsidR="001A637B" w:rsidRPr="00BA5947">
        <w:t xml:space="preserve"> when requested to do so by a developing country treaty partner.</w:t>
      </w:r>
      <w:r w:rsidR="001A637B" w:rsidRPr="00717A52">
        <w:t xml:space="preserve"> </w:t>
      </w:r>
      <w:r>
        <w:t xml:space="preserve">This is not </w:t>
      </w:r>
      <w:r w:rsidR="00C125D2">
        <w:t>part of</w:t>
      </w:r>
      <w:r>
        <w:t xml:space="preserve"> the </w:t>
      </w:r>
      <w:proofErr w:type="spellStart"/>
      <w:r>
        <w:t>GloBE</w:t>
      </w:r>
      <w:proofErr w:type="spellEnd"/>
      <w:r>
        <w:t xml:space="preserve"> </w:t>
      </w:r>
      <w:r w:rsidR="00066499">
        <w:t xml:space="preserve">Model </w:t>
      </w:r>
      <w:r>
        <w:t>Rules.</w:t>
      </w:r>
    </w:p>
    <w:p w14:paraId="00110065" w14:textId="77777777" w:rsidR="004B5210" w:rsidRPr="006E2876" w:rsidRDefault="004B5210" w:rsidP="00310BF4">
      <w:pPr>
        <w:pStyle w:val="Heading3"/>
        <w:spacing w:before="120" w:after="120" w:line="240" w:lineRule="auto"/>
      </w:pPr>
      <w:bookmarkStart w:id="132" w:name="_Toc116375757"/>
      <w:bookmarkStart w:id="133" w:name="_Toc116380392"/>
      <w:bookmarkStart w:id="134" w:name="_Toc103784612"/>
      <w:r w:rsidRPr="006E2876">
        <w:t xml:space="preserve">Australian </w:t>
      </w:r>
      <w:r w:rsidR="00E92DD0">
        <w:t>i</w:t>
      </w:r>
      <w:r w:rsidRPr="006E2876">
        <w:t xml:space="preserve">mplementation of the </w:t>
      </w:r>
      <w:proofErr w:type="spellStart"/>
      <w:r w:rsidR="00465500">
        <w:t>GloBE</w:t>
      </w:r>
      <w:proofErr w:type="spellEnd"/>
      <w:r w:rsidR="00465500">
        <w:t xml:space="preserve"> Model Rules</w:t>
      </w:r>
      <w:bookmarkEnd w:id="132"/>
      <w:bookmarkEnd w:id="133"/>
    </w:p>
    <w:p w14:paraId="2748D066" w14:textId="77777777" w:rsidR="004B5210" w:rsidRDefault="004B5210" w:rsidP="004B5210">
      <w:r>
        <w:t xml:space="preserve">The public release of the </w:t>
      </w:r>
      <w:proofErr w:type="spellStart"/>
      <w:r>
        <w:t>GloBE</w:t>
      </w:r>
      <w:proofErr w:type="spellEnd"/>
      <w:r>
        <w:t xml:space="preserve"> Model Rules in December 2021, and the Commentary and Examples in March 2022 provide</w:t>
      </w:r>
      <w:r w:rsidR="00511550">
        <w:t>d</w:t>
      </w:r>
      <w:r>
        <w:t xml:space="preserve"> the opportunity for interested</w:t>
      </w:r>
      <w:r w:rsidRPr="00ED4002">
        <w:t xml:space="preserve"> stakeholders </w:t>
      </w:r>
      <w:r>
        <w:t>to gain an understanding of how the</w:t>
      </w:r>
      <w:r w:rsidRPr="00ED4002">
        <w:t xml:space="preserve"> </w:t>
      </w:r>
      <w:proofErr w:type="spellStart"/>
      <w:r w:rsidR="00465500">
        <w:t>GloBE</w:t>
      </w:r>
      <w:proofErr w:type="spellEnd"/>
      <w:r w:rsidR="00465500">
        <w:t xml:space="preserve"> Model Rules</w:t>
      </w:r>
      <w:r>
        <w:t xml:space="preserve"> will operate. </w:t>
      </w:r>
    </w:p>
    <w:p w14:paraId="2F6FAB41" w14:textId="474CE6B8" w:rsidR="004B5210" w:rsidRDefault="009E3CF3" w:rsidP="004B5210">
      <w:r>
        <w:t>T</w:t>
      </w:r>
      <w:r w:rsidR="004B5210">
        <w:t xml:space="preserve">he Pillar Two </w:t>
      </w:r>
      <w:r w:rsidR="00DA3918">
        <w:t>STTR</w:t>
      </w:r>
      <w:r w:rsidR="004B5210">
        <w:t xml:space="preserve"> </w:t>
      </w:r>
      <w:r w:rsidR="00FD04AF">
        <w:t xml:space="preserve">has </w:t>
      </w:r>
      <w:r w:rsidR="004B5210">
        <w:t>not yet been finalised by the OECD</w:t>
      </w:r>
      <w:r w:rsidR="009D0FE5">
        <w:t xml:space="preserve"> I</w:t>
      </w:r>
      <w:r w:rsidR="00283896">
        <w:t xml:space="preserve">nclusive </w:t>
      </w:r>
      <w:r w:rsidR="009D0FE5">
        <w:t>F</w:t>
      </w:r>
      <w:r w:rsidR="00283896">
        <w:t>ramework</w:t>
      </w:r>
      <w:r w:rsidR="004B5210">
        <w:t xml:space="preserve">. However, the </w:t>
      </w:r>
      <w:proofErr w:type="spellStart"/>
      <w:r w:rsidR="00465500">
        <w:t>GloBE</w:t>
      </w:r>
      <w:proofErr w:type="spellEnd"/>
      <w:r w:rsidR="00465500">
        <w:t xml:space="preserve"> Model Rules</w:t>
      </w:r>
      <w:r w:rsidR="004B5210">
        <w:t xml:space="preserve"> (together with the Commentary and Examples) reflect the framework agreed for jurisdictions to proceed with implementation</w:t>
      </w:r>
      <w:r w:rsidR="004B5210" w:rsidRPr="00ED4002">
        <w:t>.</w:t>
      </w:r>
      <w:r w:rsidR="004B5210">
        <w:t xml:space="preserve"> </w:t>
      </w:r>
    </w:p>
    <w:p w14:paraId="6A09A7B0" w14:textId="77777777" w:rsidR="004B5210" w:rsidRDefault="004B5210" w:rsidP="00310BF4">
      <w:pPr>
        <w:pStyle w:val="Heading4"/>
        <w:spacing w:before="120" w:after="120" w:line="240" w:lineRule="auto"/>
      </w:pPr>
      <w:r>
        <w:t xml:space="preserve">Readiness for </w:t>
      </w:r>
      <w:r w:rsidR="00E92DD0">
        <w:t>i</w:t>
      </w:r>
      <w:r w:rsidRPr="00904368">
        <w:t>mplementation</w:t>
      </w:r>
    </w:p>
    <w:p w14:paraId="0F730B4B" w14:textId="77777777" w:rsidR="004B5210" w:rsidRPr="00FD5F63" w:rsidRDefault="004B5210" w:rsidP="007B01CE">
      <w:r w:rsidRPr="00FD5F63">
        <w:t xml:space="preserve">Successful implementation of </w:t>
      </w:r>
      <w:proofErr w:type="spellStart"/>
      <w:r w:rsidR="00465500" w:rsidRPr="00FD5F63">
        <w:t>GloBE</w:t>
      </w:r>
      <w:proofErr w:type="spellEnd"/>
      <w:r w:rsidR="00465500" w:rsidRPr="00FD5F63">
        <w:t xml:space="preserve"> Model Rules</w:t>
      </w:r>
      <w:r w:rsidRPr="00FD5F63">
        <w:t xml:space="preserve"> in Australia will in part depend on stakeholders’ understanding of and ability to apply the </w:t>
      </w:r>
      <w:proofErr w:type="spellStart"/>
      <w:r w:rsidR="00465500" w:rsidRPr="00FD5F63">
        <w:t>GloBE</w:t>
      </w:r>
      <w:proofErr w:type="spellEnd"/>
      <w:r w:rsidR="00465500" w:rsidRPr="00FD5F63">
        <w:t xml:space="preserve"> Model Rules</w:t>
      </w:r>
      <w:r w:rsidR="00283896">
        <w:t xml:space="preserve"> as well as the ATO’s</w:t>
      </w:r>
      <w:r w:rsidR="006A3E3B">
        <w:t xml:space="preserve"> system readiness</w:t>
      </w:r>
      <w:r w:rsidR="00180834">
        <w:t>.</w:t>
      </w:r>
    </w:p>
    <w:p w14:paraId="06E2081F" w14:textId="77777777" w:rsidR="00347103" w:rsidRDefault="00347103">
      <w:pPr>
        <w:spacing w:before="0" w:after="160" w:line="259" w:lineRule="auto"/>
        <w:rPr>
          <w:rFonts w:ascii="Calibri" w:hAnsi="Calibri" w:cs="Arial"/>
          <w:b/>
          <w:color w:val="5D779D" w:themeColor="accent3"/>
          <w:kern w:val="32"/>
          <w:sz w:val="44"/>
          <w:szCs w:val="36"/>
        </w:rPr>
      </w:pPr>
      <w:bookmarkStart w:id="135" w:name="_Toc116375758"/>
      <w:bookmarkStart w:id="136" w:name="_Toc116380393"/>
      <w:r>
        <w:br w:type="page"/>
      </w:r>
    </w:p>
    <w:p w14:paraId="4B84F57E" w14:textId="2E301D55" w:rsidR="003A4A70" w:rsidRDefault="009923E7" w:rsidP="00310BF4">
      <w:pPr>
        <w:pStyle w:val="Heading1"/>
        <w:spacing w:before="120" w:line="240" w:lineRule="auto"/>
      </w:pPr>
      <w:bookmarkStart w:id="137" w:name="_Toc125462478"/>
      <w:bookmarkStart w:id="138" w:name="_Toc131405128"/>
      <w:r>
        <w:lastRenderedPageBreak/>
        <w:t xml:space="preserve">Document </w:t>
      </w:r>
      <w:r w:rsidR="003A4A70">
        <w:t>Status</w:t>
      </w:r>
      <w:bookmarkEnd w:id="135"/>
      <w:bookmarkEnd w:id="136"/>
      <w:bookmarkEnd w:id="137"/>
      <w:bookmarkEnd w:id="138"/>
      <w:r w:rsidR="003A4A70">
        <w:t xml:space="preserve"> </w:t>
      </w:r>
    </w:p>
    <w:p w14:paraId="46CAB3EC" w14:textId="77777777" w:rsidR="003A4A70" w:rsidRDefault="003A4A70" w:rsidP="003A4A70">
      <w:r>
        <w:t xml:space="preserve">The User Guide </w:t>
      </w:r>
      <w:r w:rsidR="00B163FF">
        <w:t>t</w:t>
      </w:r>
      <w:r>
        <w:t>o</w:t>
      </w:r>
      <w:r w:rsidR="00B163FF">
        <w:t xml:space="preserve"> t</w:t>
      </w:r>
      <w:r>
        <w:t xml:space="preserve">he Australian Government Guide </w:t>
      </w:r>
      <w:r w:rsidR="00B163FF">
        <w:t>t</w:t>
      </w:r>
      <w:r>
        <w:t>o</w:t>
      </w:r>
      <w:r w:rsidR="00B163FF">
        <w:t xml:space="preserve"> </w:t>
      </w:r>
      <w:r>
        <w:t xml:space="preserve">Regulatory Impact Analysis </w:t>
      </w:r>
      <w:r w:rsidR="009923E7">
        <w:t>suggests</w:t>
      </w:r>
      <w:r w:rsidR="00B163FF">
        <w:t xml:space="preserve"> agencies describe</w:t>
      </w:r>
      <w:r w:rsidRPr="003A4A70">
        <w:t xml:space="preserve"> the status </w:t>
      </w:r>
      <w:r w:rsidR="00B163FF">
        <w:t xml:space="preserve">of the document </w:t>
      </w:r>
      <w:r w:rsidRPr="003A4A70">
        <w:t>at each major decision point of policy development</w:t>
      </w:r>
      <w:r w:rsidR="00B163FF">
        <w:t xml:space="preserve">. </w:t>
      </w:r>
    </w:p>
    <w:tbl>
      <w:tblPr>
        <w:tblStyle w:val="TableGrid"/>
        <w:tblW w:w="0" w:type="auto"/>
        <w:tblLook w:val="04A0" w:firstRow="1" w:lastRow="0" w:firstColumn="1" w:lastColumn="0" w:noHBand="0" w:noVBand="1"/>
      </w:tblPr>
      <w:tblGrid>
        <w:gridCol w:w="2101"/>
        <w:gridCol w:w="2139"/>
        <w:gridCol w:w="2342"/>
        <w:gridCol w:w="789"/>
        <w:gridCol w:w="1560"/>
        <w:gridCol w:w="139"/>
      </w:tblGrid>
      <w:tr w:rsidR="00485D3C" w14:paraId="16F9DF13" w14:textId="77777777" w:rsidTr="00310BF4">
        <w:trPr>
          <w:gridAfter w:val="1"/>
          <w:cnfStyle w:val="100000000000" w:firstRow="1" w:lastRow="0" w:firstColumn="0" w:lastColumn="0" w:oddVBand="0" w:evenVBand="0" w:oddHBand="0" w:evenHBand="0" w:firstRowFirstColumn="0" w:firstRowLastColumn="0" w:lastRowFirstColumn="0" w:lastRowLastColumn="0"/>
          <w:wAfter w:w="139" w:type="dxa"/>
        </w:trPr>
        <w:tc>
          <w:tcPr>
            <w:tcW w:w="2101" w:type="dxa"/>
          </w:tcPr>
          <w:p w14:paraId="696533B5" w14:textId="77777777" w:rsidR="00485D3C" w:rsidRDefault="00485D3C" w:rsidP="00310BF4">
            <w:pPr>
              <w:spacing w:beforeLines="0" w:afterLines="0"/>
            </w:pPr>
            <w:r>
              <w:t>Date</w:t>
            </w:r>
          </w:p>
        </w:tc>
        <w:tc>
          <w:tcPr>
            <w:tcW w:w="5270" w:type="dxa"/>
            <w:gridSpan w:val="3"/>
          </w:tcPr>
          <w:p w14:paraId="6A7D91D3" w14:textId="77777777" w:rsidR="00485D3C" w:rsidRDefault="00485D3C" w:rsidP="00310BF4">
            <w:pPr>
              <w:spacing w:beforeLines="0" w:afterLines="0"/>
            </w:pPr>
            <w:r>
              <w:t>Decision</w:t>
            </w:r>
          </w:p>
        </w:tc>
        <w:tc>
          <w:tcPr>
            <w:tcW w:w="1560" w:type="dxa"/>
          </w:tcPr>
          <w:p w14:paraId="6E503B25" w14:textId="77777777" w:rsidR="00485D3C" w:rsidRDefault="00485D3C" w:rsidP="00310BF4">
            <w:pPr>
              <w:spacing w:beforeLines="0" w:afterLines="0"/>
            </w:pPr>
            <w:r>
              <w:t>Status</w:t>
            </w:r>
          </w:p>
        </w:tc>
      </w:tr>
      <w:tr w:rsidR="00374068" w14:paraId="11790AD2" w14:textId="77777777" w:rsidTr="00310BF4">
        <w:trPr>
          <w:gridAfter w:val="1"/>
          <w:wAfter w:w="139" w:type="dxa"/>
        </w:trPr>
        <w:tc>
          <w:tcPr>
            <w:tcW w:w="2101" w:type="dxa"/>
          </w:tcPr>
          <w:p w14:paraId="0AEF8D49" w14:textId="77777777" w:rsidR="00374068" w:rsidRDefault="00374068" w:rsidP="00266395">
            <w:r>
              <w:t>July 2022</w:t>
            </w:r>
          </w:p>
        </w:tc>
        <w:tc>
          <w:tcPr>
            <w:tcW w:w="5270" w:type="dxa"/>
            <w:gridSpan w:val="3"/>
          </w:tcPr>
          <w:p w14:paraId="230BD189" w14:textId="77777777" w:rsidR="00374068" w:rsidRDefault="005C4FBA" w:rsidP="00266395">
            <w:r w:rsidRPr="005C4FBA">
              <w:t xml:space="preserve">Australia to support the OECD Inclusive Framework </w:t>
            </w:r>
            <w:r>
              <w:t xml:space="preserve">conducting public consultation </w:t>
            </w:r>
            <w:r w:rsidR="00374068">
              <w:t xml:space="preserve">on </w:t>
            </w:r>
            <w:r>
              <w:t xml:space="preserve">a </w:t>
            </w:r>
            <w:r w:rsidR="00374068">
              <w:t>Progress Report for Pillar One</w:t>
            </w:r>
          </w:p>
        </w:tc>
        <w:tc>
          <w:tcPr>
            <w:tcW w:w="1560" w:type="dxa"/>
          </w:tcPr>
          <w:p w14:paraId="17722819" w14:textId="6C3BFC8E" w:rsidR="00374068" w:rsidRDefault="000F203B" w:rsidP="00266395">
            <w:r>
              <w:t>Draft</w:t>
            </w:r>
          </w:p>
        </w:tc>
      </w:tr>
      <w:tr w:rsidR="00485D3C" w14:paraId="30A4B542" w14:textId="77777777" w:rsidTr="00310BF4">
        <w:trPr>
          <w:gridAfter w:val="1"/>
          <w:wAfter w:w="139" w:type="dxa"/>
        </w:trPr>
        <w:tc>
          <w:tcPr>
            <w:tcW w:w="2101" w:type="dxa"/>
          </w:tcPr>
          <w:p w14:paraId="6BA0D58E" w14:textId="77777777" w:rsidR="00485D3C" w:rsidRDefault="00485D3C" w:rsidP="00266395">
            <w:r>
              <w:t>October 2021</w:t>
            </w:r>
          </w:p>
        </w:tc>
        <w:tc>
          <w:tcPr>
            <w:tcW w:w="5270" w:type="dxa"/>
            <w:gridSpan w:val="3"/>
          </w:tcPr>
          <w:p w14:paraId="142D9C6E" w14:textId="77777777" w:rsidR="00485D3C" w:rsidRDefault="007608BC" w:rsidP="00266395">
            <w:r>
              <w:t xml:space="preserve">Australia to support the OECD </w:t>
            </w:r>
            <w:r w:rsidRPr="00374068">
              <w:t xml:space="preserve">Inclusive Framework </w:t>
            </w:r>
            <w:r>
              <w:t>releasing an implementation plan for the</w:t>
            </w:r>
            <w:r w:rsidR="00485D3C">
              <w:t xml:space="preserve"> </w:t>
            </w:r>
            <w:r w:rsidR="00884D0E">
              <w:t>Two</w:t>
            </w:r>
            <w:r w:rsidR="00485D3C">
              <w:t>-</w:t>
            </w:r>
            <w:r w:rsidR="00884D0E">
              <w:t>Pillar Solution</w:t>
            </w:r>
            <w:r w:rsidR="00485D3C">
              <w:t>.</w:t>
            </w:r>
          </w:p>
        </w:tc>
        <w:tc>
          <w:tcPr>
            <w:tcW w:w="1560" w:type="dxa"/>
          </w:tcPr>
          <w:p w14:paraId="34D6D48B" w14:textId="5454BA03" w:rsidR="00485D3C" w:rsidRDefault="000F203B" w:rsidP="00266395">
            <w:r>
              <w:t>Draft</w:t>
            </w:r>
          </w:p>
        </w:tc>
      </w:tr>
      <w:tr w:rsidR="00485D3C" w14:paraId="6CD4681F" w14:textId="77777777" w:rsidTr="00310BF4">
        <w:trPr>
          <w:gridAfter w:val="1"/>
          <w:wAfter w:w="139" w:type="dxa"/>
        </w:trPr>
        <w:tc>
          <w:tcPr>
            <w:tcW w:w="2101" w:type="dxa"/>
          </w:tcPr>
          <w:p w14:paraId="39CA79DF" w14:textId="77777777" w:rsidR="00485D3C" w:rsidRDefault="00485D3C" w:rsidP="00266395">
            <w:r>
              <w:t>July 2021</w:t>
            </w:r>
          </w:p>
        </w:tc>
        <w:tc>
          <w:tcPr>
            <w:tcW w:w="5270" w:type="dxa"/>
            <w:gridSpan w:val="3"/>
          </w:tcPr>
          <w:p w14:paraId="27B23223" w14:textId="77777777" w:rsidR="00485D3C" w:rsidRDefault="007608BC" w:rsidP="00266395">
            <w:r>
              <w:t xml:space="preserve">Australia to support the OECD </w:t>
            </w:r>
            <w:r w:rsidRPr="00374068">
              <w:t xml:space="preserve">Inclusive Framework </w:t>
            </w:r>
            <w:r>
              <w:t>releasing</w:t>
            </w:r>
            <w:r w:rsidR="00485D3C">
              <w:t xml:space="preserve"> the </w:t>
            </w:r>
            <w:r>
              <w:t xml:space="preserve">building blocks </w:t>
            </w:r>
            <w:r w:rsidR="00485D3C">
              <w:t xml:space="preserve">of the </w:t>
            </w:r>
            <w:r w:rsidR="00884D0E">
              <w:t>Two</w:t>
            </w:r>
            <w:r w:rsidR="00485D3C">
              <w:t>-</w:t>
            </w:r>
            <w:r w:rsidR="00884D0E">
              <w:t>P</w:t>
            </w:r>
            <w:r w:rsidR="00485D3C">
              <w:t xml:space="preserve">illar </w:t>
            </w:r>
            <w:r w:rsidR="00884D0E">
              <w:t>S</w:t>
            </w:r>
            <w:r w:rsidR="00485D3C">
              <w:t xml:space="preserve">olution. </w:t>
            </w:r>
          </w:p>
        </w:tc>
        <w:tc>
          <w:tcPr>
            <w:tcW w:w="1560" w:type="dxa"/>
          </w:tcPr>
          <w:p w14:paraId="7A3A1F2F" w14:textId="73E58DF5" w:rsidR="00485D3C" w:rsidRDefault="000F203B" w:rsidP="00266395">
            <w:r>
              <w:t>Draft</w:t>
            </w:r>
          </w:p>
        </w:tc>
      </w:tr>
      <w:tr w:rsidR="00485D3C" w14:paraId="28E921BB" w14:textId="77777777" w:rsidTr="00310BF4">
        <w:trPr>
          <w:gridAfter w:val="1"/>
          <w:wAfter w:w="139" w:type="dxa"/>
        </w:trPr>
        <w:tc>
          <w:tcPr>
            <w:tcW w:w="2101" w:type="dxa"/>
          </w:tcPr>
          <w:p w14:paraId="2BAB5869" w14:textId="77777777" w:rsidR="00485D3C" w:rsidRDefault="004C113B" w:rsidP="00266395">
            <w:r>
              <w:t>October 2020</w:t>
            </w:r>
          </w:p>
        </w:tc>
        <w:tc>
          <w:tcPr>
            <w:tcW w:w="5270" w:type="dxa"/>
            <w:gridSpan w:val="3"/>
          </w:tcPr>
          <w:p w14:paraId="676B8464" w14:textId="77777777" w:rsidR="00485D3C" w:rsidRDefault="007608BC" w:rsidP="00266395">
            <w:r>
              <w:t xml:space="preserve">Australia to support the OECD </w:t>
            </w:r>
            <w:r w:rsidR="00374068" w:rsidRPr="00374068">
              <w:t xml:space="preserve">Inclusive Framework </w:t>
            </w:r>
            <w:r w:rsidR="0022092E">
              <w:t>consult</w:t>
            </w:r>
            <w:r>
              <w:t>ing</w:t>
            </w:r>
            <w:r w:rsidR="004C113B">
              <w:t xml:space="preserve"> on the </w:t>
            </w:r>
            <w:r w:rsidR="00374068" w:rsidRPr="00374068">
              <w:t>blueprints</w:t>
            </w:r>
            <w:r w:rsidR="004C113B">
              <w:t xml:space="preserve"> for the </w:t>
            </w:r>
            <w:r w:rsidR="00884D0E">
              <w:t>Two</w:t>
            </w:r>
            <w:r w:rsidR="004C113B">
              <w:t>-</w:t>
            </w:r>
            <w:r w:rsidR="00884D0E">
              <w:t>P</w:t>
            </w:r>
            <w:r w:rsidR="004C113B">
              <w:t xml:space="preserve">illar </w:t>
            </w:r>
            <w:r w:rsidR="00884D0E">
              <w:t>S</w:t>
            </w:r>
            <w:r w:rsidR="004C113B">
              <w:t>olution</w:t>
            </w:r>
            <w:r w:rsidR="0022092E">
              <w:t>.</w:t>
            </w:r>
          </w:p>
        </w:tc>
        <w:tc>
          <w:tcPr>
            <w:tcW w:w="1560" w:type="dxa"/>
          </w:tcPr>
          <w:p w14:paraId="22C2DEC6" w14:textId="77777777" w:rsidR="00485D3C" w:rsidRDefault="00485D3C" w:rsidP="00266395">
            <w:r>
              <w:t>Draft</w:t>
            </w:r>
          </w:p>
        </w:tc>
      </w:tr>
      <w:tr w:rsidR="00485D3C" w14:paraId="58BD20EB" w14:textId="77777777" w:rsidTr="00310BF4">
        <w:tc>
          <w:tcPr>
            <w:tcW w:w="2101" w:type="dxa"/>
          </w:tcPr>
          <w:p w14:paraId="12BFC792" w14:textId="77777777" w:rsidR="00485D3C" w:rsidRDefault="00485D3C" w:rsidP="00266395"/>
        </w:tc>
        <w:tc>
          <w:tcPr>
            <w:tcW w:w="2139" w:type="dxa"/>
          </w:tcPr>
          <w:p w14:paraId="6257EE33" w14:textId="77777777" w:rsidR="00485D3C" w:rsidRDefault="00485D3C" w:rsidP="00266395"/>
        </w:tc>
        <w:tc>
          <w:tcPr>
            <w:tcW w:w="2342" w:type="dxa"/>
          </w:tcPr>
          <w:p w14:paraId="625A0346" w14:textId="77777777" w:rsidR="00485D3C" w:rsidRDefault="00485D3C" w:rsidP="00266395"/>
        </w:tc>
        <w:tc>
          <w:tcPr>
            <w:tcW w:w="2488" w:type="dxa"/>
            <w:gridSpan w:val="3"/>
          </w:tcPr>
          <w:p w14:paraId="323C9216" w14:textId="77777777" w:rsidR="00485D3C" w:rsidRDefault="00485D3C" w:rsidP="00266395"/>
        </w:tc>
      </w:tr>
    </w:tbl>
    <w:p w14:paraId="6AA4C9C9" w14:textId="77777777" w:rsidR="003A4A70" w:rsidRDefault="003A4A70" w:rsidP="003A4A70">
      <w:pPr>
        <w:rPr>
          <w:rFonts w:ascii="Calibri" w:hAnsi="Calibri" w:cs="Arial"/>
          <w:b/>
          <w:color w:val="5D779D" w:themeColor="accent3"/>
          <w:kern w:val="32"/>
          <w:sz w:val="44"/>
          <w:szCs w:val="36"/>
        </w:rPr>
      </w:pPr>
    </w:p>
    <w:p w14:paraId="4EDE0BDF" w14:textId="77777777" w:rsidR="003A4A70" w:rsidRDefault="003A4A70" w:rsidP="00310BF4">
      <w:pPr>
        <w:rPr>
          <w:rFonts w:ascii="Calibri" w:hAnsi="Calibri" w:cs="Arial"/>
          <w:b/>
          <w:color w:val="5D779D" w:themeColor="accent3"/>
          <w:kern w:val="32"/>
          <w:sz w:val="44"/>
          <w:szCs w:val="36"/>
        </w:rPr>
      </w:pPr>
      <w:r>
        <w:br w:type="page"/>
      </w:r>
    </w:p>
    <w:p w14:paraId="377A3A69" w14:textId="19403508" w:rsidR="001A637B" w:rsidRPr="004C221A" w:rsidRDefault="001A637B" w:rsidP="00310BF4">
      <w:pPr>
        <w:pStyle w:val="Heading1"/>
        <w:spacing w:before="120" w:line="240" w:lineRule="auto"/>
      </w:pPr>
      <w:bookmarkStart w:id="139" w:name="_Toc116375759"/>
      <w:bookmarkStart w:id="140" w:name="_Toc116380394"/>
      <w:bookmarkStart w:id="141" w:name="_Toc125462479"/>
      <w:bookmarkStart w:id="142" w:name="_Toc131405129"/>
      <w:r>
        <w:lastRenderedPageBreak/>
        <w:t>R</w:t>
      </w:r>
      <w:r w:rsidRPr="004C221A">
        <w:t>eferences</w:t>
      </w:r>
      <w:bookmarkEnd w:id="134"/>
      <w:bookmarkEnd w:id="139"/>
      <w:bookmarkEnd w:id="140"/>
      <w:bookmarkEnd w:id="141"/>
      <w:bookmarkEnd w:id="142"/>
    </w:p>
    <w:p w14:paraId="671FA429" w14:textId="78E42D2C" w:rsidR="004E13ED" w:rsidRPr="004C221A" w:rsidRDefault="004E13ED" w:rsidP="004C221A">
      <w:r w:rsidRPr="004C221A">
        <w:t>Australian Government (2016), Budget 2016-17, Budget Measures Budget Paper No. 2 2016-17, &lt;</w:t>
      </w:r>
      <w:hyperlink r:id="rId40" w:history="1">
        <w:r w:rsidRPr="004C221A">
          <w:rPr>
            <w:rStyle w:val="Hyperlink"/>
          </w:rPr>
          <w:t>https://archive.budget.gov.au/2016-17/bp2/BP2_consolidated.pdf</w:t>
        </w:r>
      </w:hyperlink>
      <w:r w:rsidRPr="004C221A">
        <w:t>&gt;.</w:t>
      </w:r>
    </w:p>
    <w:p w14:paraId="43E9A6D0" w14:textId="77777777" w:rsidR="005C15BB" w:rsidRDefault="002E78C0" w:rsidP="00310BF4">
      <w:pPr>
        <w:pStyle w:val="BodyText"/>
        <w:spacing w:before="120" w:line="240" w:lineRule="auto"/>
        <w:rPr>
          <w:rStyle w:val="Hyperlink"/>
          <w:rFonts w:ascii="Calibri Light" w:hAnsi="Calibri Light" w:cs="Calibri Light"/>
          <w:szCs w:val="20"/>
          <w:u w:val="none"/>
          <w:lang w:eastAsia="en-AU"/>
        </w:rPr>
      </w:pPr>
      <w:hyperlink r:id="rId41" w:history="1">
        <w:r w:rsidR="005C15BB" w:rsidRPr="004C221A">
          <w:rPr>
            <w:rStyle w:val="Hyperlink"/>
            <w:rFonts w:ascii="Calibri Light" w:hAnsi="Calibri Light" w:cs="Calibri Light"/>
            <w:u w:val="none"/>
          </w:rPr>
          <w:t>Australian Government (2020), Guide to Regulatory Impact Analysis</w:t>
        </w:r>
      </w:hyperlink>
    </w:p>
    <w:p w14:paraId="75B1654E" w14:textId="67008B21" w:rsidR="00785803" w:rsidRDefault="00785803" w:rsidP="00310BF4">
      <w:pPr>
        <w:pStyle w:val="BodyText"/>
        <w:spacing w:before="120" w:line="240" w:lineRule="auto"/>
        <w:rPr>
          <w:rStyle w:val="Hyperlink"/>
          <w:rFonts w:ascii="Calibri Light" w:hAnsi="Calibri Light" w:cs="Calibri Light"/>
          <w:u w:val="none"/>
        </w:rPr>
      </w:pPr>
      <w:r>
        <w:rPr>
          <w:rStyle w:val="Hyperlink"/>
          <w:rFonts w:ascii="Calibri Light" w:hAnsi="Calibri Light" w:cs="Calibri Light"/>
          <w:u w:val="none"/>
        </w:rPr>
        <w:t>&lt;</w:t>
      </w:r>
      <w:r w:rsidRPr="00785803">
        <w:t xml:space="preserve"> </w:t>
      </w:r>
      <w:hyperlink r:id="rId42" w:history="1">
        <w:r w:rsidR="00270210" w:rsidRPr="005C7009">
          <w:rPr>
            <w:rStyle w:val="Hyperlink"/>
            <w:rFonts w:ascii="Calibri Light" w:hAnsi="Calibri Light" w:cs="Calibri Light"/>
          </w:rPr>
          <w:t>http://tweb/sites/intertax/_layouts/15/WopiFrame.aspx?sourcedoc=/sites/intertax/itf/australian-government-guide-to-regulatory-impact-analysis.pdf&amp;action=default</w:t>
        </w:r>
      </w:hyperlink>
      <w:r>
        <w:rPr>
          <w:rStyle w:val="Hyperlink"/>
          <w:rFonts w:ascii="Calibri Light" w:hAnsi="Calibri Light" w:cs="Calibri Light"/>
          <w:u w:val="none"/>
        </w:rPr>
        <w:t>&gt;</w:t>
      </w:r>
    </w:p>
    <w:p w14:paraId="3188692F" w14:textId="77777777" w:rsidR="0046598D" w:rsidRDefault="002E78C0" w:rsidP="00310BF4">
      <w:pPr>
        <w:pStyle w:val="BodyText"/>
        <w:spacing w:before="120" w:line="240" w:lineRule="auto"/>
      </w:pPr>
      <w:hyperlink r:id="rId43" w:history="1">
        <w:r w:rsidR="0046598D" w:rsidRPr="0046598D">
          <w:rPr>
            <w:rStyle w:val="Hyperlink"/>
          </w:rPr>
          <w:t>Australian Government, Budget 2022-2,3 Budget Paper No. 2</w:t>
        </w:r>
      </w:hyperlink>
    </w:p>
    <w:p w14:paraId="5937EFB0" w14:textId="465C1D60" w:rsidR="002D307F" w:rsidRDefault="002D307F" w:rsidP="00310BF4">
      <w:pPr>
        <w:pStyle w:val="BodyText"/>
        <w:spacing w:before="120" w:line="240" w:lineRule="auto"/>
        <w:rPr>
          <w:rStyle w:val="Hyperlink"/>
          <w:rFonts w:ascii="Calibri Light" w:hAnsi="Calibri Light" w:cs="Calibri Light"/>
          <w:u w:val="none"/>
        </w:rPr>
      </w:pPr>
      <w:r>
        <w:t>&lt;</w:t>
      </w:r>
      <w:hyperlink r:id="rId44" w:history="1">
        <w:r w:rsidR="005218F4" w:rsidRPr="00B905DB">
          <w:rPr>
            <w:rStyle w:val="Hyperlink"/>
          </w:rPr>
          <w:t>https://budget.gov.au/2022-23-october/content/bp2/index.htm</w:t>
        </w:r>
      </w:hyperlink>
      <w:r>
        <w:t>&gt;</w:t>
      </w:r>
    </w:p>
    <w:p w14:paraId="51F314F1" w14:textId="56CCD7F0" w:rsidR="00AC198F" w:rsidRPr="004C221A" w:rsidRDefault="00AC198F" w:rsidP="00310BF4">
      <w:pPr>
        <w:pStyle w:val="BodyText"/>
        <w:spacing w:before="120" w:line="240" w:lineRule="auto"/>
        <w:rPr>
          <w:rStyle w:val="Hyperlink"/>
          <w:rFonts w:ascii="Calibri Light" w:hAnsi="Calibri Light" w:cs="Calibri Light"/>
          <w:u w:val="none"/>
        </w:rPr>
      </w:pPr>
      <w:r>
        <w:rPr>
          <w:rStyle w:val="Hyperlink"/>
          <w:rFonts w:ascii="Calibri Light" w:hAnsi="Calibri Light" w:cs="Calibri Light"/>
          <w:u w:val="none"/>
        </w:rPr>
        <w:t>Australian Taxation Office (2020), Tax Avoidance Taskforce highlights 2019-20, &lt;</w:t>
      </w:r>
      <w:r w:rsidRPr="00AC198F">
        <w:t xml:space="preserve"> </w:t>
      </w:r>
      <w:hyperlink r:id="rId45" w:history="1">
        <w:r w:rsidRPr="00EB17EE">
          <w:rPr>
            <w:rStyle w:val="Hyperlink"/>
            <w:rFonts w:ascii="Calibri Light" w:hAnsi="Calibri Light" w:cs="Calibri Light"/>
          </w:rPr>
          <w:t>https://www.ato.gov.au/General/Tax-avoidance-taskforce/Tax-Avoidance-Taskforce-highlights-2019-20/</w:t>
        </w:r>
      </w:hyperlink>
      <w:r>
        <w:rPr>
          <w:rStyle w:val="Hyperlink"/>
          <w:rFonts w:ascii="Calibri Light" w:hAnsi="Calibri Light" w:cs="Calibri Light"/>
          <w:u w:val="none"/>
        </w:rPr>
        <w:t xml:space="preserve">&gt;. </w:t>
      </w:r>
    </w:p>
    <w:p w14:paraId="757751DE" w14:textId="086D770B" w:rsidR="004E13ED" w:rsidRPr="004C221A" w:rsidRDefault="004E13ED" w:rsidP="00310BF4">
      <w:pPr>
        <w:pStyle w:val="BodyText"/>
        <w:spacing w:before="120" w:line="240" w:lineRule="auto"/>
        <w:rPr>
          <w:rStyle w:val="Hyperlink"/>
          <w:rFonts w:ascii="Calibri Light" w:hAnsi="Calibri Light" w:cs="Calibri Light"/>
          <w:u w:val="none"/>
        </w:rPr>
      </w:pPr>
      <w:r w:rsidRPr="004C221A">
        <w:rPr>
          <w:rStyle w:val="Hyperlink"/>
          <w:rFonts w:ascii="Calibri Light" w:hAnsi="Calibri Light" w:cs="Calibri Light"/>
          <w:color w:val="auto"/>
          <w:u w:val="none"/>
        </w:rPr>
        <w:t>Australian Taxation Office (2021), Combating multinational tax avoidance – a target anti-avoidance law, &lt;</w:t>
      </w:r>
      <w:hyperlink r:id="rId46" w:history="1">
        <w:r w:rsidRPr="004C221A">
          <w:rPr>
            <w:rStyle w:val="Hyperlink"/>
            <w:rFonts w:ascii="Calibri Light" w:hAnsi="Calibri Light" w:cs="Calibri Light"/>
          </w:rPr>
          <w:t>https://www.ato.gov.au/business/international-tax-for-business/in-detail/doing-business-in-australia/combating-multinational-tax-avoidance---a-targeted-anti-avoidance-law/</w:t>
        </w:r>
      </w:hyperlink>
      <w:r w:rsidRPr="004C221A">
        <w:rPr>
          <w:rStyle w:val="Hyperlink"/>
          <w:rFonts w:ascii="Calibri Light" w:hAnsi="Calibri Light" w:cs="Calibri Light"/>
          <w:color w:val="auto"/>
          <w:u w:val="none"/>
        </w:rPr>
        <w:t xml:space="preserve">&gt;. </w:t>
      </w:r>
    </w:p>
    <w:p w14:paraId="7D8C9633" w14:textId="6A7C8BA1" w:rsidR="004E13ED" w:rsidRPr="004C221A" w:rsidRDefault="004E13ED" w:rsidP="004E13ED">
      <w:r w:rsidRPr="004C221A">
        <w:t>Australian Taxation Office (2021), Significant global entities – penalties, &lt;</w:t>
      </w:r>
      <w:hyperlink r:id="rId47" w:anchor=":~:text=Administrative%20penalties%20are%20doubled%20for,1)%20Act%202020" w:history="1">
        <w:r w:rsidRPr="004C221A">
          <w:rPr>
            <w:rStyle w:val="Hyperlink"/>
            <w:rFonts w:cs="Calibri Light"/>
          </w:rPr>
          <w:t>https://www.ato.gov.au/business/public-business-and-international/significant-global-entities/significant-global-entities---penalties/#:~:text=Administrative%20penalties%20are%20doubled%20for,1)%20Act%202020</w:t>
        </w:r>
      </w:hyperlink>
      <w:r w:rsidRPr="004C221A">
        <w:t>&gt;</w:t>
      </w:r>
      <w:r w:rsidRPr="004C221A">
        <w:rPr>
          <w:rFonts w:cs="Calibri Light"/>
        </w:rPr>
        <w:t>.</w:t>
      </w:r>
    </w:p>
    <w:p w14:paraId="156B19BE" w14:textId="3A14A5C8" w:rsidR="004E13ED" w:rsidRPr="004C221A" w:rsidRDefault="004E13ED" w:rsidP="004E13ED">
      <w:r w:rsidRPr="004C221A">
        <w:t>Australian Taxation Office (2021), Tax Avoidance Taskforce highlights 2020-21, &lt;</w:t>
      </w:r>
      <w:hyperlink r:id="rId48" w:history="1">
        <w:r w:rsidRPr="004C221A">
          <w:rPr>
            <w:rStyle w:val="Hyperlink"/>
          </w:rPr>
          <w:t>https://www.ato.gov.au/General/Tax-avoidance-taskforce/Tax-Avoidance-Taskforce-highlights-2020-21/</w:t>
        </w:r>
      </w:hyperlink>
      <w:r w:rsidRPr="004C221A">
        <w:t xml:space="preserve">&gt;. </w:t>
      </w:r>
    </w:p>
    <w:p w14:paraId="48C74133" w14:textId="4542EEF1" w:rsidR="005C15BB" w:rsidRPr="004C221A" w:rsidRDefault="005C15BB" w:rsidP="00310BF4">
      <w:pPr>
        <w:pStyle w:val="BodyText"/>
        <w:spacing w:before="120" w:line="240" w:lineRule="auto"/>
        <w:rPr>
          <w:rStyle w:val="Hyperlink"/>
          <w:rFonts w:ascii="Calibri Light" w:hAnsi="Calibri Light" w:cs="Calibri Light"/>
          <w:szCs w:val="20"/>
          <w:u w:val="none"/>
          <w:lang w:eastAsia="en-AU"/>
        </w:rPr>
      </w:pPr>
      <w:r w:rsidRPr="004C221A">
        <w:rPr>
          <w:rStyle w:val="Hyperlink"/>
          <w:rFonts w:ascii="Calibri Light" w:hAnsi="Calibri Light" w:cs="Calibri Light"/>
          <w:color w:val="auto"/>
          <w:u w:val="none"/>
        </w:rPr>
        <w:t>A</w:t>
      </w:r>
      <w:r w:rsidR="00C73F5B" w:rsidRPr="004C221A">
        <w:rPr>
          <w:rStyle w:val="Hyperlink"/>
          <w:rFonts w:ascii="Calibri Light" w:hAnsi="Calibri Light" w:cs="Calibri Light"/>
          <w:color w:val="auto"/>
          <w:u w:val="none"/>
        </w:rPr>
        <w:t xml:space="preserve">ustralian </w:t>
      </w:r>
      <w:r w:rsidRPr="004C221A">
        <w:rPr>
          <w:rStyle w:val="Hyperlink"/>
          <w:rFonts w:ascii="Calibri Light" w:hAnsi="Calibri Light" w:cs="Calibri Light"/>
          <w:color w:val="auto"/>
          <w:u w:val="none"/>
        </w:rPr>
        <w:t>T</w:t>
      </w:r>
      <w:r w:rsidR="00C95E4E" w:rsidRPr="004C221A">
        <w:rPr>
          <w:rStyle w:val="Hyperlink"/>
          <w:rFonts w:ascii="Calibri Light" w:hAnsi="Calibri Light" w:cs="Calibri Light"/>
          <w:color w:val="auto"/>
          <w:u w:val="none"/>
        </w:rPr>
        <w:t xml:space="preserve">axation </w:t>
      </w:r>
      <w:r w:rsidRPr="004C221A">
        <w:rPr>
          <w:rStyle w:val="Hyperlink"/>
          <w:rFonts w:ascii="Calibri Light" w:hAnsi="Calibri Light" w:cs="Calibri Light"/>
          <w:color w:val="auto"/>
          <w:u w:val="none"/>
        </w:rPr>
        <w:t>O</w:t>
      </w:r>
      <w:r w:rsidR="00C95E4E" w:rsidRPr="004C221A">
        <w:rPr>
          <w:rStyle w:val="Hyperlink"/>
          <w:rFonts w:ascii="Calibri Light" w:hAnsi="Calibri Light" w:cs="Calibri Light"/>
          <w:color w:val="auto"/>
          <w:u w:val="none"/>
        </w:rPr>
        <w:t>ffice</w:t>
      </w:r>
      <w:r w:rsidRPr="004C221A">
        <w:rPr>
          <w:rStyle w:val="Hyperlink"/>
          <w:rFonts w:ascii="Calibri Light" w:hAnsi="Calibri Light" w:cs="Calibri Light"/>
          <w:color w:val="auto"/>
          <w:u w:val="none"/>
        </w:rPr>
        <w:t xml:space="preserve"> (</w:t>
      </w:r>
      <w:r w:rsidR="001E603A" w:rsidRPr="004C221A">
        <w:rPr>
          <w:rStyle w:val="Hyperlink"/>
          <w:rFonts w:ascii="Calibri Light" w:hAnsi="Calibri Light" w:cs="Calibri Light"/>
          <w:color w:val="auto"/>
          <w:u w:val="none"/>
        </w:rPr>
        <w:t>2022</w:t>
      </w:r>
      <w:r w:rsidRPr="004C221A">
        <w:rPr>
          <w:rStyle w:val="Hyperlink"/>
          <w:rFonts w:ascii="Calibri Light" w:hAnsi="Calibri Light" w:cs="Calibri Light"/>
          <w:color w:val="auto"/>
          <w:u w:val="none"/>
        </w:rPr>
        <w:t xml:space="preserve">), </w:t>
      </w:r>
      <w:r w:rsidR="00C95E4E" w:rsidRPr="00251EE1">
        <w:rPr>
          <w:rStyle w:val="Hyperlink"/>
          <w:rFonts w:ascii="Calibri Light" w:hAnsi="Calibri Light" w:cs="Calibri Light"/>
          <w:color w:val="auto"/>
          <w:u w:val="none"/>
        </w:rPr>
        <w:t>Diverted profits tax</w:t>
      </w:r>
      <w:r w:rsidR="00C95E4E" w:rsidRPr="004C221A">
        <w:rPr>
          <w:rStyle w:val="Hyperlink"/>
          <w:rFonts w:ascii="Calibri Light" w:hAnsi="Calibri Light" w:cs="Calibri Light"/>
          <w:color w:val="auto"/>
          <w:u w:val="none"/>
        </w:rPr>
        <w:t>, &lt;</w:t>
      </w:r>
      <w:hyperlink r:id="rId49" w:anchor="Law_companion_ruling_LCR_2018_6" w:history="1">
        <w:r w:rsidR="00C95E4E" w:rsidRPr="004C221A">
          <w:rPr>
            <w:rStyle w:val="Hyperlink"/>
            <w:rFonts w:ascii="Calibri Light" w:hAnsi="Calibri Light" w:cs="Calibri Light"/>
          </w:rPr>
          <w:t>https://www.ato.gov.au/Business/International-tax-for-business/In-detail/Doing-business-in-Australia/Diverted-profits-tax/?page=1#Law_companion_ruling_LCR_2018_6</w:t>
        </w:r>
      </w:hyperlink>
      <w:r w:rsidR="00C95E4E" w:rsidRPr="004C221A">
        <w:rPr>
          <w:rStyle w:val="Hyperlink"/>
          <w:rFonts w:ascii="Calibri Light" w:hAnsi="Calibri Light" w:cs="Calibri Light"/>
          <w:color w:val="auto"/>
          <w:u w:val="none"/>
        </w:rPr>
        <w:t>&gt;.</w:t>
      </w:r>
      <w:r w:rsidR="00C95E4E" w:rsidRPr="004C221A">
        <w:rPr>
          <w:rStyle w:val="Hyperlink"/>
          <w:rFonts w:ascii="Calibri Light" w:hAnsi="Calibri Light" w:cs="Calibri Light"/>
          <w:u w:val="none"/>
        </w:rPr>
        <w:t xml:space="preserve"> </w:t>
      </w:r>
    </w:p>
    <w:p w14:paraId="1F1D1DB1" w14:textId="33D56E11" w:rsidR="007F3B58" w:rsidRDefault="007F3B58" w:rsidP="004C221A">
      <w:r w:rsidRPr="004C221A">
        <w:t>Commonwealth of Australia, The Treasury (2018), The digital economy and Australia’s corporate tax system, &lt;</w:t>
      </w:r>
      <w:hyperlink r:id="rId50" w:history="1">
        <w:r w:rsidRPr="004C221A">
          <w:rPr>
            <w:rStyle w:val="Hyperlink"/>
          </w:rPr>
          <w:t>https://treasury.gov.au/sites/default/files/2019-03/c2018-t306182-discussion-paper-1.pdf</w:t>
        </w:r>
      </w:hyperlink>
      <w:r w:rsidRPr="004C221A">
        <w:t>&gt;.</w:t>
      </w:r>
    </w:p>
    <w:p w14:paraId="3B08D2D0" w14:textId="0C3FFD69" w:rsidR="00FB06D1" w:rsidRDefault="00FB06D1" w:rsidP="004C221A">
      <w:r>
        <w:t>Commonwealth of Australia, The Treasury (2018), The digital economy and Australia’s corporate tax system, consultation submissions, &lt;</w:t>
      </w:r>
      <w:hyperlink r:id="rId51" w:history="1">
        <w:r w:rsidRPr="00FB06D1">
          <w:rPr>
            <w:rStyle w:val="Hyperlink"/>
          </w:rPr>
          <w:t>https://treasury.gov.au/consultation/c2018-t306182</w:t>
        </w:r>
      </w:hyperlink>
      <w:r>
        <w:t xml:space="preserve">&gt;. </w:t>
      </w:r>
    </w:p>
    <w:p w14:paraId="5C8C424A" w14:textId="4ABD6BA9" w:rsidR="004413E5" w:rsidRPr="004C221A" w:rsidRDefault="004413E5" w:rsidP="004C221A">
      <w:pPr>
        <w:rPr>
          <w:rStyle w:val="Hyperlink"/>
          <w:rFonts w:cs="Calibri Light"/>
          <w:u w:val="none"/>
        </w:rPr>
      </w:pPr>
      <w:r>
        <w:t>Commonwealth of Australia, The Treasury, Treasury Portfolio Ministers (2019), Government response to digital economy consultation, &lt;</w:t>
      </w:r>
      <w:hyperlink r:id="rId52" w:history="1">
        <w:r w:rsidR="00FB06D1" w:rsidRPr="00FB06D1">
          <w:rPr>
            <w:rStyle w:val="Hyperlink"/>
          </w:rPr>
          <w:t>https://ministers.treasury.gov.au/ministers/josh-frydenberg-2018/media-releases/government-response-digital-economy-consultation</w:t>
        </w:r>
      </w:hyperlink>
      <w:r>
        <w:t xml:space="preserve">&gt;. </w:t>
      </w:r>
    </w:p>
    <w:p w14:paraId="0BD7EABA" w14:textId="7D3AB866" w:rsidR="007E4B06" w:rsidRPr="004C221A" w:rsidRDefault="007E4B06" w:rsidP="004E13ED">
      <w:bookmarkStart w:id="143" w:name="_Hlk90633986"/>
      <w:r w:rsidRPr="004C221A">
        <w:t>KPMG (2022), Taxation of the digitalized economy – Developments summary, updated: June 27, 2022, &lt;</w:t>
      </w:r>
      <w:hyperlink r:id="rId53" w:history="1">
        <w:r w:rsidRPr="004C221A">
          <w:rPr>
            <w:rStyle w:val="Hyperlink"/>
          </w:rPr>
          <w:t>https://tax.kpmg.us/content/dam/tax/en/pdfs/2022/digitalized-economy-taxation-developments-summary.pdf</w:t>
        </w:r>
      </w:hyperlink>
      <w:r w:rsidRPr="004C221A">
        <w:t xml:space="preserve">&gt;. </w:t>
      </w:r>
    </w:p>
    <w:p w14:paraId="75548CE0" w14:textId="1A990493" w:rsidR="00F33669" w:rsidRPr="004C221A" w:rsidRDefault="00F33669" w:rsidP="00F33669">
      <w:pPr>
        <w:rPr>
          <w:rStyle w:val="Hyperlink"/>
          <w:u w:val="none"/>
        </w:rPr>
      </w:pPr>
      <w:r w:rsidRPr="004C221A">
        <w:t>Organisation for Economic Co-operation and Development (2020), Public Consultation Document – Reports on the Pillar One and Pillar Two Blueprints 12 October 2020 – 14 December 2020, &lt;</w:t>
      </w:r>
      <w:hyperlink r:id="rId54" w:history="1">
        <w:r w:rsidRPr="004C221A">
          <w:rPr>
            <w:rStyle w:val="Hyperlink"/>
          </w:rPr>
          <w:t>https://www.oecd.org/tax/beps/public-consultation-document-reports-on-pillar-one-and-pillar-two-blueprints-october-2020.pdf</w:t>
        </w:r>
      </w:hyperlink>
      <w:r w:rsidRPr="004C221A">
        <w:t xml:space="preserve">&gt;. </w:t>
      </w:r>
    </w:p>
    <w:p w14:paraId="47AD6D21" w14:textId="74779FCC" w:rsidR="00F33669" w:rsidRPr="004C221A" w:rsidRDefault="00F33669" w:rsidP="00F33669">
      <w:r w:rsidRPr="004C221A">
        <w:lastRenderedPageBreak/>
        <w:t>Organisation for Economic Co-operation and Development (2020), Tax Challenges Arising from Digitalisation – Economic Impact Assessment, &lt;</w:t>
      </w:r>
      <w:hyperlink r:id="rId55" w:history="1">
        <w:r w:rsidRPr="004C221A">
          <w:rPr>
            <w:rStyle w:val="Hyperlink"/>
          </w:rPr>
          <w:t>https://www.oecd-ilibrary.org/docserver/0e3cc2d4-en.pdf?expires=1663648459&amp;id=id&amp;accname=guest&amp;checksum=B590B8FC9D5D78D1C3B552FDD0EF00DB</w:t>
        </w:r>
      </w:hyperlink>
      <w:r w:rsidRPr="004C221A">
        <w:t xml:space="preserve">&gt;. </w:t>
      </w:r>
    </w:p>
    <w:p w14:paraId="63405949" w14:textId="50F3DD55" w:rsidR="00F33669" w:rsidRPr="004C221A" w:rsidRDefault="00F33669" w:rsidP="00F33669">
      <w:r w:rsidRPr="004C221A">
        <w:t>Organisation for Economic Co-operation and Development (2020), Tax Challenges Arising from Digitalisation – Report on Pillar One Blueprint, &lt;</w:t>
      </w:r>
      <w:hyperlink r:id="rId56" w:history="1">
        <w:r w:rsidRPr="004C221A">
          <w:rPr>
            <w:rStyle w:val="Hyperlink"/>
          </w:rPr>
          <w:t>https://www.oecd-ilibrary.org/docserver/beba0634-en.pdf?expires=1663647981&amp;id=id&amp;accname=guest&amp;checksum=077AA05E37339DD0E3BCA55B365049A3</w:t>
        </w:r>
      </w:hyperlink>
      <w:r w:rsidRPr="004C221A">
        <w:t xml:space="preserve">&gt;. </w:t>
      </w:r>
    </w:p>
    <w:p w14:paraId="36AE3E9B" w14:textId="3C3F88AE" w:rsidR="00F33669" w:rsidRPr="00B93237" w:rsidRDefault="00F33669" w:rsidP="00F33669">
      <w:r w:rsidRPr="004C221A">
        <w:t>Organisation for Economic Co-operation and Development (2020), Tax Challenges Arising from Digitalisation – Report on Pillar Two Blueprint, &lt;</w:t>
      </w:r>
      <w:hyperlink r:id="rId57" w:history="1">
        <w:r w:rsidRPr="004C221A">
          <w:rPr>
            <w:rStyle w:val="Hyperlink"/>
          </w:rPr>
          <w:t>https://www.oecd-ilibrary.org/docserver/abb4c3d1-en.pdf?expires=1663648325&amp;id=id&amp;accname=guest&amp;checksum=DF545DFEC20922E196E55B4C4EBE719E</w:t>
        </w:r>
      </w:hyperlink>
      <w:r>
        <w:t xml:space="preserve">&gt;. </w:t>
      </w:r>
    </w:p>
    <w:p w14:paraId="55A4882A" w14:textId="6C68885E" w:rsidR="001A637B" w:rsidRPr="004C221A" w:rsidRDefault="007E4B06" w:rsidP="001A637B">
      <w:r w:rsidRPr="004C221A">
        <w:t xml:space="preserve">Organisation </w:t>
      </w:r>
      <w:r w:rsidR="003C4783" w:rsidRPr="004C221A">
        <w:t>for</w:t>
      </w:r>
      <w:r w:rsidRPr="004C221A">
        <w:t xml:space="preserve"> Economic Co-operation and Development (2021), Brochure: </w:t>
      </w:r>
      <w:r w:rsidR="00395365" w:rsidRPr="004C221A">
        <w:t>Two-Pillar</w:t>
      </w:r>
      <w:r w:rsidRPr="004C221A">
        <w:t xml:space="preserve"> Solution to Address the Tax Challenges Arising from the Digitalisation of the Economy, 8 October 2021, &lt;</w:t>
      </w:r>
      <w:hyperlink r:id="rId58" w:history="1">
        <w:r w:rsidRPr="004C221A">
          <w:rPr>
            <w:rStyle w:val="Hyperlink"/>
          </w:rPr>
          <w:t>https://www.oecd.org/tax/beps/brochure-</w:t>
        </w:r>
        <w:r w:rsidR="00395365" w:rsidRPr="004C221A">
          <w:rPr>
            <w:rStyle w:val="Hyperlink"/>
          </w:rPr>
          <w:t>Two-Pillar</w:t>
        </w:r>
        <w:r w:rsidRPr="004C221A">
          <w:rPr>
            <w:rStyle w:val="Hyperlink"/>
          </w:rPr>
          <w:t>-solution-to-address-the-tax-challenges-arising-from-the-digitalisation-of-the-economy-october-2021.pdf</w:t>
        </w:r>
      </w:hyperlink>
      <w:r w:rsidRPr="004C221A">
        <w:t xml:space="preserve">&gt;. </w:t>
      </w:r>
    </w:p>
    <w:bookmarkEnd w:id="143"/>
    <w:p w14:paraId="24089484" w14:textId="533F273F" w:rsidR="001A637B" w:rsidRPr="004C221A" w:rsidRDefault="004801A6" w:rsidP="001A637B">
      <w:r w:rsidRPr="004C221A">
        <w:t xml:space="preserve">Organisation </w:t>
      </w:r>
      <w:r w:rsidR="003C4783" w:rsidRPr="004C221A">
        <w:t>for</w:t>
      </w:r>
      <w:r w:rsidRPr="004C221A">
        <w:t xml:space="preserve"> Economic Co-operation and Development</w:t>
      </w:r>
      <w:r w:rsidRPr="004C221A" w:rsidDel="004801A6">
        <w:t xml:space="preserve"> </w:t>
      </w:r>
      <w:r w:rsidRPr="004C221A">
        <w:t xml:space="preserve">(2021), Statement on a </w:t>
      </w:r>
      <w:r w:rsidR="00395365" w:rsidRPr="004C221A">
        <w:t>Two-Pillar</w:t>
      </w:r>
      <w:r w:rsidRPr="004C221A">
        <w:t xml:space="preserve"> Solution to Address the Tax Challenges Arising From the Digitalisation of the Economy, 1 July 2021, &lt;</w:t>
      </w:r>
      <w:hyperlink r:id="rId59" w:history="1">
        <w:r w:rsidRPr="004C221A">
          <w:rPr>
            <w:rStyle w:val="Hyperlink"/>
          </w:rPr>
          <w:t>https://www.oecd.org/tax/beps/statement-on-a-</w:t>
        </w:r>
        <w:r w:rsidR="00395365" w:rsidRPr="004C221A">
          <w:rPr>
            <w:rStyle w:val="Hyperlink"/>
          </w:rPr>
          <w:t>Two-Pillar</w:t>
        </w:r>
        <w:r w:rsidRPr="004C221A">
          <w:rPr>
            <w:rStyle w:val="Hyperlink"/>
          </w:rPr>
          <w:t>-solution-to-address-the-tax-challenges-arising-from-the-digitalisation-of-the-economy-july-2021.pdf</w:t>
        </w:r>
      </w:hyperlink>
      <w:r w:rsidRPr="004C221A">
        <w:t xml:space="preserve">&gt;. </w:t>
      </w:r>
    </w:p>
    <w:p w14:paraId="78365CF3" w14:textId="57E5E37F" w:rsidR="001A637B" w:rsidRPr="004C221A" w:rsidRDefault="00267100" w:rsidP="001A637B">
      <w:r w:rsidRPr="004C221A">
        <w:t xml:space="preserve">Organisation </w:t>
      </w:r>
      <w:r w:rsidR="003C4783" w:rsidRPr="004C221A">
        <w:t>for</w:t>
      </w:r>
      <w:r w:rsidRPr="004C221A">
        <w:t xml:space="preserve"> Economic Co-operation and Development</w:t>
      </w:r>
      <w:r w:rsidRPr="004C221A" w:rsidDel="004801A6">
        <w:t xml:space="preserve"> </w:t>
      </w:r>
      <w:r w:rsidRPr="004C221A">
        <w:rPr>
          <w:szCs w:val="22"/>
        </w:rPr>
        <w:t xml:space="preserve">(2021), </w:t>
      </w:r>
      <w:r w:rsidRPr="004C221A">
        <w:t xml:space="preserve">Statement on a </w:t>
      </w:r>
      <w:r w:rsidR="00395365" w:rsidRPr="004C221A">
        <w:t>Two-Pillar</w:t>
      </w:r>
      <w:r w:rsidRPr="004C221A">
        <w:t xml:space="preserve"> Solution to Address the Tax Challenges Arising from the Digitalisation of the Economy, 8 October 2021, &lt;</w:t>
      </w:r>
      <w:hyperlink r:id="rId60" w:history="1">
        <w:r w:rsidRPr="004C221A">
          <w:rPr>
            <w:rStyle w:val="Hyperlink"/>
          </w:rPr>
          <w:t>https://www.oecd.org/tax/beps/statement-on-a-</w:t>
        </w:r>
        <w:r w:rsidR="00395365" w:rsidRPr="004C221A">
          <w:rPr>
            <w:rStyle w:val="Hyperlink"/>
          </w:rPr>
          <w:t>Two-Pillar</w:t>
        </w:r>
        <w:r w:rsidRPr="004C221A">
          <w:rPr>
            <w:rStyle w:val="Hyperlink"/>
          </w:rPr>
          <w:t>-solution-to-address-the-tax-challenges-arising-from-the-digitalisation-of-the-economy-october-2021.pdf</w:t>
        </w:r>
      </w:hyperlink>
      <w:r w:rsidRPr="004C221A">
        <w:t xml:space="preserve">&gt;. </w:t>
      </w:r>
    </w:p>
    <w:p w14:paraId="5898BDAD" w14:textId="4E878F59" w:rsidR="007F3B58" w:rsidRDefault="007F3B58" w:rsidP="00310BF4">
      <w:pPr>
        <w:pStyle w:val="BodyText"/>
        <w:spacing w:before="120" w:line="240" w:lineRule="auto"/>
        <w:rPr>
          <w:rFonts w:ascii="Calibri Light" w:hAnsi="Calibri Light" w:cs="Calibri Light"/>
        </w:rPr>
      </w:pPr>
      <w:r w:rsidRPr="004C221A">
        <w:rPr>
          <w:rFonts w:ascii="Calibri Light" w:eastAsia="Times New Roman" w:hAnsi="Calibri Light" w:cs="Times New Roman"/>
          <w:szCs w:val="20"/>
          <w:lang w:eastAsia="en-AU"/>
        </w:rPr>
        <w:t>Organisation for Economic Co-operation and Development (2021), T</w:t>
      </w:r>
      <w:r w:rsidRPr="004C221A">
        <w:rPr>
          <w:rFonts w:ascii="Calibri Light" w:hAnsi="Calibri Light" w:cs="Calibri Light"/>
        </w:rPr>
        <w:t>ax challenges arising from digitalisation: Public comments received on the Pillar One and Pillar Two Blueprints, &lt;</w:t>
      </w:r>
      <w:hyperlink r:id="rId61" w:history="1">
        <w:r w:rsidRPr="004C221A">
          <w:rPr>
            <w:rStyle w:val="Hyperlink"/>
            <w:rFonts w:ascii="Calibri Light" w:hAnsi="Calibri Light" w:cs="Calibri Light"/>
          </w:rPr>
          <w:t>https://www.oecd.org/tax/beps/public-comments-received-on-the-reports-on-pillar-one-and-pillar-two-blueprints.htm</w:t>
        </w:r>
      </w:hyperlink>
      <w:r w:rsidRPr="004C221A">
        <w:rPr>
          <w:rFonts w:ascii="Calibri Light" w:hAnsi="Calibri Light" w:cs="Calibri Light"/>
        </w:rPr>
        <w:t xml:space="preserve">&gt;. </w:t>
      </w:r>
    </w:p>
    <w:p w14:paraId="76B18929" w14:textId="4193299D" w:rsidR="00E03D32" w:rsidRPr="004C221A" w:rsidRDefault="00E03D32" w:rsidP="00310BF4">
      <w:pPr>
        <w:pStyle w:val="BodyText"/>
        <w:spacing w:before="120" w:line="240" w:lineRule="auto"/>
        <w:rPr>
          <w:rStyle w:val="Hyperlink"/>
          <w:rFonts w:ascii="Calibri Light" w:hAnsi="Calibri Light" w:cs="Calibri Light"/>
        </w:rPr>
      </w:pPr>
      <w:r>
        <w:rPr>
          <w:rFonts w:ascii="Calibri Light" w:hAnsi="Calibri Light" w:cs="Calibri Light"/>
        </w:rPr>
        <w:t xml:space="preserve">Organisation for Economic Co-operation and Development (2022), Tax challenges arising from the Digitalisation of the Economy – Commentary to the Global Anti-Base Erosion Model Rules (Pillar Two), 14 March 2022, </w:t>
      </w:r>
      <w:hyperlink r:id="rId62" w:history="1">
        <w:r w:rsidRPr="00EB17EE">
          <w:rPr>
            <w:rStyle w:val="Hyperlink"/>
            <w:rFonts w:ascii="Calibri Light" w:hAnsi="Calibri Light" w:cs="Calibri Light"/>
          </w:rPr>
          <w:t>https://www.oecd.org/tax/beps/tax-challenges-arising-from-the-digitalisation-of-the-economy-global-anti-base-erosion-model-rules-pillar-two.pdf</w:t>
        </w:r>
      </w:hyperlink>
      <w:r>
        <w:rPr>
          <w:rFonts w:ascii="Calibri Light" w:hAnsi="Calibri Light" w:cs="Calibri Light"/>
        </w:rPr>
        <w:t>.</w:t>
      </w:r>
    </w:p>
    <w:p w14:paraId="13E7D8A4" w14:textId="18CE3905" w:rsidR="0051584D" w:rsidRDefault="005B0FA9" w:rsidP="001A637B">
      <w:r w:rsidRPr="004C221A">
        <w:t xml:space="preserve">Organisation </w:t>
      </w:r>
      <w:r w:rsidR="003C4783" w:rsidRPr="004C221A">
        <w:t>for</w:t>
      </w:r>
      <w:r w:rsidRPr="004C221A">
        <w:t xml:space="preserve"> Economic Co-operation and Development (2022), Progress Report on Amount A of Pillar One, &lt;</w:t>
      </w:r>
      <w:hyperlink r:id="rId63" w:history="1">
        <w:r w:rsidRPr="004C221A">
          <w:rPr>
            <w:rStyle w:val="Hyperlink"/>
          </w:rPr>
          <w:t>https://www.oecd.org/tax/beps/progress-report-on-amount-a-of-pillar-one-july-2022.pdf</w:t>
        </w:r>
      </w:hyperlink>
      <w:r>
        <w:t xml:space="preserve">&gt;. </w:t>
      </w:r>
    </w:p>
    <w:p w14:paraId="406ED109" w14:textId="3223135B" w:rsidR="00A11ECB" w:rsidRDefault="00A11ECB" w:rsidP="001A637B">
      <w:r>
        <w:t xml:space="preserve">Organisation for Economic Co-operation and Development (n.d.), What is </w:t>
      </w:r>
      <w:proofErr w:type="gramStart"/>
      <w:r>
        <w:t>BEPS?,</w:t>
      </w:r>
      <w:proofErr w:type="gramEnd"/>
      <w:r>
        <w:t xml:space="preserve"> &lt;</w:t>
      </w:r>
      <w:hyperlink r:id="rId64" w:history="1">
        <w:r w:rsidRPr="00A11ECB">
          <w:rPr>
            <w:rStyle w:val="Hyperlink"/>
          </w:rPr>
          <w:t>https://www.oecd.org/tax/beps/about/</w:t>
        </w:r>
      </w:hyperlink>
      <w:r>
        <w:t xml:space="preserve">&gt;. </w:t>
      </w:r>
    </w:p>
    <w:p w14:paraId="76562EB7" w14:textId="4E99C4D3" w:rsidR="00067AD7" w:rsidRDefault="003C4783" w:rsidP="00D2676C">
      <w:pPr>
        <w:rPr>
          <w:rStyle w:val="Hyperlink"/>
          <w:u w:val="none"/>
        </w:rPr>
      </w:pPr>
      <w:r>
        <w:t xml:space="preserve">Swiss Confederation, </w:t>
      </w:r>
      <w:r w:rsidR="001A637B" w:rsidRPr="004C221A">
        <w:t xml:space="preserve">Federal Department of Finance (2022), </w:t>
      </w:r>
      <w:r w:rsidRPr="004C221A">
        <w:t>Implementation of the OECD minimum tax rate in Switzerland</w:t>
      </w:r>
      <w:r>
        <w:t>, &lt;</w:t>
      </w:r>
      <w:hyperlink r:id="rId65" w:history="1">
        <w:r w:rsidRPr="001B31EB">
          <w:rPr>
            <w:rStyle w:val="Hyperlink"/>
          </w:rPr>
          <w:t>https://www.efd.admin.ch/efd/en/home/taxes/international-taxation/implementation-oecd-minimum-tax-rate.html</w:t>
        </w:r>
      </w:hyperlink>
      <w:r>
        <w:t>&gt;.</w:t>
      </w:r>
      <w:r w:rsidR="001A637B" w:rsidRPr="00811ACC">
        <w:rPr>
          <w:rStyle w:val="Hyperlink"/>
          <w:u w:val="none"/>
        </w:rPr>
        <w:t xml:space="preserve"> </w:t>
      </w:r>
    </w:p>
    <w:p w14:paraId="634B2AA0" w14:textId="77777777" w:rsidR="003B3B51" w:rsidRDefault="003B3B51" w:rsidP="00D2676C">
      <w:pPr>
        <w:rPr>
          <w:rStyle w:val="Hyperlink"/>
          <w:u w:val="none"/>
        </w:rPr>
      </w:pPr>
    </w:p>
    <w:p w14:paraId="65820185" w14:textId="1031DC50" w:rsidR="003F2A11" w:rsidRDefault="003F2A11">
      <w:pPr>
        <w:spacing w:before="0" w:after="160" w:line="259" w:lineRule="auto"/>
      </w:pPr>
      <w:r>
        <w:br w:type="page"/>
      </w:r>
    </w:p>
    <w:p w14:paraId="63DD9F29" w14:textId="38D0CCDA" w:rsidR="003B3B51" w:rsidRDefault="003F2A11" w:rsidP="003F2A11">
      <w:pPr>
        <w:pStyle w:val="Heading1"/>
        <w:spacing w:before="120" w:line="240" w:lineRule="auto"/>
        <w:rPr>
          <w:color w:val="4D7861" w:themeColor="accent2"/>
          <w:sz w:val="28"/>
          <w:szCs w:val="26"/>
        </w:rPr>
      </w:pPr>
      <w:bookmarkStart w:id="144" w:name="_Toc131405130"/>
      <w:r>
        <w:lastRenderedPageBreak/>
        <w:t xml:space="preserve">Appendix </w:t>
      </w:r>
      <w:r w:rsidR="008B5C48">
        <w:t>A</w:t>
      </w:r>
      <w:r>
        <w:t xml:space="preserve">: </w:t>
      </w:r>
      <w:r w:rsidR="005C6BC3">
        <w:t xml:space="preserve">Additional information on OECD </w:t>
      </w:r>
      <w:r w:rsidR="009E3A6C">
        <w:t>consultations</w:t>
      </w:r>
      <w:bookmarkEnd w:id="144"/>
      <w:r w:rsidR="009E3A6C">
        <w:t xml:space="preserve"> </w:t>
      </w:r>
    </w:p>
    <w:p w14:paraId="19914D9D" w14:textId="2D4086EC" w:rsidR="00DD1A1F" w:rsidRDefault="00DD1A1F" w:rsidP="00DD1A1F">
      <w:pPr>
        <w:pStyle w:val="Heading2"/>
        <w:spacing w:before="120" w:line="240" w:lineRule="auto"/>
      </w:pPr>
      <w:r>
        <w:t xml:space="preserve">OECD </w:t>
      </w:r>
      <w:r w:rsidRPr="009C48EE">
        <w:t>Report</w:t>
      </w:r>
      <w:r>
        <w:t>s</w:t>
      </w:r>
      <w:r w:rsidRPr="009C48EE">
        <w:t xml:space="preserve"> on </w:t>
      </w:r>
      <w:r>
        <w:t xml:space="preserve">the </w:t>
      </w:r>
      <w:r w:rsidRPr="009C48EE">
        <w:t xml:space="preserve">Pillar One </w:t>
      </w:r>
      <w:r>
        <w:t xml:space="preserve">and Pillar Two </w:t>
      </w:r>
      <w:r w:rsidRPr="009C48EE">
        <w:t>Blueprint</w:t>
      </w:r>
      <w:r>
        <w:t xml:space="preserve"> and the OECD Business Advisory Group (2020 to 2022)</w:t>
      </w:r>
    </w:p>
    <w:p w14:paraId="765B2FB0" w14:textId="3ACCFE33" w:rsidR="00486DFF" w:rsidRDefault="00486DFF" w:rsidP="00486DFF">
      <w:pPr>
        <w:pStyle w:val="Heading3"/>
        <w:spacing w:before="120" w:after="120" w:line="240" w:lineRule="auto"/>
      </w:pPr>
      <w:r>
        <w:t>Consultation Process</w:t>
      </w:r>
    </w:p>
    <w:p w14:paraId="234160DC" w14:textId="613E62ED" w:rsidR="00DD1A1F" w:rsidRPr="00DF23C0" w:rsidRDefault="00DD1A1F" w:rsidP="00DD1A1F">
      <w:pPr>
        <w:rPr>
          <w:rFonts w:cs="Calibri Light"/>
        </w:rPr>
      </w:pPr>
      <w:r w:rsidRPr="00DF23C0">
        <w:t xml:space="preserve">In October 2020, the OECD released for consultation their blueprint documents for the </w:t>
      </w:r>
      <w:r>
        <w:rPr>
          <w:rFonts w:cs="Calibri Light"/>
        </w:rPr>
        <w:t>T</w:t>
      </w:r>
      <w:r w:rsidRPr="00DF23C0">
        <w:rPr>
          <w:rFonts w:cs="Calibri Light"/>
        </w:rPr>
        <w:t>wo</w:t>
      </w:r>
      <w:r>
        <w:rPr>
          <w:rFonts w:cs="Calibri Light"/>
        </w:rPr>
        <w:t>-P</w:t>
      </w:r>
      <w:r w:rsidRPr="00DF23C0">
        <w:rPr>
          <w:rFonts w:cs="Calibri Light"/>
        </w:rPr>
        <w:t xml:space="preserve">illar </w:t>
      </w:r>
      <w:r>
        <w:rPr>
          <w:rFonts w:cs="Calibri Light"/>
        </w:rPr>
        <w:t>S</w:t>
      </w:r>
      <w:r w:rsidRPr="00DF23C0">
        <w:rPr>
          <w:rFonts w:cs="Calibri Light"/>
        </w:rPr>
        <w:t xml:space="preserve">olution, which included: </w:t>
      </w:r>
    </w:p>
    <w:p w14:paraId="1E2D9D62" w14:textId="77777777" w:rsidR="00DD1A1F" w:rsidRPr="00DF23C0" w:rsidRDefault="002E78C0" w:rsidP="00DD1A1F">
      <w:pPr>
        <w:pStyle w:val="Bullet"/>
        <w:keepNext/>
        <w:numPr>
          <w:ilvl w:val="0"/>
          <w:numId w:val="9"/>
        </w:numPr>
        <w:tabs>
          <w:tab w:val="clear" w:pos="720"/>
        </w:tabs>
        <w:spacing w:after="120" w:line="240" w:lineRule="auto"/>
        <w:rPr>
          <w:rFonts w:cs="Calibri Light"/>
        </w:rPr>
      </w:pPr>
      <w:hyperlink r:id="rId66" w:history="1">
        <w:r w:rsidR="00DD1A1F" w:rsidRPr="00DF23C0">
          <w:rPr>
            <w:rStyle w:val="Hyperlink"/>
            <w:rFonts w:cs="Calibri Light"/>
          </w:rPr>
          <w:t>Pillar One</w:t>
        </w:r>
      </w:hyperlink>
      <w:r w:rsidR="00DD1A1F" w:rsidRPr="00DF23C0">
        <w:rPr>
          <w:rFonts w:cs="Calibri Light"/>
        </w:rPr>
        <w:t xml:space="preserve"> Blueprint</w:t>
      </w:r>
      <w:r w:rsidR="00DD1A1F">
        <w:rPr>
          <w:rStyle w:val="FootnoteReference"/>
          <w:rFonts w:cs="Calibri Light"/>
        </w:rPr>
        <w:footnoteReference w:id="26"/>
      </w:r>
      <w:r w:rsidR="00DD1A1F" w:rsidRPr="00DF23C0">
        <w:rPr>
          <w:rFonts w:cs="Calibri Light"/>
        </w:rPr>
        <w:t xml:space="preserve"> (relocation of profits of multinational enterprises) </w:t>
      </w:r>
    </w:p>
    <w:p w14:paraId="56FB7AB0" w14:textId="77777777" w:rsidR="00DD1A1F" w:rsidRPr="00DF23C0" w:rsidRDefault="002E78C0" w:rsidP="00DD1A1F">
      <w:pPr>
        <w:pStyle w:val="Bullet"/>
        <w:keepNext/>
        <w:numPr>
          <w:ilvl w:val="0"/>
          <w:numId w:val="9"/>
        </w:numPr>
        <w:tabs>
          <w:tab w:val="clear" w:pos="720"/>
        </w:tabs>
        <w:spacing w:after="120" w:line="240" w:lineRule="auto"/>
        <w:rPr>
          <w:rFonts w:cs="Calibri Light"/>
        </w:rPr>
      </w:pPr>
      <w:hyperlink r:id="rId67" w:history="1">
        <w:r w:rsidR="00DD1A1F" w:rsidRPr="00DF23C0">
          <w:rPr>
            <w:rStyle w:val="Hyperlink"/>
            <w:rFonts w:cs="Calibri Light"/>
          </w:rPr>
          <w:t>Pillar Two</w:t>
        </w:r>
      </w:hyperlink>
      <w:r w:rsidR="00DD1A1F" w:rsidRPr="00DF23C0">
        <w:rPr>
          <w:rFonts w:cs="Calibri Light"/>
        </w:rPr>
        <w:t xml:space="preserve"> Blueprint</w:t>
      </w:r>
      <w:r w:rsidR="00DD1A1F">
        <w:rPr>
          <w:rStyle w:val="FootnoteReference"/>
          <w:rFonts w:cs="Calibri Light"/>
        </w:rPr>
        <w:footnoteReference w:id="27"/>
      </w:r>
      <w:r w:rsidR="00DD1A1F" w:rsidRPr="00DF23C0">
        <w:rPr>
          <w:rFonts w:cs="Calibri Light"/>
        </w:rPr>
        <w:t xml:space="preserve"> (effective global minimum taxation of multinationals) </w:t>
      </w:r>
    </w:p>
    <w:p w14:paraId="089E93B9" w14:textId="01E8CADB" w:rsidR="00DD1A1F" w:rsidRPr="00DF23C0" w:rsidRDefault="00DD1A1F" w:rsidP="00DD1A1F">
      <w:pPr>
        <w:rPr>
          <w:rFonts w:cs="Calibri Light"/>
        </w:rPr>
      </w:pPr>
      <w:r w:rsidRPr="00DF23C0">
        <w:rPr>
          <w:rFonts w:cs="Calibri Light"/>
        </w:rPr>
        <w:t xml:space="preserve">The OECD also released its </w:t>
      </w:r>
      <w:hyperlink r:id="rId68" w:history="1">
        <w:r w:rsidRPr="00DF23C0">
          <w:rPr>
            <w:rStyle w:val="Hyperlink"/>
            <w:rFonts w:cs="Calibri Light"/>
          </w:rPr>
          <w:t>Economic Impact Assessment</w:t>
        </w:r>
      </w:hyperlink>
      <w:r w:rsidRPr="00DF23C0">
        <w:rPr>
          <w:rFonts w:cs="Calibri Light"/>
        </w:rPr>
        <w:t xml:space="preserve"> of the blueprint proposals. Subsequent negotiation through the OECD/</w:t>
      </w:r>
      <w:proofErr w:type="spellStart"/>
      <w:r w:rsidRPr="00DF23C0">
        <w:rPr>
          <w:rFonts w:cs="Calibri Light"/>
        </w:rPr>
        <w:t>G20</w:t>
      </w:r>
      <w:proofErr w:type="spellEnd"/>
      <w:r w:rsidRPr="00DF23C0">
        <w:rPr>
          <w:rFonts w:cs="Calibri Light"/>
        </w:rPr>
        <w:t xml:space="preserve"> Inclusive Framework has shifted </w:t>
      </w:r>
      <w:r>
        <w:rPr>
          <w:rFonts w:cs="Calibri Light"/>
        </w:rPr>
        <w:t>many</w:t>
      </w:r>
      <w:r w:rsidRPr="00DF23C0">
        <w:rPr>
          <w:rFonts w:cs="Calibri Light"/>
        </w:rPr>
        <w:t xml:space="preserve"> of the details from the blueprint proposals, most notably </w:t>
      </w:r>
      <w:r>
        <w:rPr>
          <w:rFonts w:cs="Calibri Light"/>
        </w:rPr>
        <w:t xml:space="preserve">expanding the scope of </w:t>
      </w:r>
      <w:r w:rsidRPr="00DF23C0">
        <w:rPr>
          <w:rFonts w:cs="Calibri Light"/>
        </w:rPr>
        <w:t xml:space="preserve">Pillar One </w:t>
      </w:r>
      <w:r>
        <w:rPr>
          <w:rFonts w:cs="Calibri Light"/>
        </w:rPr>
        <w:t>to go beyond</w:t>
      </w:r>
      <w:r w:rsidRPr="00DF23C0">
        <w:rPr>
          <w:rFonts w:cs="Calibri Light"/>
        </w:rPr>
        <w:t xml:space="preserve"> digital companies, </w:t>
      </w:r>
      <w:r>
        <w:rPr>
          <w:rFonts w:cs="Calibri Light"/>
        </w:rPr>
        <w:t xml:space="preserve">to </w:t>
      </w:r>
      <w:r w:rsidRPr="00DF23C0">
        <w:rPr>
          <w:rFonts w:cs="Calibri Light"/>
        </w:rPr>
        <w:t xml:space="preserve">target the top 100 largest and most profitable multinationals.  </w:t>
      </w:r>
    </w:p>
    <w:p w14:paraId="4695D542" w14:textId="255D3BA7" w:rsidR="00DD1A1F" w:rsidRDefault="00DD1A1F" w:rsidP="00DD1A1F">
      <w:pPr>
        <w:rPr>
          <w:rFonts w:cs="Calibri Light"/>
        </w:rPr>
      </w:pPr>
      <w:r w:rsidRPr="00DF23C0">
        <w:rPr>
          <w:rFonts w:cs="Calibri Light"/>
        </w:rPr>
        <w:t xml:space="preserve">The OECD received 201 submissions related to Pillar One and 197 submissions related to Pillar Two from a range of businesses and organisations. </w:t>
      </w:r>
    </w:p>
    <w:p w14:paraId="7D230F87" w14:textId="4DB886D2" w:rsidR="00486DFF" w:rsidRDefault="00486DFF" w:rsidP="00486DFF">
      <w:pPr>
        <w:pStyle w:val="Heading3"/>
        <w:spacing w:before="120" w:after="120" w:line="240" w:lineRule="auto"/>
      </w:pPr>
      <w:r>
        <w:t>Range of stakeholders:</w:t>
      </w:r>
    </w:p>
    <w:p w14:paraId="4517A3FB" w14:textId="06F21916" w:rsidR="00DD1A1F" w:rsidRPr="00930BE4" w:rsidRDefault="00DD1A1F" w:rsidP="00DD1A1F">
      <w:pPr>
        <w:pStyle w:val="Bullet"/>
        <w:spacing w:after="120" w:line="240" w:lineRule="auto"/>
      </w:pPr>
      <w:r>
        <w:t xml:space="preserve">Large multinationals, large accounting firms and tax justice advocates. </w:t>
      </w:r>
    </w:p>
    <w:p w14:paraId="36FAAA6D" w14:textId="17FE01E9" w:rsidR="00DD1A1F" w:rsidRDefault="00DD1A1F" w:rsidP="00DD1A1F">
      <w:pPr>
        <w:pStyle w:val="Heading3"/>
        <w:spacing w:before="120" w:after="120" w:line="240" w:lineRule="auto"/>
      </w:pPr>
      <w:r w:rsidRPr="004F4256">
        <w:t>Key comments that were taken on board and noted</w:t>
      </w:r>
      <w:r>
        <w:t xml:space="preserve">: </w:t>
      </w:r>
    </w:p>
    <w:p w14:paraId="4968F40F" w14:textId="77AABBCD" w:rsidR="00DD1A1F" w:rsidRPr="00C66B59" w:rsidRDefault="00DD1A1F" w:rsidP="00DD1A1F">
      <w:pPr>
        <w:pStyle w:val="Bullet"/>
        <w:spacing w:after="120" w:line="240" w:lineRule="auto"/>
      </w:pPr>
      <w:r w:rsidRPr="00C66B59">
        <w:t xml:space="preserve">Continue pursuing implementation on of the Two-Pillar Solution. </w:t>
      </w:r>
    </w:p>
    <w:p w14:paraId="5A67C2D5" w14:textId="3BFE1CB7" w:rsidR="00DD1A1F" w:rsidRPr="00C66B59" w:rsidRDefault="00DD1A1F" w:rsidP="00DD1A1F">
      <w:pPr>
        <w:pStyle w:val="Bullet"/>
        <w:spacing w:after="120" w:line="240" w:lineRule="auto"/>
      </w:pPr>
      <w:r w:rsidRPr="00C66B59">
        <w:t xml:space="preserve">Find more ways to reduce compliance costs. </w:t>
      </w:r>
    </w:p>
    <w:p w14:paraId="59AA47FC" w14:textId="77A00877" w:rsidR="00DD1A1F" w:rsidRPr="00C66B59" w:rsidRDefault="00DD1A1F" w:rsidP="00DD1A1F">
      <w:pPr>
        <w:pStyle w:val="Bullet"/>
        <w:spacing w:after="120" w:line="240" w:lineRule="auto"/>
      </w:pPr>
      <w:r w:rsidRPr="00C66B59">
        <w:t xml:space="preserve">Include an extractives carveout from Pillar One. </w:t>
      </w:r>
    </w:p>
    <w:p w14:paraId="749869E2" w14:textId="3D46D0E2" w:rsidR="00DD1A1F" w:rsidRPr="00C66B59" w:rsidRDefault="00DD1A1F" w:rsidP="00DD1A1F">
      <w:pPr>
        <w:pStyle w:val="Bullet"/>
        <w:spacing w:after="120" w:line="240" w:lineRule="auto"/>
      </w:pPr>
      <w:r w:rsidRPr="00C66B59">
        <w:t xml:space="preserve">Include large transition period for revenue sourcing rules. </w:t>
      </w:r>
    </w:p>
    <w:p w14:paraId="1622ED0E" w14:textId="125596B2" w:rsidR="00DD1A1F" w:rsidRDefault="00DD1A1F" w:rsidP="00DD1A1F">
      <w:pPr>
        <w:pStyle w:val="Heading4"/>
        <w:spacing w:before="120" w:after="120" w:line="240" w:lineRule="auto"/>
      </w:pPr>
      <w:r w:rsidRPr="00C66B59">
        <w:t>Typical Pillar One Comments</w:t>
      </w:r>
      <w:r>
        <w:t xml:space="preserve"> raised:</w:t>
      </w:r>
    </w:p>
    <w:p w14:paraId="54ECDF91" w14:textId="7BF725D0" w:rsidR="00DD1A1F" w:rsidRDefault="00DD1A1F" w:rsidP="00DD1A1F">
      <w:pPr>
        <w:pStyle w:val="Bullet"/>
        <w:spacing w:after="120" w:line="240" w:lineRule="auto"/>
      </w:pPr>
      <w:r>
        <w:t>Broad support for a multilateral solution</w:t>
      </w:r>
      <w:r w:rsidR="00270210">
        <w:t>.</w:t>
      </w:r>
      <w:r>
        <w:t xml:space="preserve"> </w:t>
      </w:r>
    </w:p>
    <w:p w14:paraId="1E49A155" w14:textId="71948143" w:rsidR="00DD1A1F" w:rsidRDefault="00DD1A1F" w:rsidP="00DD1A1F">
      <w:pPr>
        <w:pStyle w:val="Bullet"/>
        <w:spacing w:after="120" w:line="240" w:lineRule="auto"/>
      </w:pPr>
      <w:r>
        <w:t>Business concerned about c</w:t>
      </w:r>
      <w:r w:rsidRPr="005B5F1B">
        <w:t>omplexity</w:t>
      </w:r>
      <w:r>
        <w:t xml:space="preserve">. </w:t>
      </w:r>
    </w:p>
    <w:p w14:paraId="09BF03B0" w14:textId="23690A22" w:rsidR="00DD1A1F" w:rsidRDefault="00DD1A1F" w:rsidP="00DD1A1F">
      <w:pPr>
        <w:pStyle w:val="Bullet"/>
        <w:spacing w:after="120" w:line="240" w:lineRule="auto"/>
      </w:pPr>
      <w:r w:rsidRPr="001C770A">
        <w:t xml:space="preserve">Submissions from Australian, American and Japanese interests supported the </w:t>
      </w:r>
      <w:r>
        <w:t>carve-out</w:t>
      </w:r>
      <w:r w:rsidRPr="001C770A">
        <w:t xml:space="preserve"> for extractives from Amount A and a broad interpretation that would cover the entire value chain for non-renewable, new and renewable resources. There was also support for the proposed exclusion of commodities and products such as petrol, diesel and automobile lubricants.</w:t>
      </w:r>
    </w:p>
    <w:p w14:paraId="7FFD2730" w14:textId="4AF92B30" w:rsidR="00DD1A1F" w:rsidRDefault="00DD1A1F" w:rsidP="00DD1A1F">
      <w:pPr>
        <w:pStyle w:val="Bullet"/>
        <w:spacing w:after="120" w:line="240" w:lineRule="auto"/>
      </w:pPr>
      <w:r>
        <w:lastRenderedPageBreak/>
        <w:t>T</w:t>
      </w:r>
      <w:r w:rsidRPr="001C770A">
        <w:t>he novelty and complexity of Pillar One warrants a phased introduction (e.g. over several years), starting with a narrow group of multinationals.</w:t>
      </w:r>
    </w:p>
    <w:p w14:paraId="2DD55BBE" w14:textId="72E60437" w:rsidR="00DD1A1F" w:rsidRDefault="00DD1A1F" w:rsidP="00DD1A1F">
      <w:pPr>
        <w:pStyle w:val="Bullet"/>
        <w:spacing w:after="120" w:line="240" w:lineRule="auto"/>
      </w:pPr>
      <w:r>
        <w:t xml:space="preserve">General support for the marketing distribution safe harbour concept, but consensus that it needs more work to be an effective double tax relief mechanism. Some suggested it should be expanded. </w:t>
      </w:r>
    </w:p>
    <w:p w14:paraId="6D2D52E0" w14:textId="25C96E3C" w:rsidR="00DD1A1F" w:rsidRDefault="00DD1A1F" w:rsidP="00DD1A1F">
      <w:pPr>
        <w:pStyle w:val="Bullet"/>
        <w:spacing w:after="120" w:line="240" w:lineRule="auto"/>
      </w:pPr>
      <w:r>
        <w:t>Segmentation: Submissions generally opposed any mandatory segmentation for tax purposes.</w:t>
      </w:r>
    </w:p>
    <w:p w14:paraId="7ED146D2" w14:textId="66E9E463" w:rsidR="00DD1A1F" w:rsidRPr="00C66B59" w:rsidRDefault="00DD1A1F" w:rsidP="00DD1A1F">
      <w:pPr>
        <w:pStyle w:val="Bullet"/>
        <w:spacing w:after="120" w:line="240" w:lineRule="auto"/>
      </w:pPr>
      <w:r>
        <w:t xml:space="preserve">Revenue sourcing: Most submissions requested less stringent revenue sourcing rules. Many considered </w:t>
      </w:r>
      <w:r w:rsidRPr="00C66B59">
        <w:t>the proposed rules impractical and inflexible.</w:t>
      </w:r>
    </w:p>
    <w:p w14:paraId="3D96D269" w14:textId="3B083BF0" w:rsidR="00DD1A1F" w:rsidRPr="00C66B59" w:rsidRDefault="00DD1A1F" w:rsidP="00DD1A1F">
      <w:pPr>
        <w:pStyle w:val="Bullet"/>
        <w:spacing w:after="120" w:line="240" w:lineRule="auto"/>
      </w:pPr>
      <w:r w:rsidRPr="00C66B59">
        <w:t xml:space="preserve">Tax Certainty for Amount A: Some requests for expansion of tax certainty options (e.g. early certainty mechanisms, panels to advise on whether a company is in scope). There were some concerns over how the system will cope with demand, some suggestion access should be limited, at least to begin with. </w:t>
      </w:r>
    </w:p>
    <w:p w14:paraId="5E12E42E" w14:textId="000DF8BC" w:rsidR="00DD1A1F" w:rsidRPr="00C66B59" w:rsidRDefault="00DD1A1F" w:rsidP="00DD1A1F">
      <w:pPr>
        <w:pStyle w:val="Bullet"/>
        <w:spacing w:after="120" w:line="240" w:lineRule="auto"/>
      </w:pPr>
      <w:r w:rsidRPr="00C66B59">
        <w:t>Unilateral measures: Most stakeholders suggested that existing unilateral measures, such as Digital Services Taxes or similar measures, must be withdrawn as a condition to the Pillar One and Pillar Two consensus.</w:t>
      </w:r>
    </w:p>
    <w:p w14:paraId="15C890FB" w14:textId="037F2A71" w:rsidR="00DD1A1F" w:rsidRPr="00C66B59" w:rsidRDefault="00DD1A1F" w:rsidP="00DD1A1F">
      <w:pPr>
        <w:pStyle w:val="Bullet"/>
        <w:spacing w:after="120" w:line="240" w:lineRule="auto"/>
      </w:pPr>
      <w:r w:rsidRPr="00C66B59">
        <w:t>Dispute resolution beyond Amount A: Most of the submissions agreed that mandatory dispute resolution prevention is necessary to ensure tax certainty for multinationals. Some have suggested that public rulings be provided by the OECD. Submissions were generally supportive of mandatory binding dispute resolution beyond Amount A for all multinationals. Joint submission by NGOs expressed concern over the lack of transparency afforded to binding dispute decisions.</w:t>
      </w:r>
    </w:p>
    <w:p w14:paraId="4A6E9F9C" w14:textId="799677F5" w:rsidR="00DD1A1F" w:rsidRDefault="00DD1A1F" w:rsidP="00DD1A1F">
      <w:pPr>
        <w:pStyle w:val="Heading4"/>
        <w:spacing w:before="120" w:after="120" w:line="240" w:lineRule="auto"/>
      </w:pPr>
      <w:r>
        <w:t>Typical Pillar Two Comments raised:</w:t>
      </w:r>
    </w:p>
    <w:p w14:paraId="10EE06E1" w14:textId="100905D6" w:rsidR="00DD1A1F" w:rsidRDefault="00DD1A1F" w:rsidP="00DD1A1F">
      <w:pPr>
        <w:pStyle w:val="Bullet"/>
        <w:spacing w:after="120" w:line="240" w:lineRule="auto"/>
      </w:pPr>
      <w:r>
        <w:t xml:space="preserve">Regime application: submissions called for the application of one regime (Pillar Two or unilateral measures), with GILTI (and similar regimes) being treated as Pillar Two compliant and interactions between GILTI and </w:t>
      </w:r>
      <w:proofErr w:type="spellStart"/>
      <w:r>
        <w:t>GloBE</w:t>
      </w:r>
      <w:proofErr w:type="spellEnd"/>
      <w:r>
        <w:t xml:space="preserve"> Model Rules needing to be addressed.</w:t>
      </w:r>
    </w:p>
    <w:p w14:paraId="168AAC19" w14:textId="6ABC5D06" w:rsidR="00DD1A1F" w:rsidRDefault="00DD1A1F" w:rsidP="00DD1A1F">
      <w:pPr>
        <w:pStyle w:val="Bullet"/>
        <w:spacing w:after="120" w:line="240" w:lineRule="auto"/>
      </w:pPr>
      <w:r>
        <w:t>Simplification options: Many submissions stated all options could be adopted and others further developed (e.g. a global ETR calculation). Varying views on appropriateness of a Country-by-Country safe harbour given the level of adjustments needed.</w:t>
      </w:r>
    </w:p>
    <w:p w14:paraId="60F9040F" w14:textId="7B9B7402" w:rsidR="00DD1A1F" w:rsidRDefault="00DD1A1F" w:rsidP="00DD1A1F">
      <w:pPr>
        <w:pStyle w:val="Bullet"/>
        <w:spacing w:after="120" w:line="240" w:lineRule="auto"/>
      </w:pPr>
      <w:r>
        <w:t>ETR calculation:</w:t>
      </w:r>
    </w:p>
    <w:p w14:paraId="4C1DB081" w14:textId="0621872F" w:rsidR="00DD1A1F" w:rsidRDefault="00DD1A1F" w:rsidP="00DD1A1F">
      <w:pPr>
        <w:pStyle w:val="Bullet"/>
        <w:numPr>
          <w:ilvl w:val="1"/>
          <w:numId w:val="8"/>
        </w:numPr>
        <w:spacing w:after="120" w:line="240" w:lineRule="auto"/>
      </w:pPr>
      <w:r>
        <w:t>Timing differences: submissions expressed that the carry-forward approach does not adequately address timing differences (particularly for extractives and insurance businesses), with deferred tax accounting being a better option. If the carry-forward approach is adopted, there should be no look-back period or it should be extended, or IIR tax credits more efficiently returned.</w:t>
      </w:r>
    </w:p>
    <w:p w14:paraId="2A0924C6" w14:textId="7BA8360C" w:rsidR="00DD1A1F" w:rsidRDefault="00DD1A1F" w:rsidP="00DD1A1F">
      <w:pPr>
        <w:pStyle w:val="Bullet"/>
        <w:numPr>
          <w:ilvl w:val="1"/>
          <w:numId w:val="8"/>
        </w:numPr>
        <w:spacing w:after="120" w:line="240" w:lineRule="auto"/>
      </w:pPr>
      <w:r>
        <w:t>Transition: most stakeholders agreed that pre-regime losses should be fully recognised, and many considered carried-forward indefinitely.</w:t>
      </w:r>
    </w:p>
    <w:p w14:paraId="3BD48696" w14:textId="4C1DAA63" w:rsidR="00DD1A1F" w:rsidRDefault="00DD1A1F" w:rsidP="00DD1A1F">
      <w:pPr>
        <w:pStyle w:val="Bullet"/>
        <w:spacing w:after="120" w:line="240" w:lineRule="auto"/>
      </w:pPr>
      <w:r>
        <w:t>Covered Taxes: submissions sought more inclusions (those related to extractives, banks and Digital Services Taxes) or more certainty.</w:t>
      </w:r>
    </w:p>
    <w:p w14:paraId="633C0D58" w14:textId="2818A540" w:rsidR="00DD1A1F" w:rsidRDefault="00DD1A1F" w:rsidP="00DD1A1F">
      <w:pPr>
        <w:pStyle w:val="Bullet"/>
        <w:spacing w:after="120" w:line="240" w:lineRule="auto"/>
      </w:pPr>
      <w:r>
        <w:t>Blending: submissions preferred worldwide-blending to jurisdictional-blending.</w:t>
      </w:r>
    </w:p>
    <w:p w14:paraId="11D8D58B" w14:textId="018B5BCC" w:rsidR="00DD1A1F" w:rsidRDefault="00DD1A1F" w:rsidP="00DD1A1F">
      <w:pPr>
        <w:pStyle w:val="Bullet"/>
        <w:spacing w:after="120" w:line="240" w:lineRule="auto"/>
      </w:pPr>
      <w:r>
        <w:t>Carve-outs:</w:t>
      </w:r>
    </w:p>
    <w:p w14:paraId="4684F08A" w14:textId="32D00A37" w:rsidR="00DD1A1F" w:rsidRDefault="00DD1A1F" w:rsidP="00DD1A1F">
      <w:pPr>
        <w:pStyle w:val="Bullet"/>
        <w:numPr>
          <w:ilvl w:val="1"/>
          <w:numId w:val="8"/>
        </w:numPr>
        <w:spacing w:after="120" w:line="240" w:lineRule="auto"/>
      </w:pPr>
      <w:r>
        <w:lastRenderedPageBreak/>
        <w:t>Exclusion for investment funds: several submissions sought refinements or clarifications.</w:t>
      </w:r>
    </w:p>
    <w:p w14:paraId="750CBD10" w14:textId="6542F8AC" w:rsidR="00DD1A1F" w:rsidRDefault="00DD1A1F" w:rsidP="00DD1A1F">
      <w:pPr>
        <w:pStyle w:val="Bullet"/>
        <w:numPr>
          <w:ilvl w:val="1"/>
          <w:numId w:val="8"/>
        </w:numPr>
        <w:spacing w:after="120" w:line="240" w:lineRule="auto"/>
      </w:pPr>
      <w:r>
        <w:t>Further carve-outs: several submissions advocated for further carve-outs, particularly for Action 5 compliant regimes, and infrastructure.</w:t>
      </w:r>
    </w:p>
    <w:p w14:paraId="6EFEF7D5" w14:textId="0559C218" w:rsidR="00EC0CFA" w:rsidRDefault="00DD1A1F" w:rsidP="00FC4202">
      <w:pPr>
        <w:pStyle w:val="Bullet"/>
        <w:numPr>
          <w:ilvl w:val="0"/>
          <w:numId w:val="0"/>
        </w:numPr>
        <w:spacing w:after="120" w:line="240" w:lineRule="auto"/>
      </w:pPr>
      <w:r>
        <w:t>Subject to Tax Rule (STTR): many submissions opposed the STTR, preferring it be limited and optional, and the covered payments need to be clear.</w:t>
      </w:r>
    </w:p>
    <w:p w14:paraId="4D29EDDC" w14:textId="6D4C92B2" w:rsidR="00EC0CFA" w:rsidRDefault="00EC0CFA" w:rsidP="00EC0CFA">
      <w:pPr>
        <w:pStyle w:val="Heading2"/>
        <w:spacing w:before="120" w:line="240" w:lineRule="auto"/>
      </w:pPr>
      <w:bookmarkStart w:id="145" w:name="_Toc116375738"/>
      <w:bookmarkStart w:id="146" w:name="_Toc116376486"/>
      <w:bookmarkStart w:id="147" w:name="_Toc116380375"/>
      <w:r>
        <w:t>OECD Consultation: Pillar One Progress Report (2022)</w:t>
      </w:r>
      <w:bookmarkEnd w:id="145"/>
      <w:bookmarkEnd w:id="146"/>
      <w:bookmarkEnd w:id="147"/>
    </w:p>
    <w:p w14:paraId="5C96FC38" w14:textId="646E8A1B" w:rsidR="00EC0CFA" w:rsidRDefault="00EC0CFA" w:rsidP="00EC0CFA">
      <w:pPr>
        <w:pStyle w:val="Heading3"/>
        <w:spacing w:before="120" w:after="120" w:line="240" w:lineRule="auto"/>
      </w:pPr>
      <w:bookmarkStart w:id="148" w:name="_Toc116375739"/>
      <w:bookmarkStart w:id="149" w:name="_Toc116380376"/>
      <w:r>
        <w:t>Consultation Process</w:t>
      </w:r>
      <w:bookmarkEnd w:id="148"/>
      <w:bookmarkEnd w:id="149"/>
    </w:p>
    <w:p w14:paraId="2756CE61" w14:textId="77777777" w:rsidR="00EC0CFA" w:rsidRDefault="00EC0CFA" w:rsidP="00EC0CFA">
      <w:r>
        <w:t xml:space="preserve">The OECD has continued public consultations </w:t>
      </w:r>
      <w:r w:rsidRPr="005B0FEA">
        <w:t xml:space="preserve">on various aspects of the </w:t>
      </w:r>
      <w:r>
        <w:t>Two-Pillar</w:t>
      </w:r>
      <w:r w:rsidRPr="005B0FEA">
        <w:t xml:space="preserve"> </w:t>
      </w:r>
      <w:r>
        <w:t>Solution in order to inform the final aspects of the design</w:t>
      </w:r>
      <w:r w:rsidRPr="005B0FEA">
        <w:t>.</w:t>
      </w:r>
      <w:r>
        <w:t xml:space="preserve"> Consultation papers</w:t>
      </w:r>
      <w:r w:rsidRPr="00C81702">
        <w:t xml:space="preserve"> on the</w:t>
      </w:r>
      <w:r w:rsidRPr="00221A25">
        <w:t xml:space="preserve"> Pillar One (Amount A) building blocks</w:t>
      </w:r>
      <w:r w:rsidRPr="005B0FEA">
        <w:t xml:space="preserve"> have been released </w:t>
      </w:r>
      <w:r w:rsidRPr="00C81702">
        <w:t>on a rolling basis, as the core design features of each building block have stabilised.</w:t>
      </w:r>
      <w:r>
        <w:t xml:space="preserve"> In July 2022, the OECD also released a Progress Report on Pillar One for consultation.</w:t>
      </w:r>
      <w:r>
        <w:rPr>
          <w:rStyle w:val="FootnoteReference"/>
        </w:rPr>
        <w:footnoteReference w:id="28"/>
      </w:r>
      <w:r w:rsidRPr="00650D4E">
        <w:t xml:space="preserve"> The OECD received 71 submissions from business, lobby groups, advisors and individuals in relation to their public consultation document on the Progress Report of Amount A.</w:t>
      </w:r>
    </w:p>
    <w:p w14:paraId="48383781" w14:textId="77777777" w:rsidR="00EC0CFA" w:rsidRDefault="00EC0CFA" w:rsidP="00EC0CFA">
      <w:pPr>
        <w:pStyle w:val="Heading3"/>
        <w:spacing w:before="120" w:after="120" w:line="240" w:lineRule="auto"/>
      </w:pPr>
      <w:r>
        <w:t>Range of stakeholders:</w:t>
      </w:r>
    </w:p>
    <w:p w14:paraId="2FB628A8" w14:textId="77777777" w:rsidR="00EC0CFA" w:rsidRPr="007628FE" w:rsidRDefault="00EC0CFA" w:rsidP="00EC0CFA">
      <w:r>
        <w:t xml:space="preserve">The Pillar One progress report received public submissions from 71 stakeholders. The range of stakeholders included business and business representation (66%), advisors (15%), civil society (6%), and other stakeholders (13%). </w:t>
      </w:r>
    </w:p>
    <w:p w14:paraId="7A4271DF" w14:textId="77777777" w:rsidR="00851B9C" w:rsidRDefault="00851B9C" w:rsidP="00851B9C">
      <w:pPr>
        <w:pStyle w:val="Heading3"/>
        <w:spacing w:before="120" w:after="120" w:line="240" w:lineRule="auto"/>
      </w:pPr>
      <w:r w:rsidRPr="004F4256">
        <w:t>Key comments that were taken on board and noted</w:t>
      </w:r>
      <w:r>
        <w:t xml:space="preserve">: </w:t>
      </w:r>
    </w:p>
    <w:p w14:paraId="621764BB" w14:textId="77777777" w:rsidR="00851B9C" w:rsidRDefault="00851B9C" w:rsidP="00851B9C">
      <w:pPr>
        <w:pStyle w:val="Bullet"/>
        <w:spacing w:after="120" w:line="240" w:lineRule="auto"/>
      </w:pPr>
      <w:r>
        <w:t xml:space="preserve">OECD to examine ways to further reduce complexity and compliance burdens, particularly for the Extractives exclusion. </w:t>
      </w:r>
    </w:p>
    <w:p w14:paraId="3680495A" w14:textId="77777777" w:rsidR="00851B9C" w:rsidRDefault="00851B9C" w:rsidP="00851B9C">
      <w:pPr>
        <w:pStyle w:val="Bullet"/>
        <w:spacing w:after="120" w:line="240" w:lineRule="auto"/>
      </w:pPr>
      <w:r>
        <w:t xml:space="preserve">OECD to continue to develop the requirement to remove Digital Services Taxes as key component of Pillar One. </w:t>
      </w:r>
    </w:p>
    <w:p w14:paraId="728ADF5A" w14:textId="77777777" w:rsidR="00851B9C" w:rsidRDefault="00851B9C" w:rsidP="00851B9C">
      <w:pPr>
        <w:pStyle w:val="Bullet"/>
        <w:spacing w:after="120" w:line="240" w:lineRule="auto"/>
      </w:pPr>
      <w:r w:rsidRPr="00485F11">
        <w:t>Extractives exclusion</w:t>
      </w:r>
      <w:r>
        <w:t>:</w:t>
      </w:r>
    </w:p>
    <w:p w14:paraId="54A781D8" w14:textId="77777777" w:rsidR="00851B9C" w:rsidRDefault="00851B9C" w:rsidP="00851B9C">
      <w:pPr>
        <w:pStyle w:val="BoxText"/>
        <w:numPr>
          <w:ilvl w:val="0"/>
          <w:numId w:val="10"/>
        </w:numPr>
      </w:pPr>
      <w:r>
        <w:t xml:space="preserve">Comments generally called for an expanded scope of the extractive definition to include more downstream services, such as processing that leads to the creation of refined raw materials.  </w:t>
      </w:r>
    </w:p>
    <w:p w14:paraId="392D28F1" w14:textId="77777777" w:rsidR="00851B9C" w:rsidRDefault="00851B9C" w:rsidP="00851B9C">
      <w:pPr>
        <w:pStyle w:val="BoxText"/>
        <w:numPr>
          <w:ilvl w:val="0"/>
          <w:numId w:val="10"/>
        </w:numPr>
      </w:pPr>
      <w:r>
        <w:t xml:space="preserve">Comments were also concerned by the complexity of the rules, and that they do not necessarily align to existing tax administration practices and concepts. </w:t>
      </w:r>
    </w:p>
    <w:p w14:paraId="1488677E" w14:textId="77777777" w:rsidR="00851B9C" w:rsidRDefault="00851B9C" w:rsidP="00851B9C">
      <w:pPr>
        <w:pStyle w:val="BoxText"/>
        <w:numPr>
          <w:ilvl w:val="0"/>
          <w:numId w:val="10"/>
        </w:numPr>
      </w:pPr>
      <w:r>
        <w:t>The rules were inherently complex in their current state; and</w:t>
      </w:r>
    </w:p>
    <w:p w14:paraId="4FF6FA41" w14:textId="77777777" w:rsidR="00851B9C" w:rsidRDefault="00851B9C" w:rsidP="00851B9C">
      <w:pPr>
        <w:pStyle w:val="BoxText"/>
        <w:numPr>
          <w:ilvl w:val="0"/>
          <w:numId w:val="10"/>
        </w:numPr>
      </w:pPr>
      <w:r>
        <w:t xml:space="preserve">Concern that, due to the complexity, the rules would have no consistency in their application between tax administrations. </w:t>
      </w:r>
    </w:p>
    <w:p w14:paraId="50EB7344" w14:textId="77777777" w:rsidR="00851B9C" w:rsidRPr="00485F11" w:rsidRDefault="00851B9C" w:rsidP="00851B9C">
      <w:pPr>
        <w:pStyle w:val="Bullet"/>
        <w:spacing w:after="120" w:line="240" w:lineRule="auto"/>
      </w:pPr>
      <w:r w:rsidRPr="00485F11">
        <w:t>Marketing &amp; Distribution Safe Harbour</w:t>
      </w:r>
      <w:r>
        <w:t>:</w:t>
      </w:r>
    </w:p>
    <w:p w14:paraId="73B1E7DE" w14:textId="77777777" w:rsidR="00851B9C" w:rsidRDefault="00851B9C" w:rsidP="00851B9C">
      <w:pPr>
        <w:pStyle w:val="BoxText"/>
        <w:numPr>
          <w:ilvl w:val="0"/>
          <w:numId w:val="10"/>
        </w:numPr>
      </w:pPr>
      <w:r>
        <w:t xml:space="preserve">Comments were generally concerned on what set of metrics would be used, such as depreciation and </w:t>
      </w:r>
      <w:proofErr w:type="gramStart"/>
      <w:r>
        <w:t>payroll;</w:t>
      </w:r>
      <w:proofErr w:type="gramEnd"/>
    </w:p>
    <w:p w14:paraId="0B192CA2" w14:textId="77777777" w:rsidR="00851B9C" w:rsidRDefault="00851B9C" w:rsidP="00851B9C">
      <w:pPr>
        <w:pStyle w:val="Bullet"/>
        <w:spacing w:after="120" w:line="240" w:lineRule="auto"/>
      </w:pPr>
      <w:r w:rsidRPr="00485F11">
        <w:t>Elimination of Double Taxation</w:t>
      </w:r>
      <w:r>
        <w:t>:</w:t>
      </w:r>
    </w:p>
    <w:p w14:paraId="5FD1F56D" w14:textId="77777777" w:rsidR="00851B9C" w:rsidRDefault="00851B9C" w:rsidP="00851B9C">
      <w:pPr>
        <w:pStyle w:val="BoxText"/>
        <w:numPr>
          <w:ilvl w:val="0"/>
          <w:numId w:val="10"/>
        </w:numPr>
      </w:pPr>
      <w:r>
        <w:lastRenderedPageBreak/>
        <w:t xml:space="preserve">Discussions focused on the administrative method by which double taxation would be relieved. </w:t>
      </w:r>
    </w:p>
    <w:p w14:paraId="14C147BE" w14:textId="77777777" w:rsidR="00851B9C" w:rsidRPr="00485F11" w:rsidRDefault="00851B9C" w:rsidP="00851B9C">
      <w:pPr>
        <w:pStyle w:val="Bullet"/>
        <w:spacing w:after="120" w:line="240" w:lineRule="auto"/>
      </w:pPr>
      <w:r w:rsidRPr="00485F11">
        <w:t>Withholding Taxes</w:t>
      </w:r>
      <w:r>
        <w:t>:</w:t>
      </w:r>
    </w:p>
    <w:p w14:paraId="55EA0223" w14:textId="77777777" w:rsidR="00851B9C" w:rsidRDefault="00851B9C" w:rsidP="00851B9C">
      <w:pPr>
        <w:pStyle w:val="BoxText"/>
        <w:numPr>
          <w:ilvl w:val="0"/>
          <w:numId w:val="10"/>
        </w:numPr>
      </w:pPr>
      <w:r>
        <w:t>There is no consensus as to whether withholding taxes should be included in the Amount A calculations – with some countries noting their exclusion would allow double taxation while others noting that withholding taxes are a separate taxing right from Amount A.</w:t>
      </w:r>
    </w:p>
    <w:p w14:paraId="0B7FB0DC" w14:textId="3054AEC2" w:rsidR="009E3A6C" w:rsidRPr="007628FE" w:rsidRDefault="009E3A6C" w:rsidP="00EC0CFA"/>
    <w:p w14:paraId="0DC8B54A" w14:textId="77777777" w:rsidR="00B86EDA" w:rsidRPr="00811ACC" w:rsidRDefault="00B86EDA" w:rsidP="00D2676C"/>
    <w:sectPr w:rsidR="00B86EDA" w:rsidRPr="00811ACC" w:rsidSect="00B66300">
      <w:headerReference w:type="even" r:id="rId69"/>
      <w:headerReference w:type="default" r:id="rId70"/>
      <w:footerReference w:type="even" r:id="rId71"/>
      <w:footerReference w:type="default" r:id="rId72"/>
      <w:headerReference w:type="first" r:id="rId73"/>
      <w:footerReference w:type="first" r:id="rId74"/>
      <w:pgSz w:w="11906" w:h="16838" w:code="9"/>
      <w:pgMar w:top="2410"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781" w14:textId="77777777" w:rsidR="000E7514" w:rsidRDefault="000E7514">
      <w:pPr>
        <w:spacing w:before="0" w:after="0"/>
      </w:pPr>
      <w:r>
        <w:separator/>
      </w:r>
    </w:p>
  </w:endnote>
  <w:endnote w:type="continuationSeparator" w:id="0">
    <w:p w14:paraId="4BACF715" w14:textId="77777777" w:rsidR="000E7514" w:rsidRDefault="000E7514">
      <w:pPr>
        <w:spacing w:before="0" w:after="0"/>
      </w:pPr>
      <w:r>
        <w:continuationSeparator/>
      </w:r>
    </w:p>
  </w:endnote>
  <w:endnote w:type="continuationNotice" w:id="1">
    <w:p w14:paraId="36925806" w14:textId="77777777" w:rsidR="000E7514" w:rsidRDefault="000E75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37E1" w14:textId="77777777" w:rsidR="00C60F30" w:rsidRDefault="00C60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8586" w14:textId="77777777" w:rsidR="00C60F30" w:rsidRDefault="00C60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1D88" w14:textId="77777777" w:rsidR="00C60F30" w:rsidRDefault="00C60F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0161" w14:textId="77777777" w:rsidR="00C60F30" w:rsidRPr="00E77C89" w:rsidRDefault="00C60F30"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1E31" w14:textId="7DDE665B" w:rsidR="00C60F30" w:rsidRPr="008043EA" w:rsidRDefault="00C60F30" w:rsidP="0009151A">
    <w:r w:rsidRPr="00742366">
      <w:rPr>
        <w:noProof/>
      </w:rPr>
      <w:drawing>
        <wp:anchor distT="0" distB="0" distL="114300" distR="114300" simplePos="0" relativeHeight="251658241" behindDoc="1" locked="1" layoutInCell="1" allowOverlap="1" wp14:anchorId="5C29C757" wp14:editId="49D12BBF">
          <wp:simplePos x="0" y="0"/>
          <wp:positionH relativeFrom="margin">
            <wp:posOffset>5459095</wp:posOffset>
          </wp:positionH>
          <wp:positionV relativeFrom="page">
            <wp:posOffset>3280410</wp:posOffset>
          </wp:positionV>
          <wp:extent cx="7574280" cy="1043940"/>
          <wp:effectExtent l="762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788821BD" wp14:editId="19834A52">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6" name="Picture 3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2E78C0">
      <w:fldChar w:fldCharType="begin"/>
    </w:r>
    <w:r w:rsidR="002E78C0">
      <w:instrText>STYLEREF  "Heading 1"  \* MERGEFORMAT</w:instrText>
    </w:r>
    <w:r w:rsidR="002E78C0">
      <w:fldChar w:fldCharType="separate"/>
    </w:r>
    <w:r w:rsidR="002E78C0">
      <w:rPr>
        <w:noProof/>
      </w:rPr>
      <w:t>Executive Summary</w:t>
    </w:r>
    <w:r w:rsidR="002E78C0">
      <w:rPr>
        <w:noProof/>
      </w:rPr>
      <w:fldChar w:fldCharType="end"/>
    </w:r>
    <w:r>
      <w:t xml:space="preserve"> | </w:t>
    </w:r>
    <w:r>
      <w:fldChar w:fldCharType="begin"/>
    </w:r>
    <w:r>
      <w:instrText xml:space="preserve"> PAGE   \* MERGEFORMAT </w:instrText>
    </w:r>
    <w:r>
      <w:fldChar w:fldCharType="separate"/>
    </w:r>
    <w:r>
      <w:t>1</w:t>
    </w:r>
    <w:r>
      <w:fldChar w:fldCharType="end"/>
    </w:r>
  </w:p>
  <w:p w14:paraId="2C86E1D8" w14:textId="77777777" w:rsidR="00C60F30" w:rsidRPr="008043EA" w:rsidRDefault="00C60F30" w:rsidP="009927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FC59" w14:textId="77777777" w:rsidR="00C60F30" w:rsidRPr="00E77C89" w:rsidRDefault="00C60F30" w:rsidP="0017089D">
    <w:r>
      <w:fldChar w:fldCharType="begin"/>
    </w:r>
    <w:r>
      <w:instrText xml:space="preserve"> PAGE  \* Arabic  \* MERGEFORMAT </w:instrText>
    </w:r>
    <w:r>
      <w:fldChar w:fldCharType="separate"/>
    </w:r>
    <w:r>
      <w:t>6</w:t>
    </w:r>
    <w:r>
      <w:fldChar w:fldCharType="end"/>
    </w:r>
  </w:p>
  <w:p w14:paraId="7624CAEE" w14:textId="77777777" w:rsidR="00C60F30" w:rsidRDefault="00C60F3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43F5" w14:textId="5B739F33" w:rsidR="00C60F30" w:rsidRPr="00E13E90" w:rsidRDefault="00C60F30" w:rsidP="00E13E90">
    <w:pPr>
      <w:pStyle w:val="Footer"/>
    </w:pPr>
    <w:r w:rsidRPr="00742366">
      <w:drawing>
        <wp:anchor distT="0" distB="0" distL="114300" distR="114300" simplePos="0" relativeHeight="251658243" behindDoc="1" locked="1" layoutInCell="1" allowOverlap="1" wp14:anchorId="1580ADCE" wp14:editId="04987C06">
          <wp:simplePos x="0" y="0"/>
          <wp:positionH relativeFrom="margin">
            <wp:posOffset>5459095</wp:posOffset>
          </wp:positionH>
          <wp:positionV relativeFrom="page">
            <wp:posOffset>3280410</wp:posOffset>
          </wp:positionV>
          <wp:extent cx="7574280" cy="1043940"/>
          <wp:effectExtent l="762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8DAB0E4" wp14:editId="28C11C4E">
          <wp:extent cx="1324800" cy="201600"/>
          <wp:effectExtent l="0" t="0" r="0" b="8255"/>
          <wp:docPr id="232" name="Picture 23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2E78C0">
      <w:fldChar w:fldCharType="begin"/>
    </w:r>
    <w:r w:rsidR="002E78C0">
      <w:instrText>STYLEREF  "Heading 1"  \* MERGEFORMAT</w:instrText>
    </w:r>
    <w:r w:rsidR="002E78C0">
      <w:fldChar w:fldCharType="separate"/>
    </w:r>
    <w:r w:rsidR="002E78C0">
      <w:t>Options</w:t>
    </w:r>
    <w:r w:rsidR="002E78C0">
      <w:fldChar w:fldCharType="end"/>
    </w:r>
    <w:r>
      <w:t xml:space="preserve"> | </w:t>
    </w:r>
    <w:r>
      <w:rPr>
        <w:noProof w:val="0"/>
      </w:rPr>
      <w:fldChar w:fldCharType="begin"/>
    </w:r>
    <w:r>
      <w:instrText xml:space="preserve"> PAGE   \* MERGEFORMAT </w:instrText>
    </w:r>
    <w:r>
      <w:rPr>
        <w:noProof w:val="0"/>
      </w:rPr>
      <w:fldChar w:fldCharType="separate"/>
    </w:r>
    <w:r w:rsidR="00B33CC3">
      <w:t>22</w:t>
    </w:r>
    <w:r>
      <w:fldChar w:fldCharType="end"/>
    </w:r>
  </w:p>
  <w:p w14:paraId="09E7E05B" w14:textId="77777777" w:rsidR="00C60F30" w:rsidRDefault="00C60F3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5D25" w14:textId="77777777" w:rsidR="00C60F30" w:rsidRDefault="00C60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1647" w14:textId="77777777" w:rsidR="000E7514" w:rsidRDefault="000E7514">
      <w:pPr>
        <w:spacing w:before="0" w:after="0"/>
      </w:pPr>
      <w:r>
        <w:separator/>
      </w:r>
    </w:p>
  </w:footnote>
  <w:footnote w:type="continuationSeparator" w:id="0">
    <w:p w14:paraId="6405B909" w14:textId="77777777" w:rsidR="000E7514" w:rsidRDefault="000E7514">
      <w:pPr>
        <w:spacing w:before="0" w:after="0"/>
      </w:pPr>
      <w:r>
        <w:continuationSeparator/>
      </w:r>
    </w:p>
  </w:footnote>
  <w:footnote w:type="continuationNotice" w:id="1">
    <w:p w14:paraId="595F4C79" w14:textId="77777777" w:rsidR="000E7514" w:rsidRDefault="000E7514">
      <w:pPr>
        <w:spacing w:before="0" w:after="0"/>
      </w:pPr>
    </w:p>
  </w:footnote>
  <w:footnote w:id="2">
    <w:p w14:paraId="03BC0FC2" w14:textId="77777777" w:rsidR="00C60F30" w:rsidRPr="00837A3A" w:rsidRDefault="00C60F30" w:rsidP="00D07B39">
      <w:pPr>
        <w:pStyle w:val="FootnoteText"/>
      </w:pPr>
      <w:r w:rsidRPr="00837A3A">
        <w:rPr>
          <w:rStyle w:val="FootnoteReference"/>
        </w:rPr>
        <w:footnoteRef/>
      </w:r>
      <w:r w:rsidRPr="00837A3A">
        <w:t xml:space="preserve"> </w:t>
      </w:r>
      <w:r>
        <w:t>Organisation for Economic Co-operation and Development (2020), Public Consultation Document – Reports on the Pillar One and Pillar Two Blueprints 12 October 2020 – 14 December 2020</w:t>
      </w:r>
      <w:r w:rsidRPr="00837A3A">
        <w:t xml:space="preserve"> </w:t>
      </w:r>
    </w:p>
  </w:footnote>
  <w:footnote w:id="3">
    <w:p w14:paraId="60B547A3" w14:textId="77777777" w:rsidR="00C60F30" w:rsidRPr="00735179" w:rsidRDefault="00C60F30" w:rsidP="00D07B39">
      <w:pPr>
        <w:pStyle w:val="FootnoteText"/>
      </w:pPr>
      <w:r w:rsidRPr="00837A3A">
        <w:rPr>
          <w:rStyle w:val="FootnoteReference"/>
        </w:rPr>
        <w:footnoteRef/>
      </w:r>
      <w:r w:rsidRPr="00837A3A">
        <w:t xml:space="preserve"> </w:t>
      </w:r>
      <w:hyperlink w:history="1">
        <w:r w:rsidRPr="003D3E4D">
          <w:t xml:space="preserve"> </w:t>
        </w:r>
        <w:r w:rsidRPr="004C221A">
          <w:t>Organisation for Economic Co-operation and Development (2020), Tax Challenges Arising from Digitalisation – Economic Impact Assessment</w:t>
        </w:r>
        <w:r w:rsidRPr="00251EE1" w:rsidDel="0011523D">
          <w:rPr>
            <w:rStyle w:val="Hyperlink"/>
          </w:rPr>
          <w:t xml:space="preserve"> </w:t>
        </w:r>
      </w:hyperlink>
    </w:p>
  </w:footnote>
  <w:footnote w:id="4">
    <w:p w14:paraId="258A20F7" w14:textId="77777777" w:rsidR="00C60F30" w:rsidRPr="00837A3A" w:rsidRDefault="00C60F30" w:rsidP="00D07B39">
      <w:pPr>
        <w:pStyle w:val="FootnoteText"/>
      </w:pPr>
      <w:r w:rsidRPr="00735179">
        <w:rPr>
          <w:rStyle w:val="FootnoteReference"/>
        </w:rPr>
        <w:footnoteRef/>
      </w:r>
      <w:r w:rsidRPr="00735179">
        <w:t xml:space="preserve"> </w:t>
      </w:r>
      <w:r w:rsidRPr="004C221A">
        <w:t>Organisation for Economic Co-operation and Development</w:t>
      </w:r>
      <w:r w:rsidRPr="004C221A" w:rsidDel="004801A6">
        <w:t xml:space="preserve"> </w:t>
      </w:r>
      <w:r w:rsidRPr="004C221A">
        <w:t>(2021), Statement on a Two-Pillar Solution to Address the Tax Challenges Arising From the Digitalisation of the Economy, 1 July 2021</w:t>
      </w:r>
    </w:p>
  </w:footnote>
  <w:footnote w:id="5">
    <w:p w14:paraId="3F1F7B06" w14:textId="77777777" w:rsidR="00C60F30" w:rsidRPr="00837A3A" w:rsidRDefault="00C60F30" w:rsidP="00D07B39">
      <w:pPr>
        <w:pStyle w:val="FootnoteText"/>
      </w:pPr>
      <w:r w:rsidRPr="004C221A">
        <w:t>Organisation for Economic Co-operation and Development</w:t>
      </w:r>
      <w:r w:rsidRPr="004C221A" w:rsidDel="004801A6">
        <w:t xml:space="preserve"> </w:t>
      </w:r>
      <w:r w:rsidRPr="004C221A">
        <w:rPr>
          <w:szCs w:val="22"/>
        </w:rPr>
        <w:t xml:space="preserve">(2021), </w:t>
      </w:r>
      <w:r w:rsidRPr="004C221A">
        <w:t>Statement on a Two-Pillar Solution to Address the Tax Challenges Arising from the Digitalisation of the Economy, 8 October 2021</w:t>
      </w:r>
    </w:p>
  </w:footnote>
  <w:footnote w:id="6">
    <w:p w14:paraId="35BF601C" w14:textId="77777777" w:rsidR="00C60F30" w:rsidRDefault="00C60F30" w:rsidP="00D07B39">
      <w:pPr>
        <w:pStyle w:val="FootnoteText"/>
      </w:pPr>
      <w:r>
        <w:rPr>
          <w:rStyle w:val="FootnoteReference"/>
        </w:rPr>
        <w:footnoteRef/>
      </w:r>
      <w:r>
        <w:t xml:space="preserve"> Significant in this context means </w:t>
      </w:r>
      <w:r w:rsidRPr="004230A8">
        <w:t xml:space="preserve">a global parent entity with an annual global income of A$1 billion or more </w:t>
      </w:r>
      <w:r>
        <w:t>with</w:t>
      </w:r>
      <w:r w:rsidRPr="004230A8">
        <w:t xml:space="preserve"> related parties</w:t>
      </w:r>
      <w:r>
        <w:t xml:space="preserve">. Per </w:t>
      </w:r>
      <w:r w:rsidRPr="004C221A">
        <w:t>Australian Taxation Office (2021), Significant global entities – penalties</w:t>
      </w:r>
      <w:r>
        <w:t>.</w:t>
      </w:r>
    </w:p>
  </w:footnote>
  <w:footnote w:id="7">
    <w:p w14:paraId="09D6DE3A" w14:textId="77777777" w:rsidR="00C60F30" w:rsidRDefault="00C60F30" w:rsidP="00D07B39">
      <w:pPr>
        <w:pStyle w:val="FootnoteText"/>
      </w:pPr>
      <w:r>
        <w:rPr>
          <w:rStyle w:val="FootnoteReference"/>
        </w:rPr>
        <w:footnoteRef/>
      </w:r>
      <w:r>
        <w:t xml:space="preserve"> </w:t>
      </w:r>
      <w:r>
        <w:rPr>
          <w:rStyle w:val="Hyperlink"/>
          <w:rFonts w:cs="Calibri Light"/>
          <w:u w:val="none"/>
        </w:rPr>
        <w:t>Australian Taxation Office (2020), Tax Avoidance Taskforce highlights 2019-20</w:t>
      </w:r>
    </w:p>
  </w:footnote>
  <w:footnote w:id="8">
    <w:p w14:paraId="13181890" w14:textId="55D7F3AC" w:rsidR="00C60F30" w:rsidRDefault="00C60F30">
      <w:pPr>
        <w:pStyle w:val="FootnoteText"/>
      </w:pPr>
      <w:r>
        <w:rPr>
          <w:rStyle w:val="FootnoteReference"/>
        </w:rPr>
        <w:footnoteRef/>
      </w:r>
      <w:r>
        <w:t xml:space="preserve"> </w:t>
      </w:r>
      <w:hyperlink r:id="rId1" w:history="1">
        <w:r w:rsidRPr="0046598D">
          <w:rPr>
            <w:rStyle w:val="Hyperlink"/>
          </w:rPr>
          <w:t>Australian Government, Budget 2022-2,3 Budget Paper No. 2</w:t>
        </w:r>
      </w:hyperlink>
    </w:p>
  </w:footnote>
  <w:footnote w:id="9">
    <w:p w14:paraId="1E72F65A" w14:textId="77777777" w:rsidR="00C60F30" w:rsidRDefault="00C60F30">
      <w:pPr>
        <w:pStyle w:val="FootnoteText"/>
      </w:pPr>
      <w:r>
        <w:rPr>
          <w:rStyle w:val="FootnoteReference"/>
        </w:rPr>
        <w:footnoteRef/>
      </w:r>
      <w:r>
        <w:t xml:space="preserve"> </w:t>
      </w:r>
      <w:r w:rsidRPr="000005BA">
        <w:t>Organisation for Economic Co-operation and Development (2020), Tax Challenges Arising from Digitalisation – Economic Impact Assessment</w:t>
      </w:r>
      <w:r>
        <w:t xml:space="preserve"> </w:t>
      </w:r>
    </w:p>
  </w:footnote>
  <w:footnote w:id="10">
    <w:p w14:paraId="3B618A5A" w14:textId="77777777" w:rsidR="00C60F30" w:rsidRDefault="00C60F30">
      <w:pPr>
        <w:pStyle w:val="FootnoteText"/>
      </w:pPr>
      <w:r>
        <w:rPr>
          <w:rStyle w:val="FootnoteReference"/>
        </w:rPr>
        <w:footnoteRef/>
      </w:r>
      <w:r>
        <w:t xml:space="preserve"> </w:t>
      </w:r>
      <w:r w:rsidRPr="00A70B97">
        <w:t>Organisation</w:t>
      </w:r>
      <w:r w:rsidRPr="004C221A">
        <w:t xml:space="preserve"> for Economic Co-operation and Development</w:t>
      </w:r>
      <w:r w:rsidRPr="004C221A" w:rsidDel="004801A6">
        <w:t xml:space="preserve"> </w:t>
      </w:r>
      <w:r w:rsidRPr="004C221A">
        <w:rPr>
          <w:szCs w:val="22"/>
        </w:rPr>
        <w:t xml:space="preserve">(2021), </w:t>
      </w:r>
      <w:r w:rsidRPr="004C221A">
        <w:t>Statement on a Two-Pillar Solution to Address the Tax Challenges Arising from the Digitalisation of the Economy, 8 October 2021</w:t>
      </w:r>
    </w:p>
  </w:footnote>
  <w:footnote w:id="11">
    <w:p w14:paraId="28056641" w14:textId="77777777" w:rsidR="00C60F30" w:rsidRDefault="00C60F30" w:rsidP="00EC6C65">
      <w:pPr>
        <w:pStyle w:val="FootnoteText"/>
      </w:pPr>
      <w:r>
        <w:rPr>
          <w:rStyle w:val="FootnoteReference"/>
        </w:rPr>
        <w:footnoteRef/>
      </w:r>
      <w:r>
        <w:t xml:space="preserve"> </w:t>
      </w:r>
      <w:r w:rsidRPr="00735179">
        <w:t>Subject to any exclusions and reductions.</w:t>
      </w:r>
    </w:p>
  </w:footnote>
  <w:footnote w:id="12">
    <w:p w14:paraId="723090FF" w14:textId="77777777" w:rsidR="00C60F30" w:rsidRPr="00735179" w:rsidRDefault="00C60F30" w:rsidP="00EC6C65">
      <w:pPr>
        <w:pStyle w:val="FootnoteText"/>
      </w:pPr>
      <w:r w:rsidRPr="00735179">
        <w:rPr>
          <w:rStyle w:val="FootnoteReference"/>
        </w:rPr>
        <w:footnoteRef/>
      </w:r>
      <w:r w:rsidRPr="00735179">
        <w:t xml:space="preserve"> Subject to any exclusions and reductions.</w:t>
      </w:r>
    </w:p>
  </w:footnote>
  <w:footnote w:id="13">
    <w:p w14:paraId="4C37681E" w14:textId="77777777" w:rsidR="00C60F30" w:rsidRPr="00735179" w:rsidRDefault="00C60F30" w:rsidP="00923111">
      <w:pPr>
        <w:pStyle w:val="FootnoteText"/>
      </w:pPr>
      <w:r w:rsidRPr="00735179">
        <w:rPr>
          <w:rStyle w:val="FootnoteReference"/>
        </w:rPr>
        <w:footnoteRef/>
      </w:r>
      <w:r w:rsidRPr="00735179">
        <w:t xml:space="preserve"> Calculated on an adjusted nominal basis.</w:t>
      </w:r>
    </w:p>
  </w:footnote>
  <w:footnote w:id="14">
    <w:p w14:paraId="04A22CE1" w14:textId="77777777" w:rsidR="00C60F30" w:rsidRPr="00735179" w:rsidRDefault="00C60F30" w:rsidP="00DD2701">
      <w:pPr>
        <w:pStyle w:val="FootnoteText"/>
      </w:pPr>
    </w:p>
  </w:footnote>
  <w:footnote w:id="15">
    <w:p w14:paraId="5CA06F61" w14:textId="77777777" w:rsidR="00C60F30" w:rsidRPr="0072310B" w:rsidRDefault="00C60F30" w:rsidP="006E030F">
      <w:pPr>
        <w:pStyle w:val="FootnoteText"/>
      </w:pPr>
      <w:r w:rsidRPr="0072310B">
        <w:rPr>
          <w:rStyle w:val="FootnoteReference"/>
        </w:rPr>
        <w:footnoteRef/>
      </w:r>
      <w:r w:rsidRPr="0072310B">
        <w:rPr>
          <w:rStyle w:val="Hyperlink"/>
          <w:color w:val="auto"/>
          <w:u w:val="none"/>
        </w:rPr>
        <w:t>The OECD estimates are subject to a number of data and modelling caveats, and should be interpreted as illustrating the broad order of magnitude.</w:t>
      </w:r>
      <w:r w:rsidRPr="0072310B">
        <w:t xml:space="preserve"> </w:t>
      </w:r>
    </w:p>
  </w:footnote>
  <w:footnote w:id="16">
    <w:p w14:paraId="004911FF" w14:textId="57D02D11" w:rsidR="00261613" w:rsidRPr="0072310B" w:rsidRDefault="00261613" w:rsidP="00261613">
      <w:pPr>
        <w:pStyle w:val="FootnoteText"/>
      </w:pPr>
      <w:r w:rsidRPr="0072310B">
        <w:rPr>
          <w:rStyle w:val="FootnoteReference"/>
        </w:rPr>
        <w:footnoteRef/>
      </w:r>
      <w:r w:rsidRPr="0072310B">
        <w:t xml:space="preserve"> </w:t>
      </w:r>
      <w:hyperlink r:id="rId2" w:history="1">
        <w:r w:rsidRPr="0072310B">
          <w:rPr>
            <w:rStyle w:val="Hyperlink"/>
            <w:color w:val="auto"/>
            <w:u w:val="none"/>
          </w:rPr>
          <w:t>OECD (2020), Tax Challenges Arising from Digitalisation – Economic Impact Assessment, retrieved from www.oecd.org</w:t>
        </w:r>
        <w:r w:rsidRPr="0072310B" w:rsidDel="0011523D">
          <w:rPr>
            <w:rStyle w:val="Hyperlink"/>
            <w:color w:val="auto"/>
            <w:u w:val="none"/>
          </w:rPr>
          <w:t xml:space="preserve"> </w:t>
        </w:r>
      </w:hyperlink>
    </w:p>
  </w:footnote>
  <w:footnote w:id="17">
    <w:p w14:paraId="04FD4825" w14:textId="6E92B857" w:rsidR="00C60F30" w:rsidRPr="0072310B" w:rsidRDefault="00C60F30" w:rsidP="006E030F">
      <w:pPr>
        <w:spacing w:before="0" w:after="0"/>
        <w:ind w:left="142" w:hanging="142"/>
      </w:pPr>
      <w:r w:rsidRPr="0072310B">
        <w:rPr>
          <w:rStyle w:val="FootnoteReference"/>
        </w:rPr>
        <w:footnoteRef/>
      </w:r>
      <w:r w:rsidRPr="0072310B">
        <w:rPr>
          <w:rStyle w:val="Hyperlink"/>
          <w:color w:val="auto"/>
          <w:u w:val="none"/>
        </w:rPr>
        <w:t xml:space="preserve"> </w:t>
      </w:r>
      <w:hyperlink r:id="rId3" w:history="1">
        <w:r w:rsidRPr="0072310B">
          <w:rPr>
            <w:rStyle w:val="Hyperlink"/>
            <w:color w:val="auto"/>
            <w:sz w:val="20"/>
            <w:u w:val="none"/>
          </w:rPr>
          <w:t>OECD (2020), Tax Challenges Arising from Digitalisation – Economic Impact Assessment, retrieved from www.oecd.org</w:t>
        </w:r>
        <w:r w:rsidRPr="0072310B" w:rsidDel="0011523D">
          <w:rPr>
            <w:rStyle w:val="Hyperlink"/>
            <w:color w:val="auto"/>
            <w:sz w:val="20"/>
            <w:u w:val="none"/>
          </w:rPr>
          <w:t xml:space="preserve"> </w:t>
        </w:r>
      </w:hyperlink>
    </w:p>
  </w:footnote>
  <w:footnote w:id="18">
    <w:p w14:paraId="03C55DC8" w14:textId="77777777" w:rsidR="00C60F30" w:rsidRPr="00156453" w:rsidRDefault="00C60F30" w:rsidP="00DD2701">
      <w:pPr>
        <w:pStyle w:val="FootnoteText"/>
      </w:pPr>
      <w:r w:rsidRPr="00156453">
        <w:rPr>
          <w:rStyle w:val="FootnoteReference"/>
        </w:rPr>
        <w:footnoteRef/>
      </w:r>
      <w:r w:rsidRPr="00156453">
        <w:t xml:space="preserve"> </w:t>
      </w:r>
      <w:r w:rsidRPr="004C221A">
        <w:t>Organisation for Economic Co-operation and Development (2021), Brochure: Two-Pillar Solution to Address the Tax Challenges Arising from the Digitalisation of the Economy, 8 October 2021</w:t>
      </w:r>
    </w:p>
  </w:footnote>
  <w:footnote w:id="19">
    <w:p w14:paraId="45AB66D2" w14:textId="38FC56CF" w:rsidR="00C60F30" w:rsidRPr="00156453" w:rsidRDefault="00C60F30" w:rsidP="00DD2701">
      <w:pPr>
        <w:spacing w:before="0" w:after="0"/>
        <w:ind w:left="426" w:hanging="426"/>
      </w:pPr>
      <w:r w:rsidRPr="00156453">
        <w:rPr>
          <w:rStyle w:val="FootnoteReference"/>
        </w:rPr>
        <w:footnoteRef/>
      </w:r>
      <w:r w:rsidRPr="00156453">
        <w:rPr>
          <w:sz w:val="20"/>
        </w:rPr>
        <w:t xml:space="preserve"> </w:t>
      </w:r>
      <w:hyperlink r:id="rId4" w:history="1">
        <w:r w:rsidRPr="00046327">
          <w:t xml:space="preserve"> </w:t>
        </w:r>
        <w:r w:rsidRPr="00251EE1">
          <w:rPr>
            <w:sz w:val="20"/>
          </w:rPr>
          <w:t>Organisation for Economic Co-operation and Development (2020), Tax Challenges Arising from Digitalisation – Economic Impact Assessment</w:t>
        </w:r>
        <w:r w:rsidRPr="00251EE1" w:rsidDel="0011523D">
          <w:t xml:space="preserve"> </w:t>
        </w:r>
      </w:hyperlink>
    </w:p>
  </w:footnote>
  <w:footnote w:id="20">
    <w:p w14:paraId="49421E2D" w14:textId="77777777" w:rsidR="00CF1B57" w:rsidRPr="000B0324" w:rsidRDefault="00CF1B57" w:rsidP="00CF1B57">
      <w:pPr>
        <w:pStyle w:val="FootnoteText"/>
      </w:pPr>
      <w:r>
        <w:rPr>
          <w:rStyle w:val="FootnoteReference"/>
        </w:rPr>
        <w:footnoteRef/>
      </w:r>
      <w:r>
        <w:t xml:space="preserve"> The Business Advisory Group (BAG) is a subgroup of </w:t>
      </w:r>
      <w:r>
        <w:rPr>
          <w:i/>
          <w:iCs/>
        </w:rPr>
        <w:t xml:space="preserve">Business at OECD (BIAC), </w:t>
      </w:r>
      <w:r>
        <w:t>an international business association that advises government policy makers at the OECD.</w:t>
      </w:r>
    </w:p>
  </w:footnote>
  <w:footnote w:id="21">
    <w:p w14:paraId="1DE011CC" w14:textId="77777777" w:rsidR="000D4906" w:rsidRDefault="000D4906" w:rsidP="000D4906">
      <w:pPr>
        <w:pStyle w:val="FootnoteText"/>
      </w:pPr>
      <w:r>
        <w:rPr>
          <w:rStyle w:val="FootnoteReference"/>
        </w:rPr>
        <w:footnoteRef/>
      </w:r>
      <w:r>
        <w:t xml:space="preserve"> </w:t>
      </w:r>
      <w:r w:rsidRPr="004C221A">
        <w:t>Organisation for Economic Co-operation and Development (2022), Progress Report on Amount A of Pillar One</w:t>
      </w:r>
      <w:r>
        <w:t xml:space="preserve"> </w:t>
      </w:r>
    </w:p>
  </w:footnote>
  <w:footnote w:id="22">
    <w:p w14:paraId="288EA83E" w14:textId="77777777" w:rsidR="00131165" w:rsidRPr="00156453" w:rsidRDefault="00131165" w:rsidP="00131165">
      <w:pPr>
        <w:pStyle w:val="FootnoteText"/>
      </w:pPr>
      <w:r w:rsidRPr="00156453">
        <w:rPr>
          <w:rStyle w:val="FootnoteReference"/>
        </w:rPr>
        <w:footnoteRef/>
      </w:r>
      <w:r w:rsidRPr="00156453">
        <w:t xml:space="preserve"> </w:t>
      </w:r>
      <w:r w:rsidRPr="004C221A">
        <w:t>Commonwealth of Australia, The Treasury (2018), The digital economy and Australia’s corporate tax system</w:t>
      </w:r>
      <w:r w:rsidRPr="00156453">
        <w:rPr>
          <w:rStyle w:val="Hyperlink"/>
          <w:color w:val="auto"/>
          <w:u w:val="none"/>
        </w:rPr>
        <w:t xml:space="preserve"> </w:t>
      </w:r>
    </w:p>
  </w:footnote>
  <w:footnote w:id="23">
    <w:p w14:paraId="576D5419" w14:textId="77777777" w:rsidR="00410D80" w:rsidRDefault="00410D80"/>
  </w:footnote>
  <w:footnote w:id="24">
    <w:p w14:paraId="017D2C52" w14:textId="77777777" w:rsidR="00C60F30" w:rsidRPr="002335FD" w:rsidRDefault="00C60F30" w:rsidP="00837A3A">
      <w:pPr>
        <w:pStyle w:val="FootnoteText"/>
      </w:pPr>
      <w:r w:rsidRPr="002335FD">
        <w:rPr>
          <w:rStyle w:val="FootnoteReference"/>
        </w:rPr>
        <w:footnoteRef/>
      </w:r>
      <w:r w:rsidRPr="002335FD">
        <w:t xml:space="preserve"> </w:t>
      </w:r>
      <w:hyperlink w:history="1">
        <w:r w:rsidRPr="00EB17EE">
          <w:rPr>
            <w:rStyle w:val="Hyperlink"/>
          </w:rPr>
          <w:t xml:space="preserve"> Organisation for Economic Co-operation and Development</w:t>
        </w:r>
        <w:r w:rsidRPr="00EB17EE" w:rsidDel="004801A6">
          <w:rPr>
            <w:rStyle w:val="Hyperlink"/>
          </w:rPr>
          <w:t xml:space="preserve"> </w:t>
        </w:r>
        <w:r w:rsidRPr="00EB17EE">
          <w:rPr>
            <w:rStyle w:val="Hyperlink"/>
            <w:szCs w:val="22"/>
          </w:rPr>
          <w:t xml:space="preserve">(2021), </w:t>
        </w:r>
        <w:r w:rsidRPr="00EB17EE">
          <w:rPr>
            <w:rStyle w:val="Hyperlink"/>
          </w:rPr>
          <w:t>Statement on a Two-Pillar Solution to Address the Tax Challenges Arising from the Digitalisation of the Economy, 8 October 2021</w:t>
        </w:r>
      </w:hyperlink>
    </w:p>
  </w:footnote>
  <w:footnote w:id="25">
    <w:p w14:paraId="3A19EFF9" w14:textId="77777777" w:rsidR="00C60F30" w:rsidRPr="00976BFB" w:rsidRDefault="00C60F30" w:rsidP="00837A3A">
      <w:pPr>
        <w:pStyle w:val="FootnoteText"/>
      </w:pPr>
      <w:r w:rsidRPr="00976BFB">
        <w:rPr>
          <w:rStyle w:val="FootnoteReference"/>
        </w:rPr>
        <w:footnoteRef/>
      </w:r>
      <w:r w:rsidRPr="00976BFB">
        <w:t xml:space="preserve"> </w:t>
      </w:r>
      <w:bookmarkStart w:id="131" w:name="_Hlk92712292"/>
      <w:r w:rsidRPr="004C221A">
        <w:t>Organisation for Economic Co-operation and Development</w:t>
      </w:r>
      <w:r w:rsidRPr="004C221A" w:rsidDel="004801A6">
        <w:t xml:space="preserve"> </w:t>
      </w:r>
      <w:r w:rsidRPr="004C221A">
        <w:rPr>
          <w:szCs w:val="22"/>
        </w:rPr>
        <w:t xml:space="preserve">(2021), </w:t>
      </w:r>
      <w:r w:rsidRPr="004C221A">
        <w:t>Statement on a Two-Pillar Solution to Address the Tax Challenges Arising from the Digitalisation of the Economy, 8 October 2021</w:t>
      </w:r>
      <w:bookmarkEnd w:id="131"/>
    </w:p>
  </w:footnote>
  <w:footnote w:id="26">
    <w:p w14:paraId="3DAD68FE" w14:textId="77777777" w:rsidR="00DD1A1F" w:rsidRDefault="00DD1A1F" w:rsidP="00DD1A1F">
      <w:pPr>
        <w:pStyle w:val="FootnoteText"/>
      </w:pPr>
      <w:r>
        <w:rPr>
          <w:rStyle w:val="FootnoteReference"/>
        </w:rPr>
        <w:footnoteRef/>
      </w:r>
      <w:r>
        <w:t xml:space="preserve"> </w:t>
      </w:r>
      <w:r w:rsidRPr="004C221A">
        <w:t>Organisation for Economic Co-operation and Development (2020), Tax Challenges Arising from Digitalisation – Report on Pillar One Blueprint</w:t>
      </w:r>
    </w:p>
  </w:footnote>
  <w:footnote w:id="27">
    <w:p w14:paraId="40A1B8DB" w14:textId="77777777" w:rsidR="00DD1A1F" w:rsidRDefault="00DD1A1F" w:rsidP="00DD1A1F">
      <w:pPr>
        <w:pStyle w:val="FootnoteText"/>
      </w:pPr>
      <w:r>
        <w:rPr>
          <w:rStyle w:val="FootnoteReference"/>
        </w:rPr>
        <w:footnoteRef/>
      </w:r>
      <w:r>
        <w:t xml:space="preserve"> </w:t>
      </w:r>
      <w:r w:rsidRPr="004C221A">
        <w:t>Organisation for Economic Co-operation and Development (2020), Tax Challenges Arising from Digitalisation – Report on Pillar Two Blueprint</w:t>
      </w:r>
    </w:p>
  </w:footnote>
  <w:footnote w:id="28">
    <w:p w14:paraId="0D60E8D0" w14:textId="77777777" w:rsidR="00EC0CFA" w:rsidRDefault="00EC0CFA" w:rsidP="00EC0CFA">
      <w:pPr>
        <w:pStyle w:val="FootnoteText"/>
      </w:pPr>
      <w:r>
        <w:rPr>
          <w:rStyle w:val="FootnoteReference"/>
        </w:rPr>
        <w:footnoteRef/>
      </w:r>
      <w:r>
        <w:t xml:space="preserve"> </w:t>
      </w:r>
      <w:r w:rsidRPr="004C221A">
        <w:t>Organisation for Economic Co-operation and Development (2022), Progress Report on Amount A of Pillar One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B29E" w14:textId="77777777" w:rsidR="00C60F30" w:rsidRDefault="00C60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2FB0" w14:textId="77777777" w:rsidR="00C60F30" w:rsidRDefault="00C60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E24B" w14:textId="77777777" w:rsidR="00C60F30" w:rsidRDefault="00C60F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5199" w14:textId="77777777" w:rsidR="00C60F30" w:rsidRPr="001F3912" w:rsidRDefault="00C60F30"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7C4D" w14:textId="77777777" w:rsidR="00C60F30" w:rsidRPr="001F3912" w:rsidRDefault="00C60F30" w:rsidP="001708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AFC2" w14:textId="77777777" w:rsidR="00C60F30" w:rsidRPr="001F3912" w:rsidRDefault="00C60F30" w:rsidP="0017089D">
    <w:r>
      <w:fldChar w:fldCharType="begin"/>
    </w:r>
    <w:r>
      <w:instrText xml:space="preserve"> macrobutton nomacro [Click and add Publication Title] </w:instrText>
    </w:r>
    <w:r>
      <w:fldChar w:fldCharType="end"/>
    </w:r>
  </w:p>
  <w:p w14:paraId="59069079" w14:textId="77777777" w:rsidR="00C60F30" w:rsidRDefault="00C60F3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096F" w14:textId="77777777" w:rsidR="00C60F30" w:rsidRPr="00963E8D" w:rsidRDefault="00C60F30" w:rsidP="00963E8D">
    <w:pPr>
      <w:pStyle w:val="Header"/>
    </w:pPr>
    <w:r>
      <w:rPr>
        <w:noProof/>
      </w:rPr>
      <w:drawing>
        <wp:anchor distT="0" distB="0" distL="114300" distR="114300" simplePos="0" relativeHeight="251658242" behindDoc="1" locked="1" layoutInCell="1" allowOverlap="1" wp14:anchorId="5CC6EC9A" wp14:editId="566FAE5B">
          <wp:simplePos x="0" y="0"/>
          <wp:positionH relativeFrom="page">
            <wp:align>center</wp:align>
          </wp:positionH>
          <wp:positionV relativeFrom="page">
            <wp:align>top</wp:align>
          </wp:positionV>
          <wp:extent cx="7570800" cy="1044000"/>
          <wp:effectExtent l="0" t="0" r="0" b="381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p w14:paraId="55CBBEC4" w14:textId="77777777" w:rsidR="00C60F30" w:rsidRDefault="00C60F3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B066" w14:textId="77777777" w:rsidR="00C60F30" w:rsidRDefault="00C60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C2"/>
    <w:multiLevelType w:val="hybridMultilevel"/>
    <w:tmpl w:val="3B209F06"/>
    <w:lvl w:ilvl="0" w:tplc="30EC4D7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22023"/>
    <w:multiLevelType w:val="hybridMultilevel"/>
    <w:tmpl w:val="F244AD44"/>
    <w:lvl w:ilvl="0" w:tplc="4B3A48CA">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9942EC8"/>
    <w:multiLevelType w:val="multilevel"/>
    <w:tmpl w:val="57000EF8"/>
    <w:lvl w:ilvl="0">
      <w:numFmt w:val="decimal"/>
      <w:lvlText w:val="•"/>
      <w:lvlJc w:val="left"/>
      <w:pPr>
        <w:tabs>
          <w:tab w:val="num" w:pos="520"/>
        </w:tabs>
        <w:ind w:left="520" w:hanging="520"/>
      </w:pPr>
      <w:rPr>
        <w:rFonts w:ascii="Times New Roman" w:hAnsi="Times New Roman" w:cs="Times New Roman"/>
        <w:color w:val="auto"/>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82775B"/>
    <w:multiLevelType w:val="multilevel"/>
    <w:tmpl w:val="F6049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9" w15:restartNumberingAfterBreak="0">
    <w:nsid w:val="219A5B5B"/>
    <w:multiLevelType w:val="multilevel"/>
    <w:tmpl w:val="0652F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4C17B4"/>
    <w:multiLevelType w:val="hybridMultilevel"/>
    <w:tmpl w:val="761460B2"/>
    <w:lvl w:ilvl="0" w:tplc="52D2BD0E">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676638"/>
    <w:multiLevelType w:val="multilevel"/>
    <w:tmpl w:val="32F2C594"/>
    <w:lvl w:ilvl="0">
      <w:start w:val="1"/>
      <w:numFmt w:val="bullet"/>
      <w:lvlText w:val="•"/>
      <w:lvlJc w:val="left"/>
      <w:pPr>
        <w:tabs>
          <w:tab w:val="num" w:pos="614"/>
        </w:tabs>
        <w:ind w:left="614" w:hanging="614"/>
      </w:pPr>
      <w:rPr>
        <w:rFonts w:ascii="Times New Roman" w:hAnsi="Times New Roman" w:cs="Times New Roman"/>
      </w:rPr>
    </w:lvl>
    <w:lvl w:ilvl="1">
      <w:start w:val="1"/>
      <w:numFmt w:val="bullet"/>
      <w:lvlText w:val="–"/>
      <w:lvlJc w:val="left"/>
      <w:pPr>
        <w:tabs>
          <w:tab w:val="num" w:pos="1228"/>
        </w:tabs>
        <w:ind w:left="1228" w:hanging="614"/>
      </w:pPr>
      <w:rPr>
        <w:rFonts w:ascii="Times New Roman" w:hAnsi="Times New Roman" w:cs="Times New Roman"/>
      </w:rPr>
    </w:lvl>
    <w:lvl w:ilvl="2">
      <w:start w:val="1"/>
      <w:numFmt w:val="bulle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8896337"/>
    <w:multiLevelType w:val="hybridMultilevel"/>
    <w:tmpl w:val="155CE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B7F02B7"/>
    <w:multiLevelType w:val="hybridMultilevel"/>
    <w:tmpl w:val="8A185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0D2021"/>
    <w:multiLevelType w:val="multilevel"/>
    <w:tmpl w:val="72F8140E"/>
    <w:numStyleLink w:val="OutlineList"/>
  </w:abstractNum>
  <w:abstractNum w:abstractNumId="19" w15:restartNumberingAfterBreak="0">
    <w:nsid w:val="511268FA"/>
    <w:multiLevelType w:val="hybridMultilevel"/>
    <w:tmpl w:val="84844760"/>
    <w:lvl w:ilvl="0" w:tplc="1D3CF682">
      <w:numFmt w:val="bullet"/>
      <w:lvlText w:val="-"/>
      <w:lvlJc w:val="left"/>
      <w:pPr>
        <w:ind w:left="720" w:hanging="360"/>
      </w:pPr>
      <w:rPr>
        <w:rFonts w:ascii="Calibri Light" w:eastAsia="Times New Roman"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610AE8"/>
    <w:multiLevelType w:val="hybridMultilevel"/>
    <w:tmpl w:val="79145C3C"/>
    <w:lvl w:ilvl="0" w:tplc="AFACE6D8">
      <w:start w:val="1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7AF2AFC"/>
    <w:multiLevelType w:val="hybridMultilevel"/>
    <w:tmpl w:val="42484792"/>
    <w:lvl w:ilvl="0" w:tplc="21DEBAD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AF5ACA"/>
    <w:multiLevelType w:val="hybridMultilevel"/>
    <w:tmpl w:val="20F47586"/>
    <w:lvl w:ilvl="0" w:tplc="7B3411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2C0403"/>
    <w:multiLevelType w:val="hybridMultilevel"/>
    <w:tmpl w:val="6C3A7F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C3040B8"/>
    <w:multiLevelType w:val="hybridMultilevel"/>
    <w:tmpl w:val="78A24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B463F2"/>
    <w:multiLevelType w:val="multilevel"/>
    <w:tmpl w:val="B4DCFCC2"/>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AE508C6"/>
    <w:multiLevelType w:val="multilevel"/>
    <w:tmpl w:val="57000EF8"/>
    <w:lvl w:ilvl="0">
      <w:numFmt w:val="decimal"/>
      <w:lvlText w:val="•"/>
      <w:lvlJc w:val="left"/>
      <w:pPr>
        <w:tabs>
          <w:tab w:val="num" w:pos="520"/>
        </w:tabs>
        <w:ind w:left="520" w:hanging="520"/>
      </w:pPr>
      <w:rPr>
        <w:rFonts w:ascii="Times New Roman" w:hAnsi="Times New Roman" w:cs="Times New Roman"/>
        <w:color w:val="auto"/>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397749398">
    <w:abstractNumId w:val="13"/>
  </w:num>
  <w:num w:numId="2" w16cid:durableId="2067531150">
    <w:abstractNumId w:val="2"/>
  </w:num>
  <w:num w:numId="3" w16cid:durableId="1229924930">
    <w:abstractNumId w:val="15"/>
  </w:num>
  <w:num w:numId="4" w16cid:durableId="588467427">
    <w:abstractNumId w:val="5"/>
  </w:num>
  <w:num w:numId="5" w16cid:durableId="624504670">
    <w:abstractNumId w:val="8"/>
  </w:num>
  <w:num w:numId="6" w16cid:durableId="1150752866">
    <w:abstractNumId w:val="10"/>
  </w:num>
  <w:num w:numId="7" w16cid:durableId="2101026270">
    <w:abstractNumId w:val="14"/>
  </w:num>
  <w:num w:numId="8" w16cid:durableId="660354507">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8364665">
    <w:abstractNumId w:val="12"/>
  </w:num>
  <w:num w:numId="10" w16cid:durableId="1816289207">
    <w:abstractNumId w:val="11"/>
  </w:num>
  <w:num w:numId="11" w16cid:durableId="470443429">
    <w:abstractNumId w:val="1"/>
  </w:num>
  <w:num w:numId="12" w16cid:durableId="1118110643">
    <w:abstractNumId w:val="7"/>
  </w:num>
  <w:num w:numId="13" w16cid:durableId="193347759">
    <w:abstractNumId w:val="18"/>
  </w:num>
  <w:num w:numId="14" w16cid:durableId="604729757">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5" w16cid:durableId="106507559">
    <w:abstractNumId w:val="4"/>
  </w:num>
  <w:num w:numId="16" w16cid:durableId="1989287948">
    <w:abstractNumId w:val="28"/>
  </w:num>
  <w:num w:numId="17" w16cid:durableId="1212233009">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083561">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16cid:durableId="1854493272">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16cid:durableId="1895700449">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192813778">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3591192">
    <w:abstractNumId w:val="19"/>
  </w:num>
  <w:num w:numId="23" w16cid:durableId="914360863">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16cid:durableId="453257478">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990591688">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16cid:durableId="654257673">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16cid:durableId="838884124">
    <w:abstractNumId w:val="17"/>
  </w:num>
  <w:num w:numId="28" w16cid:durableId="43144557">
    <w:abstractNumId w:val="16"/>
  </w:num>
  <w:num w:numId="29" w16cid:durableId="1921255783">
    <w:abstractNumId w:val="21"/>
  </w:num>
  <w:num w:numId="30" w16cid:durableId="1951471325">
    <w:abstractNumId w:val="24"/>
  </w:num>
  <w:num w:numId="31" w16cid:durableId="1051998822">
    <w:abstractNumId w:val="6"/>
  </w:num>
  <w:num w:numId="32" w16cid:durableId="779373721">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1757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995518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5072123">
    <w:abstractNumId w:val="0"/>
  </w:num>
  <w:num w:numId="36" w16cid:durableId="109208205">
    <w:abstractNumId w:val="22"/>
  </w:num>
  <w:num w:numId="37" w16cid:durableId="398015461">
    <w:abstractNumId w:val="9"/>
  </w:num>
  <w:num w:numId="38" w16cid:durableId="183059558">
    <w:abstractNumId w:val="20"/>
  </w:num>
  <w:num w:numId="39" w16cid:durableId="1669552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9250646">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1" w16cid:durableId="1395853659">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0B"/>
    <w:rsid w:val="00000108"/>
    <w:rsid w:val="000002D3"/>
    <w:rsid w:val="000002F2"/>
    <w:rsid w:val="000005BA"/>
    <w:rsid w:val="00000B3F"/>
    <w:rsid w:val="00000E94"/>
    <w:rsid w:val="0000121B"/>
    <w:rsid w:val="00001656"/>
    <w:rsid w:val="00001B90"/>
    <w:rsid w:val="00002021"/>
    <w:rsid w:val="0000253A"/>
    <w:rsid w:val="00002966"/>
    <w:rsid w:val="00002A6D"/>
    <w:rsid w:val="00002AC8"/>
    <w:rsid w:val="00002AF6"/>
    <w:rsid w:val="00002BE4"/>
    <w:rsid w:val="00002F16"/>
    <w:rsid w:val="000031E2"/>
    <w:rsid w:val="00003405"/>
    <w:rsid w:val="000037B9"/>
    <w:rsid w:val="000038CF"/>
    <w:rsid w:val="00003B92"/>
    <w:rsid w:val="00003BD2"/>
    <w:rsid w:val="00003DE3"/>
    <w:rsid w:val="00003FB6"/>
    <w:rsid w:val="00004435"/>
    <w:rsid w:val="00005122"/>
    <w:rsid w:val="000059CC"/>
    <w:rsid w:val="000059ED"/>
    <w:rsid w:val="00005BC4"/>
    <w:rsid w:val="00005F0B"/>
    <w:rsid w:val="000063C8"/>
    <w:rsid w:val="000064C5"/>
    <w:rsid w:val="00006AC1"/>
    <w:rsid w:val="00006F63"/>
    <w:rsid w:val="0000712E"/>
    <w:rsid w:val="00007531"/>
    <w:rsid w:val="000075BA"/>
    <w:rsid w:val="00010713"/>
    <w:rsid w:val="00010D83"/>
    <w:rsid w:val="00011111"/>
    <w:rsid w:val="00011725"/>
    <w:rsid w:val="00011972"/>
    <w:rsid w:val="00011C0F"/>
    <w:rsid w:val="00011D2B"/>
    <w:rsid w:val="00011FC6"/>
    <w:rsid w:val="00011FD3"/>
    <w:rsid w:val="00012346"/>
    <w:rsid w:val="00012C62"/>
    <w:rsid w:val="00012E96"/>
    <w:rsid w:val="0001302C"/>
    <w:rsid w:val="000136AD"/>
    <w:rsid w:val="00013E3A"/>
    <w:rsid w:val="00013E89"/>
    <w:rsid w:val="000144C8"/>
    <w:rsid w:val="00014714"/>
    <w:rsid w:val="00014DD4"/>
    <w:rsid w:val="00014DFF"/>
    <w:rsid w:val="00014E2A"/>
    <w:rsid w:val="00015160"/>
    <w:rsid w:val="000153F2"/>
    <w:rsid w:val="0001546C"/>
    <w:rsid w:val="000154CE"/>
    <w:rsid w:val="000156C3"/>
    <w:rsid w:val="00015B3B"/>
    <w:rsid w:val="00015C22"/>
    <w:rsid w:val="00015C99"/>
    <w:rsid w:val="00015D79"/>
    <w:rsid w:val="00016540"/>
    <w:rsid w:val="00016A13"/>
    <w:rsid w:val="00016A15"/>
    <w:rsid w:val="00016A88"/>
    <w:rsid w:val="00016F92"/>
    <w:rsid w:val="0001701D"/>
    <w:rsid w:val="000172DB"/>
    <w:rsid w:val="000172FB"/>
    <w:rsid w:val="00017305"/>
    <w:rsid w:val="0001779D"/>
    <w:rsid w:val="00017DF4"/>
    <w:rsid w:val="00020385"/>
    <w:rsid w:val="000208D3"/>
    <w:rsid w:val="00020BE2"/>
    <w:rsid w:val="00020D06"/>
    <w:rsid w:val="00021199"/>
    <w:rsid w:val="00021680"/>
    <w:rsid w:val="00021705"/>
    <w:rsid w:val="00021AD3"/>
    <w:rsid w:val="00021C90"/>
    <w:rsid w:val="00021D83"/>
    <w:rsid w:val="00021E5D"/>
    <w:rsid w:val="00021F33"/>
    <w:rsid w:val="00022166"/>
    <w:rsid w:val="000221D8"/>
    <w:rsid w:val="00022350"/>
    <w:rsid w:val="0002236D"/>
    <w:rsid w:val="000233A9"/>
    <w:rsid w:val="000234BB"/>
    <w:rsid w:val="0002375D"/>
    <w:rsid w:val="000237A6"/>
    <w:rsid w:val="00023844"/>
    <w:rsid w:val="00023A76"/>
    <w:rsid w:val="00023F25"/>
    <w:rsid w:val="00023F82"/>
    <w:rsid w:val="00024281"/>
    <w:rsid w:val="0002458A"/>
    <w:rsid w:val="00025036"/>
    <w:rsid w:val="00025088"/>
    <w:rsid w:val="000251AF"/>
    <w:rsid w:val="00025361"/>
    <w:rsid w:val="0002544D"/>
    <w:rsid w:val="00025D52"/>
    <w:rsid w:val="00025D75"/>
    <w:rsid w:val="00025ECE"/>
    <w:rsid w:val="000263CF"/>
    <w:rsid w:val="00026BED"/>
    <w:rsid w:val="00026DFD"/>
    <w:rsid w:val="00026FF6"/>
    <w:rsid w:val="000270C3"/>
    <w:rsid w:val="00027236"/>
    <w:rsid w:val="0002731D"/>
    <w:rsid w:val="00027AD0"/>
    <w:rsid w:val="00027C2F"/>
    <w:rsid w:val="00027EC2"/>
    <w:rsid w:val="00027EF5"/>
    <w:rsid w:val="000302B7"/>
    <w:rsid w:val="00030388"/>
    <w:rsid w:val="00030599"/>
    <w:rsid w:val="00030612"/>
    <w:rsid w:val="00030A8E"/>
    <w:rsid w:val="000310C6"/>
    <w:rsid w:val="00031460"/>
    <w:rsid w:val="00031DC4"/>
    <w:rsid w:val="00031E0D"/>
    <w:rsid w:val="00032129"/>
    <w:rsid w:val="000323FA"/>
    <w:rsid w:val="00032B62"/>
    <w:rsid w:val="00033503"/>
    <w:rsid w:val="00033C4F"/>
    <w:rsid w:val="00033E9A"/>
    <w:rsid w:val="00033EBE"/>
    <w:rsid w:val="00033F7A"/>
    <w:rsid w:val="00034345"/>
    <w:rsid w:val="0003461A"/>
    <w:rsid w:val="00034C48"/>
    <w:rsid w:val="00034DD1"/>
    <w:rsid w:val="00035228"/>
    <w:rsid w:val="0003555F"/>
    <w:rsid w:val="000357E9"/>
    <w:rsid w:val="00035CA9"/>
    <w:rsid w:val="00035D76"/>
    <w:rsid w:val="0003639D"/>
    <w:rsid w:val="00036618"/>
    <w:rsid w:val="000366F4"/>
    <w:rsid w:val="00036AC0"/>
    <w:rsid w:val="000371D5"/>
    <w:rsid w:val="00037349"/>
    <w:rsid w:val="00037B9E"/>
    <w:rsid w:val="00037DF7"/>
    <w:rsid w:val="0004026A"/>
    <w:rsid w:val="00040327"/>
    <w:rsid w:val="00040492"/>
    <w:rsid w:val="00041027"/>
    <w:rsid w:val="000410AB"/>
    <w:rsid w:val="00041474"/>
    <w:rsid w:val="00041A8B"/>
    <w:rsid w:val="000422C5"/>
    <w:rsid w:val="0004237C"/>
    <w:rsid w:val="00042435"/>
    <w:rsid w:val="0004274D"/>
    <w:rsid w:val="00042750"/>
    <w:rsid w:val="0004275C"/>
    <w:rsid w:val="000427AB"/>
    <w:rsid w:val="000428C3"/>
    <w:rsid w:val="00042923"/>
    <w:rsid w:val="000429F9"/>
    <w:rsid w:val="00042EB6"/>
    <w:rsid w:val="00042F8E"/>
    <w:rsid w:val="0004342A"/>
    <w:rsid w:val="0004357A"/>
    <w:rsid w:val="000435D6"/>
    <w:rsid w:val="000436A0"/>
    <w:rsid w:val="00043A3B"/>
    <w:rsid w:val="00043C35"/>
    <w:rsid w:val="00043FE9"/>
    <w:rsid w:val="00044584"/>
    <w:rsid w:val="00044716"/>
    <w:rsid w:val="00044AE0"/>
    <w:rsid w:val="00044AE7"/>
    <w:rsid w:val="00044C0A"/>
    <w:rsid w:val="00044CE3"/>
    <w:rsid w:val="00045206"/>
    <w:rsid w:val="0004531E"/>
    <w:rsid w:val="00045415"/>
    <w:rsid w:val="000456B2"/>
    <w:rsid w:val="00045E4E"/>
    <w:rsid w:val="000460AE"/>
    <w:rsid w:val="00046327"/>
    <w:rsid w:val="000465F4"/>
    <w:rsid w:val="00046615"/>
    <w:rsid w:val="00046848"/>
    <w:rsid w:val="00046B2C"/>
    <w:rsid w:val="00046E4B"/>
    <w:rsid w:val="00047221"/>
    <w:rsid w:val="000472EA"/>
    <w:rsid w:val="00047338"/>
    <w:rsid w:val="000474F5"/>
    <w:rsid w:val="00050246"/>
    <w:rsid w:val="00050543"/>
    <w:rsid w:val="00050A77"/>
    <w:rsid w:val="00050C6E"/>
    <w:rsid w:val="00050D1D"/>
    <w:rsid w:val="00051258"/>
    <w:rsid w:val="00051398"/>
    <w:rsid w:val="00051510"/>
    <w:rsid w:val="0005197E"/>
    <w:rsid w:val="00051D60"/>
    <w:rsid w:val="00051E42"/>
    <w:rsid w:val="00051F9D"/>
    <w:rsid w:val="0005278D"/>
    <w:rsid w:val="000527EB"/>
    <w:rsid w:val="00052900"/>
    <w:rsid w:val="00052AB5"/>
    <w:rsid w:val="0005350F"/>
    <w:rsid w:val="000539DA"/>
    <w:rsid w:val="00053EC0"/>
    <w:rsid w:val="0005437B"/>
    <w:rsid w:val="000545E8"/>
    <w:rsid w:val="0005509D"/>
    <w:rsid w:val="000552D3"/>
    <w:rsid w:val="000557DD"/>
    <w:rsid w:val="0005582B"/>
    <w:rsid w:val="00055E2C"/>
    <w:rsid w:val="00056242"/>
    <w:rsid w:val="0005676E"/>
    <w:rsid w:val="000567B2"/>
    <w:rsid w:val="00056875"/>
    <w:rsid w:val="00056880"/>
    <w:rsid w:val="00056B02"/>
    <w:rsid w:val="00056D59"/>
    <w:rsid w:val="00056DCB"/>
    <w:rsid w:val="00056DF0"/>
    <w:rsid w:val="000575C7"/>
    <w:rsid w:val="000577E9"/>
    <w:rsid w:val="000577F0"/>
    <w:rsid w:val="0005780C"/>
    <w:rsid w:val="0005789A"/>
    <w:rsid w:val="0006008F"/>
    <w:rsid w:val="000600DE"/>
    <w:rsid w:val="00060104"/>
    <w:rsid w:val="000601FE"/>
    <w:rsid w:val="0006158C"/>
    <w:rsid w:val="000616EB"/>
    <w:rsid w:val="00061811"/>
    <w:rsid w:val="00061970"/>
    <w:rsid w:val="000621F6"/>
    <w:rsid w:val="0006236C"/>
    <w:rsid w:val="00062388"/>
    <w:rsid w:val="00062484"/>
    <w:rsid w:val="00062EDB"/>
    <w:rsid w:val="00062F5F"/>
    <w:rsid w:val="000630DC"/>
    <w:rsid w:val="000632C7"/>
    <w:rsid w:val="0006336A"/>
    <w:rsid w:val="000638ED"/>
    <w:rsid w:val="00063D66"/>
    <w:rsid w:val="00064321"/>
    <w:rsid w:val="00064650"/>
    <w:rsid w:val="00064C43"/>
    <w:rsid w:val="00064D65"/>
    <w:rsid w:val="00064F7B"/>
    <w:rsid w:val="00065088"/>
    <w:rsid w:val="000651B3"/>
    <w:rsid w:val="0006553B"/>
    <w:rsid w:val="00065599"/>
    <w:rsid w:val="000655DE"/>
    <w:rsid w:val="00065F55"/>
    <w:rsid w:val="000660A6"/>
    <w:rsid w:val="0006613C"/>
    <w:rsid w:val="00066304"/>
    <w:rsid w:val="00066499"/>
    <w:rsid w:val="00066676"/>
    <w:rsid w:val="00067069"/>
    <w:rsid w:val="000672BB"/>
    <w:rsid w:val="000672E6"/>
    <w:rsid w:val="000675D1"/>
    <w:rsid w:val="00067A21"/>
    <w:rsid w:val="00067AD7"/>
    <w:rsid w:val="00067D56"/>
    <w:rsid w:val="00070223"/>
    <w:rsid w:val="0007046F"/>
    <w:rsid w:val="000707D5"/>
    <w:rsid w:val="0007102C"/>
    <w:rsid w:val="000710B6"/>
    <w:rsid w:val="00071218"/>
    <w:rsid w:val="000716E2"/>
    <w:rsid w:val="00071C43"/>
    <w:rsid w:val="00072352"/>
    <w:rsid w:val="00072694"/>
    <w:rsid w:val="00072701"/>
    <w:rsid w:val="0007275D"/>
    <w:rsid w:val="00072D0E"/>
    <w:rsid w:val="00072D1B"/>
    <w:rsid w:val="00073521"/>
    <w:rsid w:val="000739F8"/>
    <w:rsid w:val="00073BC7"/>
    <w:rsid w:val="00073DB3"/>
    <w:rsid w:val="00073DE8"/>
    <w:rsid w:val="00073E3E"/>
    <w:rsid w:val="00073F38"/>
    <w:rsid w:val="000747C8"/>
    <w:rsid w:val="000749B3"/>
    <w:rsid w:val="00074E7B"/>
    <w:rsid w:val="00074FC1"/>
    <w:rsid w:val="0007528F"/>
    <w:rsid w:val="00075782"/>
    <w:rsid w:val="000759A3"/>
    <w:rsid w:val="00075CDC"/>
    <w:rsid w:val="000761DB"/>
    <w:rsid w:val="00076345"/>
    <w:rsid w:val="000764BE"/>
    <w:rsid w:val="00076775"/>
    <w:rsid w:val="00076933"/>
    <w:rsid w:val="000769ED"/>
    <w:rsid w:val="000771D5"/>
    <w:rsid w:val="000775DE"/>
    <w:rsid w:val="00077812"/>
    <w:rsid w:val="00077A63"/>
    <w:rsid w:val="00077DCF"/>
    <w:rsid w:val="00077E54"/>
    <w:rsid w:val="0008067F"/>
    <w:rsid w:val="000807A3"/>
    <w:rsid w:val="00080D2D"/>
    <w:rsid w:val="00080E39"/>
    <w:rsid w:val="00081154"/>
    <w:rsid w:val="00081675"/>
    <w:rsid w:val="00081744"/>
    <w:rsid w:val="0008195C"/>
    <w:rsid w:val="00081D18"/>
    <w:rsid w:val="00081D43"/>
    <w:rsid w:val="0008231A"/>
    <w:rsid w:val="00082B4A"/>
    <w:rsid w:val="00082FC2"/>
    <w:rsid w:val="0008362F"/>
    <w:rsid w:val="00083B0C"/>
    <w:rsid w:val="00083F48"/>
    <w:rsid w:val="00083F7F"/>
    <w:rsid w:val="000844F9"/>
    <w:rsid w:val="000845DA"/>
    <w:rsid w:val="00084806"/>
    <w:rsid w:val="00084FE1"/>
    <w:rsid w:val="00085292"/>
    <w:rsid w:val="000854C2"/>
    <w:rsid w:val="000858F2"/>
    <w:rsid w:val="00085B6D"/>
    <w:rsid w:val="000863F2"/>
    <w:rsid w:val="000866F8"/>
    <w:rsid w:val="0008671C"/>
    <w:rsid w:val="000867EF"/>
    <w:rsid w:val="000869E1"/>
    <w:rsid w:val="00086DDF"/>
    <w:rsid w:val="000871FC"/>
    <w:rsid w:val="00087BF7"/>
    <w:rsid w:val="00087FAF"/>
    <w:rsid w:val="00090017"/>
    <w:rsid w:val="000902ED"/>
    <w:rsid w:val="00090AD2"/>
    <w:rsid w:val="00091126"/>
    <w:rsid w:val="0009145F"/>
    <w:rsid w:val="0009151A"/>
    <w:rsid w:val="00091641"/>
    <w:rsid w:val="0009170C"/>
    <w:rsid w:val="000918B0"/>
    <w:rsid w:val="000919D9"/>
    <w:rsid w:val="000919E9"/>
    <w:rsid w:val="00091A3C"/>
    <w:rsid w:val="00091A67"/>
    <w:rsid w:val="00091C83"/>
    <w:rsid w:val="00091E1C"/>
    <w:rsid w:val="0009218B"/>
    <w:rsid w:val="00092A67"/>
    <w:rsid w:val="00092B6A"/>
    <w:rsid w:val="00092B90"/>
    <w:rsid w:val="00092EFD"/>
    <w:rsid w:val="000930E8"/>
    <w:rsid w:val="000931F9"/>
    <w:rsid w:val="00093226"/>
    <w:rsid w:val="000933AF"/>
    <w:rsid w:val="00094060"/>
    <w:rsid w:val="0009413D"/>
    <w:rsid w:val="000946BF"/>
    <w:rsid w:val="000948E2"/>
    <w:rsid w:val="00094DC5"/>
    <w:rsid w:val="00095195"/>
    <w:rsid w:val="000951DF"/>
    <w:rsid w:val="0009535E"/>
    <w:rsid w:val="0009598A"/>
    <w:rsid w:val="000959C0"/>
    <w:rsid w:val="0009614C"/>
    <w:rsid w:val="00096B39"/>
    <w:rsid w:val="00096BC6"/>
    <w:rsid w:val="00096E04"/>
    <w:rsid w:val="0009706D"/>
    <w:rsid w:val="000979EA"/>
    <w:rsid w:val="000A0026"/>
    <w:rsid w:val="000A052E"/>
    <w:rsid w:val="000A0DCE"/>
    <w:rsid w:val="000A0DFB"/>
    <w:rsid w:val="000A1108"/>
    <w:rsid w:val="000A13D2"/>
    <w:rsid w:val="000A1929"/>
    <w:rsid w:val="000A1D08"/>
    <w:rsid w:val="000A1EC3"/>
    <w:rsid w:val="000A1F3E"/>
    <w:rsid w:val="000A24E0"/>
    <w:rsid w:val="000A286C"/>
    <w:rsid w:val="000A2A15"/>
    <w:rsid w:val="000A2DD1"/>
    <w:rsid w:val="000A2F47"/>
    <w:rsid w:val="000A3560"/>
    <w:rsid w:val="000A3A50"/>
    <w:rsid w:val="000A3B36"/>
    <w:rsid w:val="000A43E7"/>
    <w:rsid w:val="000A4520"/>
    <w:rsid w:val="000A46E4"/>
    <w:rsid w:val="000A49C2"/>
    <w:rsid w:val="000A4BE6"/>
    <w:rsid w:val="000A4D61"/>
    <w:rsid w:val="000A4DBB"/>
    <w:rsid w:val="000A52B8"/>
    <w:rsid w:val="000A56EE"/>
    <w:rsid w:val="000A5C7A"/>
    <w:rsid w:val="000A5E43"/>
    <w:rsid w:val="000A649F"/>
    <w:rsid w:val="000A7027"/>
    <w:rsid w:val="000A7DC9"/>
    <w:rsid w:val="000A7E6B"/>
    <w:rsid w:val="000B043E"/>
    <w:rsid w:val="000B07BF"/>
    <w:rsid w:val="000B08A7"/>
    <w:rsid w:val="000B0F8D"/>
    <w:rsid w:val="000B0F9F"/>
    <w:rsid w:val="000B109D"/>
    <w:rsid w:val="000B1E09"/>
    <w:rsid w:val="000B1F0C"/>
    <w:rsid w:val="000B232E"/>
    <w:rsid w:val="000B261D"/>
    <w:rsid w:val="000B2622"/>
    <w:rsid w:val="000B2629"/>
    <w:rsid w:val="000B269B"/>
    <w:rsid w:val="000B270F"/>
    <w:rsid w:val="000B2713"/>
    <w:rsid w:val="000B27F1"/>
    <w:rsid w:val="000B282D"/>
    <w:rsid w:val="000B2A5B"/>
    <w:rsid w:val="000B2FB0"/>
    <w:rsid w:val="000B30A4"/>
    <w:rsid w:val="000B3848"/>
    <w:rsid w:val="000B39AF"/>
    <w:rsid w:val="000B3F5F"/>
    <w:rsid w:val="000B42CD"/>
    <w:rsid w:val="000B4E49"/>
    <w:rsid w:val="000B50B6"/>
    <w:rsid w:val="000B5A6C"/>
    <w:rsid w:val="000B5A80"/>
    <w:rsid w:val="000B6049"/>
    <w:rsid w:val="000B6051"/>
    <w:rsid w:val="000B6A65"/>
    <w:rsid w:val="000B6BC9"/>
    <w:rsid w:val="000B7058"/>
    <w:rsid w:val="000B7138"/>
    <w:rsid w:val="000B71D1"/>
    <w:rsid w:val="000B7A94"/>
    <w:rsid w:val="000B7E01"/>
    <w:rsid w:val="000B7E34"/>
    <w:rsid w:val="000C039C"/>
    <w:rsid w:val="000C03B4"/>
    <w:rsid w:val="000C040D"/>
    <w:rsid w:val="000C0710"/>
    <w:rsid w:val="000C0986"/>
    <w:rsid w:val="000C0EB2"/>
    <w:rsid w:val="000C0FC7"/>
    <w:rsid w:val="000C147A"/>
    <w:rsid w:val="000C1591"/>
    <w:rsid w:val="000C160D"/>
    <w:rsid w:val="000C1854"/>
    <w:rsid w:val="000C1985"/>
    <w:rsid w:val="000C1B8C"/>
    <w:rsid w:val="000C1EAC"/>
    <w:rsid w:val="000C21B0"/>
    <w:rsid w:val="000C2382"/>
    <w:rsid w:val="000C2476"/>
    <w:rsid w:val="000C2599"/>
    <w:rsid w:val="000C27BE"/>
    <w:rsid w:val="000C2CD3"/>
    <w:rsid w:val="000C322C"/>
    <w:rsid w:val="000C380C"/>
    <w:rsid w:val="000C41A2"/>
    <w:rsid w:val="000C4218"/>
    <w:rsid w:val="000C461C"/>
    <w:rsid w:val="000C5211"/>
    <w:rsid w:val="000C5718"/>
    <w:rsid w:val="000C5760"/>
    <w:rsid w:val="000C57CA"/>
    <w:rsid w:val="000C5B90"/>
    <w:rsid w:val="000C5C75"/>
    <w:rsid w:val="000C5D44"/>
    <w:rsid w:val="000C5F17"/>
    <w:rsid w:val="000C5F40"/>
    <w:rsid w:val="000C6123"/>
    <w:rsid w:val="000C616F"/>
    <w:rsid w:val="000C62C2"/>
    <w:rsid w:val="000C6884"/>
    <w:rsid w:val="000C6AB6"/>
    <w:rsid w:val="000C71F7"/>
    <w:rsid w:val="000C7372"/>
    <w:rsid w:val="000C75E6"/>
    <w:rsid w:val="000C78F6"/>
    <w:rsid w:val="000C78FD"/>
    <w:rsid w:val="000C78FF"/>
    <w:rsid w:val="000C793B"/>
    <w:rsid w:val="000D035A"/>
    <w:rsid w:val="000D07CB"/>
    <w:rsid w:val="000D0A93"/>
    <w:rsid w:val="000D0A9C"/>
    <w:rsid w:val="000D0C63"/>
    <w:rsid w:val="000D0EDA"/>
    <w:rsid w:val="000D0F38"/>
    <w:rsid w:val="000D112B"/>
    <w:rsid w:val="000D1284"/>
    <w:rsid w:val="000D1CB8"/>
    <w:rsid w:val="000D1FDB"/>
    <w:rsid w:val="000D2950"/>
    <w:rsid w:val="000D2ED5"/>
    <w:rsid w:val="000D322F"/>
    <w:rsid w:val="000D3872"/>
    <w:rsid w:val="000D387D"/>
    <w:rsid w:val="000D3C1F"/>
    <w:rsid w:val="000D469C"/>
    <w:rsid w:val="000D4906"/>
    <w:rsid w:val="000D50D7"/>
    <w:rsid w:val="000D59AD"/>
    <w:rsid w:val="000D5DEF"/>
    <w:rsid w:val="000D6061"/>
    <w:rsid w:val="000D640B"/>
    <w:rsid w:val="000D6776"/>
    <w:rsid w:val="000D6BA1"/>
    <w:rsid w:val="000D6D08"/>
    <w:rsid w:val="000D743B"/>
    <w:rsid w:val="000D7732"/>
    <w:rsid w:val="000D77DA"/>
    <w:rsid w:val="000D7E4D"/>
    <w:rsid w:val="000D7FEC"/>
    <w:rsid w:val="000E01A0"/>
    <w:rsid w:val="000E03F5"/>
    <w:rsid w:val="000E0B74"/>
    <w:rsid w:val="000E0BC4"/>
    <w:rsid w:val="000E19AE"/>
    <w:rsid w:val="000E19BB"/>
    <w:rsid w:val="000E1CB5"/>
    <w:rsid w:val="000E276F"/>
    <w:rsid w:val="000E294F"/>
    <w:rsid w:val="000E2C61"/>
    <w:rsid w:val="000E3219"/>
    <w:rsid w:val="000E3E08"/>
    <w:rsid w:val="000E4016"/>
    <w:rsid w:val="000E440E"/>
    <w:rsid w:val="000E4633"/>
    <w:rsid w:val="000E4735"/>
    <w:rsid w:val="000E48D8"/>
    <w:rsid w:val="000E4C82"/>
    <w:rsid w:val="000E4EA2"/>
    <w:rsid w:val="000E4EFD"/>
    <w:rsid w:val="000E5451"/>
    <w:rsid w:val="000E58E2"/>
    <w:rsid w:val="000E5B1A"/>
    <w:rsid w:val="000E5C8C"/>
    <w:rsid w:val="000E5CCA"/>
    <w:rsid w:val="000E64CE"/>
    <w:rsid w:val="000E671A"/>
    <w:rsid w:val="000E6B4B"/>
    <w:rsid w:val="000E6BF6"/>
    <w:rsid w:val="000E7514"/>
    <w:rsid w:val="000E759B"/>
    <w:rsid w:val="000E7637"/>
    <w:rsid w:val="000E764D"/>
    <w:rsid w:val="000E7832"/>
    <w:rsid w:val="000E7A81"/>
    <w:rsid w:val="000E7D42"/>
    <w:rsid w:val="000E7D49"/>
    <w:rsid w:val="000E7E46"/>
    <w:rsid w:val="000E7E48"/>
    <w:rsid w:val="000F02B1"/>
    <w:rsid w:val="000F0525"/>
    <w:rsid w:val="000F0AAC"/>
    <w:rsid w:val="000F0BF8"/>
    <w:rsid w:val="000F0C56"/>
    <w:rsid w:val="000F10E7"/>
    <w:rsid w:val="000F1497"/>
    <w:rsid w:val="000F15FA"/>
    <w:rsid w:val="000F1D16"/>
    <w:rsid w:val="000F1D60"/>
    <w:rsid w:val="000F1E52"/>
    <w:rsid w:val="000F203B"/>
    <w:rsid w:val="000F237F"/>
    <w:rsid w:val="000F23F2"/>
    <w:rsid w:val="000F3A85"/>
    <w:rsid w:val="000F3D58"/>
    <w:rsid w:val="000F45ED"/>
    <w:rsid w:val="000F45EF"/>
    <w:rsid w:val="000F5066"/>
    <w:rsid w:val="000F5392"/>
    <w:rsid w:val="000F5B73"/>
    <w:rsid w:val="000F619C"/>
    <w:rsid w:val="000F645B"/>
    <w:rsid w:val="000F6549"/>
    <w:rsid w:val="000F6703"/>
    <w:rsid w:val="000F6B3B"/>
    <w:rsid w:val="000F729A"/>
    <w:rsid w:val="000F7301"/>
    <w:rsid w:val="000F7433"/>
    <w:rsid w:val="000F7517"/>
    <w:rsid w:val="000F78BB"/>
    <w:rsid w:val="000F7D2D"/>
    <w:rsid w:val="000F7FD7"/>
    <w:rsid w:val="0010066A"/>
    <w:rsid w:val="0010090E"/>
    <w:rsid w:val="00100B05"/>
    <w:rsid w:val="00100CBC"/>
    <w:rsid w:val="00100CE2"/>
    <w:rsid w:val="00100CFB"/>
    <w:rsid w:val="001011E3"/>
    <w:rsid w:val="00101508"/>
    <w:rsid w:val="00101545"/>
    <w:rsid w:val="0010158F"/>
    <w:rsid w:val="00101710"/>
    <w:rsid w:val="00101988"/>
    <w:rsid w:val="00101D4E"/>
    <w:rsid w:val="001023DC"/>
    <w:rsid w:val="00102D72"/>
    <w:rsid w:val="00102F75"/>
    <w:rsid w:val="00103141"/>
    <w:rsid w:val="001037FE"/>
    <w:rsid w:val="0010421F"/>
    <w:rsid w:val="00104311"/>
    <w:rsid w:val="001043C9"/>
    <w:rsid w:val="001044B2"/>
    <w:rsid w:val="0010473B"/>
    <w:rsid w:val="001047B0"/>
    <w:rsid w:val="00104825"/>
    <w:rsid w:val="00104DEC"/>
    <w:rsid w:val="00104F29"/>
    <w:rsid w:val="00105070"/>
    <w:rsid w:val="001050DD"/>
    <w:rsid w:val="0010513D"/>
    <w:rsid w:val="0010534D"/>
    <w:rsid w:val="001053DF"/>
    <w:rsid w:val="00105D6A"/>
    <w:rsid w:val="00105DEF"/>
    <w:rsid w:val="001065E5"/>
    <w:rsid w:val="00106687"/>
    <w:rsid w:val="00106B6D"/>
    <w:rsid w:val="0010782D"/>
    <w:rsid w:val="00107988"/>
    <w:rsid w:val="00107C59"/>
    <w:rsid w:val="00110569"/>
    <w:rsid w:val="00110580"/>
    <w:rsid w:val="001107C7"/>
    <w:rsid w:val="00110A0A"/>
    <w:rsid w:val="00110B47"/>
    <w:rsid w:val="00110E70"/>
    <w:rsid w:val="0011108C"/>
    <w:rsid w:val="00111CB1"/>
    <w:rsid w:val="0011221C"/>
    <w:rsid w:val="00112343"/>
    <w:rsid w:val="00112C4E"/>
    <w:rsid w:val="0011301B"/>
    <w:rsid w:val="0011319B"/>
    <w:rsid w:val="001131A0"/>
    <w:rsid w:val="001135DF"/>
    <w:rsid w:val="001139EB"/>
    <w:rsid w:val="00113D12"/>
    <w:rsid w:val="0011402D"/>
    <w:rsid w:val="00114A03"/>
    <w:rsid w:val="00114C14"/>
    <w:rsid w:val="00114CCC"/>
    <w:rsid w:val="00115295"/>
    <w:rsid w:val="001159FC"/>
    <w:rsid w:val="00115C9C"/>
    <w:rsid w:val="00115E42"/>
    <w:rsid w:val="00115EA6"/>
    <w:rsid w:val="00115F2A"/>
    <w:rsid w:val="001161DF"/>
    <w:rsid w:val="001163C8"/>
    <w:rsid w:val="0011664D"/>
    <w:rsid w:val="001166A4"/>
    <w:rsid w:val="00116B9A"/>
    <w:rsid w:val="00116CBF"/>
    <w:rsid w:val="00116DC8"/>
    <w:rsid w:val="001170B2"/>
    <w:rsid w:val="00117383"/>
    <w:rsid w:val="00117413"/>
    <w:rsid w:val="001177EC"/>
    <w:rsid w:val="00117807"/>
    <w:rsid w:val="00117B89"/>
    <w:rsid w:val="00117C4B"/>
    <w:rsid w:val="00117F5B"/>
    <w:rsid w:val="001202B1"/>
    <w:rsid w:val="0012058D"/>
    <w:rsid w:val="001205AD"/>
    <w:rsid w:val="001206FE"/>
    <w:rsid w:val="0012095C"/>
    <w:rsid w:val="0012130F"/>
    <w:rsid w:val="001218BC"/>
    <w:rsid w:val="00121C5A"/>
    <w:rsid w:val="00121CFF"/>
    <w:rsid w:val="00121D0B"/>
    <w:rsid w:val="00121F02"/>
    <w:rsid w:val="001221DC"/>
    <w:rsid w:val="0012253C"/>
    <w:rsid w:val="00122652"/>
    <w:rsid w:val="001226F9"/>
    <w:rsid w:val="00122779"/>
    <w:rsid w:val="00122871"/>
    <w:rsid w:val="00122ACB"/>
    <w:rsid w:val="00122C55"/>
    <w:rsid w:val="00122E4A"/>
    <w:rsid w:val="00122E6B"/>
    <w:rsid w:val="0012321D"/>
    <w:rsid w:val="0012353E"/>
    <w:rsid w:val="00123708"/>
    <w:rsid w:val="00123827"/>
    <w:rsid w:val="00123B35"/>
    <w:rsid w:val="00124188"/>
    <w:rsid w:val="00124204"/>
    <w:rsid w:val="00124390"/>
    <w:rsid w:val="0012454F"/>
    <w:rsid w:val="00124560"/>
    <w:rsid w:val="001245D9"/>
    <w:rsid w:val="00124F8C"/>
    <w:rsid w:val="00125023"/>
    <w:rsid w:val="00125932"/>
    <w:rsid w:val="00125C2F"/>
    <w:rsid w:val="001260F2"/>
    <w:rsid w:val="0012730A"/>
    <w:rsid w:val="00127848"/>
    <w:rsid w:val="00127A60"/>
    <w:rsid w:val="00127DAD"/>
    <w:rsid w:val="001303E5"/>
    <w:rsid w:val="001304F9"/>
    <w:rsid w:val="00130894"/>
    <w:rsid w:val="00130DC6"/>
    <w:rsid w:val="00130F73"/>
    <w:rsid w:val="001310B0"/>
    <w:rsid w:val="00131165"/>
    <w:rsid w:val="001313C4"/>
    <w:rsid w:val="0013154D"/>
    <w:rsid w:val="00131794"/>
    <w:rsid w:val="00132833"/>
    <w:rsid w:val="00132948"/>
    <w:rsid w:val="00133EB4"/>
    <w:rsid w:val="001342DC"/>
    <w:rsid w:val="00134568"/>
    <w:rsid w:val="001346D5"/>
    <w:rsid w:val="00134963"/>
    <w:rsid w:val="00135366"/>
    <w:rsid w:val="001355FD"/>
    <w:rsid w:val="0013586B"/>
    <w:rsid w:val="00135A6B"/>
    <w:rsid w:val="00136169"/>
    <w:rsid w:val="00136278"/>
    <w:rsid w:val="00136890"/>
    <w:rsid w:val="00136B66"/>
    <w:rsid w:val="00136EB9"/>
    <w:rsid w:val="00137199"/>
    <w:rsid w:val="001374DE"/>
    <w:rsid w:val="0013758A"/>
    <w:rsid w:val="0013758E"/>
    <w:rsid w:val="00137787"/>
    <w:rsid w:val="00137806"/>
    <w:rsid w:val="001378AF"/>
    <w:rsid w:val="00137D92"/>
    <w:rsid w:val="00137E81"/>
    <w:rsid w:val="00140394"/>
    <w:rsid w:val="00140650"/>
    <w:rsid w:val="00140709"/>
    <w:rsid w:val="00140831"/>
    <w:rsid w:val="0014091C"/>
    <w:rsid w:val="001410C3"/>
    <w:rsid w:val="00141243"/>
    <w:rsid w:val="00141447"/>
    <w:rsid w:val="001418E2"/>
    <w:rsid w:val="00141ABE"/>
    <w:rsid w:val="00141D5B"/>
    <w:rsid w:val="00141DEF"/>
    <w:rsid w:val="001424F2"/>
    <w:rsid w:val="00142502"/>
    <w:rsid w:val="0014270C"/>
    <w:rsid w:val="00142B93"/>
    <w:rsid w:val="00142CE1"/>
    <w:rsid w:val="0014332E"/>
    <w:rsid w:val="00143602"/>
    <w:rsid w:val="00143720"/>
    <w:rsid w:val="0014393F"/>
    <w:rsid w:val="001442AA"/>
    <w:rsid w:val="00144421"/>
    <w:rsid w:val="00144926"/>
    <w:rsid w:val="00144B70"/>
    <w:rsid w:val="0014510A"/>
    <w:rsid w:val="0014595D"/>
    <w:rsid w:val="00145A38"/>
    <w:rsid w:val="00145C95"/>
    <w:rsid w:val="00145EB5"/>
    <w:rsid w:val="001466CB"/>
    <w:rsid w:val="001466F4"/>
    <w:rsid w:val="00146D51"/>
    <w:rsid w:val="00147814"/>
    <w:rsid w:val="001478F7"/>
    <w:rsid w:val="0014795C"/>
    <w:rsid w:val="001479E2"/>
    <w:rsid w:val="00147B1B"/>
    <w:rsid w:val="00147B36"/>
    <w:rsid w:val="00147B89"/>
    <w:rsid w:val="00147C4C"/>
    <w:rsid w:val="00147C95"/>
    <w:rsid w:val="00147D8A"/>
    <w:rsid w:val="00147F49"/>
    <w:rsid w:val="0015039A"/>
    <w:rsid w:val="001504A0"/>
    <w:rsid w:val="0015076D"/>
    <w:rsid w:val="00150A6B"/>
    <w:rsid w:val="00150AA8"/>
    <w:rsid w:val="0015118E"/>
    <w:rsid w:val="001516A0"/>
    <w:rsid w:val="001516E5"/>
    <w:rsid w:val="001519FD"/>
    <w:rsid w:val="00151D70"/>
    <w:rsid w:val="001520EC"/>
    <w:rsid w:val="0015219E"/>
    <w:rsid w:val="0015228A"/>
    <w:rsid w:val="001528F4"/>
    <w:rsid w:val="00152917"/>
    <w:rsid w:val="0015306F"/>
    <w:rsid w:val="0015313F"/>
    <w:rsid w:val="001535AF"/>
    <w:rsid w:val="00153814"/>
    <w:rsid w:val="00153D80"/>
    <w:rsid w:val="0015439F"/>
    <w:rsid w:val="001543C8"/>
    <w:rsid w:val="00154502"/>
    <w:rsid w:val="00154A00"/>
    <w:rsid w:val="001550D3"/>
    <w:rsid w:val="0015561E"/>
    <w:rsid w:val="00155636"/>
    <w:rsid w:val="00155977"/>
    <w:rsid w:val="00155F13"/>
    <w:rsid w:val="00156259"/>
    <w:rsid w:val="00156453"/>
    <w:rsid w:val="00156546"/>
    <w:rsid w:val="00156B11"/>
    <w:rsid w:val="00156B13"/>
    <w:rsid w:val="00156F47"/>
    <w:rsid w:val="001571FA"/>
    <w:rsid w:val="00157299"/>
    <w:rsid w:val="001573B8"/>
    <w:rsid w:val="001577BE"/>
    <w:rsid w:val="0015785F"/>
    <w:rsid w:val="0015789D"/>
    <w:rsid w:val="0015791D"/>
    <w:rsid w:val="0015794E"/>
    <w:rsid w:val="00157A09"/>
    <w:rsid w:val="00157B3F"/>
    <w:rsid w:val="00157BFB"/>
    <w:rsid w:val="00160020"/>
    <w:rsid w:val="001606CF"/>
    <w:rsid w:val="00160BA7"/>
    <w:rsid w:val="00160C6E"/>
    <w:rsid w:val="00160F4E"/>
    <w:rsid w:val="0016127A"/>
    <w:rsid w:val="0016128D"/>
    <w:rsid w:val="0016175B"/>
    <w:rsid w:val="00161A16"/>
    <w:rsid w:val="00161B49"/>
    <w:rsid w:val="00161B6C"/>
    <w:rsid w:val="00162443"/>
    <w:rsid w:val="001628BC"/>
    <w:rsid w:val="001628C5"/>
    <w:rsid w:val="001628CA"/>
    <w:rsid w:val="00162AF4"/>
    <w:rsid w:val="00162BFE"/>
    <w:rsid w:val="00162C7C"/>
    <w:rsid w:val="00162E67"/>
    <w:rsid w:val="00163322"/>
    <w:rsid w:val="0016374E"/>
    <w:rsid w:val="00163972"/>
    <w:rsid w:val="00163AC2"/>
    <w:rsid w:val="00163EAA"/>
    <w:rsid w:val="00163EEE"/>
    <w:rsid w:val="001642A1"/>
    <w:rsid w:val="0016434D"/>
    <w:rsid w:val="001648E9"/>
    <w:rsid w:val="00164B05"/>
    <w:rsid w:val="00164BB6"/>
    <w:rsid w:val="00164C8B"/>
    <w:rsid w:val="00164CFF"/>
    <w:rsid w:val="001651E4"/>
    <w:rsid w:val="00165835"/>
    <w:rsid w:val="00165857"/>
    <w:rsid w:val="0016592F"/>
    <w:rsid w:val="0016619C"/>
    <w:rsid w:val="00166B7B"/>
    <w:rsid w:val="00167204"/>
    <w:rsid w:val="00167417"/>
    <w:rsid w:val="00167451"/>
    <w:rsid w:val="0016757B"/>
    <w:rsid w:val="001676B2"/>
    <w:rsid w:val="001677E9"/>
    <w:rsid w:val="001678CC"/>
    <w:rsid w:val="001679FB"/>
    <w:rsid w:val="00167A7B"/>
    <w:rsid w:val="001701EE"/>
    <w:rsid w:val="00170286"/>
    <w:rsid w:val="001703B7"/>
    <w:rsid w:val="00170534"/>
    <w:rsid w:val="0017059B"/>
    <w:rsid w:val="0017089D"/>
    <w:rsid w:val="00170F62"/>
    <w:rsid w:val="0017104D"/>
    <w:rsid w:val="00171155"/>
    <w:rsid w:val="001713BF"/>
    <w:rsid w:val="00171920"/>
    <w:rsid w:val="00171F21"/>
    <w:rsid w:val="001721AC"/>
    <w:rsid w:val="00172659"/>
    <w:rsid w:val="00173080"/>
    <w:rsid w:val="0017315C"/>
    <w:rsid w:val="00173899"/>
    <w:rsid w:val="00174340"/>
    <w:rsid w:val="00174641"/>
    <w:rsid w:val="00174BF6"/>
    <w:rsid w:val="00174CD6"/>
    <w:rsid w:val="00174D5E"/>
    <w:rsid w:val="00174D67"/>
    <w:rsid w:val="00174EE7"/>
    <w:rsid w:val="00174F6E"/>
    <w:rsid w:val="00175579"/>
    <w:rsid w:val="001757E6"/>
    <w:rsid w:val="00175994"/>
    <w:rsid w:val="001764D3"/>
    <w:rsid w:val="00176BD8"/>
    <w:rsid w:val="001772CC"/>
    <w:rsid w:val="00177322"/>
    <w:rsid w:val="001773C5"/>
    <w:rsid w:val="0017752A"/>
    <w:rsid w:val="00177647"/>
    <w:rsid w:val="001776B0"/>
    <w:rsid w:val="0017798D"/>
    <w:rsid w:val="00177998"/>
    <w:rsid w:val="00177CF3"/>
    <w:rsid w:val="00177DFE"/>
    <w:rsid w:val="001801D8"/>
    <w:rsid w:val="0018029D"/>
    <w:rsid w:val="0018056F"/>
    <w:rsid w:val="001807AA"/>
    <w:rsid w:val="00180834"/>
    <w:rsid w:val="00180836"/>
    <w:rsid w:val="0018095A"/>
    <w:rsid w:val="00180C1C"/>
    <w:rsid w:val="00180DF8"/>
    <w:rsid w:val="00180F89"/>
    <w:rsid w:val="001810D7"/>
    <w:rsid w:val="00181107"/>
    <w:rsid w:val="001811A2"/>
    <w:rsid w:val="00181450"/>
    <w:rsid w:val="001818DB"/>
    <w:rsid w:val="00181E14"/>
    <w:rsid w:val="00181E92"/>
    <w:rsid w:val="001821BD"/>
    <w:rsid w:val="00182437"/>
    <w:rsid w:val="00182658"/>
    <w:rsid w:val="0018279F"/>
    <w:rsid w:val="00182905"/>
    <w:rsid w:val="00182930"/>
    <w:rsid w:val="00182A8C"/>
    <w:rsid w:val="00182F7D"/>
    <w:rsid w:val="0018300E"/>
    <w:rsid w:val="00183110"/>
    <w:rsid w:val="00183E10"/>
    <w:rsid w:val="00184829"/>
    <w:rsid w:val="00185005"/>
    <w:rsid w:val="00185146"/>
    <w:rsid w:val="00185674"/>
    <w:rsid w:val="00185888"/>
    <w:rsid w:val="00185AD5"/>
    <w:rsid w:val="00185FA2"/>
    <w:rsid w:val="001862DF"/>
    <w:rsid w:val="001862E4"/>
    <w:rsid w:val="0018638F"/>
    <w:rsid w:val="001864E7"/>
    <w:rsid w:val="00186CCF"/>
    <w:rsid w:val="00186E16"/>
    <w:rsid w:val="00187067"/>
    <w:rsid w:val="001872DD"/>
    <w:rsid w:val="0018745A"/>
    <w:rsid w:val="00187A3E"/>
    <w:rsid w:val="00187A5D"/>
    <w:rsid w:val="00187D1B"/>
    <w:rsid w:val="00190523"/>
    <w:rsid w:val="001905D7"/>
    <w:rsid w:val="0019099C"/>
    <w:rsid w:val="00190D20"/>
    <w:rsid w:val="00190F3B"/>
    <w:rsid w:val="0019101A"/>
    <w:rsid w:val="0019213B"/>
    <w:rsid w:val="001924CD"/>
    <w:rsid w:val="00192523"/>
    <w:rsid w:val="00192A61"/>
    <w:rsid w:val="00192C24"/>
    <w:rsid w:val="00193A2F"/>
    <w:rsid w:val="00193AD0"/>
    <w:rsid w:val="0019417C"/>
    <w:rsid w:val="0019427D"/>
    <w:rsid w:val="00194D27"/>
    <w:rsid w:val="00194EF2"/>
    <w:rsid w:val="00195003"/>
    <w:rsid w:val="001950D6"/>
    <w:rsid w:val="00195172"/>
    <w:rsid w:val="001952EE"/>
    <w:rsid w:val="0019530A"/>
    <w:rsid w:val="0019546C"/>
    <w:rsid w:val="00195A76"/>
    <w:rsid w:val="00195E50"/>
    <w:rsid w:val="001961C6"/>
    <w:rsid w:val="001967C0"/>
    <w:rsid w:val="001968D2"/>
    <w:rsid w:val="00196A3C"/>
    <w:rsid w:val="00196AE1"/>
    <w:rsid w:val="0019705D"/>
    <w:rsid w:val="001974F0"/>
    <w:rsid w:val="00197741"/>
    <w:rsid w:val="001979A0"/>
    <w:rsid w:val="00197A84"/>
    <w:rsid w:val="00197C06"/>
    <w:rsid w:val="00197C6F"/>
    <w:rsid w:val="00197C7D"/>
    <w:rsid w:val="001A00A7"/>
    <w:rsid w:val="001A02EF"/>
    <w:rsid w:val="001A063D"/>
    <w:rsid w:val="001A098E"/>
    <w:rsid w:val="001A0B18"/>
    <w:rsid w:val="001A0C50"/>
    <w:rsid w:val="001A11AC"/>
    <w:rsid w:val="001A1495"/>
    <w:rsid w:val="001A14E8"/>
    <w:rsid w:val="001A197A"/>
    <w:rsid w:val="001A1A57"/>
    <w:rsid w:val="001A1AB2"/>
    <w:rsid w:val="001A1AB4"/>
    <w:rsid w:val="001A1BEF"/>
    <w:rsid w:val="001A1EFF"/>
    <w:rsid w:val="001A202C"/>
    <w:rsid w:val="001A212F"/>
    <w:rsid w:val="001A2397"/>
    <w:rsid w:val="001A26FA"/>
    <w:rsid w:val="001A2A87"/>
    <w:rsid w:val="001A2B8E"/>
    <w:rsid w:val="001A3074"/>
    <w:rsid w:val="001A32F1"/>
    <w:rsid w:val="001A33F5"/>
    <w:rsid w:val="001A3415"/>
    <w:rsid w:val="001A35C3"/>
    <w:rsid w:val="001A3BA9"/>
    <w:rsid w:val="001A3BBB"/>
    <w:rsid w:val="001A3C72"/>
    <w:rsid w:val="001A3D17"/>
    <w:rsid w:val="001A3E3D"/>
    <w:rsid w:val="001A3E7F"/>
    <w:rsid w:val="001A4CF2"/>
    <w:rsid w:val="001A4D34"/>
    <w:rsid w:val="001A5198"/>
    <w:rsid w:val="001A535F"/>
    <w:rsid w:val="001A5435"/>
    <w:rsid w:val="001A544A"/>
    <w:rsid w:val="001A556E"/>
    <w:rsid w:val="001A59CC"/>
    <w:rsid w:val="001A5C3F"/>
    <w:rsid w:val="001A5D4B"/>
    <w:rsid w:val="001A6049"/>
    <w:rsid w:val="001A6148"/>
    <w:rsid w:val="001A637B"/>
    <w:rsid w:val="001A6555"/>
    <w:rsid w:val="001A6556"/>
    <w:rsid w:val="001A6571"/>
    <w:rsid w:val="001A67BC"/>
    <w:rsid w:val="001A6915"/>
    <w:rsid w:val="001A6F6C"/>
    <w:rsid w:val="001A7052"/>
    <w:rsid w:val="001A7319"/>
    <w:rsid w:val="001A798E"/>
    <w:rsid w:val="001A7EFB"/>
    <w:rsid w:val="001B013E"/>
    <w:rsid w:val="001B080A"/>
    <w:rsid w:val="001B0AC9"/>
    <w:rsid w:val="001B0FAD"/>
    <w:rsid w:val="001B119C"/>
    <w:rsid w:val="001B11D7"/>
    <w:rsid w:val="001B1257"/>
    <w:rsid w:val="001B15A8"/>
    <w:rsid w:val="001B1D5B"/>
    <w:rsid w:val="001B1DC4"/>
    <w:rsid w:val="001B21F8"/>
    <w:rsid w:val="001B2B56"/>
    <w:rsid w:val="001B2E7E"/>
    <w:rsid w:val="001B307E"/>
    <w:rsid w:val="001B3812"/>
    <w:rsid w:val="001B393D"/>
    <w:rsid w:val="001B3FC2"/>
    <w:rsid w:val="001B40E1"/>
    <w:rsid w:val="001B4655"/>
    <w:rsid w:val="001B48C2"/>
    <w:rsid w:val="001B4F1D"/>
    <w:rsid w:val="001B5293"/>
    <w:rsid w:val="001B5AD0"/>
    <w:rsid w:val="001B5D10"/>
    <w:rsid w:val="001B6537"/>
    <w:rsid w:val="001B6A20"/>
    <w:rsid w:val="001B6D80"/>
    <w:rsid w:val="001B6FD7"/>
    <w:rsid w:val="001B72C3"/>
    <w:rsid w:val="001B74D5"/>
    <w:rsid w:val="001B7908"/>
    <w:rsid w:val="001B7B11"/>
    <w:rsid w:val="001B7E40"/>
    <w:rsid w:val="001C01C5"/>
    <w:rsid w:val="001C087A"/>
    <w:rsid w:val="001C0C20"/>
    <w:rsid w:val="001C0D9A"/>
    <w:rsid w:val="001C0ECA"/>
    <w:rsid w:val="001C0FDD"/>
    <w:rsid w:val="001C13A6"/>
    <w:rsid w:val="001C1768"/>
    <w:rsid w:val="001C19EF"/>
    <w:rsid w:val="001C29D1"/>
    <w:rsid w:val="001C2A6B"/>
    <w:rsid w:val="001C358D"/>
    <w:rsid w:val="001C3FC4"/>
    <w:rsid w:val="001C40E0"/>
    <w:rsid w:val="001C418C"/>
    <w:rsid w:val="001C4D9E"/>
    <w:rsid w:val="001C4FC8"/>
    <w:rsid w:val="001C5061"/>
    <w:rsid w:val="001C533F"/>
    <w:rsid w:val="001C5502"/>
    <w:rsid w:val="001C5588"/>
    <w:rsid w:val="001C5775"/>
    <w:rsid w:val="001C583A"/>
    <w:rsid w:val="001C5B5B"/>
    <w:rsid w:val="001C6686"/>
    <w:rsid w:val="001C6941"/>
    <w:rsid w:val="001C770A"/>
    <w:rsid w:val="001C7E96"/>
    <w:rsid w:val="001C7FF3"/>
    <w:rsid w:val="001D0218"/>
    <w:rsid w:val="001D02CA"/>
    <w:rsid w:val="001D040C"/>
    <w:rsid w:val="001D0714"/>
    <w:rsid w:val="001D09F0"/>
    <w:rsid w:val="001D0D89"/>
    <w:rsid w:val="001D11AF"/>
    <w:rsid w:val="001D13B1"/>
    <w:rsid w:val="001D1A95"/>
    <w:rsid w:val="001D1D60"/>
    <w:rsid w:val="001D1DBD"/>
    <w:rsid w:val="001D1EBD"/>
    <w:rsid w:val="001D2267"/>
    <w:rsid w:val="001D2F7F"/>
    <w:rsid w:val="001D303A"/>
    <w:rsid w:val="001D31D0"/>
    <w:rsid w:val="001D35D2"/>
    <w:rsid w:val="001D35D5"/>
    <w:rsid w:val="001D3885"/>
    <w:rsid w:val="001D3B78"/>
    <w:rsid w:val="001D3EB2"/>
    <w:rsid w:val="001D3F91"/>
    <w:rsid w:val="001D4388"/>
    <w:rsid w:val="001D441D"/>
    <w:rsid w:val="001D46DD"/>
    <w:rsid w:val="001D49A2"/>
    <w:rsid w:val="001D49CD"/>
    <w:rsid w:val="001D4ABF"/>
    <w:rsid w:val="001D4EAA"/>
    <w:rsid w:val="001D56CD"/>
    <w:rsid w:val="001D56DF"/>
    <w:rsid w:val="001D578A"/>
    <w:rsid w:val="001D5AB4"/>
    <w:rsid w:val="001D5B37"/>
    <w:rsid w:val="001D5D52"/>
    <w:rsid w:val="001D6002"/>
    <w:rsid w:val="001D67D4"/>
    <w:rsid w:val="001D6A26"/>
    <w:rsid w:val="001D6A4C"/>
    <w:rsid w:val="001D6ACC"/>
    <w:rsid w:val="001D7311"/>
    <w:rsid w:val="001D7531"/>
    <w:rsid w:val="001D761F"/>
    <w:rsid w:val="001D7936"/>
    <w:rsid w:val="001D7A1D"/>
    <w:rsid w:val="001D7D90"/>
    <w:rsid w:val="001D7E87"/>
    <w:rsid w:val="001E00E6"/>
    <w:rsid w:val="001E01D4"/>
    <w:rsid w:val="001E020D"/>
    <w:rsid w:val="001E02FB"/>
    <w:rsid w:val="001E0803"/>
    <w:rsid w:val="001E096D"/>
    <w:rsid w:val="001E0A26"/>
    <w:rsid w:val="001E0C0E"/>
    <w:rsid w:val="001E121D"/>
    <w:rsid w:val="001E1466"/>
    <w:rsid w:val="001E1631"/>
    <w:rsid w:val="001E1A6F"/>
    <w:rsid w:val="001E1AE5"/>
    <w:rsid w:val="001E1C9C"/>
    <w:rsid w:val="001E1DF4"/>
    <w:rsid w:val="001E1E7B"/>
    <w:rsid w:val="001E1EC0"/>
    <w:rsid w:val="001E26CE"/>
    <w:rsid w:val="001E29D0"/>
    <w:rsid w:val="001E2D25"/>
    <w:rsid w:val="001E2E2A"/>
    <w:rsid w:val="001E2F80"/>
    <w:rsid w:val="001E301D"/>
    <w:rsid w:val="001E32C1"/>
    <w:rsid w:val="001E341E"/>
    <w:rsid w:val="001E38BD"/>
    <w:rsid w:val="001E4B57"/>
    <w:rsid w:val="001E4F53"/>
    <w:rsid w:val="001E5094"/>
    <w:rsid w:val="001E55FE"/>
    <w:rsid w:val="001E5B3F"/>
    <w:rsid w:val="001E603A"/>
    <w:rsid w:val="001E640A"/>
    <w:rsid w:val="001E6410"/>
    <w:rsid w:val="001E6933"/>
    <w:rsid w:val="001E6966"/>
    <w:rsid w:val="001E69E3"/>
    <w:rsid w:val="001E6C54"/>
    <w:rsid w:val="001E6C8B"/>
    <w:rsid w:val="001E6D6A"/>
    <w:rsid w:val="001E72A8"/>
    <w:rsid w:val="001E7751"/>
    <w:rsid w:val="001E77EB"/>
    <w:rsid w:val="001E7856"/>
    <w:rsid w:val="001E79CF"/>
    <w:rsid w:val="001E7CB7"/>
    <w:rsid w:val="001E7ED4"/>
    <w:rsid w:val="001F07A4"/>
    <w:rsid w:val="001F0BBD"/>
    <w:rsid w:val="001F12E7"/>
    <w:rsid w:val="001F2125"/>
    <w:rsid w:val="001F25A7"/>
    <w:rsid w:val="001F2AF2"/>
    <w:rsid w:val="001F2B28"/>
    <w:rsid w:val="001F2B81"/>
    <w:rsid w:val="001F30C2"/>
    <w:rsid w:val="001F3DCE"/>
    <w:rsid w:val="001F3E8E"/>
    <w:rsid w:val="001F3EF6"/>
    <w:rsid w:val="001F3F35"/>
    <w:rsid w:val="001F453B"/>
    <w:rsid w:val="001F4818"/>
    <w:rsid w:val="001F48D3"/>
    <w:rsid w:val="001F4908"/>
    <w:rsid w:val="001F503F"/>
    <w:rsid w:val="001F5213"/>
    <w:rsid w:val="001F5301"/>
    <w:rsid w:val="001F5534"/>
    <w:rsid w:val="001F5587"/>
    <w:rsid w:val="001F5968"/>
    <w:rsid w:val="001F5ADF"/>
    <w:rsid w:val="001F5AEA"/>
    <w:rsid w:val="001F5CDB"/>
    <w:rsid w:val="001F5F8F"/>
    <w:rsid w:val="001F6239"/>
    <w:rsid w:val="001F64F8"/>
    <w:rsid w:val="001F6BB9"/>
    <w:rsid w:val="001F6CD3"/>
    <w:rsid w:val="001F6CF9"/>
    <w:rsid w:val="001F6F44"/>
    <w:rsid w:val="001F6F90"/>
    <w:rsid w:val="001F7490"/>
    <w:rsid w:val="001F76D7"/>
    <w:rsid w:val="001F78A0"/>
    <w:rsid w:val="00200703"/>
    <w:rsid w:val="002007DD"/>
    <w:rsid w:val="0020095A"/>
    <w:rsid w:val="002011FF"/>
    <w:rsid w:val="00201294"/>
    <w:rsid w:val="002017B0"/>
    <w:rsid w:val="00201E50"/>
    <w:rsid w:val="00201EB7"/>
    <w:rsid w:val="0020331A"/>
    <w:rsid w:val="00203A50"/>
    <w:rsid w:val="00203A7D"/>
    <w:rsid w:val="00204674"/>
    <w:rsid w:val="002046D2"/>
    <w:rsid w:val="00204726"/>
    <w:rsid w:val="0020525F"/>
    <w:rsid w:val="00205CB9"/>
    <w:rsid w:val="00205E39"/>
    <w:rsid w:val="00206211"/>
    <w:rsid w:val="0020643B"/>
    <w:rsid w:val="00206551"/>
    <w:rsid w:val="002065C9"/>
    <w:rsid w:val="0020687F"/>
    <w:rsid w:val="00206E85"/>
    <w:rsid w:val="00206F93"/>
    <w:rsid w:val="0020716B"/>
    <w:rsid w:val="002072C5"/>
    <w:rsid w:val="00207768"/>
    <w:rsid w:val="0020788D"/>
    <w:rsid w:val="00207A06"/>
    <w:rsid w:val="00207A52"/>
    <w:rsid w:val="00207AA4"/>
    <w:rsid w:val="00210475"/>
    <w:rsid w:val="002113A3"/>
    <w:rsid w:val="00211569"/>
    <w:rsid w:val="0021174D"/>
    <w:rsid w:val="00211783"/>
    <w:rsid w:val="002117CC"/>
    <w:rsid w:val="002119C7"/>
    <w:rsid w:val="00211E7F"/>
    <w:rsid w:val="0021230B"/>
    <w:rsid w:val="002124D1"/>
    <w:rsid w:val="00212793"/>
    <w:rsid w:val="00212E6C"/>
    <w:rsid w:val="00213236"/>
    <w:rsid w:val="0021328B"/>
    <w:rsid w:val="0021398B"/>
    <w:rsid w:val="00213ED0"/>
    <w:rsid w:val="00214320"/>
    <w:rsid w:val="0021443B"/>
    <w:rsid w:val="002148D4"/>
    <w:rsid w:val="00214B81"/>
    <w:rsid w:val="00214D8A"/>
    <w:rsid w:val="00214DD1"/>
    <w:rsid w:val="002156CB"/>
    <w:rsid w:val="00215BA4"/>
    <w:rsid w:val="00215D1A"/>
    <w:rsid w:val="00216030"/>
    <w:rsid w:val="002160CD"/>
    <w:rsid w:val="00216AE9"/>
    <w:rsid w:val="00216B29"/>
    <w:rsid w:val="00216F86"/>
    <w:rsid w:val="00217021"/>
    <w:rsid w:val="0021756C"/>
    <w:rsid w:val="00217C9D"/>
    <w:rsid w:val="00217F51"/>
    <w:rsid w:val="0022008F"/>
    <w:rsid w:val="002201CE"/>
    <w:rsid w:val="002202EB"/>
    <w:rsid w:val="0022065B"/>
    <w:rsid w:val="0022092E"/>
    <w:rsid w:val="00220E1A"/>
    <w:rsid w:val="002210BD"/>
    <w:rsid w:val="002210E9"/>
    <w:rsid w:val="002216EC"/>
    <w:rsid w:val="0022190E"/>
    <w:rsid w:val="00221FC2"/>
    <w:rsid w:val="002220F7"/>
    <w:rsid w:val="00222C68"/>
    <w:rsid w:val="00222C97"/>
    <w:rsid w:val="00223058"/>
    <w:rsid w:val="00223CB3"/>
    <w:rsid w:val="00224105"/>
    <w:rsid w:val="002243F0"/>
    <w:rsid w:val="002245E7"/>
    <w:rsid w:val="00224710"/>
    <w:rsid w:val="00224CCC"/>
    <w:rsid w:val="00224E05"/>
    <w:rsid w:val="00225195"/>
    <w:rsid w:val="002254DA"/>
    <w:rsid w:val="002258D0"/>
    <w:rsid w:val="002258EC"/>
    <w:rsid w:val="0022593A"/>
    <w:rsid w:val="00225A9E"/>
    <w:rsid w:val="00226103"/>
    <w:rsid w:val="0022615E"/>
    <w:rsid w:val="002264E5"/>
    <w:rsid w:val="00226BA0"/>
    <w:rsid w:val="00226BF5"/>
    <w:rsid w:val="00226C8E"/>
    <w:rsid w:val="00226DD7"/>
    <w:rsid w:val="00227FB1"/>
    <w:rsid w:val="00230061"/>
    <w:rsid w:val="002300F2"/>
    <w:rsid w:val="00230446"/>
    <w:rsid w:val="002304BE"/>
    <w:rsid w:val="002306BA"/>
    <w:rsid w:val="00231049"/>
    <w:rsid w:val="002310C6"/>
    <w:rsid w:val="002314D2"/>
    <w:rsid w:val="00231826"/>
    <w:rsid w:val="00231981"/>
    <w:rsid w:val="00231B2A"/>
    <w:rsid w:val="00232344"/>
    <w:rsid w:val="002325B5"/>
    <w:rsid w:val="0023268B"/>
    <w:rsid w:val="002326C7"/>
    <w:rsid w:val="00232EE8"/>
    <w:rsid w:val="00232FA0"/>
    <w:rsid w:val="00233003"/>
    <w:rsid w:val="00233425"/>
    <w:rsid w:val="002335FD"/>
    <w:rsid w:val="002337EF"/>
    <w:rsid w:val="00233879"/>
    <w:rsid w:val="0023388B"/>
    <w:rsid w:val="002339BA"/>
    <w:rsid w:val="00233DA0"/>
    <w:rsid w:val="0023455B"/>
    <w:rsid w:val="002347DB"/>
    <w:rsid w:val="00234982"/>
    <w:rsid w:val="00234A81"/>
    <w:rsid w:val="00234A9D"/>
    <w:rsid w:val="00234AD2"/>
    <w:rsid w:val="0023586C"/>
    <w:rsid w:val="00235C79"/>
    <w:rsid w:val="00235E0A"/>
    <w:rsid w:val="00236007"/>
    <w:rsid w:val="0023614C"/>
    <w:rsid w:val="002361DD"/>
    <w:rsid w:val="0023625D"/>
    <w:rsid w:val="002365F3"/>
    <w:rsid w:val="00236903"/>
    <w:rsid w:val="00236A40"/>
    <w:rsid w:val="00236DC8"/>
    <w:rsid w:val="002372A6"/>
    <w:rsid w:val="002377BC"/>
    <w:rsid w:val="00237A63"/>
    <w:rsid w:val="00237C49"/>
    <w:rsid w:val="00237C94"/>
    <w:rsid w:val="00237D51"/>
    <w:rsid w:val="00237DD7"/>
    <w:rsid w:val="00237E76"/>
    <w:rsid w:val="002403E4"/>
    <w:rsid w:val="002405F4"/>
    <w:rsid w:val="002407A7"/>
    <w:rsid w:val="00240AD1"/>
    <w:rsid w:val="00240D58"/>
    <w:rsid w:val="00240EDC"/>
    <w:rsid w:val="00241A89"/>
    <w:rsid w:val="00241C60"/>
    <w:rsid w:val="002420AE"/>
    <w:rsid w:val="002424D6"/>
    <w:rsid w:val="00242570"/>
    <w:rsid w:val="00242879"/>
    <w:rsid w:val="00242C02"/>
    <w:rsid w:val="002445C3"/>
    <w:rsid w:val="0024483E"/>
    <w:rsid w:val="00244ADB"/>
    <w:rsid w:val="002450B1"/>
    <w:rsid w:val="00245237"/>
    <w:rsid w:val="00245481"/>
    <w:rsid w:val="00245495"/>
    <w:rsid w:val="002457C8"/>
    <w:rsid w:val="002461CD"/>
    <w:rsid w:val="00246379"/>
    <w:rsid w:val="002466FC"/>
    <w:rsid w:val="0024674F"/>
    <w:rsid w:val="0024683F"/>
    <w:rsid w:val="00246C0C"/>
    <w:rsid w:val="00247316"/>
    <w:rsid w:val="00247A37"/>
    <w:rsid w:val="00247ED3"/>
    <w:rsid w:val="002500A5"/>
    <w:rsid w:val="00250259"/>
    <w:rsid w:val="00250790"/>
    <w:rsid w:val="00250995"/>
    <w:rsid w:val="00250D37"/>
    <w:rsid w:val="00250F9F"/>
    <w:rsid w:val="002511CD"/>
    <w:rsid w:val="0025122B"/>
    <w:rsid w:val="00251273"/>
    <w:rsid w:val="00251454"/>
    <w:rsid w:val="002517E8"/>
    <w:rsid w:val="00251D70"/>
    <w:rsid w:val="00251EE1"/>
    <w:rsid w:val="00251F78"/>
    <w:rsid w:val="002522E2"/>
    <w:rsid w:val="002528FF"/>
    <w:rsid w:val="00252A1C"/>
    <w:rsid w:val="00252A34"/>
    <w:rsid w:val="00252B73"/>
    <w:rsid w:val="00252F67"/>
    <w:rsid w:val="00252FA7"/>
    <w:rsid w:val="00253500"/>
    <w:rsid w:val="002538EA"/>
    <w:rsid w:val="00253A90"/>
    <w:rsid w:val="00253C1A"/>
    <w:rsid w:val="00253C5B"/>
    <w:rsid w:val="00253D78"/>
    <w:rsid w:val="00253DAC"/>
    <w:rsid w:val="00253FB9"/>
    <w:rsid w:val="0025457C"/>
    <w:rsid w:val="002545FE"/>
    <w:rsid w:val="0025490C"/>
    <w:rsid w:val="0025498E"/>
    <w:rsid w:val="00254A96"/>
    <w:rsid w:val="00254B6E"/>
    <w:rsid w:val="002554FF"/>
    <w:rsid w:val="002555EF"/>
    <w:rsid w:val="00255861"/>
    <w:rsid w:val="002559E7"/>
    <w:rsid w:val="00255A27"/>
    <w:rsid w:val="00255BCD"/>
    <w:rsid w:val="00255BDA"/>
    <w:rsid w:val="00255DD7"/>
    <w:rsid w:val="0025629C"/>
    <w:rsid w:val="00256645"/>
    <w:rsid w:val="002566B4"/>
    <w:rsid w:val="00256CC3"/>
    <w:rsid w:val="002573AC"/>
    <w:rsid w:val="0025775E"/>
    <w:rsid w:val="00257AD1"/>
    <w:rsid w:val="00257AEE"/>
    <w:rsid w:val="0026026D"/>
    <w:rsid w:val="00260317"/>
    <w:rsid w:val="00260854"/>
    <w:rsid w:val="00260A4D"/>
    <w:rsid w:val="00260A71"/>
    <w:rsid w:val="00260B65"/>
    <w:rsid w:val="00260C7C"/>
    <w:rsid w:val="00260F22"/>
    <w:rsid w:val="0026100C"/>
    <w:rsid w:val="00261022"/>
    <w:rsid w:val="002610C5"/>
    <w:rsid w:val="0026134E"/>
    <w:rsid w:val="00261613"/>
    <w:rsid w:val="00261692"/>
    <w:rsid w:val="0026255A"/>
    <w:rsid w:val="002625DF"/>
    <w:rsid w:val="00262DAA"/>
    <w:rsid w:val="00262DC4"/>
    <w:rsid w:val="00263306"/>
    <w:rsid w:val="002637D4"/>
    <w:rsid w:val="00263B6C"/>
    <w:rsid w:val="00263F7A"/>
    <w:rsid w:val="00264125"/>
    <w:rsid w:val="002645DE"/>
    <w:rsid w:val="002648A4"/>
    <w:rsid w:val="00264B24"/>
    <w:rsid w:val="00265102"/>
    <w:rsid w:val="002652D0"/>
    <w:rsid w:val="00265786"/>
    <w:rsid w:val="00265834"/>
    <w:rsid w:val="00265C0C"/>
    <w:rsid w:val="002660EE"/>
    <w:rsid w:val="00266395"/>
    <w:rsid w:val="00266416"/>
    <w:rsid w:val="00266C63"/>
    <w:rsid w:val="00266CB0"/>
    <w:rsid w:val="00266DBF"/>
    <w:rsid w:val="00267100"/>
    <w:rsid w:val="00267564"/>
    <w:rsid w:val="002676CB"/>
    <w:rsid w:val="002676CD"/>
    <w:rsid w:val="00267E20"/>
    <w:rsid w:val="00270210"/>
    <w:rsid w:val="002703C8"/>
    <w:rsid w:val="00271EB4"/>
    <w:rsid w:val="0027259D"/>
    <w:rsid w:val="0027263D"/>
    <w:rsid w:val="00272898"/>
    <w:rsid w:val="0027309C"/>
    <w:rsid w:val="002730CC"/>
    <w:rsid w:val="0027325C"/>
    <w:rsid w:val="0027334E"/>
    <w:rsid w:val="00273896"/>
    <w:rsid w:val="00273B38"/>
    <w:rsid w:val="00273CC4"/>
    <w:rsid w:val="00273CFD"/>
    <w:rsid w:val="0027409B"/>
    <w:rsid w:val="0027449B"/>
    <w:rsid w:val="002748CF"/>
    <w:rsid w:val="0027493E"/>
    <w:rsid w:val="00274D0D"/>
    <w:rsid w:val="00274D88"/>
    <w:rsid w:val="002750A7"/>
    <w:rsid w:val="00275900"/>
    <w:rsid w:val="0027590B"/>
    <w:rsid w:val="0027644A"/>
    <w:rsid w:val="00276F93"/>
    <w:rsid w:val="00277249"/>
    <w:rsid w:val="0027777E"/>
    <w:rsid w:val="00277AA0"/>
    <w:rsid w:val="00280082"/>
    <w:rsid w:val="002802FE"/>
    <w:rsid w:val="0028037F"/>
    <w:rsid w:val="00280753"/>
    <w:rsid w:val="002807D4"/>
    <w:rsid w:val="002808FA"/>
    <w:rsid w:val="00280BBD"/>
    <w:rsid w:val="00281C2F"/>
    <w:rsid w:val="00282456"/>
    <w:rsid w:val="0028249F"/>
    <w:rsid w:val="002824B4"/>
    <w:rsid w:val="00282929"/>
    <w:rsid w:val="00282D4F"/>
    <w:rsid w:val="00282FE2"/>
    <w:rsid w:val="0028322E"/>
    <w:rsid w:val="00283667"/>
    <w:rsid w:val="00283896"/>
    <w:rsid w:val="00283C69"/>
    <w:rsid w:val="00284013"/>
    <w:rsid w:val="002841A3"/>
    <w:rsid w:val="00284628"/>
    <w:rsid w:val="00284C33"/>
    <w:rsid w:val="00284D67"/>
    <w:rsid w:val="00285055"/>
    <w:rsid w:val="002852B0"/>
    <w:rsid w:val="00285328"/>
    <w:rsid w:val="002855D3"/>
    <w:rsid w:val="0028563C"/>
    <w:rsid w:val="00285770"/>
    <w:rsid w:val="00285851"/>
    <w:rsid w:val="00285969"/>
    <w:rsid w:val="00285A75"/>
    <w:rsid w:val="0028610C"/>
    <w:rsid w:val="00286430"/>
    <w:rsid w:val="00286907"/>
    <w:rsid w:val="00286A62"/>
    <w:rsid w:val="002870A1"/>
    <w:rsid w:val="00287A55"/>
    <w:rsid w:val="00287E67"/>
    <w:rsid w:val="00290707"/>
    <w:rsid w:val="00290C22"/>
    <w:rsid w:val="00290E34"/>
    <w:rsid w:val="00290F53"/>
    <w:rsid w:val="00290FCB"/>
    <w:rsid w:val="002911F4"/>
    <w:rsid w:val="00291360"/>
    <w:rsid w:val="00291810"/>
    <w:rsid w:val="00291D2B"/>
    <w:rsid w:val="002920A1"/>
    <w:rsid w:val="00292173"/>
    <w:rsid w:val="00292481"/>
    <w:rsid w:val="00292874"/>
    <w:rsid w:val="00292896"/>
    <w:rsid w:val="00293986"/>
    <w:rsid w:val="00293D41"/>
    <w:rsid w:val="00293E0C"/>
    <w:rsid w:val="002940EC"/>
    <w:rsid w:val="002944F1"/>
    <w:rsid w:val="00294834"/>
    <w:rsid w:val="00294836"/>
    <w:rsid w:val="00294AD9"/>
    <w:rsid w:val="00294DFB"/>
    <w:rsid w:val="00295B9D"/>
    <w:rsid w:val="00295C52"/>
    <w:rsid w:val="0029621F"/>
    <w:rsid w:val="00296575"/>
    <w:rsid w:val="002967BF"/>
    <w:rsid w:val="00296AF2"/>
    <w:rsid w:val="00296BCC"/>
    <w:rsid w:val="00296D9D"/>
    <w:rsid w:val="002972A1"/>
    <w:rsid w:val="0029736B"/>
    <w:rsid w:val="0029756E"/>
    <w:rsid w:val="00297D18"/>
    <w:rsid w:val="002A02DE"/>
    <w:rsid w:val="002A03EC"/>
    <w:rsid w:val="002A06AF"/>
    <w:rsid w:val="002A07F4"/>
    <w:rsid w:val="002A089B"/>
    <w:rsid w:val="002A0973"/>
    <w:rsid w:val="002A099F"/>
    <w:rsid w:val="002A0D4B"/>
    <w:rsid w:val="002A1C53"/>
    <w:rsid w:val="002A23ED"/>
    <w:rsid w:val="002A2547"/>
    <w:rsid w:val="002A26AE"/>
    <w:rsid w:val="002A2ABB"/>
    <w:rsid w:val="002A2C6A"/>
    <w:rsid w:val="002A34BB"/>
    <w:rsid w:val="002A4AB9"/>
    <w:rsid w:val="002A5534"/>
    <w:rsid w:val="002A57E7"/>
    <w:rsid w:val="002A5A3C"/>
    <w:rsid w:val="002A5EBF"/>
    <w:rsid w:val="002A61F1"/>
    <w:rsid w:val="002A624B"/>
    <w:rsid w:val="002A6472"/>
    <w:rsid w:val="002A66A3"/>
    <w:rsid w:val="002A6805"/>
    <w:rsid w:val="002A6847"/>
    <w:rsid w:val="002A6CCB"/>
    <w:rsid w:val="002A78B7"/>
    <w:rsid w:val="002A78CE"/>
    <w:rsid w:val="002B06B8"/>
    <w:rsid w:val="002B0A53"/>
    <w:rsid w:val="002B0A85"/>
    <w:rsid w:val="002B0C12"/>
    <w:rsid w:val="002B0F97"/>
    <w:rsid w:val="002B146C"/>
    <w:rsid w:val="002B158F"/>
    <w:rsid w:val="002B192D"/>
    <w:rsid w:val="002B1BB0"/>
    <w:rsid w:val="002B1BCA"/>
    <w:rsid w:val="002B1D60"/>
    <w:rsid w:val="002B1EDE"/>
    <w:rsid w:val="002B28C3"/>
    <w:rsid w:val="002B28F5"/>
    <w:rsid w:val="002B2AEE"/>
    <w:rsid w:val="002B2EBC"/>
    <w:rsid w:val="002B2EC2"/>
    <w:rsid w:val="002B3192"/>
    <w:rsid w:val="002B32D7"/>
    <w:rsid w:val="002B35F0"/>
    <w:rsid w:val="002B3829"/>
    <w:rsid w:val="002B4145"/>
    <w:rsid w:val="002B4517"/>
    <w:rsid w:val="002B4526"/>
    <w:rsid w:val="002B4954"/>
    <w:rsid w:val="002B4D4D"/>
    <w:rsid w:val="002B58B4"/>
    <w:rsid w:val="002B5BCE"/>
    <w:rsid w:val="002B5C39"/>
    <w:rsid w:val="002B636F"/>
    <w:rsid w:val="002B6605"/>
    <w:rsid w:val="002B6A90"/>
    <w:rsid w:val="002B6C7D"/>
    <w:rsid w:val="002B6E29"/>
    <w:rsid w:val="002B6E8B"/>
    <w:rsid w:val="002B6FD5"/>
    <w:rsid w:val="002B7968"/>
    <w:rsid w:val="002C00AF"/>
    <w:rsid w:val="002C02FD"/>
    <w:rsid w:val="002C08FC"/>
    <w:rsid w:val="002C099E"/>
    <w:rsid w:val="002C1251"/>
    <w:rsid w:val="002C12AC"/>
    <w:rsid w:val="002C165B"/>
    <w:rsid w:val="002C1745"/>
    <w:rsid w:val="002C1B18"/>
    <w:rsid w:val="002C1C17"/>
    <w:rsid w:val="002C1F03"/>
    <w:rsid w:val="002C234C"/>
    <w:rsid w:val="002C2650"/>
    <w:rsid w:val="002C2E1D"/>
    <w:rsid w:val="002C2F64"/>
    <w:rsid w:val="002C3042"/>
    <w:rsid w:val="002C30BB"/>
    <w:rsid w:val="002C3286"/>
    <w:rsid w:val="002C34A9"/>
    <w:rsid w:val="002C35C3"/>
    <w:rsid w:val="002C42C0"/>
    <w:rsid w:val="002C4871"/>
    <w:rsid w:val="002C4A18"/>
    <w:rsid w:val="002C4A67"/>
    <w:rsid w:val="002C4E66"/>
    <w:rsid w:val="002C5369"/>
    <w:rsid w:val="002C57A0"/>
    <w:rsid w:val="002C5846"/>
    <w:rsid w:val="002C62B7"/>
    <w:rsid w:val="002C630A"/>
    <w:rsid w:val="002C6642"/>
    <w:rsid w:val="002C6D17"/>
    <w:rsid w:val="002C6DC5"/>
    <w:rsid w:val="002C6DD9"/>
    <w:rsid w:val="002C72F5"/>
    <w:rsid w:val="002C7664"/>
    <w:rsid w:val="002C789A"/>
    <w:rsid w:val="002C7D9D"/>
    <w:rsid w:val="002C7F57"/>
    <w:rsid w:val="002D00FE"/>
    <w:rsid w:val="002D0B5B"/>
    <w:rsid w:val="002D0BDD"/>
    <w:rsid w:val="002D13DF"/>
    <w:rsid w:val="002D1694"/>
    <w:rsid w:val="002D1C81"/>
    <w:rsid w:val="002D1F90"/>
    <w:rsid w:val="002D21B4"/>
    <w:rsid w:val="002D22BB"/>
    <w:rsid w:val="002D28A0"/>
    <w:rsid w:val="002D29CB"/>
    <w:rsid w:val="002D2A23"/>
    <w:rsid w:val="002D2BAC"/>
    <w:rsid w:val="002D2E48"/>
    <w:rsid w:val="002D307F"/>
    <w:rsid w:val="002D317E"/>
    <w:rsid w:val="002D32A2"/>
    <w:rsid w:val="002D32B9"/>
    <w:rsid w:val="002D3990"/>
    <w:rsid w:val="002D3DB4"/>
    <w:rsid w:val="002D40E0"/>
    <w:rsid w:val="002D42F6"/>
    <w:rsid w:val="002D488F"/>
    <w:rsid w:val="002D4A87"/>
    <w:rsid w:val="002D4E02"/>
    <w:rsid w:val="002D5080"/>
    <w:rsid w:val="002D59B5"/>
    <w:rsid w:val="002D5D9C"/>
    <w:rsid w:val="002D5E59"/>
    <w:rsid w:val="002D5F99"/>
    <w:rsid w:val="002D605F"/>
    <w:rsid w:val="002D6135"/>
    <w:rsid w:val="002D61D2"/>
    <w:rsid w:val="002D69CC"/>
    <w:rsid w:val="002D71AB"/>
    <w:rsid w:val="002D71C6"/>
    <w:rsid w:val="002D7489"/>
    <w:rsid w:val="002D7B1F"/>
    <w:rsid w:val="002D7C47"/>
    <w:rsid w:val="002D7DC3"/>
    <w:rsid w:val="002D7EBA"/>
    <w:rsid w:val="002D7F42"/>
    <w:rsid w:val="002E00B5"/>
    <w:rsid w:val="002E0154"/>
    <w:rsid w:val="002E02D9"/>
    <w:rsid w:val="002E05F6"/>
    <w:rsid w:val="002E066F"/>
    <w:rsid w:val="002E1477"/>
    <w:rsid w:val="002E14D8"/>
    <w:rsid w:val="002E187A"/>
    <w:rsid w:val="002E1AA4"/>
    <w:rsid w:val="002E1B80"/>
    <w:rsid w:val="002E1BDC"/>
    <w:rsid w:val="002E2265"/>
    <w:rsid w:val="002E22C7"/>
    <w:rsid w:val="002E2394"/>
    <w:rsid w:val="002E263D"/>
    <w:rsid w:val="002E346A"/>
    <w:rsid w:val="002E3948"/>
    <w:rsid w:val="002E39BF"/>
    <w:rsid w:val="002E4098"/>
    <w:rsid w:val="002E48B7"/>
    <w:rsid w:val="002E4A0E"/>
    <w:rsid w:val="002E4B74"/>
    <w:rsid w:val="002E4CA2"/>
    <w:rsid w:val="002E4ED8"/>
    <w:rsid w:val="002E4F32"/>
    <w:rsid w:val="002E4FB2"/>
    <w:rsid w:val="002E5292"/>
    <w:rsid w:val="002E58BC"/>
    <w:rsid w:val="002E58C4"/>
    <w:rsid w:val="002E59F8"/>
    <w:rsid w:val="002E5B9C"/>
    <w:rsid w:val="002E5D90"/>
    <w:rsid w:val="002E60A9"/>
    <w:rsid w:val="002E7415"/>
    <w:rsid w:val="002E78C0"/>
    <w:rsid w:val="002E7EC8"/>
    <w:rsid w:val="002F06A5"/>
    <w:rsid w:val="002F0916"/>
    <w:rsid w:val="002F0952"/>
    <w:rsid w:val="002F0CCE"/>
    <w:rsid w:val="002F1777"/>
    <w:rsid w:val="002F1974"/>
    <w:rsid w:val="002F1EF2"/>
    <w:rsid w:val="002F2305"/>
    <w:rsid w:val="002F2592"/>
    <w:rsid w:val="002F25DD"/>
    <w:rsid w:val="002F2972"/>
    <w:rsid w:val="002F2B41"/>
    <w:rsid w:val="002F33ED"/>
    <w:rsid w:val="002F33EF"/>
    <w:rsid w:val="002F351D"/>
    <w:rsid w:val="002F3B35"/>
    <w:rsid w:val="002F3F79"/>
    <w:rsid w:val="002F4903"/>
    <w:rsid w:val="002F4A91"/>
    <w:rsid w:val="002F4CE0"/>
    <w:rsid w:val="002F4E76"/>
    <w:rsid w:val="002F5410"/>
    <w:rsid w:val="002F566A"/>
    <w:rsid w:val="002F59D3"/>
    <w:rsid w:val="002F5A1A"/>
    <w:rsid w:val="002F5E59"/>
    <w:rsid w:val="002F617F"/>
    <w:rsid w:val="002F63E1"/>
    <w:rsid w:val="002F64DB"/>
    <w:rsid w:val="002F6B1C"/>
    <w:rsid w:val="002F6B53"/>
    <w:rsid w:val="002F6D93"/>
    <w:rsid w:val="002F6FF7"/>
    <w:rsid w:val="002F703D"/>
    <w:rsid w:val="002F7150"/>
    <w:rsid w:val="002F71D9"/>
    <w:rsid w:val="002F7418"/>
    <w:rsid w:val="002F7BD2"/>
    <w:rsid w:val="002F7FBA"/>
    <w:rsid w:val="0030098F"/>
    <w:rsid w:val="00300AEB"/>
    <w:rsid w:val="00301674"/>
    <w:rsid w:val="0030199A"/>
    <w:rsid w:val="003020D9"/>
    <w:rsid w:val="003024FF"/>
    <w:rsid w:val="00302A7E"/>
    <w:rsid w:val="00302E72"/>
    <w:rsid w:val="003031CF"/>
    <w:rsid w:val="00303960"/>
    <w:rsid w:val="00303A9C"/>
    <w:rsid w:val="00303AED"/>
    <w:rsid w:val="00303B75"/>
    <w:rsid w:val="00303F28"/>
    <w:rsid w:val="00304012"/>
    <w:rsid w:val="00304267"/>
    <w:rsid w:val="00304280"/>
    <w:rsid w:val="00304BAC"/>
    <w:rsid w:val="00305210"/>
    <w:rsid w:val="003052BA"/>
    <w:rsid w:val="00305345"/>
    <w:rsid w:val="00305713"/>
    <w:rsid w:val="0030628A"/>
    <w:rsid w:val="00306512"/>
    <w:rsid w:val="00306A98"/>
    <w:rsid w:val="00306CD8"/>
    <w:rsid w:val="0030738C"/>
    <w:rsid w:val="003073D5"/>
    <w:rsid w:val="00307F70"/>
    <w:rsid w:val="003102AD"/>
    <w:rsid w:val="003103AA"/>
    <w:rsid w:val="003103CF"/>
    <w:rsid w:val="00310590"/>
    <w:rsid w:val="00310BF4"/>
    <w:rsid w:val="00310DC7"/>
    <w:rsid w:val="00310E7D"/>
    <w:rsid w:val="003111A3"/>
    <w:rsid w:val="003114D4"/>
    <w:rsid w:val="003116E3"/>
    <w:rsid w:val="003122EB"/>
    <w:rsid w:val="003122F4"/>
    <w:rsid w:val="0031276E"/>
    <w:rsid w:val="0031280B"/>
    <w:rsid w:val="003129E9"/>
    <w:rsid w:val="00312B83"/>
    <w:rsid w:val="00312E86"/>
    <w:rsid w:val="003130D1"/>
    <w:rsid w:val="00313D74"/>
    <w:rsid w:val="00314159"/>
    <w:rsid w:val="00314757"/>
    <w:rsid w:val="003148D6"/>
    <w:rsid w:val="0031513A"/>
    <w:rsid w:val="0031538A"/>
    <w:rsid w:val="00315611"/>
    <w:rsid w:val="00315684"/>
    <w:rsid w:val="00315B92"/>
    <w:rsid w:val="003162B1"/>
    <w:rsid w:val="003164F9"/>
    <w:rsid w:val="00316C67"/>
    <w:rsid w:val="003171C6"/>
    <w:rsid w:val="003172D4"/>
    <w:rsid w:val="003172FA"/>
    <w:rsid w:val="003178FA"/>
    <w:rsid w:val="00317CFE"/>
    <w:rsid w:val="00317D7C"/>
    <w:rsid w:val="00317EB1"/>
    <w:rsid w:val="00320643"/>
    <w:rsid w:val="00320814"/>
    <w:rsid w:val="00320CE9"/>
    <w:rsid w:val="0032124C"/>
    <w:rsid w:val="00321558"/>
    <w:rsid w:val="00321B80"/>
    <w:rsid w:val="00321DE5"/>
    <w:rsid w:val="00321F33"/>
    <w:rsid w:val="00322379"/>
    <w:rsid w:val="00322464"/>
    <w:rsid w:val="00322760"/>
    <w:rsid w:val="00322A4C"/>
    <w:rsid w:val="00322F9C"/>
    <w:rsid w:val="003230C5"/>
    <w:rsid w:val="003232F1"/>
    <w:rsid w:val="00323440"/>
    <w:rsid w:val="00323C55"/>
    <w:rsid w:val="0032416D"/>
    <w:rsid w:val="0032426E"/>
    <w:rsid w:val="0032493F"/>
    <w:rsid w:val="00324BF9"/>
    <w:rsid w:val="003250A3"/>
    <w:rsid w:val="0032569F"/>
    <w:rsid w:val="003256EF"/>
    <w:rsid w:val="003259C9"/>
    <w:rsid w:val="00325B2C"/>
    <w:rsid w:val="00325B94"/>
    <w:rsid w:val="00325D93"/>
    <w:rsid w:val="00325E4B"/>
    <w:rsid w:val="00325FBA"/>
    <w:rsid w:val="00326184"/>
    <w:rsid w:val="00326228"/>
    <w:rsid w:val="003268D5"/>
    <w:rsid w:val="0032693D"/>
    <w:rsid w:val="0032700C"/>
    <w:rsid w:val="0032704A"/>
    <w:rsid w:val="00327589"/>
    <w:rsid w:val="003303E6"/>
    <w:rsid w:val="003305F5"/>
    <w:rsid w:val="003306CF"/>
    <w:rsid w:val="00330BFE"/>
    <w:rsid w:val="00330E61"/>
    <w:rsid w:val="00331402"/>
    <w:rsid w:val="00331900"/>
    <w:rsid w:val="00331909"/>
    <w:rsid w:val="00331AA0"/>
    <w:rsid w:val="00331F75"/>
    <w:rsid w:val="003321F8"/>
    <w:rsid w:val="00332D3A"/>
    <w:rsid w:val="00332F8A"/>
    <w:rsid w:val="00332FB4"/>
    <w:rsid w:val="003336D1"/>
    <w:rsid w:val="003338FD"/>
    <w:rsid w:val="003345D3"/>
    <w:rsid w:val="0033472D"/>
    <w:rsid w:val="00334997"/>
    <w:rsid w:val="00334FF4"/>
    <w:rsid w:val="003355FD"/>
    <w:rsid w:val="00335B02"/>
    <w:rsid w:val="00335DA7"/>
    <w:rsid w:val="00336197"/>
    <w:rsid w:val="00337504"/>
    <w:rsid w:val="00337737"/>
    <w:rsid w:val="00340717"/>
    <w:rsid w:val="00340B72"/>
    <w:rsid w:val="00340BCC"/>
    <w:rsid w:val="00340E3C"/>
    <w:rsid w:val="00340E71"/>
    <w:rsid w:val="00340EE3"/>
    <w:rsid w:val="003411FA"/>
    <w:rsid w:val="003412B7"/>
    <w:rsid w:val="003414D3"/>
    <w:rsid w:val="00341A4A"/>
    <w:rsid w:val="00341C42"/>
    <w:rsid w:val="00341CA7"/>
    <w:rsid w:val="00341F59"/>
    <w:rsid w:val="003420A6"/>
    <w:rsid w:val="003421FB"/>
    <w:rsid w:val="003423A1"/>
    <w:rsid w:val="00342BC0"/>
    <w:rsid w:val="00342D8B"/>
    <w:rsid w:val="00342F9D"/>
    <w:rsid w:val="003433C7"/>
    <w:rsid w:val="0034340B"/>
    <w:rsid w:val="00343573"/>
    <w:rsid w:val="003435D4"/>
    <w:rsid w:val="0034362F"/>
    <w:rsid w:val="00343640"/>
    <w:rsid w:val="0034372B"/>
    <w:rsid w:val="00343875"/>
    <w:rsid w:val="00343AD0"/>
    <w:rsid w:val="00343CC8"/>
    <w:rsid w:val="00343EF9"/>
    <w:rsid w:val="00343F32"/>
    <w:rsid w:val="00343FC0"/>
    <w:rsid w:val="003444F6"/>
    <w:rsid w:val="00344779"/>
    <w:rsid w:val="003449D0"/>
    <w:rsid w:val="00344D19"/>
    <w:rsid w:val="00344FE2"/>
    <w:rsid w:val="003450CA"/>
    <w:rsid w:val="00345918"/>
    <w:rsid w:val="00345BD6"/>
    <w:rsid w:val="00346374"/>
    <w:rsid w:val="003467DB"/>
    <w:rsid w:val="00347103"/>
    <w:rsid w:val="00347816"/>
    <w:rsid w:val="00347962"/>
    <w:rsid w:val="00347970"/>
    <w:rsid w:val="00347C70"/>
    <w:rsid w:val="00347E59"/>
    <w:rsid w:val="003501F5"/>
    <w:rsid w:val="00350240"/>
    <w:rsid w:val="003508FF"/>
    <w:rsid w:val="00350A84"/>
    <w:rsid w:val="00350A90"/>
    <w:rsid w:val="00350B28"/>
    <w:rsid w:val="00350DA7"/>
    <w:rsid w:val="00350DEE"/>
    <w:rsid w:val="00351A08"/>
    <w:rsid w:val="00351C8D"/>
    <w:rsid w:val="00351C90"/>
    <w:rsid w:val="00351F87"/>
    <w:rsid w:val="003521B2"/>
    <w:rsid w:val="00352558"/>
    <w:rsid w:val="0035258B"/>
    <w:rsid w:val="00352DEF"/>
    <w:rsid w:val="00352FD0"/>
    <w:rsid w:val="00353232"/>
    <w:rsid w:val="003539F2"/>
    <w:rsid w:val="00353C5D"/>
    <w:rsid w:val="00354AD7"/>
    <w:rsid w:val="00354D27"/>
    <w:rsid w:val="00354DD8"/>
    <w:rsid w:val="00354FBB"/>
    <w:rsid w:val="00355150"/>
    <w:rsid w:val="003553B1"/>
    <w:rsid w:val="003553C5"/>
    <w:rsid w:val="00355776"/>
    <w:rsid w:val="00355AC7"/>
    <w:rsid w:val="00355CFA"/>
    <w:rsid w:val="00355DD0"/>
    <w:rsid w:val="00356119"/>
    <w:rsid w:val="003564AB"/>
    <w:rsid w:val="003567D5"/>
    <w:rsid w:val="00356804"/>
    <w:rsid w:val="003568C2"/>
    <w:rsid w:val="00356A65"/>
    <w:rsid w:val="0035716E"/>
    <w:rsid w:val="003572F3"/>
    <w:rsid w:val="0035770D"/>
    <w:rsid w:val="0035783B"/>
    <w:rsid w:val="0036052B"/>
    <w:rsid w:val="003605E2"/>
    <w:rsid w:val="003607B5"/>
    <w:rsid w:val="003607F4"/>
    <w:rsid w:val="00360AC4"/>
    <w:rsid w:val="00360DB7"/>
    <w:rsid w:val="00360E94"/>
    <w:rsid w:val="003611E5"/>
    <w:rsid w:val="00361A68"/>
    <w:rsid w:val="00361D5B"/>
    <w:rsid w:val="00362467"/>
    <w:rsid w:val="003625D5"/>
    <w:rsid w:val="00362822"/>
    <w:rsid w:val="00362A83"/>
    <w:rsid w:val="00362FEF"/>
    <w:rsid w:val="00363154"/>
    <w:rsid w:val="0036439B"/>
    <w:rsid w:val="00364E1C"/>
    <w:rsid w:val="0036524D"/>
    <w:rsid w:val="003656C8"/>
    <w:rsid w:val="0036572A"/>
    <w:rsid w:val="003657EF"/>
    <w:rsid w:val="003658F9"/>
    <w:rsid w:val="00365B42"/>
    <w:rsid w:val="00365B72"/>
    <w:rsid w:val="00365CF8"/>
    <w:rsid w:val="0036616C"/>
    <w:rsid w:val="00366463"/>
    <w:rsid w:val="00366647"/>
    <w:rsid w:val="003667B5"/>
    <w:rsid w:val="00366940"/>
    <w:rsid w:val="003670D6"/>
    <w:rsid w:val="0036759F"/>
    <w:rsid w:val="003679C5"/>
    <w:rsid w:val="003701FF"/>
    <w:rsid w:val="00370328"/>
    <w:rsid w:val="003704E8"/>
    <w:rsid w:val="003707A0"/>
    <w:rsid w:val="003708DF"/>
    <w:rsid w:val="00370BF0"/>
    <w:rsid w:val="00370C88"/>
    <w:rsid w:val="00370D9F"/>
    <w:rsid w:val="003719FA"/>
    <w:rsid w:val="00371B66"/>
    <w:rsid w:val="00371C7F"/>
    <w:rsid w:val="00371F59"/>
    <w:rsid w:val="00372775"/>
    <w:rsid w:val="0037299B"/>
    <w:rsid w:val="00372A7C"/>
    <w:rsid w:val="00372D68"/>
    <w:rsid w:val="0037308B"/>
    <w:rsid w:val="003732DC"/>
    <w:rsid w:val="0037382E"/>
    <w:rsid w:val="00373869"/>
    <w:rsid w:val="00373E1E"/>
    <w:rsid w:val="00374068"/>
    <w:rsid w:val="003744B5"/>
    <w:rsid w:val="0037493F"/>
    <w:rsid w:val="00374986"/>
    <w:rsid w:val="00375115"/>
    <w:rsid w:val="00375504"/>
    <w:rsid w:val="003758E4"/>
    <w:rsid w:val="00375A85"/>
    <w:rsid w:val="00375E2E"/>
    <w:rsid w:val="00375E9F"/>
    <w:rsid w:val="0037603C"/>
    <w:rsid w:val="003760FE"/>
    <w:rsid w:val="00376473"/>
    <w:rsid w:val="003766D6"/>
    <w:rsid w:val="00377298"/>
    <w:rsid w:val="00377732"/>
    <w:rsid w:val="00377A5E"/>
    <w:rsid w:val="00377CEE"/>
    <w:rsid w:val="00377DB9"/>
    <w:rsid w:val="00380137"/>
    <w:rsid w:val="0038023F"/>
    <w:rsid w:val="0038083C"/>
    <w:rsid w:val="003809AB"/>
    <w:rsid w:val="00380D63"/>
    <w:rsid w:val="00381054"/>
    <w:rsid w:val="00381538"/>
    <w:rsid w:val="00381781"/>
    <w:rsid w:val="00382C11"/>
    <w:rsid w:val="00382EFE"/>
    <w:rsid w:val="00383459"/>
    <w:rsid w:val="003839F0"/>
    <w:rsid w:val="00383A4E"/>
    <w:rsid w:val="00383EA7"/>
    <w:rsid w:val="00383F41"/>
    <w:rsid w:val="00383FE1"/>
    <w:rsid w:val="003842FE"/>
    <w:rsid w:val="00384834"/>
    <w:rsid w:val="00384856"/>
    <w:rsid w:val="003848D1"/>
    <w:rsid w:val="00384B2F"/>
    <w:rsid w:val="00385228"/>
    <w:rsid w:val="003855F0"/>
    <w:rsid w:val="00385877"/>
    <w:rsid w:val="003858A6"/>
    <w:rsid w:val="00385EA8"/>
    <w:rsid w:val="003860FB"/>
    <w:rsid w:val="003862BC"/>
    <w:rsid w:val="00386440"/>
    <w:rsid w:val="003864E8"/>
    <w:rsid w:val="003868A8"/>
    <w:rsid w:val="00386963"/>
    <w:rsid w:val="00386982"/>
    <w:rsid w:val="00386E5D"/>
    <w:rsid w:val="00387201"/>
    <w:rsid w:val="003875C4"/>
    <w:rsid w:val="0038761D"/>
    <w:rsid w:val="00387BF7"/>
    <w:rsid w:val="00387C96"/>
    <w:rsid w:val="00387F73"/>
    <w:rsid w:val="00390327"/>
    <w:rsid w:val="003903FA"/>
    <w:rsid w:val="003904FB"/>
    <w:rsid w:val="0039077F"/>
    <w:rsid w:val="003908F2"/>
    <w:rsid w:val="00390BC6"/>
    <w:rsid w:val="00390C88"/>
    <w:rsid w:val="0039133F"/>
    <w:rsid w:val="0039186B"/>
    <w:rsid w:val="00391D83"/>
    <w:rsid w:val="00391D98"/>
    <w:rsid w:val="00391F40"/>
    <w:rsid w:val="00391F6E"/>
    <w:rsid w:val="00392DCC"/>
    <w:rsid w:val="00392E04"/>
    <w:rsid w:val="00393035"/>
    <w:rsid w:val="0039305D"/>
    <w:rsid w:val="0039306A"/>
    <w:rsid w:val="0039396E"/>
    <w:rsid w:val="00394344"/>
    <w:rsid w:val="00394468"/>
    <w:rsid w:val="003944F7"/>
    <w:rsid w:val="0039463C"/>
    <w:rsid w:val="00394786"/>
    <w:rsid w:val="00394D4C"/>
    <w:rsid w:val="00394D85"/>
    <w:rsid w:val="00395365"/>
    <w:rsid w:val="00395661"/>
    <w:rsid w:val="00395681"/>
    <w:rsid w:val="003957F5"/>
    <w:rsid w:val="00395839"/>
    <w:rsid w:val="003958A6"/>
    <w:rsid w:val="003958F7"/>
    <w:rsid w:val="00395A38"/>
    <w:rsid w:val="00396015"/>
    <w:rsid w:val="00396933"/>
    <w:rsid w:val="00396C5E"/>
    <w:rsid w:val="00396FBA"/>
    <w:rsid w:val="0039793C"/>
    <w:rsid w:val="003A0119"/>
    <w:rsid w:val="003A0153"/>
    <w:rsid w:val="003A0412"/>
    <w:rsid w:val="003A0435"/>
    <w:rsid w:val="003A04E1"/>
    <w:rsid w:val="003A0946"/>
    <w:rsid w:val="003A199F"/>
    <w:rsid w:val="003A1C46"/>
    <w:rsid w:val="003A1E21"/>
    <w:rsid w:val="003A2177"/>
    <w:rsid w:val="003A2968"/>
    <w:rsid w:val="003A2CCC"/>
    <w:rsid w:val="003A2DAB"/>
    <w:rsid w:val="003A374D"/>
    <w:rsid w:val="003A3801"/>
    <w:rsid w:val="003A39B3"/>
    <w:rsid w:val="003A3AF1"/>
    <w:rsid w:val="003A4253"/>
    <w:rsid w:val="003A46B5"/>
    <w:rsid w:val="003A4A70"/>
    <w:rsid w:val="003A523F"/>
    <w:rsid w:val="003A525C"/>
    <w:rsid w:val="003A530D"/>
    <w:rsid w:val="003A5434"/>
    <w:rsid w:val="003A5B4F"/>
    <w:rsid w:val="003A5EAA"/>
    <w:rsid w:val="003A62FF"/>
    <w:rsid w:val="003A6377"/>
    <w:rsid w:val="003A6612"/>
    <w:rsid w:val="003A70EA"/>
    <w:rsid w:val="003A7211"/>
    <w:rsid w:val="003A729C"/>
    <w:rsid w:val="003B0402"/>
    <w:rsid w:val="003B0535"/>
    <w:rsid w:val="003B07F8"/>
    <w:rsid w:val="003B0867"/>
    <w:rsid w:val="003B08E1"/>
    <w:rsid w:val="003B0A5E"/>
    <w:rsid w:val="003B0B07"/>
    <w:rsid w:val="003B0CC8"/>
    <w:rsid w:val="003B1333"/>
    <w:rsid w:val="003B19B3"/>
    <w:rsid w:val="003B1A81"/>
    <w:rsid w:val="003B1E7A"/>
    <w:rsid w:val="003B1EA3"/>
    <w:rsid w:val="003B2071"/>
    <w:rsid w:val="003B21B2"/>
    <w:rsid w:val="003B227E"/>
    <w:rsid w:val="003B23DD"/>
    <w:rsid w:val="003B25C3"/>
    <w:rsid w:val="003B2D53"/>
    <w:rsid w:val="003B3B51"/>
    <w:rsid w:val="003B3BB7"/>
    <w:rsid w:val="003B3DDF"/>
    <w:rsid w:val="003B429C"/>
    <w:rsid w:val="003B4350"/>
    <w:rsid w:val="003B4A1E"/>
    <w:rsid w:val="003B4C31"/>
    <w:rsid w:val="003B548D"/>
    <w:rsid w:val="003B563B"/>
    <w:rsid w:val="003B5949"/>
    <w:rsid w:val="003B5A35"/>
    <w:rsid w:val="003B6397"/>
    <w:rsid w:val="003B7067"/>
    <w:rsid w:val="003B71BD"/>
    <w:rsid w:val="003B7230"/>
    <w:rsid w:val="003B73E3"/>
    <w:rsid w:val="003B768D"/>
    <w:rsid w:val="003B78EF"/>
    <w:rsid w:val="003B7DBF"/>
    <w:rsid w:val="003B7E50"/>
    <w:rsid w:val="003B7F20"/>
    <w:rsid w:val="003C0842"/>
    <w:rsid w:val="003C0DD5"/>
    <w:rsid w:val="003C10D4"/>
    <w:rsid w:val="003C1709"/>
    <w:rsid w:val="003C1748"/>
    <w:rsid w:val="003C1EBF"/>
    <w:rsid w:val="003C1FB6"/>
    <w:rsid w:val="003C2052"/>
    <w:rsid w:val="003C24DF"/>
    <w:rsid w:val="003C263B"/>
    <w:rsid w:val="003C2640"/>
    <w:rsid w:val="003C2C3C"/>
    <w:rsid w:val="003C2E13"/>
    <w:rsid w:val="003C360E"/>
    <w:rsid w:val="003C3A5C"/>
    <w:rsid w:val="003C3B7B"/>
    <w:rsid w:val="003C435F"/>
    <w:rsid w:val="003C4783"/>
    <w:rsid w:val="003C5297"/>
    <w:rsid w:val="003C5426"/>
    <w:rsid w:val="003C54D9"/>
    <w:rsid w:val="003C5789"/>
    <w:rsid w:val="003C5E11"/>
    <w:rsid w:val="003C5FA3"/>
    <w:rsid w:val="003C6083"/>
    <w:rsid w:val="003C650B"/>
    <w:rsid w:val="003C65E0"/>
    <w:rsid w:val="003C7276"/>
    <w:rsid w:val="003C768C"/>
    <w:rsid w:val="003C7AC5"/>
    <w:rsid w:val="003C7B13"/>
    <w:rsid w:val="003C7C11"/>
    <w:rsid w:val="003C7C87"/>
    <w:rsid w:val="003D03BF"/>
    <w:rsid w:val="003D0625"/>
    <w:rsid w:val="003D0FA7"/>
    <w:rsid w:val="003D11A3"/>
    <w:rsid w:val="003D1559"/>
    <w:rsid w:val="003D1650"/>
    <w:rsid w:val="003D17F2"/>
    <w:rsid w:val="003D1A9B"/>
    <w:rsid w:val="003D1DD6"/>
    <w:rsid w:val="003D2065"/>
    <w:rsid w:val="003D2157"/>
    <w:rsid w:val="003D2222"/>
    <w:rsid w:val="003D2357"/>
    <w:rsid w:val="003D24EE"/>
    <w:rsid w:val="003D258B"/>
    <w:rsid w:val="003D2B9B"/>
    <w:rsid w:val="003D2C30"/>
    <w:rsid w:val="003D3077"/>
    <w:rsid w:val="003D32D0"/>
    <w:rsid w:val="003D3379"/>
    <w:rsid w:val="003D339A"/>
    <w:rsid w:val="003D33BC"/>
    <w:rsid w:val="003D3411"/>
    <w:rsid w:val="003D382A"/>
    <w:rsid w:val="003D3E4D"/>
    <w:rsid w:val="003D4100"/>
    <w:rsid w:val="003D41E6"/>
    <w:rsid w:val="003D43F7"/>
    <w:rsid w:val="003D4534"/>
    <w:rsid w:val="003D4DC9"/>
    <w:rsid w:val="003D5075"/>
    <w:rsid w:val="003D50C8"/>
    <w:rsid w:val="003D514E"/>
    <w:rsid w:val="003D5809"/>
    <w:rsid w:val="003D5976"/>
    <w:rsid w:val="003D5A14"/>
    <w:rsid w:val="003D5C5D"/>
    <w:rsid w:val="003D5E48"/>
    <w:rsid w:val="003D5FCD"/>
    <w:rsid w:val="003D60D2"/>
    <w:rsid w:val="003D62B3"/>
    <w:rsid w:val="003D63EA"/>
    <w:rsid w:val="003D673B"/>
    <w:rsid w:val="003D677B"/>
    <w:rsid w:val="003D67C2"/>
    <w:rsid w:val="003D69EA"/>
    <w:rsid w:val="003D6B03"/>
    <w:rsid w:val="003D6D18"/>
    <w:rsid w:val="003D6DB8"/>
    <w:rsid w:val="003D6E5F"/>
    <w:rsid w:val="003D703D"/>
    <w:rsid w:val="003D70A6"/>
    <w:rsid w:val="003D7181"/>
    <w:rsid w:val="003D72A7"/>
    <w:rsid w:val="003D7358"/>
    <w:rsid w:val="003D7389"/>
    <w:rsid w:val="003D73A7"/>
    <w:rsid w:val="003D7D70"/>
    <w:rsid w:val="003E03BC"/>
    <w:rsid w:val="003E042A"/>
    <w:rsid w:val="003E05F3"/>
    <w:rsid w:val="003E067B"/>
    <w:rsid w:val="003E0ACE"/>
    <w:rsid w:val="003E0FB4"/>
    <w:rsid w:val="003E1832"/>
    <w:rsid w:val="003E187C"/>
    <w:rsid w:val="003E18A4"/>
    <w:rsid w:val="003E19ED"/>
    <w:rsid w:val="003E1ADB"/>
    <w:rsid w:val="003E1FB0"/>
    <w:rsid w:val="003E20ED"/>
    <w:rsid w:val="003E2259"/>
    <w:rsid w:val="003E2424"/>
    <w:rsid w:val="003E2622"/>
    <w:rsid w:val="003E26B8"/>
    <w:rsid w:val="003E2A67"/>
    <w:rsid w:val="003E2B37"/>
    <w:rsid w:val="003E2CFC"/>
    <w:rsid w:val="003E2F27"/>
    <w:rsid w:val="003E3008"/>
    <w:rsid w:val="003E38B0"/>
    <w:rsid w:val="003E39E9"/>
    <w:rsid w:val="003E4099"/>
    <w:rsid w:val="003E4552"/>
    <w:rsid w:val="003E4D10"/>
    <w:rsid w:val="003E4D87"/>
    <w:rsid w:val="003E4E90"/>
    <w:rsid w:val="003E4FA1"/>
    <w:rsid w:val="003E50E8"/>
    <w:rsid w:val="003E5494"/>
    <w:rsid w:val="003E553B"/>
    <w:rsid w:val="003E558C"/>
    <w:rsid w:val="003E587A"/>
    <w:rsid w:val="003E597F"/>
    <w:rsid w:val="003E59EC"/>
    <w:rsid w:val="003E5A4E"/>
    <w:rsid w:val="003E5C7F"/>
    <w:rsid w:val="003E5C82"/>
    <w:rsid w:val="003E650F"/>
    <w:rsid w:val="003E6C4A"/>
    <w:rsid w:val="003E6DD7"/>
    <w:rsid w:val="003E6F77"/>
    <w:rsid w:val="003E774D"/>
    <w:rsid w:val="003E7D6B"/>
    <w:rsid w:val="003F0F8C"/>
    <w:rsid w:val="003F0FE0"/>
    <w:rsid w:val="003F115C"/>
    <w:rsid w:val="003F1837"/>
    <w:rsid w:val="003F1A1F"/>
    <w:rsid w:val="003F25D1"/>
    <w:rsid w:val="003F2660"/>
    <w:rsid w:val="003F2696"/>
    <w:rsid w:val="003F281C"/>
    <w:rsid w:val="003F2A11"/>
    <w:rsid w:val="003F304A"/>
    <w:rsid w:val="003F394D"/>
    <w:rsid w:val="003F3DD2"/>
    <w:rsid w:val="003F46D6"/>
    <w:rsid w:val="003F4844"/>
    <w:rsid w:val="003F48C0"/>
    <w:rsid w:val="003F4CB6"/>
    <w:rsid w:val="003F510B"/>
    <w:rsid w:val="003F524E"/>
    <w:rsid w:val="003F6264"/>
    <w:rsid w:val="003F65D0"/>
    <w:rsid w:val="003F67B4"/>
    <w:rsid w:val="003F68C4"/>
    <w:rsid w:val="003F6FD8"/>
    <w:rsid w:val="003F71F2"/>
    <w:rsid w:val="003F7826"/>
    <w:rsid w:val="003F7880"/>
    <w:rsid w:val="003F7AA5"/>
    <w:rsid w:val="004002B9"/>
    <w:rsid w:val="00400BFB"/>
    <w:rsid w:val="00400F9D"/>
    <w:rsid w:val="004016A4"/>
    <w:rsid w:val="004018B5"/>
    <w:rsid w:val="00401EE0"/>
    <w:rsid w:val="00402164"/>
    <w:rsid w:val="0040284C"/>
    <w:rsid w:val="0040287C"/>
    <w:rsid w:val="00402CF4"/>
    <w:rsid w:val="00402D70"/>
    <w:rsid w:val="00402F6B"/>
    <w:rsid w:val="004033B5"/>
    <w:rsid w:val="00403519"/>
    <w:rsid w:val="004036C4"/>
    <w:rsid w:val="00403970"/>
    <w:rsid w:val="00403FC1"/>
    <w:rsid w:val="004045C6"/>
    <w:rsid w:val="004049BB"/>
    <w:rsid w:val="00404A00"/>
    <w:rsid w:val="00404C09"/>
    <w:rsid w:val="00404FD5"/>
    <w:rsid w:val="004051DE"/>
    <w:rsid w:val="0040573E"/>
    <w:rsid w:val="00405EB7"/>
    <w:rsid w:val="00406496"/>
    <w:rsid w:val="00406749"/>
    <w:rsid w:val="00406C9B"/>
    <w:rsid w:val="0040741B"/>
    <w:rsid w:val="00407C2D"/>
    <w:rsid w:val="00407EF6"/>
    <w:rsid w:val="00407FFA"/>
    <w:rsid w:val="00410291"/>
    <w:rsid w:val="00410344"/>
    <w:rsid w:val="00410362"/>
    <w:rsid w:val="00410B01"/>
    <w:rsid w:val="00410CEE"/>
    <w:rsid w:val="00410D80"/>
    <w:rsid w:val="00410F02"/>
    <w:rsid w:val="00411439"/>
    <w:rsid w:val="00412321"/>
    <w:rsid w:val="004124B4"/>
    <w:rsid w:val="00412B60"/>
    <w:rsid w:val="00414517"/>
    <w:rsid w:val="00414C9F"/>
    <w:rsid w:val="00414EF7"/>
    <w:rsid w:val="0041507A"/>
    <w:rsid w:val="004153C2"/>
    <w:rsid w:val="004154EA"/>
    <w:rsid w:val="00415C94"/>
    <w:rsid w:val="00415DFD"/>
    <w:rsid w:val="004160A7"/>
    <w:rsid w:val="004161BE"/>
    <w:rsid w:val="0041630E"/>
    <w:rsid w:val="004166A4"/>
    <w:rsid w:val="00416762"/>
    <w:rsid w:val="0041694B"/>
    <w:rsid w:val="00416E23"/>
    <w:rsid w:val="00416E90"/>
    <w:rsid w:val="004173F8"/>
    <w:rsid w:val="004174DE"/>
    <w:rsid w:val="004174F2"/>
    <w:rsid w:val="0041757A"/>
    <w:rsid w:val="0041780B"/>
    <w:rsid w:val="00417936"/>
    <w:rsid w:val="00417A94"/>
    <w:rsid w:val="00417B22"/>
    <w:rsid w:val="004207FE"/>
    <w:rsid w:val="00420F6B"/>
    <w:rsid w:val="00421351"/>
    <w:rsid w:val="00421C98"/>
    <w:rsid w:val="00421E81"/>
    <w:rsid w:val="00421F7B"/>
    <w:rsid w:val="004223A2"/>
    <w:rsid w:val="004225E6"/>
    <w:rsid w:val="00422973"/>
    <w:rsid w:val="00422C98"/>
    <w:rsid w:val="00423010"/>
    <w:rsid w:val="004230A8"/>
    <w:rsid w:val="0042419D"/>
    <w:rsid w:val="004242A4"/>
    <w:rsid w:val="004242F8"/>
    <w:rsid w:val="0042465E"/>
    <w:rsid w:val="00424AC7"/>
    <w:rsid w:val="00424E9C"/>
    <w:rsid w:val="004258AC"/>
    <w:rsid w:val="00425ADF"/>
    <w:rsid w:val="00425AE8"/>
    <w:rsid w:val="00425C1A"/>
    <w:rsid w:val="00425F09"/>
    <w:rsid w:val="00425F3D"/>
    <w:rsid w:val="004260F0"/>
    <w:rsid w:val="00426802"/>
    <w:rsid w:val="00427042"/>
    <w:rsid w:val="004275E4"/>
    <w:rsid w:val="00430489"/>
    <w:rsid w:val="004308C1"/>
    <w:rsid w:val="004309CC"/>
    <w:rsid w:val="00430B74"/>
    <w:rsid w:val="00430C7D"/>
    <w:rsid w:val="00430E7D"/>
    <w:rsid w:val="0043111F"/>
    <w:rsid w:val="00431144"/>
    <w:rsid w:val="00431528"/>
    <w:rsid w:val="004316AA"/>
    <w:rsid w:val="00431774"/>
    <w:rsid w:val="00431F99"/>
    <w:rsid w:val="0043265F"/>
    <w:rsid w:val="00432875"/>
    <w:rsid w:val="004329E5"/>
    <w:rsid w:val="00432A20"/>
    <w:rsid w:val="00432D93"/>
    <w:rsid w:val="00432E09"/>
    <w:rsid w:val="0043305B"/>
    <w:rsid w:val="00433073"/>
    <w:rsid w:val="004333CE"/>
    <w:rsid w:val="004334D1"/>
    <w:rsid w:val="00433873"/>
    <w:rsid w:val="00434241"/>
    <w:rsid w:val="00434733"/>
    <w:rsid w:val="00434B14"/>
    <w:rsid w:val="00435296"/>
    <w:rsid w:val="004352FE"/>
    <w:rsid w:val="004355F2"/>
    <w:rsid w:val="004358AA"/>
    <w:rsid w:val="004359FE"/>
    <w:rsid w:val="00435B08"/>
    <w:rsid w:val="00435F59"/>
    <w:rsid w:val="00436ABA"/>
    <w:rsid w:val="00436F9A"/>
    <w:rsid w:val="00437707"/>
    <w:rsid w:val="004378A5"/>
    <w:rsid w:val="00437AD5"/>
    <w:rsid w:val="00437D5B"/>
    <w:rsid w:val="00437ECC"/>
    <w:rsid w:val="0044010A"/>
    <w:rsid w:val="004406D0"/>
    <w:rsid w:val="004407A2"/>
    <w:rsid w:val="00440906"/>
    <w:rsid w:val="00440B84"/>
    <w:rsid w:val="00441275"/>
    <w:rsid w:val="004413A6"/>
    <w:rsid w:val="004413E5"/>
    <w:rsid w:val="00441592"/>
    <w:rsid w:val="0044204D"/>
    <w:rsid w:val="004420C3"/>
    <w:rsid w:val="00442521"/>
    <w:rsid w:val="00442708"/>
    <w:rsid w:val="00442794"/>
    <w:rsid w:val="00442858"/>
    <w:rsid w:val="00442FAA"/>
    <w:rsid w:val="00443228"/>
    <w:rsid w:val="0044334B"/>
    <w:rsid w:val="0044337A"/>
    <w:rsid w:val="00443381"/>
    <w:rsid w:val="00443E9A"/>
    <w:rsid w:val="004443AE"/>
    <w:rsid w:val="004443BB"/>
    <w:rsid w:val="004443EB"/>
    <w:rsid w:val="00444729"/>
    <w:rsid w:val="00444845"/>
    <w:rsid w:val="00444AA8"/>
    <w:rsid w:val="00444D96"/>
    <w:rsid w:val="004451E1"/>
    <w:rsid w:val="00445265"/>
    <w:rsid w:val="004453E6"/>
    <w:rsid w:val="00445620"/>
    <w:rsid w:val="00445770"/>
    <w:rsid w:val="00445993"/>
    <w:rsid w:val="00445E9E"/>
    <w:rsid w:val="00445F47"/>
    <w:rsid w:val="00446072"/>
    <w:rsid w:val="004461F2"/>
    <w:rsid w:val="004462BB"/>
    <w:rsid w:val="004464DF"/>
    <w:rsid w:val="00446623"/>
    <w:rsid w:val="00446BF5"/>
    <w:rsid w:val="0044734A"/>
    <w:rsid w:val="0044742A"/>
    <w:rsid w:val="00447821"/>
    <w:rsid w:val="0044792D"/>
    <w:rsid w:val="00447BCF"/>
    <w:rsid w:val="00447C8B"/>
    <w:rsid w:val="00447FC4"/>
    <w:rsid w:val="00450200"/>
    <w:rsid w:val="004508F0"/>
    <w:rsid w:val="0045090D"/>
    <w:rsid w:val="00450EC0"/>
    <w:rsid w:val="00450FF9"/>
    <w:rsid w:val="00451087"/>
    <w:rsid w:val="004511EC"/>
    <w:rsid w:val="004515D8"/>
    <w:rsid w:val="004516ED"/>
    <w:rsid w:val="004516FD"/>
    <w:rsid w:val="0045194D"/>
    <w:rsid w:val="00451CA2"/>
    <w:rsid w:val="00451F1F"/>
    <w:rsid w:val="004521C0"/>
    <w:rsid w:val="004521E2"/>
    <w:rsid w:val="0045268B"/>
    <w:rsid w:val="00452738"/>
    <w:rsid w:val="004527D6"/>
    <w:rsid w:val="0045288C"/>
    <w:rsid w:val="0045315B"/>
    <w:rsid w:val="0045338F"/>
    <w:rsid w:val="004535E1"/>
    <w:rsid w:val="0045375F"/>
    <w:rsid w:val="004537B0"/>
    <w:rsid w:val="004539F6"/>
    <w:rsid w:val="00453C42"/>
    <w:rsid w:val="0045419B"/>
    <w:rsid w:val="0045437C"/>
    <w:rsid w:val="004545BE"/>
    <w:rsid w:val="0045468D"/>
    <w:rsid w:val="0045476D"/>
    <w:rsid w:val="00454B87"/>
    <w:rsid w:val="0045561B"/>
    <w:rsid w:val="004559B3"/>
    <w:rsid w:val="004559CE"/>
    <w:rsid w:val="00455A5E"/>
    <w:rsid w:val="00456038"/>
    <w:rsid w:val="004563F0"/>
    <w:rsid w:val="0045681A"/>
    <w:rsid w:val="00456AD3"/>
    <w:rsid w:val="00456B2D"/>
    <w:rsid w:val="00457081"/>
    <w:rsid w:val="00457517"/>
    <w:rsid w:val="00457A54"/>
    <w:rsid w:val="00457C04"/>
    <w:rsid w:val="00457FBC"/>
    <w:rsid w:val="0046066F"/>
    <w:rsid w:val="00460AAE"/>
    <w:rsid w:val="00460C28"/>
    <w:rsid w:val="0046102B"/>
    <w:rsid w:val="00461C83"/>
    <w:rsid w:val="004628D0"/>
    <w:rsid w:val="00463474"/>
    <w:rsid w:val="00463546"/>
    <w:rsid w:val="00463854"/>
    <w:rsid w:val="004639EA"/>
    <w:rsid w:val="00463CD1"/>
    <w:rsid w:val="00463FCE"/>
    <w:rsid w:val="00464623"/>
    <w:rsid w:val="00464B6A"/>
    <w:rsid w:val="00464F24"/>
    <w:rsid w:val="00465173"/>
    <w:rsid w:val="0046522D"/>
    <w:rsid w:val="00465436"/>
    <w:rsid w:val="00465500"/>
    <w:rsid w:val="0046560C"/>
    <w:rsid w:val="004657A6"/>
    <w:rsid w:val="0046598D"/>
    <w:rsid w:val="00465D2C"/>
    <w:rsid w:val="0046674F"/>
    <w:rsid w:val="004667F0"/>
    <w:rsid w:val="00467688"/>
    <w:rsid w:val="00467695"/>
    <w:rsid w:val="004678F1"/>
    <w:rsid w:val="00467E49"/>
    <w:rsid w:val="0047017C"/>
    <w:rsid w:val="00470303"/>
    <w:rsid w:val="00470E06"/>
    <w:rsid w:val="00470FA1"/>
    <w:rsid w:val="0047108C"/>
    <w:rsid w:val="004714A0"/>
    <w:rsid w:val="00471615"/>
    <w:rsid w:val="00471C7C"/>
    <w:rsid w:val="00471DFA"/>
    <w:rsid w:val="00471FC9"/>
    <w:rsid w:val="0047249C"/>
    <w:rsid w:val="004724A4"/>
    <w:rsid w:val="004726B2"/>
    <w:rsid w:val="00472C80"/>
    <w:rsid w:val="00472FEB"/>
    <w:rsid w:val="00473392"/>
    <w:rsid w:val="00473615"/>
    <w:rsid w:val="00473AAF"/>
    <w:rsid w:val="00473FC8"/>
    <w:rsid w:val="0047447A"/>
    <w:rsid w:val="00474A26"/>
    <w:rsid w:val="00475104"/>
    <w:rsid w:val="00475197"/>
    <w:rsid w:val="004754E6"/>
    <w:rsid w:val="00475AA2"/>
    <w:rsid w:val="00475B7B"/>
    <w:rsid w:val="00475EC9"/>
    <w:rsid w:val="00475F4D"/>
    <w:rsid w:val="00475FC7"/>
    <w:rsid w:val="0047636F"/>
    <w:rsid w:val="00476A0E"/>
    <w:rsid w:val="00476BA8"/>
    <w:rsid w:val="00476C3F"/>
    <w:rsid w:val="00476CC6"/>
    <w:rsid w:val="0047735F"/>
    <w:rsid w:val="00477A8D"/>
    <w:rsid w:val="004801A6"/>
    <w:rsid w:val="004801AF"/>
    <w:rsid w:val="00480E84"/>
    <w:rsid w:val="00480FFE"/>
    <w:rsid w:val="00481466"/>
    <w:rsid w:val="00481A6E"/>
    <w:rsid w:val="00481ECF"/>
    <w:rsid w:val="00482613"/>
    <w:rsid w:val="0048283B"/>
    <w:rsid w:val="00482A8B"/>
    <w:rsid w:val="00482AD1"/>
    <w:rsid w:val="00482B11"/>
    <w:rsid w:val="00482F1B"/>
    <w:rsid w:val="00482FF7"/>
    <w:rsid w:val="00483049"/>
    <w:rsid w:val="0048336D"/>
    <w:rsid w:val="00483440"/>
    <w:rsid w:val="004837EA"/>
    <w:rsid w:val="004840CD"/>
    <w:rsid w:val="004842AB"/>
    <w:rsid w:val="004846D5"/>
    <w:rsid w:val="00484B43"/>
    <w:rsid w:val="00484FD6"/>
    <w:rsid w:val="00485835"/>
    <w:rsid w:val="00485C2E"/>
    <w:rsid w:val="00485D3C"/>
    <w:rsid w:val="00485F11"/>
    <w:rsid w:val="00486004"/>
    <w:rsid w:val="004862C1"/>
    <w:rsid w:val="004863E2"/>
    <w:rsid w:val="00486871"/>
    <w:rsid w:val="00486DFF"/>
    <w:rsid w:val="00486E8B"/>
    <w:rsid w:val="00486FA6"/>
    <w:rsid w:val="00487347"/>
    <w:rsid w:val="00487A84"/>
    <w:rsid w:val="00487AFC"/>
    <w:rsid w:val="0049006B"/>
    <w:rsid w:val="0049017A"/>
    <w:rsid w:val="00490214"/>
    <w:rsid w:val="0049046F"/>
    <w:rsid w:val="004904B4"/>
    <w:rsid w:val="004906CB"/>
    <w:rsid w:val="0049075B"/>
    <w:rsid w:val="004910AC"/>
    <w:rsid w:val="004913B5"/>
    <w:rsid w:val="004926B2"/>
    <w:rsid w:val="004929F9"/>
    <w:rsid w:val="00492BFC"/>
    <w:rsid w:val="00492C0D"/>
    <w:rsid w:val="00492D4A"/>
    <w:rsid w:val="00492F3C"/>
    <w:rsid w:val="00492FCB"/>
    <w:rsid w:val="00492FFF"/>
    <w:rsid w:val="00493120"/>
    <w:rsid w:val="004931BD"/>
    <w:rsid w:val="0049329C"/>
    <w:rsid w:val="004932F2"/>
    <w:rsid w:val="00493633"/>
    <w:rsid w:val="004938D1"/>
    <w:rsid w:val="00493F96"/>
    <w:rsid w:val="00494516"/>
    <w:rsid w:val="004951A8"/>
    <w:rsid w:val="00495948"/>
    <w:rsid w:val="004959EA"/>
    <w:rsid w:val="00496AE5"/>
    <w:rsid w:val="00497036"/>
    <w:rsid w:val="004970E0"/>
    <w:rsid w:val="0049756A"/>
    <w:rsid w:val="00497A5E"/>
    <w:rsid w:val="00497CCA"/>
    <w:rsid w:val="00497ED9"/>
    <w:rsid w:val="004A01A7"/>
    <w:rsid w:val="004A04CD"/>
    <w:rsid w:val="004A077D"/>
    <w:rsid w:val="004A0AA9"/>
    <w:rsid w:val="004A0CAD"/>
    <w:rsid w:val="004A0FD2"/>
    <w:rsid w:val="004A11F4"/>
    <w:rsid w:val="004A13F0"/>
    <w:rsid w:val="004A1413"/>
    <w:rsid w:val="004A1A08"/>
    <w:rsid w:val="004A2268"/>
    <w:rsid w:val="004A228D"/>
    <w:rsid w:val="004A265F"/>
    <w:rsid w:val="004A2908"/>
    <w:rsid w:val="004A2F13"/>
    <w:rsid w:val="004A3496"/>
    <w:rsid w:val="004A3606"/>
    <w:rsid w:val="004A369D"/>
    <w:rsid w:val="004A4207"/>
    <w:rsid w:val="004A4802"/>
    <w:rsid w:val="004A49C9"/>
    <w:rsid w:val="004A4C19"/>
    <w:rsid w:val="004A53D2"/>
    <w:rsid w:val="004A551E"/>
    <w:rsid w:val="004A56F9"/>
    <w:rsid w:val="004A59F7"/>
    <w:rsid w:val="004A6392"/>
    <w:rsid w:val="004A680A"/>
    <w:rsid w:val="004A69C9"/>
    <w:rsid w:val="004A6C5B"/>
    <w:rsid w:val="004A6C90"/>
    <w:rsid w:val="004A704B"/>
    <w:rsid w:val="004A70F2"/>
    <w:rsid w:val="004A72D1"/>
    <w:rsid w:val="004A738A"/>
    <w:rsid w:val="004A78DB"/>
    <w:rsid w:val="004A7BC2"/>
    <w:rsid w:val="004A7BD2"/>
    <w:rsid w:val="004B0150"/>
    <w:rsid w:val="004B030E"/>
    <w:rsid w:val="004B07E7"/>
    <w:rsid w:val="004B0DAD"/>
    <w:rsid w:val="004B0FD7"/>
    <w:rsid w:val="004B11F1"/>
    <w:rsid w:val="004B1596"/>
    <w:rsid w:val="004B1A37"/>
    <w:rsid w:val="004B2879"/>
    <w:rsid w:val="004B2BFA"/>
    <w:rsid w:val="004B2C50"/>
    <w:rsid w:val="004B2C58"/>
    <w:rsid w:val="004B3143"/>
    <w:rsid w:val="004B34AD"/>
    <w:rsid w:val="004B3532"/>
    <w:rsid w:val="004B384F"/>
    <w:rsid w:val="004B3EA1"/>
    <w:rsid w:val="004B3FF7"/>
    <w:rsid w:val="004B42ED"/>
    <w:rsid w:val="004B4459"/>
    <w:rsid w:val="004B461E"/>
    <w:rsid w:val="004B4875"/>
    <w:rsid w:val="004B488E"/>
    <w:rsid w:val="004B48E4"/>
    <w:rsid w:val="004B4A19"/>
    <w:rsid w:val="004B4D6B"/>
    <w:rsid w:val="004B5109"/>
    <w:rsid w:val="004B5210"/>
    <w:rsid w:val="004B5FB8"/>
    <w:rsid w:val="004B7415"/>
    <w:rsid w:val="004B76C3"/>
    <w:rsid w:val="004B7744"/>
    <w:rsid w:val="004B7C21"/>
    <w:rsid w:val="004B7F42"/>
    <w:rsid w:val="004B7FD8"/>
    <w:rsid w:val="004C00F8"/>
    <w:rsid w:val="004C07AF"/>
    <w:rsid w:val="004C0EED"/>
    <w:rsid w:val="004C113B"/>
    <w:rsid w:val="004C1163"/>
    <w:rsid w:val="004C1637"/>
    <w:rsid w:val="004C1C90"/>
    <w:rsid w:val="004C213E"/>
    <w:rsid w:val="004C221A"/>
    <w:rsid w:val="004C22DB"/>
    <w:rsid w:val="004C260A"/>
    <w:rsid w:val="004C30A4"/>
    <w:rsid w:val="004C3478"/>
    <w:rsid w:val="004C36F0"/>
    <w:rsid w:val="004C3A40"/>
    <w:rsid w:val="004C3A99"/>
    <w:rsid w:val="004C4049"/>
    <w:rsid w:val="004C4161"/>
    <w:rsid w:val="004C417B"/>
    <w:rsid w:val="004C4FD5"/>
    <w:rsid w:val="004C5086"/>
    <w:rsid w:val="004C5A09"/>
    <w:rsid w:val="004C5B59"/>
    <w:rsid w:val="004C5C2C"/>
    <w:rsid w:val="004C5F9E"/>
    <w:rsid w:val="004C6274"/>
    <w:rsid w:val="004C6608"/>
    <w:rsid w:val="004C675D"/>
    <w:rsid w:val="004C68C6"/>
    <w:rsid w:val="004C6A16"/>
    <w:rsid w:val="004C6B06"/>
    <w:rsid w:val="004C6B7E"/>
    <w:rsid w:val="004C6F27"/>
    <w:rsid w:val="004C728D"/>
    <w:rsid w:val="004C7658"/>
    <w:rsid w:val="004C7DC7"/>
    <w:rsid w:val="004D008D"/>
    <w:rsid w:val="004D07D7"/>
    <w:rsid w:val="004D1417"/>
    <w:rsid w:val="004D1861"/>
    <w:rsid w:val="004D1A8E"/>
    <w:rsid w:val="004D1ABA"/>
    <w:rsid w:val="004D1B72"/>
    <w:rsid w:val="004D20E4"/>
    <w:rsid w:val="004D21D6"/>
    <w:rsid w:val="004D231B"/>
    <w:rsid w:val="004D24B3"/>
    <w:rsid w:val="004D263E"/>
    <w:rsid w:val="004D286D"/>
    <w:rsid w:val="004D2CFE"/>
    <w:rsid w:val="004D3091"/>
    <w:rsid w:val="004D30A8"/>
    <w:rsid w:val="004D340A"/>
    <w:rsid w:val="004D3439"/>
    <w:rsid w:val="004D3470"/>
    <w:rsid w:val="004D3512"/>
    <w:rsid w:val="004D3A77"/>
    <w:rsid w:val="004D3C05"/>
    <w:rsid w:val="004D3FB2"/>
    <w:rsid w:val="004D46D0"/>
    <w:rsid w:val="004D4780"/>
    <w:rsid w:val="004D493D"/>
    <w:rsid w:val="004D4C60"/>
    <w:rsid w:val="004D517D"/>
    <w:rsid w:val="004D599D"/>
    <w:rsid w:val="004D59FA"/>
    <w:rsid w:val="004D6249"/>
    <w:rsid w:val="004D632C"/>
    <w:rsid w:val="004D648A"/>
    <w:rsid w:val="004D6588"/>
    <w:rsid w:val="004D6A26"/>
    <w:rsid w:val="004D6C41"/>
    <w:rsid w:val="004D6E2A"/>
    <w:rsid w:val="004D6EA4"/>
    <w:rsid w:val="004D6ED1"/>
    <w:rsid w:val="004D762F"/>
    <w:rsid w:val="004D77B4"/>
    <w:rsid w:val="004D77E8"/>
    <w:rsid w:val="004D7E98"/>
    <w:rsid w:val="004E0047"/>
    <w:rsid w:val="004E00DA"/>
    <w:rsid w:val="004E0323"/>
    <w:rsid w:val="004E046F"/>
    <w:rsid w:val="004E0562"/>
    <w:rsid w:val="004E06BB"/>
    <w:rsid w:val="004E0A22"/>
    <w:rsid w:val="004E0B35"/>
    <w:rsid w:val="004E0CF7"/>
    <w:rsid w:val="004E0DC6"/>
    <w:rsid w:val="004E0EEA"/>
    <w:rsid w:val="004E134D"/>
    <w:rsid w:val="004E1380"/>
    <w:rsid w:val="004E13ED"/>
    <w:rsid w:val="004E17DD"/>
    <w:rsid w:val="004E185F"/>
    <w:rsid w:val="004E18BD"/>
    <w:rsid w:val="004E1CD1"/>
    <w:rsid w:val="004E1DC0"/>
    <w:rsid w:val="004E1E90"/>
    <w:rsid w:val="004E1EAE"/>
    <w:rsid w:val="004E2057"/>
    <w:rsid w:val="004E2601"/>
    <w:rsid w:val="004E284E"/>
    <w:rsid w:val="004E2A69"/>
    <w:rsid w:val="004E2B45"/>
    <w:rsid w:val="004E2E17"/>
    <w:rsid w:val="004E2E25"/>
    <w:rsid w:val="004E3332"/>
    <w:rsid w:val="004E399D"/>
    <w:rsid w:val="004E4316"/>
    <w:rsid w:val="004E458D"/>
    <w:rsid w:val="004E5ACA"/>
    <w:rsid w:val="004E621A"/>
    <w:rsid w:val="004E6557"/>
    <w:rsid w:val="004E6724"/>
    <w:rsid w:val="004E67E4"/>
    <w:rsid w:val="004E69B0"/>
    <w:rsid w:val="004E6B08"/>
    <w:rsid w:val="004E6D28"/>
    <w:rsid w:val="004E7223"/>
    <w:rsid w:val="004E7314"/>
    <w:rsid w:val="004E7C7A"/>
    <w:rsid w:val="004F020B"/>
    <w:rsid w:val="004F0B36"/>
    <w:rsid w:val="004F1164"/>
    <w:rsid w:val="004F1654"/>
    <w:rsid w:val="004F1678"/>
    <w:rsid w:val="004F1A25"/>
    <w:rsid w:val="004F1C1B"/>
    <w:rsid w:val="004F2969"/>
    <w:rsid w:val="004F399C"/>
    <w:rsid w:val="004F39DC"/>
    <w:rsid w:val="004F3B24"/>
    <w:rsid w:val="004F4256"/>
    <w:rsid w:val="004F45A2"/>
    <w:rsid w:val="004F4642"/>
    <w:rsid w:val="004F46AE"/>
    <w:rsid w:val="004F46CF"/>
    <w:rsid w:val="004F5330"/>
    <w:rsid w:val="004F569A"/>
    <w:rsid w:val="004F56C3"/>
    <w:rsid w:val="004F5972"/>
    <w:rsid w:val="004F5DC7"/>
    <w:rsid w:val="004F5E57"/>
    <w:rsid w:val="004F6053"/>
    <w:rsid w:val="004F612A"/>
    <w:rsid w:val="004F6658"/>
    <w:rsid w:val="004F6D72"/>
    <w:rsid w:val="004F6ECB"/>
    <w:rsid w:val="004F6FB5"/>
    <w:rsid w:val="004F7C8E"/>
    <w:rsid w:val="004F7F6B"/>
    <w:rsid w:val="00500136"/>
    <w:rsid w:val="005001BB"/>
    <w:rsid w:val="00500B1A"/>
    <w:rsid w:val="0050100B"/>
    <w:rsid w:val="00501012"/>
    <w:rsid w:val="005015FF"/>
    <w:rsid w:val="00501677"/>
    <w:rsid w:val="005018E3"/>
    <w:rsid w:val="00501E3A"/>
    <w:rsid w:val="00501EF9"/>
    <w:rsid w:val="005022A0"/>
    <w:rsid w:val="00502455"/>
    <w:rsid w:val="005025EC"/>
    <w:rsid w:val="005029D8"/>
    <w:rsid w:val="00502E91"/>
    <w:rsid w:val="005032AB"/>
    <w:rsid w:val="005034AA"/>
    <w:rsid w:val="00503D1F"/>
    <w:rsid w:val="00503F74"/>
    <w:rsid w:val="0050407F"/>
    <w:rsid w:val="00504125"/>
    <w:rsid w:val="00504325"/>
    <w:rsid w:val="005043CE"/>
    <w:rsid w:val="00505C70"/>
    <w:rsid w:val="0050665E"/>
    <w:rsid w:val="0050671E"/>
    <w:rsid w:val="00506FA3"/>
    <w:rsid w:val="005070D3"/>
    <w:rsid w:val="005079D0"/>
    <w:rsid w:val="00507C5E"/>
    <w:rsid w:val="0051065A"/>
    <w:rsid w:val="00510741"/>
    <w:rsid w:val="00510AB5"/>
    <w:rsid w:val="00510B53"/>
    <w:rsid w:val="005114F4"/>
    <w:rsid w:val="00511550"/>
    <w:rsid w:val="005115AE"/>
    <w:rsid w:val="00511725"/>
    <w:rsid w:val="005118FD"/>
    <w:rsid w:val="00511E9E"/>
    <w:rsid w:val="00511F5F"/>
    <w:rsid w:val="00511F77"/>
    <w:rsid w:val="00511FE3"/>
    <w:rsid w:val="00512272"/>
    <w:rsid w:val="0051230D"/>
    <w:rsid w:val="00512600"/>
    <w:rsid w:val="00512662"/>
    <w:rsid w:val="00512B46"/>
    <w:rsid w:val="00512BCB"/>
    <w:rsid w:val="00512EDD"/>
    <w:rsid w:val="00513EB9"/>
    <w:rsid w:val="00514513"/>
    <w:rsid w:val="0051462D"/>
    <w:rsid w:val="00514B96"/>
    <w:rsid w:val="00514EEC"/>
    <w:rsid w:val="00515151"/>
    <w:rsid w:val="005154D1"/>
    <w:rsid w:val="005155EB"/>
    <w:rsid w:val="00515749"/>
    <w:rsid w:val="0051584D"/>
    <w:rsid w:val="005159B0"/>
    <w:rsid w:val="00515F17"/>
    <w:rsid w:val="0051614D"/>
    <w:rsid w:val="0051617F"/>
    <w:rsid w:val="00516401"/>
    <w:rsid w:val="00516780"/>
    <w:rsid w:val="00516785"/>
    <w:rsid w:val="005167CB"/>
    <w:rsid w:val="00517086"/>
    <w:rsid w:val="0051712B"/>
    <w:rsid w:val="0051741E"/>
    <w:rsid w:val="005174C9"/>
    <w:rsid w:val="0051751E"/>
    <w:rsid w:val="0052008D"/>
    <w:rsid w:val="0052012D"/>
    <w:rsid w:val="00520685"/>
    <w:rsid w:val="00520735"/>
    <w:rsid w:val="00520E05"/>
    <w:rsid w:val="00521226"/>
    <w:rsid w:val="005214B1"/>
    <w:rsid w:val="005215A0"/>
    <w:rsid w:val="005216F6"/>
    <w:rsid w:val="005218F4"/>
    <w:rsid w:val="00522270"/>
    <w:rsid w:val="00522509"/>
    <w:rsid w:val="0052279F"/>
    <w:rsid w:val="00523142"/>
    <w:rsid w:val="005235D1"/>
    <w:rsid w:val="00523B16"/>
    <w:rsid w:val="00523BE9"/>
    <w:rsid w:val="0052419D"/>
    <w:rsid w:val="0052425F"/>
    <w:rsid w:val="00524C7D"/>
    <w:rsid w:val="00524D1D"/>
    <w:rsid w:val="00524D7A"/>
    <w:rsid w:val="00524E36"/>
    <w:rsid w:val="00525457"/>
    <w:rsid w:val="00525632"/>
    <w:rsid w:val="00525A14"/>
    <w:rsid w:val="00525BD4"/>
    <w:rsid w:val="00525D96"/>
    <w:rsid w:val="00525F0D"/>
    <w:rsid w:val="00526024"/>
    <w:rsid w:val="005269B1"/>
    <w:rsid w:val="00526B37"/>
    <w:rsid w:val="00526C20"/>
    <w:rsid w:val="00526E5F"/>
    <w:rsid w:val="00527038"/>
    <w:rsid w:val="005270F2"/>
    <w:rsid w:val="0052711C"/>
    <w:rsid w:val="005272C2"/>
    <w:rsid w:val="00527333"/>
    <w:rsid w:val="00527415"/>
    <w:rsid w:val="00527B8D"/>
    <w:rsid w:val="00527C2C"/>
    <w:rsid w:val="00527F08"/>
    <w:rsid w:val="005301F8"/>
    <w:rsid w:val="0053048E"/>
    <w:rsid w:val="00530B60"/>
    <w:rsid w:val="00530B72"/>
    <w:rsid w:val="005311D8"/>
    <w:rsid w:val="005312FC"/>
    <w:rsid w:val="0053165D"/>
    <w:rsid w:val="00531B73"/>
    <w:rsid w:val="00531DC5"/>
    <w:rsid w:val="00532339"/>
    <w:rsid w:val="0053241B"/>
    <w:rsid w:val="005328E4"/>
    <w:rsid w:val="00532B9C"/>
    <w:rsid w:val="00532FB0"/>
    <w:rsid w:val="005331CB"/>
    <w:rsid w:val="00533DCE"/>
    <w:rsid w:val="00533EBE"/>
    <w:rsid w:val="005341D7"/>
    <w:rsid w:val="00534514"/>
    <w:rsid w:val="00534849"/>
    <w:rsid w:val="005349E5"/>
    <w:rsid w:val="00534AD9"/>
    <w:rsid w:val="00534D44"/>
    <w:rsid w:val="00534D89"/>
    <w:rsid w:val="0053552C"/>
    <w:rsid w:val="00535C3C"/>
    <w:rsid w:val="0053603D"/>
    <w:rsid w:val="005360A6"/>
    <w:rsid w:val="00536126"/>
    <w:rsid w:val="005363C9"/>
    <w:rsid w:val="00536775"/>
    <w:rsid w:val="005368F6"/>
    <w:rsid w:val="00536B13"/>
    <w:rsid w:val="00536BB2"/>
    <w:rsid w:val="00536E6D"/>
    <w:rsid w:val="0053713E"/>
    <w:rsid w:val="00537577"/>
    <w:rsid w:val="00537BE0"/>
    <w:rsid w:val="00537DC2"/>
    <w:rsid w:val="00537EB7"/>
    <w:rsid w:val="005403E9"/>
    <w:rsid w:val="00540437"/>
    <w:rsid w:val="005404BD"/>
    <w:rsid w:val="00540A73"/>
    <w:rsid w:val="00540AA9"/>
    <w:rsid w:val="00540C74"/>
    <w:rsid w:val="005410AC"/>
    <w:rsid w:val="0054115B"/>
    <w:rsid w:val="00541406"/>
    <w:rsid w:val="0054143D"/>
    <w:rsid w:val="00541633"/>
    <w:rsid w:val="00541E4F"/>
    <w:rsid w:val="00542434"/>
    <w:rsid w:val="00542566"/>
    <w:rsid w:val="0054277F"/>
    <w:rsid w:val="00542C17"/>
    <w:rsid w:val="00542E03"/>
    <w:rsid w:val="0054317B"/>
    <w:rsid w:val="00543602"/>
    <w:rsid w:val="0054360F"/>
    <w:rsid w:val="00543674"/>
    <w:rsid w:val="0054373E"/>
    <w:rsid w:val="005441FD"/>
    <w:rsid w:val="00544329"/>
    <w:rsid w:val="005443C7"/>
    <w:rsid w:val="0054452E"/>
    <w:rsid w:val="005445A4"/>
    <w:rsid w:val="0054462C"/>
    <w:rsid w:val="005448C2"/>
    <w:rsid w:val="005449AA"/>
    <w:rsid w:val="00544D02"/>
    <w:rsid w:val="005453E1"/>
    <w:rsid w:val="00545A1F"/>
    <w:rsid w:val="00545B9F"/>
    <w:rsid w:val="00545E36"/>
    <w:rsid w:val="00546541"/>
    <w:rsid w:val="005466A6"/>
    <w:rsid w:val="00546E9E"/>
    <w:rsid w:val="00547C98"/>
    <w:rsid w:val="00547D93"/>
    <w:rsid w:val="005501BE"/>
    <w:rsid w:val="00550634"/>
    <w:rsid w:val="005507BF"/>
    <w:rsid w:val="00550847"/>
    <w:rsid w:val="00550B8D"/>
    <w:rsid w:val="0055120A"/>
    <w:rsid w:val="00551248"/>
    <w:rsid w:val="00551F18"/>
    <w:rsid w:val="00551FB8"/>
    <w:rsid w:val="00552101"/>
    <w:rsid w:val="005523FE"/>
    <w:rsid w:val="005524ED"/>
    <w:rsid w:val="00552695"/>
    <w:rsid w:val="00552920"/>
    <w:rsid w:val="005533E4"/>
    <w:rsid w:val="005534DE"/>
    <w:rsid w:val="0055376E"/>
    <w:rsid w:val="005538B9"/>
    <w:rsid w:val="00553BE9"/>
    <w:rsid w:val="00553FAB"/>
    <w:rsid w:val="0055463A"/>
    <w:rsid w:val="00554A7C"/>
    <w:rsid w:val="00554D29"/>
    <w:rsid w:val="00554EA9"/>
    <w:rsid w:val="00555066"/>
    <w:rsid w:val="005550DD"/>
    <w:rsid w:val="005556B6"/>
    <w:rsid w:val="00555D14"/>
    <w:rsid w:val="005560E7"/>
    <w:rsid w:val="00556AD2"/>
    <w:rsid w:val="00556B55"/>
    <w:rsid w:val="00556C9B"/>
    <w:rsid w:val="00556CDB"/>
    <w:rsid w:val="00557C37"/>
    <w:rsid w:val="00557CE8"/>
    <w:rsid w:val="00557D3C"/>
    <w:rsid w:val="00560595"/>
    <w:rsid w:val="0056063F"/>
    <w:rsid w:val="00560F03"/>
    <w:rsid w:val="005612A7"/>
    <w:rsid w:val="00561546"/>
    <w:rsid w:val="00561725"/>
    <w:rsid w:val="005617B9"/>
    <w:rsid w:val="0056194E"/>
    <w:rsid w:val="005619CF"/>
    <w:rsid w:val="005622E9"/>
    <w:rsid w:val="00562E63"/>
    <w:rsid w:val="0056347A"/>
    <w:rsid w:val="005636E6"/>
    <w:rsid w:val="005637F0"/>
    <w:rsid w:val="0056382D"/>
    <w:rsid w:val="00563DED"/>
    <w:rsid w:val="00563EC1"/>
    <w:rsid w:val="0056423C"/>
    <w:rsid w:val="005642AC"/>
    <w:rsid w:val="00564CFB"/>
    <w:rsid w:val="00564D58"/>
    <w:rsid w:val="00565131"/>
    <w:rsid w:val="00565487"/>
    <w:rsid w:val="00565553"/>
    <w:rsid w:val="00565731"/>
    <w:rsid w:val="00565894"/>
    <w:rsid w:val="00565BA3"/>
    <w:rsid w:val="00565CF3"/>
    <w:rsid w:val="00566260"/>
    <w:rsid w:val="00566B92"/>
    <w:rsid w:val="00566C35"/>
    <w:rsid w:val="00566F8E"/>
    <w:rsid w:val="0056718F"/>
    <w:rsid w:val="00567239"/>
    <w:rsid w:val="00567273"/>
    <w:rsid w:val="00567600"/>
    <w:rsid w:val="00567A59"/>
    <w:rsid w:val="00567A70"/>
    <w:rsid w:val="00567C69"/>
    <w:rsid w:val="005707A5"/>
    <w:rsid w:val="00570834"/>
    <w:rsid w:val="00570848"/>
    <w:rsid w:val="00570A57"/>
    <w:rsid w:val="00570E08"/>
    <w:rsid w:val="005710F9"/>
    <w:rsid w:val="0057223E"/>
    <w:rsid w:val="005727F8"/>
    <w:rsid w:val="00572C9C"/>
    <w:rsid w:val="00573217"/>
    <w:rsid w:val="00573241"/>
    <w:rsid w:val="005738EE"/>
    <w:rsid w:val="00573972"/>
    <w:rsid w:val="00573A90"/>
    <w:rsid w:val="00573DCB"/>
    <w:rsid w:val="0057451D"/>
    <w:rsid w:val="00574C78"/>
    <w:rsid w:val="00575752"/>
    <w:rsid w:val="0057588F"/>
    <w:rsid w:val="00575A35"/>
    <w:rsid w:val="00575A53"/>
    <w:rsid w:val="00575B7C"/>
    <w:rsid w:val="00575CB5"/>
    <w:rsid w:val="00575CBC"/>
    <w:rsid w:val="00575E8D"/>
    <w:rsid w:val="00575F56"/>
    <w:rsid w:val="00576306"/>
    <w:rsid w:val="00577BB0"/>
    <w:rsid w:val="00577DED"/>
    <w:rsid w:val="0058008F"/>
    <w:rsid w:val="005800D0"/>
    <w:rsid w:val="005802F5"/>
    <w:rsid w:val="00580312"/>
    <w:rsid w:val="00580614"/>
    <w:rsid w:val="00580863"/>
    <w:rsid w:val="00580AC1"/>
    <w:rsid w:val="00580B5E"/>
    <w:rsid w:val="00580DED"/>
    <w:rsid w:val="00580F9E"/>
    <w:rsid w:val="00581457"/>
    <w:rsid w:val="0058170B"/>
    <w:rsid w:val="00581DC9"/>
    <w:rsid w:val="00581EB2"/>
    <w:rsid w:val="0058235B"/>
    <w:rsid w:val="0058262B"/>
    <w:rsid w:val="005826D4"/>
    <w:rsid w:val="0058278F"/>
    <w:rsid w:val="0058289D"/>
    <w:rsid w:val="005828C0"/>
    <w:rsid w:val="005828E3"/>
    <w:rsid w:val="005830C7"/>
    <w:rsid w:val="005831D8"/>
    <w:rsid w:val="00583238"/>
    <w:rsid w:val="00583759"/>
    <w:rsid w:val="0058378C"/>
    <w:rsid w:val="00583A41"/>
    <w:rsid w:val="00583E2A"/>
    <w:rsid w:val="00583EC1"/>
    <w:rsid w:val="00584506"/>
    <w:rsid w:val="00584816"/>
    <w:rsid w:val="005849C4"/>
    <w:rsid w:val="00584D7E"/>
    <w:rsid w:val="005856FF"/>
    <w:rsid w:val="005857CC"/>
    <w:rsid w:val="00585951"/>
    <w:rsid w:val="005868DE"/>
    <w:rsid w:val="005869B0"/>
    <w:rsid w:val="00586B86"/>
    <w:rsid w:val="00586ED1"/>
    <w:rsid w:val="00586ED9"/>
    <w:rsid w:val="005874DA"/>
    <w:rsid w:val="00587892"/>
    <w:rsid w:val="00587C04"/>
    <w:rsid w:val="00587C89"/>
    <w:rsid w:val="00587E34"/>
    <w:rsid w:val="00587F80"/>
    <w:rsid w:val="005903A0"/>
    <w:rsid w:val="0059062D"/>
    <w:rsid w:val="0059088A"/>
    <w:rsid w:val="00590B11"/>
    <w:rsid w:val="005910FC"/>
    <w:rsid w:val="005911E9"/>
    <w:rsid w:val="00591537"/>
    <w:rsid w:val="00591611"/>
    <w:rsid w:val="005917BF"/>
    <w:rsid w:val="00591B35"/>
    <w:rsid w:val="00591BC8"/>
    <w:rsid w:val="0059222B"/>
    <w:rsid w:val="00592B30"/>
    <w:rsid w:val="0059305E"/>
    <w:rsid w:val="00593181"/>
    <w:rsid w:val="00593522"/>
    <w:rsid w:val="0059361C"/>
    <w:rsid w:val="0059378F"/>
    <w:rsid w:val="00593E47"/>
    <w:rsid w:val="00594B14"/>
    <w:rsid w:val="00594E76"/>
    <w:rsid w:val="005955FE"/>
    <w:rsid w:val="00595993"/>
    <w:rsid w:val="005959CF"/>
    <w:rsid w:val="00595B15"/>
    <w:rsid w:val="00596085"/>
    <w:rsid w:val="00596B66"/>
    <w:rsid w:val="00596CEC"/>
    <w:rsid w:val="005979D9"/>
    <w:rsid w:val="00597F50"/>
    <w:rsid w:val="00597F9C"/>
    <w:rsid w:val="005A0298"/>
    <w:rsid w:val="005A03EE"/>
    <w:rsid w:val="005A04B9"/>
    <w:rsid w:val="005A051F"/>
    <w:rsid w:val="005A085C"/>
    <w:rsid w:val="005A0935"/>
    <w:rsid w:val="005A0A53"/>
    <w:rsid w:val="005A0DBB"/>
    <w:rsid w:val="005A0E92"/>
    <w:rsid w:val="005A0F40"/>
    <w:rsid w:val="005A1008"/>
    <w:rsid w:val="005A1082"/>
    <w:rsid w:val="005A111F"/>
    <w:rsid w:val="005A133D"/>
    <w:rsid w:val="005A136F"/>
    <w:rsid w:val="005A143C"/>
    <w:rsid w:val="005A1A54"/>
    <w:rsid w:val="005A2249"/>
    <w:rsid w:val="005A2396"/>
    <w:rsid w:val="005A26DB"/>
    <w:rsid w:val="005A2B0A"/>
    <w:rsid w:val="005A2EDE"/>
    <w:rsid w:val="005A3362"/>
    <w:rsid w:val="005A34A7"/>
    <w:rsid w:val="005A35FE"/>
    <w:rsid w:val="005A40AA"/>
    <w:rsid w:val="005A41A0"/>
    <w:rsid w:val="005A41C9"/>
    <w:rsid w:val="005A44A0"/>
    <w:rsid w:val="005A47A7"/>
    <w:rsid w:val="005A4B28"/>
    <w:rsid w:val="005A4FEF"/>
    <w:rsid w:val="005A5167"/>
    <w:rsid w:val="005A598D"/>
    <w:rsid w:val="005A5A01"/>
    <w:rsid w:val="005A5AAB"/>
    <w:rsid w:val="005A5D95"/>
    <w:rsid w:val="005A6034"/>
    <w:rsid w:val="005A6215"/>
    <w:rsid w:val="005A6B06"/>
    <w:rsid w:val="005A6DC5"/>
    <w:rsid w:val="005A731E"/>
    <w:rsid w:val="005A7982"/>
    <w:rsid w:val="005A7C4B"/>
    <w:rsid w:val="005A7C7C"/>
    <w:rsid w:val="005A7D49"/>
    <w:rsid w:val="005B0053"/>
    <w:rsid w:val="005B02A2"/>
    <w:rsid w:val="005B041B"/>
    <w:rsid w:val="005B0494"/>
    <w:rsid w:val="005B092E"/>
    <w:rsid w:val="005B0DA4"/>
    <w:rsid w:val="005B0FA9"/>
    <w:rsid w:val="005B10F6"/>
    <w:rsid w:val="005B119A"/>
    <w:rsid w:val="005B1A77"/>
    <w:rsid w:val="005B2027"/>
    <w:rsid w:val="005B22BD"/>
    <w:rsid w:val="005B232F"/>
    <w:rsid w:val="005B3009"/>
    <w:rsid w:val="005B337D"/>
    <w:rsid w:val="005B338A"/>
    <w:rsid w:val="005B37EA"/>
    <w:rsid w:val="005B3896"/>
    <w:rsid w:val="005B39D5"/>
    <w:rsid w:val="005B3C11"/>
    <w:rsid w:val="005B3CFE"/>
    <w:rsid w:val="005B481E"/>
    <w:rsid w:val="005B495F"/>
    <w:rsid w:val="005B4989"/>
    <w:rsid w:val="005B49AA"/>
    <w:rsid w:val="005B4AD8"/>
    <w:rsid w:val="005B4BD4"/>
    <w:rsid w:val="005B4E1B"/>
    <w:rsid w:val="005B4E28"/>
    <w:rsid w:val="005B5162"/>
    <w:rsid w:val="005B568D"/>
    <w:rsid w:val="005B59E9"/>
    <w:rsid w:val="005B5AA9"/>
    <w:rsid w:val="005B5DEE"/>
    <w:rsid w:val="005B5F1B"/>
    <w:rsid w:val="005B6097"/>
    <w:rsid w:val="005B627D"/>
    <w:rsid w:val="005B645E"/>
    <w:rsid w:val="005B648A"/>
    <w:rsid w:val="005B64C7"/>
    <w:rsid w:val="005B67A4"/>
    <w:rsid w:val="005B6B9E"/>
    <w:rsid w:val="005B6D88"/>
    <w:rsid w:val="005B718D"/>
    <w:rsid w:val="005B7C26"/>
    <w:rsid w:val="005B7EE0"/>
    <w:rsid w:val="005C019C"/>
    <w:rsid w:val="005C0204"/>
    <w:rsid w:val="005C06F8"/>
    <w:rsid w:val="005C1451"/>
    <w:rsid w:val="005C15BB"/>
    <w:rsid w:val="005C1AB2"/>
    <w:rsid w:val="005C23DA"/>
    <w:rsid w:val="005C256A"/>
    <w:rsid w:val="005C280E"/>
    <w:rsid w:val="005C2B0E"/>
    <w:rsid w:val="005C2C65"/>
    <w:rsid w:val="005C329B"/>
    <w:rsid w:val="005C390F"/>
    <w:rsid w:val="005C3C64"/>
    <w:rsid w:val="005C3E95"/>
    <w:rsid w:val="005C4019"/>
    <w:rsid w:val="005C4EF6"/>
    <w:rsid w:val="005C4FBA"/>
    <w:rsid w:val="005C575E"/>
    <w:rsid w:val="005C58F1"/>
    <w:rsid w:val="005C5C7E"/>
    <w:rsid w:val="005C5E9B"/>
    <w:rsid w:val="005C604F"/>
    <w:rsid w:val="005C6161"/>
    <w:rsid w:val="005C616E"/>
    <w:rsid w:val="005C6723"/>
    <w:rsid w:val="005C6797"/>
    <w:rsid w:val="005C6BC3"/>
    <w:rsid w:val="005C72C5"/>
    <w:rsid w:val="005C79DB"/>
    <w:rsid w:val="005C7BF6"/>
    <w:rsid w:val="005C7F59"/>
    <w:rsid w:val="005D003E"/>
    <w:rsid w:val="005D0167"/>
    <w:rsid w:val="005D04B5"/>
    <w:rsid w:val="005D05E5"/>
    <w:rsid w:val="005D0C06"/>
    <w:rsid w:val="005D115A"/>
    <w:rsid w:val="005D17FC"/>
    <w:rsid w:val="005D1858"/>
    <w:rsid w:val="005D18D8"/>
    <w:rsid w:val="005D19BE"/>
    <w:rsid w:val="005D1B0D"/>
    <w:rsid w:val="005D1D23"/>
    <w:rsid w:val="005D1EBF"/>
    <w:rsid w:val="005D2051"/>
    <w:rsid w:val="005D2137"/>
    <w:rsid w:val="005D21E8"/>
    <w:rsid w:val="005D2485"/>
    <w:rsid w:val="005D2730"/>
    <w:rsid w:val="005D2837"/>
    <w:rsid w:val="005D2CD1"/>
    <w:rsid w:val="005D3121"/>
    <w:rsid w:val="005D35C3"/>
    <w:rsid w:val="005D35FA"/>
    <w:rsid w:val="005D3772"/>
    <w:rsid w:val="005D3CF4"/>
    <w:rsid w:val="005D3E30"/>
    <w:rsid w:val="005D4560"/>
    <w:rsid w:val="005D4772"/>
    <w:rsid w:val="005D54B2"/>
    <w:rsid w:val="005D5B29"/>
    <w:rsid w:val="005D5C87"/>
    <w:rsid w:val="005D5EFA"/>
    <w:rsid w:val="005D5FED"/>
    <w:rsid w:val="005D6409"/>
    <w:rsid w:val="005D67C2"/>
    <w:rsid w:val="005D748D"/>
    <w:rsid w:val="005D76E2"/>
    <w:rsid w:val="005D7805"/>
    <w:rsid w:val="005D7FA9"/>
    <w:rsid w:val="005E09FA"/>
    <w:rsid w:val="005E0BAA"/>
    <w:rsid w:val="005E0CD7"/>
    <w:rsid w:val="005E1534"/>
    <w:rsid w:val="005E194A"/>
    <w:rsid w:val="005E2180"/>
    <w:rsid w:val="005E234F"/>
    <w:rsid w:val="005E25D2"/>
    <w:rsid w:val="005E3013"/>
    <w:rsid w:val="005E30B8"/>
    <w:rsid w:val="005E3271"/>
    <w:rsid w:val="005E33AD"/>
    <w:rsid w:val="005E366D"/>
    <w:rsid w:val="005E369A"/>
    <w:rsid w:val="005E36CB"/>
    <w:rsid w:val="005E3BF2"/>
    <w:rsid w:val="005E3CAC"/>
    <w:rsid w:val="005E415C"/>
    <w:rsid w:val="005E44BE"/>
    <w:rsid w:val="005E4625"/>
    <w:rsid w:val="005E5C92"/>
    <w:rsid w:val="005E5EA4"/>
    <w:rsid w:val="005E73D1"/>
    <w:rsid w:val="005E73E0"/>
    <w:rsid w:val="005E7484"/>
    <w:rsid w:val="005E75C5"/>
    <w:rsid w:val="005E7682"/>
    <w:rsid w:val="005E76BE"/>
    <w:rsid w:val="005E796C"/>
    <w:rsid w:val="005E7A49"/>
    <w:rsid w:val="005E7E67"/>
    <w:rsid w:val="005E7FAA"/>
    <w:rsid w:val="005F0044"/>
    <w:rsid w:val="005F02F4"/>
    <w:rsid w:val="005F078A"/>
    <w:rsid w:val="005F0820"/>
    <w:rsid w:val="005F0BB3"/>
    <w:rsid w:val="005F0C48"/>
    <w:rsid w:val="005F0D2B"/>
    <w:rsid w:val="005F0FE7"/>
    <w:rsid w:val="005F11DE"/>
    <w:rsid w:val="005F142C"/>
    <w:rsid w:val="005F16D1"/>
    <w:rsid w:val="005F1879"/>
    <w:rsid w:val="005F240A"/>
    <w:rsid w:val="005F25B9"/>
    <w:rsid w:val="005F297F"/>
    <w:rsid w:val="005F2A0E"/>
    <w:rsid w:val="005F2BEA"/>
    <w:rsid w:val="005F3083"/>
    <w:rsid w:val="005F321E"/>
    <w:rsid w:val="005F32F4"/>
    <w:rsid w:val="005F35CD"/>
    <w:rsid w:val="005F36E6"/>
    <w:rsid w:val="005F373D"/>
    <w:rsid w:val="005F378A"/>
    <w:rsid w:val="005F3961"/>
    <w:rsid w:val="005F3F39"/>
    <w:rsid w:val="005F44F1"/>
    <w:rsid w:val="005F485C"/>
    <w:rsid w:val="005F4995"/>
    <w:rsid w:val="005F4ADF"/>
    <w:rsid w:val="005F4CD7"/>
    <w:rsid w:val="005F52E4"/>
    <w:rsid w:val="005F5599"/>
    <w:rsid w:val="005F5611"/>
    <w:rsid w:val="005F58C7"/>
    <w:rsid w:val="005F5A27"/>
    <w:rsid w:val="005F5EBA"/>
    <w:rsid w:val="005F5FFE"/>
    <w:rsid w:val="005F62F9"/>
    <w:rsid w:val="005F6593"/>
    <w:rsid w:val="005F6678"/>
    <w:rsid w:val="005F6C46"/>
    <w:rsid w:val="005F6C7E"/>
    <w:rsid w:val="005F6D49"/>
    <w:rsid w:val="005F6DAF"/>
    <w:rsid w:val="005F7193"/>
    <w:rsid w:val="005F798F"/>
    <w:rsid w:val="00600025"/>
    <w:rsid w:val="00600330"/>
    <w:rsid w:val="00600779"/>
    <w:rsid w:val="006007DF"/>
    <w:rsid w:val="0060099C"/>
    <w:rsid w:val="006009A0"/>
    <w:rsid w:val="00600ABB"/>
    <w:rsid w:val="00601585"/>
    <w:rsid w:val="00601607"/>
    <w:rsid w:val="006016A6"/>
    <w:rsid w:val="00601EB8"/>
    <w:rsid w:val="00602726"/>
    <w:rsid w:val="00602904"/>
    <w:rsid w:val="00602A3A"/>
    <w:rsid w:val="00602D75"/>
    <w:rsid w:val="00602DE9"/>
    <w:rsid w:val="0060340A"/>
    <w:rsid w:val="00603847"/>
    <w:rsid w:val="006039A6"/>
    <w:rsid w:val="00603E84"/>
    <w:rsid w:val="006040AF"/>
    <w:rsid w:val="0060431A"/>
    <w:rsid w:val="00604A9D"/>
    <w:rsid w:val="00604D1D"/>
    <w:rsid w:val="0060595B"/>
    <w:rsid w:val="00605AFD"/>
    <w:rsid w:val="00605BFE"/>
    <w:rsid w:val="00605E6E"/>
    <w:rsid w:val="00606189"/>
    <w:rsid w:val="0060636F"/>
    <w:rsid w:val="00606740"/>
    <w:rsid w:val="00606748"/>
    <w:rsid w:val="006068D6"/>
    <w:rsid w:val="006069F2"/>
    <w:rsid w:val="00606A00"/>
    <w:rsid w:val="00606BC5"/>
    <w:rsid w:val="006073B4"/>
    <w:rsid w:val="006073C9"/>
    <w:rsid w:val="006074E3"/>
    <w:rsid w:val="0060772C"/>
    <w:rsid w:val="00607BCA"/>
    <w:rsid w:val="00607C7C"/>
    <w:rsid w:val="00607CCE"/>
    <w:rsid w:val="006100B5"/>
    <w:rsid w:val="0061043E"/>
    <w:rsid w:val="00610B5B"/>
    <w:rsid w:val="00610D2B"/>
    <w:rsid w:val="00611546"/>
    <w:rsid w:val="0061177A"/>
    <w:rsid w:val="0061187C"/>
    <w:rsid w:val="00611A28"/>
    <w:rsid w:val="00611B60"/>
    <w:rsid w:val="00611C12"/>
    <w:rsid w:val="00611EA8"/>
    <w:rsid w:val="0061206C"/>
    <w:rsid w:val="0061220D"/>
    <w:rsid w:val="00612338"/>
    <w:rsid w:val="006123D4"/>
    <w:rsid w:val="00613121"/>
    <w:rsid w:val="00613253"/>
    <w:rsid w:val="0061368C"/>
    <w:rsid w:val="0061372A"/>
    <w:rsid w:val="0061382B"/>
    <w:rsid w:val="006141E6"/>
    <w:rsid w:val="00614225"/>
    <w:rsid w:val="006143AD"/>
    <w:rsid w:val="006143B5"/>
    <w:rsid w:val="00614617"/>
    <w:rsid w:val="0061472A"/>
    <w:rsid w:val="00614AB2"/>
    <w:rsid w:val="006154B2"/>
    <w:rsid w:val="006154CC"/>
    <w:rsid w:val="00615632"/>
    <w:rsid w:val="00615754"/>
    <w:rsid w:val="00615ADD"/>
    <w:rsid w:val="00615C9B"/>
    <w:rsid w:val="00616294"/>
    <w:rsid w:val="0061664E"/>
    <w:rsid w:val="0061665A"/>
    <w:rsid w:val="00616B20"/>
    <w:rsid w:val="00616B44"/>
    <w:rsid w:val="00616E0F"/>
    <w:rsid w:val="00616FB1"/>
    <w:rsid w:val="00617410"/>
    <w:rsid w:val="006174A2"/>
    <w:rsid w:val="006178DF"/>
    <w:rsid w:val="00617E66"/>
    <w:rsid w:val="00617EBF"/>
    <w:rsid w:val="00620715"/>
    <w:rsid w:val="00620CCB"/>
    <w:rsid w:val="00620D83"/>
    <w:rsid w:val="00620F01"/>
    <w:rsid w:val="006213D1"/>
    <w:rsid w:val="0062167E"/>
    <w:rsid w:val="00621855"/>
    <w:rsid w:val="00621B87"/>
    <w:rsid w:val="00621C05"/>
    <w:rsid w:val="00621CB8"/>
    <w:rsid w:val="00621D80"/>
    <w:rsid w:val="00621DBA"/>
    <w:rsid w:val="00621F45"/>
    <w:rsid w:val="00622536"/>
    <w:rsid w:val="006229E0"/>
    <w:rsid w:val="00622A68"/>
    <w:rsid w:val="00622C3C"/>
    <w:rsid w:val="00622DC1"/>
    <w:rsid w:val="00622F43"/>
    <w:rsid w:val="00623150"/>
    <w:rsid w:val="006233CF"/>
    <w:rsid w:val="0062344C"/>
    <w:rsid w:val="00623453"/>
    <w:rsid w:val="00623729"/>
    <w:rsid w:val="00623CDE"/>
    <w:rsid w:val="0062451F"/>
    <w:rsid w:val="006245FB"/>
    <w:rsid w:val="00624833"/>
    <w:rsid w:val="00624A7F"/>
    <w:rsid w:val="00624CED"/>
    <w:rsid w:val="00625C2A"/>
    <w:rsid w:val="00625D4E"/>
    <w:rsid w:val="00625DED"/>
    <w:rsid w:val="00625FE6"/>
    <w:rsid w:val="00626388"/>
    <w:rsid w:val="00626624"/>
    <w:rsid w:val="00626B04"/>
    <w:rsid w:val="00626C29"/>
    <w:rsid w:val="00626E64"/>
    <w:rsid w:val="006301DF"/>
    <w:rsid w:val="006303C4"/>
    <w:rsid w:val="006303F9"/>
    <w:rsid w:val="0063069B"/>
    <w:rsid w:val="00630E87"/>
    <w:rsid w:val="006313B4"/>
    <w:rsid w:val="006313B5"/>
    <w:rsid w:val="00631C8A"/>
    <w:rsid w:val="00632279"/>
    <w:rsid w:val="0063248D"/>
    <w:rsid w:val="006326CF"/>
    <w:rsid w:val="00632AAB"/>
    <w:rsid w:val="00632BD9"/>
    <w:rsid w:val="00632C92"/>
    <w:rsid w:val="00632D92"/>
    <w:rsid w:val="00632F51"/>
    <w:rsid w:val="0063345C"/>
    <w:rsid w:val="00633714"/>
    <w:rsid w:val="006337C1"/>
    <w:rsid w:val="00633819"/>
    <w:rsid w:val="00633986"/>
    <w:rsid w:val="00634265"/>
    <w:rsid w:val="00634555"/>
    <w:rsid w:val="0063458B"/>
    <w:rsid w:val="00634C83"/>
    <w:rsid w:val="00634CAC"/>
    <w:rsid w:val="00634DDA"/>
    <w:rsid w:val="00635024"/>
    <w:rsid w:val="00635A44"/>
    <w:rsid w:val="00635AE3"/>
    <w:rsid w:val="00635EBD"/>
    <w:rsid w:val="00636481"/>
    <w:rsid w:val="006377A2"/>
    <w:rsid w:val="0063796E"/>
    <w:rsid w:val="00637B96"/>
    <w:rsid w:val="00637BAB"/>
    <w:rsid w:val="00637C14"/>
    <w:rsid w:val="00637C5F"/>
    <w:rsid w:val="00637FD7"/>
    <w:rsid w:val="0064011A"/>
    <w:rsid w:val="006405F7"/>
    <w:rsid w:val="00640AAF"/>
    <w:rsid w:val="00640AD1"/>
    <w:rsid w:val="00640E33"/>
    <w:rsid w:val="00640F78"/>
    <w:rsid w:val="00641589"/>
    <w:rsid w:val="00641FEC"/>
    <w:rsid w:val="00642161"/>
    <w:rsid w:val="00642726"/>
    <w:rsid w:val="006428BE"/>
    <w:rsid w:val="006428CE"/>
    <w:rsid w:val="00642DC3"/>
    <w:rsid w:val="00643DA2"/>
    <w:rsid w:val="00643DA4"/>
    <w:rsid w:val="0064425B"/>
    <w:rsid w:val="0064490B"/>
    <w:rsid w:val="00644B01"/>
    <w:rsid w:val="00644CF6"/>
    <w:rsid w:val="00644DD6"/>
    <w:rsid w:val="00644EA2"/>
    <w:rsid w:val="0064569D"/>
    <w:rsid w:val="0064581D"/>
    <w:rsid w:val="00645E23"/>
    <w:rsid w:val="00646D38"/>
    <w:rsid w:val="00646E9B"/>
    <w:rsid w:val="00647797"/>
    <w:rsid w:val="006479EC"/>
    <w:rsid w:val="00647C3C"/>
    <w:rsid w:val="00650006"/>
    <w:rsid w:val="00650978"/>
    <w:rsid w:val="006509E0"/>
    <w:rsid w:val="00650D4E"/>
    <w:rsid w:val="006515BE"/>
    <w:rsid w:val="00651782"/>
    <w:rsid w:val="00651C1D"/>
    <w:rsid w:val="00652241"/>
    <w:rsid w:val="00652569"/>
    <w:rsid w:val="00652E8D"/>
    <w:rsid w:val="00652FC6"/>
    <w:rsid w:val="00653191"/>
    <w:rsid w:val="00653303"/>
    <w:rsid w:val="0065333D"/>
    <w:rsid w:val="006533D2"/>
    <w:rsid w:val="00653928"/>
    <w:rsid w:val="00654106"/>
    <w:rsid w:val="00654411"/>
    <w:rsid w:val="00654507"/>
    <w:rsid w:val="00654B8F"/>
    <w:rsid w:val="00654BE4"/>
    <w:rsid w:val="00654E69"/>
    <w:rsid w:val="00654F0D"/>
    <w:rsid w:val="00655051"/>
    <w:rsid w:val="0065541F"/>
    <w:rsid w:val="0065624C"/>
    <w:rsid w:val="00656356"/>
    <w:rsid w:val="006565D1"/>
    <w:rsid w:val="00656A9C"/>
    <w:rsid w:val="00656F65"/>
    <w:rsid w:val="006572AE"/>
    <w:rsid w:val="00660214"/>
    <w:rsid w:val="006603B9"/>
    <w:rsid w:val="00660A3E"/>
    <w:rsid w:val="00660A53"/>
    <w:rsid w:val="00660B81"/>
    <w:rsid w:val="00660C69"/>
    <w:rsid w:val="00660C6D"/>
    <w:rsid w:val="0066107E"/>
    <w:rsid w:val="006610D9"/>
    <w:rsid w:val="00661BEA"/>
    <w:rsid w:val="00661F22"/>
    <w:rsid w:val="00662040"/>
    <w:rsid w:val="006620B7"/>
    <w:rsid w:val="00662256"/>
    <w:rsid w:val="00662A95"/>
    <w:rsid w:val="00662BEB"/>
    <w:rsid w:val="00662D4C"/>
    <w:rsid w:val="00663AF6"/>
    <w:rsid w:val="00663B6A"/>
    <w:rsid w:val="00664066"/>
    <w:rsid w:val="006641D6"/>
    <w:rsid w:val="006642C2"/>
    <w:rsid w:val="006644F7"/>
    <w:rsid w:val="00664CC7"/>
    <w:rsid w:val="0066517C"/>
    <w:rsid w:val="00665416"/>
    <w:rsid w:val="00665606"/>
    <w:rsid w:val="0066598E"/>
    <w:rsid w:val="006659CE"/>
    <w:rsid w:val="00665CF1"/>
    <w:rsid w:val="00665D62"/>
    <w:rsid w:val="00666223"/>
    <w:rsid w:val="006665F7"/>
    <w:rsid w:val="00666A8C"/>
    <w:rsid w:val="00666D32"/>
    <w:rsid w:val="00667262"/>
    <w:rsid w:val="006674D2"/>
    <w:rsid w:val="006677EB"/>
    <w:rsid w:val="00667D5D"/>
    <w:rsid w:val="00667FF9"/>
    <w:rsid w:val="0067005D"/>
    <w:rsid w:val="00670357"/>
    <w:rsid w:val="00670543"/>
    <w:rsid w:val="006705FC"/>
    <w:rsid w:val="00670769"/>
    <w:rsid w:val="0067078C"/>
    <w:rsid w:val="00670964"/>
    <w:rsid w:val="00670AB7"/>
    <w:rsid w:val="00671360"/>
    <w:rsid w:val="006713C5"/>
    <w:rsid w:val="0067145C"/>
    <w:rsid w:val="00671481"/>
    <w:rsid w:val="00671770"/>
    <w:rsid w:val="006717A7"/>
    <w:rsid w:val="00671AB9"/>
    <w:rsid w:val="00671E45"/>
    <w:rsid w:val="00672450"/>
    <w:rsid w:val="006727AF"/>
    <w:rsid w:val="00672841"/>
    <w:rsid w:val="00673097"/>
    <w:rsid w:val="00673168"/>
    <w:rsid w:val="00673267"/>
    <w:rsid w:val="0067339D"/>
    <w:rsid w:val="006733DD"/>
    <w:rsid w:val="0067358E"/>
    <w:rsid w:val="00673C3F"/>
    <w:rsid w:val="00673E8C"/>
    <w:rsid w:val="0067409C"/>
    <w:rsid w:val="0067448D"/>
    <w:rsid w:val="006744B8"/>
    <w:rsid w:val="00674759"/>
    <w:rsid w:val="006755BF"/>
    <w:rsid w:val="0067580B"/>
    <w:rsid w:val="00675D0F"/>
    <w:rsid w:val="006760AA"/>
    <w:rsid w:val="006761D0"/>
    <w:rsid w:val="006761E8"/>
    <w:rsid w:val="0067630C"/>
    <w:rsid w:val="00676CC8"/>
    <w:rsid w:val="006772B4"/>
    <w:rsid w:val="00677665"/>
    <w:rsid w:val="006776C8"/>
    <w:rsid w:val="00677CCB"/>
    <w:rsid w:val="00680027"/>
    <w:rsid w:val="006812D2"/>
    <w:rsid w:val="00681CC7"/>
    <w:rsid w:val="0068211D"/>
    <w:rsid w:val="00682339"/>
    <w:rsid w:val="006827D3"/>
    <w:rsid w:val="00682913"/>
    <w:rsid w:val="00682EA5"/>
    <w:rsid w:val="00683D3E"/>
    <w:rsid w:val="00684BA1"/>
    <w:rsid w:val="00684D28"/>
    <w:rsid w:val="00684D3E"/>
    <w:rsid w:val="00684E07"/>
    <w:rsid w:val="006853FB"/>
    <w:rsid w:val="006857FA"/>
    <w:rsid w:val="00685C3E"/>
    <w:rsid w:val="00686165"/>
    <w:rsid w:val="00686421"/>
    <w:rsid w:val="0068675E"/>
    <w:rsid w:val="006867C9"/>
    <w:rsid w:val="00686812"/>
    <w:rsid w:val="00686980"/>
    <w:rsid w:val="006872DF"/>
    <w:rsid w:val="00687CB7"/>
    <w:rsid w:val="00687FAA"/>
    <w:rsid w:val="00690CAA"/>
    <w:rsid w:val="00691142"/>
    <w:rsid w:val="006919F5"/>
    <w:rsid w:val="00691AA5"/>
    <w:rsid w:val="00691CB5"/>
    <w:rsid w:val="00691E39"/>
    <w:rsid w:val="006923BB"/>
    <w:rsid w:val="0069267C"/>
    <w:rsid w:val="00692A49"/>
    <w:rsid w:val="00692C40"/>
    <w:rsid w:val="00692C5B"/>
    <w:rsid w:val="00692F7E"/>
    <w:rsid w:val="0069306C"/>
    <w:rsid w:val="006938BF"/>
    <w:rsid w:val="00693E14"/>
    <w:rsid w:val="00694326"/>
    <w:rsid w:val="006943C7"/>
    <w:rsid w:val="00694528"/>
    <w:rsid w:val="00694580"/>
    <w:rsid w:val="00694A56"/>
    <w:rsid w:val="00694BB1"/>
    <w:rsid w:val="00695543"/>
    <w:rsid w:val="006957B1"/>
    <w:rsid w:val="00695837"/>
    <w:rsid w:val="00695A1C"/>
    <w:rsid w:val="00695D97"/>
    <w:rsid w:val="006960D9"/>
    <w:rsid w:val="006963C7"/>
    <w:rsid w:val="0069641C"/>
    <w:rsid w:val="006965F0"/>
    <w:rsid w:val="006966F2"/>
    <w:rsid w:val="006967DF"/>
    <w:rsid w:val="00696926"/>
    <w:rsid w:val="00696A47"/>
    <w:rsid w:val="0069752B"/>
    <w:rsid w:val="00697613"/>
    <w:rsid w:val="00697BB8"/>
    <w:rsid w:val="00697DCB"/>
    <w:rsid w:val="006A02DA"/>
    <w:rsid w:val="006A032B"/>
    <w:rsid w:val="006A07AE"/>
    <w:rsid w:val="006A09E1"/>
    <w:rsid w:val="006A103E"/>
    <w:rsid w:val="006A1B52"/>
    <w:rsid w:val="006A22C6"/>
    <w:rsid w:val="006A2409"/>
    <w:rsid w:val="006A2830"/>
    <w:rsid w:val="006A2B25"/>
    <w:rsid w:val="006A2EC4"/>
    <w:rsid w:val="006A32A2"/>
    <w:rsid w:val="006A33B1"/>
    <w:rsid w:val="006A33E6"/>
    <w:rsid w:val="006A3423"/>
    <w:rsid w:val="006A349F"/>
    <w:rsid w:val="006A3598"/>
    <w:rsid w:val="006A38DB"/>
    <w:rsid w:val="006A3B25"/>
    <w:rsid w:val="006A3B34"/>
    <w:rsid w:val="006A3E3B"/>
    <w:rsid w:val="006A3E9D"/>
    <w:rsid w:val="006A41D6"/>
    <w:rsid w:val="006A487B"/>
    <w:rsid w:val="006A4C56"/>
    <w:rsid w:val="006A4D3D"/>
    <w:rsid w:val="006A5010"/>
    <w:rsid w:val="006A51DF"/>
    <w:rsid w:val="006A54CB"/>
    <w:rsid w:val="006A58BD"/>
    <w:rsid w:val="006A5EF5"/>
    <w:rsid w:val="006A5FA6"/>
    <w:rsid w:val="006A6271"/>
    <w:rsid w:val="006A6404"/>
    <w:rsid w:val="006A6EE1"/>
    <w:rsid w:val="006A6F24"/>
    <w:rsid w:val="006A7102"/>
    <w:rsid w:val="006A7247"/>
    <w:rsid w:val="006A726C"/>
    <w:rsid w:val="006A743D"/>
    <w:rsid w:val="006A7549"/>
    <w:rsid w:val="006A7676"/>
    <w:rsid w:val="006A76AE"/>
    <w:rsid w:val="006A78FB"/>
    <w:rsid w:val="006A798D"/>
    <w:rsid w:val="006A7EDC"/>
    <w:rsid w:val="006B0591"/>
    <w:rsid w:val="006B06A4"/>
    <w:rsid w:val="006B0832"/>
    <w:rsid w:val="006B0863"/>
    <w:rsid w:val="006B0BC7"/>
    <w:rsid w:val="006B1096"/>
    <w:rsid w:val="006B1481"/>
    <w:rsid w:val="006B16CA"/>
    <w:rsid w:val="006B1D79"/>
    <w:rsid w:val="006B2110"/>
    <w:rsid w:val="006B239A"/>
    <w:rsid w:val="006B2483"/>
    <w:rsid w:val="006B2A23"/>
    <w:rsid w:val="006B2D1C"/>
    <w:rsid w:val="006B303E"/>
    <w:rsid w:val="006B30B0"/>
    <w:rsid w:val="006B3418"/>
    <w:rsid w:val="006B3457"/>
    <w:rsid w:val="006B404E"/>
    <w:rsid w:val="006B4208"/>
    <w:rsid w:val="006B447F"/>
    <w:rsid w:val="006B4738"/>
    <w:rsid w:val="006B48DE"/>
    <w:rsid w:val="006B5020"/>
    <w:rsid w:val="006B507E"/>
    <w:rsid w:val="006B5101"/>
    <w:rsid w:val="006B58B2"/>
    <w:rsid w:val="006B5C61"/>
    <w:rsid w:val="006B5DD5"/>
    <w:rsid w:val="006B5DFD"/>
    <w:rsid w:val="006B5E6B"/>
    <w:rsid w:val="006B5E7C"/>
    <w:rsid w:val="006B66B8"/>
    <w:rsid w:val="006B6BCC"/>
    <w:rsid w:val="006B6DD2"/>
    <w:rsid w:val="006B6E34"/>
    <w:rsid w:val="006B7395"/>
    <w:rsid w:val="006B7C63"/>
    <w:rsid w:val="006B7D5F"/>
    <w:rsid w:val="006B7DAC"/>
    <w:rsid w:val="006B7E0B"/>
    <w:rsid w:val="006B7E1C"/>
    <w:rsid w:val="006C02AF"/>
    <w:rsid w:val="006C03C8"/>
    <w:rsid w:val="006C086F"/>
    <w:rsid w:val="006C0B44"/>
    <w:rsid w:val="006C0CCA"/>
    <w:rsid w:val="006C12E1"/>
    <w:rsid w:val="006C14AC"/>
    <w:rsid w:val="006C2D8D"/>
    <w:rsid w:val="006C3037"/>
    <w:rsid w:val="006C305F"/>
    <w:rsid w:val="006C37E0"/>
    <w:rsid w:val="006C3911"/>
    <w:rsid w:val="006C39FB"/>
    <w:rsid w:val="006C3A09"/>
    <w:rsid w:val="006C3ABB"/>
    <w:rsid w:val="006C3F19"/>
    <w:rsid w:val="006C4021"/>
    <w:rsid w:val="006C43F6"/>
    <w:rsid w:val="006C455C"/>
    <w:rsid w:val="006C45B6"/>
    <w:rsid w:val="006C47B5"/>
    <w:rsid w:val="006C5242"/>
    <w:rsid w:val="006C52B4"/>
    <w:rsid w:val="006C5625"/>
    <w:rsid w:val="006C590B"/>
    <w:rsid w:val="006C5A4A"/>
    <w:rsid w:val="006C5ECE"/>
    <w:rsid w:val="006C6154"/>
    <w:rsid w:val="006C615D"/>
    <w:rsid w:val="006C645D"/>
    <w:rsid w:val="006C65E1"/>
    <w:rsid w:val="006C6754"/>
    <w:rsid w:val="006C7034"/>
    <w:rsid w:val="006C7262"/>
    <w:rsid w:val="006C7E55"/>
    <w:rsid w:val="006C7E65"/>
    <w:rsid w:val="006D006D"/>
    <w:rsid w:val="006D016F"/>
    <w:rsid w:val="006D01DC"/>
    <w:rsid w:val="006D021E"/>
    <w:rsid w:val="006D0450"/>
    <w:rsid w:val="006D094E"/>
    <w:rsid w:val="006D0B21"/>
    <w:rsid w:val="006D0D4E"/>
    <w:rsid w:val="006D0E31"/>
    <w:rsid w:val="006D10A0"/>
    <w:rsid w:val="006D112D"/>
    <w:rsid w:val="006D1408"/>
    <w:rsid w:val="006D169C"/>
    <w:rsid w:val="006D19DD"/>
    <w:rsid w:val="006D1D18"/>
    <w:rsid w:val="006D1D9A"/>
    <w:rsid w:val="006D236B"/>
    <w:rsid w:val="006D29DF"/>
    <w:rsid w:val="006D2D37"/>
    <w:rsid w:val="006D39A6"/>
    <w:rsid w:val="006D3EC8"/>
    <w:rsid w:val="006D42C7"/>
    <w:rsid w:val="006D4884"/>
    <w:rsid w:val="006D498C"/>
    <w:rsid w:val="006D4A12"/>
    <w:rsid w:val="006D5289"/>
    <w:rsid w:val="006D56BF"/>
    <w:rsid w:val="006D591B"/>
    <w:rsid w:val="006D5A5F"/>
    <w:rsid w:val="006D5B2F"/>
    <w:rsid w:val="006D5B6A"/>
    <w:rsid w:val="006D5CAE"/>
    <w:rsid w:val="006D5FE8"/>
    <w:rsid w:val="006D5FF6"/>
    <w:rsid w:val="006D61C3"/>
    <w:rsid w:val="006D677D"/>
    <w:rsid w:val="006D6C13"/>
    <w:rsid w:val="006D6DFB"/>
    <w:rsid w:val="006D7672"/>
    <w:rsid w:val="006D7738"/>
    <w:rsid w:val="006D79D3"/>
    <w:rsid w:val="006D7BFD"/>
    <w:rsid w:val="006D7D41"/>
    <w:rsid w:val="006E030F"/>
    <w:rsid w:val="006E04DA"/>
    <w:rsid w:val="006E0767"/>
    <w:rsid w:val="006E0E27"/>
    <w:rsid w:val="006E0E3C"/>
    <w:rsid w:val="006E0EF8"/>
    <w:rsid w:val="006E0FFA"/>
    <w:rsid w:val="006E15C8"/>
    <w:rsid w:val="006E1C03"/>
    <w:rsid w:val="006E1C4B"/>
    <w:rsid w:val="006E1C8A"/>
    <w:rsid w:val="006E1EC3"/>
    <w:rsid w:val="006E1EFC"/>
    <w:rsid w:val="006E2113"/>
    <w:rsid w:val="006E2380"/>
    <w:rsid w:val="006E2AE2"/>
    <w:rsid w:val="006E2FC0"/>
    <w:rsid w:val="006E302E"/>
    <w:rsid w:val="006E3443"/>
    <w:rsid w:val="006E3A71"/>
    <w:rsid w:val="006E3CC3"/>
    <w:rsid w:val="006E4222"/>
    <w:rsid w:val="006E43FC"/>
    <w:rsid w:val="006E45FD"/>
    <w:rsid w:val="006E46DD"/>
    <w:rsid w:val="006E4F4C"/>
    <w:rsid w:val="006E514A"/>
    <w:rsid w:val="006E5473"/>
    <w:rsid w:val="006E5BA0"/>
    <w:rsid w:val="006E5D33"/>
    <w:rsid w:val="006E6477"/>
    <w:rsid w:val="006E64D0"/>
    <w:rsid w:val="006E67E9"/>
    <w:rsid w:val="006E6ABB"/>
    <w:rsid w:val="006E6BC7"/>
    <w:rsid w:val="006E6F64"/>
    <w:rsid w:val="006E760F"/>
    <w:rsid w:val="006E76F2"/>
    <w:rsid w:val="006E79BC"/>
    <w:rsid w:val="006E7A7E"/>
    <w:rsid w:val="006E7AC9"/>
    <w:rsid w:val="006E7DCF"/>
    <w:rsid w:val="006F030A"/>
    <w:rsid w:val="006F05E7"/>
    <w:rsid w:val="006F075C"/>
    <w:rsid w:val="006F0856"/>
    <w:rsid w:val="006F09C5"/>
    <w:rsid w:val="006F0E1B"/>
    <w:rsid w:val="006F0E28"/>
    <w:rsid w:val="006F1055"/>
    <w:rsid w:val="006F10E6"/>
    <w:rsid w:val="006F1249"/>
    <w:rsid w:val="006F1303"/>
    <w:rsid w:val="006F140C"/>
    <w:rsid w:val="006F145D"/>
    <w:rsid w:val="006F156D"/>
    <w:rsid w:val="006F16E5"/>
    <w:rsid w:val="006F1A07"/>
    <w:rsid w:val="006F22D7"/>
    <w:rsid w:val="006F2485"/>
    <w:rsid w:val="006F2570"/>
    <w:rsid w:val="006F280C"/>
    <w:rsid w:val="006F2E9D"/>
    <w:rsid w:val="006F2FC6"/>
    <w:rsid w:val="006F3019"/>
    <w:rsid w:val="006F3023"/>
    <w:rsid w:val="006F30E7"/>
    <w:rsid w:val="006F3275"/>
    <w:rsid w:val="006F3F6C"/>
    <w:rsid w:val="006F40AD"/>
    <w:rsid w:val="006F458C"/>
    <w:rsid w:val="006F47B0"/>
    <w:rsid w:val="006F4846"/>
    <w:rsid w:val="006F5181"/>
    <w:rsid w:val="006F54CA"/>
    <w:rsid w:val="006F5879"/>
    <w:rsid w:val="006F5A94"/>
    <w:rsid w:val="006F6106"/>
    <w:rsid w:val="006F6272"/>
    <w:rsid w:val="006F62C8"/>
    <w:rsid w:val="006F656C"/>
    <w:rsid w:val="006F67AC"/>
    <w:rsid w:val="006F69D0"/>
    <w:rsid w:val="006F6B2A"/>
    <w:rsid w:val="006F71A7"/>
    <w:rsid w:val="006F7891"/>
    <w:rsid w:val="006F7A12"/>
    <w:rsid w:val="006F7F38"/>
    <w:rsid w:val="007002C8"/>
    <w:rsid w:val="00700574"/>
    <w:rsid w:val="00700715"/>
    <w:rsid w:val="00700861"/>
    <w:rsid w:val="0070093D"/>
    <w:rsid w:val="00700D87"/>
    <w:rsid w:val="007012AC"/>
    <w:rsid w:val="0070193B"/>
    <w:rsid w:val="007019BF"/>
    <w:rsid w:val="00701B43"/>
    <w:rsid w:val="00701F5F"/>
    <w:rsid w:val="00702122"/>
    <w:rsid w:val="007034F5"/>
    <w:rsid w:val="00703956"/>
    <w:rsid w:val="00703A35"/>
    <w:rsid w:val="007044B4"/>
    <w:rsid w:val="00704AB8"/>
    <w:rsid w:val="00704BB4"/>
    <w:rsid w:val="00704DA8"/>
    <w:rsid w:val="00704F5D"/>
    <w:rsid w:val="007050D3"/>
    <w:rsid w:val="007054AE"/>
    <w:rsid w:val="0070590C"/>
    <w:rsid w:val="00705C83"/>
    <w:rsid w:val="00706238"/>
    <w:rsid w:val="007065B3"/>
    <w:rsid w:val="00706D75"/>
    <w:rsid w:val="00706E28"/>
    <w:rsid w:val="00707014"/>
    <w:rsid w:val="00707129"/>
    <w:rsid w:val="00707137"/>
    <w:rsid w:val="00707939"/>
    <w:rsid w:val="00707B65"/>
    <w:rsid w:val="00707CFE"/>
    <w:rsid w:val="00710275"/>
    <w:rsid w:val="0071030C"/>
    <w:rsid w:val="00710985"/>
    <w:rsid w:val="00710A9F"/>
    <w:rsid w:val="00710E13"/>
    <w:rsid w:val="00711613"/>
    <w:rsid w:val="00711887"/>
    <w:rsid w:val="00711D28"/>
    <w:rsid w:val="00711D8E"/>
    <w:rsid w:val="00711DA4"/>
    <w:rsid w:val="00711EC4"/>
    <w:rsid w:val="0071234E"/>
    <w:rsid w:val="00712A53"/>
    <w:rsid w:val="00712D8A"/>
    <w:rsid w:val="007132AA"/>
    <w:rsid w:val="007139AD"/>
    <w:rsid w:val="00713C7C"/>
    <w:rsid w:val="00713D02"/>
    <w:rsid w:val="00713F88"/>
    <w:rsid w:val="00714041"/>
    <w:rsid w:val="007140F6"/>
    <w:rsid w:val="00714143"/>
    <w:rsid w:val="007147B3"/>
    <w:rsid w:val="007148B8"/>
    <w:rsid w:val="00714949"/>
    <w:rsid w:val="007152D0"/>
    <w:rsid w:val="00715415"/>
    <w:rsid w:val="00715610"/>
    <w:rsid w:val="00715A12"/>
    <w:rsid w:val="00715D1F"/>
    <w:rsid w:val="00715DE1"/>
    <w:rsid w:val="007160C5"/>
    <w:rsid w:val="00716682"/>
    <w:rsid w:val="00716DCD"/>
    <w:rsid w:val="00717C2C"/>
    <w:rsid w:val="00717DAC"/>
    <w:rsid w:val="00717FB2"/>
    <w:rsid w:val="0072003E"/>
    <w:rsid w:val="0072025D"/>
    <w:rsid w:val="007202BA"/>
    <w:rsid w:val="00720730"/>
    <w:rsid w:val="007207B6"/>
    <w:rsid w:val="00720A01"/>
    <w:rsid w:val="00720BF2"/>
    <w:rsid w:val="00720C13"/>
    <w:rsid w:val="00720C37"/>
    <w:rsid w:val="00720F4E"/>
    <w:rsid w:val="00721300"/>
    <w:rsid w:val="007222FC"/>
    <w:rsid w:val="007223A1"/>
    <w:rsid w:val="00722AF7"/>
    <w:rsid w:val="00722E0B"/>
    <w:rsid w:val="00722F21"/>
    <w:rsid w:val="00723041"/>
    <w:rsid w:val="0072310B"/>
    <w:rsid w:val="007235C9"/>
    <w:rsid w:val="00723E55"/>
    <w:rsid w:val="00723ECF"/>
    <w:rsid w:val="00724531"/>
    <w:rsid w:val="007248D9"/>
    <w:rsid w:val="007249B4"/>
    <w:rsid w:val="00724A9E"/>
    <w:rsid w:val="00724BC5"/>
    <w:rsid w:val="00724EA9"/>
    <w:rsid w:val="00724EEA"/>
    <w:rsid w:val="0072545C"/>
    <w:rsid w:val="00725531"/>
    <w:rsid w:val="00725818"/>
    <w:rsid w:val="00725A36"/>
    <w:rsid w:val="00725DF6"/>
    <w:rsid w:val="00726311"/>
    <w:rsid w:val="0072638F"/>
    <w:rsid w:val="0072640D"/>
    <w:rsid w:val="007267C9"/>
    <w:rsid w:val="00726A2C"/>
    <w:rsid w:val="00726AD7"/>
    <w:rsid w:val="00726DE4"/>
    <w:rsid w:val="00726FDE"/>
    <w:rsid w:val="007277B9"/>
    <w:rsid w:val="0072783F"/>
    <w:rsid w:val="00727A9B"/>
    <w:rsid w:val="00727F61"/>
    <w:rsid w:val="0073021A"/>
    <w:rsid w:val="00730B21"/>
    <w:rsid w:val="00730D99"/>
    <w:rsid w:val="00731000"/>
    <w:rsid w:val="00731293"/>
    <w:rsid w:val="007316AF"/>
    <w:rsid w:val="007319B1"/>
    <w:rsid w:val="00731FCA"/>
    <w:rsid w:val="00732151"/>
    <w:rsid w:val="00732788"/>
    <w:rsid w:val="00732C80"/>
    <w:rsid w:val="00732ECC"/>
    <w:rsid w:val="00732F42"/>
    <w:rsid w:val="00733245"/>
    <w:rsid w:val="0073374E"/>
    <w:rsid w:val="00733F00"/>
    <w:rsid w:val="007347D1"/>
    <w:rsid w:val="007348E3"/>
    <w:rsid w:val="007349CE"/>
    <w:rsid w:val="0073530C"/>
    <w:rsid w:val="00735817"/>
    <w:rsid w:val="00735925"/>
    <w:rsid w:val="007365AA"/>
    <w:rsid w:val="007365F8"/>
    <w:rsid w:val="00736F94"/>
    <w:rsid w:val="0073727A"/>
    <w:rsid w:val="00737B4A"/>
    <w:rsid w:val="00737B5E"/>
    <w:rsid w:val="007402DC"/>
    <w:rsid w:val="0074040F"/>
    <w:rsid w:val="007405B8"/>
    <w:rsid w:val="00740847"/>
    <w:rsid w:val="00740E7F"/>
    <w:rsid w:val="0074103A"/>
    <w:rsid w:val="00741D00"/>
    <w:rsid w:val="00741E09"/>
    <w:rsid w:val="007420E1"/>
    <w:rsid w:val="00742936"/>
    <w:rsid w:val="00742C6B"/>
    <w:rsid w:val="00742DE0"/>
    <w:rsid w:val="00743419"/>
    <w:rsid w:val="00743697"/>
    <w:rsid w:val="00743CDF"/>
    <w:rsid w:val="00744612"/>
    <w:rsid w:val="0074490D"/>
    <w:rsid w:val="0074491C"/>
    <w:rsid w:val="007449E3"/>
    <w:rsid w:val="00744FC6"/>
    <w:rsid w:val="00745041"/>
    <w:rsid w:val="0074553B"/>
    <w:rsid w:val="00745676"/>
    <w:rsid w:val="00745A87"/>
    <w:rsid w:val="00745CAF"/>
    <w:rsid w:val="00745E1E"/>
    <w:rsid w:val="00746104"/>
    <w:rsid w:val="00746925"/>
    <w:rsid w:val="00746E2A"/>
    <w:rsid w:val="00747708"/>
    <w:rsid w:val="007477E1"/>
    <w:rsid w:val="007479DB"/>
    <w:rsid w:val="00750303"/>
    <w:rsid w:val="00750767"/>
    <w:rsid w:val="00750888"/>
    <w:rsid w:val="00750DE6"/>
    <w:rsid w:val="00750E5A"/>
    <w:rsid w:val="00751BBB"/>
    <w:rsid w:val="00751BC5"/>
    <w:rsid w:val="00752212"/>
    <w:rsid w:val="007526BF"/>
    <w:rsid w:val="007530D3"/>
    <w:rsid w:val="0075366A"/>
    <w:rsid w:val="00753B6C"/>
    <w:rsid w:val="00753D42"/>
    <w:rsid w:val="00753E0D"/>
    <w:rsid w:val="007540F4"/>
    <w:rsid w:val="007543D9"/>
    <w:rsid w:val="00754497"/>
    <w:rsid w:val="00754829"/>
    <w:rsid w:val="00754A37"/>
    <w:rsid w:val="00754B88"/>
    <w:rsid w:val="00755305"/>
    <w:rsid w:val="007557B7"/>
    <w:rsid w:val="00755A4E"/>
    <w:rsid w:val="0075617E"/>
    <w:rsid w:val="0075623D"/>
    <w:rsid w:val="00756285"/>
    <w:rsid w:val="0075634A"/>
    <w:rsid w:val="007567C8"/>
    <w:rsid w:val="00756A02"/>
    <w:rsid w:val="00756D58"/>
    <w:rsid w:val="007576C2"/>
    <w:rsid w:val="00757816"/>
    <w:rsid w:val="00757AF6"/>
    <w:rsid w:val="00760561"/>
    <w:rsid w:val="007605EE"/>
    <w:rsid w:val="007608BC"/>
    <w:rsid w:val="00760B1A"/>
    <w:rsid w:val="00760D1D"/>
    <w:rsid w:val="007625A8"/>
    <w:rsid w:val="00762742"/>
    <w:rsid w:val="007628FE"/>
    <w:rsid w:val="00762954"/>
    <w:rsid w:val="007632BC"/>
    <w:rsid w:val="007632F7"/>
    <w:rsid w:val="00763797"/>
    <w:rsid w:val="00763CF1"/>
    <w:rsid w:val="00763DF5"/>
    <w:rsid w:val="00763E62"/>
    <w:rsid w:val="0076450F"/>
    <w:rsid w:val="0076451F"/>
    <w:rsid w:val="00764989"/>
    <w:rsid w:val="00765997"/>
    <w:rsid w:val="00765B3C"/>
    <w:rsid w:val="00765F1E"/>
    <w:rsid w:val="00765FA8"/>
    <w:rsid w:val="00765FF1"/>
    <w:rsid w:val="00766293"/>
    <w:rsid w:val="00766663"/>
    <w:rsid w:val="00766801"/>
    <w:rsid w:val="00766C9E"/>
    <w:rsid w:val="00766EAD"/>
    <w:rsid w:val="007672F7"/>
    <w:rsid w:val="00767352"/>
    <w:rsid w:val="0076741E"/>
    <w:rsid w:val="0076780E"/>
    <w:rsid w:val="00770109"/>
    <w:rsid w:val="007708D9"/>
    <w:rsid w:val="00770A37"/>
    <w:rsid w:val="0077190C"/>
    <w:rsid w:val="007719B6"/>
    <w:rsid w:val="00771AF7"/>
    <w:rsid w:val="00771B06"/>
    <w:rsid w:val="00771BF2"/>
    <w:rsid w:val="00771E5B"/>
    <w:rsid w:val="00772354"/>
    <w:rsid w:val="00772434"/>
    <w:rsid w:val="00772550"/>
    <w:rsid w:val="00772B90"/>
    <w:rsid w:val="00772BC2"/>
    <w:rsid w:val="00772F61"/>
    <w:rsid w:val="00772F6D"/>
    <w:rsid w:val="0077305C"/>
    <w:rsid w:val="007737AA"/>
    <w:rsid w:val="007739DC"/>
    <w:rsid w:val="00773B60"/>
    <w:rsid w:val="00773C06"/>
    <w:rsid w:val="00773CCD"/>
    <w:rsid w:val="00773E20"/>
    <w:rsid w:val="00774293"/>
    <w:rsid w:val="0077430F"/>
    <w:rsid w:val="0077439F"/>
    <w:rsid w:val="00774523"/>
    <w:rsid w:val="007754E5"/>
    <w:rsid w:val="00775702"/>
    <w:rsid w:val="007757BA"/>
    <w:rsid w:val="00775897"/>
    <w:rsid w:val="007759C9"/>
    <w:rsid w:val="00775A47"/>
    <w:rsid w:val="00775A95"/>
    <w:rsid w:val="00775C25"/>
    <w:rsid w:val="00775CC7"/>
    <w:rsid w:val="00776255"/>
    <w:rsid w:val="0077628A"/>
    <w:rsid w:val="007764C6"/>
    <w:rsid w:val="0077652C"/>
    <w:rsid w:val="00776A87"/>
    <w:rsid w:val="00776AF5"/>
    <w:rsid w:val="00776BA6"/>
    <w:rsid w:val="00776DEB"/>
    <w:rsid w:val="00776F00"/>
    <w:rsid w:val="00777079"/>
    <w:rsid w:val="007773C6"/>
    <w:rsid w:val="00777AE2"/>
    <w:rsid w:val="00777B83"/>
    <w:rsid w:val="00780091"/>
    <w:rsid w:val="007801CF"/>
    <w:rsid w:val="007802A0"/>
    <w:rsid w:val="00780334"/>
    <w:rsid w:val="0078066D"/>
    <w:rsid w:val="007809C6"/>
    <w:rsid w:val="00780CF4"/>
    <w:rsid w:val="007810A6"/>
    <w:rsid w:val="007811A8"/>
    <w:rsid w:val="0078147B"/>
    <w:rsid w:val="00781BAF"/>
    <w:rsid w:val="00781DCF"/>
    <w:rsid w:val="00782687"/>
    <w:rsid w:val="00782FBF"/>
    <w:rsid w:val="00783000"/>
    <w:rsid w:val="007831DD"/>
    <w:rsid w:val="0078356D"/>
    <w:rsid w:val="00783C6D"/>
    <w:rsid w:val="007844AD"/>
    <w:rsid w:val="00784531"/>
    <w:rsid w:val="00784632"/>
    <w:rsid w:val="0078463D"/>
    <w:rsid w:val="00784C90"/>
    <w:rsid w:val="0078509F"/>
    <w:rsid w:val="0078511D"/>
    <w:rsid w:val="007851C9"/>
    <w:rsid w:val="00785304"/>
    <w:rsid w:val="0078542B"/>
    <w:rsid w:val="00785803"/>
    <w:rsid w:val="00785ECD"/>
    <w:rsid w:val="0078636A"/>
    <w:rsid w:val="0078673C"/>
    <w:rsid w:val="00786A3B"/>
    <w:rsid w:val="00786C7F"/>
    <w:rsid w:val="00786D79"/>
    <w:rsid w:val="00786D8B"/>
    <w:rsid w:val="0078708E"/>
    <w:rsid w:val="00787CDF"/>
    <w:rsid w:val="00787F57"/>
    <w:rsid w:val="0079002E"/>
    <w:rsid w:val="00790235"/>
    <w:rsid w:val="00790609"/>
    <w:rsid w:val="00790D7F"/>
    <w:rsid w:val="00790F90"/>
    <w:rsid w:val="0079107C"/>
    <w:rsid w:val="0079123A"/>
    <w:rsid w:val="00791893"/>
    <w:rsid w:val="00791A21"/>
    <w:rsid w:val="00791E14"/>
    <w:rsid w:val="00792142"/>
    <w:rsid w:val="0079227F"/>
    <w:rsid w:val="007922EA"/>
    <w:rsid w:val="0079268A"/>
    <w:rsid w:val="007926A6"/>
    <w:rsid w:val="00792A19"/>
    <w:rsid w:val="00792C18"/>
    <w:rsid w:val="00792EEE"/>
    <w:rsid w:val="0079335F"/>
    <w:rsid w:val="007933A4"/>
    <w:rsid w:val="00793525"/>
    <w:rsid w:val="00793836"/>
    <w:rsid w:val="00793EA7"/>
    <w:rsid w:val="00794308"/>
    <w:rsid w:val="00794499"/>
    <w:rsid w:val="0079482E"/>
    <w:rsid w:val="00795339"/>
    <w:rsid w:val="00795517"/>
    <w:rsid w:val="00795668"/>
    <w:rsid w:val="007956E6"/>
    <w:rsid w:val="007958E2"/>
    <w:rsid w:val="007959B3"/>
    <w:rsid w:val="00795A46"/>
    <w:rsid w:val="00795C12"/>
    <w:rsid w:val="00796056"/>
    <w:rsid w:val="00796923"/>
    <w:rsid w:val="00796A53"/>
    <w:rsid w:val="00796B28"/>
    <w:rsid w:val="00796E24"/>
    <w:rsid w:val="00797070"/>
    <w:rsid w:val="00797252"/>
    <w:rsid w:val="00797B30"/>
    <w:rsid w:val="00797F28"/>
    <w:rsid w:val="007A043A"/>
    <w:rsid w:val="007A0B69"/>
    <w:rsid w:val="007A0D97"/>
    <w:rsid w:val="007A0FE3"/>
    <w:rsid w:val="007A13C7"/>
    <w:rsid w:val="007A14C5"/>
    <w:rsid w:val="007A15ED"/>
    <w:rsid w:val="007A1734"/>
    <w:rsid w:val="007A1849"/>
    <w:rsid w:val="007A1E42"/>
    <w:rsid w:val="007A1E90"/>
    <w:rsid w:val="007A1E9B"/>
    <w:rsid w:val="007A2607"/>
    <w:rsid w:val="007A2817"/>
    <w:rsid w:val="007A32E9"/>
    <w:rsid w:val="007A3652"/>
    <w:rsid w:val="007A3CC3"/>
    <w:rsid w:val="007A4018"/>
    <w:rsid w:val="007A47BF"/>
    <w:rsid w:val="007A4D29"/>
    <w:rsid w:val="007A4E92"/>
    <w:rsid w:val="007A4E9C"/>
    <w:rsid w:val="007A4EDD"/>
    <w:rsid w:val="007A5030"/>
    <w:rsid w:val="007A51FE"/>
    <w:rsid w:val="007A5510"/>
    <w:rsid w:val="007A5591"/>
    <w:rsid w:val="007A5971"/>
    <w:rsid w:val="007A5D76"/>
    <w:rsid w:val="007A5D9E"/>
    <w:rsid w:val="007A5E18"/>
    <w:rsid w:val="007A5F3C"/>
    <w:rsid w:val="007A6176"/>
    <w:rsid w:val="007A6209"/>
    <w:rsid w:val="007A6CF1"/>
    <w:rsid w:val="007A6DC6"/>
    <w:rsid w:val="007A710D"/>
    <w:rsid w:val="007A71B0"/>
    <w:rsid w:val="007A789C"/>
    <w:rsid w:val="007A7B76"/>
    <w:rsid w:val="007A7C25"/>
    <w:rsid w:val="007B01CE"/>
    <w:rsid w:val="007B0667"/>
    <w:rsid w:val="007B07FB"/>
    <w:rsid w:val="007B084C"/>
    <w:rsid w:val="007B094C"/>
    <w:rsid w:val="007B0A87"/>
    <w:rsid w:val="007B0FBE"/>
    <w:rsid w:val="007B106E"/>
    <w:rsid w:val="007B15D1"/>
    <w:rsid w:val="007B1690"/>
    <w:rsid w:val="007B18F4"/>
    <w:rsid w:val="007B1FE4"/>
    <w:rsid w:val="007B237D"/>
    <w:rsid w:val="007B28FA"/>
    <w:rsid w:val="007B2B22"/>
    <w:rsid w:val="007B2B72"/>
    <w:rsid w:val="007B3173"/>
    <w:rsid w:val="007B334E"/>
    <w:rsid w:val="007B3447"/>
    <w:rsid w:val="007B36FA"/>
    <w:rsid w:val="007B389D"/>
    <w:rsid w:val="007B3D1D"/>
    <w:rsid w:val="007B3DEE"/>
    <w:rsid w:val="007B44C0"/>
    <w:rsid w:val="007B44C8"/>
    <w:rsid w:val="007B44F2"/>
    <w:rsid w:val="007B49FC"/>
    <w:rsid w:val="007B4DA0"/>
    <w:rsid w:val="007B546B"/>
    <w:rsid w:val="007B5622"/>
    <w:rsid w:val="007B596E"/>
    <w:rsid w:val="007B59D8"/>
    <w:rsid w:val="007B614B"/>
    <w:rsid w:val="007B6311"/>
    <w:rsid w:val="007B69FC"/>
    <w:rsid w:val="007B6B10"/>
    <w:rsid w:val="007B6D78"/>
    <w:rsid w:val="007B73B8"/>
    <w:rsid w:val="007B7431"/>
    <w:rsid w:val="007B7B33"/>
    <w:rsid w:val="007C0092"/>
    <w:rsid w:val="007C02A8"/>
    <w:rsid w:val="007C02FF"/>
    <w:rsid w:val="007C06E8"/>
    <w:rsid w:val="007C073D"/>
    <w:rsid w:val="007C076E"/>
    <w:rsid w:val="007C07A7"/>
    <w:rsid w:val="007C0828"/>
    <w:rsid w:val="007C09F6"/>
    <w:rsid w:val="007C0AF0"/>
    <w:rsid w:val="007C0B24"/>
    <w:rsid w:val="007C1089"/>
    <w:rsid w:val="007C15A6"/>
    <w:rsid w:val="007C1B89"/>
    <w:rsid w:val="007C20A3"/>
    <w:rsid w:val="007C234F"/>
    <w:rsid w:val="007C24E5"/>
    <w:rsid w:val="007C2709"/>
    <w:rsid w:val="007C283A"/>
    <w:rsid w:val="007C2920"/>
    <w:rsid w:val="007C2A8E"/>
    <w:rsid w:val="007C2CA5"/>
    <w:rsid w:val="007C30B2"/>
    <w:rsid w:val="007C358B"/>
    <w:rsid w:val="007C44AA"/>
    <w:rsid w:val="007C45AA"/>
    <w:rsid w:val="007C48FC"/>
    <w:rsid w:val="007C498B"/>
    <w:rsid w:val="007C4E50"/>
    <w:rsid w:val="007C4E76"/>
    <w:rsid w:val="007C5040"/>
    <w:rsid w:val="007C5232"/>
    <w:rsid w:val="007C52B9"/>
    <w:rsid w:val="007C54AA"/>
    <w:rsid w:val="007C5A26"/>
    <w:rsid w:val="007C5C15"/>
    <w:rsid w:val="007C617E"/>
    <w:rsid w:val="007C628F"/>
    <w:rsid w:val="007C6357"/>
    <w:rsid w:val="007C6414"/>
    <w:rsid w:val="007C67F5"/>
    <w:rsid w:val="007C6894"/>
    <w:rsid w:val="007C6A57"/>
    <w:rsid w:val="007C6C2B"/>
    <w:rsid w:val="007C6E67"/>
    <w:rsid w:val="007C6E97"/>
    <w:rsid w:val="007C717D"/>
    <w:rsid w:val="007C7F07"/>
    <w:rsid w:val="007D065F"/>
    <w:rsid w:val="007D085D"/>
    <w:rsid w:val="007D0BBD"/>
    <w:rsid w:val="007D0C6A"/>
    <w:rsid w:val="007D0F1D"/>
    <w:rsid w:val="007D1485"/>
    <w:rsid w:val="007D1624"/>
    <w:rsid w:val="007D1DA6"/>
    <w:rsid w:val="007D1DF4"/>
    <w:rsid w:val="007D21E6"/>
    <w:rsid w:val="007D2301"/>
    <w:rsid w:val="007D2580"/>
    <w:rsid w:val="007D292F"/>
    <w:rsid w:val="007D3258"/>
    <w:rsid w:val="007D3339"/>
    <w:rsid w:val="007D3544"/>
    <w:rsid w:val="007D35C3"/>
    <w:rsid w:val="007D36B1"/>
    <w:rsid w:val="007D3806"/>
    <w:rsid w:val="007D3860"/>
    <w:rsid w:val="007D3D76"/>
    <w:rsid w:val="007D3EBB"/>
    <w:rsid w:val="007D4141"/>
    <w:rsid w:val="007D47CC"/>
    <w:rsid w:val="007D496B"/>
    <w:rsid w:val="007D4CB6"/>
    <w:rsid w:val="007D4E40"/>
    <w:rsid w:val="007D4FC8"/>
    <w:rsid w:val="007D51DB"/>
    <w:rsid w:val="007D5259"/>
    <w:rsid w:val="007D5525"/>
    <w:rsid w:val="007D553A"/>
    <w:rsid w:val="007D58CD"/>
    <w:rsid w:val="007D5AA6"/>
    <w:rsid w:val="007D5DCF"/>
    <w:rsid w:val="007D5DE4"/>
    <w:rsid w:val="007D5E81"/>
    <w:rsid w:val="007D5EE3"/>
    <w:rsid w:val="007D66BB"/>
    <w:rsid w:val="007D779D"/>
    <w:rsid w:val="007D77D8"/>
    <w:rsid w:val="007D7A72"/>
    <w:rsid w:val="007E051F"/>
    <w:rsid w:val="007E0593"/>
    <w:rsid w:val="007E0BFF"/>
    <w:rsid w:val="007E0E4D"/>
    <w:rsid w:val="007E1055"/>
    <w:rsid w:val="007E116E"/>
    <w:rsid w:val="007E1841"/>
    <w:rsid w:val="007E1F8E"/>
    <w:rsid w:val="007E2AB9"/>
    <w:rsid w:val="007E2BF8"/>
    <w:rsid w:val="007E3305"/>
    <w:rsid w:val="007E35E4"/>
    <w:rsid w:val="007E3669"/>
    <w:rsid w:val="007E3D75"/>
    <w:rsid w:val="007E3E18"/>
    <w:rsid w:val="007E4302"/>
    <w:rsid w:val="007E475B"/>
    <w:rsid w:val="007E4AD1"/>
    <w:rsid w:val="007E4B06"/>
    <w:rsid w:val="007E54B4"/>
    <w:rsid w:val="007E5B89"/>
    <w:rsid w:val="007E5EA0"/>
    <w:rsid w:val="007E6025"/>
    <w:rsid w:val="007E6456"/>
    <w:rsid w:val="007E64E4"/>
    <w:rsid w:val="007E6F68"/>
    <w:rsid w:val="007E719F"/>
    <w:rsid w:val="007E71EE"/>
    <w:rsid w:val="007E73C2"/>
    <w:rsid w:val="007E7BD3"/>
    <w:rsid w:val="007E7D63"/>
    <w:rsid w:val="007E7F24"/>
    <w:rsid w:val="007F02BF"/>
    <w:rsid w:val="007F0DC1"/>
    <w:rsid w:val="007F1006"/>
    <w:rsid w:val="007F112E"/>
    <w:rsid w:val="007F19B5"/>
    <w:rsid w:val="007F1B75"/>
    <w:rsid w:val="007F1D2A"/>
    <w:rsid w:val="007F1E05"/>
    <w:rsid w:val="007F1E89"/>
    <w:rsid w:val="007F2019"/>
    <w:rsid w:val="007F2074"/>
    <w:rsid w:val="007F28AA"/>
    <w:rsid w:val="007F2FAD"/>
    <w:rsid w:val="007F354D"/>
    <w:rsid w:val="007F3992"/>
    <w:rsid w:val="007F3B58"/>
    <w:rsid w:val="007F3D6C"/>
    <w:rsid w:val="007F426F"/>
    <w:rsid w:val="007F46A8"/>
    <w:rsid w:val="007F498D"/>
    <w:rsid w:val="007F4DCC"/>
    <w:rsid w:val="007F4FF6"/>
    <w:rsid w:val="007F5760"/>
    <w:rsid w:val="007F649A"/>
    <w:rsid w:val="007F70FF"/>
    <w:rsid w:val="007F780D"/>
    <w:rsid w:val="007F782E"/>
    <w:rsid w:val="007F7A26"/>
    <w:rsid w:val="007F7BFA"/>
    <w:rsid w:val="007F7E45"/>
    <w:rsid w:val="007F7FFE"/>
    <w:rsid w:val="008004B1"/>
    <w:rsid w:val="00800825"/>
    <w:rsid w:val="00800A14"/>
    <w:rsid w:val="00800F2A"/>
    <w:rsid w:val="00800FFD"/>
    <w:rsid w:val="0080157A"/>
    <w:rsid w:val="0080177E"/>
    <w:rsid w:val="00801E64"/>
    <w:rsid w:val="00801F45"/>
    <w:rsid w:val="00802002"/>
    <w:rsid w:val="00802178"/>
    <w:rsid w:val="00802948"/>
    <w:rsid w:val="00803565"/>
    <w:rsid w:val="00803697"/>
    <w:rsid w:val="00803868"/>
    <w:rsid w:val="008038C7"/>
    <w:rsid w:val="00803CF5"/>
    <w:rsid w:val="00804206"/>
    <w:rsid w:val="008043EA"/>
    <w:rsid w:val="008048B0"/>
    <w:rsid w:val="008048C8"/>
    <w:rsid w:val="00805093"/>
    <w:rsid w:val="008054F1"/>
    <w:rsid w:val="00805513"/>
    <w:rsid w:val="00805590"/>
    <w:rsid w:val="008059B9"/>
    <w:rsid w:val="008059BE"/>
    <w:rsid w:val="00805E27"/>
    <w:rsid w:val="0080610E"/>
    <w:rsid w:val="0080622F"/>
    <w:rsid w:val="00806469"/>
    <w:rsid w:val="00806595"/>
    <w:rsid w:val="00806FE6"/>
    <w:rsid w:val="008070C2"/>
    <w:rsid w:val="00807355"/>
    <w:rsid w:val="008073E3"/>
    <w:rsid w:val="0080753A"/>
    <w:rsid w:val="00807561"/>
    <w:rsid w:val="008075CC"/>
    <w:rsid w:val="0080762C"/>
    <w:rsid w:val="008077F2"/>
    <w:rsid w:val="00807CF8"/>
    <w:rsid w:val="00807EC3"/>
    <w:rsid w:val="00810359"/>
    <w:rsid w:val="008104DC"/>
    <w:rsid w:val="0081150F"/>
    <w:rsid w:val="00811ACC"/>
    <w:rsid w:val="00811EC3"/>
    <w:rsid w:val="00812160"/>
    <w:rsid w:val="008123F5"/>
    <w:rsid w:val="008128E1"/>
    <w:rsid w:val="00812FB1"/>
    <w:rsid w:val="00813156"/>
    <w:rsid w:val="008134B1"/>
    <w:rsid w:val="00813859"/>
    <w:rsid w:val="00813A31"/>
    <w:rsid w:val="00813A73"/>
    <w:rsid w:val="00813DED"/>
    <w:rsid w:val="00813E10"/>
    <w:rsid w:val="008140C0"/>
    <w:rsid w:val="008143BD"/>
    <w:rsid w:val="00814594"/>
    <w:rsid w:val="00814834"/>
    <w:rsid w:val="008149B9"/>
    <w:rsid w:val="00814A60"/>
    <w:rsid w:val="00814D90"/>
    <w:rsid w:val="008150DF"/>
    <w:rsid w:val="008150E8"/>
    <w:rsid w:val="00815788"/>
    <w:rsid w:val="008158EC"/>
    <w:rsid w:val="008158FB"/>
    <w:rsid w:val="00815AB0"/>
    <w:rsid w:val="00815AFD"/>
    <w:rsid w:val="00815CF3"/>
    <w:rsid w:val="00815E02"/>
    <w:rsid w:val="00815ECA"/>
    <w:rsid w:val="008160F6"/>
    <w:rsid w:val="00816284"/>
    <w:rsid w:val="008164B7"/>
    <w:rsid w:val="008164DF"/>
    <w:rsid w:val="0081696A"/>
    <w:rsid w:val="00816C1F"/>
    <w:rsid w:val="00817345"/>
    <w:rsid w:val="0081769E"/>
    <w:rsid w:val="0082009A"/>
    <w:rsid w:val="0082080B"/>
    <w:rsid w:val="00820917"/>
    <w:rsid w:val="0082107D"/>
    <w:rsid w:val="008210FF"/>
    <w:rsid w:val="00821376"/>
    <w:rsid w:val="0082156E"/>
    <w:rsid w:val="008216A3"/>
    <w:rsid w:val="008216C2"/>
    <w:rsid w:val="00821919"/>
    <w:rsid w:val="00821BA3"/>
    <w:rsid w:val="00822493"/>
    <w:rsid w:val="0082282D"/>
    <w:rsid w:val="00822D7C"/>
    <w:rsid w:val="0082304F"/>
    <w:rsid w:val="00823A66"/>
    <w:rsid w:val="00823BE4"/>
    <w:rsid w:val="00823C4B"/>
    <w:rsid w:val="0082416C"/>
    <w:rsid w:val="008242B2"/>
    <w:rsid w:val="008249A7"/>
    <w:rsid w:val="00824A52"/>
    <w:rsid w:val="00824EB5"/>
    <w:rsid w:val="008259B7"/>
    <w:rsid w:val="00825C10"/>
    <w:rsid w:val="00826225"/>
    <w:rsid w:val="00826236"/>
    <w:rsid w:val="00826E17"/>
    <w:rsid w:val="00827068"/>
    <w:rsid w:val="0082727A"/>
    <w:rsid w:val="0082795A"/>
    <w:rsid w:val="00827ADC"/>
    <w:rsid w:val="00827E0D"/>
    <w:rsid w:val="00827E2D"/>
    <w:rsid w:val="00830936"/>
    <w:rsid w:val="00830F1E"/>
    <w:rsid w:val="008312DA"/>
    <w:rsid w:val="00831914"/>
    <w:rsid w:val="00831AD4"/>
    <w:rsid w:val="00831B3F"/>
    <w:rsid w:val="00831C30"/>
    <w:rsid w:val="00832040"/>
    <w:rsid w:val="008323CA"/>
    <w:rsid w:val="00832638"/>
    <w:rsid w:val="008328FF"/>
    <w:rsid w:val="00832917"/>
    <w:rsid w:val="00832C92"/>
    <w:rsid w:val="008331BE"/>
    <w:rsid w:val="008331C1"/>
    <w:rsid w:val="00833301"/>
    <w:rsid w:val="008333D2"/>
    <w:rsid w:val="00833758"/>
    <w:rsid w:val="00834049"/>
    <w:rsid w:val="008340BD"/>
    <w:rsid w:val="00834243"/>
    <w:rsid w:val="008343CA"/>
    <w:rsid w:val="00834550"/>
    <w:rsid w:val="008348B9"/>
    <w:rsid w:val="00834B73"/>
    <w:rsid w:val="00834D50"/>
    <w:rsid w:val="00834DAF"/>
    <w:rsid w:val="00834FD2"/>
    <w:rsid w:val="008350D9"/>
    <w:rsid w:val="0083521E"/>
    <w:rsid w:val="0083568F"/>
    <w:rsid w:val="008361B4"/>
    <w:rsid w:val="0083631D"/>
    <w:rsid w:val="008365CF"/>
    <w:rsid w:val="00836C33"/>
    <w:rsid w:val="00837252"/>
    <w:rsid w:val="0083725C"/>
    <w:rsid w:val="008373A6"/>
    <w:rsid w:val="0083779A"/>
    <w:rsid w:val="008377D6"/>
    <w:rsid w:val="00837A3A"/>
    <w:rsid w:val="0084000A"/>
    <w:rsid w:val="00840068"/>
    <w:rsid w:val="00840331"/>
    <w:rsid w:val="008403FA"/>
    <w:rsid w:val="00841682"/>
    <w:rsid w:val="00841BA3"/>
    <w:rsid w:val="00841CEE"/>
    <w:rsid w:val="00841F52"/>
    <w:rsid w:val="00842375"/>
    <w:rsid w:val="0084255F"/>
    <w:rsid w:val="008425DC"/>
    <w:rsid w:val="008428C0"/>
    <w:rsid w:val="00842C6F"/>
    <w:rsid w:val="00842C93"/>
    <w:rsid w:val="00842F52"/>
    <w:rsid w:val="00843425"/>
    <w:rsid w:val="00843549"/>
    <w:rsid w:val="00843667"/>
    <w:rsid w:val="008436CB"/>
    <w:rsid w:val="0084370A"/>
    <w:rsid w:val="00843C13"/>
    <w:rsid w:val="0084413B"/>
    <w:rsid w:val="00844307"/>
    <w:rsid w:val="00844611"/>
    <w:rsid w:val="00844696"/>
    <w:rsid w:val="008447EF"/>
    <w:rsid w:val="008449E0"/>
    <w:rsid w:val="00844BE1"/>
    <w:rsid w:val="00844E34"/>
    <w:rsid w:val="00845273"/>
    <w:rsid w:val="00845287"/>
    <w:rsid w:val="0084554A"/>
    <w:rsid w:val="00845BB3"/>
    <w:rsid w:val="00845C0F"/>
    <w:rsid w:val="00845DF6"/>
    <w:rsid w:val="008460C6"/>
    <w:rsid w:val="0084694D"/>
    <w:rsid w:val="00846B07"/>
    <w:rsid w:val="00846BC8"/>
    <w:rsid w:val="00846E89"/>
    <w:rsid w:val="008479EA"/>
    <w:rsid w:val="008479FB"/>
    <w:rsid w:val="00847A9C"/>
    <w:rsid w:val="00850018"/>
    <w:rsid w:val="008504C6"/>
    <w:rsid w:val="0085054D"/>
    <w:rsid w:val="0085067E"/>
    <w:rsid w:val="00850B78"/>
    <w:rsid w:val="00850C8C"/>
    <w:rsid w:val="00850D81"/>
    <w:rsid w:val="00851257"/>
    <w:rsid w:val="008513A1"/>
    <w:rsid w:val="0085196D"/>
    <w:rsid w:val="00851B9C"/>
    <w:rsid w:val="0085228C"/>
    <w:rsid w:val="008528AC"/>
    <w:rsid w:val="00853213"/>
    <w:rsid w:val="008532AD"/>
    <w:rsid w:val="008533B1"/>
    <w:rsid w:val="008533B3"/>
    <w:rsid w:val="00853534"/>
    <w:rsid w:val="0085377A"/>
    <w:rsid w:val="00853885"/>
    <w:rsid w:val="00853AFB"/>
    <w:rsid w:val="00853B72"/>
    <w:rsid w:val="00853ED6"/>
    <w:rsid w:val="00854343"/>
    <w:rsid w:val="00854397"/>
    <w:rsid w:val="00854471"/>
    <w:rsid w:val="0085447E"/>
    <w:rsid w:val="008546DA"/>
    <w:rsid w:val="00854D10"/>
    <w:rsid w:val="00855077"/>
    <w:rsid w:val="00855081"/>
    <w:rsid w:val="008550DF"/>
    <w:rsid w:val="00855618"/>
    <w:rsid w:val="00855631"/>
    <w:rsid w:val="00855A87"/>
    <w:rsid w:val="00855C86"/>
    <w:rsid w:val="00855D7A"/>
    <w:rsid w:val="00855E3E"/>
    <w:rsid w:val="00855E73"/>
    <w:rsid w:val="00855EB3"/>
    <w:rsid w:val="00856405"/>
    <w:rsid w:val="008564B0"/>
    <w:rsid w:val="008566F7"/>
    <w:rsid w:val="00856974"/>
    <w:rsid w:val="00856AB5"/>
    <w:rsid w:val="00856AD8"/>
    <w:rsid w:val="00856C3A"/>
    <w:rsid w:val="00856DB1"/>
    <w:rsid w:val="00856F47"/>
    <w:rsid w:val="00856F69"/>
    <w:rsid w:val="008570C2"/>
    <w:rsid w:val="008570D3"/>
    <w:rsid w:val="00857969"/>
    <w:rsid w:val="00857CCA"/>
    <w:rsid w:val="00857D14"/>
    <w:rsid w:val="008601D2"/>
    <w:rsid w:val="00860267"/>
    <w:rsid w:val="0086044E"/>
    <w:rsid w:val="008607DA"/>
    <w:rsid w:val="0086178F"/>
    <w:rsid w:val="0086188D"/>
    <w:rsid w:val="008618FF"/>
    <w:rsid w:val="00861FC3"/>
    <w:rsid w:val="00862522"/>
    <w:rsid w:val="008626AD"/>
    <w:rsid w:val="00862775"/>
    <w:rsid w:val="00862FFB"/>
    <w:rsid w:val="0086336E"/>
    <w:rsid w:val="008633E5"/>
    <w:rsid w:val="0086390F"/>
    <w:rsid w:val="00863D26"/>
    <w:rsid w:val="008642BC"/>
    <w:rsid w:val="00864D4B"/>
    <w:rsid w:val="00865610"/>
    <w:rsid w:val="00865D64"/>
    <w:rsid w:val="00865F19"/>
    <w:rsid w:val="0086651E"/>
    <w:rsid w:val="008666AA"/>
    <w:rsid w:val="008666DA"/>
    <w:rsid w:val="0086682B"/>
    <w:rsid w:val="008668C2"/>
    <w:rsid w:val="00866A0A"/>
    <w:rsid w:val="0086751B"/>
    <w:rsid w:val="008676B4"/>
    <w:rsid w:val="008676B7"/>
    <w:rsid w:val="00867AFA"/>
    <w:rsid w:val="00867BC0"/>
    <w:rsid w:val="00870872"/>
    <w:rsid w:val="0087088C"/>
    <w:rsid w:val="00870A63"/>
    <w:rsid w:val="00870CDC"/>
    <w:rsid w:val="00871581"/>
    <w:rsid w:val="00871A7F"/>
    <w:rsid w:val="00871AE7"/>
    <w:rsid w:val="00872500"/>
    <w:rsid w:val="00872523"/>
    <w:rsid w:val="00873095"/>
    <w:rsid w:val="008730C0"/>
    <w:rsid w:val="0087314B"/>
    <w:rsid w:val="008736CA"/>
    <w:rsid w:val="008739C1"/>
    <w:rsid w:val="008739CC"/>
    <w:rsid w:val="00873C6E"/>
    <w:rsid w:val="00873E2D"/>
    <w:rsid w:val="00873FCF"/>
    <w:rsid w:val="0087445F"/>
    <w:rsid w:val="00874E20"/>
    <w:rsid w:val="008755CE"/>
    <w:rsid w:val="008755F6"/>
    <w:rsid w:val="00875D3A"/>
    <w:rsid w:val="00876D9D"/>
    <w:rsid w:val="00876F5E"/>
    <w:rsid w:val="0087711F"/>
    <w:rsid w:val="00877481"/>
    <w:rsid w:val="00877633"/>
    <w:rsid w:val="00877A5B"/>
    <w:rsid w:val="00877D1D"/>
    <w:rsid w:val="00880609"/>
    <w:rsid w:val="0088070D"/>
    <w:rsid w:val="00880937"/>
    <w:rsid w:val="00880A2D"/>
    <w:rsid w:val="00880E47"/>
    <w:rsid w:val="00880F53"/>
    <w:rsid w:val="00880FB9"/>
    <w:rsid w:val="00881501"/>
    <w:rsid w:val="008815AD"/>
    <w:rsid w:val="00881ADF"/>
    <w:rsid w:val="00881C04"/>
    <w:rsid w:val="00881C06"/>
    <w:rsid w:val="00881C37"/>
    <w:rsid w:val="00881E0E"/>
    <w:rsid w:val="00881F5D"/>
    <w:rsid w:val="008823D9"/>
    <w:rsid w:val="00882501"/>
    <w:rsid w:val="00882A29"/>
    <w:rsid w:val="0088321C"/>
    <w:rsid w:val="00883410"/>
    <w:rsid w:val="00883470"/>
    <w:rsid w:val="00883C24"/>
    <w:rsid w:val="00883DE5"/>
    <w:rsid w:val="008841E6"/>
    <w:rsid w:val="00884AC3"/>
    <w:rsid w:val="00884C18"/>
    <w:rsid w:val="00884D0E"/>
    <w:rsid w:val="00885676"/>
    <w:rsid w:val="00885D3A"/>
    <w:rsid w:val="0088653D"/>
    <w:rsid w:val="008865D9"/>
    <w:rsid w:val="0088667D"/>
    <w:rsid w:val="0088693F"/>
    <w:rsid w:val="00887352"/>
    <w:rsid w:val="00887611"/>
    <w:rsid w:val="0088787C"/>
    <w:rsid w:val="00887B4F"/>
    <w:rsid w:val="00887C94"/>
    <w:rsid w:val="0089058A"/>
    <w:rsid w:val="0089064D"/>
    <w:rsid w:val="008908CE"/>
    <w:rsid w:val="0089109C"/>
    <w:rsid w:val="008916CC"/>
    <w:rsid w:val="008919CD"/>
    <w:rsid w:val="00891A2D"/>
    <w:rsid w:val="00891BCF"/>
    <w:rsid w:val="00891DDB"/>
    <w:rsid w:val="00891F5F"/>
    <w:rsid w:val="00892141"/>
    <w:rsid w:val="008922E2"/>
    <w:rsid w:val="00892349"/>
    <w:rsid w:val="00892806"/>
    <w:rsid w:val="00892B16"/>
    <w:rsid w:val="00893396"/>
    <w:rsid w:val="008933AE"/>
    <w:rsid w:val="008934C8"/>
    <w:rsid w:val="00893DD2"/>
    <w:rsid w:val="00893F30"/>
    <w:rsid w:val="00893FC3"/>
    <w:rsid w:val="008943A7"/>
    <w:rsid w:val="0089443E"/>
    <w:rsid w:val="00894779"/>
    <w:rsid w:val="0089480F"/>
    <w:rsid w:val="0089493B"/>
    <w:rsid w:val="00894B4F"/>
    <w:rsid w:val="00895854"/>
    <w:rsid w:val="00895DC0"/>
    <w:rsid w:val="00895ED2"/>
    <w:rsid w:val="00896A6E"/>
    <w:rsid w:val="00896B6C"/>
    <w:rsid w:val="00897609"/>
    <w:rsid w:val="0089782B"/>
    <w:rsid w:val="00897A2B"/>
    <w:rsid w:val="00897DCD"/>
    <w:rsid w:val="00897E69"/>
    <w:rsid w:val="008A06F4"/>
    <w:rsid w:val="008A0A3C"/>
    <w:rsid w:val="008A0E2B"/>
    <w:rsid w:val="008A1187"/>
    <w:rsid w:val="008A13B8"/>
    <w:rsid w:val="008A188B"/>
    <w:rsid w:val="008A191C"/>
    <w:rsid w:val="008A2129"/>
    <w:rsid w:val="008A21A4"/>
    <w:rsid w:val="008A2445"/>
    <w:rsid w:val="008A258A"/>
    <w:rsid w:val="008A29B2"/>
    <w:rsid w:val="008A2BCC"/>
    <w:rsid w:val="008A2BD2"/>
    <w:rsid w:val="008A30C4"/>
    <w:rsid w:val="008A315A"/>
    <w:rsid w:val="008A36BE"/>
    <w:rsid w:val="008A3701"/>
    <w:rsid w:val="008A38C6"/>
    <w:rsid w:val="008A3AA2"/>
    <w:rsid w:val="008A40DA"/>
    <w:rsid w:val="008A42F4"/>
    <w:rsid w:val="008A49B3"/>
    <w:rsid w:val="008A4A00"/>
    <w:rsid w:val="008A4E81"/>
    <w:rsid w:val="008A524B"/>
    <w:rsid w:val="008A52B6"/>
    <w:rsid w:val="008A52EE"/>
    <w:rsid w:val="008A536F"/>
    <w:rsid w:val="008A557D"/>
    <w:rsid w:val="008A5637"/>
    <w:rsid w:val="008A5948"/>
    <w:rsid w:val="008A59B3"/>
    <w:rsid w:val="008A5DB6"/>
    <w:rsid w:val="008A66E1"/>
    <w:rsid w:val="008A6D63"/>
    <w:rsid w:val="008A70AE"/>
    <w:rsid w:val="008A7548"/>
    <w:rsid w:val="008B00BD"/>
    <w:rsid w:val="008B016E"/>
    <w:rsid w:val="008B0536"/>
    <w:rsid w:val="008B0B3C"/>
    <w:rsid w:val="008B0CA5"/>
    <w:rsid w:val="008B0E86"/>
    <w:rsid w:val="008B131E"/>
    <w:rsid w:val="008B1499"/>
    <w:rsid w:val="008B1DC5"/>
    <w:rsid w:val="008B1EFF"/>
    <w:rsid w:val="008B2711"/>
    <w:rsid w:val="008B2844"/>
    <w:rsid w:val="008B2860"/>
    <w:rsid w:val="008B2A19"/>
    <w:rsid w:val="008B33FD"/>
    <w:rsid w:val="008B39ED"/>
    <w:rsid w:val="008B3A09"/>
    <w:rsid w:val="008B3B4B"/>
    <w:rsid w:val="008B3C34"/>
    <w:rsid w:val="008B3F0B"/>
    <w:rsid w:val="008B3FF5"/>
    <w:rsid w:val="008B41C9"/>
    <w:rsid w:val="008B46F7"/>
    <w:rsid w:val="008B4794"/>
    <w:rsid w:val="008B4879"/>
    <w:rsid w:val="008B48AF"/>
    <w:rsid w:val="008B4F2B"/>
    <w:rsid w:val="008B4F61"/>
    <w:rsid w:val="008B524F"/>
    <w:rsid w:val="008B5290"/>
    <w:rsid w:val="008B52C7"/>
    <w:rsid w:val="008B54F0"/>
    <w:rsid w:val="008B56E2"/>
    <w:rsid w:val="008B5751"/>
    <w:rsid w:val="008B5852"/>
    <w:rsid w:val="008B5939"/>
    <w:rsid w:val="008B59E1"/>
    <w:rsid w:val="008B5B05"/>
    <w:rsid w:val="008B5B4C"/>
    <w:rsid w:val="008B5C48"/>
    <w:rsid w:val="008B5F6E"/>
    <w:rsid w:val="008B6489"/>
    <w:rsid w:val="008B65C0"/>
    <w:rsid w:val="008B68A8"/>
    <w:rsid w:val="008B69C8"/>
    <w:rsid w:val="008B6EF3"/>
    <w:rsid w:val="008B7453"/>
    <w:rsid w:val="008C0CB1"/>
    <w:rsid w:val="008C12E5"/>
    <w:rsid w:val="008C1A88"/>
    <w:rsid w:val="008C1BB2"/>
    <w:rsid w:val="008C1CA8"/>
    <w:rsid w:val="008C1E30"/>
    <w:rsid w:val="008C2857"/>
    <w:rsid w:val="008C2FD5"/>
    <w:rsid w:val="008C306E"/>
    <w:rsid w:val="008C335D"/>
    <w:rsid w:val="008C343F"/>
    <w:rsid w:val="008C376C"/>
    <w:rsid w:val="008C3AF1"/>
    <w:rsid w:val="008C3B7D"/>
    <w:rsid w:val="008C41CC"/>
    <w:rsid w:val="008C473C"/>
    <w:rsid w:val="008C4C9F"/>
    <w:rsid w:val="008C4DFF"/>
    <w:rsid w:val="008C4F2E"/>
    <w:rsid w:val="008C4F41"/>
    <w:rsid w:val="008C5126"/>
    <w:rsid w:val="008C56B2"/>
    <w:rsid w:val="008C5B03"/>
    <w:rsid w:val="008C6010"/>
    <w:rsid w:val="008C6020"/>
    <w:rsid w:val="008C607E"/>
    <w:rsid w:val="008C60AB"/>
    <w:rsid w:val="008C6130"/>
    <w:rsid w:val="008C64DC"/>
    <w:rsid w:val="008C68CB"/>
    <w:rsid w:val="008C6ECC"/>
    <w:rsid w:val="008C7973"/>
    <w:rsid w:val="008C7D74"/>
    <w:rsid w:val="008C7FDB"/>
    <w:rsid w:val="008D00E3"/>
    <w:rsid w:val="008D0A64"/>
    <w:rsid w:val="008D0CE5"/>
    <w:rsid w:val="008D0E69"/>
    <w:rsid w:val="008D0FD2"/>
    <w:rsid w:val="008D11D7"/>
    <w:rsid w:val="008D1705"/>
    <w:rsid w:val="008D18F8"/>
    <w:rsid w:val="008D1A75"/>
    <w:rsid w:val="008D286F"/>
    <w:rsid w:val="008D2FE3"/>
    <w:rsid w:val="008D3133"/>
    <w:rsid w:val="008D339F"/>
    <w:rsid w:val="008D3639"/>
    <w:rsid w:val="008D36AF"/>
    <w:rsid w:val="008D38FC"/>
    <w:rsid w:val="008D39F7"/>
    <w:rsid w:val="008D3EF7"/>
    <w:rsid w:val="008D4332"/>
    <w:rsid w:val="008D54D2"/>
    <w:rsid w:val="008D5E98"/>
    <w:rsid w:val="008D5EAF"/>
    <w:rsid w:val="008D614D"/>
    <w:rsid w:val="008D616B"/>
    <w:rsid w:val="008D63C7"/>
    <w:rsid w:val="008D63D7"/>
    <w:rsid w:val="008D6835"/>
    <w:rsid w:val="008D6DB9"/>
    <w:rsid w:val="008D6E4F"/>
    <w:rsid w:val="008D6E62"/>
    <w:rsid w:val="008D742D"/>
    <w:rsid w:val="008D7805"/>
    <w:rsid w:val="008D7F38"/>
    <w:rsid w:val="008E098A"/>
    <w:rsid w:val="008E12FA"/>
    <w:rsid w:val="008E1428"/>
    <w:rsid w:val="008E1867"/>
    <w:rsid w:val="008E1937"/>
    <w:rsid w:val="008E25CE"/>
    <w:rsid w:val="008E274B"/>
    <w:rsid w:val="008E2D4A"/>
    <w:rsid w:val="008E2D93"/>
    <w:rsid w:val="008E2FE2"/>
    <w:rsid w:val="008E37EE"/>
    <w:rsid w:val="008E39B7"/>
    <w:rsid w:val="008E3CCC"/>
    <w:rsid w:val="008E3FD0"/>
    <w:rsid w:val="008E413F"/>
    <w:rsid w:val="008E4149"/>
    <w:rsid w:val="008E4293"/>
    <w:rsid w:val="008E43D8"/>
    <w:rsid w:val="008E46C0"/>
    <w:rsid w:val="008E509F"/>
    <w:rsid w:val="008E5BC3"/>
    <w:rsid w:val="008E5F95"/>
    <w:rsid w:val="008E61D9"/>
    <w:rsid w:val="008E6292"/>
    <w:rsid w:val="008E6C37"/>
    <w:rsid w:val="008E6E8F"/>
    <w:rsid w:val="008E7363"/>
    <w:rsid w:val="008E73A1"/>
    <w:rsid w:val="008E78E9"/>
    <w:rsid w:val="008E79C2"/>
    <w:rsid w:val="008E7B54"/>
    <w:rsid w:val="008F09C3"/>
    <w:rsid w:val="008F0C92"/>
    <w:rsid w:val="008F12E9"/>
    <w:rsid w:val="008F141F"/>
    <w:rsid w:val="008F18E7"/>
    <w:rsid w:val="008F19AC"/>
    <w:rsid w:val="008F1B3E"/>
    <w:rsid w:val="008F1DF3"/>
    <w:rsid w:val="008F1FF6"/>
    <w:rsid w:val="008F2068"/>
    <w:rsid w:val="008F2212"/>
    <w:rsid w:val="008F24B1"/>
    <w:rsid w:val="008F271B"/>
    <w:rsid w:val="008F2A22"/>
    <w:rsid w:val="008F2C7D"/>
    <w:rsid w:val="008F2D9C"/>
    <w:rsid w:val="008F334B"/>
    <w:rsid w:val="008F365A"/>
    <w:rsid w:val="008F3780"/>
    <w:rsid w:val="008F3945"/>
    <w:rsid w:val="008F399B"/>
    <w:rsid w:val="008F3F62"/>
    <w:rsid w:val="008F40D3"/>
    <w:rsid w:val="008F4103"/>
    <w:rsid w:val="008F4E8F"/>
    <w:rsid w:val="008F55A5"/>
    <w:rsid w:val="008F5DE2"/>
    <w:rsid w:val="008F5F84"/>
    <w:rsid w:val="008F61EC"/>
    <w:rsid w:val="008F622A"/>
    <w:rsid w:val="008F6339"/>
    <w:rsid w:val="008F6549"/>
    <w:rsid w:val="008F6889"/>
    <w:rsid w:val="008F6969"/>
    <w:rsid w:val="008F6E8E"/>
    <w:rsid w:val="008F7201"/>
    <w:rsid w:val="008F7349"/>
    <w:rsid w:val="00900088"/>
    <w:rsid w:val="00900210"/>
    <w:rsid w:val="009002C9"/>
    <w:rsid w:val="00900384"/>
    <w:rsid w:val="0090058B"/>
    <w:rsid w:val="009005EE"/>
    <w:rsid w:val="009007AF"/>
    <w:rsid w:val="009008E2"/>
    <w:rsid w:val="009009AE"/>
    <w:rsid w:val="00901685"/>
    <w:rsid w:val="009019C0"/>
    <w:rsid w:val="00901C36"/>
    <w:rsid w:val="00901C8F"/>
    <w:rsid w:val="00901DC1"/>
    <w:rsid w:val="00901E6B"/>
    <w:rsid w:val="009020C4"/>
    <w:rsid w:val="009020C8"/>
    <w:rsid w:val="00902326"/>
    <w:rsid w:val="009024A8"/>
    <w:rsid w:val="00902AE2"/>
    <w:rsid w:val="00902D6F"/>
    <w:rsid w:val="0090300E"/>
    <w:rsid w:val="009031EB"/>
    <w:rsid w:val="0090396F"/>
    <w:rsid w:val="009039C9"/>
    <w:rsid w:val="00903A1D"/>
    <w:rsid w:val="00903B7B"/>
    <w:rsid w:val="00903BC3"/>
    <w:rsid w:val="00903CBA"/>
    <w:rsid w:val="00903EBF"/>
    <w:rsid w:val="00904B7C"/>
    <w:rsid w:val="00904BD8"/>
    <w:rsid w:val="00905025"/>
    <w:rsid w:val="00905207"/>
    <w:rsid w:val="009059F5"/>
    <w:rsid w:val="009059F8"/>
    <w:rsid w:val="00905D16"/>
    <w:rsid w:val="00906737"/>
    <w:rsid w:val="009067E4"/>
    <w:rsid w:val="00906A2E"/>
    <w:rsid w:val="00906BCB"/>
    <w:rsid w:val="00907494"/>
    <w:rsid w:val="0090776B"/>
    <w:rsid w:val="00907BFD"/>
    <w:rsid w:val="00907FB8"/>
    <w:rsid w:val="00907FE1"/>
    <w:rsid w:val="00910090"/>
    <w:rsid w:val="009102AC"/>
    <w:rsid w:val="00910442"/>
    <w:rsid w:val="00910F4C"/>
    <w:rsid w:val="009110D3"/>
    <w:rsid w:val="00912352"/>
    <w:rsid w:val="00912517"/>
    <w:rsid w:val="009126B3"/>
    <w:rsid w:val="00912D6F"/>
    <w:rsid w:val="00912FEF"/>
    <w:rsid w:val="0091327A"/>
    <w:rsid w:val="00913906"/>
    <w:rsid w:val="00913962"/>
    <w:rsid w:val="00913AD7"/>
    <w:rsid w:val="00913E79"/>
    <w:rsid w:val="00913ED3"/>
    <w:rsid w:val="0091444A"/>
    <w:rsid w:val="0091493E"/>
    <w:rsid w:val="00914C36"/>
    <w:rsid w:val="00914C44"/>
    <w:rsid w:val="00914D42"/>
    <w:rsid w:val="00915065"/>
    <w:rsid w:val="009152E7"/>
    <w:rsid w:val="0091560E"/>
    <w:rsid w:val="009158A0"/>
    <w:rsid w:val="00915B85"/>
    <w:rsid w:val="00915F3D"/>
    <w:rsid w:val="0091609D"/>
    <w:rsid w:val="00916399"/>
    <w:rsid w:val="00916D9D"/>
    <w:rsid w:val="0091747E"/>
    <w:rsid w:val="00920417"/>
    <w:rsid w:val="009204D6"/>
    <w:rsid w:val="009205AA"/>
    <w:rsid w:val="009208C3"/>
    <w:rsid w:val="00920CB9"/>
    <w:rsid w:val="00921322"/>
    <w:rsid w:val="009214AD"/>
    <w:rsid w:val="00921A13"/>
    <w:rsid w:val="00921A5A"/>
    <w:rsid w:val="00921EA9"/>
    <w:rsid w:val="00921EE3"/>
    <w:rsid w:val="00922607"/>
    <w:rsid w:val="00922860"/>
    <w:rsid w:val="00922D6F"/>
    <w:rsid w:val="00922E49"/>
    <w:rsid w:val="00922FDF"/>
    <w:rsid w:val="00923072"/>
    <w:rsid w:val="0092310D"/>
    <w:rsid w:val="00923111"/>
    <w:rsid w:val="00923522"/>
    <w:rsid w:val="00923707"/>
    <w:rsid w:val="009237D4"/>
    <w:rsid w:val="00923D4E"/>
    <w:rsid w:val="009243EC"/>
    <w:rsid w:val="00924644"/>
    <w:rsid w:val="00924C5E"/>
    <w:rsid w:val="00924C89"/>
    <w:rsid w:val="00924CA2"/>
    <w:rsid w:val="00924DF1"/>
    <w:rsid w:val="00924E81"/>
    <w:rsid w:val="00924FE6"/>
    <w:rsid w:val="00925022"/>
    <w:rsid w:val="00925036"/>
    <w:rsid w:val="009251FA"/>
    <w:rsid w:val="0092549D"/>
    <w:rsid w:val="009259E3"/>
    <w:rsid w:val="00925A00"/>
    <w:rsid w:val="00925AA5"/>
    <w:rsid w:val="00925DEB"/>
    <w:rsid w:val="00925E1D"/>
    <w:rsid w:val="00926456"/>
    <w:rsid w:val="0092655C"/>
    <w:rsid w:val="00927E89"/>
    <w:rsid w:val="009302DD"/>
    <w:rsid w:val="009302F5"/>
    <w:rsid w:val="0093038A"/>
    <w:rsid w:val="009305CD"/>
    <w:rsid w:val="00930B79"/>
    <w:rsid w:val="00930BE4"/>
    <w:rsid w:val="00931058"/>
    <w:rsid w:val="009310EA"/>
    <w:rsid w:val="009312E8"/>
    <w:rsid w:val="00931547"/>
    <w:rsid w:val="00931C3F"/>
    <w:rsid w:val="00931F94"/>
    <w:rsid w:val="009320DA"/>
    <w:rsid w:val="00932474"/>
    <w:rsid w:val="009327AB"/>
    <w:rsid w:val="009327E1"/>
    <w:rsid w:val="00932864"/>
    <w:rsid w:val="00932977"/>
    <w:rsid w:val="00932AE5"/>
    <w:rsid w:val="00932D26"/>
    <w:rsid w:val="009332CD"/>
    <w:rsid w:val="0093432F"/>
    <w:rsid w:val="009349DE"/>
    <w:rsid w:val="00934A63"/>
    <w:rsid w:val="00934E15"/>
    <w:rsid w:val="00935759"/>
    <w:rsid w:val="00935D3D"/>
    <w:rsid w:val="00935DCF"/>
    <w:rsid w:val="00936057"/>
    <w:rsid w:val="0093659E"/>
    <w:rsid w:val="009365DC"/>
    <w:rsid w:val="00936780"/>
    <w:rsid w:val="009369D5"/>
    <w:rsid w:val="00936AC9"/>
    <w:rsid w:val="00936B4C"/>
    <w:rsid w:val="00937057"/>
    <w:rsid w:val="00937327"/>
    <w:rsid w:val="00937433"/>
    <w:rsid w:val="00937573"/>
    <w:rsid w:val="00937890"/>
    <w:rsid w:val="00937DC8"/>
    <w:rsid w:val="00937F8E"/>
    <w:rsid w:val="0094019D"/>
    <w:rsid w:val="009403AA"/>
    <w:rsid w:val="009403BF"/>
    <w:rsid w:val="009404E9"/>
    <w:rsid w:val="00940647"/>
    <w:rsid w:val="00940690"/>
    <w:rsid w:val="00940815"/>
    <w:rsid w:val="00940DF3"/>
    <w:rsid w:val="0094109D"/>
    <w:rsid w:val="009410A6"/>
    <w:rsid w:val="009410D9"/>
    <w:rsid w:val="00941A10"/>
    <w:rsid w:val="00942389"/>
    <w:rsid w:val="0094281B"/>
    <w:rsid w:val="00942BC6"/>
    <w:rsid w:val="00942C11"/>
    <w:rsid w:val="0094338A"/>
    <w:rsid w:val="009434CA"/>
    <w:rsid w:val="00943CB5"/>
    <w:rsid w:val="009441BF"/>
    <w:rsid w:val="00944331"/>
    <w:rsid w:val="00944384"/>
    <w:rsid w:val="00944392"/>
    <w:rsid w:val="00944CEA"/>
    <w:rsid w:val="009452B5"/>
    <w:rsid w:val="00945391"/>
    <w:rsid w:val="00945F33"/>
    <w:rsid w:val="009463F5"/>
    <w:rsid w:val="009465A4"/>
    <w:rsid w:val="009466A6"/>
    <w:rsid w:val="0094688E"/>
    <w:rsid w:val="00946893"/>
    <w:rsid w:val="00947AAC"/>
    <w:rsid w:val="00947C6A"/>
    <w:rsid w:val="00947CC6"/>
    <w:rsid w:val="00947DBA"/>
    <w:rsid w:val="0095005E"/>
    <w:rsid w:val="00950504"/>
    <w:rsid w:val="00951440"/>
    <w:rsid w:val="00951B8B"/>
    <w:rsid w:val="00951EEB"/>
    <w:rsid w:val="00952002"/>
    <w:rsid w:val="00952335"/>
    <w:rsid w:val="00952FAA"/>
    <w:rsid w:val="009531E8"/>
    <w:rsid w:val="009537BB"/>
    <w:rsid w:val="0095383D"/>
    <w:rsid w:val="00953D81"/>
    <w:rsid w:val="009543D4"/>
    <w:rsid w:val="00954AC4"/>
    <w:rsid w:val="00954F19"/>
    <w:rsid w:val="009551F4"/>
    <w:rsid w:val="009552A6"/>
    <w:rsid w:val="009552E4"/>
    <w:rsid w:val="00955563"/>
    <w:rsid w:val="0095567F"/>
    <w:rsid w:val="009558E1"/>
    <w:rsid w:val="0095599E"/>
    <w:rsid w:val="00955B7F"/>
    <w:rsid w:val="00955C22"/>
    <w:rsid w:val="00956056"/>
    <w:rsid w:val="00956355"/>
    <w:rsid w:val="00956446"/>
    <w:rsid w:val="00956914"/>
    <w:rsid w:val="009577EE"/>
    <w:rsid w:val="00957BDC"/>
    <w:rsid w:val="00957C62"/>
    <w:rsid w:val="0096021C"/>
    <w:rsid w:val="00960876"/>
    <w:rsid w:val="00960912"/>
    <w:rsid w:val="00960A55"/>
    <w:rsid w:val="00960ECF"/>
    <w:rsid w:val="0096126B"/>
    <w:rsid w:val="00961461"/>
    <w:rsid w:val="009615DB"/>
    <w:rsid w:val="0096184D"/>
    <w:rsid w:val="00961EE2"/>
    <w:rsid w:val="00962154"/>
    <w:rsid w:val="00962347"/>
    <w:rsid w:val="009624EE"/>
    <w:rsid w:val="00962E50"/>
    <w:rsid w:val="00963002"/>
    <w:rsid w:val="0096310F"/>
    <w:rsid w:val="00963CC2"/>
    <w:rsid w:val="00963E8D"/>
    <w:rsid w:val="0096428E"/>
    <w:rsid w:val="00964A24"/>
    <w:rsid w:val="00965CA7"/>
    <w:rsid w:val="00965D88"/>
    <w:rsid w:val="00966034"/>
    <w:rsid w:val="009660E0"/>
    <w:rsid w:val="009664B0"/>
    <w:rsid w:val="0096679B"/>
    <w:rsid w:val="00966F5B"/>
    <w:rsid w:val="009673A6"/>
    <w:rsid w:val="009676DC"/>
    <w:rsid w:val="00967846"/>
    <w:rsid w:val="00967E83"/>
    <w:rsid w:val="00967FAB"/>
    <w:rsid w:val="009700B3"/>
    <w:rsid w:val="00970727"/>
    <w:rsid w:val="00970982"/>
    <w:rsid w:val="00971028"/>
    <w:rsid w:val="009710EB"/>
    <w:rsid w:val="0097143D"/>
    <w:rsid w:val="0097164F"/>
    <w:rsid w:val="009716E8"/>
    <w:rsid w:val="00971888"/>
    <w:rsid w:val="00971A46"/>
    <w:rsid w:val="00971F8C"/>
    <w:rsid w:val="00971FD9"/>
    <w:rsid w:val="00972333"/>
    <w:rsid w:val="009727AC"/>
    <w:rsid w:val="00972A3C"/>
    <w:rsid w:val="00972ED2"/>
    <w:rsid w:val="00972EFD"/>
    <w:rsid w:val="009732EC"/>
    <w:rsid w:val="00973682"/>
    <w:rsid w:val="009737BF"/>
    <w:rsid w:val="00973804"/>
    <w:rsid w:val="00973989"/>
    <w:rsid w:val="00974464"/>
    <w:rsid w:val="009745D9"/>
    <w:rsid w:val="00974727"/>
    <w:rsid w:val="00975331"/>
    <w:rsid w:val="0097548B"/>
    <w:rsid w:val="00975E44"/>
    <w:rsid w:val="00975F19"/>
    <w:rsid w:val="00976BFB"/>
    <w:rsid w:val="00976C02"/>
    <w:rsid w:val="00976DFB"/>
    <w:rsid w:val="00976EC8"/>
    <w:rsid w:val="0097725C"/>
    <w:rsid w:val="00977EE5"/>
    <w:rsid w:val="00980375"/>
    <w:rsid w:val="009808C9"/>
    <w:rsid w:val="00980B89"/>
    <w:rsid w:val="00981230"/>
    <w:rsid w:val="00981929"/>
    <w:rsid w:val="00981A5C"/>
    <w:rsid w:val="00981FBD"/>
    <w:rsid w:val="00981FEF"/>
    <w:rsid w:val="009821CE"/>
    <w:rsid w:val="00982329"/>
    <w:rsid w:val="0098287C"/>
    <w:rsid w:val="00982938"/>
    <w:rsid w:val="00982E86"/>
    <w:rsid w:val="00982FA6"/>
    <w:rsid w:val="00983080"/>
    <w:rsid w:val="0098361F"/>
    <w:rsid w:val="00983AB6"/>
    <w:rsid w:val="009842E3"/>
    <w:rsid w:val="009843C0"/>
    <w:rsid w:val="00984671"/>
    <w:rsid w:val="009847BC"/>
    <w:rsid w:val="00984A52"/>
    <w:rsid w:val="00984BA0"/>
    <w:rsid w:val="00984F35"/>
    <w:rsid w:val="009851CE"/>
    <w:rsid w:val="009852CF"/>
    <w:rsid w:val="009852D3"/>
    <w:rsid w:val="0098565F"/>
    <w:rsid w:val="0098595F"/>
    <w:rsid w:val="00986266"/>
    <w:rsid w:val="0098663E"/>
    <w:rsid w:val="0098675C"/>
    <w:rsid w:val="009867DB"/>
    <w:rsid w:val="00986D82"/>
    <w:rsid w:val="0098742B"/>
    <w:rsid w:val="009876DF"/>
    <w:rsid w:val="00987B2C"/>
    <w:rsid w:val="00987F8C"/>
    <w:rsid w:val="00990114"/>
    <w:rsid w:val="00990716"/>
    <w:rsid w:val="009907BB"/>
    <w:rsid w:val="00990ACB"/>
    <w:rsid w:val="0099186C"/>
    <w:rsid w:val="009918CA"/>
    <w:rsid w:val="009919C6"/>
    <w:rsid w:val="00991BB5"/>
    <w:rsid w:val="00991D2B"/>
    <w:rsid w:val="00992189"/>
    <w:rsid w:val="00992312"/>
    <w:rsid w:val="009923E7"/>
    <w:rsid w:val="009924E2"/>
    <w:rsid w:val="00992625"/>
    <w:rsid w:val="009927E5"/>
    <w:rsid w:val="00992A37"/>
    <w:rsid w:val="00992D3B"/>
    <w:rsid w:val="00992DB0"/>
    <w:rsid w:val="009932BA"/>
    <w:rsid w:val="00993304"/>
    <w:rsid w:val="00993847"/>
    <w:rsid w:val="00993C0B"/>
    <w:rsid w:val="00993C42"/>
    <w:rsid w:val="00993DFB"/>
    <w:rsid w:val="00994B44"/>
    <w:rsid w:val="00994C95"/>
    <w:rsid w:val="009954EC"/>
    <w:rsid w:val="009959A9"/>
    <w:rsid w:val="00995A7C"/>
    <w:rsid w:val="00995D10"/>
    <w:rsid w:val="009962FF"/>
    <w:rsid w:val="009963C9"/>
    <w:rsid w:val="009965E6"/>
    <w:rsid w:val="0099748B"/>
    <w:rsid w:val="00997537"/>
    <w:rsid w:val="009A0079"/>
    <w:rsid w:val="009A011F"/>
    <w:rsid w:val="009A057F"/>
    <w:rsid w:val="009A06D1"/>
    <w:rsid w:val="009A09A0"/>
    <w:rsid w:val="009A0D60"/>
    <w:rsid w:val="009A0FE2"/>
    <w:rsid w:val="009A1642"/>
    <w:rsid w:val="009A1EBF"/>
    <w:rsid w:val="009A1FE5"/>
    <w:rsid w:val="009A205C"/>
    <w:rsid w:val="009A226C"/>
    <w:rsid w:val="009A275C"/>
    <w:rsid w:val="009A2DFE"/>
    <w:rsid w:val="009A2E3E"/>
    <w:rsid w:val="009A2FCB"/>
    <w:rsid w:val="009A3018"/>
    <w:rsid w:val="009A3092"/>
    <w:rsid w:val="009A31C6"/>
    <w:rsid w:val="009A3A8F"/>
    <w:rsid w:val="009A3FF1"/>
    <w:rsid w:val="009A402F"/>
    <w:rsid w:val="009A4124"/>
    <w:rsid w:val="009A419D"/>
    <w:rsid w:val="009A4703"/>
    <w:rsid w:val="009A5F1F"/>
    <w:rsid w:val="009A64BD"/>
    <w:rsid w:val="009A655B"/>
    <w:rsid w:val="009A658F"/>
    <w:rsid w:val="009A668A"/>
    <w:rsid w:val="009A66FC"/>
    <w:rsid w:val="009A6CB2"/>
    <w:rsid w:val="009A7198"/>
    <w:rsid w:val="009A71D7"/>
    <w:rsid w:val="009A7334"/>
    <w:rsid w:val="009A774D"/>
    <w:rsid w:val="009A7BC9"/>
    <w:rsid w:val="009A7CDF"/>
    <w:rsid w:val="009A7FF0"/>
    <w:rsid w:val="009B016C"/>
    <w:rsid w:val="009B067F"/>
    <w:rsid w:val="009B088B"/>
    <w:rsid w:val="009B1379"/>
    <w:rsid w:val="009B15F1"/>
    <w:rsid w:val="009B15F6"/>
    <w:rsid w:val="009B16EF"/>
    <w:rsid w:val="009B1825"/>
    <w:rsid w:val="009B1843"/>
    <w:rsid w:val="009B1A65"/>
    <w:rsid w:val="009B1C1D"/>
    <w:rsid w:val="009B1D31"/>
    <w:rsid w:val="009B263C"/>
    <w:rsid w:val="009B2765"/>
    <w:rsid w:val="009B2FA6"/>
    <w:rsid w:val="009B3029"/>
    <w:rsid w:val="009B312A"/>
    <w:rsid w:val="009B3DF9"/>
    <w:rsid w:val="009B4278"/>
    <w:rsid w:val="009B45DD"/>
    <w:rsid w:val="009B480A"/>
    <w:rsid w:val="009B4944"/>
    <w:rsid w:val="009B4DCD"/>
    <w:rsid w:val="009B4F69"/>
    <w:rsid w:val="009B5549"/>
    <w:rsid w:val="009B5755"/>
    <w:rsid w:val="009B5D38"/>
    <w:rsid w:val="009B639B"/>
    <w:rsid w:val="009B63A0"/>
    <w:rsid w:val="009B63D8"/>
    <w:rsid w:val="009B6431"/>
    <w:rsid w:val="009B6663"/>
    <w:rsid w:val="009B6673"/>
    <w:rsid w:val="009B6790"/>
    <w:rsid w:val="009B69FD"/>
    <w:rsid w:val="009B6AE5"/>
    <w:rsid w:val="009B6FDF"/>
    <w:rsid w:val="009B7020"/>
    <w:rsid w:val="009B7036"/>
    <w:rsid w:val="009B7701"/>
    <w:rsid w:val="009B7843"/>
    <w:rsid w:val="009B7DCB"/>
    <w:rsid w:val="009C059C"/>
    <w:rsid w:val="009C063E"/>
    <w:rsid w:val="009C0BFF"/>
    <w:rsid w:val="009C0E44"/>
    <w:rsid w:val="009C1556"/>
    <w:rsid w:val="009C16AC"/>
    <w:rsid w:val="009C18D1"/>
    <w:rsid w:val="009C1BE4"/>
    <w:rsid w:val="009C1C6B"/>
    <w:rsid w:val="009C241C"/>
    <w:rsid w:val="009C25DC"/>
    <w:rsid w:val="009C260A"/>
    <w:rsid w:val="009C28D4"/>
    <w:rsid w:val="009C2FC1"/>
    <w:rsid w:val="009C32DE"/>
    <w:rsid w:val="009C33E1"/>
    <w:rsid w:val="009C37C0"/>
    <w:rsid w:val="009C382F"/>
    <w:rsid w:val="009C440B"/>
    <w:rsid w:val="009C4625"/>
    <w:rsid w:val="009C48EE"/>
    <w:rsid w:val="009C4989"/>
    <w:rsid w:val="009C4EF1"/>
    <w:rsid w:val="009C5504"/>
    <w:rsid w:val="009C55B7"/>
    <w:rsid w:val="009C5699"/>
    <w:rsid w:val="009C5EBE"/>
    <w:rsid w:val="009C60B6"/>
    <w:rsid w:val="009C61B1"/>
    <w:rsid w:val="009C61B2"/>
    <w:rsid w:val="009C6262"/>
    <w:rsid w:val="009C6633"/>
    <w:rsid w:val="009C7096"/>
    <w:rsid w:val="009C7723"/>
    <w:rsid w:val="009C7915"/>
    <w:rsid w:val="009C7C49"/>
    <w:rsid w:val="009D0834"/>
    <w:rsid w:val="009D0B0A"/>
    <w:rsid w:val="009D0D66"/>
    <w:rsid w:val="009D0DFD"/>
    <w:rsid w:val="009D0FE5"/>
    <w:rsid w:val="009D12A6"/>
    <w:rsid w:val="009D19AD"/>
    <w:rsid w:val="009D1B94"/>
    <w:rsid w:val="009D1C6A"/>
    <w:rsid w:val="009D1CAB"/>
    <w:rsid w:val="009D1F66"/>
    <w:rsid w:val="009D2542"/>
    <w:rsid w:val="009D287A"/>
    <w:rsid w:val="009D28B6"/>
    <w:rsid w:val="009D2F6D"/>
    <w:rsid w:val="009D34BE"/>
    <w:rsid w:val="009D3896"/>
    <w:rsid w:val="009D3D50"/>
    <w:rsid w:val="009D3DF5"/>
    <w:rsid w:val="009D3FA5"/>
    <w:rsid w:val="009D4058"/>
    <w:rsid w:val="009D418D"/>
    <w:rsid w:val="009D46B3"/>
    <w:rsid w:val="009D477C"/>
    <w:rsid w:val="009D47E6"/>
    <w:rsid w:val="009D4E9D"/>
    <w:rsid w:val="009D587E"/>
    <w:rsid w:val="009D5AA5"/>
    <w:rsid w:val="009D5C15"/>
    <w:rsid w:val="009D5CE1"/>
    <w:rsid w:val="009D5DD8"/>
    <w:rsid w:val="009D6797"/>
    <w:rsid w:val="009D6EB1"/>
    <w:rsid w:val="009D7058"/>
    <w:rsid w:val="009D7447"/>
    <w:rsid w:val="009D7E40"/>
    <w:rsid w:val="009D7FA1"/>
    <w:rsid w:val="009E006D"/>
    <w:rsid w:val="009E085F"/>
    <w:rsid w:val="009E0B05"/>
    <w:rsid w:val="009E0BE6"/>
    <w:rsid w:val="009E1284"/>
    <w:rsid w:val="009E134F"/>
    <w:rsid w:val="009E191D"/>
    <w:rsid w:val="009E1CD0"/>
    <w:rsid w:val="009E2356"/>
    <w:rsid w:val="009E2572"/>
    <w:rsid w:val="009E268B"/>
    <w:rsid w:val="009E26E8"/>
    <w:rsid w:val="009E34AF"/>
    <w:rsid w:val="009E371D"/>
    <w:rsid w:val="009E37D7"/>
    <w:rsid w:val="009E3906"/>
    <w:rsid w:val="009E3919"/>
    <w:rsid w:val="009E3A6C"/>
    <w:rsid w:val="009E3AC9"/>
    <w:rsid w:val="009E3CF3"/>
    <w:rsid w:val="009E3E7A"/>
    <w:rsid w:val="009E3EA5"/>
    <w:rsid w:val="009E5474"/>
    <w:rsid w:val="009E55D1"/>
    <w:rsid w:val="009E57E3"/>
    <w:rsid w:val="009E5A2C"/>
    <w:rsid w:val="009E5AC1"/>
    <w:rsid w:val="009E5F79"/>
    <w:rsid w:val="009E6229"/>
    <w:rsid w:val="009E6809"/>
    <w:rsid w:val="009E709B"/>
    <w:rsid w:val="009E70A5"/>
    <w:rsid w:val="009E7139"/>
    <w:rsid w:val="009E7C14"/>
    <w:rsid w:val="009E7C64"/>
    <w:rsid w:val="009E7E25"/>
    <w:rsid w:val="009E7E4D"/>
    <w:rsid w:val="009E7F9D"/>
    <w:rsid w:val="009F00FA"/>
    <w:rsid w:val="009F0369"/>
    <w:rsid w:val="009F0AD9"/>
    <w:rsid w:val="009F0F06"/>
    <w:rsid w:val="009F12E6"/>
    <w:rsid w:val="009F152B"/>
    <w:rsid w:val="009F1591"/>
    <w:rsid w:val="009F1732"/>
    <w:rsid w:val="009F1758"/>
    <w:rsid w:val="009F1AFD"/>
    <w:rsid w:val="009F1EC8"/>
    <w:rsid w:val="009F1EFF"/>
    <w:rsid w:val="009F23D8"/>
    <w:rsid w:val="009F2401"/>
    <w:rsid w:val="009F25E7"/>
    <w:rsid w:val="009F2BDA"/>
    <w:rsid w:val="009F2EB5"/>
    <w:rsid w:val="009F39DF"/>
    <w:rsid w:val="009F3DC3"/>
    <w:rsid w:val="009F45D0"/>
    <w:rsid w:val="009F4E85"/>
    <w:rsid w:val="009F560B"/>
    <w:rsid w:val="009F58B6"/>
    <w:rsid w:val="009F5C0B"/>
    <w:rsid w:val="009F62CA"/>
    <w:rsid w:val="009F67BE"/>
    <w:rsid w:val="009F730A"/>
    <w:rsid w:val="009F75EF"/>
    <w:rsid w:val="00A000F2"/>
    <w:rsid w:val="00A00530"/>
    <w:rsid w:val="00A005D8"/>
    <w:rsid w:val="00A007BD"/>
    <w:rsid w:val="00A00E22"/>
    <w:rsid w:val="00A0106F"/>
    <w:rsid w:val="00A0132B"/>
    <w:rsid w:val="00A0144B"/>
    <w:rsid w:val="00A0192C"/>
    <w:rsid w:val="00A01DE7"/>
    <w:rsid w:val="00A01F76"/>
    <w:rsid w:val="00A02349"/>
    <w:rsid w:val="00A0249A"/>
    <w:rsid w:val="00A0263D"/>
    <w:rsid w:val="00A02666"/>
    <w:rsid w:val="00A0284A"/>
    <w:rsid w:val="00A02B5A"/>
    <w:rsid w:val="00A02C51"/>
    <w:rsid w:val="00A0301D"/>
    <w:rsid w:val="00A0359A"/>
    <w:rsid w:val="00A0432A"/>
    <w:rsid w:val="00A043D0"/>
    <w:rsid w:val="00A04BCD"/>
    <w:rsid w:val="00A04EAA"/>
    <w:rsid w:val="00A05310"/>
    <w:rsid w:val="00A0543C"/>
    <w:rsid w:val="00A0622F"/>
    <w:rsid w:val="00A06826"/>
    <w:rsid w:val="00A06DAD"/>
    <w:rsid w:val="00A07714"/>
    <w:rsid w:val="00A07AA6"/>
    <w:rsid w:val="00A07E45"/>
    <w:rsid w:val="00A101E5"/>
    <w:rsid w:val="00A104FE"/>
    <w:rsid w:val="00A10642"/>
    <w:rsid w:val="00A1069F"/>
    <w:rsid w:val="00A109B5"/>
    <w:rsid w:val="00A10C51"/>
    <w:rsid w:val="00A10D54"/>
    <w:rsid w:val="00A112C3"/>
    <w:rsid w:val="00A11606"/>
    <w:rsid w:val="00A11878"/>
    <w:rsid w:val="00A11B09"/>
    <w:rsid w:val="00A11ECB"/>
    <w:rsid w:val="00A123E6"/>
    <w:rsid w:val="00A124E6"/>
    <w:rsid w:val="00A13778"/>
    <w:rsid w:val="00A13B52"/>
    <w:rsid w:val="00A13EA3"/>
    <w:rsid w:val="00A13F55"/>
    <w:rsid w:val="00A144F5"/>
    <w:rsid w:val="00A14611"/>
    <w:rsid w:val="00A14718"/>
    <w:rsid w:val="00A14D9D"/>
    <w:rsid w:val="00A1508C"/>
    <w:rsid w:val="00A15C42"/>
    <w:rsid w:val="00A15DAB"/>
    <w:rsid w:val="00A15DC2"/>
    <w:rsid w:val="00A15DFE"/>
    <w:rsid w:val="00A15E41"/>
    <w:rsid w:val="00A161EE"/>
    <w:rsid w:val="00A16471"/>
    <w:rsid w:val="00A165C5"/>
    <w:rsid w:val="00A165F8"/>
    <w:rsid w:val="00A16C56"/>
    <w:rsid w:val="00A16E03"/>
    <w:rsid w:val="00A16F88"/>
    <w:rsid w:val="00A177E5"/>
    <w:rsid w:val="00A17806"/>
    <w:rsid w:val="00A178AA"/>
    <w:rsid w:val="00A17CED"/>
    <w:rsid w:val="00A20260"/>
    <w:rsid w:val="00A207CA"/>
    <w:rsid w:val="00A208A9"/>
    <w:rsid w:val="00A20B23"/>
    <w:rsid w:val="00A21485"/>
    <w:rsid w:val="00A217AE"/>
    <w:rsid w:val="00A21ADC"/>
    <w:rsid w:val="00A22113"/>
    <w:rsid w:val="00A22285"/>
    <w:rsid w:val="00A225AC"/>
    <w:rsid w:val="00A22C1F"/>
    <w:rsid w:val="00A22E7D"/>
    <w:rsid w:val="00A234EE"/>
    <w:rsid w:val="00A23787"/>
    <w:rsid w:val="00A23BBA"/>
    <w:rsid w:val="00A23BEC"/>
    <w:rsid w:val="00A24053"/>
    <w:rsid w:val="00A24248"/>
    <w:rsid w:val="00A24360"/>
    <w:rsid w:val="00A2458E"/>
    <w:rsid w:val="00A24608"/>
    <w:rsid w:val="00A248FA"/>
    <w:rsid w:val="00A24FD8"/>
    <w:rsid w:val="00A25494"/>
    <w:rsid w:val="00A25E52"/>
    <w:rsid w:val="00A260CD"/>
    <w:rsid w:val="00A269D6"/>
    <w:rsid w:val="00A26B6A"/>
    <w:rsid w:val="00A2723F"/>
    <w:rsid w:val="00A2746E"/>
    <w:rsid w:val="00A2764B"/>
    <w:rsid w:val="00A2773B"/>
    <w:rsid w:val="00A27CC3"/>
    <w:rsid w:val="00A3002E"/>
    <w:rsid w:val="00A30273"/>
    <w:rsid w:val="00A30600"/>
    <w:rsid w:val="00A30906"/>
    <w:rsid w:val="00A30D62"/>
    <w:rsid w:val="00A31291"/>
    <w:rsid w:val="00A3137B"/>
    <w:rsid w:val="00A31694"/>
    <w:rsid w:val="00A3197B"/>
    <w:rsid w:val="00A31ED4"/>
    <w:rsid w:val="00A323C3"/>
    <w:rsid w:val="00A32673"/>
    <w:rsid w:val="00A327DB"/>
    <w:rsid w:val="00A32A48"/>
    <w:rsid w:val="00A33867"/>
    <w:rsid w:val="00A339E8"/>
    <w:rsid w:val="00A33A76"/>
    <w:rsid w:val="00A33F15"/>
    <w:rsid w:val="00A34098"/>
    <w:rsid w:val="00A34168"/>
    <w:rsid w:val="00A34D50"/>
    <w:rsid w:val="00A34D88"/>
    <w:rsid w:val="00A35152"/>
    <w:rsid w:val="00A35254"/>
    <w:rsid w:val="00A3544C"/>
    <w:rsid w:val="00A355C8"/>
    <w:rsid w:val="00A35AF4"/>
    <w:rsid w:val="00A35C32"/>
    <w:rsid w:val="00A35E37"/>
    <w:rsid w:val="00A36200"/>
    <w:rsid w:val="00A362B5"/>
    <w:rsid w:val="00A36714"/>
    <w:rsid w:val="00A36967"/>
    <w:rsid w:val="00A36B89"/>
    <w:rsid w:val="00A370A5"/>
    <w:rsid w:val="00A37214"/>
    <w:rsid w:val="00A3736F"/>
    <w:rsid w:val="00A3749B"/>
    <w:rsid w:val="00A3770E"/>
    <w:rsid w:val="00A37940"/>
    <w:rsid w:val="00A37B3C"/>
    <w:rsid w:val="00A37D96"/>
    <w:rsid w:val="00A37E79"/>
    <w:rsid w:val="00A37FEB"/>
    <w:rsid w:val="00A4020E"/>
    <w:rsid w:val="00A40577"/>
    <w:rsid w:val="00A41E68"/>
    <w:rsid w:val="00A420C9"/>
    <w:rsid w:val="00A425FE"/>
    <w:rsid w:val="00A426C8"/>
    <w:rsid w:val="00A42A04"/>
    <w:rsid w:val="00A42D50"/>
    <w:rsid w:val="00A42DA5"/>
    <w:rsid w:val="00A42F77"/>
    <w:rsid w:val="00A4310D"/>
    <w:rsid w:val="00A43204"/>
    <w:rsid w:val="00A43218"/>
    <w:rsid w:val="00A4368D"/>
    <w:rsid w:val="00A440D3"/>
    <w:rsid w:val="00A440D4"/>
    <w:rsid w:val="00A44886"/>
    <w:rsid w:val="00A44D2B"/>
    <w:rsid w:val="00A44D43"/>
    <w:rsid w:val="00A44DD6"/>
    <w:rsid w:val="00A456E6"/>
    <w:rsid w:val="00A457B2"/>
    <w:rsid w:val="00A45978"/>
    <w:rsid w:val="00A45E39"/>
    <w:rsid w:val="00A4689F"/>
    <w:rsid w:val="00A468B3"/>
    <w:rsid w:val="00A46BE7"/>
    <w:rsid w:val="00A46E1C"/>
    <w:rsid w:val="00A46EB3"/>
    <w:rsid w:val="00A46F3A"/>
    <w:rsid w:val="00A46FFC"/>
    <w:rsid w:val="00A47270"/>
    <w:rsid w:val="00A4764F"/>
    <w:rsid w:val="00A4799B"/>
    <w:rsid w:val="00A47E09"/>
    <w:rsid w:val="00A47F92"/>
    <w:rsid w:val="00A50B3C"/>
    <w:rsid w:val="00A50D77"/>
    <w:rsid w:val="00A5102B"/>
    <w:rsid w:val="00A51087"/>
    <w:rsid w:val="00A510E5"/>
    <w:rsid w:val="00A51656"/>
    <w:rsid w:val="00A5177E"/>
    <w:rsid w:val="00A51791"/>
    <w:rsid w:val="00A51CF3"/>
    <w:rsid w:val="00A51F87"/>
    <w:rsid w:val="00A522CF"/>
    <w:rsid w:val="00A527C6"/>
    <w:rsid w:val="00A52B8F"/>
    <w:rsid w:val="00A52CA8"/>
    <w:rsid w:val="00A53154"/>
    <w:rsid w:val="00A531B1"/>
    <w:rsid w:val="00A5378D"/>
    <w:rsid w:val="00A53E87"/>
    <w:rsid w:val="00A54144"/>
    <w:rsid w:val="00A549B7"/>
    <w:rsid w:val="00A54ACE"/>
    <w:rsid w:val="00A54BA8"/>
    <w:rsid w:val="00A55469"/>
    <w:rsid w:val="00A5591F"/>
    <w:rsid w:val="00A56162"/>
    <w:rsid w:val="00A56386"/>
    <w:rsid w:val="00A5644C"/>
    <w:rsid w:val="00A5648D"/>
    <w:rsid w:val="00A56906"/>
    <w:rsid w:val="00A56F6E"/>
    <w:rsid w:val="00A57339"/>
    <w:rsid w:val="00A57512"/>
    <w:rsid w:val="00A57539"/>
    <w:rsid w:val="00A57544"/>
    <w:rsid w:val="00A57666"/>
    <w:rsid w:val="00A57BEC"/>
    <w:rsid w:val="00A60217"/>
    <w:rsid w:val="00A60568"/>
    <w:rsid w:val="00A605C3"/>
    <w:rsid w:val="00A605D5"/>
    <w:rsid w:val="00A6105B"/>
    <w:rsid w:val="00A61662"/>
    <w:rsid w:val="00A61972"/>
    <w:rsid w:val="00A61E31"/>
    <w:rsid w:val="00A61EB9"/>
    <w:rsid w:val="00A61FEB"/>
    <w:rsid w:val="00A62964"/>
    <w:rsid w:val="00A6297A"/>
    <w:rsid w:val="00A62B68"/>
    <w:rsid w:val="00A62CEB"/>
    <w:rsid w:val="00A62E42"/>
    <w:rsid w:val="00A63116"/>
    <w:rsid w:val="00A635F9"/>
    <w:rsid w:val="00A63821"/>
    <w:rsid w:val="00A63DA5"/>
    <w:rsid w:val="00A640C2"/>
    <w:rsid w:val="00A640DC"/>
    <w:rsid w:val="00A64185"/>
    <w:rsid w:val="00A641EE"/>
    <w:rsid w:val="00A645FF"/>
    <w:rsid w:val="00A64A32"/>
    <w:rsid w:val="00A64A71"/>
    <w:rsid w:val="00A64C9B"/>
    <w:rsid w:val="00A64CAD"/>
    <w:rsid w:val="00A652B8"/>
    <w:rsid w:val="00A6544A"/>
    <w:rsid w:val="00A65DC3"/>
    <w:rsid w:val="00A661CD"/>
    <w:rsid w:val="00A663AE"/>
    <w:rsid w:val="00A663D1"/>
    <w:rsid w:val="00A66461"/>
    <w:rsid w:val="00A66C32"/>
    <w:rsid w:val="00A66F32"/>
    <w:rsid w:val="00A67078"/>
    <w:rsid w:val="00A67092"/>
    <w:rsid w:val="00A6724E"/>
    <w:rsid w:val="00A679D0"/>
    <w:rsid w:val="00A67CC7"/>
    <w:rsid w:val="00A67D63"/>
    <w:rsid w:val="00A67FCF"/>
    <w:rsid w:val="00A70326"/>
    <w:rsid w:val="00A703D3"/>
    <w:rsid w:val="00A70B97"/>
    <w:rsid w:val="00A70D82"/>
    <w:rsid w:val="00A70E2A"/>
    <w:rsid w:val="00A71064"/>
    <w:rsid w:val="00A712E2"/>
    <w:rsid w:val="00A71613"/>
    <w:rsid w:val="00A7163C"/>
    <w:rsid w:val="00A71673"/>
    <w:rsid w:val="00A717F1"/>
    <w:rsid w:val="00A71800"/>
    <w:rsid w:val="00A719FD"/>
    <w:rsid w:val="00A71A68"/>
    <w:rsid w:val="00A71BC1"/>
    <w:rsid w:val="00A71EAC"/>
    <w:rsid w:val="00A7213F"/>
    <w:rsid w:val="00A7228B"/>
    <w:rsid w:val="00A7229D"/>
    <w:rsid w:val="00A7243A"/>
    <w:rsid w:val="00A72584"/>
    <w:rsid w:val="00A72722"/>
    <w:rsid w:val="00A7289D"/>
    <w:rsid w:val="00A72E2A"/>
    <w:rsid w:val="00A72F05"/>
    <w:rsid w:val="00A738EE"/>
    <w:rsid w:val="00A73E6A"/>
    <w:rsid w:val="00A74084"/>
    <w:rsid w:val="00A7449E"/>
    <w:rsid w:val="00A74B4F"/>
    <w:rsid w:val="00A7507B"/>
    <w:rsid w:val="00A756E7"/>
    <w:rsid w:val="00A75793"/>
    <w:rsid w:val="00A759C3"/>
    <w:rsid w:val="00A75A09"/>
    <w:rsid w:val="00A75A0A"/>
    <w:rsid w:val="00A762D6"/>
    <w:rsid w:val="00A764CB"/>
    <w:rsid w:val="00A76B12"/>
    <w:rsid w:val="00A777AC"/>
    <w:rsid w:val="00A77885"/>
    <w:rsid w:val="00A80038"/>
    <w:rsid w:val="00A80162"/>
    <w:rsid w:val="00A803F4"/>
    <w:rsid w:val="00A80550"/>
    <w:rsid w:val="00A80588"/>
    <w:rsid w:val="00A80A4A"/>
    <w:rsid w:val="00A80BA0"/>
    <w:rsid w:val="00A81CC3"/>
    <w:rsid w:val="00A82105"/>
    <w:rsid w:val="00A82118"/>
    <w:rsid w:val="00A82322"/>
    <w:rsid w:val="00A8251D"/>
    <w:rsid w:val="00A82531"/>
    <w:rsid w:val="00A82A59"/>
    <w:rsid w:val="00A82E37"/>
    <w:rsid w:val="00A82FCA"/>
    <w:rsid w:val="00A82FF4"/>
    <w:rsid w:val="00A8311E"/>
    <w:rsid w:val="00A83141"/>
    <w:rsid w:val="00A83524"/>
    <w:rsid w:val="00A836CD"/>
    <w:rsid w:val="00A83738"/>
    <w:rsid w:val="00A839F2"/>
    <w:rsid w:val="00A83E10"/>
    <w:rsid w:val="00A8488B"/>
    <w:rsid w:val="00A84BDA"/>
    <w:rsid w:val="00A84CEE"/>
    <w:rsid w:val="00A84EA3"/>
    <w:rsid w:val="00A85EAB"/>
    <w:rsid w:val="00A86198"/>
    <w:rsid w:val="00A86335"/>
    <w:rsid w:val="00A86444"/>
    <w:rsid w:val="00A8679F"/>
    <w:rsid w:val="00A86DA8"/>
    <w:rsid w:val="00A87B1D"/>
    <w:rsid w:val="00A90132"/>
    <w:rsid w:val="00A902A6"/>
    <w:rsid w:val="00A90584"/>
    <w:rsid w:val="00A90D1A"/>
    <w:rsid w:val="00A9113B"/>
    <w:rsid w:val="00A915D7"/>
    <w:rsid w:val="00A9180C"/>
    <w:rsid w:val="00A91929"/>
    <w:rsid w:val="00A91ABE"/>
    <w:rsid w:val="00A91B1B"/>
    <w:rsid w:val="00A92555"/>
    <w:rsid w:val="00A92560"/>
    <w:rsid w:val="00A92751"/>
    <w:rsid w:val="00A927BC"/>
    <w:rsid w:val="00A92B83"/>
    <w:rsid w:val="00A92D90"/>
    <w:rsid w:val="00A9301E"/>
    <w:rsid w:val="00A934C2"/>
    <w:rsid w:val="00A9356D"/>
    <w:rsid w:val="00A93B81"/>
    <w:rsid w:val="00A94086"/>
    <w:rsid w:val="00A940DF"/>
    <w:rsid w:val="00A945ED"/>
    <w:rsid w:val="00A94885"/>
    <w:rsid w:val="00A94C82"/>
    <w:rsid w:val="00A94E3E"/>
    <w:rsid w:val="00A95656"/>
    <w:rsid w:val="00A95815"/>
    <w:rsid w:val="00A9584A"/>
    <w:rsid w:val="00A95A06"/>
    <w:rsid w:val="00A95A1B"/>
    <w:rsid w:val="00A95E55"/>
    <w:rsid w:val="00A95FD7"/>
    <w:rsid w:val="00A9664A"/>
    <w:rsid w:val="00A96771"/>
    <w:rsid w:val="00A96F2E"/>
    <w:rsid w:val="00A97A0D"/>
    <w:rsid w:val="00A97CF1"/>
    <w:rsid w:val="00A97DB9"/>
    <w:rsid w:val="00A97F9C"/>
    <w:rsid w:val="00AA00F0"/>
    <w:rsid w:val="00AA0207"/>
    <w:rsid w:val="00AA0559"/>
    <w:rsid w:val="00AA06B2"/>
    <w:rsid w:val="00AA0AF5"/>
    <w:rsid w:val="00AA0EE5"/>
    <w:rsid w:val="00AA1248"/>
    <w:rsid w:val="00AA1387"/>
    <w:rsid w:val="00AA1499"/>
    <w:rsid w:val="00AA15BE"/>
    <w:rsid w:val="00AA163F"/>
    <w:rsid w:val="00AA1BC2"/>
    <w:rsid w:val="00AA1C20"/>
    <w:rsid w:val="00AA1CED"/>
    <w:rsid w:val="00AA26BB"/>
    <w:rsid w:val="00AA27FF"/>
    <w:rsid w:val="00AA2CAC"/>
    <w:rsid w:val="00AA39DB"/>
    <w:rsid w:val="00AA5562"/>
    <w:rsid w:val="00AA56A6"/>
    <w:rsid w:val="00AA59E0"/>
    <w:rsid w:val="00AA6046"/>
    <w:rsid w:val="00AA626E"/>
    <w:rsid w:val="00AA6A0C"/>
    <w:rsid w:val="00AA6E0B"/>
    <w:rsid w:val="00AA7478"/>
    <w:rsid w:val="00AA78B2"/>
    <w:rsid w:val="00AA78EA"/>
    <w:rsid w:val="00AA7914"/>
    <w:rsid w:val="00AA7943"/>
    <w:rsid w:val="00AA7B88"/>
    <w:rsid w:val="00AA7D41"/>
    <w:rsid w:val="00AA7EBF"/>
    <w:rsid w:val="00AB08C2"/>
    <w:rsid w:val="00AB0F98"/>
    <w:rsid w:val="00AB119B"/>
    <w:rsid w:val="00AB15E5"/>
    <w:rsid w:val="00AB17AC"/>
    <w:rsid w:val="00AB1841"/>
    <w:rsid w:val="00AB1C50"/>
    <w:rsid w:val="00AB1C67"/>
    <w:rsid w:val="00AB2096"/>
    <w:rsid w:val="00AB2B5D"/>
    <w:rsid w:val="00AB2BAB"/>
    <w:rsid w:val="00AB2F46"/>
    <w:rsid w:val="00AB3012"/>
    <w:rsid w:val="00AB309F"/>
    <w:rsid w:val="00AB30BD"/>
    <w:rsid w:val="00AB31BA"/>
    <w:rsid w:val="00AB3231"/>
    <w:rsid w:val="00AB325D"/>
    <w:rsid w:val="00AB3531"/>
    <w:rsid w:val="00AB36ED"/>
    <w:rsid w:val="00AB3908"/>
    <w:rsid w:val="00AB39D2"/>
    <w:rsid w:val="00AB43EC"/>
    <w:rsid w:val="00AB4563"/>
    <w:rsid w:val="00AB4584"/>
    <w:rsid w:val="00AB45D2"/>
    <w:rsid w:val="00AB4A2B"/>
    <w:rsid w:val="00AB4E71"/>
    <w:rsid w:val="00AB5057"/>
    <w:rsid w:val="00AB50BE"/>
    <w:rsid w:val="00AB51F7"/>
    <w:rsid w:val="00AB529B"/>
    <w:rsid w:val="00AB54A4"/>
    <w:rsid w:val="00AB54D3"/>
    <w:rsid w:val="00AB5A8A"/>
    <w:rsid w:val="00AB5E5A"/>
    <w:rsid w:val="00AB66A0"/>
    <w:rsid w:val="00AB6791"/>
    <w:rsid w:val="00AB69A5"/>
    <w:rsid w:val="00AB6B77"/>
    <w:rsid w:val="00AB7272"/>
    <w:rsid w:val="00AB7588"/>
    <w:rsid w:val="00AB79F9"/>
    <w:rsid w:val="00AB7CF6"/>
    <w:rsid w:val="00AC018B"/>
    <w:rsid w:val="00AC0471"/>
    <w:rsid w:val="00AC068C"/>
    <w:rsid w:val="00AC06E0"/>
    <w:rsid w:val="00AC0743"/>
    <w:rsid w:val="00AC0D66"/>
    <w:rsid w:val="00AC0DAE"/>
    <w:rsid w:val="00AC1783"/>
    <w:rsid w:val="00AC198F"/>
    <w:rsid w:val="00AC1B08"/>
    <w:rsid w:val="00AC1D15"/>
    <w:rsid w:val="00AC1EA7"/>
    <w:rsid w:val="00AC1F62"/>
    <w:rsid w:val="00AC1FEC"/>
    <w:rsid w:val="00AC22DB"/>
    <w:rsid w:val="00AC2342"/>
    <w:rsid w:val="00AC2700"/>
    <w:rsid w:val="00AC2AA0"/>
    <w:rsid w:val="00AC2AD5"/>
    <w:rsid w:val="00AC33EB"/>
    <w:rsid w:val="00AC3BDE"/>
    <w:rsid w:val="00AC3BE7"/>
    <w:rsid w:val="00AC3FB5"/>
    <w:rsid w:val="00AC439F"/>
    <w:rsid w:val="00AC475F"/>
    <w:rsid w:val="00AC4E86"/>
    <w:rsid w:val="00AC5616"/>
    <w:rsid w:val="00AC576F"/>
    <w:rsid w:val="00AC6568"/>
    <w:rsid w:val="00AC6675"/>
    <w:rsid w:val="00AC68F3"/>
    <w:rsid w:val="00AC6E4F"/>
    <w:rsid w:val="00AC72D3"/>
    <w:rsid w:val="00AC731B"/>
    <w:rsid w:val="00AC7891"/>
    <w:rsid w:val="00AC7FAE"/>
    <w:rsid w:val="00AC7FF9"/>
    <w:rsid w:val="00AD04EE"/>
    <w:rsid w:val="00AD0B64"/>
    <w:rsid w:val="00AD1376"/>
    <w:rsid w:val="00AD17DE"/>
    <w:rsid w:val="00AD1824"/>
    <w:rsid w:val="00AD1A81"/>
    <w:rsid w:val="00AD1FE8"/>
    <w:rsid w:val="00AD29AC"/>
    <w:rsid w:val="00AD3083"/>
    <w:rsid w:val="00AD323A"/>
    <w:rsid w:val="00AD35D6"/>
    <w:rsid w:val="00AD3BC8"/>
    <w:rsid w:val="00AD3E13"/>
    <w:rsid w:val="00AD5148"/>
    <w:rsid w:val="00AD55B4"/>
    <w:rsid w:val="00AD56CB"/>
    <w:rsid w:val="00AD5D26"/>
    <w:rsid w:val="00AD5D73"/>
    <w:rsid w:val="00AD6072"/>
    <w:rsid w:val="00AD60D5"/>
    <w:rsid w:val="00AD6A38"/>
    <w:rsid w:val="00AD6AEF"/>
    <w:rsid w:val="00AD7224"/>
    <w:rsid w:val="00AD780F"/>
    <w:rsid w:val="00AD7A44"/>
    <w:rsid w:val="00AD7E8E"/>
    <w:rsid w:val="00AD7EAC"/>
    <w:rsid w:val="00AE00BE"/>
    <w:rsid w:val="00AE04B9"/>
    <w:rsid w:val="00AE0672"/>
    <w:rsid w:val="00AE09E7"/>
    <w:rsid w:val="00AE10EE"/>
    <w:rsid w:val="00AE13D5"/>
    <w:rsid w:val="00AE158A"/>
    <w:rsid w:val="00AE1EAB"/>
    <w:rsid w:val="00AE2212"/>
    <w:rsid w:val="00AE2366"/>
    <w:rsid w:val="00AE26F1"/>
    <w:rsid w:val="00AE2B06"/>
    <w:rsid w:val="00AE2F90"/>
    <w:rsid w:val="00AE3183"/>
    <w:rsid w:val="00AE338A"/>
    <w:rsid w:val="00AE396A"/>
    <w:rsid w:val="00AE39F6"/>
    <w:rsid w:val="00AE4064"/>
    <w:rsid w:val="00AE40B7"/>
    <w:rsid w:val="00AE4113"/>
    <w:rsid w:val="00AE428F"/>
    <w:rsid w:val="00AE42E4"/>
    <w:rsid w:val="00AE441D"/>
    <w:rsid w:val="00AE48DD"/>
    <w:rsid w:val="00AE4B7B"/>
    <w:rsid w:val="00AE4E87"/>
    <w:rsid w:val="00AE4F31"/>
    <w:rsid w:val="00AE50A0"/>
    <w:rsid w:val="00AE562E"/>
    <w:rsid w:val="00AE5A3B"/>
    <w:rsid w:val="00AE5F82"/>
    <w:rsid w:val="00AE64A7"/>
    <w:rsid w:val="00AE6721"/>
    <w:rsid w:val="00AE672F"/>
    <w:rsid w:val="00AE68A7"/>
    <w:rsid w:val="00AE6B6C"/>
    <w:rsid w:val="00AE6FA1"/>
    <w:rsid w:val="00AE7683"/>
    <w:rsid w:val="00AE786E"/>
    <w:rsid w:val="00AE78DC"/>
    <w:rsid w:val="00AE7AE2"/>
    <w:rsid w:val="00AF03AF"/>
    <w:rsid w:val="00AF056F"/>
    <w:rsid w:val="00AF060A"/>
    <w:rsid w:val="00AF06B3"/>
    <w:rsid w:val="00AF10B2"/>
    <w:rsid w:val="00AF1473"/>
    <w:rsid w:val="00AF2523"/>
    <w:rsid w:val="00AF259E"/>
    <w:rsid w:val="00AF28EE"/>
    <w:rsid w:val="00AF2F7D"/>
    <w:rsid w:val="00AF367E"/>
    <w:rsid w:val="00AF3CDE"/>
    <w:rsid w:val="00AF4AEB"/>
    <w:rsid w:val="00AF530D"/>
    <w:rsid w:val="00AF5612"/>
    <w:rsid w:val="00AF5748"/>
    <w:rsid w:val="00AF5A24"/>
    <w:rsid w:val="00AF5C86"/>
    <w:rsid w:val="00AF61C3"/>
    <w:rsid w:val="00AF6B46"/>
    <w:rsid w:val="00AF6EB3"/>
    <w:rsid w:val="00AF71D4"/>
    <w:rsid w:val="00AF7215"/>
    <w:rsid w:val="00AF73EB"/>
    <w:rsid w:val="00AF75E2"/>
    <w:rsid w:val="00AF765C"/>
    <w:rsid w:val="00AF7BC5"/>
    <w:rsid w:val="00AF7C1A"/>
    <w:rsid w:val="00B00447"/>
    <w:rsid w:val="00B00A67"/>
    <w:rsid w:val="00B00FF9"/>
    <w:rsid w:val="00B01208"/>
    <w:rsid w:val="00B016D0"/>
    <w:rsid w:val="00B018F8"/>
    <w:rsid w:val="00B01AA2"/>
    <w:rsid w:val="00B01FEC"/>
    <w:rsid w:val="00B026BD"/>
    <w:rsid w:val="00B02B2A"/>
    <w:rsid w:val="00B031A7"/>
    <w:rsid w:val="00B03681"/>
    <w:rsid w:val="00B03ED6"/>
    <w:rsid w:val="00B03FBA"/>
    <w:rsid w:val="00B04025"/>
    <w:rsid w:val="00B0406B"/>
    <w:rsid w:val="00B047BC"/>
    <w:rsid w:val="00B04E3A"/>
    <w:rsid w:val="00B05286"/>
    <w:rsid w:val="00B0529B"/>
    <w:rsid w:val="00B05313"/>
    <w:rsid w:val="00B05318"/>
    <w:rsid w:val="00B0579C"/>
    <w:rsid w:val="00B057B5"/>
    <w:rsid w:val="00B05869"/>
    <w:rsid w:val="00B05B17"/>
    <w:rsid w:val="00B05CDE"/>
    <w:rsid w:val="00B05E00"/>
    <w:rsid w:val="00B06169"/>
    <w:rsid w:val="00B061F5"/>
    <w:rsid w:val="00B07335"/>
    <w:rsid w:val="00B07369"/>
    <w:rsid w:val="00B07456"/>
    <w:rsid w:val="00B07B5B"/>
    <w:rsid w:val="00B07BBC"/>
    <w:rsid w:val="00B100F6"/>
    <w:rsid w:val="00B101AB"/>
    <w:rsid w:val="00B101D1"/>
    <w:rsid w:val="00B10717"/>
    <w:rsid w:val="00B1077D"/>
    <w:rsid w:val="00B10C16"/>
    <w:rsid w:val="00B10F6D"/>
    <w:rsid w:val="00B10FA5"/>
    <w:rsid w:val="00B11336"/>
    <w:rsid w:val="00B11479"/>
    <w:rsid w:val="00B1178B"/>
    <w:rsid w:val="00B1197D"/>
    <w:rsid w:val="00B11B57"/>
    <w:rsid w:val="00B11B98"/>
    <w:rsid w:val="00B11C3E"/>
    <w:rsid w:val="00B11F0D"/>
    <w:rsid w:val="00B11F4C"/>
    <w:rsid w:val="00B12671"/>
    <w:rsid w:val="00B1286B"/>
    <w:rsid w:val="00B129C3"/>
    <w:rsid w:val="00B12B60"/>
    <w:rsid w:val="00B12C42"/>
    <w:rsid w:val="00B134F5"/>
    <w:rsid w:val="00B135A2"/>
    <w:rsid w:val="00B13688"/>
    <w:rsid w:val="00B137E5"/>
    <w:rsid w:val="00B13C94"/>
    <w:rsid w:val="00B13F29"/>
    <w:rsid w:val="00B140B9"/>
    <w:rsid w:val="00B14DE6"/>
    <w:rsid w:val="00B158C2"/>
    <w:rsid w:val="00B15A38"/>
    <w:rsid w:val="00B15A62"/>
    <w:rsid w:val="00B15DF8"/>
    <w:rsid w:val="00B15F10"/>
    <w:rsid w:val="00B16213"/>
    <w:rsid w:val="00B163FF"/>
    <w:rsid w:val="00B169CC"/>
    <w:rsid w:val="00B1735F"/>
    <w:rsid w:val="00B176BB"/>
    <w:rsid w:val="00B17714"/>
    <w:rsid w:val="00B177C5"/>
    <w:rsid w:val="00B179D3"/>
    <w:rsid w:val="00B17AC7"/>
    <w:rsid w:val="00B17D1D"/>
    <w:rsid w:val="00B17D2E"/>
    <w:rsid w:val="00B20397"/>
    <w:rsid w:val="00B20846"/>
    <w:rsid w:val="00B20A2F"/>
    <w:rsid w:val="00B20BC1"/>
    <w:rsid w:val="00B20BC3"/>
    <w:rsid w:val="00B20BCF"/>
    <w:rsid w:val="00B2142B"/>
    <w:rsid w:val="00B217A0"/>
    <w:rsid w:val="00B21B22"/>
    <w:rsid w:val="00B21C0D"/>
    <w:rsid w:val="00B21D04"/>
    <w:rsid w:val="00B223D1"/>
    <w:rsid w:val="00B225E1"/>
    <w:rsid w:val="00B22B57"/>
    <w:rsid w:val="00B22CF8"/>
    <w:rsid w:val="00B23155"/>
    <w:rsid w:val="00B2320A"/>
    <w:rsid w:val="00B23342"/>
    <w:rsid w:val="00B2365E"/>
    <w:rsid w:val="00B23A79"/>
    <w:rsid w:val="00B23DCA"/>
    <w:rsid w:val="00B24697"/>
    <w:rsid w:val="00B2469B"/>
    <w:rsid w:val="00B247D3"/>
    <w:rsid w:val="00B24821"/>
    <w:rsid w:val="00B24B28"/>
    <w:rsid w:val="00B25267"/>
    <w:rsid w:val="00B25281"/>
    <w:rsid w:val="00B256BC"/>
    <w:rsid w:val="00B256D3"/>
    <w:rsid w:val="00B2582E"/>
    <w:rsid w:val="00B2599C"/>
    <w:rsid w:val="00B25EDB"/>
    <w:rsid w:val="00B26022"/>
    <w:rsid w:val="00B26227"/>
    <w:rsid w:val="00B262B9"/>
    <w:rsid w:val="00B2647F"/>
    <w:rsid w:val="00B26632"/>
    <w:rsid w:val="00B26FD6"/>
    <w:rsid w:val="00B272C7"/>
    <w:rsid w:val="00B273CD"/>
    <w:rsid w:val="00B27596"/>
    <w:rsid w:val="00B27602"/>
    <w:rsid w:val="00B27CB4"/>
    <w:rsid w:val="00B30EEF"/>
    <w:rsid w:val="00B311BB"/>
    <w:rsid w:val="00B31389"/>
    <w:rsid w:val="00B3149D"/>
    <w:rsid w:val="00B31AC8"/>
    <w:rsid w:val="00B31C24"/>
    <w:rsid w:val="00B3257D"/>
    <w:rsid w:val="00B32998"/>
    <w:rsid w:val="00B32EAA"/>
    <w:rsid w:val="00B32F44"/>
    <w:rsid w:val="00B33080"/>
    <w:rsid w:val="00B331E6"/>
    <w:rsid w:val="00B3329F"/>
    <w:rsid w:val="00B33CC3"/>
    <w:rsid w:val="00B33E16"/>
    <w:rsid w:val="00B34378"/>
    <w:rsid w:val="00B344F7"/>
    <w:rsid w:val="00B34593"/>
    <w:rsid w:val="00B35136"/>
    <w:rsid w:val="00B356DF"/>
    <w:rsid w:val="00B359F4"/>
    <w:rsid w:val="00B35A12"/>
    <w:rsid w:val="00B35F03"/>
    <w:rsid w:val="00B35F76"/>
    <w:rsid w:val="00B36146"/>
    <w:rsid w:val="00B36154"/>
    <w:rsid w:val="00B362A3"/>
    <w:rsid w:val="00B362B9"/>
    <w:rsid w:val="00B369FB"/>
    <w:rsid w:val="00B36A1A"/>
    <w:rsid w:val="00B36AF3"/>
    <w:rsid w:val="00B36DB0"/>
    <w:rsid w:val="00B36DC0"/>
    <w:rsid w:val="00B36E82"/>
    <w:rsid w:val="00B373B5"/>
    <w:rsid w:val="00B374CF"/>
    <w:rsid w:val="00B37E36"/>
    <w:rsid w:val="00B37F25"/>
    <w:rsid w:val="00B37FDD"/>
    <w:rsid w:val="00B40360"/>
    <w:rsid w:val="00B4087B"/>
    <w:rsid w:val="00B409B6"/>
    <w:rsid w:val="00B4135A"/>
    <w:rsid w:val="00B414C3"/>
    <w:rsid w:val="00B4157F"/>
    <w:rsid w:val="00B4190C"/>
    <w:rsid w:val="00B42A27"/>
    <w:rsid w:val="00B42A43"/>
    <w:rsid w:val="00B42ED7"/>
    <w:rsid w:val="00B43551"/>
    <w:rsid w:val="00B4389C"/>
    <w:rsid w:val="00B43907"/>
    <w:rsid w:val="00B43AC8"/>
    <w:rsid w:val="00B43C9C"/>
    <w:rsid w:val="00B43ED3"/>
    <w:rsid w:val="00B43F57"/>
    <w:rsid w:val="00B43F6A"/>
    <w:rsid w:val="00B43FFD"/>
    <w:rsid w:val="00B4411C"/>
    <w:rsid w:val="00B4418A"/>
    <w:rsid w:val="00B44243"/>
    <w:rsid w:val="00B44618"/>
    <w:rsid w:val="00B44974"/>
    <w:rsid w:val="00B44EC7"/>
    <w:rsid w:val="00B45B6F"/>
    <w:rsid w:val="00B46362"/>
    <w:rsid w:val="00B47103"/>
    <w:rsid w:val="00B472D0"/>
    <w:rsid w:val="00B47556"/>
    <w:rsid w:val="00B47692"/>
    <w:rsid w:val="00B477A5"/>
    <w:rsid w:val="00B47822"/>
    <w:rsid w:val="00B47DA7"/>
    <w:rsid w:val="00B47F3A"/>
    <w:rsid w:val="00B5076F"/>
    <w:rsid w:val="00B50AE9"/>
    <w:rsid w:val="00B50AED"/>
    <w:rsid w:val="00B50B6F"/>
    <w:rsid w:val="00B515A2"/>
    <w:rsid w:val="00B5172A"/>
    <w:rsid w:val="00B51933"/>
    <w:rsid w:val="00B51E7E"/>
    <w:rsid w:val="00B52345"/>
    <w:rsid w:val="00B52534"/>
    <w:rsid w:val="00B52E49"/>
    <w:rsid w:val="00B534CB"/>
    <w:rsid w:val="00B5379D"/>
    <w:rsid w:val="00B537CE"/>
    <w:rsid w:val="00B54443"/>
    <w:rsid w:val="00B545F4"/>
    <w:rsid w:val="00B54926"/>
    <w:rsid w:val="00B5499F"/>
    <w:rsid w:val="00B54BEE"/>
    <w:rsid w:val="00B54C97"/>
    <w:rsid w:val="00B5509D"/>
    <w:rsid w:val="00B55740"/>
    <w:rsid w:val="00B55929"/>
    <w:rsid w:val="00B55C09"/>
    <w:rsid w:val="00B55C4C"/>
    <w:rsid w:val="00B55E29"/>
    <w:rsid w:val="00B561D1"/>
    <w:rsid w:val="00B56233"/>
    <w:rsid w:val="00B56258"/>
    <w:rsid w:val="00B566C5"/>
    <w:rsid w:val="00B56AB7"/>
    <w:rsid w:val="00B57653"/>
    <w:rsid w:val="00B577A0"/>
    <w:rsid w:val="00B57A5C"/>
    <w:rsid w:val="00B57C65"/>
    <w:rsid w:val="00B60056"/>
    <w:rsid w:val="00B6008D"/>
    <w:rsid w:val="00B60499"/>
    <w:rsid w:val="00B609DF"/>
    <w:rsid w:val="00B60C45"/>
    <w:rsid w:val="00B60DDC"/>
    <w:rsid w:val="00B60E7D"/>
    <w:rsid w:val="00B60FC2"/>
    <w:rsid w:val="00B6232C"/>
    <w:rsid w:val="00B62452"/>
    <w:rsid w:val="00B6289B"/>
    <w:rsid w:val="00B628A3"/>
    <w:rsid w:val="00B62AD4"/>
    <w:rsid w:val="00B6301B"/>
    <w:rsid w:val="00B63040"/>
    <w:rsid w:val="00B63118"/>
    <w:rsid w:val="00B63177"/>
    <w:rsid w:val="00B634F3"/>
    <w:rsid w:val="00B634F5"/>
    <w:rsid w:val="00B63652"/>
    <w:rsid w:val="00B639C6"/>
    <w:rsid w:val="00B64431"/>
    <w:rsid w:val="00B64CD0"/>
    <w:rsid w:val="00B650B6"/>
    <w:rsid w:val="00B651DB"/>
    <w:rsid w:val="00B6527E"/>
    <w:rsid w:val="00B6542D"/>
    <w:rsid w:val="00B65430"/>
    <w:rsid w:val="00B65A9F"/>
    <w:rsid w:val="00B66300"/>
    <w:rsid w:val="00B663EA"/>
    <w:rsid w:val="00B66C3B"/>
    <w:rsid w:val="00B66C86"/>
    <w:rsid w:val="00B67071"/>
    <w:rsid w:val="00B6745A"/>
    <w:rsid w:val="00B67A9C"/>
    <w:rsid w:val="00B70060"/>
    <w:rsid w:val="00B700A0"/>
    <w:rsid w:val="00B70D52"/>
    <w:rsid w:val="00B70FBE"/>
    <w:rsid w:val="00B71041"/>
    <w:rsid w:val="00B7119B"/>
    <w:rsid w:val="00B7161F"/>
    <w:rsid w:val="00B71F13"/>
    <w:rsid w:val="00B72053"/>
    <w:rsid w:val="00B726C0"/>
    <w:rsid w:val="00B72FA1"/>
    <w:rsid w:val="00B733EE"/>
    <w:rsid w:val="00B73A19"/>
    <w:rsid w:val="00B73E9E"/>
    <w:rsid w:val="00B741B1"/>
    <w:rsid w:val="00B74242"/>
    <w:rsid w:val="00B74585"/>
    <w:rsid w:val="00B748CC"/>
    <w:rsid w:val="00B74FCE"/>
    <w:rsid w:val="00B75225"/>
    <w:rsid w:val="00B7574A"/>
    <w:rsid w:val="00B7588C"/>
    <w:rsid w:val="00B758A2"/>
    <w:rsid w:val="00B761E6"/>
    <w:rsid w:val="00B76208"/>
    <w:rsid w:val="00B76493"/>
    <w:rsid w:val="00B766A0"/>
    <w:rsid w:val="00B76AE7"/>
    <w:rsid w:val="00B76B70"/>
    <w:rsid w:val="00B76E74"/>
    <w:rsid w:val="00B76FCA"/>
    <w:rsid w:val="00B770B9"/>
    <w:rsid w:val="00B770FF"/>
    <w:rsid w:val="00B77541"/>
    <w:rsid w:val="00B77742"/>
    <w:rsid w:val="00B777DF"/>
    <w:rsid w:val="00B7790A"/>
    <w:rsid w:val="00B77911"/>
    <w:rsid w:val="00B77E8B"/>
    <w:rsid w:val="00B77FEE"/>
    <w:rsid w:val="00B807DD"/>
    <w:rsid w:val="00B80852"/>
    <w:rsid w:val="00B80C3A"/>
    <w:rsid w:val="00B8117D"/>
    <w:rsid w:val="00B811BB"/>
    <w:rsid w:val="00B816FD"/>
    <w:rsid w:val="00B818BE"/>
    <w:rsid w:val="00B819AA"/>
    <w:rsid w:val="00B81E33"/>
    <w:rsid w:val="00B81EE6"/>
    <w:rsid w:val="00B820B8"/>
    <w:rsid w:val="00B82290"/>
    <w:rsid w:val="00B822FD"/>
    <w:rsid w:val="00B82512"/>
    <w:rsid w:val="00B825FB"/>
    <w:rsid w:val="00B8277A"/>
    <w:rsid w:val="00B82D1F"/>
    <w:rsid w:val="00B82EF9"/>
    <w:rsid w:val="00B834D4"/>
    <w:rsid w:val="00B83FA4"/>
    <w:rsid w:val="00B84060"/>
    <w:rsid w:val="00B8462C"/>
    <w:rsid w:val="00B84702"/>
    <w:rsid w:val="00B84D07"/>
    <w:rsid w:val="00B84E3E"/>
    <w:rsid w:val="00B84EB5"/>
    <w:rsid w:val="00B8513A"/>
    <w:rsid w:val="00B851EB"/>
    <w:rsid w:val="00B852B9"/>
    <w:rsid w:val="00B85663"/>
    <w:rsid w:val="00B85848"/>
    <w:rsid w:val="00B8598C"/>
    <w:rsid w:val="00B85B03"/>
    <w:rsid w:val="00B85D50"/>
    <w:rsid w:val="00B85D65"/>
    <w:rsid w:val="00B85D6C"/>
    <w:rsid w:val="00B85E25"/>
    <w:rsid w:val="00B85F47"/>
    <w:rsid w:val="00B864D0"/>
    <w:rsid w:val="00B864D9"/>
    <w:rsid w:val="00B8674D"/>
    <w:rsid w:val="00B8690F"/>
    <w:rsid w:val="00B86976"/>
    <w:rsid w:val="00B869F3"/>
    <w:rsid w:val="00B86E34"/>
    <w:rsid w:val="00B86EDA"/>
    <w:rsid w:val="00B87040"/>
    <w:rsid w:val="00B8705A"/>
    <w:rsid w:val="00B87192"/>
    <w:rsid w:val="00B87330"/>
    <w:rsid w:val="00B87387"/>
    <w:rsid w:val="00B876F8"/>
    <w:rsid w:val="00B8790D"/>
    <w:rsid w:val="00B87927"/>
    <w:rsid w:val="00B87C25"/>
    <w:rsid w:val="00B87E0D"/>
    <w:rsid w:val="00B901CC"/>
    <w:rsid w:val="00B90273"/>
    <w:rsid w:val="00B903E7"/>
    <w:rsid w:val="00B90575"/>
    <w:rsid w:val="00B90A2E"/>
    <w:rsid w:val="00B90C3F"/>
    <w:rsid w:val="00B90E28"/>
    <w:rsid w:val="00B90F72"/>
    <w:rsid w:val="00B91707"/>
    <w:rsid w:val="00B91918"/>
    <w:rsid w:val="00B91D56"/>
    <w:rsid w:val="00B9236A"/>
    <w:rsid w:val="00B92619"/>
    <w:rsid w:val="00B9267F"/>
    <w:rsid w:val="00B92715"/>
    <w:rsid w:val="00B929C8"/>
    <w:rsid w:val="00B92CC9"/>
    <w:rsid w:val="00B9390C"/>
    <w:rsid w:val="00B93A36"/>
    <w:rsid w:val="00B93B17"/>
    <w:rsid w:val="00B93DF3"/>
    <w:rsid w:val="00B945A3"/>
    <w:rsid w:val="00B946F2"/>
    <w:rsid w:val="00B94D4B"/>
    <w:rsid w:val="00B95044"/>
    <w:rsid w:val="00B950BD"/>
    <w:rsid w:val="00B95631"/>
    <w:rsid w:val="00B9565F"/>
    <w:rsid w:val="00B959DE"/>
    <w:rsid w:val="00B95ED4"/>
    <w:rsid w:val="00B960F4"/>
    <w:rsid w:val="00B97604"/>
    <w:rsid w:val="00B97C3B"/>
    <w:rsid w:val="00B97CEE"/>
    <w:rsid w:val="00B97DD6"/>
    <w:rsid w:val="00BA02BA"/>
    <w:rsid w:val="00BA09B4"/>
    <w:rsid w:val="00BA09ED"/>
    <w:rsid w:val="00BA0B41"/>
    <w:rsid w:val="00BA0B58"/>
    <w:rsid w:val="00BA0E26"/>
    <w:rsid w:val="00BA1833"/>
    <w:rsid w:val="00BA1940"/>
    <w:rsid w:val="00BA22AC"/>
    <w:rsid w:val="00BA246B"/>
    <w:rsid w:val="00BA287D"/>
    <w:rsid w:val="00BA2CAC"/>
    <w:rsid w:val="00BA2D9C"/>
    <w:rsid w:val="00BA2DF9"/>
    <w:rsid w:val="00BA3424"/>
    <w:rsid w:val="00BA361B"/>
    <w:rsid w:val="00BA3F60"/>
    <w:rsid w:val="00BA3FD8"/>
    <w:rsid w:val="00BA3FF7"/>
    <w:rsid w:val="00BA4098"/>
    <w:rsid w:val="00BA40AF"/>
    <w:rsid w:val="00BA4186"/>
    <w:rsid w:val="00BA4700"/>
    <w:rsid w:val="00BA4BAA"/>
    <w:rsid w:val="00BA5E16"/>
    <w:rsid w:val="00BA63AE"/>
    <w:rsid w:val="00BA64FB"/>
    <w:rsid w:val="00BA68ED"/>
    <w:rsid w:val="00BA6EE6"/>
    <w:rsid w:val="00BA7069"/>
    <w:rsid w:val="00BA7226"/>
    <w:rsid w:val="00BA7399"/>
    <w:rsid w:val="00BA74F5"/>
    <w:rsid w:val="00BA7768"/>
    <w:rsid w:val="00BA77B7"/>
    <w:rsid w:val="00BB0420"/>
    <w:rsid w:val="00BB07A3"/>
    <w:rsid w:val="00BB07DC"/>
    <w:rsid w:val="00BB090A"/>
    <w:rsid w:val="00BB0D1F"/>
    <w:rsid w:val="00BB1692"/>
    <w:rsid w:val="00BB1926"/>
    <w:rsid w:val="00BB1A67"/>
    <w:rsid w:val="00BB1C88"/>
    <w:rsid w:val="00BB1FEF"/>
    <w:rsid w:val="00BB21D7"/>
    <w:rsid w:val="00BB2473"/>
    <w:rsid w:val="00BB268A"/>
    <w:rsid w:val="00BB2844"/>
    <w:rsid w:val="00BB2AF3"/>
    <w:rsid w:val="00BB3078"/>
    <w:rsid w:val="00BB381E"/>
    <w:rsid w:val="00BB3B32"/>
    <w:rsid w:val="00BB3C63"/>
    <w:rsid w:val="00BB3E78"/>
    <w:rsid w:val="00BB400E"/>
    <w:rsid w:val="00BB40A6"/>
    <w:rsid w:val="00BB4155"/>
    <w:rsid w:val="00BB4186"/>
    <w:rsid w:val="00BB4239"/>
    <w:rsid w:val="00BB43D9"/>
    <w:rsid w:val="00BB45AF"/>
    <w:rsid w:val="00BB4989"/>
    <w:rsid w:val="00BB505D"/>
    <w:rsid w:val="00BB50F6"/>
    <w:rsid w:val="00BB5178"/>
    <w:rsid w:val="00BB52C6"/>
    <w:rsid w:val="00BB5347"/>
    <w:rsid w:val="00BB54ED"/>
    <w:rsid w:val="00BB5619"/>
    <w:rsid w:val="00BB5A38"/>
    <w:rsid w:val="00BB5FEC"/>
    <w:rsid w:val="00BB7179"/>
    <w:rsid w:val="00BB75C1"/>
    <w:rsid w:val="00BB75D6"/>
    <w:rsid w:val="00BB791C"/>
    <w:rsid w:val="00BB79F9"/>
    <w:rsid w:val="00BB7A24"/>
    <w:rsid w:val="00BC01AB"/>
    <w:rsid w:val="00BC031D"/>
    <w:rsid w:val="00BC18C7"/>
    <w:rsid w:val="00BC1B1C"/>
    <w:rsid w:val="00BC1B46"/>
    <w:rsid w:val="00BC2756"/>
    <w:rsid w:val="00BC2869"/>
    <w:rsid w:val="00BC2DDD"/>
    <w:rsid w:val="00BC3103"/>
    <w:rsid w:val="00BC348E"/>
    <w:rsid w:val="00BC3FE6"/>
    <w:rsid w:val="00BC411C"/>
    <w:rsid w:val="00BC4675"/>
    <w:rsid w:val="00BC4BCB"/>
    <w:rsid w:val="00BC4DDC"/>
    <w:rsid w:val="00BC5113"/>
    <w:rsid w:val="00BC5126"/>
    <w:rsid w:val="00BC51D1"/>
    <w:rsid w:val="00BC5269"/>
    <w:rsid w:val="00BC5420"/>
    <w:rsid w:val="00BC574F"/>
    <w:rsid w:val="00BC57C9"/>
    <w:rsid w:val="00BC5B18"/>
    <w:rsid w:val="00BC604F"/>
    <w:rsid w:val="00BC606E"/>
    <w:rsid w:val="00BC60CF"/>
    <w:rsid w:val="00BC63CB"/>
    <w:rsid w:val="00BC679B"/>
    <w:rsid w:val="00BC694C"/>
    <w:rsid w:val="00BC6A91"/>
    <w:rsid w:val="00BC74DD"/>
    <w:rsid w:val="00BC7888"/>
    <w:rsid w:val="00BC7989"/>
    <w:rsid w:val="00BC7D26"/>
    <w:rsid w:val="00BD058A"/>
    <w:rsid w:val="00BD0883"/>
    <w:rsid w:val="00BD10B8"/>
    <w:rsid w:val="00BD1869"/>
    <w:rsid w:val="00BD2521"/>
    <w:rsid w:val="00BD2845"/>
    <w:rsid w:val="00BD288C"/>
    <w:rsid w:val="00BD2A65"/>
    <w:rsid w:val="00BD2D91"/>
    <w:rsid w:val="00BD3173"/>
    <w:rsid w:val="00BD3828"/>
    <w:rsid w:val="00BD3E79"/>
    <w:rsid w:val="00BD4006"/>
    <w:rsid w:val="00BD48BF"/>
    <w:rsid w:val="00BD4CA4"/>
    <w:rsid w:val="00BD4CE5"/>
    <w:rsid w:val="00BD4F93"/>
    <w:rsid w:val="00BD5034"/>
    <w:rsid w:val="00BD5056"/>
    <w:rsid w:val="00BD51C6"/>
    <w:rsid w:val="00BD531E"/>
    <w:rsid w:val="00BD5650"/>
    <w:rsid w:val="00BD5B24"/>
    <w:rsid w:val="00BD5F72"/>
    <w:rsid w:val="00BD61B9"/>
    <w:rsid w:val="00BD6562"/>
    <w:rsid w:val="00BD696B"/>
    <w:rsid w:val="00BD6ACF"/>
    <w:rsid w:val="00BD7274"/>
    <w:rsid w:val="00BD7373"/>
    <w:rsid w:val="00BD748B"/>
    <w:rsid w:val="00BD7973"/>
    <w:rsid w:val="00BD7CCC"/>
    <w:rsid w:val="00BD7E6A"/>
    <w:rsid w:val="00BE06C1"/>
    <w:rsid w:val="00BE0910"/>
    <w:rsid w:val="00BE09CA"/>
    <w:rsid w:val="00BE1122"/>
    <w:rsid w:val="00BE137D"/>
    <w:rsid w:val="00BE1543"/>
    <w:rsid w:val="00BE18B4"/>
    <w:rsid w:val="00BE1C28"/>
    <w:rsid w:val="00BE22B3"/>
    <w:rsid w:val="00BE2739"/>
    <w:rsid w:val="00BE2B0D"/>
    <w:rsid w:val="00BE349A"/>
    <w:rsid w:val="00BE35F1"/>
    <w:rsid w:val="00BE3D05"/>
    <w:rsid w:val="00BE3E23"/>
    <w:rsid w:val="00BE432E"/>
    <w:rsid w:val="00BE4C38"/>
    <w:rsid w:val="00BE4DE1"/>
    <w:rsid w:val="00BE4E5D"/>
    <w:rsid w:val="00BE4FB8"/>
    <w:rsid w:val="00BE54F3"/>
    <w:rsid w:val="00BE5545"/>
    <w:rsid w:val="00BE581F"/>
    <w:rsid w:val="00BE5A3B"/>
    <w:rsid w:val="00BE6A1C"/>
    <w:rsid w:val="00BE6DAA"/>
    <w:rsid w:val="00BE74A1"/>
    <w:rsid w:val="00BE74B0"/>
    <w:rsid w:val="00BE775F"/>
    <w:rsid w:val="00BE7836"/>
    <w:rsid w:val="00BE7CA9"/>
    <w:rsid w:val="00BF0178"/>
    <w:rsid w:val="00BF021C"/>
    <w:rsid w:val="00BF07A8"/>
    <w:rsid w:val="00BF0F15"/>
    <w:rsid w:val="00BF1633"/>
    <w:rsid w:val="00BF1F8F"/>
    <w:rsid w:val="00BF1FCD"/>
    <w:rsid w:val="00BF291F"/>
    <w:rsid w:val="00BF3645"/>
    <w:rsid w:val="00BF37AE"/>
    <w:rsid w:val="00BF3AC3"/>
    <w:rsid w:val="00BF3CDC"/>
    <w:rsid w:val="00BF3EB4"/>
    <w:rsid w:val="00BF434E"/>
    <w:rsid w:val="00BF4C03"/>
    <w:rsid w:val="00BF4D81"/>
    <w:rsid w:val="00BF4FC1"/>
    <w:rsid w:val="00BF511C"/>
    <w:rsid w:val="00BF5AEF"/>
    <w:rsid w:val="00BF6253"/>
    <w:rsid w:val="00BF6314"/>
    <w:rsid w:val="00BF6671"/>
    <w:rsid w:val="00BF6C41"/>
    <w:rsid w:val="00BF7016"/>
    <w:rsid w:val="00BF76C3"/>
    <w:rsid w:val="00BF7CE3"/>
    <w:rsid w:val="00BF7E3C"/>
    <w:rsid w:val="00BF7F51"/>
    <w:rsid w:val="00C001E2"/>
    <w:rsid w:val="00C00CC6"/>
    <w:rsid w:val="00C012CB"/>
    <w:rsid w:val="00C01303"/>
    <w:rsid w:val="00C014C4"/>
    <w:rsid w:val="00C01636"/>
    <w:rsid w:val="00C01794"/>
    <w:rsid w:val="00C01C8B"/>
    <w:rsid w:val="00C01CF6"/>
    <w:rsid w:val="00C020F9"/>
    <w:rsid w:val="00C025B1"/>
    <w:rsid w:val="00C026CB"/>
    <w:rsid w:val="00C027D3"/>
    <w:rsid w:val="00C028E1"/>
    <w:rsid w:val="00C0293D"/>
    <w:rsid w:val="00C02A5C"/>
    <w:rsid w:val="00C033D5"/>
    <w:rsid w:val="00C039DB"/>
    <w:rsid w:val="00C03AB8"/>
    <w:rsid w:val="00C044CA"/>
    <w:rsid w:val="00C0454D"/>
    <w:rsid w:val="00C048EF"/>
    <w:rsid w:val="00C0554E"/>
    <w:rsid w:val="00C06103"/>
    <w:rsid w:val="00C0629E"/>
    <w:rsid w:val="00C0645C"/>
    <w:rsid w:val="00C066B7"/>
    <w:rsid w:val="00C06823"/>
    <w:rsid w:val="00C06ADC"/>
    <w:rsid w:val="00C06B95"/>
    <w:rsid w:val="00C06F18"/>
    <w:rsid w:val="00C06F49"/>
    <w:rsid w:val="00C073C6"/>
    <w:rsid w:val="00C07B8A"/>
    <w:rsid w:val="00C07E23"/>
    <w:rsid w:val="00C07EC1"/>
    <w:rsid w:val="00C07FB3"/>
    <w:rsid w:val="00C102DB"/>
    <w:rsid w:val="00C107BF"/>
    <w:rsid w:val="00C107DD"/>
    <w:rsid w:val="00C1089A"/>
    <w:rsid w:val="00C11C3E"/>
    <w:rsid w:val="00C1218F"/>
    <w:rsid w:val="00C12487"/>
    <w:rsid w:val="00C125D2"/>
    <w:rsid w:val="00C127C5"/>
    <w:rsid w:val="00C12C57"/>
    <w:rsid w:val="00C13068"/>
    <w:rsid w:val="00C1371B"/>
    <w:rsid w:val="00C13C26"/>
    <w:rsid w:val="00C13C85"/>
    <w:rsid w:val="00C14169"/>
    <w:rsid w:val="00C146D3"/>
    <w:rsid w:val="00C147B9"/>
    <w:rsid w:val="00C14931"/>
    <w:rsid w:val="00C14B20"/>
    <w:rsid w:val="00C158A0"/>
    <w:rsid w:val="00C15FD5"/>
    <w:rsid w:val="00C1632F"/>
    <w:rsid w:val="00C16640"/>
    <w:rsid w:val="00C16A6D"/>
    <w:rsid w:val="00C16D3A"/>
    <w:rsid w:val="00C16ECC"/>
    <w:rsid w:val="00C17476"/>
    <w:rsid w:val="00C1755A"/>
    <w:rsid w:val="00C17672"/>
    <w:rsid w:val="00C17990"/>
    <w:rsid w:val="00C17AA9"/>
    <w:rsid w:val="00C17B08"/>
    <w:rsid w:val="00C17D10"/>
    <w:rsid w:val="00C200A6"/>
    <w:rsid w:val="00C20608"/>
    <w:rsid w:val="00C2060D"/>
    <w:rsid w:val="00C20A57"/>
    <w:rsid w:val="00C20BBF"/>
    <w:rsid w:val="00C20FCA"/>
    <w:rsid w:val="00C210AF"/>
    <w:rsid w:val="00C2144F"/>
    <w:rsid w:val="00C21450"/>
    <w:rsid w:val="00C22166"/>
    <w:rsid w:val="00C221F3"/>
    <w:rsid w:val="00C2272C"/>
    <w:rsid w:val="00C22ABE"/>
    <w:rsid w:val="00C22CAE"/>
    <w:rsid w:val="00C22EC1"/>
    <w:rsid w:val="00C23258"/>
    <w:rsid w:val="00C2344E"/>
    <w:rsid w:val="00C23741"/>
    <w:rsid w:val="00C239FA"/>
    <w:rsid w:val="00C23BCA"/>
    <w:rsid w:val="00C23C9D"/>
    <w:rsid w:val="00C24431"/>
    <w:rsid w:val="00C24CF2"/>
    <w:rsid w:val="00C24E2D"/>
    <w:rsid w:val="00C2553D"/>
    <w:rsid w:val="00C25EE7"/>
    <w:rsid w:val="00C26536"/>
    <w:rsid w:val="00C267B9"/>
    <w:rsid w:val="00C27342"/>
    <w:rsid w:val="00C274C8"/>
    <w:rsid w:val="00C277DB"/>
    <w:rsid w:val="00C27944"/>
    <w:rsid w:val="00C27D6F"/>
    <w:rsid w:val="00C30297"/>
    <w:rsid w:val="00C3056E"/>
    <w:rsid w:val="00C30944"/>
    <w:rsid w:val="00C30CED"/>
    <w:rsid w:val="00C31425"/>
    <w:rsid w:val="00C3167C"/>
    <w:rsid w:val="00C31BF9"/>
    <w:rsid w:val="00C31D95"/>
    <w:rsid w:val="00C31FFD"/>
    <w:rsid w:val="00C3271A"/>
    <w:rsid w:val="00C3294A"/>
    <w:rsid w:val="00C32B2E"/>
    <w:rsid w:val="00C331CE"/>
    <w:rsid w:val="00C3342F"/>
    <w:rsid w:val="00C3359B"/>
    <w:rsid w:val="00C33715"/>
    <w:rsid w:val="00C33856"/>
    <w:rsid w:val="00C33F5F"/>
    <w:rsid w:val="00C33FF7"/>
    <w:rsid w:val="00C34292"/>
    <w:rsid w:val="00C34550"/>
    <w:rsid w:val="00C34A41"/>
    <w:rsid w:val="00C34EE3"/>
    <w:rsid w:val="00C3539F"/>
    <w:rsid w:val="00C3549A"/>
    <w:rsid w:val="00C3552C"/>
    <w:rsid w:val="00C3570A"/>
    <w:rsid w:val="00C35F91"/>
    <w:rsid w:val="00C3654F"/>
    <w:rsid w:val="00C366A5"/>
    <w:rsid w:val="00C372CB"/>
    <w:rsid w:val="00C37598"/>
    <w:rsid w:val="00C379B7"/>
    <w:rsid w:val="00C37B96"/>
    <w:rsid w:val="00C37C76"/>
    <w:rsid w:val="00C37E13"/>
    <w:rsid w:val="00C40A26"/>
    <w:rsid w:val="00C40E99"/>
    <w:rsid w:val="00C41517"/>
    <w:rsid w:val="00C423F4"/>
    <w:rsid w:val="00C424FC"/>
    <w:rsid w:val="00C425C2"/>
    <w:rsid w:val="00C427DF"/>
    <w:rsid w:val="00C428AC"/>
    <w:rsid w:val="00C42B00"/>
    <w:rsid w:val="00C42B97"/>
    <w:rsid w:val="00C42BDF"/>
    <w:rsid w:val="00C43399"/>
    <w:rsid w:val="00C442AA"/>
    <w:rsid w:val="00C44516"/>
    <w:rsid w:val="00C44535"/>
    <w:rsid w:val="00C44863"/>
    <w:rsid w:val="00C44B1A"/>
    <w:rsid w:val="00C456A6"/>
    <w:rsid w:val="00C45AA7"/>
    <w:rsid w:val="00C45D0F"/>
    <w:rsid w:val="00C45F6A"/>
    <w:rsid w:val="00C460C7"/>
    <w:rsid w:val="00C4644F"/>
    <w:rsid w:val="00C4671B"/>
    <w:rsid w:val="00C4683C"/>
    <w:rsid w:val="00C46ABA"/>
    <w:rsid w:val="00C46ED3"/>
    <w:rsid w:val="00C4750C"/>
    <w:rsid w:val="00C47731"/>
    <w:rsid w:val="00C47DE9"/>
    <w:rsid w:val="00C500B2"/>
    <w:rsid w:val="00C50214"/>
    <w:rsid w:val="00C50895"/>
    <w:rsid w:val="00C508BE"/>
    <w:rsid w:val="00C50C69"/>
    <w:rsid w:val="00C5106B"/>
    <w:rsid w:val="00C51580"/>
    <w:rsid w:val="00C51895"/>
    <w:rsid w:val="00C518BB"/>
    <w:rsid w:val="00C51C94"/>
    <w:rsid w:val="00C52254"/>
    <w:rsid w:val="00C52267"/>
    <w:rsid w:val="00C5238A"/>
    <w:rsid w:val="00C52484"/>
    <w:rsid w:val="00C525ED"/>
    <w:rsid w:val="00C52A95"/>
    <w:rsid w:val="00C52BE6"/>
    <w:rsid w:val="00C52D7D"/>
    <w:rsid w:val="00C532DF"/>
    <w:rsid w:val="00C53320"/>
    <w:rsid w:val="00C53B09"/>
    <w:rsid w:val="00C53DA0"/>
    <w:rsid w:val="00C53E48"/>
    <w:rsid w:val="00C546D4"/>
    <w:rsid w:val="00C54AA5"/>
    <w:rsid w:val="00C54C7C"/>
    <w:rsid w:val="00C54CFB"/>
    <w:rsid w:val="00C54E4E"/>
    <w:rsid w:val="00C551D8"/>
    <w:rsid w:val="00C5541F"/>
    <w:rsid w:val="00C55753"/>
    <w:rsid w:val="00C5598F"/>
    <w:rsid w:val="00C55D82"/>
    <w:rsid w:val="00C55EB7"/>
    <w:rsid w:val="00C5621A"/>
    <w:rsid w:val="00C564BF"/>
    <w:rsid w:val="00C56ECD"/>
    <w:rsid w:val="00C56FF6"/>
    <w:rsid w:val="00C571E9"/>
    <w:rsid w:val="00C5736B"/>
    <w:rsid w:val="00C5798E"/>
    <w:rsid w:val="00C57A03"/>
    <w:rsid w:val="00C57B79"/>
    <w:rsid w:val="00C603EC"/>
    <w:rsid w:val="00C60526"/>
    <w:rsid w:val="00C607DD"/>
    <w:rsid w:val="00C60D0C"/>
    <w:rsid w:val="00C60F30"/>
    <w:rsid w:val="00C61086"/>
    <w:rsid w:val="00C610E2"/>
    <w:rsid w:val="00C61687"/>
    <w:rsid w:val="00C6190A"/>
    <w:rsid w:val="00C61D3D"/>
    <w:rsid w:val="00C61F43"/>
    <w:rsid w:val="00C6221E"/>
    <w:rsid w:val="00C6270D"/>
    <w:rsid w:val="00C62D8F"/>
    <w:rsid w:val="00C63672"/>
    <w:rsid w:val="00C639D9"/>
    <w:rsid w:val="00C63AD4"/>
    <w:rsid w:val="00C63BFD"/>
    <w:rsid w:val="00C63C0B"/>
    <w:rsid w:val="00C63C39"/>
    <w:rsid w:val="00C63DE5"/>
    <w:rsid w:val="00C63E65"/>
    <w:rsid w:val="00C63E8B"/>
    <w:rsid w:val="00C647D7"/>
    <w:rsid w:val="00C64C71"/>
    <w:rsid w:val="00C654D6"/>
    <w:rsid w:val="00C65546"/>
    <w:rsid w:val="00C655DD"/>
    <w:rsid w:val="00C6571C"/>
    <w:rsid w:val="00C65871"/>
    <w:rsid w:val="00C65AB9"/>
    <w:rsid w:val="00C65B9B"/>
    <w:rsid w:val="00C65FC2"/>
    <w:rsid w:val="00C660FC"/>
    <w:rsid w:val="00C662E8"/>
    <w:rsid w:val="00C663AB"/>
    <w:rsid w:val="00C663ED"/>
    <w:rsid w:val="00C66510"/>
    <w:rsid w:val="00C668EC"/>
    <w:rsid w:val="00C66B59"/>
    <w:rsid w:val="00C66DB0"/>
    <w:rsid w:val="00C66E2C"/>
    <w:rsid w:val="00C66ECC"/>
    <w:rsid w:val="00C6737D"/>
    <w:rsid w:val="00C67A35"/>
    <w:rsid w:val="00C67B15"/>
    <w:rsid w:val="00C67F42"/>
    <w:rsid w:val="00C709B1"/>
    <w:rsid w:val="00C71C77"/>
    <w:rsid w:val="00C72018"/>
    <w:rsid w:val="00C720FC"/>
    <w:rsid w:val="00C727F5"/>
    <w:rsid w:val="00C72D8F"/>
    <w:rsid w:val="00C72EC2"/>
    <w:rsid w:val="00C73396"/>
    <w:rsid w:val="00C7377D"/>
    <w:rsid w:val="00C73C74"/>
    <w:rsid w:val="00C73DD3"/>
    <w:rsid w:val="00C73E8F"/>
    <w:rsid w:val="00C73F5B"/>
    <w:rsid w:val="00C74127"/>
    <w:rsid w:val="00C748C7"/>
    <w:rsid w:val="00C7508D"/>
    <w:rsid w:val="00C750A6"/>
    <w:rsid w:val="00C7584F"/>
    <w:rsid w:val="00C75A36"/>
    <w:rsid w:val="00C766A2"/>
    <w:rsid w:val="00C7675A"/>
    <w:rsid w:val="00C76C03"/>
    <w:rsid w:val="00C76D96"/>
    <w:rsid w:val="00C77351"/>
    <w:rsid w:val="00C774D9"/>
    <w:rsid w:val="00C77576"/>
    <w:rsid w:val="00C775FF"/>
    <w:rsid w:val="00C77841"/>
    <w:rsid w:val="00C77BF6"/>
    <w:rsid w:val="00C80350"/>
    <w:rsid w:val="00C8044E"/>
    <w:rsid w:val="00C804EA"/>
    <w:rsid w:val="00C8066D"/>
    <w:rsid w:val="00C80796"/>
    <w:rsid w:val="00C80BE7"/>
    <w:rsid w:val="00C80ED2"/>
    <w:rsid w:val="00C81230"/>
    <w:rsid w:val="00C812B9"/>
    <w:rsid w:val="00C812E3"/>
    <w:rsid w:val="00C81395"/>
    <w:rsid w:val="00C81D65"/>
    <w:rsid w:val="00C82AC3"/>
    <w:rsid w:val="00C82C0E"/>
    <w:rsid w:val="00C82DC4"/>
    <w:rsid w:val="00C82F3B"/>
    <w:rsid w:val="00C8316C"/>
    <w:rsid w:val="00C83539"/>
    <w:rsid w:val="00C83A90"/>
    <w:rsid w:val="00C83CDC"/>
    <w:rsid w:val="00C83DC1"/>
    <w:rsid w:val="00C83ED3"/>
    <w:rsid w:val="00C84140"/>
    <w:rsid w:val="00C8432A"/>
    <w:rsid w:val="00C8444B"/>
    <w:rsid w:val="00C846A6"/>
    <w:rsid w:val="00C84A5C"/>
    <w:rsid w:val="00C84AD4"/>
    <w:rsid w:val="00C84BC6"/>
    <w:rsid w:val="00C85314"/>
    <w:rsid w:val="00C855D6"/>
    <w:rsid w:val="00C85785"/>
    <w:rsid w:val="00C85B18"/>
    <w:rsid w:val="00C85F63"/>
    <w:rsid w:val="00C8694B"/>
    <w:rsid w:val="00C8699D"/>
    <w:rsid w:val="00C86A50"/>
    <w:rsid w:val="00C87413"/>
    <w:rsid w:val="00C87A40"/>
    <w:rsid w:val="00C87B15"/>
    <w:rsid w:val="00C87E66"/>
    <w:rsid w:val="00C90261"/>
    <w:rsid w:val="00C90657"/>
    <w:rsid w:val="00C9066B"/>
    <w:rsid w:val="00C9079A"/>
    <w:rsid w:val="00C9095B"/>
    <w:rsid w:val="00C90A03"/>
    <w:rsid w:val="00C90E29"/>
    <w:rsid w:val="00C910C6"/>
    <w:rsid w:val="00C91245"/>
    <w:rsid w:val="00C9137E"/>
    <w:rsid w:val="00C91709"/>
    <w:rsid w:val="00C91DF3"/>
    <w:rsid w:val="00C92427"/>
    <w:rsid w:val="00C92687"/>
    <w:rsid w:val="00C926BF"/>
    <w:rsid w:val="00C930C0"/>
    <w:rsid w:val="00C9348C"/>
    <w:rsid w:val="00C93A96"/>
    <w:rsid w:val="00C93E09"/>
    <w:rsid w:val="00C944A6"/>
    <w:rsid w:val="00C949A0"/>
    <w:rsid w:val="00C949AE"/>
    <w:rsid w:val="00C94DE3"/>
    <w:rsid w:val="00C952C4"/>
    <w:rsid w:val="00C955CA"/>
    <w:rsid w:val="00C95E2E"/>
    <w:rsid w:val="00C95E4E"/>
    <w:rsid w:val="00C96369"/>
    <w:rsid w:val="00C963A6"/>
    <w:rsid w:val="00C968B3"/>
    <w:rsid w:val="00C969DF"/>
    <w:rsid w:val="00C96E08"/>
    <w:rsid w:val="00C97A88"/>
    <w:rsid w:val="00C97DE6"/>
    <w:rsid w:val="00C97E76"/>
    <w:rsid w:val="00CA0164"/>
    <w:rsid w:val="00CA03C7"/>
    <w:rsid w:val="00CA08B6"/>
    <w:rsid w:val="00CA0B7A"/>
    <w:rsid w:val="00CA0FEA"/>
    <w:rsid w:val="00CA1662"/>
    <w:rsid w:val="00CA19A5"/>
    <w:rsid w:val="00CA1E94"/>
    <w:rsid w:val="00CA1F8F"/>
    <w:rsid w:val="00CA22E7"/>
    <w:rsid w:val="00CA2808"/>
    <w:rsid w:val="00CA2B21"/>
    <w:rsid w:val="00CA2D34"/>
    <w:rsid w:val="00CA2DB3"/>
    <w:rsid w:val="00CA3090"/>
    <w:rsid w:val="00CA350D"/>
    <w:rsid w:val="00CA46D6"/>
    <w:rsid w:val="00CA482D"/>
    <w:rsid w:val="00CA4BC0"/>
    <w:rsid w:val="00CA4C52"/>
    <w:rsid w:val="00CA4CD5"/>
    <w:rsid w:val="00CA4E5F"/>
    <w:rsid w:val="00CA50CF"/>
    <w:rsid w:val="00CA5287"/>
    <w:rsid w:val="00CA540B"/>
    <w:rsid w:val="00CA54B8"/>
    <w:rsid w:val="00CA562F"/>
    <w:rsid w:val="00CA57D8"/>
    <w:rsid w:val="00CA5B61"/>
    <w:rsid w:val="00CA6889"/>
    <w:rsid w:val="00CA6AFA"/>
    <w:rsid w:val="00CA6B0E"/>
    <w:rsid w:val="00CA6BED"/>
    <w:rsid w:val="00CA6BFD"/>
    <w:rsid w:val="00CA7426"/>
    <w:rsid w:val="00CA7A9F"/>
    <w:rsid w:val="00CA7B02"/>
    <w:rsid w:val="00CA7E38"/>
    <w:rsid w:val="00CB05B5"/>
    <w:rsid w:val="00CB0647"/>
    <w:rsid w:val="00CB07DD"/>
    <w:rsid w:val="00CB0958"/>
    <w:rsid w:val="00CB0965"/>
    <w:rsid w:val="00CB0C65"/>
    <w:rsid w:val="00CB0D4E"/>
    <w:rsid w:val="00CB0DAE"/>
    <w:rsid w:val="00CB1035"/>
    <w:rsid w:val="00CB190F"/>
    <w:rsid w:val="00CB228B"/>
    <w:rsid w:val="00CB27B5"/>
    <w:rsid w:val="00CB2A83"/>
    <w:rsid w:val="00CB301C"/>
    <w:rsid w:val="00CB30E0"/>
    <w:rsid w:val="00CB3305"/>
    <w:rsid w:val="00CB3567"/>
    <w:rsid w:val="00CB3C9E"/>
    <w:rsid w:val="00CB42BE"/>
    <w:rsid w:val="00CB4450"/>
    <w:rsid w:val="00CB4476"/>
    <w:rsid w:val="00CB4722"/>
    <w:rsid w:val="00CB4AB9"/>
    <w:rsid w:val="00CB4AFB"/>
    <w:rsid w:val="00CB4DDD"/>
    <w:rsid w:val="00CB4E02"/>
    <w:rsid w:val="00CB4E91"/>
    <w:rsid w:val="00CB5158"/>
    <w:rsid w:val="00CB5212"/>
    <w:rsid w:val="00CB5946"/>
    <w:rsid w:val="00CB5980"/>
    <w:rsid w:val="00CB5B7C"/>
    <w:rsid w:val="00CB5BCF"/>
    <w:rsid w:val="00CB5BE7"/>
    <w:rsid w:val="00CB629D"/>
    <w:rsid w:val="00CB63E3"/>
    <w:rsid w:val="00CB6C41"/>
    <w:rsid w:val="00CB6F78"/>
    <w:rsid w:val="00CB70D8"/>
    <w:rsid w:val="00CB77A5"/>
    <w:rsid w:val="00CC0173"/>
    <w:rsid w:val="00CC04AE"/>
    <w:rsid w:val="00CC067F"/>
    <w:rsid w:val="00CC0BFA"/>
    <w:rsid w:val="00CC0D92"/>
    <w:rsid w:val="00CC0E40"/>
    <w:rsid w:val="00CC12DA"/>
    <w:rsid w:val="00CC130A"/>
    <w:rsid w:val="00CC1462"/>
    <w:rsid w:val="00CC1569"/>
    <w:rsid w:val="00CC1594"/>
    <w:rsid w:val="00CC17C5"/>
    <w:rsid w:val="00CC184B"/>
    <w:rsid w:val="00CC1E16"/>
    <w:rsid w:val="00CC1EE6"/>
    <w:rsid w:val="00CC2005"/>
    <w:rsid w:val="00CC2076"/>
    <w:rsid w:val="00CC329D"/>
    <w:rsid w:val="00CC366C"/>
    <w:rsid w:val="00CC3B06"/>
    <w:rsid w:val="00CC3B77"/>
    <w:rsid w:val="00CC3E50"/>
    <w:rsid w:val="00CC4027"/>
    <w:rsid w:val="00CC418A"/>
    <w:rsid w:val="00CC4B9B"/>
    <w:rsid w:val="00CC4FA5"/>
    <w:rsid w:val="00CC50AA"/>
    <w:rsid w:val="00CC559D"/>
    <w:rsid w:val="00CC56D7"/>
    <w:rsid w:val="00CC587B"/>
    <w:rsid w:val="00CC5A65"/>
    <w:rsid w:val="00CC5A92"/>
    <w:rsid w:val="00CC5E62"/>
    <w:rsid w:val="00CC6340"/>
    <w:rsid w:val="00CC63B8"/>
    <w:rsid w:val="00CC6525"/>
    <w:rsid w:val="00CC67A5"/>
    <w:rsid w:val="00CC6E87"/>
    <w:rsid w:val="00CC7052"/>
    <w:rsid w:val="00CC70B9"/>
    <w:rsid w:val="00CC7175"/>
    <w:rsid w:val="00CC74A5"/>
    <w:rsid w:val="00CC7CB1"/>
    <w:rsid w:val="00CD018E"/>
    <w:rsid w:val="00CD028A"/>
    <w:rsid w:val="00CD03BE"/>
    <w:rsid w:val="00CD0569"/>
    <w:rsid w:val="00CD05FB"/>
    <w:rsid w:val="00CD065D"/>
    <w:rsid w:val="00CD0709"/>
    <w:rsid w:val="00CD08E7"/>
    <w:rsid w:val="00CD09EC"/>
    <w:rsid w:val="00CD0C88"/>
    <w:rsid w:val="00CD10D6"/>
    <w:rsid w:val="00CD113C"/>
    <w:rsid w:val="00CD1392"/>
    <w:rsid w:val="00CD1628"/>
    <w:rsid w:val="00CD168A"/>
    <w:rsid w:val="00CD1C4C"/>
    <w:rsid w:val="00CD2908"/>
    <w:rsid w:val="00CD2A4F"/>
    <w:rsid w:val="00CD2C0E"/>
    <w:rsid w:val="00CD31EC"/>
    <w:rsid w:val="00CD329D"/>
    <w:rsid w:val="00CD32F4"/>
    <w:rsid w:val="00CD3478"/>
    <w:rsid w:val="00CD3845"/>
    <w:rsid w:val="00CD3BEF"/>
    <w:rsid w:val="00CD3ED8"/>
    <w:rsid w:val="00CD3F02"/>
    <w:rsid w:val="00CD3F47"/>
    <w:rsid w:val="00CD4912"/>
    <w:rsid w:val="00CD4BBC"/>
    <w:rsid w:val="00CD4E2D"/>
    <w:rsid w:val="00CD4F36"/>
    <w:rsid w:val="00CD5718"/>
    <w:rsid w:val="00CD586B"/>
    <w:rsid w:val="00CD5E93"/>
    <w:rsid w:val="00CD5EC1"/>
    <w:rsid w:val="00CD6045"/>
    <w:rsid w:val="00CD654B"/>
    <w:rsid w:val="00CD65EF"/>
    <w:rsid w:val="00CD689A"/>
    <w:rsid w:val="00CD6BD4"/>
    <w:rsid w:val="00CD6BDE"/>
    <w:rsid w:val="00CD6D8E"/>
    <w:rsid w:val="00CE03E8"/>
    <w:rsid w:val="00CE089F"/>
    <w:rsid w:val="00CE096B"/>
    <w:rsid w:val="00CE0970"/>
    <w:rsid w:val="00CE0A4E"/>
    <w:rsid w:val="00CE0AE5"/>
    <w:rsid w:val="00CE0B2A"/>
    <w:rsid w:val="00CE11BA"/>
    <w:rsid w:val="00CE1862"/>
    <w:rsid w:val="00CE18DF"/>
    <w:rsid w:val="00CE19A3"/>
    <w:rsid w:val="00CE1AA5"/>
    <w:rsid w:val="00CE1B13"/>
    <w:rsid w:val="00CE1D52"/>
    <w:rsid w:val="00CE1EB9"/>
    <w:rsid w:val="00CE223E"/>
    <w:rsid w:val="00CE2493"/>
    <w:rsid w:val="00CE297F"/>
    <w:rsid w:val="00CE2D50"/>
    <w:rsid w:val="00CE2DC4"/>
    <w:rsid w:val="00CE31DF"/>
    <w:rsid w:val="00CE36FE"/>
    <w:rsid w:val="00CE3E1B"/>
    <w:rsid w:val="00CE4168"/>
    <w:rsid w:val="00CE445D"/>
    <w:rsid w:val="00CE44E4"/>
    <w:rsid w:val="00CE4566"/>
    <w:rsid w:val="00CE490E"/>
    <w:rsid w:val="00CE4BC6"/>
    <w:rsid w:val="00CE4DC3"/>
    <w:rsid w:val="00CE5624"/>
    <w:rsid w:val="00CE5B0C"/>
    <w:rsid w:val="00CE5BC9"/>
    <w:rsid w:val="00CE6104"/>
    <w:rsid w:val="00CE6283"/>
    <w:rsid w:val="00CE6644"/>
    <w:rsid w:val="00CE6A05"/>
    <w:rsid w:val="00CE6DA3"/>
    <w:rsid w:val="00CE7089"/>
    <w:rsid w:val="00CE72BE"/>
    <w:rsid w:val="00CE7304"/>
    <w:rsid w:val="00CE7309"/>
    <w:rsid w:val="00CE7582"/>
    <w:rsid w:val="00CE764D"/>
    <w:rsid w:val="00CE79B5"/>
    <w:rsid w:val="00CF0167"/>
    <w:rsid w:val="00CF0887"/>
    <w:rsid w:val="00CF0922"/>
    <w:rsid w:val="00CF103C"/>
    <w:rsid w:val="00CF16C4"/>
    <w:rsid w:val="00CF18DC"/>
    <w:rsid w:val="00CF1B57"/>
    <w:rsid w:val="00CF1D1A"/>
    <w:rsid w:val="00CF21B4"/>
    <w:rsid w:val="00CF2217"/>
    <w:rsid w:val="00CF24E8"/>
    <w:rsid w:val="00CF3095"/>
    <w:rsid w:val="00CF3376"/>
    <w:rsid w:val="00CF38EB"/>
    <w:rsid w:val="00CF3B9A"/>
    <w:rsid w:val="00CF3C4C"/>
    <w:rsid w:val="00CF3EA3"/>
    <w:rsid w:val="00CF4186"/>
    <w:rsid w:val="00CF4844"/>
    <w:rsid w:val="00CF4BB1"/>
    <w:rsid w:val="00CF502E"/>
    <w:rsid w:val="00CF54A7"/>
    <w:rsid w:val="00CF5904"/>
    <w:rsid w:val="00CF59B2"/>
    <w:rsid w:val="00CF5D2B"/>
    <w:rsid w:val="00CF6143"/>
    <w:rsid w:val="00CF61B7"/>
    <w:rsid w:val="00CF6212"/>
    <w:rsid w:val="00CF6537"/>
    <w:rsid w:val="00CF654B"/>
    <w:rsid w:val="00CF67AC"/>
    <w:rsid w:val="00CF67E8"/>
    <w:rsid w:val="00CF6C85"/>
    <w:rsid w:val="00CF7817"/>
    <w:rsid w:val="00D008E7"/>
    <w:rsid w:val="00D00988"/>
    <w:rsid w:val="00D00A07"/>
    <w:rsid w:val="00D00A63"/>
    <w:rsid w:val="00D0145E"/>
    <w:rsid w:val="00D014A8"/>
    <w:rsid w:val="00D01916"/>
    <w:rsid w:val="00D01A33"/>
    <w:rsid w:val="00D01E2E"/>
    <w:rsid w:val="00D0205D"/>
    <w:rsid w:val="00D0236D"/>
    <w:rsid w:val="00D024BC"/>
    <w:rsid w:val="00D0273B"/>
    <w:rsid w:val="00D0299C"/>
    <w:rsid w:val="00D02ADF"/>
    <w:rsid w:val="00D02B48"/>
    <w:rsid w:val="00D02BCD"/>
    <w:rsid w:val="00D02C43"/>
    <w:rsid w:val="00D02E14"/>
    <w:rsid w:val="00D02EF3"/>
    <w:rsid w:val="00D0306A"/>
    <w:rsid w:val="00D0354F"/>
    <w:rsid w:val="00D03762"/>
    <w:rsid w:val="00D03975"/>
    <w:rsid w:val="00D03BB8"/>
    <w:rsid w:val="00D03D53"/>
    <w:rsid w:val="00D03DB5"/>
    <w:rsid w:val="00D040CC"/>
    <w:rsid w:val="00D04668"/>
    <w:rsid w:val="00D04780"/>
    <w:rsid w:val="00D047AD"/>
    <w:rsid w:val="00D05FBC"/>
    <w:rsid w:val="00D06D40"/>
    <w:rsid w:val="00D07123"/>
    <w:rsid w:val="00D07153"/>
    <w:rsid w:val="00D07716"/>
    <w:rsid w:val="00D07B39"/>
    <w:rsid w:val="00D10691"/>
    <w:rsid w:val="00D107AF"/>
    <w:rsid w:val="00D10DF6"/>
    <w:rsid w:val="00D1142B"/>
    <w:rsid w:val="00D115A2"/>
    <w:rsid w:val="00D11786"/>
    <w:rsid w:val="00D118BE"/>
    <w:rsid w:val="00D119CE"/>
    <w:rsid w:val="00D121BD"/>
    <w:rsid w:val="00D12817"/>
    <w:rsid w:val="00D12920"/>
    <w:rsid w:val="00D136BD"/>
    <w:rsid w:val="00D13D71"/>
    <w:rsid w:val="00D145F5"/>
    <w:rsid w:val="00D1464C"/>
    <w:rsid w:val="00D14672"/>
    <w:rsid w:val="00D148F8"/>
    <w:rsid w:val="00D14C76"/>
    <w:rsid w:val="00D14E0F"/>
    <w:rsid w:val="00D1522A"/>
    <w:rsid w:val="00D1577F"/>
    <w:rsid w:val="00D15AC1"/>
    <w:rsid w:val="00D15D36"/>
    <w:rsid w:val="00D1616C"/>
    <w:rsid w:val="00D16C5B"/>
    <w:rsid w:val="00D16CCA"/>
    <w:rsid w:val="00D16D9C"/>
    <w:rsid w:val="00D170F3"/>
    <w:rsid w:val="00D175AD"/>
    <w:rsid w:val="00D17834"/>
    <w:rsid w:val="00D178A0"/>
    <w:rsid w:val="00D17B82"/>
    <w:rsid w:val="00D17BB1"/>
    <w:rsid w:val="00D17CD2"/>
    <w:rsid w:val="00D17D3C"/>
    <w:rsid w:val="00D17DFB"/>
    <w:rsid w:val="00D20439"/>
    <w:rsid w:val="00D208A8"/>
    <w:rsid w:val="00D21389"/>
    <w:rsid w:val="00D21620"/>
    <w:rsid w:val="00D21BD0"/>
    <w:rsid w:val="00D22C2E"/>
    <w:rsid w:val="00D232B4"/>
    <w:rsid w:val="00D2332F"/>
    <w:rsid w:val="00D23F57"/>
    <w:rsid w:val="00D24369"/>
    <w:rsid w:val="00D2471A"/>
    <w:rsid w:val="00D255DE"/>
    <w:rsid w:val="00D25E1B"/>
    <w:rsid w:val="00D25F9F"/>
    <w:rsid w:val="00D2602F"/>
    <w:rsid w:val="00D262CD"/>
    <w:rsid w:val="00D2676C"/>
    <w:rsid w:val="00D26887"/>
    <w:rsid w:val="00D26A79"/>
    <w:rsid w:val="00D26DD6"/>
    <w:rsid w:val="00D26FB1"/>
    <w:rsid w:val="00D27497"/>
    <w:rsid w:val="00D27694"/>
    <w:rsid w:val="00D276C2"/>
    <w:rsid w:val="00D30436"/>
    <w:rsid w:val="00D305D7"/>
    <w:rsid w:val="00D30660"/>
    <w:rsid w:val="00D307BC"/>
    <w:rsid w:val="00D30856"/>
    <w:rsid w:val="00D30E02"/>
    <w:rsid w:val="00D30E0E"/>
    <w:rsid w:val="00D31077"/>
    <w:rsid w:val="00D31093"/>
    <w:rsid w:val="00D3161E"/>
    <w:rsid w:val="00D3165B"/>
    <w:rsid w:val="00D3210C"/>
    <w:rsid w:val="00D3343E"/>
    <w:rsid w:val="00D33485"/>
    <w:rsid w:val="00D33CC8"/>
    <w:rsid w:val="00D33F20"/>
    <w:rsid w:val="00D33F94"/>
    <w:rsid w:val="00D3490C"/>
    <w:rsid w:val="00D349D1"/>
    <w:rsid w:val="00D349ED"/>
    <w:rsid w:val="00D34ABE"/>
    <w:rsid w:val="00D34B1B"/>
    <w:rsid w:val="00D34BDA"/>
    <w:rsid w:val="00D34CCB"/>
    <w:rsid w:val="00D34CD1"/>
    <w:rsid w:val="00D3532B"/>
    <w:rsid w:val="00D355F0"/>
    <w:rsid w:val="00D3595A"/>
    <w:rsid w:val="00D35C60"/>
    <w:rsid w:val="00D35DF9"/>
    <w:rsid w:val="00D35F7C"/>
    <w:rsid w:val="00D36010"/>
    <w:rsid w:val="00D36278"/>
    <w:rsid w:val="00D36306"/>
    <w:rsid w:val="00D36404"/>
    <w:rsid w:val="00D36E58"/>
    <w:rsid w:val="00D36F37"/>
    <w:rsid w:val="00D3733E"/>
    <w:rsid w:val="00D37375"/>
    <w:rsid w:val="00D376CF"/>
    <w:rsid w:val="00D37943"/>
    <w:rsid w:val="00D37C51"/>
    <w:rsid w:val="00D37F2B"/>
    <w:rsid w:val="00D4056A"/>
    <w:rsid w:val="00D406D1"/>
    <w:rsid w:val="00D40B93"/>
    <w:rsid w:val="00D40BC7"/>
    <w:rsid w:val="00D420CC"/>
    <w:rsid w:val="00D42899"/>
    <w:rsid w:val="00D42B09"/>
    <w:rsid w:val="00D42E19"/>
    <w:rsid w:val="00D432C0"/>
    <w:rsid w:val="00D43919"/>
    <w:rsid w:val="00D439CC"/>
    <w:rsid w:val="00D44025"/>
    <w:rsid w:val="00D444CF"/>
    <w:rsid w:val="00D44764"/>
    <w:rsid w:val="00D44953"/>
    <w:rsid w:val="00D44B64"/>
    <w:rsid w:val="00D4548B"/>
    <w:rsid w:val="00D454BC"/>
    <w:rsid w:val="00D45836"/>
    <w:rsid w:val="00D4590D"/>
    <w:rsid w:val="00D45AF8"/>
    <w:rsid w:val="00D45D47"/>
    <w:rsid w:val="00D45DA3"/>
    <w:rsid w:val="00D46813"/>
    <w:rsid w:val="00D468CA"/>
    <w:rsid w:val="00D46B76"/>
    <w:rsid w:val="00D471E5"/>
    <w:rsid w:val="00D47469"/>
    <w:rsid w:val="00D4756A"/>
    <w:rsid w:val="00D476AE"/>
    <w:rsid w:val="00D47784"/>
    <w:rsid w:val="00D477A7"/>
    <w:rsid w:val="00D47F89"/>
    <w:rsid w:val="00D50262"/>
    <w:rsid w:val="00D5059A"/>
    <w:rsid w:val="00D50993"/>
    <w:rsid w:val="00D509E5"/>
    <w:rsid w:val="00D5114A"/>
    <w:rsid w:val="00D511F0"/>
    <w:rsid w:val="00D51556"/>
    <w:rsid w:val="00D518BF"/>
    <w:rsid w:val="00D51C05"/>
    <w:rsid w:val="00D51C62"/>
    <w:rsid w:val="00D51D97"/>
    <w:rsid w:val="00D51F2E"/>
    <w:rsid w:val="00D520B2"/>
    <w:rsid w:val="00D52196"/>
    <w:rsid w:val="00D521DC"/>
    <w:rsid w:val="00D52A94"/>
    <w:rsid w:val="00D53094"/>
    <w:rsid w:val="00D539D0"/>
    <w:rsid w:val="00D53B67"/>
    <w:rsid w:val="00D54609"/>
    <w:rsid w:val="00D5469E"/>
    <w:rsid w:val="00D549D6"/>
    <w:rsid w:val="00D54FA0"/>
    <w:rsid w:val="00D55032"/>
    <w:rsid w:val="00D559A2"/>
    <w:rsid w:val="00D55C94"/>
    <w:rsid w:val="00D55D22"/>
    <w:rsid w:val="00D562D4"/>
    <w:rsid w:val="00D5631C"/>
    <w:rsid w:val="00D56E1B"/>
    <w:rsid w:val="00D5707E"/>
    <w:rsid w:val="00D5747D"/>
    <w:rsid w:val="00D57549"/>
    <w:rsid w:val="00D575F1"/>
    <w:rsid w:val="00D57CB0"/>
    <w:rsid w:val="00D57CCE"/>
    <w:rsid w:val="00D57DED"/>
    <w:rsid w:val="00D60249"/>
    <w:rsid w:val="00D606AE"/>
    <w:rsid w:val="00D6097F"/>
    <w:rsid w:val="00D60A04"/>
    <w:rsid w:val="00D60AEE"/>
    <w:rsid w:val="00D6130C"/>
    <w:rsid w:val="00D6179C"/>
    <w:rsid w:val="00D61B31"/>
    <w:rsid w:val="00D61EA8"/>
    <w:rsid w:val="00D622AC"/>
    <w:rsid w:val="00D625A4"/>
    <w:rsid w:val="00D628E2"/>
    <w:rsid w:val="00D62B9C"/>
    <w:rsid w:val="00D62CFB"/>
    <w:rsid w:val="00D635FE"/>
    <w:rsid w:val="00D63854"/>
    <w:rsid w:val="00D63CD6"/>
    <w:rsid w:val="00D63D04"/>
    <w:rsid w:val="00D64230"/>
    <w:rsid w:val="00D645D8"/>
    <w:rsid w:val="00D64655"/>
    <w:rsid w:val="00D65139"/>
    <w:rsid w:val="00D65475"/>
    <w:rsid w:val="00D655E8"/>
    <w:rsid w:val="00D65D9E"/>
    <w:rsid w:val="00D66073"/>
    <w:rsid w:val="00D66A10"/>
    <w:rsid w:val="00D66E40"/>
    <w:rsid w:val="00D66E6D"/>
    <w:rsid w:val="00D675BF"/>
    <w:rsid w:val="00D67768"/>
    <w:rsid w:val="00D6798A"/>
    <w:rsid w:val="00D67A1E"/>
    <w:rsid w:val="00D67DD0"/>
    <w:rsid w:val="00D67E75"/>
    <w:rsid w:val="00D7034C"/>
    <w:rsid w:val="00D70512"/>
    <w:rsid w:val="00D705A7"/>
    <w:rsid w:val="00D7081E"/>
    <w:rsid w:val="00D70A3F"/>
    <w:rsid w:val="00D71591"/>
    <w:rsid w:val="00D715F0"/>
    <w:rsid w:val="00D71782"/>
    <w:rsid w:val="00D71845"/>
    <w:rsid w:val="00D71FCE"/>
    <w:rsid w:val="00D7201E"/>
    <w:rsid w:val="00D7208B"/>
    <w:rsid w:val="00D720C7"/>
    <w:rsid w:val="00D72390"/>
    <w:rsid w:val="00D726CD"/>
    <w:rsid w:val="00D730EC"/>
    <w:rsid w:val="00D73261"/>
    <w:rsid w:val="00D73339"/>
    <w:rsid w:val="00D738E1"/>
    <w:rsid w:val="00D73E06"/>
    <w:rsid w:val="00D73FE0"/>
    <w:rsid w:val="00D7409A"/>
    <w:rsid w:val="00D750FC"/>
    <w:rsid w:val="00D7520A"/>
    <w:rsid w:val="00D75778"/>
    <w:rsid w:val="00D759ED"/>
    <w:rsid w:val="00D75AA4"/>
    <w:rsid w:val="00D7645C"/>
    <w:rsid w:val="00D76A80"/>
    <w:rsid w:val="00D76F0F"/>
    <w:rsid w:val="00D76F1C"/>
    <w:rsid w:val="00D76FD3"/>
    <w:rsid w:val="00D7721E"/>
    <w:rsid w:val="00D7744F"/>
    <w:rsid w:val="00D77817"/>
    <w:rsid w:val="00D77BC3"/>
    <w:rsid w:val="00D8091F"/>
    <w:rsid w:val="00D809B1"/>
    <w:rsid w:val="00D80A10"/>
    <w:rsid w:val="00D80ABA"/>
    <w:rsid w:val="00D80C30"/>
    <w:rsid w:val="00D80EF4"/>
    <w:rsid w:val="00D8105E"/>
    <w:rsid w:val="00D81135"/>
    <w:rsid w:val="00D8123D"/>
    <w:rsid w:val="00D812E9"/>
    <w:rsid w:val="00D81617"/>
    <w:rsid w:val="00D819B4"/>
    <w:rsid w:val="00D81BF9"/>
    <w:rsid w:val="00D826ED"/>
    <w:rsid w:val="00D8286A"/>
    <w:rsid w:val="00D82919"/>
    <w:rsid w:val="00D82DB0"/>
    <w:rsid w:val="00D82F71"/>
    <w:rsid w:val="00D8357F"/>
    <w:rsid w:val="00D83B43"/>
    <w:rsid w:val="00D83BD9"/>
    <w:rsid w:val="00D84139"/>
    <w:rsid w:val="00D84293"/>
    <w:rsid w:val="00D84420"/>
    <w:rsid w:val="00D84773"/>
    <w:rsid w:val="00D8486B"/>
    <w:rsid w:val="00D848F3"/>
    <w:rsid w:val="00D8490D"/>
    <w:rsid w:val="00D84E85"/>
    <w:rsid w:val="00D84F62"/>
    <w:rsid w:val="00D853CA"/>
    <w:rsid w:val="00D858CD"/>
    <w:rsid w:val="00D85A4B"/>
    <w:rsid w:val="00D85ED6"/>
    <w:rsid w:val="00D85F0E"/>
    <w:rsid w:val="00D86501"/>
    <w:rsid w:val="00D86DB5"/>
    <w:rsid w:val="00D86EB5"/>
    <w:rsid w:val="00D878AA"/>
    <w:rsid w:val="00D90083"/>
    <w:rsid w:val="00D90542"/>
    <w:rsid w:val="00D907A5"/>
    <w:rsid w:val="00D90DDD"/>
    <w:rsid w:val="00D91270"/>
    <w:rsid w:val="00D91502"/>
    <w:rsid w:val="00D91544"/>
    <w:rsid w:val="00D918B1"/>
    <w:rsid w:val="00D9199C"/>
    <w:rsid w:val="00D91FE9"/>
    <w:rsid w:val="00D92300"/>
    <w:rsid w:val="00D9286C"/>
    <w:rsid w:val="00D92A79"/>
    <w:rsid w:val="00D930FC"/>
    <w:rsid w:val="00D932F3"/>
    <w:rsid w:val="00D93393"/>
    <w:rsid w:val="00D93395"/>
    <w:rsid w:val="00D93A0E"/>
    <w:rsid w:val="00D941D6"/>
    <w:rsid w:val="00D94A17"/>
    <w:rsid w:val="00D94D19"/>
    <w:rsid w:val="00D9501A"/>
    <w:rsid w:val="00D953DC"/>
    <w:rsid w:val="00D95933"/>
    <w:rsid w:val="00D95FB9"/>
    <w:rsid w:val="00D962B5"/>
    <w:rsid w:val="00D96588"/>
    <w:rsid w:val="00D965DE"/>
    <w:rsid w:val="00D967B6"/>
    <w:rsid w:val="00D96E31"/>
    <w:rsid w:val="00D96EF8"/>
    <w:rsid w:val="00D971BB"/>
    <w:rsid w:val="00D97AB9"/>
    <w:rsid w:val="00D97F69"/>
    <w:rsid w:val="00DA02B7"/>
    <w:rsid w:val="00DA03DA"/>
    <w:rsid w:val="00DA055E"/>
    <w:rsid w:val="00DA0580"/>
    <w:rsid w:val="00DA0682"/>
    <w:rsid w:val="00DA06A2"/>
    <w:rsid w:val="00DA0791"/>
    <w:rsid w:val="00DA0C43"/>
    <w:rsid w:val="00DA0E0A"/>
    <w:rsid w:val="00DA1034"/>
    <w:rsid w:val="00DA1E89"/>
    <w:rsid w:val="00DA2341"/>
    <w:rsid w:val="00DA25A7"/>
    <w:rsid w:val="00DA27D9"/>
    <w:rsid w:val="00DA2A8D"/>
    <w:rsid w:val="00DA2FD6"/>
    <w:rsid w:val="00DA3185"/>
    <w:rsid w:val="00DA3918"/>
    <w:rsid w:val="00DA3B3C"/>
    <w:rsid w:val="00DA3B6D"/>
    <w:rsid w:val="00DA3FAA"/>
    <w:rsid w:val="00DA4524"/>
    <w:rsid w:val="00DA4652"/>
    <w:rsid w:val="00DA540B"/>
    <w:rsid w:val="00DA592B"/>
    <w:rsid w:val="00DA5A60"/>
    <w:rsid w:val="00DA5E12"/>
    <w:rsid w:val="00DA605E"/>
    <w:rsid w:val="00DA6300"/>
    <w:rsid w:val="00DA6493"/>
    <w:rsid w:val="00DA6805"/>
    <w:rsid w:val="00DA686B"/>
    <w:rsid w:val="00DA687F"/>
    <w:rsid w:val="00DA6C5E"/>
    <w:rsid w:val="00DA6C8F"/>
    <w:rsid w:val="00DA6F8C"/>
    <w:rsid w:val="00DA7017"/>
    <w:rsid w:val="00DA7272"/>
    <w:rsid w:val="00DA7CA2"/>
    <w:rsid w:val="00DB0182"/>
    <w:rsid w:val="00DB037D"/>
    <w:rsid w:val="00DB03BE"/>
    <w:rsid w:val="00DB0F8C"/>
    <w:rsid w:val="00DB147E"/>
    <w:rsid w:val="00DB1757"/>
    <w:rsid w:val="00DB18F5"/>
    <w:rsid w:val="00DB1964"/>
    <w:rsid w:val="00DB1F04"/>
    <w:rsid w:val="00DB2026"/>
    <w:rsid w:val="00DB2742"/>
    <w:rsid w:val="00DB282A"/>
    <w:rsid w:val="00DB2A30"/>
    <w:rsid w:val="00DB2AF0"/>
    <w:rsid w:val="00DB2B45"/>
    <w:rsid w:val="00DB2B6A"/>
    <w:rsid w:val="00DB2D85"/>
    <w:rsid w:val="00DB3212"/>
    <w:rsid w:val="00DB3A84"/>
    <w:rsid w:val="00DB3A8D"/>
    <w:rsid w:val="00DB3BD9"/>
    <w:rsid w:val="00DB3BE5"/>
    <w:rsid w:val="00DB3D5C"/>
    <w:rsid w:val="00DB4202"/>
    <w:rsid w:val="00DB4397"/>
    <w:rsid w:val="00DB490F"/>
    <w:rsid w:val="00DB4CE7"/>
    <w:rsid w:val="00DB511E"/>
    <w:rsid w:val="00DB514C"/>
    <w:rsid w:val="00DB542A"/>
    <w:rsid w:val="00DB5606"/>
    <w:rsid w:val="00DB57A9"/>
    <w:rsid w:val="00DB57BB"/>
    <w:rsid w:val="00DB5820"/>
    <w:rsid w:val="00DB5C44"/>
    <w:rsid w:val="00DB5CFA"/>
    <w:rsid w:val="00DB6062"/>
    <w:rsid w:val="00DB61F8"/>
    <w:rsid w:val="00DB6312"/>
    <w:rsid w:val="00DB6A8B"/>
    <w:rsid w:val="00DB7151"/>
    <w:rsid w:val="00DB7182"/>
    <w:rsid w:val="00DB7211"/>
    <w:rsid w:val="00DB7285"/>
    <w:rsid w:val="00DB73E8"/>
    <w:rsid w:val="00DB7700"/>
    <w:rsid w:val="00DB7AD6"/>
    <w:rsid w:val="00DB7F09"/>
    <w:rsid w:val="00DC00E8"/>
    <w:rsid w:val="00DC03F3"/>
    <w:rsid w:val="00DC052A"/>
    <w:rsid w:val="00DC069C"/>
    <w:rsid w:val="00DC0805"/>
    <w:rsid w:val="00DC110B"/>
    <w:rsid w:val="00DC1393"/>
    <w:rsid w:val="00DC146D"/>
    <w:rsid w:val="00DC1677"/>
    <w:rsid w:val="00DC199B"/>
    <w:rsid w:val="00DC228D"/>
    <w:rsid w:val="00DC2AA5"/>
    <w:rsid w:val="00DC2D9C"/>
    <w:rsid w:val="00DC335C"/>
    <w:rsid w:val="00DC3424"/>
    <w:rsid w:val="00DC36C4"/>
    <w:rsid w:val="00DC3883"/>
    <w:rsid w:val="00DC3CE2"/>
    <w:rsid w:val="00DC4698"/>
    <w:rsid w:val="00DC479A"/>
    <w:rsid w:val="00DC4D5B"/>
    <w:rsid w:val="00DC4F44"/>
    <w:rsid w:val="00DC53E7"/>
    <w:rsid w:val="00DC55D4"/>
    <w:rsid w:val="00DC5843"/>
    <w:rsid w:val="00DC5C81"/>
    <w:rsid w:val="00DC5DD4"/>
    <w:rsid w:val="00DC5F03"/>
    <w:rsid w:val="00DC5F33"/>
    <w:rsid w:val="00DC6622"/>
    <w:rsid w:val="00DC69CE"/>
    <w:rsid w:val="00DC6C73"/>
    <w:rsid w:val="00DC6DD2"/>
    <w:rsid w:val="00DC71F7"/>
    <w:rsid w:val="00DC767A"/>
    <w:rsid w:val="00DC7F6F"/>
    <w:rsid w:val="00DD0128"/>
    <w:rsid w:val="00DD02DD"/>
    <w:rsid w:val="00DD0709"/>
    <w:rsid w:val="00DD0F47"/>
    <w:rsid w:val="00DD1397"/>
    <w:rsid w:val="00DD19CA"/>
    <w:rsid w:val="00DD1A01"/>
    <w:rsid w:val="00DD1A1F"/>
    <w:rsid w:val="00DD1B3C"/>
    <w:rsid w:val="00DD1C4B"/>
    <w:rsid w:val="00DD1F97"/>
    <w:rsid w:val="00DD26BE"/>
    <w:rsid w:val="00DD2701"/>
    <w:rsid w:val="00DD279D"/>
    <w:rsid w:val="00DD2EAA"/>
    <w:rsid w:val="00DD3117"/>
    <w:rsid w:val="00DD3384"/>
    <w:rsid w:val="00DD3635"/>
    <w:rsid w:val="00DD3E35"/>
    <w:rsid w:val="00DD40C9"/>
    <w:rsid w:val="00DD42A7"/>
    <w:rsid w:val="00DD42FC"/>
    <w:rsid w:val="00DD45EE"/>
    <w:rsid w:val="00DD4743"/>
    <w:rsid w:val="00DD4DC0"/>
    <w:rsid w:val="00DD4E4E"/>
    <w:rsid w:val="00DD4EAD"/>
    <w:rsid w:val="00DD4F8D"/>
    <w:rsid w:val="00DD501A"/>
    <w:rsid w:val="00DD5041"/>
    <w:rsid w:val="00DD5865"/>
    <w:rsid w:val="00DD5BF6"/>
    <w:rsid w:val="00DD5C36"/>
    <w:rsid w:val="00DD5C79"/>
    <w:rsid w:val="00DD6D7F"/>
    <w:rsid w:val="00DD76F5"/>
    <w:rsid w:val="00DD7F5E"/>
    <w:rsid w:val="00DE0460"/>
    <w:rsid w:val="00DE0B58"/>
    <w:rsid w:val="00DE1234"/>
    <w:rsid w:val="00DE12BC"/>
    <w:rsid w:val="00DE1478"/>
    <w:rsid w:val="00DE18C5"/>
    <w:rsid w:val="00DE19D6"/>
    <w:rsid w:val="00DE24E8"/>
    <w:rsid w:val="00DE2A8E"/>
    <w:rsid w:val="00DE2AD7"/>
    <w:rsid w:val="00DE2BFC"/>
    <w:rsid w:val="00DE2D49"/>
    <w:rsid w:val="00DE2DB7"/>
    <w:rsid w:val="00DE3028"/>
    <w:rsid w:val="00DE302B"/>
    <w:rsid w:val="00DE30C7"/>
    <w:rsid w:val="00DE352F"/>
    <w:rsid w:val="00DE38A9"/>
    <w:rsid w:val="00DE3C23"/>
    <w:rsid w:val="00DE3D14"/>
    <w:rsid w:val="00DE4487"/>
    <w:rsid w:val="00DE471D"/>
    <w:rsid w:val="00DE4A8A"/>
    <w:rsid w:val="00DE4BEB"/>
    <w:rsid w:val="00DE4CCA"/>
    <w:rsid w:val="00DE555B"/>
    <w:rsid w:val="00DE5B61"/>
    <w:rsid w:val="00DE60A7"/>
    <w:rsid w:val="00DE644C"/>
    <w:rsid w:val="00DE68D1"/>
    <w:rsid w:val="00DE7097"/>
    <w:rsid w:val="00DE749F"/>
    <w:rsid w:val="00DE7A52"/>
    <w:rsid w:val="00DE7C73"/>
    <w:rsid w:val="00DF09AE"/>
    <w:rsid w:val="00DF0CE4"/>
    <w:rsid w:val="00DF10D9"/>
    <w:rsid w:val="00DF1715"/>
    <w:rsid w:val="00DF18BC"/>
    <w:rsid w:val="00DF199E"/>
    <w:rsid w:val="00DF1A32"/>
    <w:rsid w:val="00DF1ACA"/>
    <w:rsid w:val="00DF1BC6"/>
    <w:rsid w:val="00DF1C31"/>
    <w:rsid w:val="00DF1D38"/>
    <w:rsid w:val="00DF217D"/>
    <w:rsid w:val="00DF21CF"/>
    <w:rsid w:val="00DF2351"/>
    <w:rsid w:val="00DF23C0"/>
    <w:rsid w:val="00DF29A9"/>
    <w:rsid w:val="00DF29B6"/>
    <w:rsid w:val="00DF2BDB"/>
    <w:rsid w:val="00DF2CB8"/>
    <w:rsid w:val="00DF351A"/>
    <w:rsid w:val="00DF3736"/>
    <w:rsid w:val="00DF43CF"/>
    <w:rsid w:val="00DF4803"/>
    <w:rsid w:val="00DF48EA"/>
    <w:rsid w:val="00DF4B50"/>
    <w:rsid w:val="00DF4C90"/>
    <w:rsid w:val="00DF4D1D"/>
    <w:rsid w:val="00DF5408"/>
    <w:rsid w:val="00DF59DB"/>
    <w:rsid w:val="00DF5A53"/>
    <w:rsid w:val="00DF5A95"/>
    <w:rsid w:val="00DF5CA9"/>
    <w:rsid w:val="00DF5E69"/>
    <w:rsid w:val="00DF611B"/>
    <w:rsid w:val="00DF63F2"/>
    <w:rsid w:val="00DF66CF"/>
    <w:rsid w:val="00DF6952"/>
    <w:rsid w:val="00DF6C67"/>
    <w:rsid w:val="00DF70A0"/>
    <w:rsid w:val="00DF7254"/>
    <w:rsid w:val="00DF72ED"/>
    <w:rsid w:val="00DF73A8"/>
    <w:rsid w:val="00DF7AC4"/>
    <w:rsid w:val="00DF7E6F"/>
    <w:rsid w:val="00E000C3"/>
    <w:rsid w:val="00E00137"/>
    <w:rsid w:val="00E00478"/>
    <w:rsid w:val="00E00636"/>
    <w:rsid w:val="00E00647"/>
    <w:rsid w:val="00E00976"/>
    <w:rsid w:val="00E00A67"/>
    <w:rsid w:val="00E01727"/>
    <w:rsid w:val="00E0194E"/>
    <w:rsid w:val="00E01C29"/>
    <w:rsid w:val="00E01DB5"/>
    <w:rsid w:val="00E01E9A"/>
    <w:rsid w:val="00E02A4B"/>
    <w:rsid w:val="00E02FCD"/>
    <w:rsid w:val="00E038A0"/>
    <w:rsid w:val="00E03BA7"/>
    <w:rsid w:val="00E03D32"/>
    <w:rsid w:val="00E03F29"/>
    <w:rsid w:val="00E0500C"/>
    <w:rsid w:val="00E05622"/>
    <w:rsid w:val="00E05863"/>
    <w:rsid w:val="00E05A01"/>
    <w:rsid w:val="00E05C5B"/>
    <w:rsid w:val="00E06108"/>
    <w:rsid w:val="00E06181"/>
    <w:rsid w:val="00E063E7"/>
    <w:rsid w:val="00E06632"/>
    <w:rsid w:val="00E06877"/>
    <w:rsid w:val="00E06908"/>
    <w:rsid w:val="00E0697F"/>
    <w:rsid w:val="00E07373"/>
    <w:rsid w:val="00E07634"/>
    <w:rsid w:val="00E076B9"/>
    <w:rsid w:val="00E078FE"/>
    <w:rsid w:val="00E0790F"/>
    <w:rsid w:val="00E07DBA"/>
    <w:rsid w:val="00E105CB"/>
    <w:rsid w:val="00E1065D"/>
    <w:rsid w:val="00E10824"/>
    <w:rsid w:val="00E1091D"/>
    <w:rsid w:val="00E10A49"/>
    <w:rsid w:val="00E10C39"/>
    <w:rsid w:val="00E10D39"/>
    <w:rsid w:val="00E1136B"/>
    <w:rsid w:val="00E11543"/>
    <w:rsid w:val="00E115C4"/>
    <w:rsid w:val="00E12345"/>
    <w:rsid w:val="00E12541"/>
    <w:rsid w:val="00E126EF"/>
    <w:rsid w:val="00E12B09"/>
    <w:rsid w:val="00E12F2E"/>
    <w:rsid w:val="00E132DA"/>
    <w:rsid w:val="00E13E90"/>
    <w:rsid w:val="00E13F28"/>
    <w:rsid w:val="00E14004"/>
    <w:rsid w:val="00E1428F"/>
    <w:rsid w:val="00E1442B"/>
    <w:rsid w:val="00E144EF"/>
    <w:rsid w:val="00E147A2"/>
    <w:rsid w:val="00E15694"/>
    <w:rsid w:val="00E15C72"/>
    <w:rsid w:val="00E1604F"/>
    <w:rsid w:val="00E162DE"/>
    <w:rsid w:val="00E16921"/>
    <w:rsid w:val="00E16D02"/>
    <w:rsid w:val="00E16FC3"/>
    <w:rsid w:val="00E17359"/>
    <w:rsid w:val="00E17F16"/>
    <w:rsid w:val="00E202B2"/>
    <w:rsid w:val="00E209D3"/>
    <w:rsid w:val="00E21261"/>
    <w:rsid w:val="00E21574"/>
    <w:rsid w:val="00E216E0"/>
    <w:rsid w:val="00E2179B"/>
    <w:rsid w:val="00E21F40"/>
    <w:rsid w:val="00E2226F"/>
    <w:rsid w:val="00E2230B"/>
    <w:rsid w:val="00E228B3"/>
    <w:rsid w:val="00E22AB4"/>
    <w:rsid w:val="00E22D51"/>
    <w:rsid w:val="00E23007"/>
    <w:rsid w:val="00E23372"/>
    <w:rsid w:val="00E23688"/>
    <w:rsid w:val="00E237DF"/>
    <w:rsid w:val="00E23DC3"/>
    <w:rsid w:val="00E23DF0"/>
    <w:rsid w:val="00E23E15"/>
    <w:rsid w:val="00E23E8E"/>
    <w:rsid w:val="00E23EDC"/>
    <w:rsid w:val="00E23EEB"/>
    <w:rsid w:val="00E2472C"/>
    <w:rsid w:val="00E24ABC"/>
    <w:rsid w:val="00E24D74"/>
    <w:rsid w:val="00E24FA2"/>
    <w:rsid w:val="00E25006"/>
    <w:rsid w:val="00E2531B"/>
    <w:rsid w:val="00E25650"/>
    <w:rsid w:val="00E257CD"/>
    <w:rsid w:val="00E25817"/>
    <w:rsid w:val="00E25CA9"/>
    <w:rsid w:val="00E25DFF"/>
    <w:rsid w:val="00E26281"/>
    <w:rsid w:val="00E26B0D"/>
    <w:rsid w:val="00E26CB2"/>
    <w:rsid w:val="00E26E8B"/>
    <w:rsid w:val="00E26F5D"/>
    <w:rsid w:val="00E2715B"/>
    <w:rsid w:val="00E27243"/>
    <w:rsid w:val="00E274CB"/>
    <w:rsid w:val="00E27520"/>
    <w:rsid w:val="00E27C0E"/>
    <w:rsid w:val="00E27D5A"/>
    <w:rsid w:val="00E30045"/>
    <w:rsid w:val="00E30089"/>
    <w:rsid w:val="00E30408"/>
    <w:rsid w:val="00E30A2D"/>
    <w:rsid w:val="00E30CC8"/>
    <w:rsid w:val="00E30ED4"/>
    <w:rsid w:val="00E31198"/>
    <w:rsid w:val="00E31620"/>
    <w:rsid w:val="00E31786"/>
    <w:rsid w:val="00E31A18"/>
    <w:rsid w:val="00E31B2F"/>
    <w:rsid w:val="00E32061"/>
    <w:rsid w:val="00E321C9"/>
    <w:rsid w:val="00E321F7"/>
    <w:rsid w:val="00E32524"/>
    <w:rsid w:val="00E32994"/>
    <w:rsid w:val="00E329FD"/>
    <w:rsid w:val="00E33403"/>
    <w:rsid w:val="00E33484"/>
    <w:rsid w:val="00E33866"/>
    <w:rsid w:val="00E33EF4"/>
    <w:rsid w:val="00E34328"/>
    <w:rsid w:val="00E34C43"/>
    <w:rsid w:val="00E34DDF"/>
    <w:rsid w:val="00E35099"/>
    <w:rsid w:val="00E350D7"/>
    <w:rsid w:val="00E35150"/>
    <w:rsid w:val="00E35163"/>
    <w:rsid w:val="00E3523E"/>
    <w:rsid w:val="00E354E6"/>
    <w:rsid w:val="00E35B35"/>
    <w:rsid w:val="00E35FA1"/>
    <w:rsid w:val="00E367E4"/>
    <w:rsid w:val="00E36D23"/>
    <w:rsid w:val="00E36E89"/>
    <w:rsid w:val="00E3736F"/>
    <w:rsid w:val="00E376AF"/>
    <w:rsid w:val="00E37785"/>
    <w:rsid w:val="00E37859"/>
    <w:rsid w:val="00E3792A"/>
    <w:rsid w:val="00E37AFB"/>
    <w:rsid w:val="00E40090"/>
    <w:rsid w:val="00E40216"/>
    <w:rsid w:val="00E408DF"/>
    <w:rsid w:val="00E40994"/>
    <w:rsid w:val="00E40BC4"/>
    <w:rsid w:val="00E40BC9"/>
    <w:rsid w:val="00E410CC"/>
    <w:rsid w:val="00E414D1"/>
    <w:rsid w:val="00E41501"/>
    <w:rsid w:val="00E41615"/>
    <w:rsid w:val="00E41B2A"/>
    <w:rsid w:val="00E41C72"/>
    <w:rsid w:val="00E41CEF"/>
    <w:rsid w:val="00E41DDA"/>
    <w:rsid w:val="00E41E50"/>
    <w:rsid w:val="00E42A26"/>
    <w:rsid w:val="00E430D5"/>
    <w:rsid w:val="00E43123"/>
    <w:rsid w:val="00E435AB"/>
    <w:rsid w:val="00E436E1"/>
    <w:rsid w:val="00E43CBF"/>
    <w:rsid w:val="00E43D5B"/>
    <w:rsid w:val="00E43EBC"/>
    <w:rsid w:val="00E4428F"/>
    <w:rsid w:val="00E448B3"/>
    <w:rsid w:val="00E44AF1"/>
    <w:rsid w:val="00E45074"/>
    <w:rsid w:val="00E451C9"/>
    <w:rsid w:val="00E452E9"/>
    <w:rsid w:val="00E46093"/>
    <w:rsid w:val="00E464D6"/>
    <w:rsid w:val="00E4668E"/>
    <w:rsid w:val="00E467C4"/>
    <w:rsid w:val="00E46BCB"/>
    <w:rsid w:val="00E46E63"/>
    <w:rsid w:val="00E47275"/>
    <w:rsid w:val="00E47A30"/>
    <w:rsid w:val="00E47DFA"/>
    <w:rsid w:val="00E47EA7"/>
    <w:rsid w:val="00E5019B"/>
    <w:rsid w:val="00E50275"/>
    <w:rsid w:val="00E5030B"/>
    <w:rsid w:val="00E50352"/>
    <w:rsid w:val="00E50E7C"/>
    <w:rsid w:val="00E51099"/>
    <w:rsid w:val="00E51469"/>
    <w:rsid w:val="00E51545"/>
    <w:rsid w:val="00E515C9"/>
    <w:rsid w:val="00E51A09"/>
    <w:rsid w:val="00E521F2"/>
    <w:rsid w:val="00E52273"/>
    <w:rsid w:val="00E5255E"/>
    <w:rsid w:val="00E52AD6"/>
    <w:rsid w:val="00E52F8F"/>
    <w:rsid w:val="00E52F98"/>
    <w:rsid w:val="00E5317B"/>
    <w:rsid w:val="00E53228"/>
    <w:rsid w:val="00E53433"/>
    <w:rsid w:val="00E5363C"/>
    <w:rsid w:val="00E536D9"/>
    <w:rsid w:val="00E53DBD"/>
    <w:rsid w:val="00E53EFC"/>
    <w:rsid w:val="00E54382"/>
    <w:rsid w:val="00E54541"/>
    <w:rsid w:val="00E546F1"/>
    <w:rsid w:val="00E54717"/>
    <w:rsid w:val="00E548BA"/>
    <w:rsid w:val="00E54AC1"/>
    <w:rsid w:val="00E54C67"/>
    <w:rsid w:val="00E54CB6"/>
    <w:rsid w:val="00E55326"/>
    <w:rsid w:val="00E554D4"/>
    <w:rsid w:val="00E5565E"/>
    <w:rsid w:val="00E559E3"/>
    <w:rsid w:val="00E55E16"/>
    <w:rsid w:val="00E564A0"/>
    <w:rsid w:val="00E56B5A"/>
    <w:rsid w:val="00E56ED6"/>
    <w:rsid w:val="00E571AF"/>
    <w:rsid w:val="00E574F9"/>
    <w:rsid w:val="00E57640"/>
    <w:rsid w:val="00E57E07"/>
    <w:rsid w:val="00E60159"/>
    <w:rsid w:val="00E60DD6"/>
    <w:rsid w:val="00E60E4B"/>
    <w:rsid w:val="00E60FB6"/>
    <w:rsid w:val="00E61094"/>
    <w:rsid w:val="00E612B6"/>
    <w:rsid w:val="00E616B8"/>
    <w:rsid w:val="00E6195D"/>
    <w:rsid w:val="00E6196A"/>
    <w:rsid w:val="00E633FD"/>
    <w:rsid w:val="00E63CE7"/>
    <w:rsid w:val="00E64043"/>
    <w:rsid w:val="00E642D2"/>
    <w:rsid w:val="00E647FC"/>
    <w:rsid w:val="00E649D9"/>
    <w:rsid w:val="00E652F4"/>
    <w:rsid w:val="00E65AB8"/>
    <w:rsid w:val="00E65F67"/>
    <w:rsid w:val="00E66222"/>
    <w:rsid w:val="00E665EC"/>
    <w:rsid w:val="00E668A3"/>
    <w:rsid w:val="00E668D1"/>
    <w:rsid w:val="00E66AE8"/>
    <w:rsid w:val="00E66B2C"/>
    <w:rsid w:val="00E66CA8"/>
    <w:rsid w:val="00E66D92"/>
    <w:rsid w:val="00E66DD8"/>
    <w:rsid w:val="00E66E51"/>
    <w:rsid w:val="00E675D9"/>
    <w:rsid w:val="00E67AAC"/>
    <w:rsid w:val="00E67C4C"/>
    <w:rsid w:val="00E67DFA"/>
    <w:rsid w:val="00E7006E"/>
    <w:rsid w:val="00E700E3"/>
    <w:rsid w:val="00E7069E"/>
    <w:rsid w:val="00E70AA4"/>
    <w:rsid w:val="00E70AAE"/>
    <w:rsid w:val="00E71072"/>
    <w:rsid w:val="00E711D7"/>
    <w:rsid w:val="00E7165F"/>
    <w:rsid w:val="00E71976"/>
    <w:rsid w:val="00E71AE5"/>
    <w:rsid w:val="00E72448"/>
    <w:rsid w:val="00E72551"/>
    <w:rsid w:val="00E728AE"/>
    <w:rsid w:val="00E729DD"/>
    <w:rsid w:val="00E72A59"/>
    <w:rsid w:val="00E72BAE"/>
    <w:rsid w:val="00E72CA8"/>
    <w:rsid w:val="00E72D44"/>
    <w:rsid w:val="00E72F8A"/>
    <w:rsid w:val="00E7318F"/>
    <w:rsid w:val="00E73780"/>
    <w:rsid w:val="00E73848"/>
    <w:rsid w:val="00E73A8B"/>
    <w:rsid w:val="00E73C13"/>
    <w:rsid w:val="00E748BD"/>
    <w:rsid w:val="00E74E85"/>
    <w:rsid w:val="00E755CA"/>
    <w:rsid w:val="00E75978"/>
    <w:rsid w:val="00E76A73"/>
    <w:rsid w:val="00E76A7A"/>
    <w:rsid w:val="00E771A3"/>
    <w:rsid w:val="00E775DB"/>
    <w:rsid w:val="00E77634"/>
    <w:rsid w:val="00E77B5A"/>
    <w:rsid w:val="00E77B72"/>
    <w:rsid w:val="00E77C11"/>
    <w:rsid w:val="00E77DBF"/>
    <w:rsid w:val="00E77F03"/>
    <w:rsid w:val="00E80008"/>
    <w:rsid w:val="00E8006A"/>
    <w:rsid w:val="00E80126"/>
    <w:rsid w:val="00E80348"/>
    <w:rsid w:val="00E80737"/>
    <w:rsid w:val="00E8089A"/>
    <w:rsid w:val="00E80B65"/>
    <w:rsid w:val="00E80DA5"/>
    <w:rsid w:val="00E80EE5"/>
    <w:rsid w:val="00E8104C"/>
    <w:rsid w:val="00E812B5"/>
    <w:rsid w:val="00E8143E"/>
    <w:rsid w:val="00E81734"/>
    <w:rsid w:val="00E819F0"/>
    <w:rsid w:val="00E81A40"/>
    <w:rsid w:val="00E81A9D"/>
    <w:rsid w:val="00E82264"/>
    <w:rsid w:val="00E82592"/>
    <w:rsid w:val="00E8280E"/>
    <w:rsid w:val="00E82BF0"/>
    <w:rsid w:val="00E82FD5"/>
    <w:rsid w:val="00E83019"/>
    <w:rsid w:val="00E8313E"/>
    <w:rsid w:val="00E83502"/>
    <w:rsid w:val="00E838A6"/>
    <w:rsid w:val="00E838BF"/>
    <w:rsid w:val="00E83B81"/>
    <w:rsid w:val="00E83C7B"/>
    <w:rsid w:val="00E83EE9"/>
    <w:rsid w:val="00E845BA"/>
    <w:rsid w:val="00E84832"/>
    <w:rsid w:val="00E84BE0"/>
    <w:rsid w:val="00E85101"/>
    <w:rsid w:val="00E855D6"/>
    <w:rsid w:val="00E8564B"/>
    <w:rsid w:val="00E85B54"/>
    <w:rsid w:val="00E85EE3"/>
    <w:rsid w:val="00E8644B"/>
    <w:rsid w:val="00E8644D"/>
    <w:rsid w:val="00E86768"/>
    <w:rsid w:val="00E867B7"/>
    <w:rsid w:val="00E868D5"/>
    <w:rsid w:val="00E86AB5"/>
    <w:rsid w:val="00E86B3D"/>
    <w:rsid w:val="00E87088"/>
    <w:rsid w:val="00E875B7"/>
    <w:rsid w:val="00E8792C"/>
    <w:rsid w:val="00E900C8"/>
    <w:rsid w:val="00E902B0"/>
    <w:rsid w:val="00E902E8"/>
    <w:rsid w:val="00E90630"/>
    <w:rsid w:val="00E908DD"/>
    <w:rsid w:val="00E90AD8"/>
    <w:rsid w:val="00E90F0F"/>
    <w:rsid w:val="00E91158"/>
    <w:rsid w:val="00E9133D"/>
    <w:rsid w:val="00E9165B"/>
    <w:rsid w:val="00E918A8"/>
    <w:rsid w:val="00E91B25"/>
    <w:rsid w:val="00E9266B"/>
    <w:rsid w:val="00E926AC"/>
    <w:rsid w:val="00E928CE"/>
    <w:rsid w:val="00E92BF6"/>
    <w:rsid w:val="00E92DD0"/>
    <w:rsid w:val="00E93301"/>
    <w:rsid w:val="00E933B5"/>
    <w:rsid w:val="00E9342A"/>
    <w:rsid w:val="00E936BE"/>
    <w:rsid w:val="00E937FA"/>
    <w:rsid w:val="00E9392E"/>
    <w:rsid w:val="00E93D89"/>
    <w:rsid w:val="00E93FDB"/>
    <w:rsid w:val="00E9437E"/>
    <w:rsid w:val="00E9457A"/>
    <w:rsid w:val="00E9480C"/>
    <w:rsid w:val="00E94B39"/>
    <w:rsid w:val="00E94CDA"/>
    <w:rsid w:val="00E9514B"/>
    <w:rsid w:val="00E955D0"/>
    <w:rsid w:val="00E956EB"/>
    <w:rsid w:val="00E959D3"/>
    <w:rsid w:val="00E95CD8"/>
    <w:rsid w:val="00E95ECE"/>
    <w:rsid w:val="00E9643F"/>
    <w:rsid w:val="00E96575"/>
    <w:rsid w:val="00E96B61"/>
    <w:rsid w:val="00E96E64"/>
    <w:rsid w:val="00E97174"/>
    <w:rsid w:val="00E972DD"/>
    <w:rsid w:val="00E974BD"/>
    <w:rsid w:val="00E974ED"/>
    <w:rsid w:val="00EA0053"/>
    <w:rsid w:val="00EA03AB"/>
    <w:rsid w:val="00EA0860"/>
    <w:rsid w:val="00EA0AAF"/>
    <w:rsid w:val="00EA0E9E"/>
    <w:rsid w:val="00EA1472"/>
    <w:rsid w:val="00EA170B"/>
    <w:rsid w:val="00EA1A69"/>
    <w:rsid w:val="00EA1B97"/>
    <w:rsid w:val="00EA1C96"/>
    <w:rsid w:val="00EA1CEA"/>
    <w:rsid w:val="00EA1EDD"/>
    <w:rsid w:val="00EA1F87"/>
    <w:rsid w:val="00EA223B"/>
    <w:rsid w:val="00EA22B9"/>
    <w:rsid w:val="00EA2D16"/>
    <w:rsid w:val="00EA3087"/>
    <w:rsid w:val="00EA3225"/>
    <w:rsid w:val="00EA3453"/>
    <w:rsid w:val="00EA399C"/>
    <w:rsid w:val="00EA3CC6"/>
    <w:rsid w:val="00EA40B1"/>
    <w:rsid w:val="00EA452F"/>
    <w:rsid w:val="00EA4B77"/>
    <w:rsid w:val="00EA4CCF"/>
    <w:rsid w:val="00EA4CF4"/>
    <w:rsid w:val="00EA4F4E"/>
    <w:rsid w:val="00EA5058"/>
    <w:rsid w:val="00EA51D4"/>
    <w:rsid w:val="00EA57BA"/>
    <w:rsid w:val="00EA5CF7"/>
    <w:rsid w:val="00EA6339"/>
    <w:rsid w:val="00EA66A6"/>
    <w:rsid w:val="00EA7310"/>
    <w:rsid w:val="00EA7514"/>
    <w:rsid w:val="00EA76DF"/>
    <w:rsid w:val="00EA7773"/>
    <w:rsid w:val="00EA7845"/>
    <w:rsid w:val="00EA7B56"/>
    <w:rsid w:val="00EA7F98"/>
    <w:rsid w:val="00EB01C9"/>
    <w:rsid w:val="00EB027E"/>
    <w:rsid w:val="00EB030F"/>
    <w:rsid w:val="00EB0A23"/>
    <w:rsid w:val="00EB16DA"/>
    <w:rsid w:val="00EB16EF"/>
    <w:rsid w:val="00EB1C45"/>
    <w:rsid w:val="00EB1C7F"/>
    <w:rsid w:val="00EB20FD"/>
    <w:rsid w:val="00EB2112"/>
    <w:rsid w:val="00EB234E"/>
    <w:rsid w:val="00EB2650"/>
    <w:rsid w:val="00EB277D"/>
    <w:rsid w:val="00EB28B1"/>
    <w:rsid w:val="00EB2A0A"/>
    <w:rsid w:val="00EB2ABE"/>
    <w:rsid w:val="00EB2E5B"/>
    <w:rsid w:val="00EB3673"/>
    <w:rsid w:val="00EB3E2D"/>
    <w:rsid w:val="00EB43A0"/>
    <w:rsid w:val="00EB4897"/>
    <w:rsid w:val="00EB4B5E"/>
    <w:rsid w:val="00EB4B81"/>
    <w:rsid w:val="00EB50F0"/>
    <w:rsid w:val="00EB5272"/>
    <w:rsid w:val="00EB56A9"/>
    <w:rsid w:val="00EB57A8"/>
    <w:rsid w:val="00EB59D8"/>
    <w:rsid w:val="00EB5DF9"/>
    <w:rsid w:val="00EB6000"/>
    <w:rsid w:val="00EB629D"/>
    <w:rsid w:val="00EB69E0"/>
    <w:rsid w:val="00EB6A9C"/>
    <w:rsid w:val="00EB6B53"/>
    <w:rsid w:val="00EB6C88"/>
    <w:rsid w:val="00EB7480"/>
    <w:rsid w:val="00EB781C"/>
    <w:rsid w:val="00EC098F"/>
    <w:rsid w:val="00EC09E2"/>
    <w:rsid w:val="00EC0CFA"/>
    <w:rsid w:val="00EC0E9E"/>
    <w:rsid w:val="00EC0FA7"/>
    <w:rsid w:val="00EC134F"/>
    <w:rsid w:val="00EC1A02"/>
    <w:rsid w:val="00EC1C19"/>
    <w:rsid w:val="00EC1C6B"/>
    <w:rsid w:val="00EC2366"/>
    <w:rsid w:val="00EC25F0"/>
    <w:rsid w:val="00EC2CF5"/>
    <w:rsid w:val="00EC3468"/>
    <w:rsid w:val="00EC37E7"/>
    <w:rsid w:val="00EC3E69"/>
    <w:rsid w:val="00EC422A"/>
    <w:rsid w:val="00EC47AD"/>
    <w:rsid w:val="00EC4CD8"/>
    <w:rsid w:val="00EC5451"/>
    <w:rsid w:val="00EC59C8"/>
    <w:rsid w:val="00EC6A1C"/>
    <w:rsid w:val="00EC6B16"/>
    <w:rsid w:val="00EC6C65"/>
    <w:rsid w:val="00EC6C75"/>
    <w:rsid w:val="00EC7135"/>
    <w:rsid w:val="00EC736E"/>
    <w:rsid w:val="00EC747F"/>
    <w:rsid w:val="00EC76C6"/>
    <w:rsid w:val="00EC7B13"/>
    <w:rsid w:val="00EC7CB3"/>
    <w:rsid w:val="00ED006A"/>
    <w:rsid w:val="00ED0073"/>
    <w:rsid w:val="00ED03B9"/>
    <w:rsid w:val="00ED0BE7"/>
    <w:rsid w:val="00ED0F69"/>
    <w:rsid w:val="00ED1218"/>
    <w:rsid w:val="00ED14FB"/>
    <w:rsid w:val="00ED1560"/>
    <w:rsid w:val="00ED1603"/>
    <w:rsid w:val="00ED177C"/>
    <w:rsid w:val="00ED182C"/>
    <w:rsid w:val="00ED18A3"/>
    <w:rsid w:val="00ED1A74"/>
    <w:rsid w:val="00ED1AF9"/>
    <w:rsid w:val="00ED1F10"/>
    <w:rsid w:val="00ED2297"/>
    <w:rsid w:val="00ED23AD"/>
    <w:rsid w:val="00ED23BB"/>
    <w:rsid w:val="00ED25D6"/>
    <w:rsid w:val="00ED260C"/>
    <w:rsid w:val="00ED2611"/>
    <w:rsid w:val="00ED2679"/>
    <w:rsid w:val="00ED2991"/>
    <w:rsid w:val="00ED318F"/>
    <w:rsid w:val="00ED326C"/>
    <w:rsid w:val="00ED3465"/>
    <w:rsid w:val="00ED3932"/>
    <w:rsid w:val="00ED3FE9"/>
    <w:rsid w:val="00ED433B"/>
    <w:rsid w:val="00ED4349"/>
    <w:rsid w:val="00ED4501"/>
    <w:rsid w:val="00ED47C1"/>
    <w:rsid w:val="00ED4848"/>
    <w:rsid w:val="00ED4BAE"/>
    <w:rsid w:val="00ED4EF9"/>
    <w:rsid w:val="00ED4F3A"/>
    <w:rsid w:val="00ED500B"/>
    <w:rsid w:val="00ED509A"/>
    <w:rsid w:val="00ED5EAF"/>
    <w:rsid w:val="00ED6315"/>
    <w:rsid w:val="00ED6485"/>
    <w:rsid w:val="00ED682D"/>
    <w:rsid w:val="00ED6EB8"/>
    <w:rsid w:val="00ED6F00"/>
    <w:rsid w:val="00ED782E"/>
    <w:rsid w:val="00ED7B4A"/>
    <w:rsid w:val="00EE0065"/>
    <w:rsid w:val="00EE0292"/>
    <w:rsid w:val="00EE0850"/>
    <w:rsid w:val="00EE0883"/>
    <w:rsid w:val="00EE094A"/>
    <w:rsid w:val="00EE0A5B"/>
    <w:rsid w:val="00EE0B45"/>
    <w:rsid w:val="00EE1060"/>
    <w:rsid w:val="00EE118D"/>
    <w:rsid w:val="00EE1223"/>
    <w:rsid w:val="00EE198E"/>
    <w:rsid w:val="00EE20EA"/>
    <w:rsid w:val="00EE2278"/>
    <w:rsid w:val="00EE23AE"/>
    <w:rsid w:val="00EE2413"/>
    <w:rsid w:val="00EE2AA0"/>
    <w:rsid w:val="00EE2C17"/>
    <w:rsid w:val="00EE2C3A"/>
    <w:rsid w:val="00EE2FB3"/>
    <w:rsid w:val="00EE3078"/>
    <w:rsid w:val="00EE3EA2"/>
    <w:rsid w:val="00EE3FB9"/>
    <w:rsid w:val="00EE4959"/>
    <w:rsid w:val="00EE4CF1"/>
    <w:rsid w:val="00EE4D12"/>
    <w:rsid w:val="00EE5082"/>
    <w:rsid w:val="00EE5126"/>
    <w:rsid w:val="00EE514E"/>
    <w:rsid w:val="00EE5157"/>
    <w:rsid w:val="00EE59FF"/>
    <w:rsid w:val="00EE5B63"/>
    <w:rsid w:val="00EE60A2"/>
    <w:rsid w:val="00EE6527"/>
    <w:rsid w:val="00EE65B1"/>
    <w:rsid w:val="00EE670D"/>
    <w:rsid w:val="00EE677F"/>
    <w:rsid w:val="00EE6907"/>
    <w:rsid w:val="00EE6A91"/>
    <w:rsid w:val="00EE6FFD"/>
    <w:rsid w:val="00EE77CD"/>
    <w:rsid w:val="00EE7A35"/>
    <w:rsid w:val="00EE7DBF"/>
    <w:rsid w:val="00EF012F"/>
    <w:rsid w:val="00EF0285"/>
    <w:rsid w:val="00EF04F4"/>
    <w:rsid w:val="00EF0655"/>
    <w:rsid w:val="00EF07A1"/>
    <w:rsid w:val="00EF0859"/>
    <w:rsid w:val="00EF0F35"/>
    <w:rsid w:val="00EF0FD8"/>
    <w:rsid w:val="00EF0FFD"/>
    <w:rsid w:val="00EF14C8"/>
    <w:rsid w:val="00EF14CD"/>
    <w:rsid w:val="00EF16E8"/>
    <w:rsid w:val="00EF1F1F"/>
    <w:rsid w:val="00EF2010"/>
    <w:rsid w:val="00EF2334"/>
    <w:rsid w:val="00EF2469"/>
    <w:rsid w:val="00EF27E8"/>
    <w:rsid w:val="00EF2E67"/>
    <w:rsid w:val="00EF2FBF"/>
    <w:rsid w:val="00EF3496"/>
    <w:rsid w:val="00EF38DA"/>
    <w:rsid w:val="00EF4136"/>
    <w:rsid w:val="00EF4278"/>
    <w:rsid w:val="00EF4341"/>
    <w:rsid w:val="00EF44C9"/>
    <w:rsid w:val="00EF454D"/>
    <w:rsid w:val="00EF456C"/>
    <w:rsid w:val="00EF47B5"/>
    <w:rsid w:val="00EF48FF"/>
    <w:rsid w:val="00EF4AA5"/>
    <w:rsid w:val="00EF50B2"/>
    <w:rsid w:val="00EF59FE"/>
    <w:rsid w:val="00EF5BE4"/>
    <w:rsid w:val="00EF5DD7"/>
    <w:rsid w:val="00EF6136"/>
    <w:rsid w:val="00EF64CB"/>
    <w:rsid w:val="00EF6584"/>
    <w:rsid w:val="00EF669C"/>
    <w:rsid w:val="00EF6BC1"/>
    <w:rsid w:val="00EF7058"/>
    <w:rsid w:val="00EF70AD"/>
    <w:rsid w:val="00EF78CC"/>
    <w:rsid w:val="00EF7965"/>
    <w:rsid w:val="00EF7D67"/>
    <w:rsid w:val="00EF7DBD"/>
    <w:rsid w:val="00F00117"/>
    <w:rsid w:val="00F00439"/>
    <w:rsid w:val="00F0044B"/>
    <w:rsid w:val="00F0070B"/>
    <w:rsid w:val="00F0082D"/>
    <w:rsid w:val="00F00973"/>
    <w:rsid w:val="00F00A74"/>
    <w:rsid w:val="00F00B18"/>
    <w:rsid w:val="00F0109A"/>
    <w:rsid w:val="00F016D3"/>
    <w:rsid w:val="00F01B9F"/>
    <w:rsid w:val="00F01C22"/>
    <w:rsid w:val="00F022FE"/>
    <w:rsid w:val="00F028FF"/>
    <w:rsid w:val="00F0306C"/>
    <w:rsid w:val="00F0358E"/>
    <w:rsid w:val="00F035D6"/>
    <w:rsid w:val="00F03800"/>
    <w:rsid w:val="00F039BE"/>
    <w:rsid w:val="00F03CDD"/>
    <w:rsid w:val="00F03E0D"/>
    <w:rsid w:val="00F041F1"/>
    <w:rsid w:val="00F045B9"/>
    <w:rsid w:val="00F04695"/>
    <w:rsid w:val="00F047A6"/>
    <w:rsid w:val="00F047C4"/>
    <w:rsid w:val="00F05145"/>
    <w:rsid w:val="00F06625"/>
    <w:rsid w:val="00F067A9"/>
    <w:rsid w:val="00F06946"/>
    <w:rsid w:val="00F06965"/>
    <w:rsid w:val="00F06AAF"/>
    <w:rsid w:val="00F06B35"/>
    <w:rsid w:val="00F06C04"/>
    <w:rsid w:val="00F06CFD"/>
    <w:rsid w:val="00F0729F"/>
    <w:rsid w:val="00F07394"/>
    <w:rsid w:val="00F07414"/>
    <w:rsid w:val="00F07424"/>
    <w:rsid w:val="00F07B88"/>
    <w:rsid w:val="00F07BE3"/>
    <w:rsid w:val="00F07C90"/>
    <w:rsid w:val="00F10207"/>
    <w:rsid w:val="00F10221"/>
    <w:rsid w:val="00F10748"/>
    <w:rsid w:val="00F11079"/>
    <w:rsid w:val="00F11968"/>
    <w:rsid w:val="00F11C87"/>
    <w:rsid w:val="00F11F6D"/>
    <w:rsid w:val="00F122B1"/>
    <w:rsid w:val="00F12496"/>
    <w:rsid w:val="00F125FF"/>
    <w:rsid w:val="00F12607"/>
    <w:rsid w:val="00F1273C"/>
    <w:rsid w:val="00F12942"/>
    <w:rsid w:val="00F12A38"/>
    <w:rsid w:val="00F12A9F"/>
    <w:rsid w:val="00F1314C"/>
    <w:rsid w:val="00F142C2"/>
    <w:rsid w:val="00F1444D"/>
    <w:rsid w:val="00F1475B"/>
    <w:rsid w:val="00F14781"/>
    <w:rsid w:val="00F14C98"/>
    <w:rsid w:val="00F14CAD"/>
    <w:rsid w:val="00F14E07"/>
    <w:rsid w:val="00F14E7C"/>
    <w:rsid w:val="00F15422"/>
    <w:rsid w:val="00F155D4"/>
    <w:rsid w:val="00F159C8"/>
    <w:rsid w:val="00F15C35"/>
    <w:rsid w:val="00F16503"/>
    <w:rsid w:val="00F16510"/>
    <w:rsid w:val="00F16B2C"/>
    <w:rsid w:val="00F174F0"/>
    <w:rsid w:val="00F175E3"/>
    <w:rsid w:val="00F17602"/>
    <w:rsid w:val="00F179EF"/>
    <w:rsid w:val="00F17A3C"/>
    <w:rsid w:val="00F17AA3"/>
    <w:rsid w:val="00F17E0A"/>
    <w:rsid w:val="00F20278"/>
    <w:rsid w:val="00F20348"/>
    <w:rsid w:val="00F2039C"/>
    <w:rsid w:val="00F20469"/>
    <w:rsid w:val="00F20556"/>
    <w:rsid w:val="00F20640"/>
    <w:rsid w:val="00F2090F"/>
    <w:rsid w:val="00F20B0B"/>
    <w:rsid w:val="00F20D82"/>
    <w:rsid w:val="00F2139E"/>
    <w:rsid w:val="00F21794"/>
    <w:rsid w:val="00F219CA"/>
    <w:rsid w:val="00F2234D"/>
    <w:rsid w:val="00F224E6"/>
    <w:rsid w:val="00F22A69"/>
    <w:rsid w:val="00F23419"/>
    <w:rsid w:val="00F23BC2"/>
    <w:rsid w:val="00F23F4B"/>
    <w:rsid w:val="00F24477"/>
    <w:rsid w:val="00F24898"/>
    <w:rsid w:val="00F24944"/>
    <w:rsid w:val="00F24B65"/>
    <w:rsid w:val="00F24E8F"/>
    <w:rsid w:val="00F24F86"/>
    <w:rsid w:val="00F252B9"/>
    <w:rsid w:val="00F253CC"/>
    <w:rsid w:val="00F25519"/>
    <w:rsid w:val="00F258E6"/>
    <w:rsid w:val="00F25A54"/>
    <w:rsid w:val="00F25E22"/>
    <w:rsid w:val="00F25FD1"/>
    <w:rsid w:val="00F26454"/>
    <w:rsid w:val="00F26580"/>
    <w:rsid w:val="00F26669"/>
    <w:rsid w:val="00F26831"/>
    <w:rsid w:val="00F26836"/>
    <w:rsid w:val="00F26948"/>
    <w:rsid w:val="00F26989"/>
    <w:rsid w:val="00F26D2E"/>
    <w:rsid w:val="00F26E7C"/>
    <w:rsid w:val="00F26EDD"/>
    <w:rsid w:val="00F277B9"/>
    <w:rsid w:val="00F27EDA"/>
    <w:rsid w:val="00F30553"/>
    <w:rsid w:val="00F3078B"/>
    <w:rsid w:val="00F30B8E"/>
    <w:rsid w:val="00F30C7F"/>
    <w:rsid w:val="00F30F8A"/>
    <w:rsid w:val="00F316D1"/>
    <w:rsid w:val="00F31CD1"/>
    <w:rsid w:val="00F321CE"/>
    <w:rsid w:val="00F326E4"/>
    <w:rsid w:val="00F32E88"/>
    <w:rsid w:val="00F33246"/>
    <w:rsid w:val="00F334F2"/>
    <w:rsid w:val="00F33552"/>
    <w:rsid w:val="00F33568"/>
    <w:rsid w:val="00F33669"/>
    <w:rsid w:val="00F33775"/>
    <w:rsid w:val="00F341CD"/>
    <w:rsid w:val="00F3456E"/>
    <w:rsid w:val="00F34656"/>
    <w:rsid w:val="00F347A4"/>
    <w:rsid w:val="00F34B3F"/>
    <w:rsid w:val="00F34C8E"/>
    <w:rsid w:val="00F34EC4"/>
    <w:rsid w:val="00F35217"/>
    <w:rsid w:val="00F355B9"/>
    <w:rsid w:val="00F35758"/>
    <w:rsid w:val="00F357A9"/>
    <w:rsid w:val="00F35841"/>
    <w:rsid w:val="00F358B7"/>
    <w:rsid w:val="00F359E4"/>
    <w:rsid w:val="00F35B4F"/>
    <w:rsid w:val="00F35B74"/>
    <w:rsid w:val="00F35F1E"/>
    <w:rsid w:val="00F35FEC"/>
    <w:rsid w:val="00F36025"/>
    <w:rsid w:val="00F36329"/>
    <w:rsid w:val="00F36367"/>
    <w:rsid w:val="00F365DE"/>
    <w:rsid w:val="00F3660A"/>
    <w:rsid w:val="00F36B5D"/>
    <w:rsid w:val="00F371D3"/>
    <w:rsid w:val="00F37241"/>
    <w:rsid w:val="00F37D25"/>
    <w:rsid w:val="00F40517"/>
    <w:rsid w:val="00F40EBA"/>
    <w:rsid w:val="00F40FAE"/>
    <w:rsid w:val="00F4111D"/>
    <w:rsid w:val="00F415DF"/>
    <w:rsid w:val="00F4162F"/>
    <w:rsid w:val="00F41902"/>
    <w:rsid w:val="00F42518"/>
    <w:rsid w:val="00F427AF"/>
    <w:rsid w:val="00F42959"/>
    <w:rsid w:val="00F42FF4"/>
    <w:rsid w:val="00F43052"/>
    <w:rsid w:val="00F430BA"/>
    <w:rsid w:val="00F43117"/>
    <w:rsid w:val="00F43335"/>
    <w:rsid w:val="00F433FA"/>
    <w:rsid w:val="00F434E6"/>
    <w:rsid w:val="00F43EB5"/>
    <w:rsid w:val="00F44675"/>
    <w:rsid w:val="00F44792"/>
    <w:rsid w:val="00F4567B"/>
    <w:rsid w:val="00F4575D"/>
    <w:rsid w:val="00F45772"/>
    <w:rsid w:val="00F45964"/>
    <w:rsid w:val="00F45E28"/>
    <w:rsid w:val="00F45E60"/>
    <w:rsid w:val="00F45FC0"/>
    <w:rsid w:val="00F460DE"/>
    <w:rsid w:val="00F46253"/>
    <w:rsid w:val="00F46611"/>
    <w:rsid w:val="00F4697E"/>
    <w:rsid w:val="00F46B93"/>
    <w:rsid w:val="00F46C3B"/>
    <w:rsid w:val="00F4707A"/>
    <w:rsid w:val="00F471AE"/>
    <w:rsid w:val="00F47387"/>
    <w:rsid w:val="00F475EA"/>
    <w:rsid w:val="00F4766E"/>
    <w:rsid w:val="00F476EA"/>
    <w:rsid w:val="00F47D35"/>
    <w:rsid w:val="00F50462"/>
    <w:rsid w:val="00F50DE1"/>
    <w:rsid w:val="00F50F56"/>
    <w:rsid w:val="00F51091"/>
    <w:rsid w:val="00F51241"/>
    <w:rsid w:val="00F512E7"/>
    <w:rsid w:val="00F51822"/>
    <w:rsid w:val="00F5198A"/>
    <w:rsid w:val="00F51A6E"/>
    <w:rsid w:val="00F51CC9"/>
    <w:rsid w:val="00F51F13"/>
    <w:rsid w:val="00F521C7"/>
    <w:rsid w:val="00F521DE"/>
    <w:rsid w:val="00F52313"/>
    <w:rsid w:val="00F5236B"/>
    <w:rsid w:val="00F525F3"/>
    <w:rsid w:val="00F52943"/>
    <w:rsid w:val="00F52AAD"/>
    <w:rsid w:val="00F52CC7"/>
    <w:rsid w:val="00F52E4E"/>
    <w:rsid w:val="00F53018"/>
    <w:rsid w:val="00F53DFB"/>
    <w:rsid w:val="00F543A0"/>
    <w:rsid w:val="00F5461E"/>
    <w:rsid w:val="00F546A6"/>
    <w:rsid w:val="00F54720"/>
    <w:rsid w:val="00F54D66"/>
    <w:rsid w:val="00F555F3"/>
    <w:rsid w:val="00F556F4"/>
    <w:rsid w:val="00F55C20"/>
    <w:rsid w:val="00F55F4D"/>
    <w:rsid w:val="00F5642D"/>
    <w:rsid w:val="00F57199"/>
    <w:rsid w:val="00F57566"/>
    <w:rsid w:val="00F57B2D"/>
    <w:rsid w:val="00F57C13"/>
    <w:rsid w:val="00F57D47"/>
    <w:rsid w:val="00F57DC1"/>
    <w:rsid w:val="00F601B4"/>
    <w:rsid w:val="00F60455"/>
    <w:rsid w:val="00F60E8E"/>
    <w:rsid w:val="00F615EA"/>
    <w:rsid w:val="00F6179F"/>
    <w:rsid w:val="00F618DE"/>
    <w:rsid w:val="00F61A9D"/>
    <w:rsid w:val="00F6219E"/>
    <w:rsid w:val="00F622D6"/>
    <w:rsid w:val="00F6247C"/>
    <w:rsid w:val="00F6288C"/>
    <w:rsid w:val="00F62B1A"/>
    <w:rsid w:val="00F62B3C"/>
    <w:rsid w:val="00F62D63"/>
    <w:rsid w:val="00F62E54"/>
    <w:rsid w:val="00F63257"/>
    <w:rsid w:val="00F636EE"/>
    <w:rsid w:val="00F64959"/>
    <w:rsid w:val="00F65119"/>
    <w:rsid w:val="00F65131"/>
    <w:rsid w:val="00F65303"/>
    <w:rsid w:val="00F65375"/>
    <w:rsid w:val="00F65760"/>
    <w:rsid w:val="00F658B4"/>
    <w:rsid w:val="00F65947"/>
    <w:rsid w:val="00F65C7F"/>
    <w:rsid w:val="00F65C88"/>
    <w:rsid w:val="00F66078"/>
    <w:rsid w:val="00F661C8"/>
    <w:rsid w:val="00F66B80"/>
    <w:rsid w:val="00F66B9F"/>
    <w:rsid w:val="00F66E1D"/>
    <w:rsid w:val="00F66E3B"/>
    <w:rsid w:val="00F66E81"/>
    <w:rsid w:val="00F67015"/>
    <w:rsid w:val="00F670D9"/>
    <w:rsid w:val="00F67137"/>
    <w:rsid w:val="00F671E9"/>
    <w:rsid w:val="00F673B7"/>
    <w:rsid w:val="00F67495"/>
    <w:rsid w:val="00F675B9"/>
    <w:rsid w:val="00F70912"/>
    <w:rsid w:val="00F70C14"/>
    <w:rsid w:val="00F71378"/>
    <w:rsid w:val="00F713C8"/>
    <w:rsid w:val="00F71A0E"/>
    <w:rsid w:val="00F71C48"/>
    <w:rsid w:val="00F71D6A"/>
    <w:rsid w:val="00F71FE5"/>
    <w:rsid w:val="00F722B6"/>
    <w:rsid w:val="00F72BFC"/>
    <w:rsid w:val="00F72DD4"/>
    <w:rsid w:val="00F7317E"/>
    <w:rsid w:val="00F7334F"/>
    <w:rsid w:val="00F7345D"/>
    <w:rsid w:val="00F734F0"/>
    <w:rsid w:val="00F73B08"/>
    <w:rsid w:val="00F73C65"/>
    <w:rsid w:val="00F73D9A"/>
    <w:rsid w:val="00F73DB4"/>
    <w:rsid w:val="00F73F1B"/>
    <w:rsid w:val="00F73F70"/>
    <w:rsid w:val="00F74BF5"/>
    <w:rsid w:val="00F74E0A"/>
    <w:rsid w:val="00F74E5B"/>
    <w:rsid w:val="00F7546D"/>
    <w:rsid w:val="00F7560C"/>
    <w:rsid w:val="00F7585C"/>
    <w:rsid w:val="00F758CE"/>
    <w:rsid w:val="00F75990"/>
    <w:rsid w:val="00F7617F"/>
    <w:rsid w:val="00F761FB"/>
    <w:rsid w:val="00F76406"/>
    <w:rsid w:val="00F768D6"/>
    <w:rsid w:val="00F7700B"/>
    <w:rsid w:val="00F7751E"/>
    <w:rsid w:val="00F77920"/>
    <w:rsid w:val="00F77AE7"/>
    <w:rsid w:val="00F77DB4"/>
    <w:rsid w:val="00F80195"/>
    <w:rsid w:val="00F807A7"/>
    <w:rsid w:val="00F80A32"/>
    <w:rsid w:val="00F80CF5"/>
    <w:rsid w:val="00F811FB"/>
    <w:rsid w:val="00F8135C"/>
    <w:rsid w:val="00F814B9"/>
    <w:rsid w:val="00F815CA"/>
    <w:rsid w:val="00F8184B"/>
    <w:rsid w:val="00F81B56"/>
    <w:rsid w:val="00F825EB"/>
    <w:rsid w:val="00F828EF"/>
    <w:rsid w:val="00F82DC4"/>
    <w:rsid w:val="00F82E5A"/>
    <w:rsid w:val="00F82EC5"/>
    <w:rsid w:val="00F82FE1"/>
    <w:rsid w:val="00F83057"/>
    <w:rsid w:val="00F836D3"/>
    <w:rsid w:val="00F836EE"/>
    <w:rsid w:val="00F83FE4"/>
    <w:rsid w:val="00F84229"/>
    <w:rsid w:val="00F843C6"/>
    <w:rsid w:val="00F84489"/>
    <w:rsid w:val="00F84D17"/>
    <w:rsid w:val="00F84DB3"/>
    <w:rsid w:val="00F8520C"/>
    <w:rsid w:val="00F8544A"/>
    <w:rsid w:val="00F85668"/>
    <w:rsid w:val="00F8576F"/>
    <w:rsid w:val="00F85CC0"/>
    <w:rsid w:val="00F85DCC"/>
    <w:rsid w:val="00F860C2"/>
    <w:rsid w:val="00F86193"/>
    <w:rsid w:val="00F863DB"/>
    <w:rsid w:val="00F868D2"/>
    <w:rsid w:val="00F8719A"/>
    <w:rsid w:val="00F87236"/>
    <w:rsid w:val="00F87589"/>
    <w:rsid w:val="00F87739"/>
    <w:rsid w:val="00F877A9"/>
    <w:rsid w:val="00F877C5"/>
    <w:rsid w:val="00F87CFC"/>
    <w:rsid w:val="00F900AC"/>
    <w:rsid w:val="00F90BB7"/>
    <w:rsid w:val="00F90BD9"/>
    <w:rsid w:val="00F9103A"/>
    <w:rsid w:val="00F91083"/>
    <w:rsid w:val="00F91770"/>
    <w:rsid w:val="00F91820"/>
    <w:rsid w:val="00F91A72"/>
    <w:rsid w:val="00F91CD0"/>
    <w:rsid w:val="00F92002"/>
    <w:rsid w:val="00F92152"/>
    <w:rsid w:val="00F92279"/>
    <w:rsid w:val="00F92682"/>
    <w:rsid w:val="00F926DE"/>
    <w:rsid w:val="00F92CA5"/>
    <w:rsid w:val="00F93F97"/>
    <w:rsid w:val="00F940CE"/>
    <w:rsid w:val="00F94286"/>
    <w:rsid w:val="00F948B3"/>
    <w:rsid w:val="00F94B55"/>
    <w:rsid w:val="00F94E7C"/>
    <w:rsid w:val="00F95038"/>
    <w:rsid w:val="00F95860"/>
    <w:rsid w:val="00F96034"/>
    <w:rsid w:val="00F96350"/>
    <w:rsid w:val="00F963EA"/>
    <w:rsid w:val="00F96C4F"/>
    <w:rsid w:val="00F97582"/>
    <w:rsid w:val="00F976E0"/>
    <w:rsid w:val="00F976EB"/>
    <w:rsid w:val="00F97833"/>
    <w:rsid w:val="00F97A4B"/>
    <w:rsid w:val="00F97E41"/>
    <w:rsid w:val="00FA04E7"/>
    <w:rsid w:val="00FA0640"/>
    <w:rsid w:val="00FA0720"/>
    <w:rsid w:val="00FA0743"/>
    <w:rsid w:val="00FA0856"/>
    <w:rsid w:val="00FA0A3B"/>
    <w:rsid w:val="00FA0E19"/>
    <w:rsid w:val="00FA1493"/>
    <w:rsid w:val="00FA1521"/>
    <w:rsid w:val="00FA1F48"/>
    <w:rsid w:val="00FA2641"/>
    <w:rsid w:val="00FA2A3A"/>
    <w:rsid w:val="00FA2A5B"/>
    <w:rsid w:val="00FA3217"/>
    <w:rsid w:val="00FA32C2"/>
    <w:rsid w:val="00FA3401"/>
    <w:rsid w:val="00FA3A73"/>
    <w:rsid w:val="00FA3B8D"/>
    <w:rsid w:val="00FA3CA2"/>
    <w:rsid w:val="00FA3D57"/>
    <w:rsid w:val="00FA41F5"/>
    <w:rsid w:val="00FA44F5"/>
    <w:rsid w:val="00FA4A2E"/>
    <w:rsid w:val="00FA58F8"/>
    <w:rsid w:val="00FA5DDB"/>
    <w:rsid w:val="00FA64EC"/>
    <w:rsid w:val="00FA65DB"/>
    <w:rsid w:val="00FA662F"/>
    <w:rsid w:val="00FA6858"/>
    <w:rsid w:val="00FA68DE"/>
    <w:rsid w:val="00FA6DB7"/>
    <w:rsid w:val="00FA7E54"/>
    <w:rsid w:val="00FB029C"/>
    <w:rsid w:val="00FB04EA"/>
    <w:rsid w:val="00FB0601"/>
    <w:rsid w:val="00FB06D1"/>
    <w:rsid w:val="00FB087B"/>
    <w:rsid w:val="00FB0D14"/>
    <w:rsid w:val="00FB0DC1"/>
    <w:rsid w:val="00FB1042"/>
    <w:rsid w:val="00FB14EE"/>
    <w:rsid w:val="00FB163D"/>
    <w:rsid w:val="00FB1DA8"/>
    <w:rsid w:val="00FB2124"/>
    <w:rsid w:val="00FB28BC"/>
    <w:rsid w:val="00FB2E82"/>
    <w:rsid w:val="00FB2EAD"/>
    <w:rsid w:val="00FB38BC"/>
    <w:rsid w:val="00FB3BE8"/>
    <w:rsid w:val="00FB3E5B"/>
    <w:rsid w:val="00FB4F2C"/>
    <w:rsid w:val="00FB52E5"/>
    <w:rsid w:val="00FB5789"/>
    <w:rsid w:val="00FB599F"/>
    <w:rsid w:val="00FB5E69"/>
    <w:rsid w:val="00FB6334"/>
    <w:rsid w:val="00FB64AA"/>
    <w:rsid w:val="00FB64B5"/>
    <w:rsid w:val="00FB6728"/>
    <w:rsid w:val="00FB71AB"/>
    <w:rsid w:val="00FC0342"/>
    <w:rsid w:val="00FC035F"/>
    <w:rsid w:val="00FC0370"/>
    <w:rsid w:val="00FC0471"/>
    <w:rsid w:val="00FC0992"/>
    <w:rsid w:val="00FC0FAA"/>
    <w:rsid w:val="00FC1114"/>
    <w:rsid w:val="00FC1552"/>
    <w:rsid w:val="00FC15D8"/>
    <w:rsid w:val="00FC178C"/>
    <w:rsid w:val="00FC1C1D"/>
    <w:rsid w:val="00FC27A3"/>
    <w:rsid w:val="00FC310A"/>
    <w:rsid w:val="00FC3295"/>
    <w:rsid w:val="00FC3B9D"/>
    <w:rsid w:val="00FC4126"/>
    <w:rsid w:val="00FC4191"/>
    <w:rsid w:val="00FC4202"/>
    <w:rsid w:val="00FC43B6"/>
    <w:rsid w:val="00FC4456"/>
    <w:rsid w:val="00FC488A"/>
    <w:rsid w:val="00FC4E0C"/>
    <w:rsid w:val="00FC5587"/>
    <w:rsid w:val="00FC5655"/>
    <w:rsid w:val="00FC58E8"/>
    <w:rsid w:val="00FC5C8F"/>
    <w:rsid w:val="00FC5F93"/>
    <w:rsid w:val="00FC61E7"/>
    <w:rsid w:val="00FC636C"/>
    <w:rsid w:val="00FC63AB"/>
    <w:rsid w:val="00FC666A"/>
    <w:rsid w:val="00FC675B"/>
    <w:rsid w:val="00FC6898"/>
    <w:rsid w:val="00FC6989"/>
    <w:rsid w:val="00FC6A8C"/>
    <w:rsid w:val="00FC6ADA"/>
    <w:rsid w:val="00FC6C4C"/>
    <w:rsid w:val="00FC6EBA"/>
    <w:rsid w:val="00FC73EA"/>
    <w:rsid w:val="00FC74CA"/>
    <w:rsid w:val="00FC761E"/>
    <w:rsid w:val="00FC79A3"/>
    <w:rsid w:val="00FC7E5D"/>
    <w:rsid w:val="00FC7FEA"/>
    <w:rsid w:val="00FD0049"/>
    <w:rsid w:val="00FD04AF"/>
    <w:rsid w:val="00FD05F3"/>
    <w:rsid w:val="00FD0AD9"/>
    <w:rsid w:val="00FD0FEF"/>
    <w:rsid w:val="00FD107B"/>
    <w:rsid w:val="00FD1176"/>
    <w:rsid w:val="00FD11DA"/>
    <w:rsid w:val="00FD13DC"/>
    <w:rsid w:val="00FD19F4"/>
    <w:rsid w:val="00FD1C9F"/>
    <w:rsid w:val="00FD2105"/>
    <w:rsid w:val="00FD2214"/>
    <w:rsid w:val="00FD25F5"/>
    <w:rsid w:val="00FD2A8E"/>
    <w:rsid w:val="00FD31D7"/>
    <w:rsid w:val="00FD32E3"/>
    <w:rsid w:val="00FD34B9"/>
    <w:rsid w:val="00FD359A"/>
    <w:rsid w:val="00FD3B47"/>
    <w:rsid w:val="00FD3B73"/>
    <w:rsid w:val="00FD3ED6"/>
    <w:rsid w:val="00FD40FC"/>
    <w:rsid w:val="00FD42E4"/>
    <w:rsid w:val="00FD4481"/>
    <w:rsid w:val="00FD4926"/>
    <w:rsid w:val="00FD555D"/>
    <w:rsid w:val="00FD5569"/>
    <w:rsid w:val="00FD55FC"/>
    <w:rsid w:val="00FD592E"/>
    <w:rsid w:val="00FD5A57"/>
    <w:rsid w:val="00FD5AB3"/>
    <w:rsid w:val="00FD5C32"/>
    <w:rsid w:val="00FD5E85"/>
    <w:rsid w:val="00FD5F63"/>
    <w:rsid w:val="00FD6149"/>
    <w:rsid w:val="00FD6624"/>
    <w:rsid w:val="00FD6998"/>
    <w:rsid w:val="00FD69A0"/>
    <w:rsid w:val="00FD764F"/>
    <w:rsid w:val="00FD7816"/>
    <w:rsid w:val="00FD7F9F"/>
    <w:rsid w:val="00FE02BF"/>
    <w:rsid w:val="00FE04AD"/>
    <w:rsid w:val="00FE0690"/>
    <w:rsid w:val="00FE0A60"/>
    <w:rsid w:val="00FE0EE9"/>
    <w:rsid w:val="00FE0F0E"/>
    <w:rsid w:val="00FE1228"/>
    <w:rsid w:val="00FE1469"/>
    <w:rsid w:val="00FE1750"/>
    <w:rsid w:val="00FE1AD6"/>
    <w:rsid w:val="00FE1C5A"/>
    <w:rsid w:val="00FE1EC2"/>
    <w:rsid w:val="00FE1F94"/>
    <w:rsid w:val="00FE233F"/>
    <w:rsid w:val="00FE2389"/>
    <w:rsid w:val="00FE29EC"/>
    <w:rsid w:val="00FE2FDB"/>
    <w:rsid w:val="00FE308B"/>
    <w:rsid w:val="00FE30CC"/>
    <w:rsid w:val="00FE3722"/>
    <w:rsid w:val="00FE37F2"/>
    <w:rsid w:val="00FE3B8A"/>
    <w:rsid w:val="00FE3D68"/>
    <w:rsid w:val="00FE42E3"/>
    <w:rsid w:val="00FE5297"/>
    <w:rsid w:val="00FE52BE"/>
    <w:rsid w:val="00FE530F"/>
    <w:rsid w:val="00FE553C"/>
    <w:rsid w:val="00FE610A"/>
    <w:rsid w:val="00FE6465"/>
    <w:rsid w:val="00FE65E8"/>
    <w:rsid w:val="00FE66B3"/>
    <w:rsid w:val="00FE67E4"/>
    <w:rsid w:val="00FE6E44"/>
    <w:rsid w:val="00FE700C"/>
    <w:rsid w:val="00FE72CD"/>
    <w:rsid w:val="00FE7365"/>
    <w:rsid w:val="00FE7374"/>
    <w:rsid w:val="00FE76B5"/>
    <w:rsid w:val="00FE7A90"/>
    <w:rsid w:val="00FE7D79"/>
    <w:rsid w:val="00FE7D85"/>
    <w:rsid w:val="00FF01C2"/>
    <w:rsid w:val="00FF01D2"/>
    <w:rsid w:val="00FF02C3"/>
    <w:rsid w:val="00FF07E0"/>
    <w:rsid w:val="00FF088C"/>
    <w:rsid w:val="00FF09FD"/>
    <w:rsid w:val="00FF0E46"/>
    <w:rsid w:val="00FF0EB6"/>
    <w:rsid w:val="00FF108E"/>
    <w:rsid w:val="00FF10ED"/>
    <w:rsid w:val="00FF1712"/>
    <w:rsid w:val="00FF1BFC"/>
    <w:rsid w:val="00FF24C2"/>
    <w:rsid w:val="00FF2B87"/>
    <w:rsid w:val="00FF2C5B"/>
    <w:rsid w:val="00FF30A6"/>
    <w:rsid w:val="00FF3A06"/>
    <w:rsid w:val="00FF3EF7"/>
    <w:rsid w:val="00FF4157"/>
    <w:rsid w:val="00FF4413"/>
    <w:rsid w:val="00FF448C"/>
    <w:rsid w:val="00FF499E"/>
    <w:rsid w:val="00FF4C93"/>
    <w:rsid w:val="00FF4D5E"/>
    <w:rsid w:val="00FF5230"/>
    <w:rsid w:val="00FF53B3"/>
    <w:rsid w:val="00FF5A50"/>
    <w:rsid w:val="00FF5A97"/>
    <w:rsid w:val="00FF6B2D"/>
    <w:rsid w:val="00FF6BB3"/>
    <w:rsid w:val="00FF6BF6"/>
    <w:rsid w:val="00FF6FEE"/>
    <w:rsid w:val="00FF7527"/>
    <w:rsid w:val="00FF794D"/>
    <w:rsid w:val="00FF7E30"/>
    <w:rsid w:val="0131C023"/>
    <w:rsid w:val="0185944C"/>
    <w:rsid w:val="01D82163"/>
    <w:rsid w:val="01EBA660"/>
    <w:rsid w:val="020C10E7"/>
    <w:rsid w:val="040F3670"/>
    <w:rsid w:val="047B39B4"/>
    <w:rsid w:val="0558AFC6"/>
    <w:rsid w:val="06003EFA"/>
    <w:rsid w:val="062D3611"/>
    <w:rsid w:val="089740C6"/>
    <w:rsid w:val="09620F3C"/>
    <w:rsid w:val="09DA8549"/>
    <w:rsid w:val="0A482332"/>
    <w:rsid w:val="0B302146"/>
    <w:rsid w:val="0BEFA8B7"/>
    <w:rsid w:val="0C072D72"/>
    <w:rsid w:val="0CF25954"/>
    <w:rsid w:val="0CFD183F"/>
    <w:rsid w:val="0CFFE6FD"/>
    <w:rsid w:val="0D3E632D"/>
    <w:rsid w:val="0D649491"/>
    <w:rsid w:val="0D8C13E1"/>
    <w:rsid w:val="109D727F"/>
    <w:rsid w:val="1258AB28"/>
    <w:rsid w:val="13897B91"/>
    <w:rsid w:val="14059809"/>
    <w:rsid w:val="140D7D3B"/>
    <w:rsid w:val="14A1C92D"/>
    <w:rsid w:val="1671231A"/>
    <w:rsid w:val="17300D53"/>
    <w:rsid w:val="175E1C43"/>
    <w:rsid w:val="18BFA687"/>
    <w:rsid w:val="18D2D3B8"/>
    <w:rsid w:val="18E9334A"/>
    <w:rsid w:val="1BBBA1AD"/>
    <w:rsid w:val="1CE0BE3B"/>
    <w:rsid w:val="1D75DFC6"/>
    <w:rsid w:val="1E417675"/>
    <w:rsid w:val="1E54EB18"/>
    <w:rsid w:val="1ECF4A9D"/>
    <w:rsid w:val="1F6B75C6"/>
    <w:rsid w:val="1F7357A4"/>
    <w:rsid w:val="213127EE"/>
    <w:rsid w:val="21782818"/>
    <w:rsid w:val="220BB330"/>
    <w:rsid w:val="2269546B"/>
    <w:rsid w:val="229FE171"/>
    <w:rsid w:val="22CDFDC6"/>
    <w:rsid w:val="230B6997"/>
    <w:rsid w:val="235BA4E1"/>
    <w:rsid w:val="23650AF3"/>
    <w:rsid w:val="2366ED49"/>
    <w:rsid w:val="244D8E29"/>
    <w:rsid w:val="24539212"/>
    <w:rsid w:val="2482FFC6"/>
    <w:rsid w:val="24FC6851"/>
    <w:rsid w:val="25BEF371"/>
    <w:rsid w:val="269B23DB"/>
    <w:rsid w:val="26A0DE3F"/>
    <w:rsid w:val="2720955D"/>
    <w:rsid w:val="277740D6"/>
    <w:rsid w:val="284B916D"/>
    <w:rsid w:val="2852AB93"/>
    <w:rsid w:val="28B07256"/>
    <w:rsid w:val="28DB5CD5"/>
    <w:rsid w:val="29A29188"/>
    <w:rsid w:val="2B42DC97"/>
    <w:rsid w:val="2BE8AB57"/>
    <w:rsid w:val="2D9DB813"/>
    <w:rsid w:val="2E1508FF"/>
    <w:rsid w:val="2E2EB177"/>
    <w:rsid w:val="2F035A6E"/>
    <w:rsid w:val="2F53D1A7"/>
    <w:rsid w:val="2F84BCCC"/>
    <w:rsid w:val="2F92F9F4"/>
    <w:rsid w:val="2FFBAF7B"/>
    <w:rsid w:val="309D608E"/>
    <w:rsid w:val="30A001D9"/>
    <w:rsid w:val="33959607"/>
    <w:rsid w:val="33BFF7F6"/>
    <w:rsid w:val="346842B8"/>
    <w:rsid w:val="35198974"/>
    <w:rsid w:val="353BA92B"/>
    <w:rsid w:val="368EC695"/>
    <w:rsid w:val="36C1D448"/>
    <w:rsid w:val="37EFF2F3"/>
    <w:rsid w:val="392CAE3D"/>
    <w:rsid w:val="393D2CE5"/>
    <w:rsid w:val="3980DD81"/>
    <w:rsid w:val="39B00B66"/>
    <w:rsid w:val="3C30BE28"/>
    <w:rsid w:val="3C340F23"/>
    <w:rsid w:val="3C8235D3"/>
    <w:rsid w:val="3D4EFCC4"/>
    <w:rsid w:val="3DB18783"/>
    <w:rsid w:val="3DFB413F"/>
    <w:rsid w:val="3E7FCB61"/>
    <w:rsid w:val="3E948E8E"/>
    <w:rsid w:val="3F468650"/>
    <w:rsid w:val="3F492C38"/>
    <w:rsid w:val="3FCFF2F6"/>
    <w:rsid w:val="3FD20AE1"/>
    <w:rsid w:val="402912E5"/>
    <w:rsid w:val="4130CE04"/>
    <w:rsid w:val="413E82C5"/>
    <w:rsid w:val="4197AD5A"/>
    <w:rsid w:val="42A27A27"/>
    <w:rsid w:val="4308F277"/>
    <w:rsid w:val="4489E457"/>
    <w:rsid w:val="44FB618D"/>
    <w:rsid w:val="45E3CA95"/>
    <w:rsid w:val="4646F7A0"/>
    <w:rsid w:val="46713D39"/>
    <w:rsid w:val="47A44D04"/>
    <w:rsid w:val="47A8E0AD"/>
    <w:rsid w:val="47FE7573"/>
    <w:rsid w:val="48868E34"/>
    <w:rsid w:val="48D679F2"/>
    <w:rsid w:val="49118EFC"/>
    <w:rsid w:val="4943353F"/>
    <w:rsid w:val="4978EF66"/>
    <w:rsid w:val="4A2BFEC8"/>
    <w:rsid w:val="4B694D5F"/>
    <w:rsid w:val="4D16E1FB"/>
    <w:rsid w:val="4D1C904C"/>
    <w:rsid w:val="4DAB368E"/>
    <w:rsid w:val="4E35CF40"/>
    <w:rsid w:val="5053EC67"/>
    <w:rsid w:val="50976520"/>
    <w:rsid w:val="5223AAAC"/>
    <w:rsid w:val="52A9C8BC"/>
    <w:rsid w:val="53485D48"/>
    <w:rsid w:val="5434380B"/>
    <w:rsid w:val="5678F137"/>
    <w:rsid w:val="584FA1EC"/>
    <w:rsid w:val="58F8DDED"/>
    <w:rsid w:val="594DF187"/>
    <w:rsid w:val="5A1A9241"/>
    <w:rsid w:val="5AF77BC7"/>
    <w:rsid w:val="5B29F5C9"/>
    <w:rsid w:val="5C51117F"/>
    <w:rsid w:val="5C676E52"/>
    <w:rsid w:val="5D241D13"/>
    <w:rsid w:val="5D7EC430"/>
    <w:rsid w:val="5DBC7506"/>
    <w:rsid w:val="5E1EC39C"/>
    <w:rsid w:val="5E5547B3"/>
    <w:rsid w:val="5E5AA88C"/>
    <w:rsid w:val="5F0C419E"/>
    <w:rsid w:val="5FFD8CE2"/>
    <w:rsid w:val="60A06549"/>
    <w:rsid w:val="60B602E7"/>
    <w:rsid w:val="61D64E7D"/>
    <w:rsid w:val="61E3E8CA"/>
    <w:rsid w:val="640CF7E3"/>
    <w:rsid w:val="64A3F62B"/>
    <w:rsid w:val="64A430DD"/>
    <w:rsid w:val="64F92191"/>
    <w:rsid w:val="664AC5AE"/>
    <w:rsid w:val="68539BD6"/>
    <w:rsid w:val="68D026D9"/>
    <w:rsid w:val="68EB3D3C"/>
    <w:rsid w:val="68F7A3A7"/>
    <w:rsid w:val="692747B6"/>
    <w:rsid w:val="6A9A65C1"/>
    <w:rsid w:val="6AF67212"/>
    <w:rsid w:val="6B4CB8B9"/>
    <w:rsid w:val="6BA8FF54"/>
    <w:rsid w:val="6C4B04A8"/>
    <w:rsid w:val="6DBDC92D"/>
    <w:rsid w:val="6E356D94"/>
    <w:rsid w:val="6F351CA8"/>
    <w:rsid w:val="6F7EBBE5"/>
    <w:rsid w:val="6FB369B9"/>
    <w:rsid w:val="6FB47D6F"/>
    <w:rsid w:val="6FF425B4"/>
    <w:rsid w:val="70221BDC"/>
    <w:rsid w:val="70E87A40"/>
    <w:rsid w:val="716E52A1"/>
    <w:rsid w:val="71865E88"/>
    <w:rsid w:val="71AEE5D9"/>
    <w:rsid w:val="72B4F700"/>
    <w:rsid w:val="73162902"/>
    <w:rsid w:val="73F6C3B3"/>
    <w:rsid w:val="74BE3AD1"/>
    <w:rsid w:val="74F2558C"/>
    <w:rsid w:val="75806CA9"/>
    <w:rsid w:val="76FC7E0A"/>
    <w:rsid w:val="77F18427"/>
    <w:rsid w:val="784D1A19"/>
    <w:rsid w:val="78E4DC18"/>
    <w:rsid w:val="7997FED6"/>
    <w:rsid w:val="7ADA1A50"/>
    <w:rsid w:val="7C3FB496"/>
    <w:rsid w:val="7E35570E"/>
    <w:rsid w:val="7EADC07F"/>
    <w:rsid w:val="7F6B8D7E"/>
    <w:rsid w:val="7F9DC440"/>
    <w:rsid w:val="7FCE8C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CB64D"/>
  <w15:docId w15:val="{AF9699FA-A7D7-45AB-AD24-A78CA4BE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76"/>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3D5976"/>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D5976"/>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3D5976"/>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3D5976"/>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3D5976"/>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3D5976"/>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unhideWhenUsed/>
    <w:qFormat/>
    <w:rsid w:val="008164B7"/>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unhideWhenUsed/>
    <w:qFormat/>
    <w:rsid w:val="008164B7"/>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8164B7"/>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rsid w:val="003D59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5976"/>
  </w:style>
  <w:style w:type="character" w:customStyle="1" w:styleId="Heading1Char">
    <w:name w:val="Heading 1 Char"/>
    <w:basedOn w:val="DefaultParagraphFont"/>
    <w:link w:val="Heading1"/>
    <w:rsid w:val="003D5976"/>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D5976"/>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3D5976"/>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3D5976"/>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3D5976"/>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3D5976"/>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3D5976"/>
    <w:pPr>
      <w:keepNext/>
      <w:spacing w:before="0" w:after="0"/>
      <w:jc w:val="center"/>
    </w:pPr>
    <w:rPr>
      <w:color w:val="004A7F"/>
      <w:sz w:val="20"/>
    </w:rPr>
  </w:style>
  <w:style w:type="paragraph" w:customStyle="1" w:styleId="AlphaParagraph">
    <w:name w:val="Alpha Paragraph"/>
    <w:basedOn w:val="Normal"/>
    <w:rsid w:val="003D5976"/>
    <w:pPr>
      <w:numPr>
        <w:ilvl w:val="1"/>
        <w:numId w:val="6"/>
      </w:numPr>
      <w:spacing w:before="0"/>
    </w:pPr>
  </w:style>
  <w:style w:type="table" w:styleId="TableGridLight">
    <w:name w:val="Grid Table Light"/>
    <w:basedOn w:val="TableNormal"/>
    <w:uiPriority w:val="40"/>
    <w:rsid w:val="003D59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3D5976"/>
    <w:pPr>
      <w:keepNext/>
      <w:spacing w:before="240"/>
    </w:pPr>
    <w:rPr>
      <w:b/>
      <w:color w:val="2C384A" w:themeColor="accent1"/>
      <w:sz w:val="28"/>
      <w:szCs w:val="26"/>
    </w:rPr>
  </w:style>
  <w:style w:type="paragraph" w:customStyle="1" w:styleId="BoxText">
    <w:name w:val="Box Text"/>
    <w:basedOn w:val="Normal"/>
    <w:link w:val="BoxTextChar"/>
    <w:rsid w:val="003D5976"/>
  </w:style>
  <w:style w:type="paragraph" w:customStyle="1" w:styleId="Bullet">
    <w:name w:val="Bullet"/>
    <w:aliases w:val="b,b + line,b1,Body,level 1,Bullet + line,BodyNum,bulleted,Bullet Char1,Bullet Char1 Char Char Char Char,b1 Char Char Char,Bullet Char1 Char Char Char Char Char,Bullet Char1 Char Char Char"/>
    <w:basedOn w:val="Normal"/>
    <w:link w:val="BulletChar"/>
    <w:qFormat/>
    <w:rsid w:val="003D5976"/>
    <w:pPr>
      <w:numPr>
        <w:numId w:val="8"/>
      </w:numPr>
      <w:tabs>
        <w:tab w:val="left" w:pos="720"/>
      </w:tabs>
      <w:spacing w:after="0" w:line="276" w:lineRule="auto"/>
    </w:pPr>
  </w:style>
  <w:style w:type="paragraph" w:customStyle="1" w:styleId="ChartandTableFootnoteAlpha">
    <w:name w:val="Chart and Table Footnote Alpha"/>
    <w:rsid w:val="003D5976"/>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3D5976"/>
    <w:pPr>
      <w:jc w:val="center"/>
    </w:pPr>
  </w:style>
  <w:style w:type="paragraph" w:customStyle="1" w:styleId="ChartorTableNote">
    <w:name w:val="Chart or Table Note"/>
    <w:next w:val="Normal"/>
    <w:qFormat/>
    <w:rsid w:val="003D5976"/>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D5976"/>
    <w:pPr>
      <w:jc w:val="center"/>
    </w:pPr>
    <w:rPr>
      <w:b w:val="0"/>
      <w:bCs/>
    </w:rPr>
  </w:style>
  <w:style w:type="paragraph" w:customStyle="1" w:styleId="ReportDate">
    <w:name w:val="Report Date"/>
    <w:basedOn w:val="Normal"/>
    <w:link w:val="ReportDateChar"/>
    <w:rsid w:val="003D5976"/>
    <w:pPr>
      <w:keepNext/>
      <w:spacing w:before="0" w:after="360"/>
    </w:pPr>
    <w:rPr>
      <w:color w:val="2C384A" w:themeColor="accent1"/>
      <w:sz w:val="32"/>
    </w:rPr>
  </w:style>
  <w:style w:type="paragraph" w:customStyle="1" w:styleId="Dash">
    <w:name w:val="Dash"/>
    <w:basedOn w:val="Normal"/>
    <w:link w:val="DashChar"/>
    <w:qFormat/>
    <w:rsid w:val="003D5976"/>
    <w:pPr>
      <w:numPr>
        <w:ilvl w:val="1"/>
        <w:numId w:val="1"/>
      </w:numPr>
      <w:spacing w:before="0"/>
    </w:pPr>
  </w:style>
  <w:style w:type="paragraph" w:customStyle="1" w:styleId="DoubleDot">
    <w:name w:val="Double Dot"/>
    <w:basedOn w:val="Normal"/>
    <w:link w:val="DoubleDotChar"/>
    <w:qFormat/>
    <w:rsid w:val="003D5976"/>
    <w:pPr>
      <w:numPr>
        <w:ilvl w:val="2"/>
        <w:numId w:val="1"/>
      </w:numPr>
      <w:spacing w:before="0"/>
    </w:pPr>
  </w:style>
  <w:style w:type="paragraph" w:customStyle="1" w:styleId="TableMainHeading">
    <w:name w:val="Table Main Heading"/>
    <w:basedOn w:val="Heading3"/>
    <w:next w:val="Normal"/>
    <w:qFormat/>
    <w:rsid w:val="003D5976"/>
    <w:pPr>
      <w:spacing w:before="120"/>
    </w:pPr>
    <w:rPr>
      <w:b w:val="0"/>
      <w:sz w:val="26"/>
    </w:rPr>
  </w:style>
  <w:style w:type="paragraph" w:customStyle="1" w:styleId="FooterEven">
    <w:name w:val="Footer Even"/>
    <w:basedOn w:val="Footer"/>
    <w:rsid w:val="003D5976"/>
    <w:pPr>
      <w:tabs>
        <w:tab w:val="clear" w:pos="9072"/>
      </w:tabs>
      <w:jc w:val="left"/>
    </w:pPr>
  </w:style>
  <w:style w:type="paragraph" w:customStyle="1" w:styleId="FooterOdd">
    <w:name w:val="Footer Odd"/>
    <w:basedOn w:val="Footer"/>
    <w:rsid w:val="003D5976"/>
    <w:pPr>
      <w:tabs>
        <w:tab w:val="clear" w:pos="9072"/>
      </w:tabs>
    </w:pPr>
    <w:rPr>
      <w:noProof w:val="0"/>
    </w:rPr>
  </w:style>
  <w:style w:type="character" w:styleId="Hyperlink">
    <w:name w:val="Hyperlink"/>
    <w:basedOn w:val="DefaultParagraphFont"/>
    <w:uiPriority w:val="99"/>
    <w:rsid w:val="003D5976"/>
    <w:rPr>
      <w:color w:val="3A6FAF"/>
      <w:u w:val="single"/>
    </w:rPr>
  </w:style>
  <w:style w:type="paragraph" w:customStyle="1" w:styleId="OutlineNumbered1">
    <w:name w:val="Outline Numbered 1"/>
    <w:basedOn w:val="Normal"/>
    <w:link w:val="OutlineNumbered1Char"/>
    <w:rsid w:val="003D5976"/>
    <w:pPr>
      <w:numPr>
        <w:numId w:val="4"/>
      </w:numPr>
      <w:spacing w:before="0"/>
    </w:pPr>
  </w:style>
  <w:style w:type="paragraph" w:customStyle="1" w:styleId="OneLevelNumberedParagraph">
    <w:name w:val="One Level Numbered Paragraph"/>
    <w:basedOn w:val="Normal"/>
    <w:rsid w:val="003D5976"/>
    <w:pPr>
      <w:numPr>
        <w:numId w:val="3"/>
      </w:numPr>
      <w:tabs>
        <w:tab w:val="clear" w:pos="284"/>
        <w:tab w:val="num" w:pos="360"/>
      </w:tabs>
      <w:spacing w:before="0"/>
      <w:ind w:left="0" w:firstLine="0"/>
    </w:pPr>
  </w:style>
  <w:style w:type="paragraph" w:customStyle="1" w:styleId="OutlineNumbered2">
    <w:name w:val="Outline Numbered 2"/>
    <w:basedOn w:val="Normal"/>
    <w:rsid w:val="003D5976"/>
    <w:pPr>
      <w:numPr>
        <w:ilvl w:val="1"/>
        <w:numId w:val="4"/>
      </w:numPr>
      <w:spacing w:before="0"/>
    </w:pPr>
  </w:style>
  <w:style w:type="paragraph" w:customStyle="1" w:styleId="OutlineNumbered3">
    <w:name w:val="Outline Numbered 3"/>
    <w:basedOn w:val="Normal"/>
    <w:rsid w:val="003D5976"/>
    <w:pPr>
      <w:numPr>
        <w:ilvl w:val="2"/>
        <w:numId w:val="4"/>
      </w:numPr>
      <w:spacing w:before="0"/>
    </w:pPr>
  </w:style>
  <w:style w:type="paragraph" w:customStyle="1" w:styleId="SingleParagraph">
    <w:name w:val="Single Paragraph"/>
    <w:basedOn w:val="Normal"/>
    <w:link w:val="SingleParagraphChar"/>
    <w:rsid w:val="003D5976"/>
    <w:pPr>
      <w:spacing w:before="0" w:after="0"/>
    </w:pPr>
  </w:style>
  <w:style w:type="paragraph" w:customStyle="1" w:styleId="TableSecondHeading">
    <w:name w:val="Table Second Heading"/>
    <w:basedOn w:val="Normal"/>
    <w:next w:val="Normal"/>
    <w:rsid w:val="003D5976"/>
    <w:pPr>
      <w:keepNext/>
      <w:spacing w:before="0" w:after="20"/>
    </w:pPr>
    <w:rPr>
      <w:b/>
      <w:color w:val="004A7F"/>
    </w:rPr>
  </w:style>
  <w:style w:type="paragraph" w:customStyle="1" w:styleId="TableColumnHeadingCentred">
    <w:name w:val="Table Column Heading Centred"/>
    <w:basedOn w:val="TableTextLeft"/>
    <w:rsid w:val="003D5976"/>
    <w:pPr>
      <w:jc w:val="center"/>
    </w:pPr>
    <w:rPr>
      <w:b/>
      <w:color w:val="2C384A" w:themeColor="accent1"/>
      <w:sz w:val="20"/>
    </w:rPr>
  </w:style>
  <w:style w:type="paragraph" w:customStyle="1" w:styleId="TableColumnHeadingLeft">
    <w:name w:val="Table Column Heading Left"/>
    <w:basedOn w:val="TableTextLeft"/>
    <w:rsid w:val="003D5976"/>
    <w:rPr>
      <w:b/>
      <w:color w:val="2C384A" w:themeColor="accent1"/>
      <w:sz w:val="20"/>
    </w:rPr>
  </w:style>
  <w:style w:type="paragraph" w:customStyle="1" w:styleId="TableColumnHeadingRight">
    <w:name w:val="Table Column Heading Right"/>
    <w:basedOn w:val="TableTextLeft"/>
    <w:rsid w:val="003D5976"/>
    <w:pPr>
      <w:jc w:val="right"/>
    </w:pPr>
    <w:rPr>
      <w:b/>
      <w:color w:val="2C384A" w:themeColor="accent1"/>
      <w:sz w:val="20"/>
    </w:rPr>
  </w:style>
  <w:style w:type="table" w:styleId="TableGrid">
    <w:name w:val="Table Grid"/>
    <w:basedOn w:val="TableNormal"/>
    <w:rsid w:val="003D5976"/>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3D5976"/>
    <w:pPr>
      <w:jc w:val="center"/>
    </w:pPr>
  </w:style>
  <w:style w:type="paragraph" w:customStyle="1" w:styleId="TableTextLeft">
    <w:name w:val="Table Text Left"/>
    <w:basedOn w:val="TableTextRight"/>
    <w:rsid w:val="003D5976"/>
    <w:pPr>
      <w:jc w:val="left"/>
    </w:pPr>
  </w:style>
  <w:style w:type="paragraph" w:customStyle="1" w:styleId="TableTextRight">
    <w:name w:val="Table Text Right"/>
    <w:basedOn w:val="Normal"/>
    <w:rsid w:val="003D5976"/>
    <w:pPr>
      <w:spacing w:before="40" w:after="40"/>
      <w:jc w:val="right"/>
    </w:pPr>
    <w:rPr>
      <w:color w:val="000000"/>
      <w:sz w:val="18"/>
    </w:rPr>
  </w:style>
  <w:style w:type="paragraph" w:styleId="TOC1">
    <w:name w:val="toc 1"/>
    <w:basedOn w:val="Normal"/>
    <w:next w:val="Normal"/>
    <w:uiPriority w:val="39"/>
    <w:rsid w:val="003D5976"/>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3D5976"/>
    <w:pPr>
      <w:keepNext/>
      <w:tabs>
        <w:tab w:val="right" w:leader="dot" w:pos="9072"/>
      </w:tabs>
      <w:spacing w:before="40" w:after="20"/>
      <w:ind w:right="-2"/>
    </w:pPr>
    <w:rPr>
      <w:noProof/>
      <w:color w:val="004A7F"/>
    </w:rPr>
  </w:style>
  <w:style w:type="paragraph" w:styleId="TOC3">
    <w:name w:val="toc 3"/>
    <w:basedOn w:val="Normal"/>
    <w:next w:val="Normal"/>
    <w:uiPriority w:val="39"/>
    <w:rsid w:val="003D5976"/>
    <w:pPr>
      <w:tabs>
        <w:tab w:val="right" w:leader="dot" w:pos="9072"/>
      </w:tabs>
      <w:spacing w:before="20" w:after="0"/>
      <w:ind w:left="284" w:right="-2"/>
    </w:pPr>
    <w:rPr>
      <w:rFonts w:cs="Calibri"/>
      <w:noProof/>
    </w:rPr>
  </w:style>
  <w:style w:type="numbering" w:customStyle="1" w:styleId="OutlineList">
    <w:name w:val="OutlineList"/>
    <w:uiPriority w:val="99"/>
    <w:rsid w:val="003D5976"/>
    <w:pPr>
      <w:numPr>
        <w:numId w:val="4"/>
      </w:numPr>
    </w:pPr>
  </w:style>
  <w:style w:type="numbering" w:customStyle="1" w:styleId="BulletedList">
    <w:name w:val="Bulleted List"/>
    <w:uiPriority w:val="99"/>
    <w:rsid w:val="003D5976"/>
    <w:pPr>
      <w:numPr>
        <w:numId w:val="1"/>
      </w:numPr>
    </w:pPr>
  </w:style>
  <w:style w:type="numbering" w:customStyle="1" w:styleId="BoxBulletedList">
    <w:name w:val="Box Bulleted List"/>
    <w:uiPriority w:val="99"/>
    <w:rsid w:val="003D5976"/>
    <w:pPr>
      <w:numPr>
        <w:numId w:val="2"/>
      </w:numPr>
    </w:pPr>
  </w:style>
  <w:style w:type="numbering" w:customStyle="1" w:styleId="OneLevelList">
    <w:name w:val="OneLevelList"/>
    <w:uiPriority w:val="99"/>
    <w:rsid w:val="003D5976"/>
    <w:pPr>
      <w:numPr>
        <w:numId w:val="3"/>
      </w:numPr>
    </w:pPr>
  </w:style>
  <w:style w:type="numbering" w:customStyle="1" w:styleId="ChartandTableFootnoteAlphaList">
    <w:name w:val="ChartandTableFootnoteAlphaList"/>
    <w:uiPriority w:val="99"/>
    <w:rsid w:val="003D5976"/>
    <w:pPr>
      <w:numPr>
        <w:numId w:val="7"/>
      </w:numPr>
    </w:pPr>
  </w:style>
  <w:style w:type="paragraph" w:customStyle="1" w:styleId="Heading1Numbered">
    <w:name w:val="Heading 1 Numbered"/>
    <w:basedOn w:val="Heading1"/>
    <w:next w:val="Normal"/>
    <w:rsid w:val="003D5976"/>
    <w:pPr>
      <w:numPr>
        <w:numId w:val="5"/>
      </w:numPr>
    </w:pPr>
  </w:style>
  <w:style w:type="character" w:customStyle="1" w:styleId="SingleParagraphChar">
    <w:name w:val="Single Paragraph Char"/>
    <w:basedOn w:val="DefaultParagraphFont"/>
    <w:link w:val="SingleParagraph"/>
    <w:rsid w:val="003D5976"/>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3D5976"/>
    <w:pPr>
      <w:numPr>
        <w:ilvl w:val="1"/>
        <w:numId w:val="5"/>
      </w:numPr>
    </w:pPr>
  </w:style>
  <w:style w:type="paragraph" w:customStyle="1" w:styleId="Heading3Numbered">
    <w:name w:val="Heading 3 Numbered"/>
    <w:basedOn w:val="Heading3"/>
    <w:rsid w:val="003D5976"/>
    <w:pPr>
      <w:numPr>
        <w:ilvl w:val="2"/>
        <w:numId w:val="5"/>
      </w:numPr>
    </w:pPr>
  </w:style>
  <w:style w:type="paragraph" w:styleId="Title">
    <w:name w:val="Title"/>
    <w:basedOn w:val="Normal"/>
    <w:next w:val="Normal"/>
    <w:link w:val="TitleChar"/>
    <w:uiPriority w:val="10"/>
    <w:rsid w:val="003D5976"/>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3D597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3D5976"/>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3D5976"/>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3D5976"/>
    <w:rPr>
      <w:i/>
      <w:iCs/>
      <w:color w:val="808080" w:themeColor="text1" w:themeTint="7F"/>
    </w:rPr>
  </w:style>
  <w:style w:type="paragraph" w:styleId="Header">
    <w:name w:val="header"/>
    <w:basedOn w:val="Normal"/>
    <w:link w:val="HeaderChar"/>
    <w:uiPriority w:val="99"/>
    <w:unhideWhenUsed/>
    <w:rsid w:val="003D5976"/>
    <w:pPr>
      <w:keepNext/>
      <w:spacing w:before="0" w:after="0"/>
      <w:jc w:val="right"/>
    </w:pPr>
    <w:rPr>
      <w:color w:val="004A7F"/>
      <w:sz w:val="20"/>
    </w:rPr>
  </w:style>
  <w:style w:type="character" w:customStyle="1" w:styleId="HeaderChar">
    <w:name w:val="Header Char"/>
    <w:basedOn w:val="DefaultParagraphFont"/>
    <w:link w:val="Header"/>
    <w:uiPriority w:val="99"/>
    <w:rsid w:val="003D5976"/>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3D5976"/>
    <w:rPr>
      <w:color w:val="808080"/>
    </w:rPr>
  </w:style>
  <w:style w:type="paragraph" w:customStyle="1" w:styleId="HeadingBase">
    <w:name w:val="Heading Base"/>
    <w:rsid w:val="003D5976"/>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3D5976"/>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3D5976"/>
    <w:pPr>
      <w:ind w:left="284"/>
    </w:pPr>
  </w:style>
  <w:style w:type="paragraph" w:customStyle="1" w:styleId="TableHeadingContinued">
    <w:name w:val="Table Heading Continued"/>
    <w:basedOn w:val="TableMainHeading"/>
    <w:next w:val="TableGraphic"/>
    <w:rsid w:val="003D5976"/>
  </w:style>
  <w:style w:type="paragraph" w:customStyle="1" w:styleId="TableGraphic">
    <w:name w:val="Table Graphic"/>
    <w:basedOn w:val="HeadingBase"/>
    <w:next w:val="Normal"/>
    <w:rsid w:val="003D5976"/>
    <w:pPr>
      <w:spacing w:after="0"/>
    </w:pPr>
  </w:style>
  <w:style w:type="character" w:styleId="FootnoteReference">
    <w:name w:val="footnote reference"/>
    <w:basedOn w:val="DefaultParagraphFont"/>
    <w:uiPriority w:val="99"/>
    <w:rsid w:val="003D5976"/>
    <w:rPr>
      <w:sz w:val="18"/>
      <w:vertAlign w:val="superscript"/>
    </w:rPr>
  </w:style>
  <w:style w:type="paragraph" w:styleId="FootnoteText">
    <w:name w:val="footnote text"/>
    <w:basedOn w:val="Normal"/>
    <w:link w:val="FootnoteTextChar"/>
    <w:uiPriority w:val="99"/>
    <w:rsid w:val="003D5976"/>
    <w:pPr>
      <w:spacing w:before="0" w:after="0"/>
      <w:ind w:left="397" w:hanging="397"/>
    </w:pPr>
    <w:rPr>
      <w:sz w:val="20"/>
    </w:rPr>
  </w:style>
  <w:style w:type="character" w:customStyle="1" w:styleId="FootnoteTextChar">
    <w:name w:val="Footnote Text Char"/>
    <w:basedOn w:val="DefaultParagraphFont"/>
    <w:link w:val="FootnoteText"/>
    <w:uiPriority w:val="99"/>
    <w:rsid w:val="003D5976"/>
    <w:rPr>
      <w:rFonts w:ascii="Calibri Light" w:eastAsia="Times New Roman" w:hAnsi="Calibri Light" w:cs="Times New Roman"/>
      <w:sz w:val="20"/>
      <w:szCs w:val="20"/>
      <w:lang w:eastAsia="en-AU"/>
    </w:rPr>
  </w:style>
  <w:style w:type="paragraph" w:customStyle="1" w:styleId="Heading3noTOC">
    <w:name w:val="Heading 3 no TOC"/>
    <w:basedOn w:val="Heading3"/>
    <w:rsid w:val="003D5976"/>
    <w:rPr>
      <w:rFonts w:cs="Calibri"/>
    </w:rPr>
  </w:style>
  <w:style w:type="paragraph" w:styleId="BalloonText">
    <w:name w:val="Balloon Text"/>
    <w:basedOn w:val="Normal"/>
    <w:link w:val="BalloonTextChar"/>
    <w:uiPriority w:val="99"/>
    <w:semiHidden/>
    <w:unhideWhenUsed/>
    <w:rsid w:val="003D597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976"/>
    <w:rPr>
      <w:rFonts w:ascii="Tahoma" w:eastAsia="Times New Roman" w:hAnsi="Tahoma" w:cs="Tahoma"/>
      <w:sz w:val="16"/>
      <w:szCs w:val="16"/>
      <w:lang w:eastAsia="en-AU"/>
    </w:rPr>
  </w:style>
  <w:style w:type="character" w:customStyle="1" w:styleId="BulletChar">
    <w:name w:val="Bullet Char"/>
    <w:aliases w:val="b Char,b + line Char Char,b Char Char,b1 Char,b + line Char,Body Char,L Char,List Paragraph Char,List Paragraph1 Char,List Paragraph11 Char,Number Char,Recommendation Char,level 1 Char,Bullet + line Char,List Paragraph2 Char,Bullets Char"/>
    <w:basedOn w:val="DefaultParagraphFont"/>
    <w:link w:val="Bullet"/>
    <w:locked/>
    <w:rsid w:val="003D5976"/>
    <w:rPr>
      <w:rFonts w:ascii="Calibri Light" w:eastAsia="Times New Roman" w:hAnsi="Calibri Light" w:cs="Times New Roman"/>
      <w:szCs w:val="20"/>
      <w:lang w:eastAsia="en-AU"/>
    </w:rPr>
  </w:style>
  <w:style w:type="paragraph" w:customStyle="1" w:styleId="Boxbullet">
    <w:name w:val="Box bullet"/>
    <w:basedOn w:val="Bullet"/>
    <w:rsid w:val="003D5976"/>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3D5976"/>
    <w:rPr>
      <w:rFonts w:ascii="Calibri Light" w:eastAsia="Times New Roman" w:hAnsi="Calibri Light" w:cs="Times New Roman"/>
      <w:szCs w:val="20"/>
      <w:lang w:eastAsia="en-AU"/>
    </w:rPr>
  </w:style>
  <w:style w:type="paragraph" w:customStyle="1" w:styleId="Boxdash">
    <w:name w:val="Box dash"/>
    <w:basedOn w:val="Dash"/>
    <w:rsid w:val="003D5976"/>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3D5976"/>
    <w:rPr>
      <w:rFonts w:ascii="Calibri Light" w:eastAsia="Times New Roman" w:hAnsi="Calibri Light" w:cs="Times New Roman"/>
      <w:szCs w:val="20"/>
      <w:lang w:eastAsia="en-AU"/>
    </w:rPr>
  </w:style>
  <w:style w:type="paragraph" w:customStyle="1" w:styleId="Boxdoubledot">
    <w:name w:val="Box double dot"/>
    <w:basedOn w:val="DoubleDot"/>
    <w:rsid w:val="003D5976"/>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3D5976"/>
    <w:rPr>
      <w:rFonts w:ascii="Calibri Light" w:eastAsia="Times New Roman" w:hAnsi="Calibri Light" w:cs="Times New Roman"/>
      <w:szCs w:val="20"/>
      <w:lang w:eastAsia="en-AU"/>
    </w:rPr>
  </w:style>
  <w:style w:type="character" w:styleId="Strong">
    <w:name w:val="Strong"/>
    <w:basedOn w:val="DefaultParagraphFont"/>
    <w:rsid w:val="003D5976"/>
    <w:rPr>
      <w:b/>
      <w:bCs/>
    </w:rPr>
  </w:style>
  <w:style w:type="paragraph" w:customStyle="1" w:styleId="Instructions">
    <w:name w:val="Instructions"/>
    <w:basedOn w:val="Normal"/>
    <w:uiPriority w:val="1"/>
    <w:rsid w:val="003D5976"/>
    <w:pPr>
      <w:shd w:val="clear" w:color="auto" w:fill="FFFF00"/>
      <w:ind w:left="170" w:hanging="170"/>
    </w:pPr>
    <w:rPr>
      <w:rFonts w:asciiTheme="minorHAnsi" w:hAnsiTheme="minorHAnsi"/>
      <w:sz w:val="20"/>
      <w:szCs w:val="24"/>
    </w:rPr>
  </w:style>
  <w:style w:type="character" w:customStyle="1" w:styleId="UnresolvedMention1">
    <w:name w:val="Unresolved Mention1"/>
    <w:basedOn w:val="DefaultParagraphFont"/>
    <w:uiPriority w:val="99"/>
    <w:semiHidden/>
    <w:unhideWhenUsed/>
    <w:rsid w:val="00036AC0"/>
    <w:rPr>
      <w:color w:val="605E5C"/>
      <w:shd w:val="clear" w:color="auto" w:fill="E1DFDD"/>
    </w:rPr>
  </w:style>
  <w:style w:type="paragraph" w:styleId="Footer">
    <w:name w:val="footer"/>
    <w:basedOn w:val="Normal"/>
    <w:link w:val="FooterChar"/>
    <w:unhideWhenUsed/>
    <w:rsid w:val="003D5976"/>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3D5976"/>
    <w:rPr>
      <w:rFonts w:ascii="Calibri Light" w:eastAsia="Times New Roman" w:hAnsi="Calibri Light" w:cs="Times New Roman"/>
      <w:noProof/>
      <w:color w:val="2C384A" w:themeColor="accent1"/>
      <w:sz w:val="20"/>
      <w:szCs w:val="20"/>
      <w:lang w:eastAsia="en-AU"/>
    </w:rPr>
  </w:style>
  <w:style w:type="character" w:styleId="FollowedHyperlink">
    <w:name w:val="FollowedHyperlink"/>
    <w:basedOn w:val="DefaultParagraphFont"/>
    <w:uiPriority w:val="99"/>
    <w:semiHidden/>
    <w:unhideWhenUsed/>
    <w:rsid w:val="00233425"/>
    <w:rPr>
      <w:color w:val="844D9E" w:themeColor="followedHyperlink"/>
      <w:u w:val="single"/>
    </w:rPr>
  </w:style>
  <w:style w:type="character" w:styleId="CommentReference">
    <w:name w:val="annotation reference"/>
    <w:basedOn w:val="DefaultParagraphFont"/>
    <w:uiPriority w:val="99"/>
    <w:semiHidden/>
    <w:unhideWhenUsed/>
    <w:rsid w:val="0016757B"/>
    <w:rPr>
      <w:sz w:val="16"/>
      <w:szCs w:val="16"/>
    </w:rPr>
  </w:style>
  <w:style w:type="paragraph" w:styleId="CommentText">
    <w:name w:val="annotation text"/>
    <w:basedOn w:val="Normal"/>
    <w:link w:val="CommentTextChar"/>
    <w:uiPriority w:val="99"/>
    <w:unhideWhenUsed/>
    <w:rsid w:val="0016757B"/>
    <w:rPr>
      <w:sz w:val="20"/>
    </w:rPr>
  </w:style>
  <w:style w:type="character" w:customStyle="1" w:styleId="CommentTextChar">
    <w:name w:val="Comment Text Char"/>
    <w:basedOn w:val="DefaultParagraphFont"/>
    <w:link w:val="CommentText"/>
    <w:uiPriority w:val="99"/>
    <w:rsid w:val="0016757B"/>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6757B"/>
    <w:rPr>
      <w:b/>
      <w:bCs/>
    </w:rPr>
  </w:style>
  <w:style w:type="character" w:customStyle="1" w:styleId="CommentSubjectChar">
    <w:name w:val="Comment Subject Char"/>
    <w:basedOn w:val="CommentTextChar"/>
    <w:link w:val="CommentSubject"/>
    <w:uiPriority w:val="99"/>
    <w:semiHidden/>
    <w:rsid w:val="0016757B"/>
    <w:rPr>
      <w:rFonts w:ascii="Calibri Light" w:eastAsia="Times New Roman" w:hAnsi="Calibri Light" w:cs="Times New Roman"/>
      <w:b/>
      <w:bCs/>
      <w:sz w:val="20"/>
      <w:szCs w:val="20"/>
      <w:lang w:eastAsia="en-AU"/>
    </w:rPr>
  </w:style>
  <w:style w:type="paragraph" w:styleId="ListParagraph">
    <w:name w:val="List Paragraph"/>
    <w:basedOn w:val="Normal"/>
    <w:uiPriority w:val="34"/>
    <w:qFormat/>
    <w:rsid w:val="000F0525"/>
    <w:pPr>
      <w:ind w:left="720"/>
      <w:contextualSpacing/>
    </w:pPr>
    <w:rPr>
      <w:rFonts w:ascii="Calibri" w:hAnsi="Calibri"/>
    </w:rPr>
  </w:style>
  <w:style w:type="character" w:customStyle="1" w:styleId="OutlineNumbered1Char">
    <w:name w:val="Outline Numbered 1 Char"/>
    <w:basedOn w:val="DefaultParagraphFont"/>
    <w:link w:val="OutlineNumbered1"/>
    <w:rsid w:val="003B0402"/>
    <w:rPr>
      <w:rFonts w:ascii="Calibri Light" w:eastAsia="Times New Roman" w:hAnsi="Calibri Light" w:cs="Times New Roman"/>
      <w:szCs w:val="20"/>
      <w:lang w:eastAsia="en-AU"/>
    </w:rPr>
  </w:style>
  <w:style w:type="paragraph" w:styleId="Revision">
    <w:name w:val="Revision"/>
    <w:hidden/>
    <w:uiPriority w:val="99"/>
    <w:semiHidden/>
    <w:rsid w:val="00D14672"/>
    <w:pPr>
      <w:spacing w:after="0" w:line="240" w:lineRule="auto"/>
    </w:pPr>
    <w:rPr>
      <w:rFonts w:ascii="Calibri Light" w:eastAsia="Times New Roman" w:hAnsi="Calibri Light" w:cs="Times New Roman"/>
      <w:szCs w:val="20"/>
      <w:lang w:eastAsia="en-AU"/>
    </w:rPr>
  </w:style>
  <w:style w:type="paragraph" w:styleId="BodyText">
    <w:name w:val="Body Text"/>
    <w:basedOn w:val="Normal"/>
    <w:link w:val="BodyTextChar"/>
    <w:uiPriority w:val="99"/>
    <w:unhideWhenUsed/>
    <w:rsid w:val="005C15BB"/>
    <w:pPr>
      <w:spacing w:before="0" w:line="259" w:lineRule="auto"/>
    </w:pPr>
    <w:rPr>
      <w:rFonts w:asciiTheme="minorHAnsi" w:eastAsiaTheme="minorEastAsia" w:hAnsiTheme="minorHAnsi" w:cstheme="minorBidi"/>
      <w:szCs w:val="22"/>
      <w:lang w:eastAsia="en-US"/>
    </w:rPr>
  </w:style>
  <w:style w:type="character" w:customStyle="1" w:styleId="BodyTextChar">
    <w:name w:val="Body Text Char"/>
    <w:basedOn w:val="DefaultParagraphFont"/>
    <w:link w:val="BodyText"/>
    <w:uiPriority w:val="99"/>
    <w:rsid w:val="005C15BB"/>
    <w:rPr>
      <w:rFonts w:eastAsiaTheme="minorEastAsia"/>
    </w:rPr>
  </w:style>
  <w:style w:type="paragraph" w:customStyle="1" w:styleId="TextOpensans">
    <w:name w:val="Text Opensans"/>
    <w:basedOn w:val="Normal"/>
    <w:link w:val="TextOpensansChar"/>
    <w:qFormat/>
    <w:rsid w:val="007F2019"/>
    <w:pPr>
      <w:spacing w:before="0" w:after="160" w:line="259" w:lineRule="auto"/>
    </w:pPr>
    <w:rPr>
      <w:rFonts w:ascii="Open Sans" w:eastAsiaTheme="minorEastAsia" w:hAnsi="Open Sans" w:cs="Open Sans"/>
      <w:szCs w:val="22"/>
      <w:lang w:eastAsia="en-US"/>
    </w:rPr>
  </w:style>
  <w:style w:type="character" w:customStyle="1" w:styleId="TextOpensansChar">
    <w:name w:val="Text Opensans Char"/>
    <w:basedOn w:val="DefaultParagraphFont"/>
    <w:link w:val="TextOpensans"/>
    <w:rsid w:val="007F2019"/>
    <w:rPr>
      <w:rFonts w:ascii="Open Sans" w:eastAsiaTheme="minorEastAsia" w:hAnsi="Open Sans" w:cs="Open Sans"/>
    </w:rPr>
  </w:style>
  <w:style w:type="character" w:customStyle="1" w:styleId="Heading7Char">
    <w:name w:val="Heading 7 Char"/>
    <w:basedOn w:val="DefaultParagraphFont"/>
    <w:link w:val="Heading7"/>
    <w:uiPriority w:val="9"/>
    <w:rsid w:val="008164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164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164B7"/>
    <w:rPr>
      <w:rFonts w:asciiTheme="majorHAnsi" w:eastAsiaTheme="majorEastAsia" w:hAnsiTheme="majorHAnsi" w:cstheme="majorBidi"/>
      <w:i/>
      <w:iCs/>
      <w:color w:val="404040" w:themeColor="text1" w:themeTint="BF"/>
      <w:sz w:val="20"/>
      <w:szCs w:val="20"/>
    </w:rPr>
  </w:style>
  <w:style w:type="paragraph" w:customStyle="1" w:styleId="H4Opensans">
    <w:name w:val="H4 Opensans"/>
    <w:basedOn w:val="Heading4"/>
    <w:link w:val="H4OpensansChar"/>
    <w:qFormat/>
    <w:rsid w:val="008164B7"/>
    <w:pPr>
      <w:keepLines/>
      <w:numPr>
        <w:ilvl w:val="3"/>
      </w:numPr>
      <w:spacing w:before="200" w:line="259" w:lineRule="auto"/>
      <w:ind w:left="864" w:hanging="864"/>
    </w:pPr>
    <w:rPr>
      <w:rFonts w:ascii="Open Sans" w:eastAsiaTheme="majorEastAsia" w:hAnsi="Open Sans" w:cs="Open Sans"/>
      <w:b/>
      <w:bCs/>
      <w:i/>
      <w:iCs/>
      <w:color w:val="90B6F0" w:themeColor="accent5"/>
    </w:rPr>
  </w:style>
  <w:style w:type="character" w:customStyle="1" w:styleId="H4OpensansChar">
    <w:name w:val="H4 Opensans Char"/>
    <w:basedOn w:val="Heading4Char"/>
    <w:link w:val="H4Opensans"/>
    <w:rsid w:val="008164B7"/>
    <w:rPr>
      <w:rFonts w:ascii="Open Sans" w:eastAsiaTheme="majorEastAsia" w:hAnsi="Open Sans" w:cs="Open Sans"/>
      <w:b/>
      <w:bCs/>
      <w:i/>
      <w:iCs/>
      <w:color w:val="90B6F0" w:themeColor="accent5"/>
      <w:kern w:val="32"/>
      <w:sz w:val="24"/>
      <w:szCs w:val="26"/>
      <w:lang w:eastAsia="en-AU"/>
    </w:rPr>
  </w:style>
  <w:style w:type="paragraph" w:customStyle="1" w:styleId="H3Opensans">
    <w:name w:val="H3 Opensans"/>
    <w:basedOn w:val="Heading3"/>
    <w:link w:val="H3OpensansChar"/>
    <w:qFormat/>
    <w:rsid w:val="00EB3673"/>
    <w:pPr>
      <w:keepLines/>
      <w:spacing w:before="200" w:line="259" w:lineRule="auto"/>
      <w:ind w:left="720" w:hanging="720"/>
    </w:pPr>
    <w:rPr>
      <w:rFonts w:ascii="Open Sans" w:eastAsiaTheme="majorEastAsia" w:hAnsi="Open Sans" w:cs="Open Sans"/>
      <w:bCs/>
      <w:color w:val="90B6F0" w:themeColor="accent5"/>
    </w:rPr>
  </w:style>
  <w:style w:type="character" w:customStyle="1" w:styleId="H3OpensansChar">
    <w:name w:val="H3 Opensans Char"/>
    <w:basedOn w:val="Heading3Char"/>
    <w:link w:val="H3Opensans"/>
    <w:rsid w:val="00EB3673"/>
    <w:rPr>
      <w:rFonts w:ascii="Open Sans" w:eastAsiaTheme="majorEastAsia" w:hAnsi="Open Sans" w:cs="Open Sans"/>
      <w:b/>
      <w:bCs/>
      <w:color w:val="90B6F0" w:themeColor="accent5"/>
      <w:kern w:val="32"/>
      <w:sz w:val="28"/>
      <w:szCs w:val="26"/>
      <w:lang w:eastAsia="en-AU"/>
    </w:rPr>
  </w:style>
  <w:style w:type="paragraph" w:customStyle="1" w:styleId="H2Opensans">
    <w:name w:val="H2 Opensans"/>
    <w:basedOn w:val="Heading2"/>
    <w:link w:val="H2OpensansChar"/>
    <w:qFormat/>
    <w:rsid w:val="00B45B6F"/>
    <w:pPr>
      <w:keepLines/>
      <w:tabs>
        <w:tab w:val="num" w:pos="567"/>
      </w:tabs>
      <w:spacing w:after="0" w:line="259" w:lineRule="auto"/>
      <w:ind w:left="567" w:hanging="284"/>
    </w:pPr>
    <w:rPr>
      <w:rFonts w:ascii="Open Sans" w:eastAsiaTheme="majorEastAsia" w:hAnsi="Open Sans" w:cs="Open Sans"/>
      <w:b/>
      <w:bCs/>
      <w:iCs w:val="0"/>
      <w:smallCaps/>
      <w:color w:val="90B6F0" w:themeColor="accent5"/>
      <w:sz w:val="32"/>
    </w:rPr>
  </w:style>
  <w:style w:type="character" w:customStyle="1" w:styleId="H2OpensansChar">
    <w:name w:val="H2 Opensans Char"/>
    <w:basedOn w:val="Heading2Char"/>
    <w:link w:val="H2Opensans"/>
    <w:rsid w:val="00B45B6F"/>
    <w:rPr>
      <w:rFonts w:ascii="Open Sans" w:eastAsiaTheme="majorEastAsia" w:hAnsi="Open Sans" w:cs="Open Sans"/>
      <w:b/>
      <w:bCs/>
      <w:iCs w:val="0"/>
      <w:smallCaps/>
      <w:color w:val="90B6F0" w:themeColor="accent5"/>
      <w:kern w:val="32"/>
      <w:sz w:val="32"/>
      <w:szCs w:val="28"/>
      <w:lang w:eastAsia="en-AU"/>
    </w:rPr>
  </w:style>
  <w:style w:type="table" w:customStyle="1" w:styleId="TableGrid1">
    <w:name w:val="Table Grid1"/>
    <w:basedOn w:val="TableNormal"/>
    <w:next w:val="TableGrid"/>
    <w:uiPriority w:val="39"/>
    <w:rsid w:val="009002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230A8"/>
    <w:pPr>
      <w:spacing w:before="0" w:after="0"/>
    </w:pPr>
    <w:rPr>
      <w:sz w:val="20"/>
    </w:rPr>
  </w:style>
  <w:style w:type="character" w:customStyle="1" w:styleId="EndnoteTextChar">
    <w:name w:val="Endnote Text Char"/>
    <w:basedOn w:val="DefaultParagraphFont"/>
    <w:link w:val="EndnoteText"/>
    <w:uiPriority w:val="99"/>
    <w:semiHidden/>
    <w:rsid w:val="004230A8"/>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4230A8"/>
    <w:rPr>
      <w:vertAlign w:val="superscript"/>
    </w:rPr>
  </w:style>
  <w:style w:type="paragraph" w:styleId="TOCHeading">
    <w:name w:val="TOC Heading"/>
    <w:basedOn w:val="Heading1"/>
    <w:next w:val="Normal"/>
    <w:uiPriority w:val="39"/>
    <w:unhideWhenUsed/>
    <w:qFormat/>
    <w:rsid w:val="00A915D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TOC5">
    <w:name w:val="toc 5"/>
    <w:basedOn w:val="Normal"/>
    <w:next w:val="Normal"/>
    <w:autoRedefine/>
    <w:uiPriority w:val="39"/>
    <w:semiHidden/>
    <w:unhideWhenUsed/>
    <w:rsid w:val="00A915D7"/>
    <w:pPr>
      <w:spacing w:after="100"/>
      <w:ind w:left="880"/>
    </w:pPr>
  </w:style>
  <w:style w:type="paragraph" w:styleId="NoSpacing">
    <w:name w:val="No Spacing"/>
    <w:link w:val="NoSpacingChar"/>
    <w:uiPriority w:val="1"/>
    <w:qFormat/>
    <w:rsid w:val="009008E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008E2"/>
    <w:rPr>
      <w:rFonts w:eastAsiaTheme="minorEastAsia"/>
      <w:lang w:val="en-US"/>
    </w:rPr>
  </w:style>
  <w:style w:type="character" w:styleId="UnresolvedMention">
    <w:name w:val="Unresolved Mention"/>
    <w:basedOn w:val="DefaultParagraphFont"/>
    <w:uiPriority w:val="99"/>
    <w:unhideWhenUsed/>
    <w:rsid w:val="003D5976"/>
    <w:rPr>
      <w:color w:val="605E5C"/>
      <w:shd w:val="clear" w:color="auto" w:fill="E1DFDD"/>
    </w:rPr>
  </w:style>
  <w:style w:type="character" w:styleId="Mention">
    <w:name w:val="Mention"/>
    <w:basedOn w:val="DefaultParagraphFont"/>
    <w:uiPriority w:val="99"/>
    <w:unhideWhenUsed/>
    <w:rsid w:val="007557B7"/>
    <w:rPr>
      <w:color w:val="2B579A"/>
      <w:shd w:val="clear" w:color="auto" w:fill="E1DFDD"/>
    </w:rPr>
  </w:style>
  <w:style w:type="character" w:customStyle="1" w:styleId="normaltextrun">
    <w:name w:val="normaltextrun"/>
    <w:basedOn w:val="DefaultParagraphFont"/>
    <w:rsid w:val="007557B7"/>
  </w:style>
  <w:style w:type="character" w:customStyle="1" w:styleId="eop">
    <w:name w:val="eop"/>
    <w:basedOn w:val="DefaultParagraphFont"/>
    <w:rsid w:val="0075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99882">
      <w:bodyDiv w:val="1"/>
      <w:marLeft w:val="0"/>
      <w:marRight w:val="0"/>
      <w:marTop w:val="0"/>
      <w:marBottom w:val="0"/>
      <w:divBdr>
        <w:top w:val="none" w:sz="0" w:space="0" w:color="auto"/>
        <w:left w:val="none" w:sz="0" w:space="0" w:color="auto"/>
        <w:bottom w:val="none" w:sz="0" w:space="0" w:color="auto"/>
        <w:right w:val="none" w:sz="0" w:space="0" w:color="auto"/>
      </w:divBdr>
    </w:div>
    <w:div w:id="275914728">
      <w:bodyDiv w:val="1"/>
      <w:marLeft w:val="0"/>
      <w:marRight w:val="0"/>
      <w:marTop w:val="0"/>
      <w:marBottom w:val="0"/>
      <w:divBdr>
        <w:top w:val="none" w:sz="0" w:space="0" w:color="auto"/>
        <w:left w:val="none" w:sz="0" w:space="0" w:color="auto"/>
        <w:bottom w:val="none" w:sz="0" w:space="0" w:color="auto"/>
        <w:right w:val="none" w:sz="0" w:space="0" w:color="auto"/>
      </w:divBdr>
    </w:div>
    <w:div w:id="300379572">
      <w:bodyDiv w:val="1"/>
      <w:marLeft w:val="0"/>
      <w:marRight w:val="0"/>
      <w:marTop w:val="0"/>
      <w:marBottom w:val="0"/>
      <w:divBdr>
        <w:top w:val="none" w:sz="0" w:space="0" w:color="auto"/>
        <w:left w:val="none" w:sz="0" w:space="0" w:color="auto"/>
        <w:bottom w:val="none" w:sz="0" w:space="0" w:color="auto"/>
        <w:right w:val="none" w:sz="0" w:space="0" w:color="auto"/>
      </w:divBdr>
    </w:div>
    <w:div w:id="314919742">
      <w:bodyDiv w:val="1"/>
      <w:marLeft w:val="0"/>
      <w:marRight w:val="0"/>
      <w:marTop w:val="0"/>
      <w:marBottom w:val="0"/>
      <w:divBdr>
        <w:top w:val="none" w:sz="0" w:space="0" w:color="auto"/>
        <w:left w:val="none" w:sz="0" w:space="0" w:color="auto"/>
        <w:bottom w:val="none" w:sz="0" w:space="0" w:color="auto"/>
        <w:right w:val="none" w:sz="0" w:space="0" w:color="auto"/>
      </w:divBdr>
    </w:div>
    <w:div w:id="346174929">
      <w:bodyDiv w:val="1"/>
      <w:marLeft w:val="0"/>
      <w:marRight w:val="0"/>
      <w:marTop w:val="0"/>
      <w:marBottom w:val="0"/>
      <w:divBdr>
        <w:top w:val="none" w:sz="0" w:space="0" w:color="auto"/>
        <w:left w:val="none" w:sz="0" w:space="0" w:color="auto"/>
        <w:bottom w:val="none" w:sz="0" w:space="0" w:color="auto"/>
        <w:right w:val="none" w:sz="0" w:space="0" w:color="auto"/>
      </w:divBdr>
    </w:div>
    <w:div w:id="533424014">
      <w:bodyDiv w:val="1"/>
      <w:marLeft w:val="0"/>
      <w:marRight w:val="0"/>
      <w:marTop w:val="0"/>
      <w:marBottom w:val="0"/>
      <w:divBdr>
        <w:top w:val="none" w:sz="0" w:space="0" w:color="auto"/>
        <w:left w:val="none" w:sz="0" w:space="0" w:color="auto"/>
        <w:bottom w:val="none" w:sz="0" w:space="0" w:color="auto"/>
        <w:right w:val="none" w:sz="0" w:space="0" w:color="auto"/>
      </w:divBdr>
    </w:div>
    <w:div w:id="784353714">
      <w:bodyDiv w:val="1"/>
      <w:marLeft w:val="0"/>
      <w:marRight w:val="0"/>
      <w:marTop w:val="0"/>
      <w:marBottom w:val="0"/>
      <w:divBdr>
        <w:top w:val="none" w:sz="0" w:space="0" w:color="auto"/>
        <w:left w:val="none" w:sz="0" w:space="0" w:color="auto"/>
        <w:bottom w:val="none" w:sz="0" w:space="0" w:color="auto"/>
        <w:right w:val="none" w:sz="0" w:space="0" w:color="auto"/>
      </w:divBdr>
    </w:div>
    <w:div w:id="923957134">
      <w:bodyDiv w:val="1"/>
      <w:marLeft w:val="0"/>
      <w:marRight w:val="0"/>
      <w:marTop w:val="0"/>
      <w:marBottom w:val="0"/>
      <w:divBdr>
        <w:top w:val="none" w:sz="0" w:space="0" w:color="auto"/>
        <w:left w:val="none" w:sz="0" w:space="0" w:color="auto"/>
        <w:bottom w:val="none" w:sz="0" w:space="0" w:color="auto"/>
        <w:right w:val="none" w:sz="0" w:space="0" w:color="auto"/>
      </w:divBdr>
    </w:div>
    <w:div w:id="1106121087">
      <w:bodyDiv w:val="1"/>
      <w:marLeft w:val="0"/>
      <w:marRight w:val="0"/>
      <w:marTop w:val="0"/>
      <w:marBottom w:val="0"/>
      <w:divBdr>
        <w:top w:val="none" w:sz="0" w:space="0" w:color="auto"/>
        <w:left w:val="none" w:sz="0" w:space="0" w:color="auto"/>
        <w:bottom w:val="none" w:sz="0" w:space="0" w:color="auto"/>
        <w:right w:val="none" w:sz="0" w:space="0" w:color="auto"/>
      </w:divBdr>
    </w:div>
    <w:div w:id="1321345844">
      <w:bodyDiv w:val="1"/>
      <w:marLeft w:val="0"/>
      <w:marRight w:val="0"/>
      <w:marTop w:val="0"/>
      <w:marBottom w:val="0"/>
      <w:divBdr>
        <w:top w:val="none" w:sz="0" w:space="0" w:color="auto"/>
        <w:left w:val="none" w:sz="0" w:space="0" w:color="auto"/>
        <w:bottom w:val="none" w:sz="0" w:space="0" w:color="auto"/>
        <w:right w:val="none" w:sz="0" w:space="0" w:color="auto"/>
      </w:divBdr>
    </w:div>
    <w:div w:id="1349796778">
      <w:bodyDiv w:val="1"/>
      <w:marLeft w:val="0"/>
      <w:marRight w:val="0"/>
      <w:marTop w:val="0"/>
      <w:marBottom w:val="0"/>
      <w:divBdr>
        <w:top w:val="none" w:sz="0" w:space="0" w:color="auto"/>
        <w:left w:val="none" w:sz="0" w:space="0" w:color="auto"/>
        <w:bottom w:val="none" w:sz="0" w:space="0" w:color="auto"/>
        <w:right w:val="none" w:sz="0" w:space="0" w:color="auto"/>
      </w:divBdr>
    </w:div>
    <w:div w:id="1406800887">
      <w:bodyDiv w:val="1"/>
      <w:marLeft w:val="0"/>
      <w:marRight w:val="0"/>
      <w:marTop w:val="0"/>
      <w:marBottom w:val="0"/>
      <w:divBdr>
        <w:top w:val="none" w:sz="0" w:space="0" w:color="auto"/>
        <w:left w:val="none" w:sz="0" w:space="0" w:color="auto"/>
        <w:bottom w:val="none" w:sz="0" w:space="0" w:color="auto"/>
        <w:right w:val="none" w:sz="0" w:space="0" w:color="auto"/>
      </w:divBdr>
    </w:div>
    <w:div w:id="1554658034">
      <w:bodyDiv w:val="1"/>
      <w:marLeft w:val="0"/>
      <w:marRight w:val="0"/>
      <w:marTop w:val="0"/>
      <w:marBottom w:val="0"/>
      <w:divBdr>
        <w:top w:val="none" w:sz="0" w:space="0" w:color="auto"/>
        <w:left w:val="none" w:sz="0" w:space="0" w:color="auto"/>
        <w:bottom w:val="none" w:sz="0" w:space="0" w:color="auto"/>
        <w:right w:val="none" w:sz="0" w:space="0" w:color="auto"/>
      </w:divBdr>
    </w:div>
    <w:div w:id="1600068905">
      <w:bodyDiv w:val="1"/>
      <w:marLeft w:val="0"/>
      <w:marRight w:val="0"/>
      <w:marTop w:val="0"/>
      <w:marBottom w:val="0"/>
      <w:divBdr>
        <w:top w:val="none" w:sz="0" w:space="0" w:color="auto"/>
        <w:left w:val="none" w:sz="0" w:space="0" w:color="auto"/>
        <w:bottom w:val="none" w:sz="0" w:space="0" w:color="auto"/>
        <w:right w:val="none" w:sz="0" w:space="0" w:color="auto"/>
      </w:divBdr>
      <w:divsChild>
        <w:div w:id="1912037520">
          <w:marLeft w:val="0"/>
          <w:marRight w:val="0"/>
          <w:marTop w:val="0"/>
          <w:marBottom w:val="0"/>
          <w:divBdr>
            <w:top w:val="none" w:sz="0" w:space="0" w:color="auto"/>
            <w:left w:val="none" w:sz="0" w:space="0" w:color="auto"/>
            <w:bottom w:val="none" w:sz="0" w:space="0" w:color="auto"/>
            <w:right w:val="none" w:sz="0" w:space="0" w:color="auto"/>
          </w:divBdr>
        </w:div>
      </w:divsChild>
    </w:div>
    <w:div w:id="1702392826">
      <w:bodyDiv w:val="1"/>
      <w:marLeft w:val="0"/>
      <w:marRight w:val="0"/>
      <w:marTop w:val="0"/>
      <w:marBottom w:val="0"/>
      <w:divBdr>
        <w:top w:val="none" w:sz="0" w:space="0" w:color="auto"/>
        <w:left w:val="none" w:sz="0" w:space="0" w:color="auto"/>
        <w:bottom w:val="none" w:sz="0" w:space="0" w:color="auto"/>
        <w:right w:val="none" w:sz="0" w:space="0" w:color="auto"/>
      </w:divBdr>
    </w:div>
    <w:div w:id="1817254809">
      <w:bodyDiv w:val="1"/>
      <w:marLeft w:val="0"/>
      <w:marRight w:val="0"/>
      <w:marTop w:val="0"/>
      <w:marBottom w:val="0"/>
      <w:divBdr>
        <w:top w:val="none" w:sz="0" w:space="0" w:color="auto"/>
        <w:left w:val="none" w:sz="0" w:space="0" w:color="auto"/>
        <w:bottom w:val="none" w:sz="0" w:space="0" w:color="auto"/>
        <w:right w:val="none" w:sz="0" w:space="0" w:color="auto"/>
      </w:divBdr>
    </w:div>
    <w:div w:id="21103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image" Target="media/image2.wmf"/><Relationship Id="rId42" Type="http://schemas.openxmlformats.org/officeDocument/2006/relationships/hyperlink" Target="http://tweb/sites/intertax/_layouts/15/WopiFrame.aspx?sourcedoc=/sites/intertax/itf/australian-government-guide-to-regulatory-impact-analysis.pdf&amp;action=default" TargetMode="External"/><Relationship Id="rId47" Type="http://schemas.openxmlformats.org/officeDocument/2006/relationships/hyperlink" Target="https://www.ato.gov.au/business/public-business-and-international/significant-global-entities/significant-global-entities---penalties/" TargetMode="External"/><Relationship Id="rId63" Type="http://schemas.openxmlformats.org/officeDocument/2006/relationships/hyperlink" Target="https://www.oecd.org/tax/beps/progress-report-on-amount-a-of-pillar-one-july-2022.pdf" TargetMode="External"/><Relationship Id="rId68" Type="http://schemas.openxmlformats.org/officeDocument/2006/relationships/hyperlink" Target="https://www.oecd.org/tax/beps/tax-challenges-arising-from-digitalisation-economic-impact-assessment-0e3cc2d4-en.htm"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read.oecd.org/10.1787/9789264202719-en" TargetMode="External"/><Relationship Id="rId11" Type="http://schemas.openxmlformats.org/officeDocument/2006/relationships/endnotes" Target="endnotes.xml"/><Relationship Id="rId24" Type="http://schemas.openxmlformats.org/officeDocument/2006/relationships/hyperlink" Target="mailto:media@treasury.gov.au" TargetMode="External"/><Relationship Id="rId32" Type="http://schemas.openxmlformats.org/officeDocument/2006/relationships/hyperlink" Target="https://read.oecd.org/10.1787/0e3cc2d4-en?format=pdf" TargetMode="External"/><Relationship Id="rId37" Type="http://schemas.openxmlformats.org/officeDocument/2006/relationships/image" Target="media/image7.png"/><Relationship Id="rId40" Type="http://schemas.openxmlformats.org/officeDocument/2006/relationships/hyperlink" Target="https://archive.budget.gov.au/2016-17/bp2/BP2_consolidated.pdf" TargetMode="External"/><Relationship Id="rId45" Type="http://schemas.openxmlformats.org/officeDocument/2006/relationships/hyperlink" Target="https://www.ato.gov.au/General/Tax-avoidance-taskforce/Tax-Avoidance-Taskforce-highlights-2019-20/" TargetMode="External"/><Relationship Id="rId53" Type="http://schemas.openxmlformats.org/officeDocument/2006/relationships/hyperlink" Target="https://tax.kpmg.us/content/dam/tax/en/pdfs/2022/digitalized-economy-taxation-developments-summary.pdf" TargetMode="External"/><Relationship Id="rId58" Type="http://schemas.openxmlformats.org/officeDocument/2006/relationships/hyperlink" Target="https://www.oecd.org/tax/beps/brochure-two-pillar-solution-to-address-the-tax-challenges-arising-from-the-digitalisation-of-the-economy-october-2021.pdf" TargetMode="External"/><Relationship Id="rId66" Type="http://schemas.openxmlformats.org/officeDocument/2006/relationships/hyperlink" Target="https://www.oecd.org/tax/beps/tax-challenges-arising-from-digitalisation-report-on-pillar-one-blueprint-beba0634-en.htm" TargetMode="External"/><Relationship Id="rId74" Type="http://schemas.openxmlformats.org/officeDocument/2006/relationships/footer" Target="footer8.xml"/><Relationship Id="rId5" Type="http://schemas.openxmlformats.org/officeDocument/2006/relationships/customXml" Target="../customXml/item5.xml"/><Relationship Id="rId61" Type="http://schemas.openxmlformats.org/officeDocument/2006/relationships/hyperlink" Target="https://www.oecd.org/tax/beps/public-comments-received-on-the-reports-on-pillar-one-and-pillar-two-blueprints.htm" TargetMode="External"/><Relationship Id="rId19" Type="http://schemas.openxmlformats.org/officeDocument/2006/relationships/hyperlink" Target="http://creativecommons.org/licenses/by/3.0/au/deed.en" TargetMode="External"/><Relationship Id="rId14" Type="http://schemas.openxmlformats.org/officeDocument/2006/relationships/header" Target="header2.xml"/><Relationship Id="rId22" Type="http://schemas.openxmlformats.org/officeDocument/2006/relationships/hyperlink" Target="http://creativecommons.org/licenses/by/3.0/au/deed.en" TargetMode="External"/><Relationship Id="rId27" Type="http://schemas.openxmlformats.org/officeDocument/2006/relationships/footer" Target="footer4.xml"/><Relationship Id="rId30" Type="http://schemas.openxmlformats.org/officeDocument/2006/relationships/hyperlink" Target="https://www.oecd.org/tax/beps/about/" TargetMode="External"/><Relationship Id="rId35" Type="http://schemas.openxmlformats.org/officeDocument/2006/relationships/image" Target="media/image5.png"/><Relationship Id="rId43" Type="http://schemas.openxmlformats.org/officeDocument/2006/relationships/hyperlink" Target="https://budget.gov.au/2022-23-october/content/bp2/index.htm" TargetMode="External"/><Relationship Id="rId48" Type="http://schemas.openxmlformats.org/officeDocument/2006/relationships/hyperlink" Target="https://www.ato.gov.au/General/Tax-avoidance-taskforce/Tax-Avoidance-Taskforce-highlights-2020-21/" TargetMode="External"/><Relationship Id="rId56" Type="http://schemas.openxmlformats.org/officeDocument/2006/relationships/hyperlink" Target="https://www.oecd-ilibrary.org/docserver/beba0634-en.pdf?expires=1663647981&amp;id=id&amp;accname=guest&amp;checksum=077AA05E37339DD0E3BCA55B365049A3" TargetMode="External"/><Relationship Id="rId64" Type="http://schemas.openxmlformats.org/officeDocument/2006/relationships/hyperlink" Target="https://www.oecd.org/tax/beps/about/" TargetMode="External"/><Relationship Id="rId69"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hyperlink" Target="https://treasury.gov.au/consultation/c2018-t306182" TargetMode="External"/><Relationship Id="rId72"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s://www.oecd.org/tax/beps/statement-on-a-two-pillar-solution-to-address-the-tax-challenges-arising-from-the-digitalisation-of-the-economy-july-2021.pdf" TargetMode="External"/><Relationship Id="rId38" Type="http://schemas.openxmlformats.org/officeDocument/2006/relationships/hyperlink" Target="https://www.oecd.org/tax/beps/statement-on-a-two-pillar-solution-to-address-the-tax-challenges-arising-from-the-digitalisation-of-the-economy-october-2021.pdf" TargetMode="External"/><Relationship Id="rId46" Type="http://schemas.openxmlformats.org/officeDocument/2006/relationships/hyperlink" Target="https://www.ato.gov.au/business/international-tax-for-business/in-detail/doing-business-in-australia/combating-multinational-tax-avoidance---a-targeted-anti-avoidance-law/" TargetMode="External"/><Relationship Id="rId59" Type="http://schemas.openxmlformats.org/officeDocument/2006/relationships/hyperlink" Target="https://www.oecd.org/tax/beps/statement-on-a-two-pillar-solution-to-address-the-tax-challenges-arising-from-the-digitalisation-of-the-economy-july-2021.pdf" TargetMode="External"/><Relationship Id="rId67" Type="http://schemas.openxmlformats.org/officeDocument/2006/relationships/hyperlink" Target="https://www.oecd.org/tax/beps/tax-challenges-arising-from-digitalisation-report-on-pillar-two-blueprint-abb4c3d1-en.htm" TargetMode="External"/><Relationship Id="rId20" Type="http://schemas.openxmlformats.org/officeDocument/2006/relationships/hyperlink" Target="http://creativecommons.org/licenses/by/3.0/au/legalcode" TargetMode="External"/><Relationship Id="rId41" Type="http://schemas.openxmlformats.org/officeDocument/2006/relationships/hyperlink" Target="http://tweb/sites/intertax/itf/australian-government-guide-to-regulatory-impact-analysis.pdf?Web=1" TargetMode="External"/><Relationship Id="rId54" Type="http://schemas.openxmlformats.org/officeDocument/2006/relationships/hyperlink" Target="https://www.oecd.org/tax/beps/public-consultation-document-reports-on-pillar-one-and-pillar-two-blueprints-october-2020.pdf" TargetMode="External"/><Relationship Id="rId62" Type="http://schemas.openxmlformats.org/officeDocument/2006/relationships/hyperlink" Target="https://www.oecd.org/tax/beps/tax-challenges-arising-from-the-digitalisation-of-the-economy-global-anti-base-erosion-model-rules-pillar-two.pdf" TargetMode="External"/><Relationship Id="rId70" Type="http://schemas.openxmlformats.org/officeDocument/2006/relationships/header" Target="header7.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pmc.gov.au/government/commonwealth-coat-arm" TargetMode="External"/><Relationship Id="rId28" Type="http://schemas.openxmlformats.org/officeDocument/2006/relationships/footer" Target="footer5.xml"/><Relationship Id="rId36" Type="http://schemas.openxmlformats.org/officeDocument/2006/relationships/image" Target="media/image6.png"/><Relationship Id="rId49" Type="http://schemas.openxmlformats.org/officeDocument/2006/relationships/hyperlink" Target="https://www.ato.gov.au/Business/International-tax-for-business/In-detail/Doing-business-in-Australia/Diverted-profits-tax/?page=1" TargetMode="External"/><Relationship Id="rId57" Type="http://schemas.openxmlformats.org/officeDocument/2006/relationships/hyperlink" Target="https://www.oecd-ilibrary.org/docserver/abb4c3d1-en.pdf?expires=1663648325&amp;id=id&amp;accname=guest&amp;checksum=DF545DFEC20922E196E55B4C4EBE719E" TargetMode="External"/><Relationship Id="rId10" Type="http://schemas.openxmlformats.org/officeDocument/2006/relationships/footnotes" Target="footnotes.xml"/><Relationship Id="rId31" Type="http://schemas.openxmlformats.org/officeDocument/2006/relationships/hyperlink" Target="https://www.oecd.org/tax/beps/public-consultation-document-reports-on-pillar-one-and-pillar-two-blueprints-october-2020.pdf" TargetMode="External"/><Relationship Id="rId44" Type="http://schemas.openxmlformats.org/officeDocument/2006/relationships/hyperlink" Target="https://budget.gov.au/2022-23-october/content/bp2/index.htm" TargetMode="External"/><Relationship Id="rId52" Type="http://schemas.openxmlformats.org/officeDocument/2006/relationships/hyperlink" Target="https://ministers.treasury.gov.au/ministers/josh-frydenberg-2018/media-releases/government-response-digital-economy-consultation" TargetMode="External"/><Relationship Id="rId60" Type="http://schemas.openxmlformats.org/officeDocument/2006/relationships/hyperlink" Target="https://www.oecd.org/tax/beps/statement-on-a-two-pillar-solution-to-address-the-tax-challenges-arising-from-the-digitalisation-of-the-economy-october-2021.pdf" TargetMode="External"/><Relationship Id="rId65" Type="http://schemas.openxmlformats.org/officeDocument/2006/relationships/hyperlink" Target="https://www.efd.admin.ch/efd/en/home/taxes/international-taxation/implementation-oecd-minimum-tax-rate.html" TargetMode="External"/><Relationship Id="rId73"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oecd.org/tax/beps/statement-on-a-two-pillar-solution-to-address-the-tax-challenges-arising-from-the-digitalisation-of-the-economy-october-2021.pdf" TargetMode="External"/><Relationship Id="rId34" Type="http://schemas.openxmlformats.org/officeDocument/2006/relationships/hyperlink" Target="https://www.oecd.org/tax/beps/statement-on-a-two-pillar-solution-to-address-the-tax-challenges-arising-from-the-digitalisation-of-the-economy-october-2021.pdf" TargetMode="External"/><Relationship Id="rId50" Type="http://schemas.openxmlformats.org/officeDocument/2006/relationships/hyperlink" Target="https://treasury.gov.au/sites/default/files/2019-03/c2018-t306182-discussion-paper-1.pdf" TargetMode="External"/><Relationship Id="rId55" Type="http://schemas.openxmlformats.org/officeDocument/2006/relationships/hyperlink" Target="https://www.oecd-ilibrary.org/docserver/0e3cc2d4-en.pdf?expires=1663648459&amp;id=id&amp;accname=guest&amp;checksum=B590B8FC9D5D78D1C3B552FDD0EF00DB"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6.xml"/></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docserver/0e3cc2d4-en.pdf?expires=1637884817&amp;id=id&amp;accname=guest&amp;checksum=863F9AC56D973AF05B01B5BD32819BF1" TargetMode="External"/><Relationship Id="rId2" Type="http://schemas.openxmlformats.org/officeDocument/2006/relationships/hyperlink" Target="https://www.oecd-ilibrary.org/docserver/0e3cc2d4-en.pdf?expires=1637884817&amp;id=id&amp;accname=guest&amp;checksum=863F9AC56D973AF05B01B5BD32819BF1" TargetMode="External"/><Relationship Id="rId1" Type="http://schemas.openxmlformats.org/officeDocument/2006/relationships/hyperlink" Target="https://budget.gov.au/2022-23-october/content/bp2/index.htm" TargetMode="External"/><Relationship Id="rId4" Type="http://schemas.openxmlformats.org/officeDocument/2006/relationships/hyperlink" Target="https://www.oecd-ilibrary.org/docserver/0e3cc2d4-en.pdf?expires=1637884817&amp;id=id&amp;accname=guest&amp;checksum=863F9AC56D973AF05B01B5BD32819BF1"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DOCID-322795542-32934</_dlc_DocId>
    <_dlc_DocIdUrl xmlns="4195ad5f-cdf2-4c4a-8d9b-b7944a108e98">
      <Url>https://pmc01.sharepoint.com/sites/CRMOBPR/_layouts/15/DocIdRedir.aspx?ID=DOCID-322795542-32934</Url>
      <Description>DOCID-322795542-32934</Description>
    </_dlc_DocIdUrl>
    <_dlc_DocIdPersistId xmlns="4195ad5f-cdf2-4c4a-8d9b-b7944a108e98" xsi:nil="true"/>
    <SharedWithUsers xmlns="4195ad5f-cdf2-4c4a-8d9b-b7944a108e98">
      <UserInfo>
        <DisplayName>Walsh, Joseph</DisplayName>
        <AccountId>23</AccountId>
        <AccountType/>
      </UserInfo>
      <UserInfo>
        <DisplayName>Baguley, Kerry</DisplayName>
        <AccountId>52</AccountId>
        <AccountType/>
      </UserInfo>
      <UserInfo>
        <DisplayName>Clarke, Liam</DisplayName>
        <AccountId>65</AccountId>
        <AccountType/>
      </UserInfo>
      <UserInfo>
        <DisplayName>Cortes Rueda, Lynna</DisplayName>
        <AccountId>61</AccountId>
        <AccountType/>
      </UserInfo>
    </SharedWithUsers>
    <_ip_UnifiedCompliancePolicyUIAction xmlns="http://schemas.microsoft.com/sharepoint/v3" xsi:nil="true"/>
    <_ip_UnifiedCompliancePolicyProperties xmlns="http://schemas.microsoft.com/sharepoint/v3" xsi:nil="true"/>
    <lcf76f155ced4ddcb4097134ff3c332f xmlns="26285671-540d-468b-b7a1-f3e0438dd51a">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7AC26-1B93-4433-9221-411C4465EAD9}">
  <ds:schemaRefs>
    <ds:schemaRef ds:uri="http://schemas.microsoft.com/office/2006/documentManagement/types"/>
    <ds:schemaRef ds:uri="http://www.w3.org/XML/1998/namespace"/>
    <ds:schemaRef ds:uri="ef209f3f-5c93-47d0-a846-df4853a4fc2c"/>
    <ds:schemaRef ds:uri="http://purl.org/dc/dcmitype/"/>
    <ds:schemaRef ds:uri="http://purl.org/dc/elements/1.1/"/>
    <ds:schemaRef ds:uri="http://schemas.openxmlformats.org/package/2006/metadata/core-properties"/>
    <ds:schemaRef ds:uri="793e3b98-8742-4ffd-bd9e-ca8b77010030"/>
    <ds:schemaRef ds:uri="http://purl.org/dc/terms/"/>
    <ds:schemaRef ds:uri="http://schemas.microsoft.com/office/infopath/2007/PartnerControls"/>
    <ds:schemaRef ds:uri="fe39d773-a83d-4623-ae74-f25711a76616"/>
    <ds:schemaRef ds:uri="http://schemas.microsoft.com/office/2006/metadata/properties"/>
  </ds:schemaRefs>
</ds:datastoreItem>
</file>

<file path=customXml/itemProps2.xml><?xml version="1.0" encoding="utf-8"?>
<ds:datastoreItem xmlns:ds="http://schemas.openxmlformats.org/officeDocument/2006/customXml" ds:itemID="{082BE8F6-D4FF-479E-837D-EC79C4800D86}">
  <ds:schemaRefs>
    <ds:schemaRef ds:uri="http://schemas.microsoft.com/sharepoint/events"/>
  </ds:schemaRefs>
</ds:datastoreItem>
</file>

<file path=customXml/itemProps3.xml><?xml version="1.0" encoding="utf-8"?>
<ds:datastoreItem xmlns:ds="http://schemas.openxmlformats.org/officeDocument/2006/customXml" ds:itemID="{D055426D-6D3D-4EE7-B577-97C856097E2B}"/>
</file>

<file path=customXml/itemProps4.xml><?xml version="1.0" encoding="utf-8"?>
<ds:datastoreItem xmlns:ds="http://schemas.openxmlformats.org/officeDocument/2006/customXml" ds:itemID="{DA4CEA08-F29F-4EAF-B61F-66B81E9B53A6}">
  <ds:schemaRefs>
    <ds:schemaRef ds:uri="http://schemas.openxmlformats.org/officeDocument/2006/bibliography"/>
  </ds:schemaRefs>
</ds:datastoreItem>
</file>

<file path=customXml/itemProps5.xml><?xml version="1.0" encoding="utf-8"?>
<ds:datastoreItem xmlns:ds="http://schemas.openxmlformats.org/officeDocument/2006/customXml" ds:itemID="{E7ECC5CB-99EF-466A-8DC3-D89205964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3</TotalTime>
  <Pages>52</Pages>
  <Words>20253</Words>
  <Characters>115448</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OECD Tax Negotiations - RIS</vt:lpstr>
    </vt:vector>
  </TitlesOfParts>
  <Company>Australian Government - The Treasury</Company>
  <LinksUpToDate>false</LinksUpToDate>
  <CharactersWithSpaces>135431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OECD Tax Negotiations - RIS</dc:title>
  <dc:subject/>
  <dc:creator>Cortes Rueda, Lynna</dc:creator>
  <cp:keywords/>
  <dc:description/>
  <cp:lastModifiedBy>Clarke, Liam</cp:lastModifiedBy>
  <cp:revision>8</cp:revision>
  <cp:lastPrinted>2023-05-19T01:03:00Z</cp:lastPrinted>
  <dcterms:created xsi:type="dcterms:W3CDTF">2023-05-16T03:28:00Z</dcterms:created>
  <dcterms:modified xsi:type="dcterms:W3CDTF">2023-05-19T01:03:00Z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
  </property>
  <property fmtid="{D5CDD505-2E9C-101B-9397-08002B2CF9AE}" pid="3" name="PM_Caveats_Count">
    <vt:lpwstr>0</vt:lpwstr>
  </property>
  <property fmtid="{D5CDD505-2E9C-101B-9397-08002B2CF9AE}" pid="4" name="PM_Originator_Hash_SHA1">
    <vt:lpwstr>65B4B6F1F11C183D2B9D7143C75A26499BBDDD68</vt:lpwstr>
  </property>
  <property fmtid="{D5CDD505-2E9C-101B-9397-08002B2CF9AE}" pid="5" name="PM_SecurityClassification">
    <vt:lpwstr/>
  </property>
  <property fmtid="{D5CDD505-2E9C-101B-9397-08002B2CF9AE}" pid="6" name="PM_DisplayValueSecClassificationWithQualifier">
    <vt:lpwstr/>
  </property>
  <property fmtid="{D5CDD505-2E9C-101B-9397-08002B2CF9AE}" pid="7" name="PM_Qualifier">
    <vt:lpwstr/>
  </property>
  <property fmtid="{D5CDD505-2E9C-101B-9397-08002B2CF9AE}" pid="8" name="PM_Hash_SHA1">
    <vt:lpwstr>E93E5A90642C43F8F4B2FE5D0B7004289A83F926</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
  </property>
  <property fmtid="{D5CDD505-2E9C-101B-9397-08002B2CF9AE}" pid="11" name="PM_ProtectiveMarkingValue_Header">
    <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D2959F253A934F8381471D45F37D2946</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2020-08-10T08:00:03Z</vt:lpwstr>
  </property>
  <property fmtid="{D5CDD505-2E9C-101B-9397-08002B2CF9AE}" pid="19" name="PM_Hash_Version">
    <vt:lpwstr>2018.0</vt:lpwstr>
  </property>
  <property fmtid="{D5CDD505-2E9C-101B-9397-08002B2CF9AE}" pid="20" name="PM_Hash_Salt_Prev">
    <vt:lpwstr>C6564D04939879D2C0359FDA9245ADB3</vt:lpwstr>
  </property>
  <property fmtid="{D5CDD505-2E9C-101B-9397-08002B2CF9AE}" pid="21" name="PM_Hash_Salt">
    <vt:lpwstr>0B8D38DACDC7DEE4DABA1BEFDF8FDBBB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0x0101009CA239676470E04B809DDC4E24CF2322</vt:lpwstr>
  </property>
  <property fmtid="{D5CDD505-2E9C-101B-9397-08002B2CF9AE}" pid="25" name="eDocument_x0020_Type">
    <vt:lpwstr>162;#Paper (Consultation or Discussion or Issues)|ed639160-ffef-47c5-861c-2e9391a33d9a</vt:lpwstr>
  </property>
  <property fmtid="{D5CDD505-2E9C-101B-9397-08002B2CF9AE}" pid="26" name="eTheme/Activity/Document Type">
    <vt:lpwstr>1137;#Paper (Consultation or Discussion or Issues)|bf40d7ce-14e5-43f5-a198-b34bd31de6ca</vt:lpwstr>
  </property>
  <property fmtid="{D5CDD505-2E9C-101B-9397-08002B2CF9AE}" pid="27" name="Stakeholders">
    <vt:lpwstr/>
  </property>
  <property fmtid="{D5CDD505-2E9C-101B-9397-08002B2CF9AE}" pid="28" name="Input">
    <vt:lpwstr/>
  </property>
  <property fmtid="{D5CDD505-2E9C-101B-9397-08002B2CF9AE}" pid="29" name="eTheme">
    <vt:lpwstr>1;#Taxation|e53aff8a-4a1a-4486-a4fc-f40489d68897</vt:lpwstr>
  </property>
  <property fmtid="{D5CDD505-2E9C-101B-9397-08002B2CF9AE}" pid="30" name="International Forum">
    <vt:lpwstr/>
  </property>
  <property fmtid="{D5CDD505-2E9C-101B-9397-08002B2CF9AE}" pid="31" name="eTheme/Topic">
    <vt:lpwstr>1094;#Digital Economy Taxation|560a372a-d12b-470a-a151-9ecb301c6782</vt:lpwstr>
  </property>
  <property fmtid="{D5CDD505-2E9C-101B-9397-08002B2CF9AE}" pid="32" name="Sub-topics">
    <vt:lpwstr>1096;#Pillar One|53cf3454-0519-48d2-9af8-c7b751a3941d;#1097;#Pillar Two|87fa97b0-abb8-4232-9db1-c7e615d93785</vt:lpwstr>
  </property>
  <property fmtid="{D5CDD505-2E9C-101B-9397-08002B2CF9AE}" pid="33" name="Sector">
    <vt:lpwstr/>
  </property>
  <property fmtid="{D5CDD505-2E9C-101B-9397-08002B2CF9AE}" pid="34" name="eDocument Type">
    <vt:lpwstr>162;#Paper (Consultation or Discussion or Issues)|ed639160-ffef-47c5-861c-2e9391a33d9a</vt:lpwstr>
  </property>
  <property fmtid="{D5CDD505-2E9C-101B-9397-08002B2CF9AE}" pid="35" name="aec7340661804c61a5c6d3d18e9a3b44">
    <vt:lpwstr>Digital Economy Taxation|bcd99714-e322-4231-bcb9-a008a8535fe3</vt:lpwstr>
  </property>
  <property fmtid="{D5CDD505-2E9C-101B-9397-08002B2CF9AE}" pid="36" name="n0adeebb38644e3a8c7de3f8fea0418e">
    <vt:lpwstr>Paper (Consultation or Discussion or Issues)|ed639160-ffef-47c5-861c-2e9391a33d9a</vt:lpwstr>
  </property>
  <property fmtid="{D5CDD505-2E9C-101B-9397-08002B2CF9AE}" pid="37" name="b01cfe90be52474b8e18e3381839b0e5">
    <vt:lpwstr>Paper (Consultation or Discussion or Issues)|bf40d7ce-14e5-43f5-a198-b34bd31de6ca</vt:lpwstr>
  </property>
  <property fmtid="{D5CDD505-2E9C-101B-9397-08002B2CF9AE}" pid="38" name="id0ea6ba05604696bb35b67743c4d46b">
    <vt:lpwstr/>
  </property>
  <property fmtid="{D5CDD505-2E9C-101B-9397-08002B2CF9AE}" pid="39" name="kbee140578994363bc3abafec32235cf">
    <vt:lpwstr/>
  </property>
  <property fmtid="{D5CDD505-2E9C-101B-9397-08002B2CF9AE}" pid="40" name="bd15a34e52e3468a87b49920a3b7dd6b">
    <vt:lpwstr>Digital Economy Taxation|560a372a-d12b-470a-a151-9ecb301c6782</vt:lpwstr>
  </property>
  <property fmtid="{D5CDD505-2E9C-101B-9397-08002B2CF9AE}" pid="41" name="l7ebafe80ed84afeab0e9ba9497f53aa">
    <vt:lpwstr>Pillar One|53cf3454-0519-48d2-9af8-c7b751a3941d;Pillar Two|87fa97b0-abb8-4232-9db1-c7e615d93785</vt:lpwstr>
  </property>
  <property fmtid="{D5CDD505-2E9C-101B-9397-08002B2CF9AE}" pid="42" name="p37d436020c64807a35c4f4356124e78">
    <vt:lpwstr/>
  </property>
  <property fmtid="{D5CDD505-2E9C-101B-9397-08002B2CF9AE}" pid="43" name="f188dc5528d44b99a3d5884e965015d4">
    <vt:lpwstr/>
  </property>
  <property fmtid="{D5CDD505-2E9C-101B-9397-08002B2CF9AE}" pid="44" name="Order">
    <vt:r8>241700</vt:r8>
  </property>
  <property fmtid="{D5CDD505-2E9C-101B-9397-08002B2CF9AE}" pid="45" name="TSYStatus">
    <vt:lpwstr/>
  </property>
  <property fmtid="{D5CDD505-2E9C-101B-9397-08002B2CF9AE}" pid="46" name="eTopic">
    <vt:lpwstr>123;#Digital Economy Taxation|bcd99714-e322-4231-bcb9-a008a8535fe3</vt:lpwstr>
  </property>
  <property fmtid="{D5CDD505-2E9C-101B-9397-08002B2CF9AE}" pid="47" name="eActivity">
    <vt:lpwstr>43;#Policy Development|3c21fa22-a311-4c7a-a8b0-1d9dee90bb01</vt:lpwstr>
  </property>
  <property fmtid="{D5CDD505-2E9C-101B-9397-08002B2CF9AE}" pid="48" name="eDocumentType">
    <vt:lpwstr>107;#Policy Impact Analysis|3aebfa41-609f-4053-89bf-d50c80b1e781</vt:lpwstr>
  </property>
  <property fmtid="{D5CDD505-2E9C-101B-9397-08002B2CF9AE}" pid="49" name="_dlc_DocIdItemGuid">
    <vt:lpwstr>29345f1e-ac50-4f1c-81fc-24b95375bcfd</vt:lpwstr>
  </property>
  <property fmtid="{D5CDD505-2E9C-101B-9397-08002B2CF9AE}" pid="50" name="MediaServiceImageTags">
    <vt:lpwstr/>
  </property>
</Properties>
</file>