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5.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charts/chart3.xml" ContentType="application/vnd.openxmlformats-officedocument.drawingml.chart+xml"/>
  <Override PartName="/word/charts/style3.xml" ContentType="application/vnd.ms-office.chartstyle+xml"/>
  <Override PartName="/word/diagrams/drawing1.xml" ContentType="application/vnd.ms-office.drawingml.diagramDrawing+xml"/>
  <Override PartName="/word/theme/themeOverride1.xml" ContentType="application/vnd.openxmlformats-officedocument.themeOverride+xml"/>
  <Override PartName="/word/charts/colors3.xml" ContentType="application/vnd.ms-office.chartcolorstyle+xml"/>
  <Override PartName="/word/charts/chart2.xml" ContentType="application/vnd.openxmlformats-officedocument.drawingml.chart+xml"/>
  <Override PartName="/word/diagrams/quickStyle1.xml" ContentType="application/vnd.openxmlformats-officedocument.drawingml.diagram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layout1.xml" ContentType="application/vnd.openxmlformats-officedocument.drawingml.diagramLayout+xml"/>
  <Override PartName="/word/diagrams/colors1.xml" ContentType="application/vnd.openxmlformats-officedocument.drawingml.diagramColors+xml"/>
  <Override PartName="/word/charts/style2.xml" ContentType="application/vnd.ms-office.chartstyle+xml"/>
  <Override PartName="/word/charts/colors2.xml" ContentType="application/vnd.ms-office.chartcolorstyl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fontTable.xml" ContentType="application/vnd.openxmlformats-officedocument.wordprocessingml.fontTable+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glossary/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554" w:rsidRPr="006A74F8" w:rsidRDefault="00124554" w:rsidP="00124554">
      <w:pPr>
        <w:pBdr>
          <w:bottom w:val="single" w:sz="8" w:space="1" w:color="005677" w:themeColor="text2"/>
        </w:pBdr>
        <w:spacing w:before="9480" w:after="120" w:line="240" w:lineRule="auto"/>
        <w:contextualSpacing/>
        <w:outlineLvl w:val="0"/>
        <w:rPr>
          <w:rFonts w:asciiTheme="majorHAnsi" w:eastAsiaTheme="majorEastAsia" w:hAnsiTheme="majorHAnsi" w:cstheme="majorBidi"/>
          <w:color w:val="FFFFFF" w:themeColor="background1"/>
          <w:spacing w:val="-10"/>
          <w:kern w:val="28"/>
          <w:sz w:val="72"/>
          <w:szCs w:val="72"/>
        </w:rPr>
      </w:pPr>
      <w:bookmarkStart w:id="0" w:name="_Toc69228448"/>
      <w:bookmarkStart w:id="1" w:name="_Toc81912928"/>
      <w:bookmarkStart w:id="2" w:name="_Toc81919513"/>
      <w:bookmarkStart w:id="3" w:name="_Toc81919787"/>
      <w:bookmarkStart w:id="4" w:name="_Toc81921155"/>
      <w:bookmarkStart w:id="5" w:name="_Toc81923629"/>
      <w:bookmarkStart w:id="6" w:name="_Toc81923757"/>
      <w:bookmarkStart w:id="7" w:name="_Toc81990844"/>
      <w:bookmarkStart w:id="8" w:name="_Toc81997297"/>
      <w:bookmarkStart w:id="9" w:name="_Toc81998070"/>
      <w:bookmarkStart w:id="10" w:name="_Toc82011834"/>
      <w:bookmarkStart w:id="11" w:name="_Toc82511089"/>
      <w:bookmarkStart w:id="12" w:name="_Toc82512681"/>
      <w:bookmarkStart w:id="13" w:name="_Toc82516149"/>
      <w:bookmarkStart w:id="14" w:name="_Toc82519100"/>
      <w:bookmarkStart w:id="15" w:name="_Toc82706638"/>
      <w:bookmarkStart w:id="16" w:name="_Toc82785235"/>
      <w:bookmarkStart w:id="17" w:name="_Toc82790527"/>
      <w:bookmarkStart w:id="18" w:name="_Toc82791046"/>
      <w:bookmarkStart w:id="19" w:name="_Toc82792357"/>
      <w:bookmarkStart w:id="20" w:name="_Toc83281172"/>
      <w:bookmarkStart w:id="21" w:name="_Toc83281466"/>
      <w:bookmarkStart w:id="22" w:name="_Toc83290739"/>
      <w:bookmarkStart w:id="23" w:name="_Toc83292748"/>
      <w:bookmarkStart w:id="24" w:name="_Toc83293519"/>
      <w:bookmarkStart w:id="25" w:name="_Toc19023741"/>
      <w:bookmarkStart w:id="26" w:name="_Toc19107846"/>
      <w:bookmarkStart w:id="27" w:name="_GoBack"/>
      <w:bookmarkEnd w:id="27"/>
      <w:r w:rsidRPr="006A74F8">
        <w:rPr>
          <w:rFonts w:ascii="Calibri" w:eastAsia="Times New Roman" w:hAnsi="Calibri" w:cs="Times New Roman"/>
          <w:color w:val="FFFFFF" w:themeColor="background1"/>
          <w:spacing w:val="-10"/>
          <w:kern w:val="28"/>
          <w:sz w:val="72"/>
          <w:szCs w:val="72"/>
        </w:rPr>
        <w:t>Reforming Australia’s Measurement Legislation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124554" w:rsidRPr="006A74F8" w:rsidRDefault="00124554" w:rsidP="00124554">
      <w:pPr>
        <w:numPr>
          <w:ilvl w:val="1"/>
          <w:numId w:val="0"/>
        </w:numPr>
        <w:spacing w:after="120"/>
        <w:rPr>
          <w:rFonts w:eastAsiaTheme="minorEastAsia"/>
          <w:color w:val="FFFFFF" w:themeColor="background1"/>
          <w:sz w:val="40"/>
        </w:rPr>
      </w:pPr>
      <w:r w:rsidRPr="006A74F8">
        <w:rPr>
          <w:rFonts w:eastAsiaTheme="minorEastAsia"/>
          <w:color w:val="FFFFFF" w:themeColor="background1"/>
          <w:sz w:val="40"/>
        </w:rPr>
        <w:t xml:space="preserve"> Regulation Impact Statement</w:t>
      </w:r>
    </w:p>
    <w:p w:rsidR="00124554" w:rsidRPr="006A74F8" w:rsidRDefault="00124554" w:rsidP="00124554">
      <w:pPr>
        <w:numPr>
          <w:ilvl w:val="1"/>
          <w:numId w:val="0"/>
        </w:numPr>
        <w:rPr>
          <w:rFonts w:eastAsiaTheme="minorEastAsia"/>
          <w:color w:val="FFFFFF" w:themeColor="background1"/>
          <w:sz w:val="40"/>
        </w:rPr>
      </w:pPr>
    </w:p>
    <w:p w:rsidR="00124554" w:rsidRPr="006A74F8" w:rsidRDefault="00735CC8" w:rsidP="00124554">
      <w:pPr>
        <w:numPr>
          <w:ilvl w:val="1"/>
          <w:numId w:val="0"/>
        </w:numPr>
        <w:spacing w:after="120"/>
        <w:rPr>
          <w:rFonts w:eastAsiaTheme="minorEastAsia"/>
          <w:color w:val="FFFFFF" w:themeColor="background1"/>
          <w:sz w:val="32"/>
          <w:szCs w:val="32"/>
        </w:rPr>
      </w:pPr>
      <w:r w:rsidRPr="006A74F8">
        <w:rPr>
          <w:rFonts w:eastAsiaTheme="minorEastAsia"/>
          <w:color w:val="FFFFFF" w:themeColor="background1"/>
          <w:sz w:val="32"/>
          <w:szCs w:val="32"/>
        </w:rPr>
        <w:t>RIS ID: 23160</w:t>
      </w:r>
    </w:p>
    <w:p w:rsidR="00124554" w:rsidRPr="006A74F8" w:rsidRDefault="00124554" w:rsidP="00124554">
      <w:pPr>
        <w:numPr>
          <w:ilvl w:val="1"/>
          <w:numId w:val="0"/>
        </w:numPr>
        <w:rPr>
          <w:rFonts w:eastAsiaTheme="minorEastAsia"/>
          <w:color w:val="FFFFFF" w:themeColor="background1"/>
          <w:sz w:val="32"/>
          <w:szCs w:val="32"/>
        </w:rPr>
      </w:pPr>
      <w:r w:rsidRPr="006A74F8">
        <w:rPr>
          <w:rFonts w:eastAsiaTheme="minorEastAsia"/>
          <w:color w:val="FFFFFF" w:themeColor="background1"/>
          <w:sz w:val="32"/>
          <w:szCs w:val="32"/>
        </w:rPr>
        <w:t xml:space="preserve">Date: </w:t>
      </w:r>
      <w:r w:rsidR="00F641F5">
        <w:rPr>
          <w:rFonts w:eastAsiaTheme="minorEastAsia"/>
          <w:color w:val="FFFFFF" w:themeColor="background1"/>
          <w:sz w:val="32"/>
          <w:szCs w:val="32"/>
        </w:rPr>
        <w:t>23 September</w:t>
      </w:r>
      <w:r w:rsidR="00495314" w:rsidRPr="006A74F8">
        <w:rPr>
          <w:rFonts w:eastAsiaTheme="minorEastAsia"/>
          <w:color w:val="FFFFFF" w:themeColor="background1"/>
          <w:sz w:val="32"/>
          <w:szCs w:val="32"/>
        </w:rPr>
        <w:t xml:space="preserve"> 2021</w:t>
      </w:r>
    </w:p>
    <w:bookmarkStart w:id="28" w:name="_Toc19289801" w:displacedByCustomXml="next"/>
    <w:sdt>
      <w:sdtPr>
        <w:rPr>
          <w:rFonts w:eastAsiaTheme="minorHAnsi"/>
          <w:color w:val="auto"/>
          <w:sz w:val="22"/>
        </w:rPr>
        <w:id w:val="-2088995269"/>
        <w:docPartObj>
          <w:docPartGallery w:val="Cover Pages"/>
          <w:docPartUnique/>
        </w:docPartObj>
      </w:sdtPr>
      <w:sdtEndPr/>
      <w:sdtContent>
        <w:bookmarkEnd w:id="28" w:displacedByCustomXml="prev"/>
        <w:bookmarkStart w:id="29" w:name="_Toc19023739" w:displacedByCustomXml="prev"/>
        <w:bookmarkStart w:id="30" w:name="_Toc19289802" w:displacedByCustomXml="prev"/>
        <w:p w:rsidR="00124554" w:rsidRPr="006A74F8" w:rsidRDefault="00124554" w:rsidP="00FE1EE3">
          <w:pPr>
            <w:pStyle w:val="Subtitle"/>
            <w:spacing w:after="120"/>
          </w:pPr>
          <w:r w:rsidRPr="006A74F8">
            <w:t>Copyright</w:t>
          </w:r>
          <w:bookmarkEnd w:id="30"/>
          <w:bookmarkEnd w:id="29"/>
        </w:p>
        <w:p w:rsidR="00124554" w:rsidRPr="006A74F8" w:rsidRDefault="00124554" w:rsidP="00124554">
          <w:pPr>
            <w:rPr>
              <w:rStyle w:val="Strong"/>
            </w:rPr>
          </w:pPr>
          <w:r w:rsidRPr="006A74F8">
            <w:rPr>
              <w:rStyle w:val="Strong"/>
            </w:rPr>
            <w:t>© Commonwealth of Australia 2021</w:t>
          </w:r>
        </w:p>
        <w:p w:rsidR="00124554" w:rsidRPr="006A74F8" w:rsidRDefault="00124554" w:rsidP="00124554">
          <w:pPr>
            <w:rPr>
              <w:rStyle w:val="Strong"/>
            </w:rPr>
          </w:pPr>
          <w:r w:rsidRPr="006A74F8">
            <w:rPr>
              <w:rStyle w:val="Strong"/>
            </w:rPr>
            <w:t>Ownership of intellectual property rights</w:t>
          </w:r>
        </w:p>
        <w:p w:rsidR="00124554" w:rsidRPr="006A74F8" w:rsidRDefault="00124554" w:rsidP="00124554">
          <w:r w:rsidRPr="006A74F8">
            <w:t>Unless otherwise noted, copyright (and any other intellectual property rights, if any) in this publication is owned by the Commonwealth of Australia.</w:t>
          </w:r>
        </w:p>
        <w:p w:rsidR="00124554" w:rsidRPr="006A74F8" w:rsidRDefault="00124554" w:rsidP="00124554">
          <w:pPr>
            <w:rPr>
              <w:rStyle w:val="Strong"/>
            </w:rPr>
          </w:pPr>
          <w:r w:rsidRPr="006A74F8">
            <w:rPr>
              <w:rStyle w:val="Strong"/>
            </w:rPr>
            <w:t>Creative Commons licence</w:t>
          </w:r>
        </w:p>
        <w:p w:rsidR="00124554" w:rsidRPr="006A74F8" w:rsidRDefault="00124554" w:rsidP="00124554">
          <w:pPr>
            <w:rPr>
              <w:rStyle w:val="Strong"/>
            </w:rPr>
          </w:pPr>
          <w:r w:rsidRPr="006A74F8">
            <w:rPr>
              <w:b/>
              <w:noProof/>
              <w:lang w:eastAsia="en-AU"/>
            </w:rPr>
            <w:drawing>
              <wp:inline distT="0" distB="0" distL="0" distR="0" wp14:anchorId="7625078D" wp14:editId="059F98B9">
                <wp:extent cx="1128889" cy="440267"/>
                <wp:effectExtent l="0" t="0" r="0" b="0"/>
                <wp:docPr id="7" name="Picture 7"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rsidR="00124554" w:rsidRPr="006A74F8" w:rsidRDefault="00124554" w:rsidP="00124554">
          <w:pPr>
            <w:rPr>
              <w:rStyle w:val="Strong"/>
            </w:rPr>
          </w:pPr>
          <w:r w:rsidRPr="006A74F8">
            <w:rPr>
              <w:rStyle w:val="Strong"/>
            </w:rPr>
            <w:t xml:space="preserve">Attribution </w:t>
          </w:r>
        </w:p>
        <w:p w:rsidR="00124554" w:rsidRPr="006A74F8" w:rsidRDefault="00124554" w:rsidP="00124554">
          <w:pPr>
            <w:rPr>
              <w:rStyle w:val="Strong"/>
            </w:rPr>
          </w:pPr>
          <w:r w:rsidRPr="006A74F8">
            <w:rPr>
              <w:rStyle w:val="Strong"/>
            </w:rPr>
            <w:t>CC BY</w:t>
          </w:r>
        </w:p>
        <w:p w:rsidR="00124554" w:rsidRPr="006A74F8" w:rsidRDefault="00124554" w:rsidP="00124554">
          <w:r w:rsidRPr="006A74F8">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rsidR="00124554" w:rsidRPr="006A74F8" w:rsidRDefault="00124554" w:rsidP="00124554">
          <w:r w:rsidRPr="006A74F8">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9" w:history="1">
            <w:r w:rsidRPr="006A74F8">
              <w:rPr>
                <w:rStyle w:val="Hyperlink"/>
              </w:rPr>
              <w:t>https://creativecommons.org/licenses/by/4.0/</w:t>
            </w:r>
          </w:hyperlink>
        </w:p>
        <w:p w:rsidR="00124554" w:rsidRPr="006A74F8" w:rsidRDefault="00124554" w:rsidP="00124554">
          <w:r w:rsidRPr="006A74F8">
            <w:t xml:space="preserve">The full licence terms are available from </w:t>
          </w:r>
          <w:hyperlink r:id="rId10" w:history="1">
            <w:r w:rsidRPr="006A74F8">
              <w:rPr>
                <w:rStyle w:val="Hyperlink"/>
              </w:rPr>
              <w:t>https://creativecommons.org/licenses/by/4.0/legalcode</w:t>
            </w:r>
          </w:hyperlink>
        </w:p>
        <w:p w:rsidR="00124554" w:rsidRPr="006A74F8" w:rsidRDefault="00124554" w:rsidP="00124554">
          <w:r w:rsidRPr="006A74F8">
            <w:t xml:space="preserve">Content contained herein should be attributed as </w:t>
          </w:r>
          <w:r w:rsidRPr="006A74F8">
            <w:rPr>
              <w:i/>
            </w:rPr>
            <w:t>Report title, Australian Government Department of Industry, Science, Energy and Resources</w:t>
          </w:r>
          <w:r w:rsidRPr="006A74F8">
            <w:t>.</w:t>
          </w:r>
        </w:p>
        <w:p w:rsidR="00124554" w:rsidRPr="006A74F8" w:rsidRDefault="00124554" w:rsidP="00124554">
          <w:pPr>
            <w:rPr>
              <w:b/>
              <w:bCs/>
            </w:rPr>
          </w:pPr>
        </w:p>
        <w:p w:rsidR="00124554" w:rsidRPr="006A74F8" w:rsidRDefault="00124554" w:rsidP="00FE1EE3">
          <w:pPr>
            <w:rPr>
              <w:rFonts w:eastAsiaTheme="minorEastAsia"/>
              <w:color w:val="58595B" w:themeColor="background2"/>
              <w:sz w:val="32"/>
            </w:rPr>
          </w:pPr>
          <w:bookmarkStart w:id="31" w:name="_Toc19023740"/>
          <w:bookmarkStart w:id="32" w:name="_Toc19289803"/>
          <w:r w:rsidRPr="006A74F8">
            <w:rPr>
              <w:rFonts w:eastAsiaTheme="minorEastAsia"/>
              <w:color w:val="58595B" w:themeColor="background2"/>
              <w:sz w:val="32"/>
            </w:rPr>
            <w:t>Disclaimer</w:t>
          </w:r>
          <w:bookmarkEnd w:id="31"/>
          <w:bookmarkEnd w:id="32"/>
        </w:p>
        <w:p w:rsidR="006E137F" w:rsidRPr="006A74F8" w:rsidRDefault="00124554" w:rsidP="00FD7AC9">
          <w:pPr>
            <w:sectPr w:rsidR="006E137F" w:rsidRPr="006A74F8" w:rsidSect="00EC61D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cols w:space="708"/>
              <w:titlePg/>
              <w:docGrid w:linePitch="360"/>
            </w:sectPr>
          </w:pPr>
          <w:r w:rsidRPr="006A74F8">
            <w:t>The Australian Government as represented by the Department of Industry, Science, Energy and Resources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 contained in this publication. The reader should rely on their own inquiries to independently confirm the information and comment on which they intend to act. This publication does not indicate commitment by the Australian Government to a particular course of action.</w:t>
          </w:r>
        </w:p>
      </w:sdtContent>
    </w:sdt>
    <w:bookmarkStart w:id="33" w:name="_Toc61338650" w:displacedByCustomXml="next"/>
    <w:sdt>
      <w:sdtPr>
        <w:id w:val="-472213055"/>
        <w:docPartObj>
          <w:docPartGallery w:val="Table of Contents"/>
          <w:docPartUnique/>
        </w:docPartObj>
      </w:sdtPr>
      <w:sdtEndPr>
        <w:rPr>
          <w:noProof/>
        </w:rPr>
      </w:sdtEndPr>
      <w:sdtContent>
        <w:p w:rsidR="005C5AF4" w:rsidRPr="00711DB8" w:rsidRDefault="00F81F65" w:rsidP="00711DB8">
          <w:pPr>
            <w:pStyle w:val="TOC1"/>
            <w:tabs>
              <w:tab w:val="clear" w:pos="9781"/>
              <w:tab w:val="left" w:pos="2880"/>
            </w:tabs>
            <w:rPr>
              <w:noProof/>
            </w:rPr>
          </w:pPr>
          <w:r w:rsidRPr="006A74F8">
            <w:rPr>
              <w:rStyle w:val="Heading1Char"/>
            </w:rPr>
            <w:t>Contents</w:t>
          </w:r>
          <w:r w:rsidR="0066476D" w:rsidRPr="006A74F8">
            <w:fldChar w:fldCharType="begin"/>
          </w:r>
          <w:r w:rsidR="0066476D" w:rsidRPr="006A74F8">
            <w:rPr>
              <w:b/>
              <w:bCs/>
              <w:noProof/>
            </w:rPr>
            <w:instrText xml:space="preserve"> TOC \o "1-1" \h \z \u </w:instrText>
          </w:r>
          <w:r w:rsidR="0066476D" w:rsidRPr="006A74F8">
            <w:fldChar w:fldCharType="separate"/>
          </w:r>
        </w:p>
        <w:p w:rsidR="005C5AF4" w:rsidRDefault="00480B0E">
          <w:pPr>
            <w:pStyle w:val="TOC1"/>
            <w:rPr>
              <w:rFonts w:eastAsiaTheme="minorEastAsia"/>
              <w:noProof/>
              <w:lang w:eastAsia="en-AU"/>
            </w:rPr>
          </w:pPr>
          <w:hyperlink w:anchor="_Toc83293520" w:history="1">
            <w:r w:rsidR="005C5AF4" w:rsidRPr="00895F09">
              <w:rPr>
                <w:rStyle w:val="Hyperlink"/>
                <w:rFonts w:cstheme="minorHAnsi"/>
                <w:noProof/>
              </w:rPr>
              <w:t>1</w:t>
            </w:r>
            <w:r w:rsidR="005C5AF4">
              <w:rPr>
                <w:rFonts w:eastAsiaTheme="minorEastAsia"/>
                <w:noProof/>
                <w:lang w:eastAsia="en-AU"/>
              </w:rPr>
              <w:tab/>
            </w:r>
            <w:r w:rsidR="005C5AF4" w:rsidRPr="00895F09">
              <w:rPr>
                <w:rStyle w:val="Hyperlink"/>
                <w:rFonts w:eastAsia="Times New Roman"/>
                <w:noProof/>
                <w:lang w:eastAsia="en-AU"/>
              </w:rPr>
              <w:t xml:space="preserve">Executive </w:t>
            </w:r>
            <w:r w:rsidR="005C5AF4" w:rsidRPr="00895F09">
              <w:rPr>
                <w:rStyle w:val="Hyperlink"/>
                <w:noProof/>
              </w:rPr>
              <w:t>summary</w:t>
            </w:r>
            <w:r w:rsidR="005C5AF4">
              <w:rPr>
                <w:noProof/>
                <w:webHidden/>
              </w:rPr>
              <w:tab/>
            </w:r>
            <w:r w:rsidR="005C5AF4">
              <w:rPr>
                <w:noProof/>
                <w:webHidden/>
              </w:rPr>
              <w:fldChar w:fldCharType="begin"/>
            </w:r>
            <w:r w:rsidR="005C5AF4">
              <w:rPr>
                <w:noProof/>
                <w:webHidden/>
              </w:rPr>
              <w:instrText xml:space="preserve"> PAGEREF _Toc83293520 \h </w:instrText>
            </w:r>
            <w:r w:rsidR="005C5AF4">
              <w:rPr>
                <w:noProof/>
                <w:webHidden/>
              </w:rPr>
            </w:r>
            <w:r w:rsidR="005C5AF4">
              <w:rPr>
                <w:noProof/>
                <w:webHidden/>
              </w:rPr>
              <w:fldChar w:fldCharType="separate"/>
            </w:r>
            <w:r w:rsidR="0033017F">
              <w:rPr>
                <w:noProof/>
                <w:webHidden/>
              </w:rPr>
              <w:t>4</w:t>
            </w:r>
            <w:r w:rsidR="005C5AF4">
              <w:rPr>
                <w:noProof/>
                <w:webHidden/>
              </w:rPr>
              <w:fldChar w:fldCharType="end"/>
            </w:r>
          </w:hyperlink>
        </w:p>
        <w:p w:rsidR="005C5AF4" w:rsidRDefault="00480B0E">
          <w:pPr>
            <w:pStyle w:val="TOC1"/>
            <w:rPr>
              <w:rFonts w:eastAsiaTheme="minorEastAsia"/>
              <w:noProof/>
              <w:lang w:eastAsia="en-AU"/>
            </w:rPr>
          </w:pPr>
          <w:hyperlink w:anchor="_Toc83293521" w:history="1">
            <w:r w:rsidR="005C5AF4" w:rsidRPr="00895F09">
              <w:rPr>
                <w:rStyle w:val="Hyperlink"/>
                <w:rFonts w:cstheme="minorHAnsi"/>
                <w:noProof/>
                <w:lang w:eastAsia="en-AU"/>
              </w:rPr>
              <w:t>2</w:t>
            </w:r>
            <w:r w:rsidR="005C5AF4">
              <w:rPr>
                <w:rFonts w:eastAsiaTheme="minorEastAsia"/>
                <w:noProof/>
                <w:lang w:eastAsia="en-AU"/>
              </w:rPr>
              <w:tab/>
            </w:r>
            <w:r w:rsidR="005C5AF4" w:rsidRPr="00895F09">
              <w:rPr>
                <w:rStyle w:val="Hyperlink"/>
                <w:rFonts w:eastAsia="Times New Roman"/>
                <w:noProof/>
                <w:lang w:eastAsia="en-AU"/>
              </w:rPr>
              <w:t>Background</w:t>
            </w:r>
            <w:r w:rsidR="005C5AF4" w:rsidRPr="00895F09">
              <w:rPr>
                <w:rStyle w:val="Hyperlink"/>
                <w:noProof/>
                <w:lang w:eastAsia="en-AU"/>
              </w:rPr>
              <w:t xml:space="preserve"> and context</w:t>
            </w:r>
            <w:r w:rsidR="005C5AF4">
              <w:rPr>
                <w:noProof/>
                <w:webHidden/>
              </w:rPr>
              <w:tab/>
            </w:r>
            <w:r w:rsidR="005C5AF4">
              <w:rPr>
                <w:noProof/>
                <w:webHidden/>
              </w:rPr>
              <w:fldChar w:fldCharType="begin"/>
            </w:r>
            <w:r w:rsidR="005C5AF4">
              <w:rPr>
                <w:noProof/>
                <w:webHidden/>
              </w:rPr>
              <w:instrText xml:space="preserve"> PAGEREF _Toc83293521 \h </w:instrText>
            </w:r>
            <w:r w:rsidR="005C5AF4">
              <w:rPr>
                <w:noProof/>
                <w:webHidden/>
              </w:rPr>
            </w:r>
            <w:r w:rsidR="005C5AF4">
              <w:rPr>
                <w:noProof/>
                <w:webHidden/>
              </w:rPr>
              <w:fldChar w:fldCharType="separate"/>
            </w:r>
            <w:r w:rsidR="0033017F">
              <w:rPr>
                <w:noProof/>
                <w:webHidden/>
              </w:rPr>
              <w:t>14</w:t>
            </w:r>
            <w:r w:rsidR="005C5AF4">
              <w:rPr>
                <w:noProof/>
                <w:webHidden/>
              </w:rPr>
              <w:fldChar w:fldCharType="end"/>
            </w:r>
          </w:hyperlink>
        </w:p>
        <w:p w:rsidR="005C5AF4" w:rsidRDefault="00480B0E">
          <w:pPr>
            <w:pStyle w:val="TOC1"/>
            <w:rPr>
              <w:rFonts w:eastAsiaTheme="minorEastAsia"/>
              <w:noProof/>
              <w:lang w:eastAsia="en-AU"/>
            </w:rPr>
          </w:pPr>
          <w:hyperlink w:anchor="_Toc83293522" w:history="1">
            <w:r w:rsidR="005C5AF4" w:rsidRPr="00895F09">
              <w:rPr>
                <w:rStyle w:val="Hyperlink"/>
                <w:rFonts w:eastAsia="Times New Roman" w:cstheme="minorHAnsi"/>
                <w:noProof/>
                <w:lang w:eastAsia="en-AU"/>
              </w:rPr>
              <w:t>3</w:t>
            </w:r>
            <w:r w:rsidR="005C5AF4">
              <w:rPr>
                <w:rFonts w:eastAsiaTheme="minorEastAsia"/>
                <w:noProof/>
                <w:lang w:eastAsia="en-AU"/>
              </w:rPr>
              <w:tab/>
            </w:r>
            <w:r w:rsidR="005C5AF4" w:rsidRPr="00895F09">
              <w:rPr>
                <w:rStyle w:val="Hyperlink"/>
                <w:rFonts w:eastAsia="Times New Roman"/>
                <w:noProof/>
                <w:lang w:eastAsia="en-AU"/>
              </w:rPr>
              <w:t xml:space="preserve">RIS Question 1: </w:t>
            </w:r>
            <w:r w:rsidR="005C5AF4" w:rsidRPr="00895F09">
              <w:rPr>
                <w:rStyle w:val="Hyperlink"/>
                <w:noProof/>
              </w:rPr>
              <w:t>What is the policy problem to be solved?</w:t>
            </w:r>
            <w:r w:rsidR="005C5AF4">
              <w:rPr>
                <w:noProof/>
                <w:webHidden/>
              </w:rPr>
              <w:tab/>
            </w:r>
            <w:r w:rsidR="005C5AF4">
              <w:rPr>
                <w:noProof/>
                <w:webHidden/>
              </w:rPr>
              <w:fldChar w:fldCharType="begin"/>
            </w:r>
            <w:r w:rsidR="005C5AF4">
              <w:rPr>
                <w:noProof/>
                <w:webHidden/>
              </w:rPr>
              <w:instrText xml:space="preserve"> PAGEREF _Toc83293522 \h </w:instrText>
            </w:r>
            <w:r w:rsidR="005C5AF4">
              <w:rPr>
                <w:noProof/>
                <w:webHidden/>
              </w:rPr>
            </w:r>
            <w:r w:rsidR="005C5AF4">
              <w:rPr>
                <w:noProof/>
                <w:webHidden/>
              </w:rPr>
              <w:fldChar w:fldCharType="separate"/>
            </w:r>
            <w:r w:rsidR="0033017F">
              <w:rPr>
                <w:noProof/>
                <w:webHidden/>
              </w:rPr>
              <w:t>16</w:t>
            </w:r>
            <w:r w:rsidR="005C5AF4">
              <w:rPr>
                <w:noProof/>
                <w:webHidden/>
              </w:rPr>
              <w:fldChar w:fldCharType="end"/>
            </w:r>
          </w:hyperlink>
        </w:p>
        <w:p w:rsidR="005C5AF4" w:rsidRDefault="00480B0E">
          <w:pPr>
            <w:pStyle w:val="TOC1"/>
            <w:rPr>
              <w:rFonts w:eastAsiaTheme="minorEastAsia"/>
              <w:noProof/>
              <w:lang w:eastAsia="en-AU"/>
            </w:rPr>
          </w:pPr>
          <w:hyperlink w:anchor="_Toc83293523" w:history="1">
            <w:r w:rsidR="005C5AF4" w:rsidRPr="00895F09">
              <w:rPr>
                <w:rStyle w:val="Hyperlink"/>
                <w:rFonts w:cstheme="minorHAnsi"/>
                <w:noProof/>
              </w:rPr>
              <w:t>4</w:t>
            </w:r>
            <w:r w:rsidR="005C5AF4">
              <w:rPr>
                <w:rFonts w:eastAsiaTheme="minorEastAsia"/>
                <w:noProof/>
                <w:lang w:eastAsia="en-AU"/>
              </w:rPr>
              <w:tab/>
            </w:r>
            <w:r w:rsidR="005C5AF4" w:rsidRPr="00895F09">
              <w:rPr>
                <w:rStyle w:val="Hyperlink"/>
                <w:noProof/>
              </w:rPr>
              <w:t>RIS Question 2: Why is government action needed?</w:t>
            </w:r>
            <w:r w:rsidR="005C5AF4">
              <w:rPr>
                <w:noProof/>
                <w:webHidden/>
              </w:rPr>
              <w:tab/>
            </w:r>
            <w:r w:rsidR="005C5AF4">
              <w:rPr>
                <w:noProof/>
                <w:webHidden/>
              </w:rPr>
              <w:fldChar w:fldCharType="begin"/>
            </w:r>
            <w:r w:rsidR="005C5AF4">
              <w:rPr>
                <w:noProof/>
                <w:webHidden/>
              </w:rPr>
              <w:instrText xml:space="preserve"> PAGEREF _Toc83293523 \h </w:instrText>
            </w:r>
            <w:r w:rsidR="005C5AF4">
              <w:rPr>
                <w:noProof/>
                <w:webHidden/>
              </w:rPr>
            </w:r>
            <w:r w:rsidR="005C5AF4">
              <w:rPr>
                <w:noProof/>
                <w:webHidden/>
              </w:rPr>
              <w:fldChar w:fldCharType="separate"/>
            </w:r>
            <w:r w:rsidR="0033017F">
              <w:rPr>
                <w:noProof/>
                <w:webHidden/>
              </w:rPr>
              <w:t>21</w:t>
            </w:r>
            <w:r w:rsidR="005C5AF4">
              <w:rPr>
                <w:noProof/>
                <w:webHidden/>
              </w:rPr>
              <w:fldChar w:fldCharType="end"/>
            </w:r>
          </w:hyperlink>
        </w:p>
        <w:p w:rsidR="005C5AF4" w:rsidRDefault="00480B0E">
          <w:pPr>
            <w:pStyle w:val="TOC1"/>
            <w:rPr>
              <w:rFonts w:eastAsiaTheme="minorEastAsia"/>
              <w:noProof/>
              <w:lang w:eastAsia="en-AU"/>
            </w:rPr>
          </w:pPr>
          <w:hyperlink w:anchor="_Toc83293524" w:history="1">
            <w:r w:rsidR="005C5AF4" w:rsidRPr="00895F09">
              <w:rPr>
                <w:rStyle w:val="Hyperlink"/>
                <w:rFonts w:cstheme="minorHAnsi"/>
                <w:noProof/>
              </w:rPr>
              <w:t>5</w:t>
            </w:r>
            <w:r w:rsidR="005C5AF4">
              <w:rPr>
                <w:rFonts w:eastAsiaTheme="minorEastAsia"/>
                <w:noProof/>
                <w:lang w:eastAsia="en-AU"/>
              </w:rPr>
              <w:tab/>
            </w:r>
            <w:r w:rsidR="005C5AF4" w:rsidRPr="00895F09">
              <w:rPr>
                <w:rStyle w:val="Hyperlink"/>
                <w:noProof/>
              </w:rPr>
              <w:t>RIS Question 3: What policy options are being considered?</w:t>
            </w:r>
            <w:r w:rsidR="005C5AF4">
              <w:rPr>
                <w:noProof/>
                <w:webHidden/>
              </w:rPr>
              <w:tab/>
            </w:r>
            <w:r w:rsidR="005C5AF4">
              <w:rPr>
                <w:noProof/>
                <w:webHidden/>
              </w:rPr>
              <w:fldChar w:fldCharType="begin"/>
            </w:r>
            <w:r w:rsidR="005C5AF4">
              <w:rPr>
                <w:noProof/>
                <w:webHidden/>
              </w:rPr>
              <w:instrText xml:space="preserve"> PAGEREF _Toc83293524 \h </w:instrText>
            </w:r>
            <w:r w:rsidR="005C5AF4">
              <w:rPr>
                <w:noProof/>
                <w:webHidden/>
              </w:rPr>
            </w:r>
            <w:r w:rsidR="005C5AF4">
              <w:rPr>
                <w:noProof/>
                <w:webHidden/>
              </w:rPr>
              <w:fldChar w:fldCharType="separate"/>
            </w:r>
            <w:r w:rsidR="0033017F">
              <w:rPr>
                <w:noProof/>
                <w:webHidden/>
              </w:rPr>
              <w:t>25</w:t>
            </w:r>
            <w:r w:rsidR="005C5AF4">
              <w:rPr>
                <w:noProof/>
                <w:webHidden/>
              </w:rPr>
              <w:fldChar w:fldCharType="end"/>
            </w:r>
          </w:hyperlink>
        </w:p>
        <w:p w:rsidR="005C5AF4" w:rsidRDefault="00480B0E">
          <w:pPr>
            <w:pStyle w:val="TOC1"/>
            <w:rPr>
              <w:rFonts w:eastAsiaTheme="minorEastAsia"/>
              <w:noProof/>
              <w:lang w:eastAsia="en-AU"/>
            </w:rPr>
          </w:pPr>
          <w:hyperlink w:anchor="_Toc83293525" w:history="1">
            <w:r w:rsidR="005C5AF4" w:rsidRPr="00895F09">
              <w:rPr>
                <w:rStyle w:val="Hyperlink"/>
                <w:rFonts w:cstheme="minorHAnsi"/>
                <w:noProof/>
                <w:lang w:eastAsia="en-AU"/>
              </w:rPr>
              <w:t>6</w:t>
            </w:r>
            <w:r w:rsidR="005C5AF4">
              <w:rPr>
                <w:rFonts w:eastAsiaTheme="minorEastAsia"/>
                <w:noProof/>
                <w:lang w:eastAsia="en-AU"/>
              </w:rPr>
              <w:tab/>
            </w:r>
            <w:r w:rsidR="005C5AF4" w:rsidRPr="00895F09">
              <w:rPr>
                <w:rStyle w:val="Hyperlink"/>
                <w:noProof/>
              </w:rPr>
              <w:t>RIS Question 4: What is the likely net benefit of each option?</w:t>
            </w:r>
            <w:r w:rsidR="005C5AF4">
              <w:rPr>
                <w:noProof/>
                <w:webHidden/>
              </w:rPr>
              <w:tab/>
            </w:r>
            <w:r w:rsidR="005C5AF4">
              <w:rPr>
                <w:noProof/>
                <w:webHidden/>
              </w:rPr>
              <w:fldChar w:fldCharType="begin"/>
            </w:r>
            <w:r w:rsidR="005C5AF4">
              <w:rPr>
                <w:noProof/>
                <w:webHidden/>
              </w:rPr>
              <w:instrText xml:space="preserve"> PAGEREF _Toc83293525 \h </w:instrText>
            </w:r>
            <w:r w:rsidR="005C5AF4">
              <w:rPr>
                <w:noProof/>
                <w:webHidden/>
              </w:rPr>
            </w:r>
            <w:r w:rsidR="005C5AF4">
              <w:rPr>
                <w:noProof/>
                <w:webHidden/>
              </w:rPr>
              <w:fldChar w:fldCharType="separate"/>
            </w:r>
            <w:r w:rsidR="0033017F">
              <w:rPr>
                <w:noProof/>
                <w:webHidden/>
              </w:rPr>
              <w:t>66</w:t>
            </w:r>
            <w:r w:rsidR="005C5AF4">
              <w:rPr>
                <w:noProof/>
                <w:webHidden/>
              </w:rPr>
              <w:fldChar w:fldCharType="end"/>
            </w:r>
          </w:hyperlink>
        </w:p>
        <w:p w:rsidR="005C5AF4" w:rsidRDefault="00480B0E">
          <w:pPr>
            <w:pStyle w:val="TOC1"/>
            <w:rPr>
              <w:rFonts w:eastAsiaTheme="minorEastAsia"/>
              <w:noProof/>
              <w:lang w:eastAsia="en-AU"/>
            </w:rPr>
          </w:pPr>
          <w:hyperlink w:anchor="_Toc83293526" w:history="1">
            <w:r w:rsidR="005C5AF4" w:rsidRPr="00895F09">
              <w:rPr>
                <w:rStyle w:val="Hyperlink"/>
                <w:rFonts w:cstheme="minorHAnsi"/>
                <w:noProof/>
                <w:lang w:eastAsia="en-AU"/>
              </w:rPr>
              <w:t>7</w:t>
            </w:r>
            <w:r w:rsidR="005C5AF4">
              <w:rPr>
                <w:rFonts w:eastAsiaTheme="minorEastAsia"/>
                <w:noProof/>
                <w:lang w:eastAsia="en-AU"/>
              </w:rPr>
              <w:tab/>
            </w:r>
            <w:r w:rsidR="005C5AF4" w:rsidRPr="00895F09">
              <w:rPr>
                <w:rStyle w:val="Hyperlink"/>
                <w:noProof/>
                <w:lang w:eastAsia="en-AU"/>
              </w:rPr>
              <w:t>RIS Question 5: Who will you consult and how will you consult them?</w:t>
            </w:r>
            <w:r w:rsidR="005C5AF4">
              <w:rPr>
                <w:noProof/>
                <w:webHidden/>
              </w:rPr>
              <w:tab/>
            </w:r>
            <w:r w:rsidR="005C5AF4">
              <w:rPr>
                <w:noProof/>
                <w:webHidden/>
              </w:rPr>
              <w:fldChar w:fldCharType="begin"/>
            </w:r>
            <w:r w:rsidR="005C5AF4">
              <w:rPr>
                <w:noProof/>
                <w:webHidden/>
              </w:rPr>
              <w:instrText xml:space="preserve"> PAGEREF _Toc83293526 \h </w:instrText>
            </w:r>
            <w:r w:rsidR="005C5AF4">
              <w:rPr>
                <w:noProof/>
                <w:webHidden/>
              </w:rPr>
            </w:r>
            <w:r w:rsidR="005C5AF4">
              <w:rPr>
                <w:noProof/>
                <w:webHidden/>
              </w:rPr>
              <w:fldChar w:fldCharType="separate"/>
            </w:r>
            <w:r w:rsidR="0033017F">
              <w:rPr>
                <w:noProof/>
                <w:webHidden/>
              </w:rPr>
              <w:t>81</w:t>
            </w:r>
            <w:r w:rsidR="005C5AF4">
              <w:rPr>
                <w:noProof/>
                <w:webHidden/>
              </w:rPr>
              <w:fldChar w:fldCharType="end"/>
            </w:r>
          </w:hyperlink>
        </w:p>
        <w:p w:rsidR="005C5AF4" w:rsidRDefault="00480B0E">
          <w:pPr>
            <w:pStyle w:val="TOC1"/>
            <w:rPr>
              <w:rFonts w:eastAsiaTheme="minorEastAsia"/>
              <w:noProof/>
              <w:lang w:eastAsia="en-AU"/>
            </w:rPr>
          </w:pPr>
          <w:hyperlink w:anchor="_Toc83293527" w:history="1">
            <w:r w:rsidR="005C5AF4" w:rsidRPr="00895F09">
              <w:rPr>
                <w:rStyle w:val="Hyperlink"/>
                <w:rFonts w:cstheme="minorHAnsi"/>
                <w:noProof/>
              </w:rPr>
              <w:t>8</w:t>
            </w:r>
            <w:r w:rsidR="005C5AF4">
              <w:rPr>
                <w:rFonts w:eastAsiaTheme="minorEastAsia"/>
                <w:noProof/>
                <w:lang w:eastAsia="en-AU"/>
              </w:rPr>
              <w:tab/>
            </w:r>
            <w:r w:rsidR="005C5AF4" w:rsidRPr="00895F09">
              <w:rPr>
                <w:rStyle w:val="Hyperlink"/>
                <w:noProof/>
                <w:lang w:eastAsia="en-AU"/>
              </w:rPr>
              <w:t>RIS Question 6: What is the best option from those you have considered?</w:t>
            </w:r>
            <w:r w:rsidR="005C5AF4">
              <w:rPr>
                <w:noProof/>
                <w:webHidden/>
              </w:rPr>
              <w:tab/>
            </w:r>
            <w:r w:rsidR="005C5AF4">
              <w:rPr>
                <w:noProof/>
                <w:webHidden/>
              </w:rPr>
              <w:fldChar w:fldCharType="begin"/>
            </w:r>
            <w:r w:rsidR="005C5AF4">
              <w:rPr>
                <w:noProof/>
                <w:webHidden/>
              </w:rPr>
              <w:instrText xml:space="preserve"> PAGEREF _Toc83293527 \h </w:instrText>
            </w:r>
            <w:r w:rsidR="005C5AF4">
              <w:rPr>
                <w:noProof/>
                <w:webHidden/>
              </w:rPr>
            </w:r>
            <w:r w:rsidR="005C5AF4">
              <w:rPr>
                <w:noProof/>
                <w:webHidden/>
              </w:rPr>
              <w:fldChar w:fldCharType="separate"/>
            </w:r>
            <w:r w:rsidR="0033017F">
              <w:rPr>
                <w:noProof/>
                <w:webHidden/>
              </w:rPr>
              <w:t>93</w:t>
            </w:r>
            <w:r w:rsidR="005C5AF4">
              <w:rPr>
                <w:noProof/>
                <w:webHidden/>
              </w:rPr>
              <w:fldChar w:fldCharType="end"/>
            </w:r>
          </w:hyperlink>
        </w:p>
        <w:p w:rsidR="005C5AF4" w:rsidRDefault="00480B0E">
          <w:pPr>
            <w:pStyle w:val="TOC1"/>
            <w:rPr>
              <w:rFonts w:eastAsiaTheme="minorEastAsia"/>
              <w:noProof/>
              <w:lang w:eastAsia="en-AU"/>
            </w:rPr>
          </w:pPr>
          <w:hyperlink w:anchor="_Toc83293528" w:history="1">
            <w:r w:rsidR="005C5AF4" w:rsidRPr="00895F09">
              <w:rPr>
                <w:rStyle w:val="Hyperlink"/>
                <w:rFonts w:cstheme="minorHAnsi"/>
                <w:noProof/>
                <w:lang w:eastAsia="en-AU"/>
              </w:rPr>
              <w:t>9</w:t>
            </w:r>
            <w:r w:rsidR="005C5AF4">
              <w:rPr>
                <w:rFonts w:eastAsiaTheme="minorEastAsia"/>
                <w:noProof/>
                <w:lang w:eastAsia="en-AU"/>
              </w:rPr>
              <w:tab/>
            </w:r>
            <w:r w:rsidR="005C5AF4" w:rsidRPr="00895F09">
              <w:rPr>
                <w:rStyle w:val="Hyperlink"/>
                <w:noProof/>
                <w:lang w:eastAsia="en-AU"/>
              </w:rPr>
              <w:t>RIS Question 7: How will you implement and evaluate your chosen option?</w:t>
            </w:r>
            <w:r w:rsidR="005C5AF4">
              <w:rPr>
                <w:noProof/>
                <w:webHidden/>
              </w:rPr>
              <w:tab/>
            </w:r>
            <w:r w:rsidR="005C5AF4">
              <w:rPr>
                <w:noProof/>
                <w:webHidden/>
              </w:rPr>
              <w:fldChar w:fldCharType="begin"/>
            </w:r>
            <w:r w:rsidR="005C5AF4">
              <w:rPr>
                <w:noProof/>
                <w:webHidden/>
              </w:rPr>
              <w:instrText xml:space="preserve"> PAGEREF _Toc83293528 \h </w:instrText>
            </w:r>
            <w:r w:rsidR="005C5AF4">
              <w:rPr>
                <w:noProof/>
                <w:webHidden/>
              </w:rPr>
            </w:r>
            <w:r w:rsidR="005C5AF4">
              <w:rPr>
                <w:noProof/>
                <w:webHidden/>
              </w:rPr>
              <w:fldChar w:fldCharType="separate"/>
            </w:r>
            <w:r w:rsidR="0033017F">
              <w:rPr>
                <w:noProof/>
                <w:webHidden/>
              </w:rPr>
              <w:t>95</w:t>
            </w:r>
            <w:r w:rsidR="005C5AF4">
              <w:rPr>
                <w:noProof/>
                <w:webHidden/>
              </w:rPr>
              <w:fldChar w:fldCharType="end"/>
            </w:r>
          </w:hyperlink>
        </w:p>
        <w:p w:rsidR="005C5AF4" w:rsidRDefault="00480B0E">
          <w:pPr>
            <w:pStyle w:val="TOC1"/>
            <w:rPr>
              <w:rFonts w:eastAsiaTheme="minorEastAsia"/>
              <w:noProof/>
              <w:lang w:eastAsia="en-AU"/>
            </w:rPr>
          </w:pPr>
          <w:hyperlink w:anchor="_Toc83293529" w:history="1">
            <w:r w:rsidR="005C5AF4" w:rsidRPr="00895F09">
              <w:rPr>
                <w:rStyle w:val="Hyperlink"/>
                <w:rFonts w:cstheme="minorHAnsi"/>
                <w:noProof/>
              </w:rPr>
              <w:t>10</w:t>
            </w:r>
            <w:r w:rsidR="005C5AF4">
              <w:rPr>
                <w:rFonts w:eastAsiaTheme="minorEastAsia"/>
                <w:noProof/>
                <w:lang w:eastAsia="en-AU"/>
              </w:rPr>
              <w:tab/>
            </w:r>
            <w:r w:rsidR="005C5AF4" w:rsidRPr="00895F09">
              <w:rPr>
                <w:rStyle w:val="Hyperlink"/>
                <w:noProof/>
              </w:rPr>
              <w:t>Appendix 1: Glossary</w:t>
            </w:r>
            <w:r w:rsidR="005C5AF4">
              <w:rPr>
                <w:noProof/>
                <w:webHidden/>
              </w:rPr>
              <w:tab/>
            </w:r>
            <w:r w:rsidR="005C5AF4">
              <w:rPr>
                <w:noProof/>
                <w:webHidden/>
              </w:rPr>
              <w:fldChar w:fldCharType="begin"/>
            </w:r>
            <w:r w:rsidR="005C5AF4">
              <w:rPr>
                <w:noProof/>
                <w:webHidden/>
              </w:rPr>
              <w:instrText xml:space="preserve"> PAGEREF _Toc83293529 \h </w:instrText>
            </w:r>
            <w:r w:rsidR="005C5AF4">
              <w:rPr>
                <w:noProof/>
                <w:webHidden/>
              </w:rPr>
            </w:r>
            <w:r w:rsidR="005C5AF4">
              <w:rPr>
                <w:noProof/>
                <w:webHidden/>
              </w:rPr>
              <w:fldChar w:fldCharType="separate"/>
            </w:r>
            <w:r w:rsidR="0033017F">
              <w:rPr>
                <w:noProof/>
                <w:webHidden/>
              </w:rPr>
              <w:t>101</w:t>
            </w:r>
            <w:r w:rsidR="005C5AF4">
              <w:rPr>
                <w:noProof/>
                <w:webHidden/>
              </w:rPr>
              <w:fldChar w:fldCharType="end"/>
            </w:r>
          </w:hyperlink>
        </w:p>
        <w:p w:rsidR="005C5AF4" w:rsidRDefault="00480B0E">
          <w:pPr>
            <w:pStyle w:val="TOC1"/>
            <w:rPr>
              <w:rFonts w:eastAsiaTheme="minorEastAsia"/>
              <w:noProof/>
              <w:lang w:eastAsia="en-AU"/>
            </w:rPr>
          </w:pPr>
          <w:hyperlink w:anchor="_Toc83293530" w:history="1">
            <w:r w:rsidR="005C5AF4" w:rsidRPr="00895F09">
              <w:rPr>
                <w:rStyle w:val="Hyperlink"/>
                <w:rFonts w:cstheme="minorHAnsi"/>
                <w:noProof/>
              </w:rPr>
              <w:t>11</w:t>
            </w:r>
            <w:r w:rsidR="005C5AF4">
              <w:rPr>
                <w:rFonts w:eastAsiaTheme="minorEastAsia"/>
                <w:noProof/>
                <w:lang w:eastAsia="en-AU"/>
              </w:rPr>
              <w:tab/>
            </w:r>
            <w:r w:rsidR="005C5AF4" w:rsidRPr="00895F09">
              <w:rPr>
                <w:rStyle w:val="Hyperlink"/>
                <w:noProof/>
              </w:rPr>
              <w:t>Appendix 2: Further background and context for the review</w:t>
            </w:r>
            <w:r w:rsidR="005C5AF4">
              <w:rPr>
                <w:noProof/>
                <w:webHidden/>
              </w:rPr>
              <w:tab/>
            </w:r>
            <w:r w:rsidR="005C5AF4">
              <w:rPr>
                <w:noProof/>
                <w:webHidden/>
              </w:rPr>
              <w:fldChar w:fldCharType="begin"/>
            </w:r>
            <w:r w:rsidR="005C5AF4">
              <w:rPr>
                <w:noProof/>
                <w:webHidden/>
              </w:rPr>
              <w:instrText xml:space="preserve"> PAGEREF _Toc83293530 \h </w:instrText>
            </w:r>
            <w:r w:rsidR="005C5AF4">
              <w:rPr>
                <w:noProof/>
                <w:webHidden/>
              </w:rPr>
            </w:r>
            <w:r w:rsidR="005C5AF4">
              <w:rPr>
                <w:noProof/>
                <w:webHidden/>
              </w:rPr>
              <w:fldChar w:fldCharType="separate"/>
            </w:r>
            <w:r w:rsidR="0033017F">
              <w:rPr>
                <w:noProof/>
                <w:webHidden/>
              </w:rPr>
              <w:t>104</w:t>
            </w:r>
            <w:r w:rsidR="005C5AF4">
              <w:rPr>
                <w:noProof/>
                <w:webHidden/>
              </w:rPr>
              <w:fldChar w:fldCharType="end"/>
            </w:r>
          </w:hyperlink>
        </w:p>
        <w:p w:rsidR="005C5AF4" w:rsidRDefault="00480B0E">
          <w:pPr>
            <w:pStyle w:val="TOC1"/>
            <w:rPr>
              <w:rFonts w:eastAsiaTheme="minorEastAsia"/>
              <w:noProof/>
              <w:lang w:eastAsia="en-AU"/>
            </w:rPr>
          </w:pPr>
          <w:hyperlink w:anchor="_Toc83293531" w:history="1">
            <w:r w:rsidR="005C5AF4" w:rsidRPr="00895F09">
              <w:rPr>
                <w:rStyle w:val="Hyperlink"/>
                <w:rFonts w:cstheme="minorHAnsi"/>
                <w:noProof/>
              </w:rPr>
              <w:t>12</w:t>
            </w:r>
            <w:r w:rsidR="005C5AF4">
              <w:rPr>
                <w:rFonts w:eastAsiaTheme="minorEastAsia"/>
                <w:noProof/>
                <w:lang w:eastAsia="en-AU"/>
              </w:rPr>
              <w:tab/>
            </w:r>
            <w:r w:rsidR="005C5AF4" w:rsidRPr="00895F09">
              <w:rPr>
                <w:rStyle w:val="Hyperlink"/>
                <w:noProof/>
              </w:rPr>
              <w:t>Appendix 3: When changes would occur</w:t>
            </w:r>
            <w:r w:rsidR="005C5AF4">
              <w:rPr>
                <w:noProof/>
                <w:webHidden/>
              </w:rPr>
              <w:tab/>
            </w:r>
            <w:r w:rsidR="005C5AF4">
              <w:rPr>
                <w:noProof/>
                <w:webHidden/>
              </w:rPr>
              <w:fldChar w:fldCharType="begin"/>
            </w:r>
            <w:r w:rsidR="005C5AF4">
              <w:rPr>
                <w:noProof/>
                <w:webHidden/>
              </w:rPr>
              <w:instrText xml:space="preserve"> PAGEREF _Toc83293531 \h </w:instrText>
            </w:r>
            <w:r w:rsidR="005C5AF4">
              <w:rPr>
                <w:noProof/>
                <w:webHidden/>
              </w:rPr>
            </w:r>
            <w:r w:rsidR="005C5AF4">
              <w:rPr>
                <w:noProof/>
                <w:webHidden/>
              </w:rPr>
              <w:fldChar w:fldCharType="separate"/>
            </w:r>
            <w:r w:rsidR="0033017F">
              <w:rPr>
                <w:noProof/>
                <w:webHidden/>
              </w:rPr>
              <w:t>109</w:t>
            </w:r>
            <w:r w:rsidR="005C5AF4">
              <w:rPr>
                <w:noProof/>
                <w:webHidden/>
              </w:rPr>
              <w:fldChar w:fldCharType="end"/>
            </w:r>
          </w:hyperlink>
        </w:p>
        <w:p w:rsidR="005C5AF4" w:rsidRDefault="00480B0E">
          <w:pPr>
            <w:pStyle w:val="TOC1"/>
            <w:rPr>
              <w:rFonts w:eastAsiaTheme="minorEastAsia"/>
              <w:noProof/>
              <w:lang w:eastAsia="en-AU"/>
            </w:rPr>
          </w:pPr>
          <w:hyperlink w:anchor="_Toc83293532" w:history="1">
            <w:r w:rsidR="005C5AF4" w:rsidRPr="00895F09">
              <w:rPr>
                <w:rStyle w:val="Hyperlink"/>
                <w:rFonts w:cstheme="minorHAnsi"/>
                <w:noProof/>
              </w:rPr>
              <w:t>13</w:t>
            </w:r>
            <w:r w:rsidR="005C5AF4">
              <w:rPr>
                <w:rFonts w:eastAsiaTheme="minorEastAsia"/>
                <w:noProof/>
                <w:lang w:eastAsia="en-AU"/>
              </w:rPr>
              <w:tab/>
            </w:r>
            <w:r w:rsidR="005C5AF4" w:rsidRPr="00895F09">
              <w:rPr>
                <w:rStyle w:val="Hyperlink"/>
                <w:noProof/>
              </w:rPr>
              <w:t>Appendix 4: Impacts on consumers</w:t>
            </w:r>
            <w:r w:rsidR="005C5AF4">
              <w:rPr>
                <w:noProof/>
                <w:webHidden/>
              </w:rPr>
              <w:tab/>
            </w:r>
            <w:r w:rsidR="005C5AF4">
              <w:rPr>
                <w:noProof/>
                <w:webHidden/>
              </w:rPr>
              <w:fldChar w:fldCharType="begin"/>
            </w:r>
            <w:r w:rsidR="005C5AF4">
              <w:rPr>
                <w:noProof/>
                <w:webHidden/>
              </w:rPr>
              <w:instrText xml:space="preserve"> PAGEREF _Toc83293532 \h </w:instrText>
            </w:r>
            <w:r w:rsidR="005C5AF4">
              <w:rPr>
                <w:noProof/>
                <w:webHidden/>
              </w:rPr>
            </w:r>
            <w:r w:rsidR="005C5AF4">
              <w:rPr>
                <w:noProof/>
                <w:webHidden/>
              </w:rPr>
              <w:fldChar w:fldCharType="separate"/>
            </w:r>
            <w:r w:rsidR="0033017F">
              <w:rPr>
                <w:noProof/>
                <w:webHidden/>
              </w:rPr>
              <w:t>111</w:t>
            </w:r>
            <w:r w:rsidR="005C5AF4">
              <w:rPr>
                <w:noProof/>
                <w:webHidden/>
              </w:rPr>
              <w:fldChar w:fldCharType="end"/>
            </w:r>
          </w:hyperlink>
        </w:p>
        <w:p w:rsidR="005C5AF4" w:rsidRDefault="00480B0E">
          <w:pPr>
            <w:pStyle w:val="TOC1"/>
            <w:rPr>
              <w:rFonts w:eastAsiaTheme="minorEastAsia"/>
              <w:noProof/>
              <w:lang w:eastAsia="en-AU"/>
            </w:rPr>
          </w:pPr>
          <w:hyperlink w:anchor="_Toc83293533" w:history="1">
            <w:r w:rsidR="005C5AF4" w:rsidRPr="00895F09">
              <w:rPr>
                <w:rStyle w:val="Hyperlink"/>
                <w:rFonts w:cstheme="minorHAnsi"/>
                <w:noProof/>
              </w:rPr>
              <w:t>14</w:t>
            </w:r>
            <w:r w:rsidR="005C5AF4">
              <w:rPr>
                <w:rFonts w:eastAsiaTheme="minorEastAsia"/>
                <w:noProof/>
                <w:lang w:eastAsia="en-AU"/>
              </w:rPr>
              <w:tab/>
            </w:r>
            <w:r w:rsidR="005C5AF4" w:rsidRPr="00895F09">
              <w:rPr>
                <w:rStyle w:val="Hyperlink"/>
                <w:noProof/>
              </w:rPr>
              <w:t>Appendix 5: Impacts on measuring instrument manufacturers, importers and distributors</w:t>
            </w:r>
            <w:r w:rsidR="005C5AF4">
              <w:rPr>
                <w:noProof/>
                <w:webHidden/>
              </w:rPr>
              <w:tab/>
            </w:r>
            <w:r w:rsidR="005C5AF4">
              <w:rPr>
                <w:noProof/>
                <w:webHidden/>
              </w:rPr>
              <w:fldChar w:fldCharType="begin"/>
            </w:r>
            <w:r w:rsidR="005C5AF4">
              <w:rPr>
                <w:noProof/>
                <w:webHidden/>
              </w:rPr>
              <w:instrText xml:space="preserve"> PAGEREF _Toc83293533 \h </w:instrText>
            </w:r>
            <w:r w:rsidR="005C5AF4">
              <w:rPr>
                <w:noProof/>
                <w:webHidden/>
              </w:rPr>
            </w:r>
            <w:r w:rsidR="005C5AF4">
              <w:rPr>
                <w:noProof/>
                <w:webHidden/>
              </w:rPr>
              <w:fldChar w:fldCharType="separate"/>
            </w:r>
            <w:r w:rsidR="0033017F">
              <w:rPr>
                <w:noProof/>
                <w:webHidden/>
              </w:rPr>
              <w:t>118</w:t>
            </w:r>
            <w:r w:rsidR="005C5AF4">
              <w:rPr>
                <w:noProof/>
                <w:webHidden/>
              </w:rPr>
              <w:fldChar w:fldCharType="end"/>
            </w:r>
          </w:hyperlink>
        </w:p>
        <w:p w:rsidR="005C5AF4" w:rsidRDefault="00480B0E">
          <w:pPr>
            <w:pStyle w:val="TOC1"/>
            <w:rPr>
              <w:rFonts w:eastAsiaTheme="minorEastAsia"/>
              <w:noProof/>
              <w:lang w:eastAsia="en-AU"/>
            </w:rPr>
          </w:pPr>
          <w:hyperlink w:anchor="_Toc83293534" w:history="1">
            <w:r w:rsidR="005C5AF4" w:rsidRPr="00895F09">
              <w:rPr>
                <w:rStyle w:val="Hyperlink"/>
                <w:rFonts w:cstheme="minorHAnsi"/>
                <w:noProof/>
              </w:rPr>
              <w:t>15</w:t>
            </w:r>
            <w:r w:rsidR="005C5AF4">
              <w:rPr>
                <w:rFonts w:eastAsiaTheme="minorEastAsia"/>
                <w:noProof/>
                <w:lang w:eastAsia="en-AU"/>
              </w:rPr>
              <w:tab/>
            </w:r>
            <w:r w:rsidR="005C5AF4" w:rsidRPr="00895F09">
              <w:rPr>
                <w:rStyle w:val="Hyperlink"/>
                <w:noProof/>
              </w:rPr>
              <w:t>Appendix 6: Impacts on Authorised Third Parties</w:t>
            </w:r>
            <w:r w:rsidR="005C5AF4">
              <w:rPr>
                <w:noProof/>
                <w:webHidden/>
              </w:rPr>
              <w:tab/>
            </w:r>
            <w:r w:rsidR="005C5AF4">
              <w:rPr>
                <w:noProof/>
                <w:webHidden/>
              </w:rPr>
              <w:fldChar w:fldCharType="begin"/>
            </w:r>
            <w:r w:rsidR="005C5AF4">
              <w:rPr>
                <w:noProof/>
                <w:webHidden/>
              </w:rPr>
              <w:instrText xml:space="preserve"> PAGEREF _Toc83293534 \h </w:instrText>
            </w:r>
            <w:r w:rsidR="005C5AF4">
              <w:rPr>
                <w:noProof/>
                <w:webHidden/>
              </w:rPr>
            </w:r>
            <w:r w:rsidR="005C5AF4">
              <w:rPr>
                <w:noProof/>
                <w:webHidden/>
              </w:rPr>
              <w:fldChar w:fldCharType="separate"/>
            </w:r>
            <w:r w:rsidR="0033017F">
              <w:rPr>
                <w:noProof/>
                <w:webHidden/>
              </w:rPr>
              <w:t>127</w:t>
            </w:r>
            <w:r w:rsidR="005C5AF4">
              <w:rPr>
                <w:noProof/>
                <w:webHidden/>
              </w:rPr>
              <w:fldChar w:fldCharType="end"/>
            </w:r>
          </w:hyperlink>
        </w:p>
        <w:p w:rsidR="005C5AF4" w:rsidRDefault="00480B0E">
          <w:pPr>
            <w:pStyle w:val="TOC1"/>
            <w:rPr>
              <w:rFonts w:eastAsiaTheme="minorEastAsia"/>
              <w:noProof/>
              <w:lang w:eastAsia="en-AU"/>
            </w:rPr>
          </w:pPr>
          <w:hyperlink w:anchor="_Toc83293535" w:history="1">
            <w:r w:rsidR="005C5AF4" w:rsidRPr="00895F09">
              <w:rPr>
                <w:rStyle w:val="Hyperlink"/>
                <w:rFonts w:cstheme="minorHAnsi"/>
                <w:noProof/>
              </w:rPr>
              <w:t>16</w:t>
            </w:r>
            <w:r w:rsidR="005C5AF4">
              <w:rPr>
                <w:rFonts w:eastAsiaTheme="minorEastAsia"/>
                <w:noProof/>
                <w:lang w:eastAsia="en-AU"/>
              </w:rPr>
              <w:tab/>
            </w:r>
            <w:r w:rsidR="005C5AF4" w:rsidRPr="00895F09">
              <w:rPr>
                <w:rStyle w:val="Hyperlink"/>
                <w:noProof/>
              </w:rPr>
              <w:t>Appendix 7: Impacts on wholesalers, retailers, importers, and packers</w:t>
            </w:r>
            <w:r w:rsidR="005C5AF4">
              <w:rPr>
                <w:noProof/>
                <w:webHidden/>
              </w:rPr>
              <w:tab/>
            </w:r>
            <w:r w:rsidR="005C5AF4">
              <w:rPr>
                <w:noProof/>
                <w:webHidden/>
              </w:rPr>
              <w:fldChar w:fldCharType="begin"/>
            </w:r>
            <w:r w:rsidR="005C5AF4">
              <w:rPr>
                <w:noProof/>
                <w:webHidden/>
              </w:rPr>
              <w:instrText xml:space="preserve"> PAGEREF _Toc83293535 \h </w:instrText>
            </w:r>
            <w:r w:rsidR="005C5AF4">
              <w:rPr>
                <w:noProof/>
                <w:webHidden/>
              </w:rPr>
            </w:r>
            <w:r w:rsidR="005C5AF4">
              <w:rPr>
                <w:noProof/>
                <w:webHidden/>
              </w:rPr>
              <w:fldChar w:fldCharType="separate"/>
            </w:r>
            <w:r w:rsidR="0033017F">
              <w:rPr>
                <w:noProof/>
                <w:webHidden/>
              </w:rPr>
              <w:t>135</w:t>
            </w:r>
            <w:r w:rsidR="005C5AF4">
              <w:rPr>
                <w:noProof/>
                <w:webHidden/>
              </w:rPr>
              <w:fldChar w:fldCharType="end"/>
            </w:r>
          </w:hyperlink>
        </w:p>
        <w:p w:rsidR="005C5AF4" w:rsidRDefault="00480B0E">
          <w:pPr>
            <w:pStyle w:val="TOC1"/>
            <w:rPr>
              <w:rFonts w:eastAsiaTheme="minorEastAsia"/>
              <w:noProof/>
              <w:lang w:eastAsia="en-AU"/>
            </w:rPr>
          </w:pPr>
          <w:hyperlink w:anchor="_Toc83293536" w:history="1">
            <w:r w:rsidR="005C5AF4" w:rsidRPr="00895F09">
              <w:rPr>
                <w:rStyle w:val="Hyperlink"/>
                <w:rFonts w:cstheme="minorHAnsi"/>
                <w:noProof/>
              </w:rPr>
              <w:t>17</w:t>
            </w:r>
            <w:r w:rsidR="005C5AF4">
              <w:rPr>
                <w:rFonts w:eastAsiaTheme="minorEastAsia"/>
                <w:noProof/>
                <w:lang w:eastAsia="en-AU"/>
              </w:rPr>
              <w:tab/>
            </w:r>
            <w:r w:rsidR="005C5AF4" w:rsidRPr="00895F09">
              <w:rPr>
                <w:rStyle w:val="Hyperlink"/>
                <w:noProof/>
              </w:rPr>
              <w:t>Appendix 8: Impacts on government regulators</w:t>
            </w:r>
            <w:r w:rsidR="005C5AF4">
              <w:rPr>
                <w:noProof/>
                <w:webHidden/>
              </w:rPr>
              <w:tab/>
            </w:r>
            <w:r w:rsidR="005C5AF4">
              <w:rPr>
                <w:noProof/>
                <w:webHidden/>
              </w:rPr>
              <w:fldChar w:fldCharType="begin"/>
            </w:r>
            <w:r w:rsidR="005C5AF4">
              <w:rPr>
                <w:noProof/>
                <w:webHidden/>
              </w:rPr>
              <w:instrText xml:space="preserve"> PAGEREF _Toc83293536 \h </w:instrText>
            </w:r>
            <w:r w:rsidR="005C5AF4">
              <w:rPr>
                <w:noProof/>
                <w:webHidden/>
              </w:rPr>
            </w:r>
            <w:r w:rsidR="005C5AF4">
              <w:rPr>
                <w:noProof/>
                <w:webHidden/>
              </w:rPr>
              <w:fldChar w:fldCharType="separate"/>
            </w:r>
            <w:r w:rsidR="0033017F">
              <w:rPr>
                <w:noProof/>
                <w:webHidden/>
              </w:rPr>
              <w:t>144</w:t>
            </w:r>
            <w:r w:rsidR="005C5AF4">
              <w:rPr>
                <w:noProof/>
                <w:webHidden/>
              </w:rPr>
              <w:fldChar w:fldCharType="end"/>
            </w:r>
          </w:hyperlink>
        </w:p>
        <w:p w:rsidR="005C5AF4" w:rsidRDefault="00480B0E">
          <w:pPr>
            <w:pStyle w:val="TOC1"/>
            <w:rPr>
              <w:rFonts w:eastAsiaTheme="minorEastAsia"/>
              <w:noProof/>
              <w:lang w:eastAsia="en-AU"/>
            </w:rPr>
          </w:pPr>
          <w:hyperlink w:anchor="_Toc83293537" w:history="1">
            <w:r w:rsidR="005C5AF4" w:rsidRPr="00895F09">
              <w:rPr>
                <w:rStyle w:val="Hyperlink"/>
                <w:rFonts w:cstheme="minorHAnsi"/>
                <w:noProof/>
              </w:rPr>
              <w:t>18</w:t>
            </w:r>
            <w:r w:rsidR="005C5AF4">
              <w:rPr>
                <w:rFonts w:eastAsiaTheme="minorEastAsia"/>
                <w:noProof/>
                <w:lang w:eastAsia="en-AU"/>
              </w:rPr>
              <w:tab/>
            </w:r>
            <w:r w:rsidR="005C5AF4" w:rsidRPr="00895F09">
              <w:rPr>
                <w:rStyle w:val="Hyperlink"/>
                <w:noProof/>
              </w:rPr>
              <w:t>Appendix 9: Costing the regulatory burden of changes to measurement marking requirements on packaged products</w:t>
            </w:r>
            <w:r w:rsidR="005C5AF4">
              <w:rPr>
                <w:noProof/>
                <w:webHidden/>
              </w:rPr>
              <w:tab/>
            </w:r>
            <w:r w:rsidR="005C5AF4">
              <w:rPr>
                <w:noProof/>
                <w:webHidden/>
              </w:rPr>
              <w:fldChar w:fldCharType="begin"/>
            </w:r>
            <w:r w:rsidR="005C5AF4">
              <w:rPr>
                <w:noProof/>
                <w:webHidden/>
              </w:rPr>
              <w:instrText xml:space="preserve"> PAGEREF _Toc83293537 \h </w:instrText>
            </w:r>
            <w:r w:rsidR="005C5AF4">
              <w:rPr>
                <w:noProof/>
                <w:webHidden/>
              </w:rPr>
            </w:r>
            <w:r w:rsidR="005C5AF4">
              <w:rPr>
                <w:noProof/>
                <w:webHidden/>
              </w:rPr>
              <w:fldChar w:fldCharType="separate"/>
            </w:r>
            <w:r w:rsidR="0033017F">
              <w:rPr>
                <w:noProof/>
                <w:webHidden/>
              </w:rPr>
              <w:t>153</w:t>
            </w:r>
            <w:r w:rsidR="005C5AF4">
              <w:rPr>
                <w:noProof/>
                <w:webHidden/>
              </w:rPr>
              <w:fldChar w:fldCharType="end"/>
            </w:r>
          </w:hyperlink>
        </w:p>
        <w:p w:rsidR="005C5AF4" w:rsidRDefault="00480B0E">
          <w:pPr>
            <w:pStyle w:val="TOC1"/>
            <w:rPr>
              <w:rFonts w:eastAsiaTheme="minorEastAsia"/>
              <w:noProof/>
              <w:lang w:eastAsia="en-AU"/>
            </w:rPr>
          </w:pPr>
          <w:hyperlink w:anchor="_Toc83293538" w:history="1">
            <w:r w:rsidR="005C5AF4" w:rsidRPr="00895F09">
              <w:rPr>
                <w:rStyle w:val="Hyperlink"/>
                <w:rFonts w:cstheme="minorHAnsi"/>
                <w:noProof/>
              </w:rPr>
              <w:t>19</w:t>
            </w:r>
            <w:r w:rsidR="005C5AF4">
              <w:rPr>
                <w:rFonts w:eastAsiaTheme="minorEastAsia"/>
                <w:noProof/>
                <w:lang w:eastAsia="en-AU"/>
              </w:rPr>
              <w:tab/>
            </w:r>
            <w:r w:rsidR="005C5AF4" w:rsidRPr="00895F09">
              <w:rPr>
                <w:rStyle w:val="Hyperlink"/>
                <w:noProof/>
              </w:rPr>
              <w:t>Appendix 10: Costing the regulatory burden for businesses to understand requirements for packaged products</w:t>
            </w:r>
            <w:r w:rsidR="005C5AF4">
              <w:rPr>
                <w:noProof/>
                <w:webHidden/>
              </w:rPr>
              <w:tab/>
            </w:r>
            <w:r w:rsidR="005C5AF4">
              <w:rPr>
                <w:noProof/>
                <w:webHidden/>
              </w:rPr>
              <w:fldChar w:fldCharType="begin"/>
            </w:r>
            <w:r w:rsidR="005C5AF4">
              <w:rPr>
                <w:noProof/>
                <w:webHidden/>
              </w:rPr>
              <w:instrText xml:space="preserve"> PAGEREF _Toc83293538 \h </w:instrText>
            </w:r>
            <w:r w:rsidR="005C5AF4">
              <w:rPr>
                <w:noProof/>
                <w:webHidden/>
              </w:rPr>
            </w:r>
            <w:r w:rsidR="005C5AF4">
              <w:rPr>
                <w:noProof/>
                <w:webHidden/>
              </w:rPr>
              <w:fldChar w:fldCharType="separate"/>
            </w:r>
            <w:r w:rsidR="0033017F">
              <w:rPr>
                <w:noProof/>
                <w:webHidden/>
              </w:rPr>
              <w:t>192</w:t>
            </w:r>
            <w:r w:rsidR="005C5AF4">
              <w:rPr>
                <w:noProof/>
                <w:webHidden/>
              </w:rPr>
              <w:fldChar w:fldCharType="end"/>
            </w:r>
          </w:hyperlink>
        </w:p>
        <w:p w:rsidR="005C5AF4" w:rsidRDefault="00480B0E">
          <w:pPr>
            <w:pStyle w:val="TOC1"/>
            <w:rPr>
              <w:rFonts w:eastAsiaTheme="minorEastAsia"/>
              <w:noProof/>
              <w:lang w:eastAsia="en-AU"/>
            </w:rPr>
          </w:pPr>
          <w:hyperlink w:anchor="_Toc83293539" w:history="1">
            <w:r w:rsidR="005C5AF4" w:rsidRPr="00895F09">
              <w:rPr>
                <w:rStyle w:val="Hyperlink"/>
                <w:rFonts w:cstheme="minorHAnsi"/>
                <w:noProof/>
              </w:rPr>
              <w:t>20</w:t>
            </w:r>
            <w:r w:rsidR="005C5AF4">
              <w:rPr>
                <w:rFonts w:eastAsiaTheme="minorEastAsia"/>
                <w:noProof/>
                <w:lang w:eastAsia="en-AU"/>
              </w:rPr>
              <w:tab/>
            </w:r>
            <w:r w:rsidR="005C5AF4" w:rsidRPr="00895F09">
              <w:rPr>
                <w:rStyle w:val="Hyperlink"/>
                <w:noProof/>
              </w:rPr>
              <w:t>Appendix 11: Costing the regulatory burden from pattern approval</w:t>
            </w:r>
            <w:r w:rsidR="005C5AF4">
              <w:rPr>
                <w:noProof/>
                <w:webHidden/>
              </w:rPr>
              <w:tab/>
            </w:r>
            <w:r w:rsidR="005C5AF4">
              <w:rPr>
                <w:noProof/>
                <w:webHidden/>
              </w:rPr>
              <w:fldChar w:fldCharType="begin"/>
            </w:r>
            <w:r w:rsidR="005C5AF4">
              <w:rPr>
                <w:noProof/>
                <w:webHidden/>
              </w:rPr>
              <w:instrText xml:space="preserve"> PAGEREF _Toc83293539 \h </w:instrText>
            </w:r>
            <w:r w:rsidR="005C5AF4">
              <w:rPr>
                <w:noProof/>
                <w:webHidden/>
              </w:rPr>
            </w:r>
            <w:r w:rsidR="005C5AF4">
              <w:rPr>
                <w:noProof/>
                <w:webHidden/>
              </w:rPr>
              <w:fldChar w:fldCharType="separate"/>
            </w:r>
            <w:r w:rsidR="0033017F">
              <w:rPr>
                <w:noProof/>
                <w:webHidden/>
              </w:rPr>
              <w:t>195</w:t>
            </w:r>
            <w:r w:rsidR="005C5AF4">
              <w:rPr>
                <w:noProof/>
                <w:webHidden/>
              </w:rPr>
              <w:fldChar w:fldCharType="end"/>
            </w:r>
          </w:hyperlink>
        </w:p>
        <w:p w:rsidR="005C5AF4" w:rsidRDefault="00480B0E">
          <w:pPr>
            <w:pStyle w:val="TOC1"/>
            <w:rPr>
              <w:rFonts w:eastAsiaTheme="minorEastAsia"/>
              <w:noProof/>
              <w:lang w:eastAsia="en-AU"/>
            </w:rPr>
          </w:pPr>
          <w:hyperlink w:anchor="_Toc83293540" w:history="1">
            <w:r w:rsidR="005C5AF4" w:rsidRPr="00895F09">
              <w:rPr>
                <w:rStyle w:val="Hyperlink"/>
                <w:rFonts w:cstheme="minorHAnsi"/>
                <w:noProof/>
              </w:rPr>
              <w:t>21</w:t>
            </w:r>
            <w:r w:rsidR="005C5AF4">
              <w:rPr>
                <w:rFonts w:eastAsiaTheme="minorEastAsia"/>
                <w:noProof/>
                <w:lang w:eastAsia="en-AU"/>
              </w:rPr>
              <w:tab/>
            </w:r>
            <w:r w:rsidR="005C5AF4" w:rsidRPr="00895F09">
              <w:rPr>
                <w:rStyle w:val="Hyperlink"/>
                <w:noProof/>
              </w:rPr>
              <w:t>Appendix 12: Costing the regulatory burden on Authorised Third Parties</w:t>
            </w:r>
            <w:r w:rsidR="005C5AF4">
              <w:rPr>
                <w:noProof/>
                <w:webHidden/>
              </w:rPr>
              <w:tab/>
            </w:r>
            <w:r w:rsidR="005C5AF4">
              <w:rPr>
                <w:noProof/>
                <w:webHidden/>
              </w:rPr>
              <w:fldChar w:fldCharType="begin"/>
            </w:r>
            <w:r w:rsidR="005C5AF4">
              <w:rPr>
                <w:noProof/>
                <w:webHidden/>
              </w:rPr>
              <w:instrText xml:space="preserve"> PAGEREF _Toc83293540 \h </w:instrText>
            </w:r>
            <w:r w:rsidR="005C5AF4">
              <w:rPr>
                <w:noProof/>
                <w:webHidden/>
              </w:rPr>
            </w:r>
            <w:r w:rsidR="005C5AF4">
              <w:rPr>
                <w:noProof/>
                <w:webHidden/>
              </w:rPr>
              <w:fldChar w:fldCharType="separate"/>
            </w:r>
            <w:r w:rsidR="0033017F">
              <w:rPr>
                <w:noProof/>
                <w:webHidden/>
              </w:rPr>
              <w:t>204</w:t>
            </w:r>
            <w:r w:rsidR="005C5AF4">
              <w:rPr>
                <w:noProof/>
                <w:webHidden/>
              </w:rPr>
              <w:fldChar w:fldCharType="end"/>
            </w:r>
          </w:hyperlink>
        </w:p>
        <w:p w:rsidR="005C5AF4" w:rsidRDefault="00480B0E">
          <w:pPr>
            <w:pStyle w:val="TOC1"/>
            <w:rPr>
              <w:rFonts w:eastAsiaTheme="minorEastAsia"/>
              <w:noProof/>
              <w:lang w:eastAsia="en-AU"/>
            </w:rPr>
          </w:pPr>
          <w:hyperlink w:anchor="_Toc83293541" w:history="1">
            <w:r w:rsidR="005C5AF4" w:rsidRPr="00895F09">
              <w:rPr>
                <w:rStyle w:val="Hyperlink"/>
                <w:rFonts w:cstheme="minorHAnsi"/>
                <w:noProof/>
              </w:rPr>
              <w:t>22</w:t>
            </w:r>
            <w:r w:rsidR="005C5AF4">
              <w:rPr>
                <w:rFonts w:eastAsiaTheme="minorEastAsia"/>
                <w:noProof/>
                <w:lang w:eastAsia="en-AU"/>
              </w:rPr>
              <w:tab/>
            </w:r>
            <w:r w:rsidR="005C5AF4" w:rsidRPr="00895F09">
              <w:rPr>
                <w:rStyle w:val="Hyperlink"/>
                <w:noProof/>
              </w:rPr>
              <w:t>Appendix 13: Costing the regulatory burden of mandatory verification</w:t>
            </w:r>
            <w:r w:rsidR="005C5AF4">
              <w:rPr>
                <w:noProof/>
                <w:webHidden/>
              </w:rPr>
              <w:tab/>
            </w:r>
            <w:r w:rsidR="005C5AF4">
              <w:rPr>
                <w:noProof/>
                <w:webHidden/>
              </w:rPr>
              <w:fldChar w:fldCharType="begin"/>
            </w:r>
            <w:r w:rsidR="005C5AF4">
              <w:rPr>
                <w:noProof/>
                <w:webHidden/>
              </w:rPr>
              <w:instrText xml:space="preserve"> PAGEREF _Toc83293541 \h </w:instrText>
            </w:r>
            <w:r w:rsidR="005C5AF4">
              <w:rPr>
                <w:noProof/>
                <w:webHidden/>
              </w:rPr>
            </w:r>
            <w:r w:rsidR="005C5AF4">
              <w:rPr>
                <w:noProof/>
                <w:webHidden/>
              </w:rPr>
              <w:fldChar w:fldCharType="separate"/>
            </w:r>
            <w:r w:rsidR="0033017F">
              <w:rPr>
                <w:noProof/>
                <w:webHidden/>
              </w:rPr>
              <w:t>223</w:t>
            </w:r>
            <w:r w:rsidR="005C5AF4">
              <w:rPr>
                <w:noProof/>
                <w:webHidden/>
              </w:rPr>
              <w:fldChar w:fldCharType="end"/>
            </w:r>
          </w:hyperlink>
        </w:p>
        <w:p w:rsidR="0049482A" w:rsidRPr="006A74F8" w:rsidRDefault="0066476D" w:rsidP="00FD58F2">
          <w:pPr>
            <w:pStyle w:val="TOC1"/>
            <w:sectPr w:rsidR="0049482A" w:rsidRPr="006A74F8" w:rsidSect="00EC61D8">
              <w:headerReference w:type="even" r:id="rId17"/>
              <w:headerReference w:type="default" r:id="rId18"/>
              <w:headerReference w:type="first" r:id="rId19"/>
              <w:type w:val="continuous"/>
              <w:pgSz w:w="11907" w:h="16839" w:code="9"/>
              <w:pgMar w:top="1440" w:right="1440" w:bottom="1440" w:left="1440" w:header="567" w:footer="0" w:gutter="0"/>
              <w:cols w:space="708"/>
              <w:docGrid w:linePitch="360"/>
            </w:sectPr>
          </w:pPr>
          <w:r w:rsidRPr="006A74F8">
            <w:rPr>
              <w:b/>
              <w:bCs/>
              <w:noProof/>
            </w:rPr>
            <w:fldChar w:fldCharType="end"/>
          </w:r>
        </w:p>
      </w:sdtContent>
    </w:sdt>
    <w:p w:rsidR="006E137F" w:rsidRPr="006A74F8" w:rsidRDefault="006E137F" w:rsidP="005B02A3">
      <w:pPr>
        <w:pStyle w:val="Heading1"/>
        <w:rPr>
          <w:rFonts w:eastAsiaTheme="minorHAnsi"/>
        </w:rPr>
      </w:pPr>
      <w:bookmarkStart w:id="34" w:name="_Toc63062561"/>
      <w:bookmarkStart w:id="35" w:name="_Toc64558428"/>
      <w:bookmarkStart w:id="36" w:name="_Toc64557448"/>
      <w:bookmarkStart w:id="37" w:name="_Toc64562173"/>
      <w:bookmarkStart w:id="38" w:name="_Toc64562429"/>
      <w:bookmarkStart w:id="39" w:name="_Toc64640218"/>
      <w:bookmarkStart w:id="40" w:name="_Toc64641194"/>
      <w:bookmarkStart w:id="41" w:name="_Toc64647136"/>
      <w:bookmarkStart w:id="42" w:name="_Toc64888302"/>
      <w:bookmarkStart w:id="43" w:name="_Toc64888682"/>
      <w:bookmarkStart w:id="44" w:name="_Toc64892957"/>
      <w:bookmarkStart w:id="45" w:name="_Toc64894941"/>
      <w:bookmarkStart w:id="46" w:name="_Toc64895603"/>
      <w:bookmarkStart w:id="47" w:name="_Toc64900810"/>
      <w:bookmarkStart w:id="48" w:name="_Toc64903076"/>
      <w:bookmarkStart w:id="49" w:name="_Toc64904015"/>
      <w:bookmarkStart w:id="50" w:name="_Toc64904237"/>
      <w:bookmarkStart w:id="51" w:name="_Toc64904680"/>
      <w:bookmarkStart w:id="52" w:name="_Toc64905194"/>
      <w:bookmarkStart w:id="53" w:name="_Toc64963971"/>
      <w:bookmarkStart w:id="54" w:name="_Toc64974568"/>
      <w:bookmarkStart w:id="55" w:name="_Toc64976270"/>
      <w:bookmarkStart w:id="56" w:name="_Toc65149644"/>
      <w:bookmarkStart w:id="57" w:name="_Toc65163421"/>
      <w:bookmarkStart w:id="58" w:name="_Toc65491060"/>
      <w:bookmarkStart w:id="59" w:name="_Toc65504796"/>
      <w:bookmarkStart w:id="60" w:name="_Toc65757879"/>
      <w:bookmarkStart w:id="61" w:name="_Toc65769474"/>
      <w:bookmarkStart w:id="62" w:name="_Toc65766842"/>
      <w:bookmarkStart w:id="63" w:name="_Toc65772616"/>
      <w:bookmarkStart w:id="64" w:name="_Toc66435669"/>
      <w:bookmarkStart w:id="65" w:name="_Toc66436458"/>
      <w:bookmarkStart w:id="66" w:name="_Toc66437669"/>
      <w:bookmarkStart w:id="67" w:name="_Toc66440008"/>
      <w:bookmarkStart w:id="68" w:name="_Toc66442211"/>
      <w:bookmarkStart w:id="69" w:name="_Toc66451880"/>
      <w:bookmarkStart w:id="70" w:name="_Toc66459156"/>
      <w:bookmarkStart w:id="71" w:name="_Toc66460210"/>
      <w:bookmarkStart w:id="72" w:name="_Toc67650644"/>
      <w:bookmarkStart w:id="73" w:name="_Toc67305364"/>
      <w:bookmarkStart w:id="74" w:name="_Toc67306277"/>
      <w:bookmarkStart w:id="75" w:name="_Toc67306729"/>
      <w:bookmarkStart w:id="76" w:name="_Toc67313578"/>
      <w:bookmarkStart w:id="77" w:name="_Toc67320771"/>
      <w:bookmarkStart w:id="78" w:name="_Toc67321924"/>
      <w:bookmarkStart w:id="79" w:name="_Toc67324389"/>
      <w:bookmarkStart w:id="80" w:name="_Toc67326550"/>
      <w:bookmarkStart w:id="81" w:name="_Toc67649113"/>
      <w:bookmarkStart w:id="82" w:name="_Toc67650097"/>
      <w:bookmarkStart w:id="83" w:name="_Toc67650352"/>
      <w:bookmarkStart w:id="84" w:name="_Toc67652964"/>
      <w:bookmarkStart w:id="85" w:name="_Toc67653049"/>
      <w:bookmarkStart w:id="86" w:name="_Toc67653481"/>
      <w:bookmarkStart w:id="87" w:name="_Toc67653544"/>
      <w:bookmarkStart w:id="88" w:name="_Toc67649961"/>
      <w:bookmarkStart w:id="89" w:name="_Toc67654047"/>
      <w:bookmarkStart w:id="90" w:name="_Toc67654354"/>
      <w:bookmarkStart w:id="91" w:name="_Toc67654571"/>
      <w:bookmarkStart w:id="92" w:name="_Ref67655206"/>
      <w:bookmarkStart w:id="93" w:name="_Toc67656178"/>
      <w:bookmarkStart w:id="94" w:name="_Toc67656940"/>
      <w:bookmarkStart w:id="95" w:name="_Toc67659239"/>
      <w:bookmarkStart w:id="96" w:name="_Toc67659740"/>
      <w:bookmarkStart w:id="97" w:name="_Toc67662798"/>
      <w:bookmarkStart w:id="98" w:name="_Toc67662939"/>
      <w:bookmarkStart w:id="99" w:name="_Toc67663705"/>
      <w:bookmarkStart w:id="100" w:name="_Toc67664126"/>
      <w:bookmarkStart w:id="101" w:name="_Toc67664445"/>
      <w:bookmarkStart w:id="102" w:name="_Toc67665422"/>
      <w:bookmarkStart w:id="103" w:name="_Toc67666263"/>
      <w:bookmarkStart w:id="104" w:name="_Toc67667172"/>
      <w:bookmarkStart w:id="105" w:name="_Toc67668245"/>
      <w:bookmarkStart w:id="106" w:name="_Toc67669152"/>
      <w:bookmarkStart w:id="107" w:name="_Toc67665763"/>
      <w:bookmarkStart w:id="108" w:name="_Toc67912152"/>
      <w:bookmarkStart w:id="109" w:name="_Toc67922233"/>
      <w:bookmarkStart w:id="110" w:name="_Toc67929092"/>
      <w:bookmarkStart w:id="111" w:name="_Toc67929386"/>
      <w:bookmarkStart w:id="112" w:name="_Toc67929611"/>
      <w:bookmarkStart w:id="113" w:name="_Toc67927088"/>
      <w:bookmarkStart w:id="114" w:name="_Toc68011253"/>
      <w:bookmarkStart w:id="115" w:name="_Toc68011311"/>
      <w:bookmarkStart w:id="116" w:name="_Toc81919514"/>
      <w:bookmarkStart w:id="117" w:name="_Toc81919788"/>
      <w:bookmarkStart w:id="118" w:name="_Toc81921156"/>
      <w:bookmarkStart w:id="119" w:name="_Toc81923630"/>
      <w:bookmarkStart w:id="120" w:name="_Toc81923758"/>
      <w:bookmarkStart w:id="121" w:name="_Toc81997298"/>
      <w:bookmarkStart w:id="122" w:name="_Toc81998071"/>
      <w:bookmarkStart w:id="123" w:name="_Toc82011835"/>
      <w:bookmarkStart w:id="124" w:name="_Toc82512682"/>
      <w:bookmarkStart w:id="125" w:name="_Toc82516150"/>
      <w:bookmarkStart w:id="126" w:name="_Toc82519101"/>
      <w:bookmarkStart w:id="127" w:name="_Toc82706639"/>
      <w:bookmarkStart w:id="128" w:name="_Toc82790528"/>
      <w:bookmarkStart w:id="129" w:name="_Toc82791047"/>
      <w:bookmarkStart w:id="130" w:name="_Toc82792358"/>
      <w:bookmarkStart w:id="131" w:name="_Toc83290740"/>
      <w:bookmarkStart w:id="132" w:name="_Toc83292749"/>
      <w:bookmarkStart w:id="133" w:name="_Toc83293520"/>
      <w:r w:rsidRPr="006A74F8">
        <w:rPr>
          <w:rFonts w:eastAsia="Times New Roman"/>
          <w:lang w:eastAsia="en-AU"/>
        </w:rPr>
        <w:lastRenderedPageBreak/>
        <w:t xml:space="preserve">Executive </w:t>
      </w:r>
      <w:r w:rsidR="000F7CD2" w:rsidRPr="006A74F8">
        <w:t>s</w:t>
      </w:r>
      <w:r w:rsidRPr="006A74F8">
        <w:t>ummary</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33"/>
    </w:p>
    <w:p w:rsidR="00802E7B" w:rsidRPr="006A74F8" w:rsidRDefault="009C21AC" w:rsidP="00802E7B">
      <w:r w:rsidRPr="006A74F8">
        <w:t xml:space="preserve">This </w:t>
      </w:r>
      <w:r w:rsidR="00F313C0" w:rsidRPr="006A74F8">
        <w:t>Regulation Impact Statement (RIS)</w:t>
      </w:r>
      <w:r w:rsidRPr="006A74F8">
        <w:t xml:space="preserve"> </w:t>
      </w:r>
      <w:r w:rsidR="00F313C0" w:rsidRPr="006A74F8">
        <w:t xml:space="preserve">sets out </w:t>
      </w:r>
      <w:r w:rsidRPr="006A74F8">
        <w:t>the reform options</w:t>
      </w:r>
      <w:r w:rsidR="00F313C0" w:rsidRPr="006A74F8">
        <w:t xml:space="preserve"> for Australia’s measurement law</w:t>
      </w:r>
      <w:r w:rsidRPr="006A74F8">
        <w:t xml:space="preserve"> </w:t>
      </w:r>
      <w:r w:rsidR="00F313C0" w:rsidRPr="006A74F8">
        <w:t>and nominates a preferred option</w:t>
      </w:r>
      <w:r w:rsidRPr="006A74F8">
        <w:t>.</w:t>
      </w:r>
      <w:r w:rsidR="00082037" w:rsidRPr="006A74F8">
        <w:t xml:space="preserve"> </w:t>
      </w:r>
      <w:r w:rsidR="00F313C0" w:rsidRPr="006A74F8">
        <w:t>It follows the release of a Consultation RIS on 14 April 2021 which sought stakeholder feedback on proposed reform options</w:t>
      </w:r>
      <w:r w:rsidR="000F32D6" w:rsidRPr="006A74F8">
        <w:t xml:space="preserve"> endorsed by the Minister for Industry, Science</w:t>
      </w:r>
      <w:r w:rsidR="003428D6" w:rsidRPr="006A74F8">
        <w:t xml:space="preserve"> a</w:t>
      </w:r>
      <w:r w:rsidR="000F32D6" w:rsidRPr="006A74F8">
        <w:t xml:space="preserve">nd </w:t>
      </w:r>
      <w:r w:rsidR="003428D6" w:rsidRPr="006A74F8">
        <w:t>Technology</w:t>
      </w:r>
      <w:r w:rsidR="00F313C0" w:rsidRPr="006A74F8">
        <w:t xml:space="preserve">. </w:t>
      </w:r>
      <w:r w:rsidR="00802E7B" w:rsidRPr="006A74F8">
        <w:rPr>
          <w:lang w:eastAsia="en-AU"/>
        </w:rPr>
        <w:t xml:space="preserve">It has been developed </w:t>
      </w:r>
      <w:r w:rsidR="00D00D31" w:rsidRPr="006A74F8">
        <w:t xml:space="preserve">under the Measurement Law Review (MLR) </w:t>
      </w:r>
      <w:r w:rsidR="00802E7B" w:rsidRPr="006A74F8">
        <w:rPr>
          <w:lang w:eastAsia="en-AU"/>
        </w:rPr>
        <w:t>by the Department of Industry, Science, Energy and Resources</w:t>
      </w:r>
      <w:r w:rsidR="006D27FF" w:rsidRPr="006A74F8">
        <w:rPr>
          <w:lang w:eastAsia="en-AU"/>
        </w:rPr>
        <w:t xml:space="preserve"> </w:t>
      </w:r>
      <w:r w:rsidR="00802E7B" w:rsidRPr="006A74F8">
        <w:t xml:space="preserve">in accordance with </w:t>
      </w:r>
      <w:r w:rsidR="00802E7B" w:rsidRPr="006A74F8">
        <w:rPr>
          <w:i/>
        </w:rPr>
        <w:t>The Australian Government Guide to Regulatory Impact Analysis</w:t>
      </w:r>
      <w:r w:rsidR="00802E7B" w:rsidRPr="006A74F8">
        <w:t xml:space="preserve"> and in consultation with the Office of Best Practice Regulation</w:t>
      </w:r>
      <w:r w:rsidR="00AC6A37">
        <w:t xml:space="preserve">. </w:t>
      </w:r>
      <w:r w:rsidR="006A74F8">
        <w:t xml:space="preserve">This RIS </w:t>
      </w:r>
      <w:r w:rsidR="000F32D6" w:rsidRPr="006A74F8">
        <w:t>will be used to inform government to make a decision on reforming Australia's measurement laws</w:t>
      </w:r>
      <w:r w:rsidR="00802E7B" w:rsidRPr="006A74F8">
        <w:t>.</w:t>
      </w:r>
    </w:p>
    <w:p w:rsidR="009C21AC" w:rsidRPr="006A74F8" w:rsidRDefault="009C21AC" w:rsidP="00FD7AC9">
      <w:r w:rsidRPr="006A74F8">
        <w:t xml:space="preserve">This </w:t>
      </w:r>
      <w:r w:rsidR="002C5069" w:rsidRPr="006A74F8">
        <w:t>document covers the seven standard RIS questions</w:t>
      </w:r>
      <w:r w:rsidRPr="006A74F8">
        <w:t>:</w:t>
      </w:r>
    </w:p>
    <w:p w:rsidR="009C21AC" w:rsidRPr="006A74F8" w:rsidRDefault="009C21AC">
      <w:pPr>
        <w:pStyle w:val="numbering"/>
      </w:pPr>
      <w:r w:rsidRPr="006A74F8">
        <w:t>What is the policy problem to be solved?</w:t>
      </w:r>
    </w:p>
    <w:p w:rsidR="009C21AC" w:rsidRPr="006A74F8" w:rsidRDefault="009C21AC" w:rsidP="00AC54C2">
      <w:pPr>
        <w:pStyle w:val="numbering"/>
      </w:pPr>
      <w:r w:rsidRPr="006A74F8">
        <w:t xml:space="preserve">Why </w:t>
      </w:r>
      <w:r w:rsidR="003647F6" w:rsidRPr="006A74F8">
        <w:t xml:space="preserve">is </w:t>
      </w:r>
      <w:r w:rsidRPr="006A74F8">
        <w:t>government action needed?</w:t>
      </w:r>
    </w:p>
    <w:p w:rsidR="009C21AC" w:rsidRPr="006A74F8" w:rsidRDefault="009C21AC" w:rsidP="00AC54C2">
      <w:pPr>
        <w:pStyle w:val="numbering"/>
      </w:pPr>
      <w:r w:rsidRPr="006A74F8">
        <w:t>What policy options are being considered?</w:t>
      </w:r>
    </w:p>
    <w:p w:rsidR="009C21AC" w:rsidRPr="006A74F8" w:rsidRDefault="009C21AC" w:rsidP="00AC54C2">
      <w:pPr>
        <w:pStyle w:val="numbering"/>
      </w:pPr>
      <w:r w:rsidRPr="006A74F8">
        <w:t>What is the likely net benefit of each option?</w:t>
      </w:r>
    </w:p>
    <w:p w:rsidR="009C21AC" w:rsidRPr="006A74F8" w:rsidRDefault="009C21AC" w:rsidP="00AC54C2">
      <w:pPr>
        <w:pStyle w:val="numbering"/>
      </w:pPr>
      <w:r w:rsidRPr="006A74F8">
        <w:t xml:space="preserve">Who </w:t>
      </w:r>
      <w:r w:rsidR="003647F6" w:rsidRPr="006A74F8">
        <w:t xml:space="preserve">was consulted </w:t>
      </w:r>
      <w:r w:rsidRPr="006A74F8">
        <w:t xml:space="preserve">and </w:t>
      </w:r>
      <w:r w:rsidR="003647F6" w:rsidRPr="006A74F8">
        <w:t>was their feedback incorporated</w:t>
      </w:r>
      <w:r w:rsidRPr="006A74F8">
        <w:t>?</w:t>
      </w:r>
    </w:p>
    <w:p w:rsidR="009C21AC" w:rsidRPr="006A74F8" w:rsidRDefault="009C21AC" w:rsidP="00AC54C2">
      <w:pPr>
        <w:pStyle w:val="numbering"/>
      </w:pPr>
      <w:r w:rsidRPr="006A74F8">
        <w:t>What is the best option from those considered?</w:t>
      </w:r>
    </w:p>
    <w:p w:rsidR="00AC54C2" w:rsidRPr="006A74F8" w:rsidRDefault="009C21AC" w:rsidP="001655B9">
      <w:pPr>
        <w:pStyle w:val="numbering"/>
      </w:pPr>
      <w:r w:rsidRPr="006A74F8">
        <w:t xml:space="preserve">How will </w:t>
      </w:r>
      <w:r w:rsidR="003647F6" w:rsidRPr="006A74F8">
        <w:t xml:space="preserve">the chosen option be </w:t>
      </w:r>
      <w:r w:rsidRPr="006A74F8">
        <w:t>implement</w:t>
      </w:r>
      <w:r w:rsidR="003647F6" w:rsidRPr="006A74F8">
        <w:t>ed</w:t>
      </w:r>
      <w:r w:rsidRPr="006A74F8">
        <w:t xml:space="preserve"> and evaluate</w:t>
      </w:r>
      <w:r w:rsidR="003647F6" w:rsidRPr="006A74F8">
        <w:t>d</w:t>
      </w:r>
      <w:r w:rsidRPr="006A74F8">
        <w:t>?</w:t>
      </w:r>
    </w:p>
    <w:p w:rsidR="009C21AC" w:rsidRPr="006A74F8" w:rsidRDefault="009C21AC" w:rsidP="009C21AC">
      <w:pPr>
        <w:pStyle w:val="Heading2"/>
      </w:pPr>
      <w:r w:rsidRPr="006A74F8">
        <w:t xml:space="preserve">Role of measurement legislation </w:t>
      </w:r>
    </w:p>
    <w:p w:rsidR="005C4638" w:rsidRPr="006A74F8" w:rsidRDefault="00245CD5" w:rsidP="00FD7AC9">
      <w:r w:rsidRPr="006A74F8">
        <w:t xml:space="preserve">The national measurement </w:t>
      </w:r>
      <w:r w:rsidR="009C21AC" w:rsidRPr="006A74F8">
        <w:t>legislation</w:t>
      </w:r>
      <w:r w:rsidRPr="006A74F8">
        <w:t xml:space="preserve"> underpins significant economic and social outcomes for Australia</w:t>
      </w:r>
      <w:r w:rsidR="00FD221D" w:rsidRPr="006A74F8">
        <w:t xml:space="preserve"> and provides confidence in measurement across the economy</w:t>
      </w:r>
      <w:r w:rsidRPr="006A74F8">
        <w:t xml:space="preserve">. It supports domestic and international trade, ensures that consumers get what they pay for, and protects the health and safety of Australians through trusted measurement. </w:t>
      </w:r>
      <w:r w:rsidR="00495314" w:rsidRPr="006A74F8">
        <w:t>It</w:t>
      </w:r>
      <w:r w:rsidR="004460A7" w:rsidRPr="006A74F8">
        <w:t xml:space="preserve"> also provides a basis for</w:t>
      </w:r>
      <w:r w:rsidR="007A7C7D" w:rsidRPr="006A74F8">
        <w:t xml:space="preserve"> uniform units and measurement </w:t>
      </w:r>
      <w:r w:rsidR="00982DFF" w:rsidRPr="006A74F8">
        <w:t xml:space="preserve">standards </w:t>
      </w:r>
      <w:r w:rsidR="007A7C7D" w:rsidRPr="006A74F8">
        <w:t>throughout Australia</w:t>
      </w:r>
      <w:r w:rsidR="004460A7" w:rsidRPr="006A74F8">
        <w:t xml:space="preserve">, </w:t>
      </w:r>
      <w:r w:rsidR="005C4638" w:rsidRPr="006A74F8">
        <w:t xml:space="preserve">from traditional weights and measures to advanced chemical and biological analysis, </w:t>
      </w:r>
      <w:r w:rsidR="004460A7" w:rsidRPr="006A74F8">
        <w:t>ensuring consistency and interchangeability of measurements national</w:t>
      </w:r>
      <w:r w:rsidR="00E361E4" w:rsidRPr="006A74F8">
        <w:t>ly</w:t>
      </w:r>
      <w:r w:rsidR="004460A7" w:rsidRPr="006A74F8">
        <w:t xml:space="preserve"> and internationally. </w:t>
      </w:r>
    </w:p>
    <w:p w:rsidR="001B1742" w:rsidRPr="006A74F8" w:rsidRDefault="00085A27" w:rsidP="00843797">
      <w:pPr>
        <w:pStyle w:val="Heading2"/>
      </w:pPr>
      <w:bookmarkStart w:id="134" w:name="_Toc66435670"/>
      <w:bookmarkStart w:id="135" w:name="_Toc66436459"/>
      <w:bookmarkStart w:id="136" w:name="_Toc66437670"/>
      <w:bookmarkStart w:id="137" w:name="_Toc66439769"/>
      <w:bookmarkStart w:id="138" w:name="_Toc66440009"/>
      <w:bookmarkStart w:id="139" w:name="_Toc66442212"/>
      <w:bookmarkStart w:id="140" w:name="_Toc66451881"/>
      <w:bookmarkStart w:id="141" w:name="_Toc66459157"/>
      <w:bookmarkStart w:id="142" w:name="_Toc66460211"/>
      <w:bookmarkStart w:id="143" w:name="_Toc67305365"/>
      <w:bookmarkStart w:id="144" w:name="_Toc67306278"/>
      <w:bookmarkStart w:id="145" w:name="_Toc67306730"/>
      <w:bookmarkStart w:id="146" w:name="_Toc67313579"/>
      <w:bookmarkStart w:id="147" w:name="_Toc67320772"/>
      <w:bookmarkStart w:id="148" w:name="_Toc67321925"/>
      <w:bookmarkStart w:id="149" w:name="_Toc67324390"/>
      <w:bookmarkStart w:id="150" w:name="_Toc67326551"/>
      <w:bookmarkStart w:id="151" w:name="_Toc67390568"/>
      <w:r w:rsidRPr="006A74F8">
        <w:t>Limitations of current measurement l</w:t>
      </w:r>
      <w:r w:rsidR="001B1742" w:rsidRPr="006A74F8">
        <w:t>egislation</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5C4638" w:rsidRPr="006A74F8" w:rsidRDefault="005C4638" w:rsidP="005C4638">
      <w:r w:rsidRPr="006A74F8">
        <w:t>There are, however, significant issues and limitations with the current measurement legislation, including:</w:t>
      </w:r>
    </w:p>
    <w:p w:rsidR="005C4638" w:rsidRPr="006A74F8" w:rsidRDefault="006C065F" w:rsidP="00D3530D">
      <w:pPr>
        <w:pStyle w:val="ListParagraph"/>
        <w:numPr>
          <w:ilvl w:val="0"/>
          <w:numId w:val="9"/>
        </w:numPr>
      </w:pPr>
      <w:r w:rsidRPr="006A74F8">
        <w:t>a</w:t>
      </w:r>
      <w:r w:rsidR="005C4638" w:rsidRPr="006A74F8">
        <w:t>n inability to adapt to new and emerging measurement technologies</w:t>
      </w:r>
      <w:r w:rsidR="007268CC" w:rsidRPr="006A74F8">
        <w:t>;</w:t>
      </w:r>
    </w:p>
    <w:p w:rsidR="005C4638" w:rsidRPr="006A74F8" w:rsidRDefault="006C065F" w:rsidP="00D3530D">
      <w:pPr>
        <w:pStyle w:val="ListParagraph"/>
        <w:numPr>
          <w:ilvl w:val="0"/>
          <w:numId w:val="9"/>
        </w:numPr>
        <w:rPr>
          <w:sz w:val="24"/>
        </w:rPr>
      </w:pPr>
      <w:r w:rsidRPr="006A74F8">
        <w:t>n</w:t>
      </w:r>
      <w:r w:rsidR="005C4638" w:rsidRPr="006A74F8">
        <w:t>ot allowing for new ways to determine measurements, particularly in relation to traceability</w:t>
      </w:r>
      <w:r w:rsidR="007268CC" w:rsidRPr="006A74F8">
        <w:t>;</w:t>
      </w:r>
      <w:r w:rsidR="005C4638" w:rsidRPr="006A74F8">
        <w:rPr>
          <w:rStyle w:val="FootnoteReference"/>
          <w:szCs w:val="20"/>
        </w:rPr>
        <w:footnoteReference w:id="2"/>
      </w:r>
    </w:p>
    <w:p w:rsidR="005C4638" w:rsidRPr="006A74F8" w:rsidRDefault="006C065F" w:rsidP="00D3530D">
      <w:pPr>
        <w:pStyle w:val="ListParagraph"/>
        <w:numPr>
          <w:ilvl w:val="0"/>
          <w:numId w:val="9"/>
        </w:numPr>
      </w:pPr>
      <w:r w:rsidRPr="006A74F8">
        <w:t>b</w:t>
      </w:r>
      <w:r w:rsidR="005C4638" w:rsidRPr="006A74F8">
        <w:t>eing too prescriptive, resulting in a lack of flexibility</w:t>
      </w:r>
      <w:r w:rsidR="007268CC" w:rsidRPr="006A74F8">
        <w:t>;</w:t>
      </w:r>
    </w:p>
    <w:p w:rsidR="005C4638" w:rsidRPr="006A74F8" w:rsidRDefault="00BB1ADD" w:rsidP="00D3530D">
      <w:pPr>
        <w:pStyle w:val="ListParagraph"/>
        <w:numPr>
          <w:ilvl w:val="0"/>
          <w:numId w:val="9"/>
        </w:numPr>
      </w:pPr>
      <w:r w:rsidRPr="006A74F8">
        <w:t>a</w:t>
      </w:r>
      <w:r w:rsidR="005C4638" w:rsidRPr="006A74F8">
        <w:t xml:space="preserve"> lack of consistency across measurement-based transactions and appointment of authorised third parties</w:t>
      </w:r>
      <w:r w:rsidR="003661F8" w:rsidRPr="006A74F8">
        <w:t xml:space="preserve"> (ATPs)</w:t>
      </w:r>
      <w:r w:rsidR="007268CC" w:rsidRPr="006A74F8">
        <w:t>;</w:t>
      </w:r>
    </w:p>
    <w:p w:rsidR="005C4638" w:rsidRPr="006A74F8" w:rsidRDefault="006C065F" w:rsidP="00D3530D">
      <w:pPr>
        <w:pStyle w:val="ListParagraph"/>
        <w:numPr>
          <w:ilvl w:val="0"/>
          <w:numId w:val="9"/>
        </w:numPr>
      </w:pPr>
      <w:r w:rsidRPr="006A74F8">
        <w:t>l</w:t>
      </w:r>
      <w:r w:rsidR="005C4638" w:rsidRPr="006A74F8">
        <w:t>imited compliance and enforcement mechanisms focussed on individual deterrence and punishment which treats small and large enterprises the same</w:t>
      </w:r>
      <w:r w:rsidR="007268CC" w:rsidRPr="006A74F8">
        <w:t>;</w:t>
      </w:r>
      <w:r w:rsidR="005C4638" w:rsidRPr="006A74F8">
        <w:t xml:space="preserve"> </w:t>
      </w:r>
    </w:p>
    <w:p w:rsidR="005C4638" w:rsidRPr="006A74F8" w:rsidRDefault="006C065F" w:rsidP="00D3530D">
      <w:pPr>
        <w:pStyle w:val="ListParagraph"/>
        <w:numPr>
          <w:ilvl w:val="0"/>
          <w:numId w:val="9"/>
        </w:numPr>
      </w:pPr>
      <w:r w:rsidRPr="006A74F8">
        <w:lastRenderedPageBreak/>
        <w:t>e</w:t>
      </w:r>
      <w:r w:rsidR="005C4638" w:rsidRPr="006A74F8">
        <w:t>xemptions that were intended for review on transition of responsibilities to the Commonwealth (in 2010).</w:t>
      </w:r>
    </w:p>
    <w:p w:rsidR="00332922" w:rsidRPr="006A74F8" w:rsidRDefault="00AD08D7" w:rsidP="00332922">
      <w:r w:rsidRPr="006A74F8">
        <w:t xml:space="preserve">The measurement framework </w:t>
      </w:r>
      <w:r w:rsidR="002C5069" w:rsidRPr="006A74F8">
        <w:t>needs to evolve</w:t>
      </w:r>
      <w:r w:rsidRPr="006A74F8">
        <w:t xml:space="preserve"> to facilitate innovation in ind</w:t>
      </w:r>
      <w:r w:rsidR="00085A27" w:rsidRPr="006A74F8">
        <w:t>ustry and measurement practices. This will allow Australia to keep pace with its</w:t>
      </w:r>
      <w:r w:rsidRPr="006A74F8">
        <w:t xml:space="preserve"> trading partners, </w:t>
      </w:r>
      <w:r w:rsidR="00085A27" w:rsidRPr="006A74F8">
        <w:t>and maintain</w:t>
      </w:r>
      <w:r w:rsidRPr="006A74F8">
        <w:t xml:space="preserve"> international </w:t>
      </w:r>
      <w:r w:rsidR="00085A27" w:rsidRPr="006A74F8">
        <w:t>(</w:t>
      </w:r>
      <w:r w:rsidRPr="006A74F8">
        <w:t>and regional</w:t>
      </w:r>
      <w:r w:rsidR="00085A27" w:rsidRPr="006A74F8">
        <w:t>)</w:t>
      </w:r>
      <w:r w:rsidRPr="006A74F8">
        <w:t xml:space="preserve"> obligations and influence. </w:t>
      </w:r>
      <w:r w:rsidR="007C5BA1" w:rsidRPr="006A74F8">
        <w:t>Remaking</w:t>
      </w:r>
      <w:r w:rsidR="00085A27" w:rsidRPr="006A74F8">
        <w:t xml:space="preserve"> the legislation will allow for a </w:t>
      </w:r>
      <w:r w:rsidRPr="006A74F8">
        <w:t>contemporary</w:t>
      </w:r>
      <w:r w:rsidR="00085A27" w:rsidRPr="006A74F8">
        <w:t xml:space="preserve"> approach that</w:t>
      </w:r>
      <w:r w:rsidRPr="006A74F8">
        <w:t xml:space="preserve"> minimises </w:t>
      </w:r>
      <w:r w:rsidR="00085A27" w:rsidRPr="006A74F8">
        <w:t xml:space="preserve">burden for industry and reduces </w:t>
      </w:r>
      <w:r w:rsidRPr="006A74F8">
        <w:t>risk</w:t>
      </w:r>
      <w:r w:rsidR="006A74F8">
        <w:t>, for example</w:t>
      </w:r>
      <w:r w:rsidRPr="006A74F8">
        <w:t xml:space="preserve"> of deliberate fraud facilitated by malicious software or devices</w:t>
      </w:r>
      <w:r w:rsidR="003B2A40" w:rsidRPr="006A74F8">
        <w:t>)</w:t>
      </w:r>
      <w:r w:rsidR="00812123" w:rsidRPr="006A74F8">
        <w:t>,</w:t>
      </w:r>
      <w:r w:rsidR="00717DE7" w:rsidRPr="006A74F8">
        <w:t xml:space="preserve"> while maintaining confidence in the measurement system</w:t>
      </w:r>
      <w:r w:rsidRPr="006A74F8">
        <w:t>.</w:t>
      </w:r>
      <w:r w:rsidR="00332922" w:rsidRPr="006A74F8">
        <w:t xml:space="preserve"> </w:t>
      </w:r>
    </w:p>
    <w:p w:rsidR="00332922" w:rsidRPr="006A74F8" w:rsidRDefault="00332922" w:rsidP="00332922">
      <w:r w:rsidRPr="006A74F8">
        <w:t xml:space="preserve">The limitations of the existing legislation are discussed in more detail in response to </w:t>
      </w:r>
      <w:hyperlink w:anchor="_RIS_Question_1:_1" w:history="1">
        <w:r w:rsidRPr="006A74F8">
          <w:rPr>
            <w:rStyle w:val="Hyperlink"/>
          </w:rPr>
          <w:t>RIS Question 1</w:t>
        </w:r>
      </w:hyperlink>
      <w:r w:rsidRPr="006A74F8">
        <w:t>.</w:t>
      </w:r>
    </w:p>
    <w:p w:rsidR="001B1742" w:rsidRPr="006A74F8" w:rsidRDefault="00332922" w:rsidP="00FD7AC9">
      <w:pPr>
        <w:pStyle w:val="Heading2"/>
      </w:pPr>
      <w:bookmarkStart w:id="152" w:name="_Toc66435671"/>
      <w:bookmarkStart w:id="153" w:name="_Toc66436460"/>
      <w:bookmarkStart w:id="154" w:name="_Toc66437671"/>
      <w:bookmarkStart w:id="155" w:name="_Toc66439770"/>
      <w:bookmarkStart w:id="156" w:name="_Toc66440010"/>
      <w:bookmarkStart w:id="157" w:name="_Toc66442213"/>
      <w:bookmarkStart w:id="158" w:name="_Toc66451882"/>
      <w:bookmarkStart w:id="159" w:name="_Toc66459158"/>
      <w:bookmarkStart w:id="160" w:name="_Toc66460212"/>
      <w:bookmarkStart w:id="161" w:name="_Toc67305366"/>
      <w:bookmarkStart w:id="162" w:name="_Toc67306279"/>
      <w:bookmarkStart w:id="163" w:name="_Toc67306731"/>
      <w:bookmarkStart w:id="164" w:name="_Toc67313580"/>
      <w:bookmarkStart w:id="165" w:name="_Toc67320773"/>
      <w:bookmarkStart w:id="166" w:name="_Toc67321926"/>
      <w:bookmarkStart w:id="167" w:name="_Toc67324391"/>
      <w:bookmarkStart w:id="168" w:name="_Toc67326552"/>
      <w:bookmarkStart w:id="169" w:name="_Toc67390569"/>
      <w:r w:rsidRPr="006A74F8">
        <w:t xml:space="preserve">Rationale </w:t>
      </w:r>
      <w:r w:rsidR="00085A27" w:rsidRPr="006A74F8">
        <w:t>for g</w:t>
      </w:r>
      <w:r w:rsidR="001B1742" w:rsidRPr="006A74F8">
        <w:t xml:space="preserve">overnment </w:t>
      </w:r>
      <w:r w:rsidR="00085A27" w:rsidRPr="006A74F8">
        <w:t>i</w:t>
      </w:r>
      <w:r w:rsidR="001B1742" w:rsidRPr="006A74F8">
        <w:t>nvolvement</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AD08D7" w:rsidRPr="006A74F8" w:rsidRDefault="00AD08D7" w:rsidP="00FD7AC9">
      <w:r w:rsidRPr="006A74F8">
        <w:t xml:space="preserve">The </w:t>
      </w:r>
      <w:r w:rsidR="000A4303" w:rsidRPr="006A74F8">
        <w:t>Australian</w:t>
      </w:r>
      <w:r w:rsidRPr="006A74F8">
        <w:t xml:space="preserve"> Government has constitutional responsibility for </w:t>
      </w:r>
      <w:r w:rsidR="005C4638" w:rsidRPr="006A74F8">
        <w:t xml:space="preserve">measurement </w:t>
      </w:r>
      <w:r w:rsidRPr="006A74F8">
        <w:t>and is best placed to make</w:t>
      </w:r>
      <w:r w:rsidR="00C24113" w:rsidRPr="006A74F8">
        <w:t>, maintain</w:t>
      </w:r>
      <w:r w:rsidRPr="006A74F8">
        <w:t xml:space="preserve"> and enforce relevant laws</w:t>
      </w:r>
      <w:r w:rsidR="00E92074" w:rsidRPr="006A74F8">
        <w:t xml:space="preserve">. This </w:t>
      </w:r>
      <w:r w:rsidRPr="006A74F8">
        <w:t>ensur</w:t>
      </w:r>
      <w:r w:rsidR="00E92074" w:rsidRPr="006A74F8">
        <w:t>es</w:t>
      </w:r>
      <w:r w:rsidRPr="006A74F8">
        <w:t xml:space="preserve"> consistency </w:t>
      </w:r>
      <w:r w:rsidR="00B42747" w:rsidRPr="006A74F8">
        <w:t>that</w:t>
      </w:r>
      <w:r w:rsidRPr="006A74F8">
        <w:t xml:space="preserve"> reduces </w:t>
      </w:r>
      <w:r w:rsidR="00B42747" w:rsidRPr="006A74F8">
        <w:t>technical</w:t>
      </w:r>
      <w:r w:rsidRPr="006A74F8">
        <w:t xml:space="preserve"> barriers to trade, lowers the cost of doing business</w:t>
      </w:r>
      <w:r w:rsidR="005A2259" w:rsidRPr="006A74F8">
        <w:t>,</w:t>
      </w:r>
      <w:r w:rsidRPr="006A74F8">
        <w:t xml:space="preserve"> and </w:t>
      </w:r>
      <w:r w:rsidR="00F64E63" w:rsidRPr="006A74F8">
        <w:t xml:space="preserve">creates </w:t>
      </w:r>
      <w:r w:rsidRPr="006A74F8">
        <w:t xml:space="preserve">a level playing field for Australian businesses.  This approach </w:t>
      </w:r>
      <w:r w:rsidR="00E92074" w:rsidRPr="006A74F8">
        <w:t xml:space="preserve">also </w:t>
      </w:r>
      <w:r w:rsidRPr="006A74F8">
        <w:t xml:space="preserve">facilitates Australia’s entry into </w:t>
      </w:r>
      <w:r w:rsidR="00830BCA" w:rsidRPr="006A74F8">
        <w:t>inter-governmental</w:t>
      </w:r>
      <w:r w:rsidR="002703BE">
        <w:t>,</w:t>
      </w:r>
      <w:r w:rsidR="00830BCA" w:rsidRPr="006A74F8">
        <w:t xml:space="preserve"> </w:t>
      </w:r>
      <w:r w:rsidRPr="006A74F8">
        <w:t>international and regional cooperative agreements that enhance international alignment, cooperation and economic outcomes</w:t>
      </w:r>
      <w:r w:rsidR="00CD6283" w:rsidRPr="006A74F8">
        <w:t xml:space="preserve">. This is discussed further in response to </w:t>
      </w:r>
      <w:hyperlink w:anchor="_RIS_Question_2:" w:history="1">
        <w:r w:rsidR="00693161" w:rsidRPr="006A74F8">
          <w:rPr>
            <w:rStyle w:val="Hyperlink"/>
          </w:rPr>
          <w:t>RIS Question 2</w:t>
        </w:r>
      </w:hyperlink>
      <w:r w:rsidR="00E65746" w:rsidRPr="006A74F8">
        <w:t>.</w:t>
      </w:r>
    </w:p>
    <w:p w:rsidR="00FD221D" w:rsidRPr="006A74F8" w:rsidRDefault="00AD08D7" w:rsidP="00FD7AC9">
      <w:pPr>
        <w:rPr>
          <w:b/>
        </w:rPr>
      </w:pPr>
      <w:r w:rsidRPr="006A74F8">
        <w:t>The</w:t>
      </w:r>
      <w:r w:rsidRPr="006A74F8">
        <w:rPr>
          <w:b/>
        </w:rPr>
        <w:t xml:space="preserve"> primary policy objective </w:t>
      </w:r>
      <w:r w:rsidRPr="006A74F8">
        <w:t xml:space="preserve">of Australia’s measurement legislation is </w:t>
      </w:r>
      <w:r w:rsidRPr="006A74F8">
        <w:rPr>
          <w:b/>
        </w:rPr>
        <w:t xml:space="preserve">to provide a strong and effective measurement system that is accepted and trusted both domestically and internationally.  </w:t>
      </w:r>
    </w:p>
    <w:p w:rsidR="00AD08D7" w:rsidRPr="006A74F8" w:rsidRDefault="00332922" w:rsidP="00FD7AC9">
      <w:r w:rsidRPr="006A74F8">
        <w:t xml:space="preserve">This primary objective is supported by </w:t>
      </w:r>
      <w:r w:rsidR="00AD08D7" w:rsidRPr="006A74F8">
        <w:t>three subordinate objectives</w:t>
      </w:r>
      <w:r w:rsidR="005C4638" w:rsidRPr="006A74F8">
        <w:t>:</w:t>
      </w:r>
      <w:r w:rsidR="009D744A" w:rsidRPr="006A74F8">
        <w:t xml:space="preserve"> </w:t>
      </w:r>
    </w:p>
    <w:p w:rsidR="00AD08D7" w:rsidRPr="006A74F8" w:rsidRDefault="00AD08D7" w:rsidP="009D744A">
      <w:pPr>
        <w:keepNext/>
        <w:spacing w:after="120" w:line="240" w:lineRule="auto"/>
      </w:pPr>
      <w:r w:rsidRPr="006A74F8">
        <w:rPr>
          <w:b/>
        </w:rPr>
        <w:t>Measurement confidence</w:t>
      </w:r>
      <w:r w:rsidRPr="006A74F8">
        <w:t xml:space="preserve"> through: </w:t>
      </w:r>
    </w:p>
    <w:p w:rsidR="000228E6" w:rsidRPr="006A74F8" w:rsidRDefault="00E65746" w:rsidP="004C54D2">
      <w:pPr>
        <w:pStyle w:val="ListParagraph"/>
        <w:numPr>
          <w:ilvl w:val="2"/>
          <w:numId w:val="4"/>
        </w:numPr>
        <w:tabs>
          <w:tab w:val="num" w:pos="1276"/>
        </w:tabs>
        <w:spacing w:after="0" w:line="240" w:lineRule="auto"/>
        <w:textAlignment w:val="center"/>
        <w:rPr>
          <w:color w:val="000000"/>
          <w:lang w:eastAsia="en-AU"/>
        </w:rPr>
      </w:pPr>
      <w:r w:rsidRPr="006A74F8">
        <w:rPr>
          <w:b/>
          <w:color w:val="000000"/>
          <w:lang w:eastAsia="en-AU"/>
        </w:rPr>
        <w:t>Industry efficiency</w:t>
      </w:r>
      <w:r w:rsidRPr="006A74F8">
        <w:rPr>
          <w:color w:val="000000"/>
          <w:lang w:eastAsia="en-AU"/>
        </w:rPr>
        <w:t xml:space="preserve"> – by </w:t>
      </w:r>
      <w:r w:rsidR="002C5069" w:rsidRPr="006A74F8">
        <w:rPr>
          <w:color w:val="000000"/>
          <w:lang w:eastAsia="en-AU"/>
        </w:rPr>
        <w:t xml:space="preserve">establishing </w:t>
      </w:r>
      <w:r w:rsidRPr="006A74F8">
        <w:rPr>
          <w:color w:val="000000"/>
          <w:lang w:eastAsia="en-AU"/>
        </w:rPr>
        <w:t xml:space="preserve">a level playing field for industry to be able to trade with confidence, reducing transaction costs and enabling </w:t>
      </w:r>
      <w:r w:rsidR="00620AF8" w:rsidRPr="006A74F8">
        <w:rPr>
          <w:color w:val="000000"/>
          <w:lang w:eastAsia="en-AU"/>
        </w:rPr>
        <w:t xml:space="preserve">fair </w:t>
      </w:r>
      <w:r w:rsidRPr="006A74F8">
        <w:rPr>
          <w:color w:val="000000"/>
          <w:lang w:eastAsia="en-AU"/>
        </w:rPr>
        <w:t>competition.</w:t>
      </w:r>
    </w:p>
    <w:p w:rsidR="000228E6" w:rsidRPr="006A74F8" w:rsidRDefault="00E65746" w:rsidP="004C54D2">
      <w:pPr>
        <w:pStyle w:val="ListParagraph"/>
        <w:numPr>
          <w:ilvl w:val="2"/>
          <w:numId w:val="4"/>
        </w:numPr>
        <w:tabs>
          <w:tab w:val="num" w:pos="1276"/>
        </w:tabs>
        <w:spacing w:after="0" w:line="240" w:lineRule="auto"/>
        <w:textAlignment w:val="center"/>
        <w:rPr>
          <w:color w:val="000000"/>
          <w:lang w:eastAsia="en-AU"/>
        </w:rPr>
      </w:pPr>
      <w:r w:rsidRPr="006A74F8">
        <w:rPr>
          <w:b/>
          <w:color w:val="000000"/>
          <w:lang w:eastAsia="en-AU"/>
        </w:rPr>
        <w:t>Community trust</w:t>
      </w:r>
      <w:r w:rsidRPr="006A74F8">
        <w:rPr>
          <w:color w:val="000000"/>
          <w:lang w:eastAsia="en-AU"/>
        </w:rPr>
        <w:t xml:space="preserve"> – ensuring everyone gets what they pay for and limiting market failures including from information asymmetry. </w:t>
      </w:r>
    </w:p>
    <w:p w:rsidR="000228E6" w:rsidRPr="006A74F8" w:rsidRDefault="00E65746" w:rsidP="004C54D2">
      <w:pPr>
        <w:pStyle w:val="ListParagraph"/>
        <w:numPr>
          <w:ilvl w:val="2"/>
          <w:numId w:val="4"/>
        </w:numPr>
        <w:tabs>
          <w:tab w:val="num" w:pos="1276"/>
        </w:tabs>
        <w:spacing w:after="0" w:line="240" w:lineRule="auto"/>
        <w:textAlignment w:val="center"/>
        <w:rPr>
          <w:color w:val="000000"/>
          <w:lang w:eastAsia="en-AU"/>
        </w:rPr>
      </w:pPr>
      <w:r w:rsidRPr="006A74F8">
        <w:rPr>
          <w:b/>
          <w:color w:val="000000"/>
          <w:lang w:eastAsia="en-AU"/>
        </w:rPr>
        <w:t>Government reliance</w:t>
      </w:r>
      <w:r w:rsidRPr="006A74F8">
        <w:rPr>
          <w:color w:val="000000"/>
          <w:lang w:eastAsia="en-AU"/>
        </w:rPr>
        <w:t xml:space="preserve"> – by enabling key government outcomes needing accurate and reliable measurement (for example, food, </w:t>
      </w:r>
      <w:r w:rsidR="00FA15F2" w:rsidRPr="006A74F8">
        <w:rPr>
          <w:color w:val="000000"/>
          <w:lang w:eastAsia="en-AU"/>
        </w:rPr>
        <w:t xml:space="preserve">energy, </w:t>
      </w:r>
      <w:r w:rsidRPr="006A74F8">
        <w:rPr>
          <w:color w:val="000000"/>
          <w:lang w:eastAsia="en-AU"/>
        </w:rPr>
        <w:t>health, agriculture, the environment, law enforcement and safety).</w:t>
      </w:r>
    </w:p>
    <w:p w:rsidR="00E65746" w:rsidRPr="006A74F8" w:rsidRDefault="00E65746" w:rsidP="00F602AB">
      <w:pPr>
        <w:pStyle w:val="ListParagraph"/>
        <w:numPr>
          <w:ilvl w:val="2"/>
          <w:numId w:val="4"/>
        </w:numPr>
        <w:tabs>
          <w:tab w:val="num" w:pos="1276"/>
        </w:tabs>
        <w:spacing w:after="120" w:line="240" w:lineRule="auto"/>
        <w:ind w:left="737" w:hanging="357"/>
        <w:textAlignment w:val="center"/>
        <w:rPr>
          <w:color w:val="000000"/>
          <w:lang w:eastAsia="en-AU"/>
        </w:rPr>
      </w:pPr>
      <w:r w:rsidRPr="006A74F8">
        <w:rPr>
          <w:b/>
          <w:color w:val="000000"/>
          <w:lang w:eastAsia="en-AU"/>
        </w:rPr>
        <w:t>International recognition</w:t>
      </w:r>
      <w:r w:rsidRPr="006A74F8">
        <w:rPr>
          <w:color w:val="000000"/>
          <w:lang w:eastAsia="en-AU"/>
        </w:rPr>
        <w:t xml:space="preserve"> – ensuring Australia’s measurement system is globally recognised and accepted</w:t>
      </w:r>
      <w:r w:rsidR="00FD221D" w:rsidRPr="006A74F8">
        <w:rPr>
          <w:color w:val="000000"/>
          <w:lang w:eastAsia="en-AU"/>
        </w:rPr>
        <w:t xml:space="preserve">, </w:t>
      </w:r>
      <w:r w:rsidRPr="006A74F8">
        <w:rPr>
          <w:color w:val="000000"/>
          <w:lang w:eastAsia="en-AU"/>
        </w:rPr>
        <w:t>supports international trade</w:t>
      </w:r>
      <w:r w:rsidR="00FD221D" w:rsidRPr="006A74F8">
        <w:rPr>
          <w:color w:val="000000"/>
          <w:lang w:eastAsia="en-AU"/>
        </w:rPr>
        <w:t xml:space="preserve"> and meets treaty obligations</w:t>
      </w:r>
      <w:r w:rsidRPr="006A74F8">
        <w:rPr>
          <w:color w:val="000000"/>
          <w:lang w:eastAsia="en-AU"/>
        </w:rPr>
        <w:t xml:space="preserve">. </w:t>
      </w:r>
    </w:p>
    <w:p w:rsidR="00AD08D7" w:rsidRPr="006A74F8" w:rsidRDefault="00AD08D7" w:rsidP="009D744A">
      <w:pPr>
        <w:spacing w:after="120" w:line="240" w:lineRule="auto"/>
      </w:pPr>
      <w:r w:rsidRPr="006A74F8">
        <w:rPr>
          <w:b/>
        </w:rPr>
        <w:t>Legislative adaptability</w:t>
      </w:r>
      <w:r w:rsidRPr="006A74F8">
        <w:t xml:space="preserve"> to:</w:t>
      </w:r>
    </w:p>
    <w:p w:rsidR="000228E6" w:rsidRPr="006A74F8" w:rsidRDefault="00E65746" w:rsidP="004C54D2">
      <w:pPr>
        <w:pStyle w:val="ListParagraph"/>
        <w:numPr>
          <w:ilvl w:val="2"/>
          <w:numId w:val="4"/>
        </w:numPr>
        <w:tabs>
          <w:tab w:val="num" w:pos="1276"/>
        </w:tabs>
        <w:spacing w:after="0" w:line="240" w:lineRule="auto"/>
        <w:textAlignment w:val="center"/>
        <w:rPr>
          <w:color w:val="000000"/>
          <w:lang w:eastAsia="en-AU"/>
        </w:rPr>
      </w:pPr>
      <w:r w:rsidRPr="006A74F8">
        <w:rPr>
          <w:b/>
          <w:color w:val="000000"/>
          <w:lang w:eastAsia="en-AU"/>
        </w:rPr>
        <w:t>Enable innovation</w:t>
      </w:r>
      <w:r w:rsidRPr="006A74F8">
        <w:rPr>
          <w:color w:val="000000"/>
          <w:lang w:eastAsia="en-AU"/>
        </w:rPr>
        <w:t xml:space="preserve"> – by </w:t>
      </w:r>
      <w:r w:rsidR="00EA03EB" w:rsidRPr="006A74F8">
        <w:rPr>
          <w:color w:val="000000"/>
          <w:lang w:eastAsia="en-AU"/>
        </w:rPr>
        <w:t>adjusting</w:t>
      </w:r>
      <w:r w:rsidRPr="006A74F8">
        <w:rPr>
          <w:color w:val="000000"/>
          <w:lang w:eastAsia="en-AU"/>
        </w:rPr>
        <w:t xml:space="preserve"> to emerging measurement technologies.</w:t>
      </w:r>
    </w:p>
    <w:p w:rsidR="000228E6" w:rsidRPr="006A74F8" w:rsidRDefault="00E65746" w:rsidP="004C54D2">
      <w:pPr>
        <w:pStyle w:val="ListParagraph"/>
        <w:numPr>
          <w:ilvl w:val="2"/>
          <w:numId w:val="4"/>
        </w:numPr>
        <w:tabs>
          <w:tab w:val="num" w:pos="1276"/>
        </w:tabs>
        <w:spacing w:after="0" w:line="240" w:lineRule="auto"/>
        <w:textAlignment w:val="center"/>
        <w:rPr>
          <w:color w:val="000000"/>
          <w:lang w:eastAsia="en-AU"/>
        </w:rPr>
      </w:pPr>
      <w:r w:rsidRPr="006A74F8">
        <w:rPr>
          <w:b/>
          <w:color w:val="000000"/>
          <w:lang w:eastAsia="en-AU"/>
        </w:rPr>
        <w:t>Be fit for purpose</w:t>
      </w:r>
      <w:r w:rsidRPr="006A74F8">
        <w:rPr>
          <w:color w:val="000000"/>
          <w:lang w:eastAsia="en-AU"/>
        </w:rPr>
        <w:t xml:space="preserve"> – by regulation being appropriate and proportionate to measurement risk and usage.</w:t>
      </w:r>
    </w:p>
    <w:p w:rsidR="00AD08D7" w:rsidRPr="006A74F8" w:rsidRDefault="00E65746" w:rsidP="00F602AB">
      <w:pPr>
        <w:pStyle w:val="ListParagraph"/>
        <w:numPr>
          <w:ilvl w:val="2"/>
          <w:numId w:val="4"/>
        </w:numPr>
        <w:tabs>
          <w:tab w:val="num" w:pos="1276"/>
        </w:tabs>
        <w:spacing w:after="120" w:line="240" w:lineRule="auto"/>
        <w:ind w:left="737" w:hanging="357"/>
        <w:textAlignment w:val="center"/>
        <w:rPr>
          <w:b/>
          <w:color w:val="000000"/>
          <w:lang w:eastAsia="en-AU"/>
        </w:rPr>
      </w:pPr>
      <w:r w:rsidRPr="006A74F8">
        <w:rPr>
          <w:b/>
          <w:color w:val="000000"/>
          <w:lang w:eastAsia="en-AU"/>
        </w:rPr>
        <w:t xml:space="preserve">Provide future flexibility </w:t>
      </w:r>
      <w:r w:rsidRPr="006A74F8">
        <w:rPr>
          <w:color w:val="000000"/>
          <w:lang w:eastAsia="en-AU"/>
        </w:rPr>
        <w:t xml:space="preserve">– to accommodate changing business practices and evolving measurement needs. </w:t>
      </w:r>
    </w:p>
    <w:p w:rsidR="00AD08D7" w:rsidRPr="006A74F8" w:rsidRDefault="00AD08D7" w:rsidP="009D744A">
      <w:pPr>
        <w:keepNext/>
        <w:spacing w:after="120" w:line="240" w:lineRule="auto"/>
      </w:pPr>
      <w:r w:rsidRPr="006A74F8">
        <w:rPr>
          <w:b/>
        </w:rPr>
        <w:t>Outcomes for stakeholders</w:t>
      </w:r>
      <w:r w:rsidRPr="006A74F8">
        <w:t xml:space="preserve"> including:</w:t>
      </w:r>
    </w:p>
    <w:p w:rsidR="000228E6" w:rsidRPr="006A74F8" w:rsidRDefault="00E65746" w:rsidP="004C54D2">
      <w:pPr>
        <w:pStyle w:val="ListParagraph"/>
        <w:numPr>
          <w:ilvl w:val="2"/>
          <w:numId w:val="4"/>
        </w:numPr>
        <w:tabs>
          <w:tab w:val="num" w:pos="1276"/>
        </w:tabs>
        <w:spacing w:after="0" w:line="240" w:lineRule="auto"/>
        <w:textAlignment w:val="center"/>
        <w:rPr>
          <w:color w:val="000000"/>
          <w:u w:val="single"/>
          <w:lang w:eastAsia="en-AU"/>
        </w:rPr>
      </w:pPr>
      <w:r w:rsidRPr="006A74F8">
        <w:rPr>
          <w:b/>
          <w:color w:val="000000"/>
          <w:lang w:eastAsia="en-AU"/>
        </w:rPr>
        <w:t>Industry investment</w:t>
      </w:r>
      <w:r w:rsidRPr="006A74F8">
        <w:rPr>
          <w:color w:val="000000"/>
          <w:lang w:eastAsia="en-AU"/>
        </w:rPr>
        <w:t xml:space="preserve"> – by </w:t>
      </w:r>
      <w:r w:rsidR="002C5069" w:rsidRPr="006A74F8">
        <w:rPr>
          <w:color w:val="000000"/>
          <w:lang w:eastAsia="en-AU"/>
        </w:rPr>
        <w:t xml:space="preserve">establishing </w:t>
      </w:r>
      <w:r w:rsidRPr="006A74F8">
        <w:rPr>
          <w:color w:val="000000"/>
          <w:lang w:eastAsia="en-AU"/>
        </w:rPr>
        <w:t>an environment that encourages industry to invest in building and maintaining capability reliant on measurement.</w:t>
      </w:r>
    </w:p>
    <w:p w:rsidR="000228E6" w:rsidRPr="006A74F8" w:rsidRDefault="00E65746" w:rsidP="004C54D2">
      <w:pPr>
        <w:pStyle w:val="ListParagraph"/>
        <w:numPr>
          <w:ilvl w:val="2"/>
          <w:numId w:val="4"/>
        </w:numPr>
        <w:tabs>
          <w:tab w:val="num" w:pos="1276"/>
        </w:tabs>
        <w:spacing w:after="0" w:line="240" w:lineRule="auto"/>
        <w:textAlignment w:val="center"/>
        <w:rPr>
          <w:color w:val="000000"/>
          <w:u w:val="single"/>
          <w:lang w:eastAsia="en-AU"/>
        </w:rPr>
      </w:pPr>
      <w:r w:rsidRPr="006A74F8">
        <w:rPr>
          <w:b/>
          <w:color w:val="000000"/>
          <w:lang w:eastAsia="en-AU"/>
        </w:rPr>
        <w:t>Balancing market costs and benefits</w:t>
      </w:r>
      <w:r w:rsidRPr="006A74F8">
        <w:rPr>
          <w:color w:val="000000"/>
          <w:lang w:eastAsia="en-AU"/>
        </w:rPr>
        <w:t xml:space="preserve"> – by minimising unnecessary regulatory burden and cost for industry while maintaining confidence in the measurement system.</w:t>
      </w:r>
    </w:p>
    <w:p w:rsidR="00E65746" w:rsidRPr="006A74F8" w:rsidRDefault="00E65746" w:rsidP="00FD7AC9">
      <w:pPr>
        <w:pStyle w:val="ListParagraph"/>
        <w:numPr>
          <w:ilvl w:val="2"/>
          <w:numId w:val="4"/>
        </w:numPr>
        <w:tabs>
          <w:tab w:val="num" w:pos="1276"/>
        </w:tabs>
        <w:spacing w:after="0" w:line="240" w:lineRule="auto"/>
        <w:textAlignment w:val="center"/>
        <w:rPr>
          <w:color w:val="000000"/>
          <w:u w:val="single"/>
          <w:lang w:eastAsia="en-AU"/>
        </w:rPr>
      </w:pPr>
      <w:r w:rsidRPr="006A74F8">
        <w:rPr>
          <w:b/>
          <w:color w:val="000000"/>
          <w:lang w:eastAsia="en-AU"/>
        </w:rPr>
        <w:t>Balancing cost to government</w:t>
      </w:r>
      <w:r w:rsidRPr="006A74F8">
        <w:rPr>
          <w:color w:val="000000"/>
          <w:lang w:eastAsia="en-AU"/>
        </w:rPr>
        <w:t xml:space="preserve"> – delivering key capabilities and services that benefit Australian industry and the community at a reasonable cost.</w:t>
      </w:r>
    </w:p>
    <w:p w:rsidR="001B1742" w:rsidRPr="006A74F8" w:rsidRDefault="00977F88" w:rsidP="007E3512">
      <w:pPr>
        <w:pStyle w:val="Heading2"/>
      </w:pPr>
      <w:bookmarkStart w:id="170" w:name="_Toc66435672"/>
      <w:bookmarkStart w:id="171" w:name="_Toc66436461"/>
      <w:bookmarkStart w:id="172" w:name="_Toc66437672"/>
      <w:bookmarkStart w:id="173" w:name="_Toc66439771"/>
      <w:bookmarkStart w:id="174" w:name="_Toc66440011"/>
      <w:bookmarkStart w:id="175" w:name="_Toc66442214"/>
      <w:bookmarkStart w:id="176" w:name="_Toc66451883"/>
      <w:bookmarkStart w:id="177" w:name="_Toc66459159"/>
      <w:bookmarkStart w:id="178" w:name="_Toc66460213"/>
      <w:bookmarkStart w:id="179" w:name="_Toc67305367"/>
      <w:bookmarkStart w:id="180" w:name="_Toc67306280"/>
      <w:bookmarkStart w:id="181" w:name="_Toc67306732"/>
      <w:bookmarkStart w:id="182" w:name="_Toc67313581"/>
      <w:bookmarkStart w:id="183" w:name="_Toc67320774"/>
      <w:bookmarkStart w:id="184" w:name="_Toc67321927"/>
      <w:bookmarkStart w:id="185" w:name="_Toc67324392"/>
      <w:bookmarkStart w:id="186" w:name="_Toc67326553"/>
      <w:bookmarkStart w:id="187" w:name="_Toc67390570"/>
      <w:r w:rsidRPr="006A74F8">
        <w:lastRenderedPageBreak/>
        <w:t xml:space="preserve">Overview of </w:t>
      </w:r>
      <w:r w:rsidR="00E31912" w:rsidRPr="006A74F8">
        <w:t>reform o</w:t>
      </w:r>
      <w:r w:rsidR="001B1742" w:rsidRPr="006A74F8">
        <w:t>ptions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AD08D7" w:rsidRPr="006A74F8" w:rsidRDefault="00AD08D7" w:rsidP="007E3512">
      <w:pPr>
        <w:keepNext/>
      </w:pPr>
      <w:r w:rsidRPr="006A74F8">
        <w:t xml:space="preserve">This </w:t>
      </w:r>
      <w:r w:rsidR="00802E7B" w:rsidRPr="006A74F8">
        <w:t>RIS</w:t>
      </w:r>
      <w:r w:rsidRPr="006A74F8">
        <w:t xml:space="preserve"> </w:t>
      </w:r>
      <w:r w:rsidR="00BE42FA" w:rsidRPr="006A74F8">
        <w:t>outlines three</w:t>
      </w:r>
      <w:r w:rsidRPr="006A74F8">
        <w:t xml:space="preserve"> </w:t>
      </w:r>
      <w:r w:rsidR="00BE42FA" w:rsidRPr="006A74F8">
        <w:t>reform</w:t>
      </w:r>
      <w:r w:rsidRPr="006A74F8">
        <w:t xml:space="preserve"> options.</w:t>
      </w:r>
    </w:p>
    <w:p w:rsidR="00FD58F2" w:rsidRPr="006A74F8" w:rsidRDefault="00FD58F2" w:rsidP="00FD58F2">
      <w:pPr>
        <w:pStyle w:val="Caption"/>
        <w:keepNext/>
      </w:pPr>
      <w:r w:rsidRPr="006A74F8">
        <w:t xml:space="preserve">Table </w:t>
      </w:r>
      <w:r w:rsidR="00C25619" w:rsidRPr="006A74F8">
        <w:rPr>
          <w:noProof/>
        </w:rPr>
        <w:fldChar w:fldCharType="begin"/>
      </w:r>
      <w:r w:rsidR="00C25619" w:rsidRPr="006A74F8">
        <w:rPr>
          <w:noProof/>
        </w:rPr>
        <w:instrText xml:space="preserve"> SEQ Table \* ARABIC </w:instrText>
      </w:r>
      <w:r w:rsidR="00C25619" w:rsidRPr="006A74F8">
        <w:rPr>
          <w:noProof/>
        </w:rPr>
        <w:fldChar w:fldCharType="separate"/>
      </w:r>
      <w:r w:rsidR="0033017F">
        <w:rPr>
          <w:noProof/>
        </w:rPr>
        <w:t>1</w:t>
      </w:r>
      <w:r w:rsidR="00C25619" w:rsidRPr="006A74F8">
        <w:rPr>
          <w:noProof/>
        </w:rPr>
        <w:fldChar w:fldCharType="end"/>
      </w:r>
      <w:r w:rsidRPr="006A74F8">
        <w:t xml:space="preserve">: Reform options </w:t>
      </w:r>
    </w:p>
    <w:tbl>
      <w:tblPr>
        <w:tblW w:w="903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le 1: Reform options for consultation "/>
        <w:tblDescription w:val="The status quo option has no changes and maintains the existing prescriptive legislative framework. Reform option one would streamline the legislation with minimal change and reduce prescription by taking a principles-based approach, whilst largely maintaining the current scope. Reform option two is flexible and future focussed which is streamlined as in option one, and would further reduce regulatory burden by significantly increasing flexibility and support for innovation. Reform option three is flexible with additional regulatory powers. It would extend option 2 by providing appropriate powers to regulate measurements relied upon by other policy owners. "/>
      </w:tblPr>
      <w:tblGrid>
        <w:gridCol w:w="2119"/>
        <w:gridCol w:w="2268"/>
        <w:gridCol w:w="2355"/>
        <w:gridCol w:w="2297"/>
      </w:tblGrid>
      <w:tr w:rsidR="00AD08D7" w:rsidRPr="006A74F8" w:rsidTr="00F602AB">
        <w:trPr>
          <w:trHeight w:val="526"/>
          <w:tblHeader/>
        </w:trPr>
        <w:tc>
          <w:tcPr>
            <w:tcW w:w="2119" w:type="dxa"/>
            <w:shd w:val="clear" w:color="auto" w:fill="1F3864"/>
          </w:tcPr>
          <w:p w:rsidR="00AD08D7" w:rsidRPr="006A74F8" w:rsidRDefault="00AD08D7" w:rsidP="00FD7AC9">
            <w:pPr>
              <w:rPr>
                <w:b/>
              </w:rPr>
            </w:pPr>
            <w:r w:rsidRPr="006A74F8">
              <w:rPr>
                <w:b/>
              </w:rPr>
              <w:t xml:space="preserve">Status </w:t>
            </w:r>
            <w:r w:rsidR="00CD6283" w:rsidRPr="006A74F8">
              <w:rPr>
                <w:b/>
              </w:rPr>
              <w:t>q</w:t>
            </w:r>
            <w:r w:rsidRPr="006A74F8">
              <w:rPr>
                <w:b/>
              </w:rPr>
              <w:t xml:space="preserve">uo </w:t>
            </w:r>
          </w:p>
        </w:tc>
        <w:tc>
          <w:tcPr>
            <w:tcW w:w="2268" w:type="dxa"/>
            <w:shd w:val="clear" w:color="auto" w:fill="1F3864"/>
          </w:tcPr>
          <w:p w:rsidR="00AD08D7" w:rsidRPr="006A74F8" w:rsidRDefault="00AD08D7" w:rsidP="00FD7AC9">
            <w:pPr>
              <w:rPr>
                <w:b/>
              </w:rPr>
            </w:pPr>
            <w:r w:rsidRPr="006A74F8">
              <w:rPr>
                <w:b/>
              </w:rPr>
              <w:t xml:space="preserve">Reform </w:t>
            </w:r>
            <w:r w:rsidR="00CD6283" w:rsidRPr="006A74F8">
              <w:rPr>
                <w:b/>
              </w:rPr>
              <w:t>o</w:t>
            </w:r>
            <w:r w:rsidRPr="006A74F8">
              <w:rPr>
                <w:b/>
              </w:rPr>
              <w:t>ption 1</w:t>
            </w:r>
          </w:p>
        </w:tc>
        <w:tc>
          <w:tcPr>
            <w:tcW w:w="2355" w:type="dxa"/>
            <w:shd w:val="clear" w:color="auto" w:fill="1F3864"/>
          </w:tcPr>
          <w:p w:rsidR="00AD08D7" w:rsidRPr="006A74F8" w:rsidRDefault="00AD08D7" w:rsidP="00FD7AC9">
            <w:pPr>
              <w:rPr>
                <w:b/>
              </w:rPr>
            </w:pPr>
            <w:r w:rsidRPr="006A74F8">
              <w:rPr>
                <w:b/>
              </w:rPr>
              <w:t xml:space="preserve">Reform </w:t>
            </w:r>
            <w:r w:rsidR="00CD6283" w:rsidRPr="006A74F8">
              <w:rPr>
                <w:b/>
              </w:rPr>
              <w:t>o</w:t>
            </w:r>
            <w:r w:rsidRPr="006A74F8">
              <w:rPr>
                <w:b/>
              </w:rPr>
              <w:t>ption 2</w:t>
            </w:r>
          </w:p>
        </w:tc>
        <w:tc>
          <w:tcPr>
            <w:tcW w:w="2297" w:type="dxa"/>
            <w:shd w:val="clear" w:color="auto" w:fill="1F3864"/>
          </w:tcPr>
          <w:p w:rsidR="00AD08D7" w:rsidRPr="006A74F8" w:rsidRDefault="00AD08D7" w:rsidP="00FD7AC9">
            <w:pPr>
              <w:rPr>
                <w:b/>
              </w:rPr>
            </w:pPr>
            <w:r w:rsidRPr="006A74F8">
              <w:rPr>
                <w:b/>
              </w:rPr>
              <w:t xml:space="preserve">Reform </w:t>
            </w:r>
            <w:r w:rsidR="00CD6283" w:rsidRPr="006A74F8">
              <w:rPr>
                <w:b/>
              </w:rPr>
              <w:t>o</w:t>
            </w:r>
            <w:r w:rsidRPr="006A74F8">
              <w:rPr>
                <w:b/>
              </w:rPr>
              <w:t>ption 3</w:t>
            </w:r>
          </w:p>
        </w:tc>
      </w:tr>
      <w:tr w:rsidR="00AD08D7" w:rsidRPr="006A74F8" w:rsidTr="00F602AB">
        <w:trPr>
          <w:trHeight w:val="438"/>
        </w:trPr>
        <w:tc>
          <w:tcPr>
            <w:tcW w:w="2119" w:type="dxa"/>
            <w:shd w:val="clear" w:color="auto" w:fill="B0E9FF" w:themeFill="text2" w:themeFillTint="33"/>
          </w:tcPr>
          <w:p w:rsidR="00AD08D7" w:rsidRPr="006A74F8" w:rsidRDefault="00AD08D7" w:rsidP="00FD7AC9">
            <w:pPr>
              <w:spacing w:after="0"/>
            </w:pPr>
            <w:r w:rsidRPr="006A74F8">
              <w:t>No change</w:t>
            </w:r>
          </w:p>
        </w:tc>
        <w:tc>
          <w:tcPr>
            <w:tcW w:w="2268" w:type="dxa"/>
            <w:shd w:val="clear" w:color="auto" w:fill="B0E9FF" w:themeFill="text2" w:themeFillTint="33"/>
          </w:tcPr>
          <w:p w:rsidR="00AD08D7" w:rsidRPr="006A74F8" w:rsidRDefault="00AD08D7" w:rsidP="00FD7AC9">
            <w:pPr>
              <w:spacing w:after="0"/>
            </w:pPr>
            <w:r w:rsidRPr="006A74F8">
              <w:t>Streamline with Minimal Change</w:t>
            </w:r>
          </w:p>
        </w:tc>
        <w:tc>
          <w:tcPr>
            <w:tcW w:w="2355" w:type="dxa"/>
            <w:shd w:val="clear" w:color="auto" w:fill="B0E9FF"/>
          </w:tcPr>
          <w:p w:rsidR="00AD08D7" w:rsidRPr="006A74F8" w:rsidRDefault="00AD08D7" w:rsidP="00FD7AC9">
            <w:pPr>
              <w:spacing w:after="0"/>
            </w:pPr>
            <w:r w:rsidRPr="006A74F8">
              <w:t>Flexible and Future Focused</w:t>
            </w:r>
          </w:p>
        </w:tc>
        <w:tc>
          <w:tcPr>
            <w:tcW w:w="2297" w:type="dxa"/>
            <w:shd w:val="clear" w:color="auto" w:fill="B0E9FF" w:themeFill="text2" w:themeFillTint="33"/>
          </w:tcPr>
          <w:p w:rsidR="00AD08D7" w:rsidRPr="006A74F8" w:rsidRDefault="00AD08D7" w:rsidP="00FD7AC9">
            <w:pPr>
              <w:spacing w:after="0"/>
            </w:pPr>
            <w:r w:rsidRPr="006A74F8">
              <w:t>Flexible with Additional Regulatory Powers</w:t>
            </w:r>
          </w:p>
        </w:tc>
      </w:tr>
      <w:tr w:rsidR="00AD08D7" w:rsidRPr="006A74F8" w:rsidTr="00F602AB">
        <w:trPr>
          <w:trHeight w:val="411"/>
        </w:trPr>
        <w:tc>
          <w:tcPr>
            <w:tcW w:w="2119" w:type="dxa"/>
            <w:shd w:val="clear" w:color="auto" w:fill="D3D4D5" w:themeFill="accent1" w:themeFillTint="66"/>
          </w:tcPr>
          <w:p w:rsidR="00AD08D7" w:rsidRPr="006A74F8" w:rsidRDefault="00AD08D7" w:rsidP="00FD7AC9">
            <w:pPr>
              <w:spacing w:after="0"/>
            </w:pPr>
            <w:r w:rsidRPr="006A74F8">
              <w:t>Maintain existing prescriptive legislative framework</w:t>
            </w:r>
          </w:p>
        </w:tc>
        <w:tc>
          <w:tcPr>
            <w:tcW w:w="2268" w:type="dxa"/>
            <w:shd w:val="clear" w:color="auto" w:fill="D3D4D5" w:themeFill="accent1" w:themeFillTint="66"/>
          </w:tcPr>
          <w:p w:rsidR="00AD08D7" w:rsidRPr="006A74F8" w:rsidRDefault="00AD08D7" w:rsidP="00F81C7A">
            <w:pPr>
              <w:spacing w:after="0"/>
            </w:pPr>
            <w:r w:rsidRPr="006A74F8">
              <w:t>Streamline the legislation</w:t>
            </w:r>
            <w:r w:rsidRPr="006A74F8" w:rsidDel="005C2861">
              <w:t xml:space="preserve"> </w:t>
            </w:r>
            <w:r w:rsidRPr="006A74F8">
              <w:t xml:space="preserve">and reduce prescription by taking a principles-based approach, whilst </w:t>
            </w:r>
            <w:r w:rsidR="00F81C7A" w:rsidRPr="006A74F8">
              <w:t>largely</w:t>
            </w:r>
            <w:r w:rsidRPr="006A74F8">
              <w:t xml:space="preserve"> maintaining the current scope</w:t>
            </w:r>
          </w:p>
        </w:tc>
        <w:tc>
          <w:tcPr>
            <w:tcW w:w="2355" w:type="dxa"/>
            <w:shd w:val="clear" w:color="auto" w:fill="D3D4D5" w:themeFill="accent1" w:themeFillTint="66"/>
          </w:tcPr>
          <w:p w:rsidR="00AD08D7" w:rsidRPr="006A74F8" w:rsidRDefault="00AD08D7" w:rsidP="00FD7AC9">
            <w:pPr>
              <w:spacing w:after="0"/>
            </w:pPr>
            <w:r w:rsidRPr="006A74F8">
              <w:t>Streamlined</w:t>
            </w:r>
            <w:r w:rsidR="005C2861" w:rsidRPr="006A74F8">
              <w:t xml:space="preserve"> </w:t>
            </w:r>
            <w:r w:rsidRPr="006A74F8">
              <w:t xml:space="preserve">as for </w:t>
            </w:r>
            <w:r w:rsidR="006D2E15" w:rsidRPr="006A74F8">
              <w:t>o</w:t>
            </w:r>
            <w:r w:rsidRPr="006A74F8">
              <w:t>ption 1, and further reduce regulatory burden by significantly increasing flexibility and support for innovation</w:t>
            </w:r>
          </w:p>
        </w:tc>
        <w:tc>
          <w:tcPr>
            <w:tcW w:w="2297" w:type="dxa"/>
            <w:shd w:val="clear" w:color="auto" w:fill="D3D4D5" w:themeFill="accent1" w:themeFillTint="66"/>
          </w:tcPr>
          <w:p w:rsidR="00AD08D7" w:rsidRPr="006A74F8" w:rsidRDefault="00AD08D7" w:rsidP="00FD7AC9">
            <w:pPr>
              <w:spacing w:after="0"/>
            </w:pPr>
            <w:r w:rsidRPr="006A74F8">
              <w:t xml:space="preserve">Extend </w:t>
            </w:r>
            <w:r w:rsidR="006D2E15" w:rsidRPr="006A74F8">
              <w:t>o</w:t>
            </w:r>
            <w:r w:rsidRPr="006A74F8">
              <w:t>ption 2 by providing appropriate powers to regulate measurements relied upon by other policy owners</w:t>
            </w:r>
          </w:p>
        </w:tc>
      </w:tr>
    </w:tbl>
    <w:p w:rsidR="007E3512" w:rsidRPr="006A74F8" w:rsidRDefault="00AD08D7" w:rsidP="006A5034">
      <w:pPr>
        <w:spacing w:before="120"/>
        <w:rPr>
          <w:lang w:val="en"/>
        </w:rPr>
      </w:pPr>
      <w:r w:rsidRPr="006A74F8">
        <w:rPr>
          <w:lang w:val="en"/>
        </w:rPr>
        <w:t>These options were developed following</w:t>
      </w:r>
      <w:r w:rsidRPr="006A74F8">
        <w:t xml:space="preserve"> analysis of the measurement framework and significant </w:t>
      </w:r>
      <w:r w:rsidRPr="006A74F8">
        <w:rPr>
          <w:lang w:val="en"/>
        </w:rPr>
        <w:t xml:space="preserve">consultation with a broad range of stakeholders. </w:t>
      </w:r>
    </w:p>
    <w:p w:rsidR="005C4638" w:rsidRPr="006A74F8" w:rsidRDefault="007E3512" w:rsidP="00FD7AC9">
      <w:pPr>
        <w:spacing w:before="160"/>
        <w:rPr>
          <w:lang w:val="en"/>
        </w:rPr>
      </w:pPr>
      <w:r w:rsidRPr="006A74F8">
        <w:rPr>
          <w:lang w:val="en"/>
        </w:rPr>
        <w:t>A high level overview of these options is provided below.</w:t>
      </w:r>
      <w:r w:rsidR="006A5034" w:rsidRPr="006A74F8">
        <w:rPr>
          <w:lang w:val="en"/>
        </w:rPr>
        <w:t xml:space="preserve"> </w:t>
      </w:r>
      <w:r w:rsidR="00501502" w:rsidRPr="006A74F8">
        <w:rPr>
          <w:lang w:val="en"/>
        </w:rPr>
        <w:t>Further detail</w:t>
      </w:r>
      <w:r w:rsidR="00AD08D7" w:rsidRPr="006A74F8">
        <w:rPr>
          <w:lang w:val="en"/>
        </w:rPr>
        <w:t xml:space="preserve">, and the differences between </w:t>
      </w:r>
      <w:r w:rsidR="00501502" w:rsidRPr="006A74F8">
        <w:rPr>
          <w:lang w:val="en"/>
        </w:rPr>
        <w:t>the options</w:t>
      </w:r>
      <w:r w:rsidR="00AD08D7" w:rsidRPr="006A74F8">
        <w:rPr>
          <w:lang w:val="en"/>
        </w:rPr>
        <w:t xml:space="preserve"> are provided in </w:t>
      </w:r>
      <w:r w:rsidR="00693161" w:rsidRPr="006A74F8">
        <w:rPr>
          <w:lang w:val="en"/>
        </w:rPr>
        <w:t xml:space="preserve">response to </w:t>
      </w:r>
      <w:hyperlink w:anchor="_RIS_Question_3:" w:history="1">
        <w:r w:rsidR="00693161" w:rsidRPr="006A74F8">
          <w:rPr>
            <w:rStyle w:val="Hyperlink"/>
            <w:lang w:val="en"/>
          </w:rPr>
          <w:t>RIS Question 3</w:t>
        </w:r>
      </w:hyperlink>
      <w:r w:rsidR="00AD08D7" w:rsidRPr="006A74F8">
        <w:rPr>
          <w:lang w:val="en"/>
        </w:rPr>
        <w:t>.</w:t>
      </w:r>
      <w:r w:rsidR="001B1742" w:rsidRPr="006A74F8">
        <w:rPr>
          <w:lang w:val="en"/>
        </w:rPr>
        <w:t xml:space="preserve"> The timing of </w:t>
      </w:r>
      <w:r w:rsidR="005C4638" w:rsidRPr="006A74F8">
        <w:rPr>
          <w:lang w:val="en"/>
        </w:rPr>
        <w:t xml:space="preserve">potential </w:t>
      </w:r>
      <w:r w:rsidR="001B1742" w:rsidRPr="006A74F8">
        <w:rPr>
          <w:lang w:val="en"/>
        </w:rPr>
        <w:t xml:space="preserve">changes is outlined in </w:t>
      </w:r>
      <w:hyperlink w:anchor="_Appendix_4:_When" w:history="1">
        <w:r w:rsidR="008E19EA" w:rsidRPr="006A74F8">
          <w:rPr>
            <w:rStyle w:val="Hyperlink"/>
          </w:rPr>
          <w:t xml:space="preserve">Appendix </w:t>
        </w:r>
        <w:r w:rsidR="006D2E15" w:rsidRPr="006A74F8">
          <w:rPr>
            <w:rStyle w:val="Hyperlink"/>
            <w:lang w:val="en"/>
          </w:rPr>
          <w:t>3</w:t>
        </w:r>
      </w:hyperlink>
      <w:r w:rsidR="005C4638" w:rsidRPr="006A74F8">
        <w:rPr>
          <w:lang w:val="en"/>
        </w:rPr>
        <w:t xml:space="preserve">. </w:t>
      </w:r>
    </w:p>
    <w:p w:rsidR="00BE42FA" w:rsidRPr="006A74F8" w:rsidRDefault="00BE42FA" w:rsidP="00BE42FA">
      <w:pPr>
        <w:pStyle w:val="Heading3"/>
        <w:rPr>
          <w:lang w:val="en"/>
        </w:rPr>
      </w:pPr>
      <w:r w:rsidRPr="006A74F8">
        <w:rPr>
          <w:lang w:val="en"/>
        </w:rPr>
        <w:t xml:space="preserve">Option 1: </w:t>
      </w:r>
      <w:r w:rsidR="00E31912" w:rsidRPr="006A74F8">
        <w:rPr>
          <w:lang w:val="en"/>
        </w:rPr>
        <w:t>Streamline with minimal c</w:t>
      </w:r>
      <w:r w:rsidRPr="006A74F8">
        <w:rPr>
          <w:lang w:val="en"/>
        </w:rPr>
        <w:t>hange</w:t>
      </w:r>
    </w:p>
    <w:p w:rsidR="002C5069" w:rsidRPr="006A74F8" w:rsidRDefault="002C5069" w:rsidP="009D744A">
      <w:pPr>
        <w:rPr>
          <w:lang w:val="en-US"/>
        </w:rPr>
      </w:pPr>
      <w:r w:rsidRPr="006A74F8">
        <w:rPr>
          <w:b/>
          <w:lang w:val="en-US"/>
        </w:rPr>
        <w:t>Option 1</w:t>
      </w:r>
      <w:r w:rsidRPr="006A74F8">
        <w:rPr>
          <w:lang w:val="en-US"/>
        </w:rPr>
        <w:t xml:space="preserve"> streamlines the legislation and reduce</w:t>
      </w:r>
      <w:r w:rsidR="005C4638" w:rsidRPr="006A74F8">
        <w:rPr>
          <w:lang w:val="en-US"/>
        </w:rPr>
        <w:t>s</w:t>
      </w:r>
      <w:r w:rsidRPr="006A74F8">
        <w:rPr>
          <w:lang w:val="en-US"/>
        </w:rPr>
        <w:t xml:space="preserve"> prescription by taking a principles-based approach, whilst largely maintaining the current scope. Option 1 involves:</w:t>
      </w:r>
    </w:p>
    <w:p w:rsidR="002C5069" w:rsidRPr="006A74F8" w:rsidRDefault="00D97D4B" w:rsidP="003A15AF">
      <w:pPr>
        <w:pStyle w:val="ListParagraph"/>
        <w:numPr>
          <w:ilvl w:val="0"/>
          <w:numId w:val="115"/>
        </w:numPr>
        <w:rPr>
          <w:lang w:val="en-US"/>
        </w:rPr>
      </w:pPr>
      <w:r w:rsidRPr="006A74F8">
        <w:rPr>
          <w:lang w:val="en-US"/>
        </w:rPr>
        <w:t>u</w:t>
      </w:r>
      <w:r w:rsidR="002C5069" w:rsidRPr="006A74F8">
        <w:rPr>
          <w:lang w:val="en-US"/>
        </w:rPr>
        <w:t>pdating the existing legislation to align with present day practice and address current needs of industry, but with limited future support for industry and innovation needs</w:t>
      </w:r>
      <w:r w:rsidR="003B74CB" w:rsidRPr="006A74F8">
        <w:rPr>
          <w:lang w:val="en-US"/>
        </w:rPr>
        <w:t>.</w:t>
      </w:r>
    </w:p>
    <w:p w:rsidR="00F602AB" w:rsidRPr="006A74F8" w:rsidRDefault="00F602AB" w:rsidP="003A15AF">
      <w:pPr>
        <w:pStyle w:val="ListParagraph"/>
        <w:numPr>
          <w:ilvl w:val="0"/>
          <w:numId w:val="115"/>
        </w:numPr>
        <w:rPr>
          <w:lang w:val="en-US"/>
        </w:rPr>
      </w:pPr>
      <w:r w:rsidRPr="006A74F8">
        <w:rPr>
          <w:lang w:val="en-US"/>
        </w:rPr>
        <w:t>streamlining and simplifying the legislation to have less prescription and more principles-based requirements</w:t>
      </w:r>
    </w:p>
    <w:p w:rsidR="005C4638" w:rsidRPr="006A74F8" w:rsidRDefault="005C4638" w:rsidP="003A15AF">
      <w:pPr>
        <w:pStyle w:val="ListParagraph"/>
        <w:numPr>
          <w:ilvl w:val="1"/>
          <w:numId w:val="115"/>
        </w:numPr>
        <w:rPr>
          <w:lang w:val="en-US"/>
        </w:rPr>
      </w:pPr>
      <w:r w:rsidRPr="006A74F8">
        <w:rPr>
          <w:i/>
          <w:lang w:val="en-US"/>
        </w:rPr>
        <w:t>Example: simplifying requir</w:t>
      </w:r>
      <w:r w:rsidR="003B74CB" w:rsidRPr="006A74F8">
        <w:rPr>
          <w:i/>
          <w:lang w:val="en-US"/>
        </w:rPr>
        <w:t>ements for packaged products.</w:t>
      </w:r>
    </w:p>
    <w:p w:rsidR="005C4638" w:rsidRPr="006A74F8" w:rsidRDefault="00D97D4B" w:rsidP="003A15AF">
      <w:pPr>
        <w:pStyle w:val="ListParagraph"/>
        <w:numPr>
          <w:ilvl w:val="0"/>
          <w:numId w:val="115"/>
        </w:numPr>
        <w:rPr>
          <w:lang w:val="en-US"/>
        </w:rPr>
      </w:pPr>
      <w:r w:rsidRPr="006A74F8">
        <w:rPr>
          <w:lang w:val="en-US"/>
        </w:rPr>
        <w:t>f</w:t>
      </w:r>
      <w:r w:rsidR="002C5069" w:rsidRPr="006A74F8">
        <w:rPr>
          <w:lang w:val="en-US"/>
        </w:rPr>
        <w:t>ixing key issues that have arisen over time</w:t>
      </w:r>
      <w:r w:rsidR="005C4638" w:rsidRPr="006A74F8">
        <w:rPr>
          <w:lang w:val="en-US"/>
        </w:rPr>
        <w:t xml:space="preserve">, but with limited </w:t>
      </w:r>
      <w:r w:rsidR="002C5069" w:rsidRPr="006A74F8">
        <w:rPr>
          <w:lang w:val="en-US"/>
        </w:rPr>
        <w:t>change in scope and limited flexibility to adapt to future changes</w:t>
      </w:r>
      <w:r w:rsidR="003B74CB" w:rsidRPr="006A74F8">
        <w:rPr>
          <w:lang w:val="en-US"/>
        </w:rPr>
        <w:t>.</w:t>
      </w:r>
    </w:p>
    <w:p w:rsidR="002C5069" w:rsidRPr="006A74F8" w:rsidRDefault="00D97D4B" w:rsidP="003A15AF">
      <w:pPr>
        <w:pStyle w:val="ListParagraph"/>
        <w:numPr>
          <w:ilvl w:val="0"/>
          <w:numId w:val="115"/>
        </w:numPr>
        <w:rPr>
          <w:lang w:val="en-US"/>
        </w:rPr>
      </w:pPr>
      <w:r w:rsidRPr="006A74F8">
        <w:rPr>
          <w:lang w:val="en-US"/>
        </w:rPr>
        <w:t>m</w:t>
      </w:r>
      <w:r w:rsidR="005C4638" w:rsidRPr="006A74F8">
        <w:rPr>
          <w:lang w:val="en-US"/>
        </w:rPr>
        <w:t>aintaining e</w:t>
      </w:r>
      <w:r w:rsidR="002C5069" w:rsidRPr="006A74F8">
        <w:rPr>
          <w:lang w:val="en-US"/>
        </w:rPr>
        <w:t>xisting exemptions</w:t>
      </w:r>
      <w:r w:rsidR="003B74CB" w:rsidRPr="006A74F8">
        <w:rPr>
          <w:lang w:val="en-US"/>
        </w:rPr>
        <w:t>.</w:t>
      </w:r>
    </w:p>
    <w:p w:rsidR="002C5069" w:rsidRPr="006A74F8" w:rsidRDefault="00D97D4B" w:rsidP="003A15AF">
      <w:pPr>
        <w:pStyle w:val="ListParagraph"/>
        <w:numPr>
          <w:ilvl w:val="0"/>
          <w:numId w:val="115"/>
        </w:numPr>
        <w:rPr>
          <w:lang w:val="en-US"/>
        </w:rPr>
      </w:pPr>
      <w:r w:rsidRPr="006A74F8">
        <w:rPr>
          <w:lang w:val="en-US"/>
        </w:rPr>
        <w:t>a</w:t>
      </w:r>
      <w:r w:rsidR="002C5069" w:rsidRPr="006A74F8">
        <w:rPr>
          <w:lang w:val="en-US"/>
        </w:rPr>
        <w:t>ssisting in short-term economic recovery by providing enhanced confidence for industry to invest in jobs and technology, without enabling future legislative flexibility to pr</w:t>
      </w:r>
      <w:r w:rsidR="003B74CB" w:rsidRPr="006A74F8">
        <w:rPr>
          <w:lang w:val="en-US"/>
        </w:rPr>
        <w:t>operly support long term growth.</w:t>
      </w:r>
    </w:p>
    <w:p w:rsidR="002C5069" w:rsidRPr="006A74F8" w:rsidRDefault="00D97D4B" w:rsidP="003A15AF">
      <w:pPr>
        <w:pStyle w:val="ListParagraph"/>
        <w:numPr>
          <w:ilvl w:val="0"/>
          <w:numId w:val="115"/>
        </w:numPr>
        <w:rPr>
          <w:lang w:val="en-US"/>
        </w:rPr>
      </w:pPr>
      <w:r w:rsidRPr="006A74F8">
        <w:rPr>
          <w:lang w:val="en-US"/>
        </w:rPr>
        <w:t>i</w:t>
      </w:r>
      <w:r w:rsidR="005C4638" w:rsidRPr="006A74F8">
        <w:rPr>
          <w:lang w:val="en-US"/>
        </w:rPr>
        <w:t>ssuing guidance material to assist industry.</w:t>
      </w:r>
    </w:p>
    <w:p w:rsidR="002C5069" w:rsidRPr="006A74F8" w:rsidRDefault="00E31912" w:rsidP="002C5069">
      <w:pPr>
        <w:pStyle w:val="Heading3"/>
        <w:rPr>
          <w:lang w:val="en"/>
        </w:rPr>
      </w:pPr>
      <w:r w:rsidRPr="006A74F8">
        <w:rPr>
          <w:lang w:val="en"/>
        </w:rPr>
        <w:t>Option 2: Flexible and future f</w:t>
      </w:r>
      <w:r w:rsidR="002C5069" w:rsidRPr="006A74F8">
        <w:rPr>
          <w:lang w:val="en"/>
        </w:rPr>
        <w:t>ocused</w:t>
      </w:r>
    </w:p>
    <w:p w:rsidR="002C5069" w:rsidRPr="006A74F8" w:rsidRDefault="002C5069" w:rsidP="009D744A">
      <w:pPr>
        <w:rPr>
          <w:lang w:val="en-US"/>
        </w:rPr>
      </w:pPr>
      <w:r w:rsidRPr="006A74F8">
        <w:rPr>
          <w:b/>
          <w:lang w:val="en"/>
        </w:rPr>
        <w:t>Option 2</w:t>
      </w:r>
      <w:r w:rsidRPr="006A74F8">
        <w:rPr>
          <w:lang w:val="en"/>
        </w:rPr>
        <w:t xml:space="preserve"> </w:t>
      </w:r>
      <w:r w:rsidRPr="006A74F8">
        <w:rPr>
          <w:lang w:val="en-US"/>
        </w:rPr>
        <w:t xml:space="preserve">includes the streamlining under </w:t>
      </w:r>
      <w:r w:rsidR="00CE3AA7" w:rsidRPr="006A74F8">
        <w:rPr>
          <w:lang w:val="en-US"/>
        </w:rPr>
        <w:t>o</w:t>
      </w:r>
      <w:r w:rsidRPr="006A74F8">
        <w:rPr>
          <w:lang w:val="en-US"/>
        </w:rPr>
        <w:t xml:space="preserve">ption 1, and further reduces regulatory burden by significantly increasing flexibility and support for innovation. Key enhancements under </w:t>
      </w:r>
      <w:r w:rsidR="00CE3AA7" w:rsidRPr="006A74F8">
        <w:rPr>
          <w:lang w:val="en-US"/>
        </w:rPr>
        <w:t>o</w:t>
      </w:r>
      <w:r w:rsidRPr="006A74F8">
        <w:rPr>
          <w:lang w:val="en-US"/>
        </w:rPr>
        <w:t>ption 2 include:</w:t>
      </w:r>
    </w:p>
    <w:p w:rsidR="002C5069" w:rsidRPr="006A74F8" w:rsidRDefault="00D97D4B" w:rsidP="003A15AF">
      <w:pPr>
        <w:pStyle w:val="ListParagraph"/>
        <w:numPr>
          <w:ilvl w:val="0"/>
          <w:numId w:val="116"/>
        </w:numPr>
        <w:rPr>
          <w:lang w:val="en-US"/>
        </w:rPr>
      </w:pPr>
      <w:r w:rsidRPr="006A74F8">
        <w:rPr>
          <w:lang w:val="en-US"/>
        </w:rPr>
        <w:t>i</w:t>
      </w:r>
      <w:r w:rsidR="002C5069" w:rsidRPr="006A74F8">
        <w:rPr>
          <w:lang w:val="en-US"/>
        </w:rPr>
        <w:t xml:space="preserve">n addition to the simplification and streamlining under option 1, introducing extra flexibility to adapt to future needs. </w:t>
      </w:r>
    </w:p>
    <w:p w:rsidR="002C5069" w:rsidRPr="006A74F8" w:rsidRDefault="00D97D4B" w:rsidP="003A15AF">
      <w:pPr>
        <w:pStyle w:val="ListParagraph"/>
        <w:numPr>
          <w:ilvl w:val="0"/>
          <w:numId w:val="116"/>
        </w:numPr>
        <w:rPr>
          <w:lang w:val="en-US"/>
        </w:rPr>
      </w:pPr>
      <w:r w:rsidRPr="006A74F8">
        <w:rPr>
          <w:lang w:val="en-US"/>
        </w:rPr>
        <w:lastRenderedPageBreak/>
        <w:t>a</w:t>
      </w:r>
      <w:r w:rsidR="002C5069" w:rsidRPr="006A74F8">
        <w:rPr>
          <w:lang w:val="en-US"/>
        </w:rPr>
        <w:t xml:space="preserve"> slight extension in scope to better underpin trade and support innovation. Option 2 enables fit for purpose regulation of measurement </w:t>
      </w:r>
      <w:r w:rsidR="00160AF6" w:rsidRPr="006A74F8">
        <w:rPr>
          <w:lang w:val="en-US"/>
        </w:rPr>
        <w:t xml:space="preserve">for trade </w:t>
      </w:r>
      <w:r w:rsidR="002C5069" w:rsidRPr="006A74F8">
        <w:rPr>
          <w:lang w:val="en-US"/>
        </w:rPr>
        <w:t xml:space="preserve">and the flexibility to adapt to emerging measurement issues, changing technologies and business practices.  </w:t>
      </w:r>
    </w:p>
    <w:p w:rsidR="002C5069" w:rsidRPr="006A74F8" w:rsidRDefault="00D97D4B" w:rsidP="003A15AF">
      <w:pPr>
        <w:pStyle w:val="ListParagraph"/>
        <w:numPr>
          <w:ilvl w:val="0"/>
          <w:numId w:val="116"/>
        </w:numPr>
        <w:rPr>
          <w:lang w:val="en-US"/>
        </w:rPr>
      </w:pPr>
      <w:r w:rsidRPr="006A74F8">
        <w:rPr>
          <w:lang w:val="en-US"/>
        </w:rPr>
        <w:t>m</w:t>
      </w:r>
      <w:r w:rsidR="002C5069" w:rsidRPr="006A74F8">
        <w:rPr>
          <w:lang w:val="en-US"/>
        </w:rPr>
        <w:t xml:space="preserve">aintaining exemptions but transferring them from the </w:t>
      </w:r>
      <w:r w:rsidR="00682D1C" w:rsidRPr="006A74F8" w:rsidDel="006F5847">
        <w:rPr>
          <w:lang w:val="en-US"/>
        </w:rPr>
        <w:t>A</w:t>
      </w:r>
      <w:r w:rsidR="002C5069" w:rsidRPr="006A74F8" w:rsidDel="006F5847">
        <w:rPr>
          <w:lang w:val="en-US"/>
        </w:rPr>
        <w:t xml:space="preserve">ct </w:t>
      </w:r>
      <w:r w:rsidR="002C5069" w:rsidRPr="006A74F8">
        <w:rPr>
          <w:lang w:val="en-US"/>
        </w:rPr>
        <w:t xml:space="preserve">to the regulations, simplifying future review.  </w:t>
      </w:r>
    </w:p>
    <w:p w:rsidR="002C5069" w:rsidRPr="006A74F8" w:rsidRDefault="00D97D4B" w:rsidP="003A15AF">
      <w:pPr>
        <w:pStyle w:val="ListParagraph"/>
        <w:numPr>
          <w:ilvl w:val="0"/>
          <w:numId w:val="116"/>
        </w:numPr>
        <w:rPr>
          <w:lang w:val="en-US"/>
        </w:rPr>
      </w:pPr>
      <w:r w:rsidRPr="006A74F8">
        <w:rPr>
          <w:lang w:val="en-US"/>
        </w:rPr>
        <w:t>m</w:t>
      </w:r>
      <w:r w:rsidR="002C5069" w:rsidRPr="006A74F8">
        <w:rPr>
          <w:lang w:val="en-US"/>
        </w:rPr>
        <w:t>odernising the primary legislation to become largely principles</w:t>
      </w:r>
      <w:r w:rsidR="002C5069" w:rsidRPr="006A74F8">
        <w:rPr>
          <w:lang w:val="en-US"/>
        </w:rPr>
        <w:noBreakHyphen/>
        <w:t xml:space="preserve">based, and providing the appropriate </w:t>
      </w:r>
      <w:r w:rsidR="00CD1D12" w:rsidRPr="006A74F8">
        <w:rPr>
          <w:lang w:val="en-US"/>
        </w:rPr>
        <w:t>mechanisms</w:t>
      </w:r>
      <w:r w:rsidR="002C5069" w:rsidRPr="006A74F8">
        <w:rPr>
          <w:lang w:val="en-US"/>
        </w:rPr>
        <w:t xml:space="preserve"> that enable adjustment of key regulatory settings over time.  </w:t>
      </w:r>
    </w:p>
    <w:p w:rsidR="002C5069" w:rsidRPr="006A74F8" w:rsidRDefault="002C5069" w:rsidP="003A15AF">
      <w:pPr>
        <w:pStyle w:val="ListParagraph"/>
        <w:numPr>
          <w:ilvl w:val="1"/>
          <w:numId w:val="116"/>
        </w:numPr>
        <w:rPr>
          <w:lang w:val="en-US"/>
        </w:rPr>
      </w:pPr>
      <w:r w:rsidRPr="006A74F8">
        <w:rPr>
          <w:i/>
          <w:lang w:val="en-US"/>
        </w:rPr>
        <w:t>Example: adjusting degree of regulation for different measuring instruments based on design, use and risk.</w:t>
      </w:r>
    </w:p>
    <w:p w:rsidR="00160AF6" w:rsidRPr="006A74F8" w:rsidRDefault="00D97D4B" w:rsidP="003A15AF">
      <w:pPr>
        <w:pStyle w:val="ListParagraph"/>
        <w:numPr>
          <w:ilvl w:val="0"/>
          <w:numId w:val="116"/>
        </w:numPr>
        <w:rPr>
          <w:lang w:val="en"/>
        </w:rPr>
      </w:pPr>
      <w:r w:rsidRPr="006A74F8">
        <w:t>s</w:t>
      </w:r>
      <w:r w:rsidR="00160AF6" w:rsidRPr="006A74F8">
        <w:t xml:space="preserve">upplementing principles-based regulation with guidance material. </w:t>
      </w:r>
    </w:p>
    <w:p w:rsidR="002C5069" w:rsidRPr="006A74F8" w:rsidRDefault="00ED2943" w:rsidP="00ED2943">
      <w:pPr>
        <w:pStyle w:val="ListParagraph"/>
        <w:numPr>
          <w:ilvl w:val="0"/>
          <w:numId w:val="116"/>
        </w:numPr>
        <w:rPr>
          <w:lang w:val="en"/>
        </w:rPr>
      </w:pPr>
      <w:r w:rsidRPr="00ED2943">
        <w:t>providing greater support for innovation and future measurement needs to help grow industry and take advantage of technology, which are vital to Australia’s economic recovery and long term competitiveness</w:t>
      </w:r>
      <w:r w:rsidR="002C5069" w:rsidRPr="006A74F8">
        <w:t>.</w:t>
      </w:r>
    </w:p>
    <w:p w:rsidR="00F66540" w:rsidRPr="006A74F8" w:rsidRDefault="00F66540" w:rsidP="00F66540">
      <w:pPr>
        <w:pStyle w:val="ListParagraph"/>
        <w:numPr>
          <w:ilvl w:val="0"/>
          <w:numId w:val="116"/>
        </w:numPr>
        <w:rPr>
          <w:lang w:val="en"/>
        </w:rPr>
      </w:pPr>
      <w:r w:rsidRPr="006A74F8">
        <w:rPr>
          <w:lang w:val="en-US"/>
        </w:rPr>
        <w:t>positioning Australia to respond to future measurement needs through</w:t>
      </w:r>
      <w:r w:rsidR="00D6763C" w:rsidRPr="006A74F8">
        <w:rPr>
          <w:lang w:val="en-US"/>
        </w:rPr>
        <w:t xml:space="preserve"> clear</w:t>
      </w:r>
      <w:r w:rsidRPr="006A74F8">
        <w:rPr>
          <w:lang w:val="en-US"/>
        </w:rPr>
        <w:t xml:space="preserve"> authority to </w:t>
      </w:r>
      <w:r w:rsidR="00D6763C" w:rsidRPr="006A74F8">
        <w:rPr>
          <w:lang w:val="en-US"/>
        </w:rPr>
        <w:t>u</w:t>
      </w:r>
      <w:r w:rsidR="00DD6B3A" w:rsidRPr="006A74F8">
        <w:rPr>
          <w:lang w:val="en-US"/>
        </w:rPr>
        <w:t>n</w:t>
      </w:r>
      <w:r w:rsidR="00D6763C" w:rsidRPr="006A74F8">
        <w:rPr>
          <w:lang w:val="en-US"/>
        </w:rPr>
        <w:t>derpin</w:t>
      </w:r>
      <w:r w:rsidRPr="006A74F8">
        <w:rPr>
          <w:lang w:val="en-US"/>
        </w:rPr>
        <w:t xml:space="preserve"> accurate and reliable measurement in Australia, enabling a greater ability to provide expertise and confidence to industry and government.</w:t>
      </w:r>
    </w:p>
    <w:p w:rsidR="002C5069" w:rsidRPr="006A74F8" w:rsidRDefault="00E31912" w:rsidP="002C5069">
      <w:pPr>
        <w:pStyle w:val="Heading3"/>
        <w:rPr>
          <w:lang w:val="en"/>
        </w:rPr>
      </w:pPr>
      <w:r w:rsidRPr="006A74F8">
        <w:rPr>
          <w:lang w:val="en"/>
        </w:rPr>
        <w:t>Option 3: Flexible with additional r</w:t>
      </w:r>
      <w:r w:rsidR="002C5069" w:rsidRPr="006A74F8">
        <w:rPr>
          <w:lang w:val="en"/>
        </w:rPr>
        <w:t xml:space="preserve">egulatory </w:t>
      </w:r>
      <w:r w:rsidRPr="006A74F8">
        <w:rPr>
          <w:lang w:val="en"/>
        </w:rPr>
        <w:t>p</w:t>
      </w:r>
      <w:r w:rsidR="002C5069" w:rsidRPr="006A74F8">
        <w:rPr>
          <w:lang w:val="en"/>
        </w:rPr>
        <w:t>owers</w:t>
      </w:r>
    </w:p>
    <w:p w:rsidR="002C5069" w:rsidRPr="006A74F8" w:rsidRDefault="002C5069" w:rsidP="009D744A">
      <w:pPr>
        <w:rPr>
          <w:lang w:val="en-US"/>
        </w:rPr>
      </w:pPr>
      <w:r w:rsidRPr="006A74F8">
        <w:rPr>
          <w:b/>
          <w:lang w:val="en"/>
        </w:rPr>
        <w:t>Option 3</w:t>
      </w:r>
      <w:r w:rsidRPr="006A74F8">
        <w:rPr>
          <w:lang w:val="en"/>
        </w:rPr>
        <w:t xml:space="preserve"> </w:t>
      </w:r>
      <w:r w:rsidRPr="006A74F8">
        <w:rPr>
          <w:lang w:val="en-US"/>
        </w:rPr>
        <w:t xml:space="preserve">extends </w:t>
      </w:r>
      <w:r w:rsidR="009F0892" w:rsidRPr="006A74F8">
        <w:rPr>
          <w:lang w:val="en-US"/>
        </w:rPr>
        <w:t>o</w:t>
      </w:r>
      <w:r w:rsidRPr="006A74F8">
        <w:rPr>
          <w:lang w:val="en-US"/>
        </w:rPr>
        <w:t>ption 2 by providing appropriate powers to regulate measurements relied upon by other policy owners</w:t>
      </w:r>
      <w:r w:rsidR="0078359E" w:rsidRPr="006A74F8">
        <w:rPr>
          <w:lang w:val="en-US"/>
        </w:rPr>
        <w:t>,</w:t>
      </w:r>
      <w:r w:rsidR="00160AF6" w:rsidRPr="006A74F8">
        <w:rPr>
          <w:lang w:val="en-US"/>
        </w:rPr>
        <w:t xml:space="preserve"> beyond a primary focus on trade under options 1 and 2</w:t>
      </w:r>
      <w:r w:rsidRPr="006A74F8" w:rsidDel="00160AF6">
        <w:rPr>
          <w:lang w:val="en-US"/>
        </w:rPr>
        <w:t>.</w:t>
      </w:r>
      <w:r w:rsidRPr="006A74F8">
        <w:rPr>
          <w:lang w:val="en-US"/>
        </w:rPr>
        <w:t xml:space="preserve"> </w:t>
      </w:r>
      <w:r w:rsidR="006E4714" w:rsidRPr="006A74F8">
        <w:rPr>
          <w:lang w:val="en-US"/>
        </w:rPr>
        <w:t>T</w:t>
      </w:r>
      <w:r w:rsidR="00F419EE" w:rsidRPr="006A74F8">
        <w:rPr>
          <w:lang w:val="en-US"/>
        </w:rPr>
        <w:t xml:space="preserve">he intention </w:t>
      </w:r>
      <w:r w:rsidR="00B06AB9" w:rsidRPr="006A74F8">
        <w:rPr>
          <w:lang w:val="en-US"/>
        </w:rPr>
        <w:t xml:space="preserve">of option 3 </w:t>
      </w:r>
      <w:r w:rsidR="00F419EE" w:rsidRPr="006A74F8">
        <w:rPr>
          <w:lang w:val="en-US"/>
        </w:rPr>
        <w:t xml:space="preserve">is not to provide inspectors with additional powers, rather </w:t>
      </w:r>
      <w:r w:rsidR="007D011E" w:rsidRPr="006A74F8">
        <w:rPr>
          <w:lang w:val="en-US"/>
        </w:rPr>
        <w:t xml:space="preserve">it </w:t>
      </w:r>
      <w:r w:rsidR="008503B5" w:rsidRPr="006A74F8">
        <w:rPr>
          <w:lang w:val="en-US"/>
        </w:rPr>
        <w:t>would allow</w:t>
      </w:r>
      <w:r w:rsidR="007D011E" w:rsidRPr="006A74F8">
        <w:rPr>
          <w:lang w:val="en-US"/>
        </w:rPr>
        <w:t xml:space="preserve"> expansion of existing</w:t>
      </w:r>
      <w:r w:rsidR="00F419EE" w:rsidRPr="006A74F8">
        <w:rPr>
          <w:lang w:val="en-US"/>
        </w:rPr>
        <w:t xml:space="preserve"> regulatory scope. </w:t>
      </w:r>
      <w:r w:rsidRPr="006A74F8">
        <w:rPr>
          <w:lang w:val="en-US"/>
        </w:rPr>
        <w:t xml:space="preserve">Key enhancements under </w:t>
      </w:r>
      <w:r w:rsidR="00CE3AA7" w:rsidRPr="006A74F8">
        <w:rPr>
          <w:lang w:val="en-US"/>
        </w:rPr>
        <w:t>o</w:t>
      </w:r>
      <w:r w:rsidRPr="006A74F8">
        <w:rPr>
          <w:lang w:val="en-US"/>
        </w:rPr>
        <w:t>ption 3 include:</w:t>
      </w:r>
    </w:p>
    <w:p w:rsidR="002C5069" w:rsidRPr="006A74F8" w:rsidRDefault="00D97D4B" w:rsidP="00C812C5">
      <w:pPr>
        <w:pStyle w:val="ListParagraph"/>
        <w:numPr>
          <w:ilvl w:val="0"/>
          <w:numId w:val="117"/>
        </w:numPr>
        <w:rPr>
          <w:lang w:val="en-US"/>
        </w:rPr>
      </w:pPr>
      <w:r w:rsidRPr="006A74F8">
        <w:rPr>
          <w:lang w:val="en-US"/>
        </w:rPr>
        <w:t>t</w:t>
      </w:r>
      <w:r w:rsidR="002C5069" w:rsidRPr="006A74F8">
        <w:rPr>
          <w:lang w:val="en-US"/>
        </w:rPr>
        <w:t>he flexibility gained under option 2, with an expansion of scope providing the additional power to</w:t>
      </w:r>
      <w:r w:rsidR="007A69E7" w:rsidRPr="006A74F8">
        <w:rPr>
          <w:lang w:val="en-US"/>
        </w:rPr>
        <w:t xml:space="preserve"> </w:t>
      </w:r>
      <w:r w:rsidR="002C5069" w:rsidRPr="006A74F8">
        <w:rPr>
          <w:lang w:val="en-US"/>
        </w:rPr>
        <w:t>di</w:t>
      </w:r>
      <w:r w:rsidR="00A40103" w:rsidRPr="006A74F8">
        <w:rPr>
          <w:lang w:val="en-US"/>
        </w:rPr>
        <w:t xml:space="preserve">rectly regulate </w:t>
      </w:r>
      <w:r w:rsidR="00ED2943">
        <w:rPr>
          <w:lang w:val="en-US"/>
        </w:rPr>
        <w:t xml:space="preserve">a wider range of </w:t>
      </w:r>
      <w:r w:rsidR="00A40103" w:rsidRPr="006A74F8">
        <w:rPr>
          <w:lang w:val="en-US"/>
        </w:rPr>
        <w:t>measurement-</w:t>
      </w:r>
      <w:r w:rsidR="002C5069" w:rsidRPr="006A74F8">
        <w:rPr>
          <w:lang w:val="en-US"/>
        </w:rPr>
        <w:t>based activity</w:t>
      </w:r>
      <w:r w:rsidR="007A69E7" w:rsidRPr="006A74F8">
        <w:rPr>
          <w:lang w:val="en-US"/>
        </w:rPr>
        <w:t xml:space="preserve"> </w:t>
      </w:r>
      <w:r w:rsidR="002C5069" w:rsidRPr="006A74F8">
        <w:rPr>
          <w:lang w:val="en-US"/>
        </w:rPr>
        <w:t xml:space="preserve">(including measurements relied on by other regulators).  </w:t>
      </w:r>
    </w:p>
    <w:p w:rsidR="002C5069" w:rsidRPr="006A74F8" w:rsidRDefault="002C5069" w:rsidP="00C812C5">
      <w:pPr>
        <w:pStyle w:val="ListParagraph"/>
        <w:numPr>
          <w:ilvl w:val="1"/>
          <w:numId w:val="117"/>
        </w:numPr>
        <w:rPr>
          <w:rFonts w:cstheme="minorHAnsi"/>
          <w:i/>
          <w:lang w:val="en-US"/>
        </w:rPr>
      </w:pPr>
      <w:r w:rsidRPr="006A74F8">
        <w:rPr>
          <w:rFonts w:cstheme="minorHAnsi"/>
          <w:i/>
          <w:lang w:val="en-US"/>
        </w:rPr>
        <w:t xml:space="preserve">Example: </w:t>
      </w:r>
      <w:r w:rsidRPr="006A74F8">
        <w:rPr>
          <w:rFonts w:cstheme="minorHAnsi"/>
          <w:i/>
        </w:rPr>
        <w:t xml:space="preserve">regulatory frameworks for food, health and the environment rely on measurements to inform key requirements. Where appropriate, measurement law could be extended to </w:t>
      </w:r>
      <w:r w:rsidR="00160AF6" w:rsidRPr="006A74F8">
        <w:rPr>
          <w:rFonts w:cstheme="minorHAnsi"/>
          <w:i/>
        </w:rPr>
        <w:t>support confidence in these areas</w:t>
      </w:r>
      <w:r w:rsidRPr="006A74F8">
        <w:rPr>
          <w:rFonts w:cstheme="minorHAnsi"/>
          <w:i/>
        </w:rPr>
        <w:t>, in consultation and agreement with the responsible policy owners.</w:t>
      </w:r>
    </w:p>
    <w:p w:rsidR="002C5069" w:rsidRPr="006A74F8" w:rsidRDefault="00D97D4B" w:rsidP="00C812C5">
      <w:pPr>
        <w:pStyle w:val="ListParagraph"/>
        <w:numPr>
          <w:ilvl w:val="0"/>
          <w:numId w:val="117"/>
        </w:numPr>
        <w:rPr>
          <w:lang w:val="en-US"/>
        </w:rPr>
      </w:pPr>
      <w:r w:rsidRPr="006A74F8">
        <w:rPr>
          <w:lang w:val="en-US"/>
        </w:rPr>
        <w:t>t</w:t>
      </w:r>
      <w:r w:rsidR="002C5069" w:rsidRPr="006A74F8">
        <w:rPr>
          <w:lang w:val="en-US"/>
        </w:rPr>
        <w:t xml:space="preserve">he exercise of powers in policy areas </w:t>
      </w:r>
      <w:r w:rsidR="00160AF6" w:rsidRPr="006A74F8">
        <w:rPr>
          <w:lang w:val="en-US"/>
        </w:rPr>
        <w:t xml:space="preserve">of other portfolios would be in specific areas, </w:t>
      </w:r>
      <w:r w:rsidR="002C5069" w:rsidRPr="006A74F8">
        <w:rPr>
          <w:lang w:val="en-US"/>
        </w:rPr>
        <w:t>either by agreement or unilaterally if warranted (</w:t>
      </w:r>
      <w:r w:rsidR="00160AF6" w:rsidRPr="006A74F8">
        <w:rPr>
          <w:lang w:val="en-US"/>
        </w:rPr>
        <w:t>for example in a crisis).</w:t>
      </w:r>
    </w:p>
    <w:p w:rsidR="002C5069" w:rsidRPr="006A74F8" w:rsidRDefault="00D97D4B" w:rsidP="00C812C5">
      <w:pPr>
        <w:pStyle w:val="ListParagraph"/>
        <w:numPr>
          <w:ilvl w:val="0"/>
          <w:numId w:val="117"/>
        </w:numPr>
        <w:rPr>
          <w:lang w:val="en-US"/>
        </w:rPr>
      </w:pPr>
      <w:r w:rsidRPr="006A74F8">
        <w:rPr>
          <w:lang w:val="en-US"/>
        </w:rPr>
        <w:t>t</w:t>
      </w:r>
      <w:r w:rsidR="002C5069" w:rsidRPr="006A74F8">
        <w:rPr>
          <w:lang w:val="en-US"/>
        </w:rPr>
        <w:t>he reduced regulatory impact under option 2, with an abil</w:t>
      </w:r>
      <w:r w:rsidR="00A40103" w:rsidRPr="006A74F8">
        <w:rPr>
          <w:lang w:val="en-US"/>
        </w:rPr>
        <w:t>ity to regulate all measurement-</w:t>
      </w:r>
      <w:r w:rsidR="002C5069" w:rsidRPr="006A74F8">
        <w:rPr>
          <w:lang w:val="en-US"/>
        </w:rPr>
        <w:t xml:space="preserve">based activity in a collaborative and proportional manner that avoids regulatory duplication where possible. </w:t>
      </w:r>
    </w:p>
    <w:p w:rsidR="00BE42FA" w:rsidRPr="006A74F8" w:rsidRDefault="00D97D4B" w:rsidP="00C812C5">
      <w:pPr>
        <w:pStyle w:val="ListParagraph"/>
        <w:numPr>
          <w:ilvl w:val="0"/>
          <w:numId w:val="117"/>
        </w:numPr>
        <w:rPr>
          <w:lang w:val="en"/>
        </w:rPr>
      </w:pPr>
      <w:r w:rsidRPr="006A74F8">
        <w:rPr>
          <w:lang w:val="en-US"/>
        </w:rPr>
        <w:t>p</w:t>
      </w:r>
      <w:r w:rsidR="002C5069" w:rsidRPr="006A74F8">
        <w:rPr>
          <w:lang w:val="en-US"/>
        </w:rPr>
        <w:t xml:space="preserve">ositioning Australia to respond to future regulatory gaps by supplementing </w:t>
      </w:r>
      <w:r w:rsidR="00160AF6" w:rsidRPr="006A74F8">
        <w:rPr>
          <w:lang w:val="en-US"/>
        </w:rPr>
        <w:t>coverage of other frameworks</w:t>
      </w:r>
      <w:r w:rsidR="002C5069" w:rsidRPr="006A74F8">
        <w:rPr>
          <w:lang w:val="en-US"/>
        </w:rPr>
        <w:t xml:space="preserve"> in relation to measurement</w:t>
      </w:r>
      <w:r w:rsidR="00160AF6" w:rsidRPr="006A74F8">
        <w:rPr>
          <w:lang w:val="en-US"/>
        </w:rPr>
        <w:t>,</w:t>
      </w:r>
      <w:r w:rsidR="002C5069" w:rsidRPr="006A74F8">
        <w:rPr>
          <w:lang w:val="en-US"/>
        </w:rPr>
        <w:t xml:space="preserve"> enabling a greater ability to provide expertise and confidence to industry and government.</w:t>
      </w:r>
    </w:p>
    <w:p w:rsidR="005B624C" w:rsidRPr="006A74F8" w:rsidRDefault="00977F88" w:rsidP="00F970A5">
      <w:pPr>
        <w:pStyle w:val="Heading2"/>
        <w:rPr>
          <w:lang w:val="en"/>
        </w:rPr>
      </w:pPr>
      <w:bookmarkStart w:id="188" w:name="_Toc66435673"/>
      <w:bookmarkStart w:id="189" w:name="_Toc66436462"/>
      <w:bookmarkStart w:id="190" w:name="_Toc66437673"/>
      <w:bookmarkStart w:id="191" w:name="_Toc66439772"/>
      <w:bookmarkStart w:id="192" w:name="_Toc66440012"/>
      <w:bookmarkStart w:id="193" w:name="_Toc66442215"/>
      <w:bookmarkStart w:id="194" w:name="_Toc66451884"/>
      <w:bookmarkStart w:id="195" w:name="_Toc66459160"/>
      <w:bookmarkStart w:id="196" w:name="_Toc66460214"/>
      <w:bookmarkStart w:id="197" w:name="_Toc67305368"/>
      <w:bookmarkStart w:id="198" w:name="_Toc67306281"/>
      <w:bookmarkStart w:id="199" w:name="_Toc67306733"/>
      <w:bookmarkStart w:id="200" w:name="_Toc67313582"/>
      <w:bookmarkStart w:id="201" w:name="_Toc67320775"/>
      <w:bookmarkStart w:id="202" w:name="_Toc67321928"/>
      <w:bookmarkStart w:id="203" w:name="_Toc67324393"/>
      <w:bookmarkStart w:id="204" w:name="_Toc67326554"/>
      <w:bookmarkStart w:id="205" w:name="_Toc67390571"/>
      <w:r w:rsidRPr="006A74F8">
        <w:rPr>
          <w:lang w:val="en"/>
        </w:rPr>
        <w:t xml:space="preserve">Policy </w:t>
      </w:r>
      <w:r w:rsidR="00E31912" w:rsidRPr="006A74F8">
        <w:rPr>
          <w:lang w:val="en"/>
        </w:rPr>
        <w:t>analysis of reform o</w:t>
      </w:r>
      <w:r w:rsidR="00B16A6D" w:rsidRPr="006A74F8">
        <w:rPr>
          <w:lang w:val="en"/>
        </w:rPr>
        <w:t>ptions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FE501C" w:rsidRPr="006A74F8" w:rsidRDefault="00AD08D7" w:rsidP="0039740D">
      <w:pPr>
        <w:keepNext/>
      </w:pPr>
      <w:r w:rsidRPr="006A74F8">
        <w:rPr>
          <w:lang w:val="en"/>
        </w:rPr>
        <w:t xml:space="preserve">A detailed analysis of </w:t>
      </w:r>
      <w:r w:rsidR="00FE501C" w:rsidRPr="006A74F8">
        <w:rPr>
          <w:lang w:val="en"/>
        </w:rPr>
        <w:t xml:space="preserve">how </w:t>
      </w:r>
      <w:r w:rsidRPr="006A74F8">
        <w:rPr>
          <w:lang w:val="en"/>
        </w:rPr>
        <w:t xml:space="preserve">each option </w:t>
      </w:r>
      <w:r w:rsidR="00FE501C" w:rsidRPr="006A74F8">
        <w:rPr>
          <w:lang w:val="en"/>
        </w:rPr>
        <w:t xml:space="preserve">meets the policy objectives and principles </w:t>
      </w:r>
      <w:r w:rsidR="00CE3AA7" w:rsidRPr="006A74F8">
        <w:rPr>
          <w:lang w:val="en"/>
        </w:rPr>
        <w:t xml:space="preserve">is provided in response to </w:t>
      </w:r>
      <w:hyperlink w:anchor="_RIS_Question_3:" w:history="1">
        <w:r w:rsidR="00CE3AA7" w:rsidRPr="006A74F8">
          <w:rPr>
            <w:rStyle w:val="Hyperlink"/>
            <w:lang w:val="en"/>
          </w:rPr>
          <w:t xml:space="preserve">RIS Question </w:t>
        </w:r>
        <w:r w:rsidR="00FE501C" w:rsidRPr="006A74F8">
          <w:rPr>
            <w:rStyle w:val="Hyperlink"/>
            <w:lang w:val="en"/>
          </w:rPr>
          <w:t>3</w:t>
        </w:r>
      </w:hyperlink>
      <w:r w:rsidR="00FE501C" w:rsidRPr="006A74F8">
        <w:rPr>
          <w:lang w:val="en"/>
        </w:rPr>
        <w:t xml:space="preserve">. </w:t>
      </w:r>
      <w:r w:rsidR="004C46A9" w:rsidRPr="006A74F8">
        <w:rPr>
          <w:lang w:val="en"/>
        </w:rPr>
        <w:t>This analysis is summarised in Table 2</w:t>
      </w:r>
      <w:r w:rsidR="00FE501C" w:rsidRPr="006A74F8">
        <w:rPr>
          <w:lang w:val="en"/>
        </w:rPr>
        <w:t xml:space="preserve"> below</w:t>
      </w:r>
      <w:r w:rsidRPr="006A74F8">
        <w:rPr>
          <w:lang w:val="en"/>
        </w:rPr>
        <w:t>.</w:t>
      </w:r>
      <w:r w:rsidR="00FE501C" w:rsidRPr="006A74F8">
        <w:t xml:space="preserve"> The degree of alignment between an option and the key policy principle is indicated as low, medium or high via colour coding.</w:t>
      </w:r>
    </w:p>
    <w:tbl>
      <w:tblPr>
        <w:tblpPr w:leftFromText="180" w:rightFromText="180" w:vertAnchor="text" w:horzAnchor="margin" w:tblpY="-2"/>
        <w:tblW w:w="9781" w:type="dxa"/>
        <w:tblLayout w:type="fixed"/>
        <w:tblLook w:val="04A0" w:firstRow="1" w:lastRow="0" w:firstColumn="1" w:lastColumn="0" w:noHBand="0" w:noVBand="1"/>
        <w:tblCaption w:val="Colour key for Table 2 - analysis of reform options"/>
        <w:tblDescription w:val="Alignment with principle as low, medium or high in coloured boxes"/>
      </w:tblPr>
      <w:tblGrid>
        <w:gridCol w:w="3093"/>
        <w:gridCol w:w="608"/>
        <w:gridCol w:w="1368"/>
        <w:gridCol w:w="608"/>
        <w:gridCol w:w="1368"/>
        <w:gridCol w:w="608"/>
        <w:gridCol w:w="1390"/>
        <w:gridCol w:w="738"/>
      </w:tblGrid>
      <w:tr w:rsidR="00FE501C" w:rsidRPr="006A74F8" w:rsidTr="00FE501C">
        <w:trPr>
          <w:cantSplit/>
          <w:trHeight w:val="278"/>
          <w:tblHeader/>
        </w:trPr>
        <w:tc>
          <w:tcPr>
            <w:tcW w:w="3093" w:type="dxa"/>
            <w:shd w:val="clear" w:color="auto" w:fill="auto"/>
            <w:vAlign w:val="bottom"/>
          </w:tcPr>
          <w:p w:rsidR="00FE501C" w:rsidRPr="006A74F8" w:rsidRDefault="00FE501C" w:rsidP="00FE501C">
            <w:pPr>
              <w:rPr>
                <w:rFonts w:ascii="Calibri" w:eastAsia="Calibri" w:hAnsi="Calibri" w:cs="Times New Roman"/>
                <w:b/>
                <w:sz w:val="20"/>
                <w:szCs w:val="20"/>
              </w:rPr>
            </w:pPr>
            <w:r w:rsidRPr="006A74F8">
              <w:rPr>
                <w:rFonts w:ascii="Calibri" w:eastAsia="Calibri" w:hAnsi="Calibri" w:cs="Times New Roman"/>
                <w:b/>
                <w:sz w:val="20"/>
                <w:szCs w:val="20"/>
              </w:rPr>
              <w:t>Alignment with principle:</w:t>
            </w:r>
          </w:p>
        </w:tc>
        <w:tc>
          <w:tcPr>
            <w:tcW w:w="608" w:type="dxa"/>
            <w:vAlign w:val="bottom"/>
          </w:tcPr>
          <w:p w:rsidR="00FE501C" w:rsidRPr="006A74F8" w:rsidRDefault="00FE501C" w:rsidP="00FE501C">
            <w:pPr>
              <w:rPr>
                <w:rFonts w:ascii="Calibri" w:eastAsia="Calibri" w:hAnsi="Calibri" w:cs="Times New Roman"/>
                <w:sz w:val="20"/>
                <w:szCs w:val="20"/>
              </w:rPr>
            </w:pPr>
          </w:p>
        </w:tc>
        <w:tc>
          <w:tcPr>
            <w:tcW w:w="1368" w:type="dxa"/>
            <w:shd w:val="clear" w:color="auto" w:fill="D9E2F3"/>
            <w:vAlign w:val="bottom"/>
          </w:tcPr>
          <w:p w:rsidR="00FE501C" w:rsidRPr="006A74F8" w:rsidRDefault="00FE501C" w:rsidP="00FE501C">
            <w:pPr>
              <w:rPr>
                <w:rFonts w:ascii="Calibri" w:eastAsia="Calibri" w:hAnsi="Calibri" w:cs="Times New Roman"/>
                <w:b/>
                <w:sz w:val="20"/>
                <w:szCs w:val="20"/>
              </w:rPr>
            </w:pPr>
            <w:r w:rsidRPr="006A74F8">
              <w:rPr>
                <w:rFonts w:ascii="Calibri" w:eastAsia="Calibri" w:hAnsi="Calibri" w:cs="Times New Roman"/>
                <w:b/>
                <w:sz w:val="20"/>
                <w:szCs w:val="20"/>
              </w:rPr>
              <w:t>Low</w:t>
            </w:r>
          </w:p>
        </w:tc>
        <w:tc>
          <w:tcPr>
            <w:tcW w:w="608" w:type="dxa"/>
            <w:vAlign w:val="bottom"/>
          </w:tcPr>
          <w:p w:rsidR="00FE501C" w:rsidRPr="006A74F8" w:rsidRDefault="00FE501C" w:rsidP="00FE501C">
            <w:pPr>
              <w:rPr>
                <w:rFonts w:ascii="Calibri" w:eastAsia="Calibri" w:hAnsi="Calibri" w:cs="Times New Roman"/>
                <w:b/>
                <w:sz w:val="20"/>
                <w:szCs w:val="20"/>
              </w:rPr>
            </w:pPr>
          </w:p>
        </w:tc>
        <w:tc>
          <w:tcPr>
            <w:tcW w:w="1368" w:type="dxa"/>
            <w:shd w:val="clear" w:color="auto" w:fill="8EAADB"/>
            <w:vAlign w:val="bottom"/>
          </w:tcPr>
          <w:p w:rsidR="00FE501C" w:rsidRPr="006A74F8" w:rsidRDefault="00FE501C" w:rsidP="00FE501C">
            <w:pPr>
              <w:rPr>
                <w:rFonts w:ascii="Calibri" w:eastAsia="Calibri" w:hAnsi="Calibri" w:cs="Times New Roman"/>
                <w:b/>
                <w:sz w:val="20"/>
                <w:szCs w:val="20"/>
              </w:rPr>
            </w:pPr>
            <w:r w:rsidRPr="006A74F8">
              <w:rPr>
                <w:rFonts w:ascii="Calibri" w:eastAsia="Calibri" w:hAnsi="Calibri" w:cs="Times New Roman"/>
                <w:b/>
                <w:sz w:val="20"/>
                <w:szCs w:val="20"/>
              </w:rPr>
              <w:t>Medium</w:t>
            </w:r>
          </w:p>
        </w:tc>
        <w:tc>
          <w:tcPr>
            <w:tcW w:w="608" w:type="dxa"/>
            <w:vAlign w:val="bottom"/>
          </w:tcPr>
          <w:p w:rsidR="00FE501C" w:rsidRPr="006A74F8" w:rsidRDefault="00FE501C" w:rsidP="00FE501C">
            <w:pPr>
              <w:rPr>
                <w:rFonts w:ascii="Calibri" w:eastAsia="Calibri" w:hAnsi="Calibri" w:cs="Times New Roman"/>
                <w:b/>
                <w:sz w:val="20"/>
                <w:szCs w:val="20"/>
              </w:rPr>
            </w:pPr>
          </w:p>
        </w:tc>
        <w:tc>
          <w:tcPr>
            <w:tcW w:w="1390" w:type="dxa"/>
            <w:shd w:val="clear" w:color="auto" w:fill="1F3864"/>
            <w:vAlign w:val="bottom"/>
          </w:tcPr>
          <w:p w:rsidR="00FE501C" w:rsidRPr="006A74F8" w:rsidRDefault="00FE501C" w:rsidP="00FE501C">
            <w:pPr>
              <w:rPr>
                <w:rFonts w:ascii="Calibri" w:eastAsia="Calibri" w:hAnsi="Calibri" w:cs="Times New Roman"/>
                <w:b/>
                <w:sz w:val="20"/>
                <w:szCs w:val="20"/>
              </w:rPr>
            </w:pPr>
            <w:r w:rsidRPr="006A74F8">
              <w:rPr>
                <w:rFonts w:ascii="Calibri" w:eastAsia="Calibri" w:hAnsi="Calibri" w:cs="Times New Roman"/>
                <w:b/>
                <w:color w:val="FFFFFF" w:themeColor="background1"/>
                <w:sz w:val="20"/>
                <w:szCs w:val="20"/>
              </w:rPr>
              <w:t>High</w:t>
            </w:r>
          </w:p>
        </w:tc>
        <w:tc>
          <w:tcPr>
            <w:tcW w:w="738" w:type="dxa"/>
            <w:vAlign w:val="bottom"/>
          </w:tcPr>
          <w:p w:rsidR="00FE501C" w:rsidRPr="006A74F8" w:rsidRDefault="00FE501C" w:rsidP="00FE501C">
            <w:pPr>
              <w:rPr>
                <w:rFonts w:ascii="Calibri" w:eastAsia="Calibri" w:hAnsi="Calibri" w:cs="Times New Roman"/>
                <w:sz w:val="18"/>
                <w:szCs w:val="18"/>
              </w:rPr>
            </w:pPr>
          </w:p>
        </w:tc>
      </w:tr>
    </w:tbl>
    <w:p w:rsidR="000F0A18" w:rsidRPr="006A74F8" w:rsidRDefault="00FE501C" w:rsidP="00FD7AC9">
      <w:pPr>
        <w:spacing w:before="160"/>
        <w:rPr>
          <w:lang w:val="en"/>
        </w:rPr>
      </w:pPr>
      <w:r w:rsidRPr="006A74F8">
        <w:rPr>
          <w:lang w:val="en"/>
        </w:rPr>
        <w:t xml:space="preserve">From this analysis, </w:t>
      </w:r>
      <w:r w:rsidRPr="006A74F8">
        <w:rPr>
          <w:b/>
          <w:lang w:val="en"/>
        </w:rPr>
        <w:t>o</w:t>
      </w:r>
      <w:r w:rsidR="00AD08D7" w:rsidRPr="006A74F8">
        <w:rPr>
          <w:b/>
          <w:lang w:val="en"/>
        </w:rPr>
        <w:t>ption 2</w:t>
      </w:r>
      <w:r w:rsidR="00AD08D7" w:rsidRPr="006A74F8">
        <w:rPr>
          <w:lang w:val="en"/>
        </w:rPr>
        <w:t xml:space="preserve"> </w:t>
      </w:r>
      <w:r w:rsidR="0086357B" w:rsidRPr="006A74F8">
        <w:rPr>
          <w:lang w:val="en"/>
        </w:rPr>
        <w:t>appears to provide</w:t>
      </w:r>
      <w:r w:rsidR="00AD08D7" w:rsidRPr="006A74F8">
        <w:rPr>
          <w:lang w:val="en"/>
        </w:rPr>
        <w:t xml:space="preserve"> the greatest </w:t>
      </w:r>
      <w:r w:rsidR="004C46A9" w:rsidRPr="006A74F8">
        <w:rPr>
          <w:lang w:val="en"/>
        </w:rPr>
        <w:t>alignment with the policy principles and objectives. It does this</w:t>
      </w:r>
      <w:r w:rsidR="00AD08D7" w:rsidRPr="006A74F8">
        <w:rPr>
          <w:lang w:val="en"/>
        </w:rPr>
        <w:t xml:space="preserve"> by providing a framework that supports industry growth through innovation </w:t>
      </w:r>
      <w:r w:rsidR="00AD08D7" w:rsidRPr="006A74F8">
        <w:rPr>
          <w:lang w:val="en"/>
        </w:rPr>
        <w:lastRenderedPageBreak/>
        <w:t xml:space="preserve">and technological advances that meet </w:t>
      </w:r>
      <w:r w:rsidR="004C46A9" w:rsidRPr="006A74F8">
        <w:rPr>
          <w:lang w:val="en"/>
        </w:rPr>
        <w:t xml:space="preserve">both current and </w:t>
      </w:r>
      <w:r w:rsidR="00AD08D7" w:rsidRPr="006A74F8">
        <w:rPr>
          <w:lang w:val="en"/>
        </w:rPr>
        <w:t>future measurement needs</w:t>
      </w:r>
      <w:r w:rsidR="00160AF6" w:rsidRPr="006A74F8">
        <w:rPr>
          <w:lang w:val="en"/>
        </w:rPr>
        <w:t>,</w:t>
      </w:r>
      <w:r w:rsidR="00406021" w:rsidRPr="006A74F8">
        <w:rPr>
          <w:lang w:val="en"/>
        </w:rPr>
        <w:t xml:space="preserve"> whilst balancing costs and benefits for stakeholders and government.</w:t>
      </w:r>
    </w:p>
    <w:p w:rsidR="00FD58F2" w:rsidRPr="006A74F8" w:rsidRDefault="00FD58F2" w:rsidP="00FD58F2">
      <w:pPr>
        <w:pStyle w:val="Caption"/>
        <w:keepNext/>
      </w:pPr>
      <w:r w:rsidRPr="006A74F8">
        <w:lastRenderedPageBreak/>
        <w:t xml:space="preserve">Table </w:t>
      </w:r>
      <w:r w:rsidR="00480B0E">
        <w:fldChar w:fldCharType="begin"/>
      </w:r>
      <w:r w:rsidR="00480B0E">
        <w:instrText xml:space="preserve"> SEQ Table \* ARABIC </w:instrText>
      </w:r>
      <w:r w:rsidR="00480B0E">
        <w:fldChar w:fldCharType="separate"/>
      </w:r>
      <w:r w:rsidR="0033017F">
        <w:rPr>
          <w:noProof/>
        </w:rPr>
        <w:t>2</w:t>
      </w:r>
      <w:r w:rsidR="00480B0E">
        <w:fldChar w:fldCharType="end"/>
      </w:r>
      <w:r w:rsidRPr="006A74F8">
        <w:t>: Alignment of proposed options with the key policy principles</w:t>
      </w:r>
    </w:p>
    <w:tbl>
      <w:tblPr>
        <w:tblW w:w="10490" w:type="dxa"/>
        <w:tblInd w:w="-7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Table 2: Alignment of proposed options with the key policy principles"/>
        <w:tblDescription w:val="The table shows the alignment of each option with the policy principles. When read left to right, the table provides a statement of the policy principle and then how it meets the status quo, then reform option 1, then reform option 2, then reform option 3. The boxes are coloured to match the description in them that shows whether the alignment is low, medium or high. "/>
      </w:tblPr>
      <w:tblGrid>
        <w:gridCol w:w="425"/>
        <w:gridCol w:w="3686"/>
        <w:gridCol w:w="1560"/>
        <w:gridCol w:w="1559"/>
        <w:gridCol w:w="1701"/>
        <w:gridCol w:w="1559"/>
      </w:tblGrid>
      <w:tr w:rsidR="00633C38" w:rsidRPr="006A74F8" w:rsidTr="00540DCB">
        <w:trPr>
          <w:trHeight w:val="376"/>
          <w:tblHeader/>
        </w:trPr>
        <w:tc>
          <w:tcPr>
            <w:tcW w:w="425" w:type="dxa"/>
            <w:tcBorders>
              <w:top w:val="single" w:sz="12" w:space="0" w:color="auto"/>
              <w:left w:val="nil"/>
              <w:bottom w:val="thickThinSmallGap" w:sz="12" w:space="0" w:color="auto"/>
              <w:right w:val="nil"/>
            </w:tcBorders>
            <w:vAlign w:val="center"/>
          </w:tcPr>
          <w:p w:rsidR="00633C38" w:rsidRPr="006A74F8" w:rsidRDefault="00633C38" w:rsidP="00540DCB">
            <w:pPr>
              <w:rPr>
                <w:rFonts w:ascii="Calibri" w:eastAsia="Calibri" w:hAnsi="Calibri" w:cs="Calibri"/>
                <w:b/>
              </w:rPr>
            </w:pPr>
          </w:p>
        </w:tc>
        <w:tc>
          <w:tcPr>
            <w:tcW w:w="3686" w:type="dxa"/>
            <w:tcBorders>
              <w:top w:val="single" w:sz="12" w:space="0" w:color="auto"/>
              <w:left w:val="nil"/>
              <w:bottom w:val="thickThinSmallGap" w:sz="12" w:space="0" w:color="auto"/>
              <w:right w:val="nil"/>
            </w:tcBorders>
            <w:vAlign w:val="center"/>
          </w:tcPr>
          <w:p w:rsidR="00633C38" w:rsidRPr="006A74F8" w:rsidRDefault="00633C38" w:rsidP="00540DCB">
            <w:pPr>
              <w:spacing w:after="0"/>
              <w:rPr>
                <w:rFonts w:ascii="Calibri" w:eastAsia="Calibri" w:hAnsi="Calibri" w:cs="Calibri"/>
                <w:b/>
                <w:sz w:val="18"/>
              </w:rPr>
            </w:pPr>
            <w:r w:rsidRPr="006A74F8">
              <w:rPr>
                <w:rFonts w:ascii="Calibri" w:eastAsia="Calibri" w:hAnsi="Calibri" w:cs="Calibri"/>
                <w:b/>
                <w:sz w:val="18"/>
              </w:rPr>
              <w:t>Principle</w:t>
            </w:r>
          </w:p>
        </w:tc>
        <w:tc>
          <w:tcPr>
            <w:tcW w:w="1560" w:type="dxa"/>
            <w:tcBorders>
              <w:top w:val="single" w:sz="12" w:space="0" w:color="auto"/>
              <w:left w:val="nil"/>
              <w:bottom w:val="thickThinSmallGap" w:sz="12" w:space="0" w:color="auto"/>
              <w:right w:val="nil"/>
            </w:tcBorders>
            <w:vAlign w:val="center"/>
          </w:tcPr>
          <w:p w:rsidR="00633C38" w:rsidRPr="006A74F8" w:rsidRDefault="00633C38" w:rsidP="00FD7AC9">
            <w:pPr>
              <w:spacing w:before="120" w:after="120"/>
              <w:contextualSpacing/>
              <w:rPr>
                <w:rFonts w:ascii="Calibri" w:eastAsia="Calibri" w:hAnsi="Calibri" w:cs="Calibri"/>
                <w:b/>
                <w:sz w:val="18"/>
              </w:rPr>
            </w:pPr>
            <w:r w:rsidRPr="006A74F8">
              <w:rPr>
                <w:rFonts w:ascii="Calibri" w:eastAsia="Calibri" w:hAnsi="Calibri" w:cs="Calibri"/>
                <w:b/>
                <w:sz w:val="18"/>
              </w:rPr>
              <w:t>Status quo</w:t>
            </w:r>
          </w:p>
        </w:tc>
        <w:tc>
          <w:tcPr>
            <w:tcW w:w="1559" w:type="dxa"/>
            <w:tcBorders>
              <w:top w:val="single" w:sz="12" w:space="0" w:color="auto"/>
              <w:left w:val="nil"/>
              <w:bottom w:val="thickThinSmallGap" w:sz="12" w:space="0" w:color="auto"/>
              <w:right w:val="nil"/>
            </w:tcBorders>
            <w:vAlign w:val="center"/>
          </w:tcPr>
          <w:p w:rsidR="00633C38" w:rsidRPr="006A74F8" w:rsidRDefault="00633C38" w:rsidP="00FD7AC9">
            <w:pPr>
              <w:spacing w:before="120" w:after="120"/>
              <w:contextualSpacing/>
              <w:rPr>
                <w:rFonts w:ascii="Calibri" w:eastAsia="Calibri" w:hAnsi="Calibri" w:cs="Calibri"/>
                <w:b/>
                <w:sz w:val="18"/>
              </w:rPr>
            </w:pPr>
            <w:r w:rsidRPr="006A74F8">
              <w:rPr>
                <w:rFonts w:ascii="Calibri" w:eastAsia="Calibri" w:hAnsi="Calibri" w:cs="Calibri"/>
                <w:b/>
                <w:sz w:val="18"/>
              </w:rPr>
              <w:t xml:space="preserve">Reform </w:t>
            </w:r>
            <w:r w:rsidR="00290DE9" w:rsidRPr="006A74F8">
              <w:rPr>
                <w:rFonts w:ascii="Calibri" w:eastAsia="Calibri" w:hAnsi="Calibri" w:cs="Calibri"/>
                <w:b/>
                <w:sz w:val="18"/>
              </w:rPr>
              <w:t>o</w:t>
            </w:r>
            <w:r w:rsidRPr="006A74F8">
              <w:rPr>
                <w:rFonts w:ascii="Calibri" w:eastAsia="Calibri" w:hAnsi="Calibri" w:cs="Calibri"/>
                <w:b/>
                <w:sz w:val="18"/>
              </w:rPr>
              <w:t>ption 1</w:t>
            </w:r>
          </w:p>
        </w:tc>
        <w:tc>
          <w:tcPr>
            <w:tcW w:w="1701" w:type="dxa"/>
            <w:tcBorders>
              <w:top w:val="single" w:sz="12" w:space="0" w:color="auto"/>
              <w:left w:val="nil"/>
              <w:bottom w:val="thickThinSmallGap" w:sz="12" w:space="0" w:color="auto"/>
              <w:right w:val="nil"/>
            </w:tcBorders>
            <w:vAlign w:val="center"/>
          </w:tcPr>
          <w:p w:rsidR="00633C38" w:rsidRPr="006A74F8" w:rsidRDefault="00633C38" w:rsidP="00FD7AC9">
            <w:pPr>
              <w:spacing w:before="120" w:after="120"/>
              <w:contextualSpacing/>
              <w:rPr>
                <w:rFonts w:ascii="Calibri" w:eastAsia="Calibri" w:hAnsi="Calibri" w:cs="Calibri"/>
                <w:b/>
                <w:sz w:val="18"/>
              </w:rPr>
            </w:pPr>
            <w:r w:rsidRPr="006A74F8">
              <w:rPr>
                <w:rFonts w:ascii="Calibri" w:eastAsia="Calibri" w:hAnsi="Calibri" w:cs="Calibri"/>
                <w:b/>
                <w:sz w:val="18"/>
              </w:rPr>
              <w:t xml:space="preserve">Reform </w:t>
            </w:r>
            <w:r w:rsidR="00501502" w:rsidRPr="006A74F8">
              <w:rPr>
                <w:rFonts w:ascii="Calibri" w:eastAsia="Calibri" w:hAnsi="Calibri" w:cs="Calibri"/>
                <w:b/>
                <w:sz w:val="18"/>
              </w:rPr>
              <w:t>o</w:t>
            </w:r>
            <w:r w:rsidRPr="006A74F8">
              <w:rPr>
                <w:rFonts w:ascii="Calibri" w:eastAsia="Calibri" w:hAnsi="Calibri" w:cs="Calibri"/>
                <w:b/>
                <w:sz w:val="18"/>
              </w:rPr>
              <w:t>ption 2</w:t>
            </w:r>
          </w:p>
        </w:tc>
        <w:tc>
          <w:tcPr>
            <w:tcW w:w="1559" w:type="dxa"/>
            <w:tcBorders>
              <w:top w:val="single" w:sz="12" w:space="0" w:color="auto"/>
              <w:left w:val="nil"/>
              <w:bottom w:val="thickThinSmallGap" w:sz="12" w:space="0" w:color="auto"/>
              <w:right w:val="nil"/>
            </w:tcBorders>
            <w:vAlign w:val="center"/>
          </w:tcPr>
          <w:p w:rsidR="00633C38" w:rsidRPr="006A74F8" w:rsidRDefault="00633C38" w:rsidP="00FD7AC9">
            <w:pPr>
              <w:spacing w:before="120" w:after="120"/>
              <w:contextualSpacing/>
              <w:rPr>
                <w:rFonts w:ascii="Calibri" w:eastAsia="Calibri" w:hAnsi="Calibri" w:cs="Calibri"/>
                <w:b/>
                <w:sz w:val="18"/>
              </w:rPr>
            </w:pPr>
            <w:r w:rsidRPr="006A74F8">
              <w:rPr>
                <w:rFonts w:ascii="Calibri" w:eastAsia="Calibri" w:hAnsi="Calibri" w:cs="Calibri"/>
                <w:b/>
                <w:sz w:val="18"/>
              </w:rPr>
              <w:t xml:space="preserve">Reform </w:t>
            </w:r>
            <w:r w:rsidR="00290DE9" w:rsidRPr="006A74F8">
              <w:rPr>
                <w:rFonts w:ascii="Calibri" w:eastAsia="Calibri" w:hAnsi="Calibri" w:cs="Calibri"/>
                <w:b/>
                <w:sz w:val="18"/>
              </w:rPr>
              <w:t>o</w:t>
            </w:r>
            <w:r w:rsidRPr="006A74F8">
              <w:rPr>
                <w:rFonts w:ascii="Calibri" w:eastAsia="Calibri" w:hAnsi="Calibri" w:cs="Calibri"/>
                <w:b/>
                <w:sz w:val="18"/>
              </w:rPr>
              <w:t>ption 3</w:t>
            </w:r>
          </w:p>
        </w:tc>
      </w:tr>
      <w:tr w:rsidR="009B6FBF" w:rsidRPr="006A74F8" w:rsidTr="002334DC">
        <w:trPr>
          <w:trHeight w:hRule="exact" w:val="1379"/>
          <w:tblHeader/>
        </w:trPr>
        <w:tc>
          <w:tcPr>
            <w:tcW w:w="425" w:type="dxa"/>
            <w:vMerge w:val="restart"/>
            <w:tcBorders>
              <w:top w:val="thickThinSmallGap" w:sz="12" w:space="0" w:color="auto"/>
              <w:left w:val="single" w:sz="8" w:space="0" w:color="FFFFFF"/>
              <w:right w:val="single" w:sz="8" w:space="0" w:color="FFFFFF"/>
            </w:tcBorders>
            <w:shd w:val="clear" w:color="auto" w:fill="D5DCE4"/>
            <w:textDirection w:val="btLr"/>
          </w:tcPr>
          <w:p w:rsidR="009B6FBF" w:rsidRPr="006A74F8" w:rsidRDefault="009B6FBF" w:rsidP="00732824">
            <w:pPr>
              <w:autoSpaceDE w:val="0"/>
              <w:autoSpaceDN w:val="0"/>
              <w:adjustRightInd w:val="0"/>
              <w:ind w:left="113" w:right="113"/>
              <w:jc w:val="center"/>
              <w:rPr>
                <w:rFonts w:ascii="Calibri" w:eastAsia="Calibri" w:hAnsi="Calibri" w:cs="Calibri"/>
                <w:b/>
                <w:bCs/>
                <w:color w:val="000000"/>
                <w:sz w:val="20"/>
                <w:szCs w:val="20"/>
              </w:rPr>
            </w:pPr>
            <w:r w:rsidRPr="006A74F8">
              <w:rPr>
                <w:rFonts w:ascii="Calibri" w:eastAsia="Calibri" w:hAnsi="Calibri" w:cs="Calibri"/>
                <w:b/>
                <w:bCs/>
                <w:color w:val="000000"/>
                <w:sz w:val="20"/>
                <w:szCs w:val="20"/>
              </w:rPr>
              <w:t>Measurement Confidence</w:t>
            </w:r>
          </w:p>
          <w:p w:rsidR="009B6FBF" w:rsidRPr="006A74F8" w:rsidRDefault="009B6FBF" w:rsidP="00732824">
            <w:pPr>
              <w:autoSpaceDE w:val="0"/>
              <w:autoSpaceDN w:val="0"/>
              <w:adjustRightInd w:val="0"/>
              <w:jc w:val="center"/>
              <w:rPr>
                <w:rFonts w:ascii="Calibri" w:eastAsia="Calibri" w:hAnsi="Calibri" w:cs="Calibri"/>
                <w:b/>
                <w:bCs/>
                <w:color w:val="000000"/>
                <w:sz w:val="20"/>
                <w:szCs w:val="20"/>
              </w:rPr>
            </w:pPr>
          </w:p>
        </w:tc>
        <w:tc>
          <w:tcPr>
            <w:tcW w:w="3686" w:type="dxa"/>
            <w:tcBorders>
              <w:top w:val="thickThinSmallGap" w:sz="12" w:space="0" w:color="auto"/>
              <w:left w:val="single" w:sz="8" w:space="0" w:color="FFFFFF"/>
              <w:bottom w:val="single" w:sz="8" w:space="0" w:color="FFFFFF"/>
              <w:right w:val="single" w:sz="8" w:space="0" w:color="FFFFFF"/>
            </w:tcBorders>
            <w:shd w:val="clear" w:color="auto" w:fill="D5DCE4"/>
            <w:vAlign w:val="center"/>
          </w:tcPr>
          <w:p w:rsidR="009B6FBF" w:rsidRPr="006A74F8" w:rsidRDefault="009B6FBF" w:rsidP="00FD7AC9">
            <w:pPr>
              <w:autoSpaceDE w:val="0"/>
              <w:autoSpaceDN w:val="0"/>
              <w:adjustRightInd w:val="0"/>
              <w:rPr>
                <w:rFonts w:ascii="Calibri" w:eastAsia="Calibri" w:hAnsi="Calibri" w:cs="Calibri"/>
                <w:b/>
                <w:color w:val="000000"/>
                <w:sz w:val="20"/>
                <w:szCs w:val="20"/>
              </w:rPr>
            </w:pPr>
            <w:r w:rsidRPr="006A74F8">
              <w:rPr>
                <w:rFonts w:ascii="Calibri" w:eastAsia="Calibri" w:hAnsi="Calibri" w:cs="Calibri"/>
                <w:b/>
                <w:color w:val="000000"/>
                <w:sz w:val="20"/>
                <w:szCs w:val="20"/>
              </w:rPr>
              <w:t xml:space="preserve">Industry Efficiency </w:t>
            </w:r>
          </w:p>
          <w:p w:rsidR="009B6FBF" w:rsidRPr="006A74F8" w:rsidRDefault="009B6FBF" w:rsidP="00FD7AC9">
            <w:pPr>
              <w:rPr>
                <w:rFonts w:ascii="Calibri" w:eastAsia="Calibri" w:hAnsi="Calibri" w:cs="Calibri"/>
                <w:sz w:val="18"/>
                <w:szCs w:val="18"/>
              </w:rPr>
            </w:pPr>
            <w:r w:rsidRPr="006A74F8">
              <w:rPr>
                <w:rFonts w:ascii="Calibri" w:eastAsia="Calibri" w:hAnsi="Calibri" w:cs="Calibri"/>
                <w:sz w:val="18"/>
                <w:szCs w:val="18"/>
              </w:rPr>
              <w:t>Establishes a level playing field for industry to be able to trade with confidence, reducing transaction costs and enabling competition</w:t>
            </w:r>
          </w:p>
        </w:tc>
        <w:tc>
          <w:tcPr>
            <w:tcW w:w="1560" w:type="dxa"/>
            <w:tcBorders>
              <w:top w:val="thickThinSmallGap" w:sz="12" w:space="0" w:color="auto"/>
              <w:left w:val="single" w:sz="8" w:space="0" w:color="FFFFFF"/>
              <w:bottom w:val="single" w:sz="8" w:space="0" w:color="FFFFFF"/>
              <w:right w:val="single" w:sz="8" w:space="0" w:color="FFFFFF"/>
            </w:tcBorders>
            <w:shd w:val="clear" w:color="auto" w:fill="8EAADB"/>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Prescriptive legislative framework</w:t>
            </w:r>
          </w:p>
        </w:tc>
        <w:tc>
          <w:tcPr>
            <w:tcW w:w="1559" w:type="dxa"/>
            <w:tcBorders>
              <w:top w:val="thickThinSmallGap" w:sz="12" w:space="0" w:color="auto"/>
              <w:left w:val="single" w:sz="8" w:space="0" w:color="FFFFFF"/>
              <w:bottom w:val="single" w:sz="8" w:space="0" w:color="FFFFFF"/>
              <w:right w:val="single" w:sz="8" w:space="0" w:color="FFFFFF"/>
            </w:tcBorders>
            <w:shd w:val="clear" w:color="auto" w:fill="8EAADB"/>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Supports level playing field, with limited flexibility</w:t>
            </w:r>
          </w:p>
        </w:tc>
        <w:tc>
          <w:tcPr>
            <w:tcW w:w="1701" w:type="dxa"/>
            <w:tcBorders>
              <w:top w:val="thickThinSmallGap" w:sz="12" w:space="0" w:color="auto"/>
              <w:left w:val="single" w:sz="8" w:space="0" w:color="FFFFFF"/>
              <w:bottom w:val="single" w:sz="8" w:space="0" w:color="FFFFFF"/>
              <w:right w:val="single" w:sz="8" w:space="0" w:color="FFFFFF"/>
            </w:tcBorders>
            <w:shd w:val="clear" w:color="auto" w:fill="1F3864"/>
            <w:vAlign w:val="center"/>
          </w:tcPr>
          <w:p w:rsidR="009B6FBF" w:rsidRPr="006A74F8" w:rsidRDefault="009B6FBF" w:rsidP="00ED2943">
            <w:pPr>
              <w:rPr>
                <w:rFonts w:ascii="Calibri" w:eastAsia="Calibri" w:hAnsi="Calibri" w:cs="Calibri"/>
                <w:sz w:val="16"/>
                <w:szCs w:val="16"/>
              </w:rPr>
            </w:pPr>
            <w:r w:rsidRPr="006A74F8">
              <w:rPr>
                <w:rFonts w:ascii="Calibri" w:eastAsia="Calibri" w:hAnsi="Calibri" w:cs="Calibri"/>
                <w:color w:val="FFFFFF" w:themeColor="background1"/>
                <w:sz w:val="16"/>
                <w:szCs w:val="16"/>
              </w:rPr>
              <w:t>Supports level playing field with flexibility to streamline measurement requirements</w:t>
            </w:r>
            <w:r w:rsidR="00ED2943">
              <w:rPr>
                <w:rFonts w:ascii="Calibri" w:eastAsia="Calibri" w:hAnsi="Calibri" w:cs="Calibri"/>
                <w:color w:val="FFFFFF" w:themeColor="background1"/>
                <w:sz w:val="16"/>
                <w:szCs w:val="16"/>
              </w:rPr>
              <w:t xml:space="preserve"> for trade</w:t>
            </w:r>
          </w:p>
        </w:tc>
        <w:tc>
          <w:tcPr>
            <w:tcW w:w="1559" w:type="dxa"/>
            <w:tcBorders>
              <w:top w:val="thickThinSmallGap" w:sz="12" w:space="0" w:color="auto"/>
              <w:left w:val="single" w:sz="8" w:space="0" w:color="FFFFFF"/>
              <w:bottom w:val="single" w:sz="8" w:space="0" w:color="FFFFFF"/>
              <w:right w:val="single" w:sz="8" w:space="0" w:color="FFFFFF"/>
            </w:tcBorders>
            <w:shd w:val="clear" w:color="auto" w:fill="1F3864"/>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color w:val="FFFFFF" w:themeColor="background1"/>
                <w:sz w:val="16"/>
                <w:szCs w:val="16"/>
              </w:rPr>
              <w:t>Supports level playing field with flexibility to streamline broad measurement requirements</w:t>
            </w:r>
          </w:p>
        </w:tc>
      </w:tr>
      <w:tr w:rsidR="009B6FBF" w:rsidRPr="006A74F8" w:rsidTr="005D09BF">
        <w:trPr>
          <w:trHeight w:hRule="exact" w:val="1171"/>
          <w:tblHeader/>
        </w:trPr>
        <w:tc>
          <w:tcPr>
            <w:tcW w:w="425" w:type="dxa"/>
            <w:vMerge/>
            <w:tcBorders>
              <w:left w:val="single" w:sz="8" w:space="0" w:color="FFFFFF"/>
              <w:right w:val="single" w:sz="8" w:space="0" w:color="FFFFFF"/>
            </w:tcBorders>
            <w:shd w:val="clear" w:color="auto" w:fill="D5DCE4"/>
          </w:tcPr>
          <w:p w:rsidR="009B6FBF" w:rsidRPr="006A74F8" w:rsidRDefault="009B6FBF" w:rsidP="00DE422C">
            <w:pPr>
              <w:autoSpaceDE w:val="0"/>
              <w:autoSpaceDN w:val="0"/>
              <w:adjustRightInd w:val="0"/>
              <w:jc w:val="center"/>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D5DCE4"/>
            <w:vAlign w:val="center"/>
          </w:tcPr>
          <w:p w:rsidR="009B6FBF" w:rsidRPr="006A74F8" w:rsidRDefault="009B6FBF" w:rsidP="00FD7AC9">
            <w:pPr>
              <w:autoSpaceDE w:val="0"/>
              <w:autoSpaceDN w:val="0"/>
              <w:adjustRightInd w:val="0"/>
              <w:rPr>
                <w:rFonts w:ascii="Calibri" w:eastAsia="Calibri" w:hAnsi="Calibri" w:cs="Calibri"/>
                <w:b/>
                <w:color w:val="000000"/>
                <w:sz w:val="20"/>
                <w:szCs w:val="20"/>
              </w:rPr>
            </w:pPr>
            <w:r w:rsidRPr="006A74F8">
              <w:rPr>
                <w:rFonts w:ascii="Calibri" w:eastAsia="Calibri" w:hAnsi="Calibri" w:cs="Calibri"/>
                <w:b/>
                <w:color w:val="000000"/>
                <w:sz w:val="20"/>
                <w:szCs w:val="20"/>
              </w:rPr>
              <w:t>Community Trust</w:t>
            </w:r>
          </w:p>
          <w:p w:rsidR="009B6FBF" w:rsidRPr="006A74F8" w:rsidRDefault="009B6FBF" w:rsidP="00802E7B">
            <w:pPr>
              <w:rPr>
                <w:rFonts w:ascii="Calibri" w:eastAsia="Calibri" w:hAnsi="Calibri" w:cs="Calibri"/>
                <w:sz w:val="18"/>
                <w:szCs w:val="18"/>
              </w:rPr>
            </w:pPr>
            <w:r w:rsidRPr="006A74F8">
              <w:rPr>
                <w:rFonts w:ascii="Calibri" w:eastAsia="Calibri" w:hAnsi="Calibri" w:cs="Calibri"/>
                <w:sz w:val="18"/>
                <w:szCs w:val="18"/>
              </w:rPr>
              <w:t>Ensuring everyone gets what they pay for and limiting market failures including from information asymmetry</w:t>
            </w:r>
          </w:p>
        </w:tc>
        <w:tc>
          <w:tcPr>
            <w:tcW w:w="1560" w:type="dxa"/>
            <w:tcBorders>
              <w:top w:val="single" w:sz="8" w:space="0" w:color="FFFFFF"/>
              <w:left w:val="single" w:sz="8" w:space="0" w:color="FFFFFF"/>
              <w:bottom w:val="single" w:sz="8" w:space="0" w:color="FFFFFF"/>
              <w:right w:val="single" w:sz="8" w:space="0" w:color="FFFFFF"/>
            </w:tcBorders>
            <w:shd w:val="clear" w:color="auto" w:fill="8EAADB"/>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Prescriptive legislative framework with some gaps</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Prescription partially reduced and some gaps addressed</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 xml:space="preserve">Significantly less prescription, gaps addressed, </w:t>
            </w:r>
            <w:r w:rsidR="00C1097C" w:rsidRPr="006A74F8">
              <w:rPr>
                <w:rFonts w:ascii="Calibri" w:eastAsia="Calibri" w:hAnsi="Calibri" w:cs="Calibri"/>
                <w:sz w:val="16"/>
                <w:szCs w:val="16"/>
              </w:rPr>
              <w:t>broader coverage of goods and services</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Greater ability to support trust in all measurements relied on by society</w:t>
            </w:r>
          </w:p>
        </w:tc>
      </w:tr>
      <w:tr w:rsidR="009B6FBF" w:rsidRPr="006A74F8" w:rsidTr="002334DC">
        <w:trPr>
          <w:trHeight w:hRule="exact" w:val="1410"/>
          <w:tblHeader/>
        </w:trPr>
        <w:tc>
          <w:tcPr>
            <w:tcW w:w="425" w:type="dxa"/>
            <w:vMerge/>
            <w:tcBorders>
              <w:left w:val="single" w:sz="8" w:space="0" w:color="FFFFFF"/>
              <w:right w:val="single" w:sz="8" w:space="0" w:color="FFFFFF"/>
            </w:tcBorders>
            <w:shd w:val="clear" w:color="auto" w:fill="D5DCE4"/>
          </w:tcPr>
          <w:p w:rsidR="009B6FBF" w:rsidRPr="006A74F8" w:rsidRDefault="009B6FBF" w:rsidP="008F5DF6">
            <w:pPr>
              <w:autoSpaceDE w:val="0"/>
              <w:autoSpaceDN w:val="0"/>
              <w:adjustRightInd w:val="0"/>
              <w:jc w:val="center"/>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D5DCE4"/>
            <w:vAlign w:val="center"/>
          </w:tcPr>
          <w:p w:rsidR="009B6FBF" w:rsidRPr="006A74F8" w:rsidRDefault="009B6FBF" w:rsidP="00FD7AC9">
            <w:pPr>
              <w:autoSpaceDE w:val="0"/>
              <w:autoSpaceDN w:val="0"/>
              <w:adjustRightInd w:val="0"/>
              <w:rPr>
                <w:rFonts w:ascii="Calibri" w:eastAsia="Calibri" w:hAnsi="Calibri" w:cs="Calibri"/>
                <w:b/>
                <w:color w:val="000000"/>
                <w:sz w:val="20"/>
                <w:szCs w:val="20"/>
              </w:rPr>
            </w:pPr>
            <w:r w:rsidRPr="006A74F8">
              <w:rPr>
                <w:rFonts w:ascii="Calibri" w:eastAsia="Calibri" w:hAnsi="Calibri" w:cs="Calibri"/>
                <w:b/>
                <w:color w:val="000000"/>
                <w:sz w:val="20"/>
                <w:szCs w:val="20"/>
              </w:rPr>
              <w:t>Government Reliance</w:t>
            </w:r>
          </w:p>
          <w:p w:rsidR="009B6FBF" w:rsidRPr="006A74F8" w:rsidRDefault="009B6FBF" w:rsidP="00802E7B">
            <w:pPr>
              <w:autoSpaceDE w:val="0"/>
              <w:autoSpaceDN w:val="0"/>
              <w:adjustRightInd w:val="0"/>
              <w:rPr>
                <w:rFonts w:ascii="Calibri" w:eastAsia="Calibri" w:hAnsi="Calibri" w:cs="Calibri"/>
                <w:color w:val="000000"/>
                <w:sz w:val="18"/>
                <w:szCs w:val="18"/>
              </w:rPr>
            </w:pPr>
            <w:r w:rsidRPr="006A74F8">
              <w:rPr>
                <w:rFonts w:ascii="Calibri" w:eastAsia="Calibri" w:hAnsi="Calibri" w:cs="Calibri"/>
                <w:color w:val="000000"/>
                <w:sz w:val="18"/>
                <w:szCs w:val="18"/>
              </w:rPr>
              <w:t xml:space="preserve">Enabling key government outcomes needing accurate and reliable measurement </w:t>
            </w:r>
            <w:r w:rsidRPr="006A74F8">
              <w:rPr>
                <w:rFonts w:ascii="Calibri" w:eastAsia="Calibri" w:hAnsi="Calibri" w:cs="Calibri"/>
                <w:color w:val="000000"/>
                <w:sz w:val="18"/>
                <w:szCs w:val="18"/>
              </w:rPr>
              <w:br/>
              <w:t xml:space="preserve">(for example, food, </w:t>
            </w:r>
            <w:r w:rsidR="00166B8E" w:rsidRPr="006A74F8">
              <w:rPr>
                <w:rFonts w:ascii="Calibri" w:eastAsia="Calibri" w:hAnsi="Calibri" w:cs="Calibri"/>
                <w:color w:val="000000"/>
                <w:sz w:val="18"/>
                <w:szCs w:val="18"/>
              </w:rPr>
              <w:t xml:space="preserve">energy </w:t>
            </w:r>
            <w:r w:rsidRPr="006A74F8">
              <w:rPr>
                <w:rFonts w:ascii="Calibri" w:eastAsia="Calibri" w:hAnsi="Calibri" w:cs="Calibri"/>
                <w:color w:val="000000"/>
                <w:sz w:val="18"/>
                <w:szCs w:val="18"/>
              </w:rPr>
              <w:t>health, agriculture, the environment, law enforcement and safety)</w:t>
            </w:r>
          </w:p>
        </w:tc>
        <w:tc>
          <w:tcPr>
            <w:tcW w:w="1560" w:type="dxa"/>
            <w:tcBorders>
              <w:top w:val="single" w:sz="8" w:space="0" w:color="FFFFFF"/>
              <w:left w:val="single" w:sz="8" w:space="0" w:color="FFFFFF"/>
              <w:bottom w:val="single" w:sz="8" w:space="0" w:color="FFFFFF"/>
              <w:right w:val="single" w:sz="8" w:space="0" w:color="FFFFFF"/>
            </w:tcBorders>
            <w:shd w:val="clear" w:color="auto" w:fill="D9E2F3"/>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Instrument regulation for trade use is hard to link to for non-trade outcomes</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Limited flexibility to assist government agencies other than service agreements</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Government agencies more able to link to legislative framework</w:t>
            </w:r>
            <w:r w:rsidR="00CA5547" w:rsidRPr="006A74F8">
              <w:rPr>
                <w:rFonts w:ascii="Calibri" w:eastAsia="Calibri" w:hAnsi="Calibri" w:cs="Calibri"/>
                <w:sz w:val="16"/>
                <w:szCs w:val="16"/>
              </w:rPr>
              <w:t>, greater ability to underpin accurate and reliable measurement</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9B6FBF" w:rsidRPr="006A74F8" w:rsidRDefault="009B6FBF" w:rsidP="00ED2943">
            <w:pPr>
              <w:rPr>
                <w:rFonts w:ascii="Calibri" w:eastAsia="Calibri" w:hAnsi="Calibri" w:cs="Calibri"/>
                <w:sz w:val="16"/>
                <w:szCs w:val="16"/>
              </w:rPr>
            </w:pPr>
            <w:r w:rsidRPr="006A74F8">
              <w:rPr>
                <w:rFonts w:ascii="Calibri" w:eastAsia="Calibri" w:hAnsi="Calibri" w:cs="Calibri"/>
                <w:sz w:val="16"/>
                <w:szCs w:val="16"/>
              </w:rPr>
              <w:t xml:space="preserve">Flexibility to regulate </w:t>
            </w:r>
            <w:r w:rsidR="00ED2943">
              <w:rPr>
                <w:rFonts w:ascii="Calibri" w:eastAsia="Calibri" w:hAnsi="Calibri" w:cs="Calibri"/>
                <w:sz w:val="16"/>
                <w:szCs w:val="16"/>
              </w:rPr>
              <w:t>a wider range of</w:t>
            </w:r>
            <w:r w:rsidRPr="006A74F8">
              <w:rPr>
                <w:rFonts w:ascii="Calibri" w:eastAsia="Calibri" w:hAnsi="Calibri" w:cs="Calibri"/>
                <w:sz w:val="16"/>
                <w:szCs w:val="16"/>
              </w:rPr>
              <w:t xml:space="preserve"> measurement</w:t>
            </w:r>
            <w:r w:rsidR="00A40103" w:rsidRPr="006A74F8">
              <w:rPr>
                <w:rFonts w:ascii="Calibri" w:eastAsia="Calibri" w:hAnsi="Calibri" w:cs="Calibri"/>
                <w:sz w:val="16"/>
                <w:szCs w:val="16"/>
              </w:rPr>
              <w:t>-</w:t>
            </w:r>
            <w:r w:rsidRPr="006A74F8">
              <w:rPr>
                <w:rFonts w:ascii="Calibri" w:eastAsia="Calibri" w:hAnsi="Calibri" w:cs="Calibri"/>
                <w:sz w:val="16"/>
                <w:szCs w:val="16"/>
              </w:rPr>
              <w:t>based activity</w:t>
            </w:r>
          </w:p>
        </w:tc>
      </w:tr>
      <w:tr w:rsidR="009B6FBF" w:rsidRPr="006A74F8" w:rsidTr="002334DC">
        <w:trPr>
          <w:trHeight w:hRule="exact" w:val="1383"/>
          <w:tblHeader/>
        </w:trPr>
        <w:tc>
          <w:tcPr>
            <w:tcW w:w="425" w:type="dxa"/>
            <w:vMerge/>
            <w:tcBorders>
              <w:left w:val="single" w:sz="8" w:space="0" w:color="FFFFFF"/>
              <w:bottom w:val="single" w:sz="8" w:space="0" w:color="FFFFFF"/>
              <w:right w:val="single" w:sz="8" w:space="0" w:color="FFFFFF"/>
            </w:tcBorders>
            <w:shd w:val="clear" w:color="auto" w:fill="D5DCE4"/>
          </w:tcPr>
          <w:p w:rsidR="009B6FBF" w:rsidRPr="006A74F8" w:rsidRDefault="009B6FBF" w:rsidP="00DE422C">
            <w:pPr>
              <w:autoSpaceDE w:val="0"/>
              <w:autoSpaceDN w:val="0"/>
              <w:adjustRightInd w:val="0"/>
              <w:jc w:val="center"/>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D5DCE4"/>
            <w:vAlign w:val="center"/>
          </w:tcPr>
          <w:p w:rsidR="009B6FBF" w:rsidRPr="006A74F8" w:rsidRDefault="009B6FBF" w:rsidP="00FD7AC9">
            <w:pPr>
              <w:autoSpaceDE w:val="0"/>
              <w:autoSpaceDN w:val="0"/>
              <w:adjustRightInd w:val="0"/>
              <w:rPr>
                <w:rFonts w:ascii="Calibri" w:eastAsia="Calibri" w:hAnsi="Calibri" w:cs="Calibri"/>
                <w:b/>
                <w:color w:val="000000"/>
                <w:sz w:val="20"/>
                <w:szCs w:val="20"/>
              </w:rPr>
            </w:pPr>
            <w:r w:rsidRPr="006A74F8">
              <w:rPr>
                <w:rFonts w:ascii="Calibri" w:eastAsia="Calibri" w:hAnsi="Calibri" w:cs="Calibri"/>
                <w:b/>
                <w:color w:val="000000"/>
                <w:sz w:val="20"/>
                <w:szCs w:val="20"/>
              </w:rPr>
              <w:t>International Recognition</w:t>
            </w:r>
          </w:p>
          <w:p w:rsidR="009B6FBF" w:rsidRPr="006A74F8" w:rsidRDefault="009B6FBF" w:rsidP="00FD7AC9">
            <w:pPr>
              <w:autoSpaceDE w:val="0"/>
              <w:autoSpaceDN w:val="0"/>
              <w:adjustRightInd w:val="0"/>
              <w:rPr>
                <w:rFonts w:ascii="Calibri" w:eastAsia="Calibri" w:hAnsi="Calibri" w:cs="Calibri"/>
                <w:color w:val="000000"/>
                <w:sz w:val="20"/>
                <w:szCs w:val="20"/>
              </w:rPr>
            </w:pPr>
            <w:r w:rsidRPr="006A74F8">
              <w:rPr>
                <w:rFonts w:ascii="Calibri" w:eastAsia="Calibri" w:hAnsi="Calibri" w:cs="Calibri"/>
                <w:color w:val="000000"/>
                <w:sz w:val="18"/>
                <w:szCs w:val="18"/>
              </w:rPr>
              <w:t xml:space="preserve">Ensures Australia’s measurement system is globally recognised and accepted, supports international trade and meets treaty obligations. </w:t>
            </w:r>
          </w:p>
        </w:tc>
        <w:tc>
          <w:tcPr>
            <w:tcW w:w="1560" w:type="dxa"/>
            <w:tcBorders>
              <w:top w:val="single" w:sz="8" w:space="0" w:color="FFFFFF"/>
              <w:left w:val="single" w:sz="8" w:space="0" w:color="FFFFFF"/>
              <w:bottom w:val="single" w:sz="8" w:space="0" w:color="FFFFFF"/>
              <w:right w:val="single" w:sz="8" w:space="0" w:color="FFFFFF"/>
            </w:tcBorders>
            <w:shd w:val="clear" w:color="auto" w:fill="8EAADB"/>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Some alignment limitations for international references</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Greater alignment for chemical and biological measurements</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9B6FBF" w:rsidRPr="006A74F8" w:rsidRDefault="009B6FBF" w:rsidP="00ED2943">
            <w:pPr>
              <w:rPr>
                <w:rFonts w:ascii="Calibri" w:eastAsia="Calibri" w:hAnsi="Calibri" w:cs="Calibri"/>
                <w:sz w:val="16"/>
                <w:szCs w:val="16"/>
              </w:rPr>
            </w:pPr>
            <w:r w:rsidRPr="006A74F8">
              <w:rPr>
                <w:rFonts w:ascii="Calibri" w:eastAsia="Calibri" w:hAnsi="Calibri" w:cs="Calibri"/>
                <w:sz w:val="16"/>
                <w:szCs w:val="16"/>
              </w:rPr>
              <w:t>Increased flexibility to accommodate greater alignment</w:t>
            </w:r>
            <w:r w:rsidR="00EE62CA" w:rsidRPr="006A74F8">
              <w:rPr>
                <w:rFonts w:ascii="Calibri" w:eastAsia="Calibri" w:hAnsi="Calibri" w:cs="Calibri"/>
                <w:sz w:val="16"/>
                <w:szCs w:val="16"/>
              </w:rPr>
              <w:t xml:space="preserve"> </w:t>
            </w:r>
            <w:r w:rsidR="00ED2943">
              <w:rPr>
                <w:rFonts w:ascii="Calibri" w:eastAsia="Calibri" w:hAnsi="Calibri" w:cs="Calibri"/>
                <w:sz w:val="16"/>
                <w:szCs w:val="16"/>
              </w:rPr>
              <w:t xml:space="preserve">for </w:t>
            </w:r>
            <w:r w:rsidR="00ED2943" w:rsidRPr="006A74F8">
              <w:rPr>
                <w:rFonts w:ascii="Calibri" w:eastAsia="Calibri" w:hAnsi="Calibri" w:cs="Calibri"/>
                <w:sz w:val="16"/>
                <w:szCs w:val="16"/>
              </w:rPr>
              <w:t xml:space="preserve">trade </w:t>
            </w:r>
            <w:r w:rsidR="00EE62CA" w:rsidRPr="006A74F8">
              <w:rPr>
                <w:rFonts w:ascii="Calibri" w:eastAsia="Calibri" w:hAnsi="Calibri" w:cs="Calibri"/>
                <w:sz w:val="16"/>
                <w:szCs w:val="16"/>
              </w:rPr>
              <w:t xml:space="preserve">and </w:t>
            </w:r>
            <w:r w:rsidR="00ED2943">
              <w:rPr>
                <w:rFonts w:ascii="Calibri" w:eastAsia="Calibri" w:hAnsi="Calibri" w:cs="Calibri"/>
                <w:sz w:val="16"/>
                <w:szCs w:val="16"/>
              </w:rPr>
              <w:t>innovation</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9B6FBF" w:rsidRPr="006A74F8" w:rsidRDefault="009B6FBF" w:rsidP="00FD7AC9">
            <w:pPr>
              <w:rPr>
                <w:rFonts w:ascii="Calibri" w:eastAsia="Calibri" w:hAnsi="Calibri" w:cs="Calibri"/>
                <w:sz w:val="16"/>
                <w:szCs w:val="16"/>
              </w:rPr>
            </w:pPr>
            <w:r w:rsidRPr="006A74F8">
              <w:rPr>
                <w:rFonts w:ascii="Calibri" w:eastAsia="Calibri" w:hAnsi="Calibri" w:cs="Calibri"/>
                <w:sz w:val="16"/>
                <w:szCs w:val="16"/>
              </w:rPr>
              <w:t xml:space="preserve">Flexibility to accommodate greater alignment across all measurement </w:t>
            </w:r>
            <w:r w:rsidR="004814C2" w:rsidRPr="006A74F8">
              <w:rPr>
                <w:rFonts w:ascii="Calibri" w:eastAsia="Calibri" w:hAnsi="Calibri" w:cs="Calibri"/>
                <w:sz w:val="16"/>
                <w:szCs w:val="16"/>
              </w:rPr>
              <w:t>and</w:t>
            </w:r>
            <w:r w:rsidRPr="006A74F8">
              <w:rPr>
                <w:rFonts w:ascii="Calibri" w:eastAsia="Calibri" w:hAnsi="Calibri" w:cs="Calibri"/>
                <w:sz w:val="16"/>
                <w:szCs w:val="16"/>
              </w:rPr>
              <w:t xml:space="preserve"> practice</w:t>
            </w:r>
          </w:p>
        </w:tc>
      </w:tr>
      <w:tr w:rsidR="00633C38" w:rsidRPr="006A74F8" w:rsidTr="002334DC">
        <w:trPr>
          <w:trHeight w:hRule="exact" w:val="1172"/>
          <w:tblHeader/>
        </w:trPr>
        <w:tc>
          <w:tcPr>
            <w:tcW w:w="425" w:type="dxa"/>
            <w:vMerge w:val="restart"/>
            <w:tcBorders>
              <w:top w:val="single" w:sz="8" w:space="0" w:color="FFFFFF"/>
              <w:left w:val="single" w:sz="8" w:space="0" w:color="FFFFFF"/>
              <w:right w:val="single" w:sz="8" w:space="0" w:color="FFFFFF"/>
            </w:tcBorders>
            <w:shd w:val="clear" w:color="auto" w:fill="C7D1DB"/>
            <w:textDirection w:val="btLr"/>
          </w:tcPr>
          <w:p w:rsidR="00633C38" w:rsidRPr="006A74F8" w:rsidRDefault="00633C38" w:rsidP="00732824">
            <w:pPr>
              <w:autoSpaceDE w:val="0"/>
              <w:autoSpaceDN w:val="0"/>
              <w:adjustRightInd w:val="0"/>
              <w:ind w:left="113" w:right="113"/>
              <w:jc w:val="center"/>
              <w:rPr>
                <w:rFonts w:ascii="Calibri" w:eastAsia="Calibri" w:hAnsi="Calibri" w:cs="Calibri"/>
                <w:b/>
                <w:bCs/>
                <w:color w:val="000000"/>
                <w:sz w:val="20"/>
                <w:szCs w:val="20"/>
              </w:rPr>
            </w:pPr>
            <w:r w:rsidRPr="006A74F8">
              <w:rPr>
                <w:rFonts w:ascii="Calibri" w:eastAsia="Calibri" w:hAnsi="Calibri" w:cs="Calibri"/>
                <w:b/>
                <w:bCs/>
                <w:color w:val="000000"/>
                <w:sz w:val="20"/>
                <w:szCs w:val="20"/>
              </w:rPr>
              <w:t>Adaptability</w:t>
            </w:r>
          </w:p>
        </w:tc>
        <w:tc>
          <w:tcPr>
            <w:tcW w:w="3686" w:type="dxa"/>
            <w:tcBorders>
              <w:top w:val="single" w:sz="8" w:space="0" w:color="FFFFFF"/>
              <w:left w:val="single" w:sz="8" w:space="0" w:color="FFFFFF"/>
              <w:bottom w:val="single" w:sz="8" w:space="0" w:color="FFFFFF"/>
              <w:right w:val="single" w:sz="8" w:space="0" w:color="FFFFFF"/>
            </w:tcBorders>
            <w:shd w:val="clear" w:color="auto" w:fill="C7D1DB"/>
            <w:vAlign w:val="center"/>
          </w:tcPr>
          <w:p w:rsidR="00633C38" w:rsidRPr="006A74F8" w:rsidRDefault="00633C38" w:rsidP="00FD7AC9">
            <w:pPr>
              <w:autoSpaceDE w:val="0"/>
              <w:autoSpaceDN w:val="0"/>
              <w:adjustRightInd w:val="0"/>
              <w:rPr>
                <w:rFonts w:ascii="Calibri" w:eastAsia="Calibri" w:hAnsi="Calibri" w:cs="Calibri"/>
                <w:b/>
                <w:color w:val="000000"/>
                <w:sz w:val="20"/>
                <w:szCs w:val="20"/>
              </w:rPr>
            </w:pPr>
            <w:r w:rsidRPr="006A74F8">
              <w:rPr>
                <w:rFonts w:ascii="Calibri" w:eastAsia="Calibri" w:hAnsi="Calibri" w:cs="Calibri"/>
                <w:b/>
                <w:color w:val="000000"/>
                <w:sz w:val="20"/>
                <w:szCs w:val="20"/>
              </w:rPr>
              <w:t xml:space="preserve">Enables Innovation </w:t>
            </w:r>
          </w:p>
          <w:p w:rsidR="00633C38" w:rsidRPr="006A74F8" w:rsidRDefault="00633C38" w:rsidP="00FD7AC9">
            <w:pPr>
              <w:autoSpaceDE w:val="0"/>
              <w:autoSpaceDN w:val="0"/>
              <w:adjustRightInd w:val="0"/>
              <w:rPr>
                <w:rFonts w:ascii="Calibri" w:eastAsia="Calibri" w:hAnsi="Calibri" w:cs="Calibri"/>
                <w:sz w:val="18"/>
                <w:szCs w:val="18"/>
              </w:rPr>
            </w:pPr>
            <w:r w:rsidRPr="006A74F8">
              <w:rPr>
                <w:rFonts w:ascii="Calibri" w:eastAsia="Calibri" w:hAnsi="Calibri" w:cs="Calibri"/>
                <w:sz w:val="18"/>
                <w:szCs w:val="18"/>
              </w:rPr>
              <w:t xml:space="preserve">Facilitates innovation by </w:t>
            </w:r>
            <w:r w:rsidR="00EA03EB" w:rsidRPr="006A74F8">
              <w:rPr>
                <w:rFonts w:ascii="Calibri" w:eastAsia="Calibri" w:hAnsi="Calibri" w:cs="Calibri"/>
                <w:sz w:val="18"/>
                <w:szCs w:val="18"/>
              </w:rPr>
              <w:t>adjusting</w:t>
            </w:r>
            <w:r w:rsidRPr="006A74F8">
              <w:rPr>
                <w:rFonts w:ascii="Calibri" w:eastAsia="Calibri" w:hAnsi="Calibri" w:cs="Calibri"/>
                <w:sz w:val="18"/>
                <w:szCs w:val="18"/>
              </w:rPr>
              <w:t xml:space="preserve"> to emerging measurement technologies</w:t>
            </w:r>
            <w:r w:rsidRPr="006A74F8">
              <w:rPr>
                <w:rFonts w:ascii="Calibri" w:eastAsia="Calibri" w:hAnsi="Calibri" w:cs="Calibri"/>
                <w:b/>
                <w:color w:val="000000"/>
                <w:sz w:val="20"/>
                <w:szCs w:val="20"/>
              </w:rPr>
              <w:t xml:space="preserve"> </w:t>
            </w:r>
          </w:p>
        </w:tc>
        <w:tc>
          <w:tcPr>
            <w:tcW w:w="1560" w:type="dxa"/>
            <w:tcBorders>
              <w:top w:val="single" w:sz="8" w:space="0" w:color="FFFFFF"/>
              <w:left w:val="single" w:sz="8" w:space="0" w:color="FFFFFF"/>
              <w:bottom w:val="single" w:sz="8" w:space="0" w:color="FFFFFF"/>
              <w:right w:val="single" w:sz="8" w:space="0" w:color="FFFFFF"/>
            </w:tcBorders>
            <w:shd w:val="clear" w:color="auto" w:fill="D9E2F3"/>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Prescriptive requirements create barriers and technology assumptions</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 xml:space="preserve">Align with current but not future technology and practice </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Ability to respond to</w:t>
            </w:r>
            <w:r w:rsidR="006D42F9" w:rsidRPr="006A74F8">
              <w:rPr>
                <w:rFonts w:ascii="Calibri" w:eastAsia="Calibri" w:hAnsi="Calibri" w:cs="Calibri"/>
                <w:sz w:val="16"/>
                <w:szCs w:val="16"/>
              </w:rPr>
              <w:t xml:space="preserve"> and drive</w:t>
            </w:r>
            <w:r w:rsidRPr="006A74F8">
              <w:rPr>
                <w:rFonts w:ascii="Calibri" w:eastAsia="Calibri" w:hAnsi="Calibri" w:cs="Calibri"/>
                <w:sz w:val="16"/>
                <w:szCs w:val="16"/>
              </w:rPr>
              <w:t xml:space="preserve"> innovation and technology changes for trade </w:t>
            </w:r>
            <w:r w:rsidR="004814C2" w:rsidRPr="006A74F8">
              <w:rPr>
                <w:rFonts w:ascii="Calibri" w:eastAsia="Calibri" w:hAnsi="Calibri" w:cs="Calibri"/>
                <w:sz w:val="16"/>
                <w:szCs w:val="16"/>
              </w:rPr>
              <w:t>and</w:t>
            </w:r>
            <w:r w:rsidRPr="006A74F8">
              <w:rPr>
                <w:rFonts w:ascii="Calibri" w:eastAsia="Calibri" w:hAnsi="Calibri" w:cs="Calibri"/>
                <w:sz w:val="16"/>
                <w:szCs w:val="16"/>
              </w:rPr>
              <w:t xml:space="preserve"> legal purposes</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Ability to respond to and drive innovation and technology for all measurement</w:t>
            </w:r>
          </w:p>
        </w:tc>
      </w:tr>
      <w:tr w:rsidR="00633C38" w:rsidRPr="006A74F8" w:rsidTr="002334DC">
        <w:trPr>
          <w:trHeight w:hRule="exact" w:val="1254"/>
          <w:tblHeader/>
        </w:trPr>
        <w:tc>
          <w:tcPr>
            <w:tcW w:w="425" w:type="dxa"/>
            <w:vMerge/>
            <w:tcBorders>
              <w:left w:val="single" w:sz="8" w:space="0" w:color="FFFFFF"/>
              <w:right w:val="single" w:sz="8" w:space="0" w:color="FFFFFF"/>
            </w:tcBorders>
            <w:shd w:val="clear" w:color="auto" w:fill="C7D1DB"/>
          </w:tcPr>
          <w:p w:rsidR="00633C38" w:rsidRPr="006A74F8" w:rsidRDefault="00633C38" w:rsidP="00FD7AC9">
            <w:pPr>
              <w:autoSpaceDE w:val="0"/>
              <w:autoSpaceDN w:val="0"/>
              <w:adjustRightInd w:val="0"/>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C7D1DB"/>
            <w:vAlign w:val="center"/>
          </w:tcPr>
          <w:p w:rsidR="00633C38" w:rsidRPr="006A74F8" w:rsidRDefault="00633C38" w:rsidP="00FD7AC9">
            <w:pPr>
              <w:autoSpaceDE w:val="0"/>
              <w:autoSpaceDN w:val="0"/>
              <w:adjustRightInd w:val="0"/>
              <w:rPr>
                <w:rFonts w:ascii="Calibri" w:eastAsia="Calibri" w:hAnsi="Calibri" w:cs="Calibri"/>
                <w:b/>
                <w:color w:val="000000"/>
                <w:sz w:val="20"/>
                <w:szCs w:val="20"/>
              </w:rPr>
            </w:pPr>
            <w:r w:rsidRPr="006A74F8">
              <w:rPr>
                <w:rFonts w:ascii="Calibri" w:eastAsia="Calibri" w:hAnsi="Calibri" w:cs="Calibri"/>
                <w:b/>
                <w:color w:val="000000"/>
                <w:sz w:val="20"/>
                <w:szCs w:val="20"/>
              </w:rPr>
              <w:t>Fit for purpose</w:t>
            </w:r>
          </w:p>
          <w:p w:rsidR="00633C38" w:rsidRPr="006A74F8" w:rsidRDefault="00633C38" w:rsidP="00FD7AC9">
            <w:pPr>
              <w:rPr>
                <w:rFonts w:ascii="Calibri" w:eastAsia="Calibri" w:hAnsi="Calibri" w:cs="Calibri"/>
                <w:sz w:val="18"/>
                <w:szCs w:val="18"/>
              </w:rPr>
            </w:pPr>
            <w:r w:rsidRPr="006A74F8">
              <w:rPr>
                <w:rFonts w:ascii="Calibri" w:eastAsia="Calibri" w:hAnsi="Calibri" w:cs="Calibri"/>
                <w:sz w:val="18"/>
                <w:szCs w:val="18"/>
              </w:rPr>
              <w:t>Ensures regulation is appropriate and proportionate to measurement risk and usage</w:t>
            </w:r>
          </w:p>
        </w:tc>
        <w:tc>
          <w:tcPr>
            <w:tcW w:w="1560" w:type="dxa"/>
            <w:tcBorders>
              <w:top w:val="single" w:sz="8" w:space="0" w:color="FFFFFF"/>
              <w:left w:val="single" w:sz="8" w:space="0" w:color="FFFFFF"/>
              <w:bottom w:val="single" w:sz="8" w:space="0" w:color="FFFFFF"/>
              <w:right w:val="single" w:sz="8" w:space="0" w:color="FFFFFF"/>
            </w:tcBorders>
            <w:shd w:val="clear" w:color="auto" w:fill="D9E2F3"/>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Prescriptive regulation, one size-fits-all</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Less prescriptive requirements, some exemptions</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Principles-based and flexible regulation enables targeted trade requirements</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Principles-based and flexible regulation to address broader measurement failures</w:t>
            </w:r>
          </w:p>
        </w:tc>
      </w:tr>
      <w:tr w:rsidR="00633C38" w:rsidRPr="006A74F8" w:rsidTr="002334DC">
        <w:trPr>
          <w:trHeight w:hRule="exact" w:val="1154"/>
          <w:tblHeader/>
        </w:trPr>
        <w:tc>
          <w:tcPr>
            <w:tcW w:w="425" w:type="dxa"/>
            <w:vMerge/>
            <w:tcBorders>
              <w:left w:val="single" w:sz="8" w:space="0" w:color="FFFFFF"/>
              <w:bottom w:val="single" w:sz="8" w:space="0" w:color="FFFFFF"/>
              <w:right w:val="single" w:sz="8" w:space="0" w:color="FFFFFF"/>
            </w:tcBorders>
            <w:shd w:val="clear" w:color="auto" w:fill="C7D1DB"/>
          </w:tcPr>
          <w:p w:rsidR="00633C38" w:rsidRPr="006A74F8" w:rsidRDefault="00633C38" w:rsidP="00FD7AC9">
            <w:pPr>
              <w:autoSpaceDE w:val="0"/>
              <w:autoSpaceDN w:val="0"/>
              <w:adjustRightInd w:val="0"/>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C7D1DB"/>
            <w:vAlign w:val="center"/>
          </w:tcPr>
          <w:p w:rsidR="00633C38" w:rsidRPr="006A74F8" w:rsidRDefault="00802E7B" w:rsidP="00F64E63">
            <w:pPr>
              <w:autoSpaceDE w:val="0"/>
              <w:autoSpaceDN w:val="0"/>
              <w:adjustRightInd w:val="0"/>
              <w:spacing w:after="120"/>
              <w:rPr>
                <w:rFonts w:ascii="Calibri" w:eastAsia="Calibri" w:hAnsi="Calibri" w:cs="Calibri"/>
                <w:b/>
                <w:color w:val="000000"/>
                <w:sz w:val="20"/>
                <w:szCs w:val="20"/>
              </w:rPr>
            </w:pPr>
            <w:r w:rsidRPr="006A74F8">
              <w:rPr>
                <w:rFonts w:ascii="Calibri" w:eastAsia="Calibri" w:hAnsi="Calibri" w:cs="Calibri"/>
                <w:b/>
                <w:color w:val="000000"/>
                <w:sz w:val="20"/>
                <w:szCs w:val="20"/>
              </w:rPr>
              <w:t xml:space="preserve">Provides </w:t>
            </w:r>
            <w:r w:rsidR="00633C38" w:rsidRPr="006A74F8">
              <w:rPr>
                <w:rFonts w:ascii="Calibri" w:eastAsia="Calibri" w:hAnsi="Calibri" w:cs="Calibri"/>
                <w:b/>
                <w:color w:val="000000"/>
                <w:sz w:val="20"/>
                <w:szCs w:val="20"/>
              </w:rPr>
              <w:t>Future Flexibility</w:t>
            </w:r>
          </w:p>
          <w:p w:rsidR="00633C38" w:rsidRPr="006A74F8" w:rsidRDefault="00633C38" w:rsidP="00F64E63">
            <w:pPr>
              <w:autoSpaceDE w:val="0"/>
              <w:autoSpaceDN w:val="0"/>
              <w:adjustRightInd w:val="0"/>
              <w:rPr>
                <w:rFonts w:ascii="Calibri" w:eastAsia="Calibri" w:hAnsi="Calibri" w:cs="Calibri"/>
                <w:b/>
                <w:color w:val="000000"/>
                <w:sz w:val="20"/>
                <w:szCs w:val="20"/>
              </w:rPr>
            </w:pPr>
            <w:r w:rsidRPr="006A74F8">
              <w:rPr>
                <w:rFonts w:ascii="Calibri" w:eastAsia="Calibri" w:hAnsi="Calibri" w:cs="Calibri"/>
                <w:sz w:val="18"/>
                <w:szCs w:val="18"/>
              </w:rPr>
              <w:t>Provides regulation that can accommodate changing business practices and evolving measurement needs</w:t>
            </w:r>
          </w:p>
          <w:p w:rsidR="00633C38" w:rsidRPr="006A74F8" w:rsidRDefault="00633C38" w:rsidP="00FD7AC9">
            <w:pPr>
              <w:rPr>
                <w:rFonts w:ascii="Calibri" w:eastAsia="Calibri" w:hAnsi="Calibri" w:cs="Calibri"/>
                <w:sz w:val="18"/>
                <w:szCs w:val="18"/>
              </w:rPr>
            </w:pPr>
          </w:p>
        </w:tc>
        <w:tc>
          <w:tcPr>
            <w:tcW w:w="1560" w:type="dxa"/>
            <w:tcBorders>
              <w:top w:val="single" w:sz="8" w:space="0" w:color="FFFFFF"/>
              <w:left w:val="single" w:sz="8" w:space="0" w:color="FFFFFF"/>
              <w:bottom w:val="single" w:sz="8" w:space="0" w:color="FFFFFF"/>
              <w:right w:val="single" w:sz="8" w:space="0" w:color="FFFFFF"/>
            </w:tcBorders>
            <w:shd w:val="clear" w:color="auto" w:fill="D9E2F3"/>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Limited flexibility</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Some flexibility</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633C38" w:rsidRPr="006A74F8" w:rsidRDefault="00633C38" w:rsidP="00ED2943">
            <w:pPr>
              <w:rPr>
                <w:rFonts w:ascii="Calibri" w:eastAsia="Calibri" w:hAnsi="Calibri" w:cs="Calibri"/>
                <w:sz w:val="16"/>
                <w:szCs w:val="16"/>
              </w:rPr>
            </w:pPr>
            <w:r w:rsidRPr="006A74F8">
              <w:rPr>
                <w:rFonts w:ascii="Calibri" w:eastAsia="Calibri" w:hAnsi="Calibri" w:cs="Calibri"/>
                <w:sz w:val="16"/>
                <w:szCs w:val="16"/>
              </w:rPr>
              <w:t xml:space="preserve">Greater flexibility to support emerging </w:t>
            </w:r>
            <w:r w:rsidR="00ED2943">
              <w:rPr>
                <w:rFonts w:ascii="Calibri" w:eastAsia="Calibri" w:hAnsi="Calibri" w:cs="Calibri"/>
                <w:sz w:val="16"/>
                <w:szCs w:val="16"/>
              </w:rPr>
              <w:t xml:space="preserve">practices with focus on trade </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Significant flexibility to support all measurement outcomes</w:t>
            </w:r>
          </w:p>
        </w:tc>
      </w:tr>
      <w:tr w:rsidR="00633C38" w:rsidRPr="006A74F8" w:rsidTr="002334DC">
        <w:trPr>
          <w:trHeight w:hRule="exact" w:val="1289"/>
          <w:tblHeader/>
        </w:trPr>
        <w:tc>
          <w:tcPr>
            <w:tcW w:w="425" w:type="dxa"/>
            <w:vMerge w:val="restart"/>
            <w:tcBorders>
              <w:top w:val="single" w:sz="8" w:space="0" w:color="FFFFFF"/>
              <w:left w:val="single" w:sz="8" w:space="0" w:color="FFFFFF"/>
              <w:right w:val="single" w:sz="8" w:space="0" w:color="FFFFFF"/>
            </w:tcBorders>
            <w:shd w:val="clear" w:color="auto" w:fill="B8C4D2"/>
            <w:textDirection w:val="btLr"/>
          </w:tcPr>
          <w:p w:rsidR="00633C38" w:rsidRPr="006A74F8" w:rsidRDefault="00633C38" w:rsidP="00732824">
            <w:pPr>
              <w:autoSpaceDE w:val="0"/>
              <w:autoSpaceDN w:val="0"/>
              <w:adjustRightInd w:val="0"/>
              <w:ind w:left="113" w:right="113"/>
              <w:jc w:val="center"/>
              <w:rPr>
                <w:rFonts w:ascii="Calibri" w:eastAsia="Calibri" w:hAnsi="Calibri" w:cs="Calibri"/>
                <w:b/>
                <w:bCs/>
                <w:color w:val="000000"/>
                <w:sz w:val="20"/>
                <w:szCs w:val="20"/>
              </w:rPr>
            </w:pPr>
            <w:r w:rsidRPr="006A74F8">
              <w:rPr>
                <w:rFonts w:ascii="Calibri" w:eastAsia="Calibri" w:hAnsi="Calibri" w:cs="Calibri"/>
                <w:b/>
                <w:bCs/>
                <w:color w:val="000000"/>
                <w:sz w:val="20"/>
                <w:szCs w:val="20"/>
              </w:rPr>
              <w:t>Outcomes</w:t>
            </w:r>
          </w:p>
        </w:tc>
        <w:tc>
          <w:tcPr>
            <w:tcW w:w="3686" w:type="dxa"/>
            <w:tcBorders>
              <w:top w:val="single" w:sz="8" w:space="0" w:color="FFFFFF"/>
              <w:left w:val="single" w:sz="8" w:space="0" w:color="FFFFFF"/>
              <w:bottom w:val="single" w:sz="8" w:space="0" w:color="FFFFFF"/>
              <w:right w:val="single" w:sz="8" w:space="0" w:color="FFFFFF"/>
            </w:tcBorders>
            <w:shd w:val="clear" w:color="auto" w:fill="B8C4D2"/>
            <w:vAlign w:val="center"/>
          </w:tcPr>
          <w:p w:rsidR="00633C38" w:rsidRPr="006A74F8" w:rsidRDefault="00633C38" w:rsidP="00FD7AC9">
            <w:pPr>
              <w:autoSpaceDE w:val="0"/>
              <w:autoSpaceDN w:val="0"/>
              <w:adjustRightInd w:val="0"/>
              <w:rPr>
                <w:rFonts w:ascii="Calibri" w:eastAsia="Calibri" w:hAnsi="Calibri" w:cs="Calibri"/>
                <w:b/>
                <w:color w:val="000000"/>
                <w:sz w:val="20"/>
                <w:szCs w:val="20"/>
              </w:rPr>
            </w:pPr>
            <w:r w:rsidRPr="006A74F8">
              <w:rPr>
                <w:rFonts w:ascii="Calibri" w:eastAsia="Calibri" w:hAnsi="Calibri" w:cs="Calibri"/>
                <w:b/>
                <w:color w:val="000000"/>
                <w:sz w:val="20"/>
                <w:szCs w:val="20"/>
              </w:rPr>
              <w:t xml:space="preserve">Industry Investment </w:t>
            </w:r>
          </w:p>
          <w:p w:rsidR="00633C38" w:rsidRPr="006A74F8" w:rsidRDefault="00633C38" w:rsidP="00FD7AC9">
            <w:pPr>
              <w:rPr>
                <w:rFonts w:ascii="Calibri" w:eastAsia="Calibri" w:hAnsi="Calibri" w:cs="Calibri"/>
                <w:sz w:val="18"/>
                <w:szCs w:val="18"/>
              </w:rPr>
            </w:pPr>
            <w:r w:rsidRPr="006A74F8">
              <w:rPr>
                <w:rFonts w:ascii="Calibri" w:eastAsia="Calibri" w:hAnsi="Calibri" w:cs="Calibri"/>
                <w:sz w:val="18"/>
                <w:szCs w:val="18"/>
              </w:rPr>
              <w:t xml:space="preserve">Encourages industry to invest in building and maintaining capability reliant on measurement  </w:t>
            </w:r>
          </w:p>
        </w:tc>
        <w:tc>
          <w:tcPr>
            <w:tcW w:w="1560" w:type="dxa"/>
            <w:tcBorders>
              <w:top w:val="single" w:sz="8" w:space="0" w:color="FFFFFF"/>
              <w:left w:val="single" w:sz="8" w:space="0" w:color="FFFFFF"/>
              <w:bottom w:val="single" w:sz="8" w:space="0" w:color="FFFFFF"/>
              <w:right w:val="single" w:sz="8" w:space="0" w:color="FFFFFF"/>
            </w:tcBorders>
            <w:shd w:val="clear" w:color="auto" w:fill="8EAADB"/>
            <w:vAlign w:val="center"/>
          </w:tcPr>
          <w:p w:rsidR="00633C38" w:rsidRPr="006A74F8" w:rsidRDefault="00633C38" w:rsidP="00ED2943">
            <w:pPr>
              <w:rPr>
                <w:rFonts w:ascii="Calibri" w:eastAsia="Calibri" w:hAnsi="Calibri" w:cs="Calibri"/>
                <w:sz w:val="16"/>
                <w:szCs w:val="16"/>
              </w:rPr>
            </w:pPr>
            <w:r w:rsidRPr="006A74F8">
              <w:rPr>
                <w:rFonts w:ascii="Calibri" w:eastAsia="Calibri" w:hAnsi="Calibri" w:cs="Calibri"/>
                <w:sz w:val="16"/>
                <w:szCs w:val="16"/>
              </w:rPr>
              <w:t xml:space="preserve">Prescriptive framework for measurement services </w:t>
            </w:r>
            <w:r w:rsidR="00ED2943">
              <w:rPr>
                <w:rFonts w:ascii="Calibri" w:eastAsia="Calibri" w:hAnsi="Calibri" w:cs="Calibri"/>
                <w:sz w:val="16"/>
                <w:szCs w:val="16"/>
              </w:rPr>
              <w:t>limits</w:t>
            </w:r>
            <w:r w:rsidR="00A80BAC" w:rsidRPr="006A74F8">
              <w:rPr>
                <w:rFonts w:ascii="Calibri" w:eastAsia="Calibri" w:hAnsi="Calibri" w:cs="Calibri"/>
                <w:sz w:val="16"/>
                <w:szCs w:val="16"/>
              </w:rPr>
              <w:t xml:space="preserve"> </w:t>
            </w:r>
            <w:r w:rsidRPr="006A74F8">
              <w:rPr>
                <w:rFonts w:ascii="Calibri" w:eastAsia="Calibri" w:hAnsi="Calibri" w:cs="Calibri"/>
                <w:sz w:val="16"/>
                <w:szCs w:val="16"/>
              </w:rPr>
              <w:t xml:space="preserve">support </w:t>
            </w:r>
            <w:r w:rsidR="00A80BAC" w:rsidRPr="006A74F8">
              <w:rPr>
                <w:rFonts w:ascii="Calibri" w:eastAsia="Calibri" w:hAnsi="Calibri" w:cs="Calibri"/>
                <w:sz w:val="16"/>
                <w:szCs w:val="16"/>
              </w:rPr>
              <w:t>for</w:t>
            </w:r>
            <w:r w:rsidRPr="006A74F8">
              <w:rPr>
                <w:rFonts w:ascii="Calibri" w:eastAsia="Calibri" w:hAnsi="Calibri" w:cs="Calibri"/>
                <w:sz w:val="16"/>
                <w:szCs w:val="16"/>
              </w:rPr>
              <w:t xml:space="preserve"> industry capability</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633C38" w:rsidRPr="006A74F8" w:rsidRDefault="00D11422" w:rsidP="00FD7AC9">
            <w:pPr>
              <w:rPr>
                <w:rFonts w:ascii="Calibri" w:eastAsia="Calibri" w:hAnsi="Calibri" w:cs="Calibri"/>
                <w:sz w:val="16"/>
                <w:szCs w:val="16"/>
              </w:rPr>
            </w:pPr>
            <w:r w:rsidRPr="006A74F8">
              <w:rPr>
                <w:rFonts w:ascii="Calibri" w:eastAsia="Calibri" w:hAnsi="Calibri" w:cs="Calibri"/>
                <w:sz w:val="16"/>
                <w:szCs w:val="16"/>
              </w:rPr>
              <w:t>Streamlined arrangements and greater access to measurement service capabilities</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Flexibility to support evolving measurement services aids industry development</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Greater principles-based regulatory engagement creates opportunity</w:t>
            </w:r>
          </w:p>
        </w:tc>
      </w:tr>
      <w:tr w:rsidR="00633C38" w:rsidRPr="006A74F8" w:rsidTr="005D09BF">
        <w:trPr>
          <w:trHeight w:hRule="exact" w:val="1270"/>
          <w:tblHeader/>
        </w:trPr>
        <w:tc>
          <w:tcPr>
            <w:tcW w:w="425" w:type="dxa"/>
            <w:vMerge/>
            <w:tcBorders>
              <w:left w:val="single" w:sz="8" w:space="0" w:color="FFFFFF"/>
              <w:right w:val="single" w:sz="8" w:space="0" w:color="FFFFFF"/>
            </w:tcBorders>
            <w:shd w:val="clear" w:color="auto" w:fill="B8C4D2"/>
          </w:tcPr>
          <w:p w:rsidR="00633C38" w:rsidRPr="006A74F8" w:rsidRDefault="00633C38" w:rsidP="00FD7AC9">
            <w:pPr>
              <w:autoSpaceDE w:val="0"/>
              <w:autoSpaceDN w:val="0"/>
              <w:adjustRightInd w:val="0"/>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B8C4D2"/>
            <w:vAlign w:val="center"/>
          </w:tcPr>
          <w:p w:rsidR="00633C38" w:rsidRPr="006A74F8" w:rsidRDefault="00633C38" w:rsidP="00FD7AC9">
            <w:pPr>
              <w:autoSpaceDE w:val="0"/>
              <w:autoSpaceDN w:val="0"/>
              <w:adjustRightInd w:val="0"/>
              <w:rPr>
                <w:rFonts w:ascii="Calibri" w:eastAsia="Calibri" w:hAnsi="Calibri" w:cs="Calibri"/>
                <w:b/>
                <w:color w:val="000000"/>
                <w:sz w:val="20"/>
                <w:szCs w:val="20"/>
              </w:rPr>
            </w:pPr>
            <w:r w:rsidRPr="006A74F8">
              <w:rPr>
                <w:rFonts w:ascii="Calibri" w:eastAsia="Calibri" w:hAnsi="Calibri" w:cs="Calibri"/>
                <w:b/>
                <w:color w:val="000000"/>
                <w:sz w:val="20"/>
                <w:szCs w:val="20"/>
              </w:rPr>
              <w:t>Balancing Market Costs and Benefits</w:t>
            </w:r>
          </w:p>
          <w:p w:rsidR="00633C38" w:rsidRPr="006A74F8" w:rsidRDefault="00633C38" w:rsidP="00FD7AC9">
            <w:pPr>
              <w:rPr>
                <w:rFonts w:ascii="Calibri" w:eastAsia="Calibri" w:hAnsi="Calibri" w:cs="Calibri"/>
                <w:sz w:val="18"/>
                <w:szCs w:val="18"/>
              </w:rPr>
            </w:pPr>
            <w:r w:rsidRPr="006A74F8">
              <w:rPr>
                <w:rFonts w:ascii="Calibri" w:eastAsia="Calibri" w:hAnsi="Calibri" w:cs="Calibri"/>
                <w:sz w:val="18"/>
                <w:szCs w:val="18"/>
              </w:rPr>
              <w:t>Minimises unnecessary regulatory burden and cost for industry while maintaining confidence in the measurement system</w:t>
            </w:r>
          </w:p>
          <w:p w:rsidR="00633C38" w:rsidRPr="006A74F8" w:rsidRDefault="00D701C5" w:rsidP="00FD7AC9">
            <w:pPr>
              <w:rPr>
                <w:rFonts w:ascii="Calibri" w:eastAsia="Calibri" w:hAnsi="Calibri" w:cs="Calibri"/>
                <w:sz w:val="18"/>
                <w:szCs w:val="18"/>
              </w:rPr>
            </w:pPr>
            <w:r w:rsidRPr="006A74F8">
              <w:rPr>
                <w:rFonts w:ascii="Calibri" w:eastAsia="Calibri" w:hAnsi="Calibri" w:cs="Calibri"/>
                <w:sz w:val="18"/>
                <w:szCs w:val="18"/>
              </w:rPr>
              <w:t>S</w:t>
            </w:r>
            <w:r w:rsidR="00633C38" w:rsidRPr="006A74F8">
              <w:rPr>
                <w:rFonts w:ascii="Calibri" w:eastAsia="Calibri" w:hAnsi="Calibri" w:cs="Calibri"/>
                <w:sz w:val="18"/>
                <w:szCs w:val="18"/>
              </w:rPr>
              <w:t>ystem</w:t>
            </w:r>
          </w:p>
        </w:tc>
        <w:tc>
          <w:tcPr>
            <w:tcW w:w="1560" w:type="dxa"/>
            <w:tcBorders>
              <w:top w:val="single" w:sz="8" w:space="0" w:color="FFFFFF"/>
              <w:left w:val="single" w:sz="8" w:space="0" w:color="FFFFFF"/>
              <w:bottom w:val="single" w:sz="8" w:space="0" w:color="FFFFFF"/>
              <w:right w:val="single" w:sz="8" w:space="0" w:color="FFFFFF"/>
            </w:tcBorders>
            <w:shd w:val="clear" w:color="auto" w:fill="D9E2F3"/>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Prescriptive framework is one size-fits-all rather than targeted to risk</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rsidR="00633C38" w:rsidRPr="006A74F8" w:rsidRDefault="004F3986" w:rsidP="00FD7AC9">
            <w:pPr>
              <w:rPr>
                <w:rFonts w:ascii="Calibri" w:eastAsia="Calibri" w:hAnsi="Calibri" w:cs="Calibri"/>
                <w:sz w:val="16"/>
                <w:szCs w:val="16"/>
              </w:rPr>
            </w:pPr>
            <w:r w:rsidRPr="006A74F8">
              <w:rPr>
                <w:rFonts w:ascii="Calibri" w:eastAsia="Calibri" w:hAnsi="Calibri" w:cs="Calibri"/>
                <w:sz w:val="16"/>
                <w:szCs w:val="16"/>
              </w:rPr>
              <w:t>Principles-</w:t>
            </w:r>
            <w:r w:rsidR="00633C38" w:rsidRPr="006A74F8">
              <w:rPr>
                <w:rFonts w:ascii="Calibri" w:eastAsia="Calibri" w:hAnsi="Calibri" w:cs="Calibri"/>
                <w:sz w:val="16"/>
                <w:szCs w:val="16"/>
              </w:rPr>
              <w:t>based approach reduces regulatory burden</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Flexibility enables very targeted arrangements, reducing burden</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Potential for regulatory duplication</w:t>
            </w:r>
          </w:p>
        </w:tc>
      </w:tr>
      <w:tr w:rsidR="00633C38" w:rsidRPr="006A74F8" w:rsidTr="002334DC">
        <w:trPr>
          <w:trHeight w:hRule="exact" w:val="1400"/>
          <w:tblHeader/>
        </w:trPr>
        <w:tc>
          <w:tcPr>
            <w:tcW w:w="425" w:type="dxa"/>
            <w:vMerge/>
            <w:tcBorders>
              <w:left w:val="single" w:sz="8" w:space="0" w:color="FFFFFF"/>
              <w:bottom w:val="single" w:sz="12" w:space="0" w:color="auto"/>
              <w:right w:val="single" w:sz="8" w:space="0" w:color="FFFFFF"/>
            </w:tcBorders>
            <w:shd w:val="clear" w:color="auto" w:fill="B8C4D2"/>
          </w:tcPr>
          <w:p w:rsidR="00633C38" w:rsidRPr="006A74F8" w:rsidRDefault="00633C38" w:rsidP="00FD7AC9">
            <w:pPr>
              <w:autoSpaceDE w:val="0"/>
              <w:autoSpaceDN w:val="0"/>
              <w:adjustRightInd w:val="0"/>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12" w:space="0" w:color="auto"/>
              <w:right w:val="single" w:sz="8" w:space="0" w:color="FFFFFF"/>
            </w:tcBorders>
            <w:shd w:val="clear" w:color="auto" w:fill="B8C4D2"/>
            <w:vAlign w:val="center"/>
          </w:tcPr>
          <w:p w:rsidR="00633C38" w:rsidRPr="006A74F8" w:rsidRDefault="00633C38" w:rsidP="00FD7AC9">
            <w:pPr>
              <w:autoSpaceDE w:val="0"/>
              <w:autoSpaceDN w:val="0"/>
              <w:adjustRightInd w:val="0"/>
              <w:spacing w:after="120"/>
              <w:rPr>
                <w:rFonts w:ascii="Calibri" w:eastAsia="Calibri" w:hAnsi="Calibri" w:cs="Calibri"/>
                <w:b/>
                <w:color w:val="000000"/>
                <w:sz w:val="20"/>
                <w:szCs w:val="20"/>
              </w:rPr>
            </w:pPr>
            <w:r w:rsidRPr="006A74F8">
              <w:rPr>
                <w:rFonts w:ascii="Calibri" w:eastAsia="Calibri" w:hAnsi="Calibri" w:cs="Calibri"/>
                <w:b/>
                <w:color w:val="000000"/>
                <w:sz w:val="20"/>
                <w:szCs w:val="20"/>
              </w:rPr>
              <w:t>Balancing Cost to Government</w:t>
            </w:r>
          </w:p>
          <w:p w:rsidR="00633C38" w:rsidRPr="006A74F8" w:rsidRDefault="00633C38" w:rsidP="00FD7AC9">
            <w:pPr>
              <w:rPr>
                <w:rFonts w:ascii="Calibri" w:eastAsia="Calibri" w:hAnsi="Calibri" w:cs="Calibri"/>
                <w:sz w:val="18"/>
                <w:szCs w:val="18"/>
              </w:rPr>
            </w:pPr>
            <w:r w:rsidRPr="006A74F8">
              <w:rPr>
                <w:rFonts w:ascii="Calibri" w:eastAsia="Calibri" w:hAnsi="Calibri" w:cs="Calibri"/>
                <w:sz w:val="18"/>
                <w:szCs w:val="18"/>
              </w:rPr>
              <w:t>Ensures costs to deliver are reasonable, key capabilities and services are delivered to the benefit of Australian industry and the community</w:t>
            </w:r>
          </w:p>
        </w:tc>
        <w:tc>
          <w:tcPr>
            <w:tcW w:w="1560" w:type="dxa"/>
            <w:tcBorders>
              <w:top w:val="single" w:sz="8" w:space="0" w:color="FFFFFF"/>
              <w:left w:val="single" w:sz="8" w:space="0" w:color="FFFFFF"/>
              <w:bottom w:val="single" w:sz="12" w:space="0" w:color="auto"/>
              <w:right w:val="single" w:sz="8" w:space="0" w:color="FFFFFF"/>
            </w:tcBorders>
            <w:shd w:val="clear" w:color="auto" w:fill="D9E2F3"/>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Known cost for a functioning, but ageing framework</w:t>
            </w:r>
          </w:p>
        </w:tc>
        <w:tc>
          <w:tcPr>
            <w:tcW w:w="1559" w:type="dxa"/>
            <w:tcBorders>
              <w:top w:val="single" w:sz="8" w:space="0" w:color="FFFFFF"/>
              <w:left w:val="single" w:sz="8" w:space="0" w:color="FFFFFF"/>
              <w:bottom w:val="single" w:sz="12" w:space="0" w:color="auto"/>
              <w:right w:val="single" w:sz="8" w:space="0" w:color="FFFFFF"/>
            </w:tcBorders>
            <w:shd w:val="clear" w:color="auto" w:fill="8EAADB"/>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Potential increase in enforcement costs, but reduced administration costs, and more effective framework</w:t>
            </w:r>
          </w:p>
        </w:tc>
        <w:tc>
          <w:tcPr>
            <w:tcW w:w="1701" w:type="dxa"/>
            <w:tcBorders>
              <w:top w:val="single" w:sz="8" w:space="0" w:color="FFFFFF"/>
              <w:left w:val="single" w:sz="8" w:space="0" w:color="FFFFFF"/>
              <w:bottom w:val="single" w:sz="12" w:space="0" w:color="auto"/>
              <w:right w:val="single" w:sz="8" w:space="0" w:color="FFFFFF"/>
            </w:tcBorders>
            <w:shd w:val="clear" w:color="auto" w:fill="8EAADB"/>
            <w:vAlign w:val="center"/>
          </w:tcPr>
          <w:p w:rsidR="00633C38" w:rsidRPr="006A74F8" w:rsidRDefault="00633C38" w:rsidP="00FD7AC9">
            <w:pPr>
              <w:rPr>
                <w:rFonts w:ascii="Calibri" w:eastAsia="Calibri" w:hAnsi="Calibri" w:cs="Calibri"/>
                <w:sz w:val="16"/>
                <w:szCs w:val="16"/>
              </w:rPr>
            </w:pPr>
            <w:r w:rsidRPr="006A74F8">
              <w:rPr>
                <w:rFonts w:ascii="Calibri" w:eastAsia="Calibri" w:hAnsi="Calibri" w:cs="Calibri"/>
                <w:sz w:val="16"/>
                <w:szCs w:val="16"/>
              </w:rPr>
              <w:t xml:space="preserve">Enforcement costs and costs to manage flexible </w:t>
            </w:r>
            <w:r w:rsidR="00A77295" w:rsidRPr="006A74F8">
              <w:rPr>
                <w:rFonts w:ascii="Calibri" w:eastAsia="Calibri" w:hAnsi="Calibri" w:cs="Calibri"/>
                <w:sz w:val="16"/>
                <w:szCs w:val="16"/>
              </w:rPr>
              <w:t>arrangements</w:t>
            </w:r>
            <w:r w:rsidRPr="006A74F8">
              <w:rPr>
                <w:rFonts w:ascii="Calibri" w:eastAsia="Calibri" w:hAnsi="Calibri" w:cs="Calibri"/>
                <w:sz w:val="16"/>
                <w:szCs w:val="16"/>
              </w:rPr>
              <w:t xml:space="preserve"> result in more effective framework</w:t>
            </w:r>
          </w:p>
        </w:tc>
        <w:tc>
          <w:tcPr>
            <w:tcW w:w="1559" w:type="dxa"/>
            <w:tcBorders>
              <w:top w:val="single" w:sz="8" w:space="0" w:color="FFFFFF"/>
              <w:left w:val="single" w:sz="8" w:space="0" w:color="FFFFFF"/>
              <w:bottom w:val="single" w:sz="12" w:space="0" w:color="auto"/>
              <w:right w:val="single" w:sz="8" w:space="0" w:color="FFFFFF"/>
            </w:tcBorders>
            <w:shd w:val="clear" w:color="auto" w:fill="D9E2F3"/>
            <w:vAlign w:val="center"/>
          </w:tcPr>
          <w:p w:rsidR="00633C38" w:rsidRPr="006A74F8" w:rsidRDefault="008E3711" w:rsidP="00F4369F">
            <w:pPr>
              <w:rPr>
                <w:rFonts w:ascii="Calibri" w:eastAsia="Calibri" w:hAnsi="Calibri" w:cs="Calibri"/>
                <w:sz w:val="16"/>
                <w:szCs w:val="16"/>
              </w:rPr>
            </w:pPr>
            <w:r w:rsidRPr="00D35EBE">
              <w:rPr>
                <w:rFonts w:ascii="Calibri" w:eastAsia="Calibri" w:hAnsi="Calibri" w:cs="Calibri"/>
                <w:sz w:val="16"/>
                <w:szCs w:val="16"/>
              </w:rPr>
              <w:t>Supporting agencies via infrequently used capability is expensive</w:t>
            </w:r>
            <w:r w:rsidRPr="006A74F8">
              <w:rPr>
                <w:rFonts w:ascii="Calibri" w:eastAsia="Calibri" w:hAnsi="Calibri" w:cs="Calibri"/>
                <w:sz w:val="16"/>
                <w:szCs w:val="16"/>
              </w:rPr>
              <w:t xml:space="preserve"> </w:t>
            </w:r>
          </w:p>
        </w:tc>
      </w:tr>
    </w:tbl>
    <w:p w:rsidR="00995E46" w:rsidRPr="006A74F8" w:rsidRDefault="00E31912" w:rsidP="00057A34">
      <w:pPr>
        <w:pStyle w:val="Heading2"/>
        <w:rPr>
          <w:lang w:eastAsia="en-AU"/>
        </w:rPr>
      </w:pPr>
      <w:bookmarkStart w:id="206" w:name="_Toc61338652"/>
      <w:bookmarkStart w:id="207" w:name="_Toc63062564"/>
      <w:bookmarkStart w:id="208" w:name="_Toc64558431"/>
      <w:bookmarkStart w:id="209" w:name="_Toc64557451"/>
      <w:bookmarkStart w:id="210" w:name="_Toc64562176"/>
      <w:bookmarkStart w:id="211" w:name="_Toc64562432"/>
      <w:bookmarkStart w:id="212" w:name="_Toc67313584"/>
      <w:bookmarkStart w:id="213" w:name="_Toc67320777"/>
      <w:bookmarkStart w:id="214" w:name="_Toc67321930"/>
      <w:bookmarkStart w:id="215" w:name="_Toc67324395"/>
      <w:bookmarkStart w:id="216" w:name="_Toc67326556"/>
      <w:bookmarkStart w:id="217" w:name="_Toc67390573"/>
      <w:r w:rsidRPr="006A74F8">
        <w:rPr>
          <w:lang w:eastAsia="en-AU"/>
        </w:rPr>
        <w:lastRenderedPageBreak/>
        <w:t>Net benefits of reform o</w:t>
      </w:r>
      <w:r w:rsidR="00995E46" w:rsidRPr="006A74F8">
        <w:rPr>
          <w:lang w:eastAsia="en-AU"/>
        </w:rPr>
        <w:t>ptions</w:t>
      </w:r>
    </w:p>
    <w:p w:rsidR="0024025C" w:rsidRPr="006A74F8" w:rsidRDefault="00C93920" w:rsidP="0024025C">
      <w:pPr>
        <w:rPr>
          <w:rStyle w:val="Hyperlink"/>
          <w:color w:val="auto"/>
          <w:u w:val="none"/>
        </w:rPr>
      </w:pPr>
      <w:r w:rsidRPr="006A74F8">
        <w:rPr>
          <w:rStyle w:val="Hyperlink"/>
          <w:color w:val="auto"/>
          <w:u w:val="none"/>
        </w:rPr>
        <w:t>In</w:t>
      </w:r>
      <w:r w:rsidR="008111C4" w:rsidRPr="006A74F8">
        <w:rPr>
          <w:rStyle w:val="Hyperlink"/>
          <w:color w:val="auto"/>
          <w:u w:val="none"/>
        </w:rPr>
        <w:t xml:space="preserve"> response to </w:t>
      </w:r>
      <w:hyperlink w:anchor="_RIS_Question_4:_1" w:history="1">
        <w:r w:rsidR="008111C4" w:rsidRPr="006A74F8">
          <w:rPr>
            <w:rStyle w:val="Hyperlink"/>
          </w:rPr>
          <w:t>RIS Question 4</w:t>
        </w:r>
      </w:hyperlink>
      <w:r w:rsidRPr="006A74F8">
        <w:rPr>
          <w:rStyle w:val="Hyperlink"/>
          <w:color w:val="auto"/>
          <w:u w:val="none"/>
        </w:rPr>
        <w:t>, this</w:t>
      </w:r>
      <w:r w:rsidR="008111C4" w:rsidRPr="006A74F8">
        <w:rPr>
          <w:rStyle w:val="Hyperlink"/>
          <w:color w:val="auto"/>
          <w:u w:val="none"/>
        </w:rPr>
        <w:t xml:space="preserve"> RIS seeks to identify the net benefit of each option by providing:</w:t>
      </w:r>
    </w:p>
    <w:p w:rsidR="0024025C" w:rsidRPr="006A74F8" w:rsidRDefault="0024025C" w:rsidP="00C812C5">
      <w:pPr>
        <w:pStyle w:val="ListParagraph"/>
        <w:numPr>
          <w:ilvl w:val="0"/>
          <w:numId w:val="44"/>
        </w:numPr>
        <w:rPr>
          <w:rStyle w:val="Hyperlink"/>
          <w:color w:val="auto"/>
          <w:u w:val="none"/>
        </w:rPr>
      </w:pPr>
      <w:r w:rsidRPr="006A74F8">
        <w:rPr>
          <w:rStyle w:val="Hyperlink"/>
          <w:color w:val="auto"/>
          <w:u w:val="none"/>
        </w:rPr>
        <w:t xml:space="preserve">an estimate or description of regulatory burden based on </w:t>
      </w:r>
      <w:r w:rsidR="008111C4" w:rsidRPr="006A74F8">
        <w:rPr>
          <w:rStyle w:val="Hyperlink"/>
          <w:color w:val="auto"/>
          <w:u w:val="none"/>
        </w:rPr>
        <w:t>o</w:t>
      </w:r>
      <w:r w:rsidRPr="006A74F8">
        <w:rPr>
          <w:rStyle w:val="Hyperlink"/>
          <w:color w:val="auto"/>
          <w:u w:val="none"/>
        </w:rPr>
        <w:t xml:space="preserve">ptions of reform </w:t>
      </w:r>
    </w:p>
    <w:p w:rsidR="008111C4" w:rsidRPr="006A74F8" w:rsidRDefault="008111C4" w:rsidP="00C812C5">
      <w:pPr>
        <w:pStyle w:val="ListParagraph"/>
        <w:numPr>
          <w:ilvl w:val="0"/>
          <w:numId w:val="44"/>
        </w:numPr>
        <w:rPr>
          <w:rStyle w:val="Hyperlink"/>
          <w:color w:val="auto"/>
          <w:u w:val="none"/>
        </w:rPr>
      </w:pPr>
      <w:r w:rsidRPr="006A74F8">
        <w:rPr>
          <w:rStyle w:val="Hyperlink"/>
          <w:color w:val="auto"/>
          <w:u w:val="none"/>
        </w:rPr>
        <w:t xml:space="preserve">an impact analysis on key stakeholders </w:t>
      </w:r>
    </w:p>
    <w:p w:rsidR="0024025C" w:rsidRPr="006A74F8" w:rsidRDefault="008111C4" w:rsidP="00C812C5">
      <w:pPr>
        <w:pStyle w:val="ListParagraph"/>
        <w:numPr>
          <w:ilvl w:val="0"/>
          <w:numId w:val="44"/>
        </w:numPr>
        <w:rPr>
          <w:rStyle w:val="Hyperlink"/>
          <w:color w:val="auto"/>
          <w:u w:val="none"/>
        </w:rPr>
      </w:pPr>
      <w:r w:rsidRPr="006A74F8">
        <w:rPr>
          <w:rStyle w:val="Hyperlink"/>
          <w:color w:val="auto"/>
          <w:u w:val="none"/>
        </w:rPr>
        <w:t>a preliminary net benefit assessment of each option.</w:t>
      </w:r>
    </w:p>
    <w:p w:rsidR="00C93920" w:rsidRPr="006A74F8" w:rsidRDefault="00C93920" w:rsidP="00C93920">
      <w:r w:rsidRPr="006A74F8">
        <w:t xml:space="preserve">The conclusions from this analysis </w:t>
      </w:r>
      <w:r w:rsidR="00160AF6" w:rsidRPr="006A74F8">
        <w:t xml:space="preserve">are </w:t>
      </w:r>
      <w:r w:rsidRPr="006A74F8">
        <w:t>outlined below.</w:t>
      </w:r>
    </w:p>
    <w:p w:rsidR="00995E46" w:rsidRPr="006A74F8" w:rsidRDefault="00E31912" w:rsidP="00057A34">
      <w:pPr>
        <w:pStyle w:val="Heading3"/>
        <w:rPr>
          <w:lang w:eastAsia="en-AU"/>
        </w:rPr>
      </w:pPr>
      <w:r w:rsidRPr="006A74F8">
        <w:rPr>
          <w:lang w:eastAsia="en-AU"/>
        </w:rPr>
        <w:t>Changes in regulatory b</w:t>
      </w:r>
      <w:r w:rsidR="00057A34" w:rsidRPr="006A74F8">
        <w:rPr>
          <w:lang w:eastAsia="en-AU"/>
        </w:rPr>
        <w:t>urden</w:t>
      </w:r>
    </w:p>
    <w:p w:rsidR="00432037" w:rsidRPr="006A74F8" w:rsidRDefault="00432037" w:rsidP="00432037">
      <w:pPr>
        <w:rPr>
          <w:szCs w:val="24"/>
        </w:rPr>
      </w:pPr>
      <w:r w:rsidRPr="006A74F8">
        <w:t>This RIS calculates regulatory impacts from the reform options which can be reliably costed. Where possible this RIS adopts the Regulatory Burden Measurement framework</w:t>
      </w:r>
      <w:r w:rsidR="004C1E6B" w:rsidRPr="006A74F8">
        <w:t>,</w:t>
      </w:r>
      <w:r w:rsidRPr="006A74F8">
        <w:t xml:space="preserve"> or</w:t>
      </w:r>
      <w:r w:rsidRPr="006A74F8">
        <w:rPr>
          <w:szCs w:val="24"/>
        </w:rPr>
        <w:t xml:space="preserve"> alternative costing methods tested with the Office of Best Practice Regulation</w:t>
      </w:r>
      <w:r w:rsidR="004C1E6B" w:rsidRPr="006A74F8">
        <w:rPr>
          <w:szCs w:val="24"/>
        </w:rPr>
        <w:t>,</w:t>
      </w:r>
      <w:r w:rsidRPr="006A74F8">
        <w:rPr>
          <w:szCs w:val="24"/>
        </w:rPr>
        <w:t xml:space="preserve"> in order to cost the impacts of the options.  </w:t>
      </w:r>
    </w:p>
    <w:p w:rsidR="00432037" w:rsidRPr="006A74F8" w:rsidRDefault="00432037" w:rsidP="00432037">
      <w:r w:rsidRPr="006A74F8">
        <w:rPr>
          <w:szCs w:val="24"/>
        </w:rPr>
        <w:t>T</w:t>
      </w:r>
      <w:r w:rsidRPr="006A74F8">
        <w:t xml:space="preserve">he way in which some of the options </w:t>
      </w:r>
      <w:r w:rsidR="00160AF6" w:rsidRPr="006A74F8">
        <w:t xml:space="preserve">would </w:t>
      </w:r>
      <w:r w:rsidRPr="006A74F8">
        <w:t>be implemented will depend on future data collecti</w:t>
      </w:r>
      <w:r w:rsidR="00841D17" w:rsidRPr="006A74F8">
        <w:t xml:space="preserve">on, analysis and consultation. </w:t>
      </w:r>
      <w:r w:rsidRPr="006A74F8">
        <w:t xml:space="preserve">This means that it is not possible to completely cost the change in regulatory burden that would flow from each reform option.  </w:t>
      </w:r>
    </w:p>
    <w:p w:rsidR="004C1E6B" w:rsidRPr="006A74F8" w:rsidRDefault="00432037" w:rsidP="00057A34">
      <w:pPr>
        <w:rPr>
          <w:lang w:eastAsia="en-AU"/>
        </w:rPr>
      </w:pPr>
      <w:r w:rsidRPr="006A74F8">
        <w:rPr>
          <w:lang w:eastAsia="en-AU"/>
        </w:rPr>
        <w:t xml:space="preserve">The </w:t>
      </w:r>
      <w:r w:rsidR="009E72B1" w:rsidRPr="006A74F8">
        <w:rPr>
          <w:lang w:eastAsia="en-AU"/>
        </w:rPr>
        <w:t xml:space="preserve">quantifiable </w:t>
      </w:r>
      <w:r w:rsidRPr="006A74F8">
        <w:rPr>
          <w:lang w:eastAsia="en-AU"/>
        </w:rPr>
        <w:t xml:space="preserve">changes in regulatory burden </w:t>
      </w:r>
      <w:r w:rsidR="009E72B1" w:rsidRPr="006A74F8">
        <w:rPr>
          <w:lang w:eastAsia="en-AU"/>
        </w:rPr>
        <w:t xml:space="preserve">that have been identified </w:t>
      </w:r>
      <w:r w:rsidR="004C1E6B" w:rsidRPr="006A74F8">
        <w:rPr>
          <w:lang w:eastAsia="en-AU"/>
        </w:rPr>
        <w:t>are outlined in the table below.</w:t>
      </w:r>
    </w:p>
    <w:p w:rsidR="00DC6CF8" w:rsidRPr="006A74F8" w:rsidRDefault="00DC6CF8" w:rsidP="00DC6CF8">
      <w:pPr>
        <w:pStyle w:val="Caption"/>
        <w:keepNext/>
      </w:pPr>
      <w:r w:rsidRPr="006A74F8">
        <w:t xml:space="preserve">Table </w:t>
      </w:r>
      <w:r w:rsidR="00C25619" w:rsidRPr="006A74F8">
        <w:rPr>
          <w:noProof/>
        </w:rPr>
        <w:fldChar w:fldCharType="begin"/>
      </w:r>
      <w:r w:rsidR="00C25619" w:rsidRPr="006A74F8">
        <w:rPr>
          <w:noProof/>
        </w:rPr>
        <w:instrText xml:space="preserve"> SEQ Table \* ARABIC </w:instrText>
      </w:r>
      <w:r w:rsidR="00C25619" w:rsidRPr="006A74F8">
        <w:rPr>
          <w:noProof/>
        </w:rPr>
        <w:fldChar w:fldCharType="separate"/>
      </w:r>
      <w:r w:rsidR="0033017F">
        <w:rPr>
          <w:noProof/>
        </w:rPr>
        <w:t>3</w:t>
      </w:r>
      <w:r w:rsidR="00C25619" w:rsidRPr="006A74F8">
        <w:rPr>
          <w:noProof/>
        </w:rPr>
        <w:fldChar w:fldCharType="end"/>
      </w:r>
      <w:r w:rsidRPr="006A74F8">
        <w:t>: Summary of quantifiable changes in regulatory burden by option</w:t>
      </w:r>
    </w:p>
    <w:tbl>
      <w:tblPr>
        <w:tblStyle w:val="TableGrid"/>
        <w:tblW w:w="8925" w:type="dxa"/>
        <w:tblLayout w:type="fixed"/>
        <w:tblLook w:val="04A0" w:firstRow="1" w:lastRow="0" w:firstColumn="1" w:lastColumn="0" w:noHBand="0" w:noVBand="1"/>
        <w:tblCaption w:val="summary of quantifiable changes in regulatory burden by option"/>
        <w:tblDescription w:val="When read left to right the table describes the area of regulatory burden, the stakholder it impacts and the level of impact under option 1, then option 2 and then option 3.  "/>
      </w:tblPr>
      <w:tblGrid>
        <w:gridCol w:w="2263"/>
        <w:gridCol w:w="2126"/>
        <w:gridCol w:w="1559"/>
        <w:gridCol w:w="1418"/>
        <w:gridCol w:w="1559"/>
      </w:tblGrid>
      <w:tr w:rsidR="00432037" w:rsidRPr="006A74F8" w:rsidTr="001946E7">
        <w:trPr>
          <w:trHeight w:val="448"/>
          <w:tblHeader/>
        </w:trPr>
        <w:tc>
          <w:tcPr>
            <w:tcW w:w="2263" w:type="dxa"/>
            <w:shd w:val="clear" w:color="auto" w:fill="1F3864"/>
          </w:tcPr>
          <w:p w:rsidR="00432037" w:rsidRPr="006A74F8" w:rsidRDefault="00432037" w:rsidP="00E31912">
            <w:pPr>
              <w:rPr>
                <w:rStyle w:val="Hyperlink"/>
                <w:b/>
                <w:color w:val="auto"/>
                <w:u w:val="none"/>
              </w:rPr>
            </w:pPr>
            <w:r w:rsidRPr="006A74F8">
              <w:rPr>
                <w:rStyle w:val="Hyperlink"/>
                <w:b/>
                <w:color w:val="auto"/>
                <w:u w:val="none"/>
              </w:rPr>
              <w:t>Area of regulatory burden</w:t>
            </w:r>
          </w:p>
        </w:tc>
        <w:tc>
          <w:tcPr>
            <w:tcW w:w="2126" w:type="dxa"/>
            <w:tcBorders>
              <w:left w:val="nil"/>
            </w:tcBorders>
            <w:shd w:val="clear" w:color="auto" w:fill="1F3864"/>
          </w:tcPr>
          <w:p w:rsidR="00432037" w:rsidRPr="006A74F8" w:rsidRDefault="00432037" w:rsidP="00E31912">
            <w:pPr>
              <w:rPr>
                <w:rStyle w:val="Hyperlink"/>
                <w:b/>
                <w:color w:val="auto"/>
                <w:u w:val="none"/>
              </w:rPr>
            </w:pPr>
            <w:r w:rsidRPr="006A74F8">
              <w:rPr>
                <w:rStyle w:val="Hyperlink"/>
                <w:b/>
                <w:color w:val="auto"/>
                <w:u w:val="none"/>
              </w:rPr>
              <w:t xml:space="preserve">Stakeholders </w:t>
            </w:r>
          </w:p>
        </w:tc>
        <w:tc>
          <w:tcPr>
            <w:tcW w:w="1559" w:type="dxa"/>
            <w:shd w:val="clear" w:color="auto" w:fill="1F3864"/>
          </w:tcPr>
          <w:p w:rsidR="00432037" w:rsidRPr="006A74F8" w:rsidRDefault="00432037" w:rsidP="00E31912">
            <w:pPr>
              <w:rPr>
                <w:rStyle w:val="Hyperlink"/>
                <w:b/>
                <w:color w:val="auto"/>
                <w:u w:val="none"/>
              </w:rPr>
            </w:pPr>
            <w:r w:rsidRPr="006A74F8">
              <w:rPr>
                <w:rStyle w:val="Hyperlink"/>
                <w:b/>
                <w:color w:val="auto"/>
                <w:u w:val="none"/>
              </w:rPr>
              <w:t>Option 1</w:t>
            </w:r>
          </w:p>
        </w:tc>
        <w:tc>
          <w:tcPr>
            <w:tcW w:w="1418" w:type="dxa"/>
            <w:shd w:val="clear" w:color="auto" w:fill="1F3864"/>
          </w:tcPr>
          <w:p w:rsidR="00432037" w:rsidRPr="006A74F8" w:rsidRDefault="00432037" w:rsidP="00E31912">
            <w:pPr>
              <w:rPr>
                <w:rStyle w:val="Hyperlink"/>
                <w:b/>
                <w:color w:val="auto"/>
                <w:u w:val="none"/>
              </w:rPr>
            </w:pPr>
            <w:r w:rsidRPr="006A74F8">
              <w:rPr>
                <w:rStyle w:val="Hyperlink"/>
                <w:b/>
                <w:color w:val="auto"/>
                <w:u w:val="none"/>
              </w:rPr>
              <w:t>Option 2</w:t>
            </w:r>
          </w:p>
        </w:tc>
        <w:tc>
          <w:tcPr>
            <w:tcW w:w="1559" w:type="dxa"/>
            <w:shd w:val="clear" w:color="auto" w:fill="1F3864"/>
          </w:tcPr>
          <w:p w:rsidR="00432037" w:rsidRPr="006A74F8" w:rsidRDefault="00432037" w:rsidP="00E31912">
            <w:pPr>
              <w:rPr>
                <w:rStyle w:val="Hyperlink"/>
                <w:b/>
                <w:color w:val="auto"/>
                <w:u w:val="none"/>
              </w:rPr>
            </w:pPr>
            <w:r w:rsidRPr="006A74F8">
              <w:rPr>
                <w:rStyle w:val="Hyperlink"/>
                <w:b/>
                <w:color w:val="auto"/>
                <w:u w:val="none"/>
              </w:rPr>
              <w:t>Option 3</w:t>
            </w:r>
          </w:p>
        </w:tc>
      </w:tr>
      <w:tr w:rsidR="00432037" w:rsidRPr="006A74F8" w:rsidTr="00E843AB">
        <w:trPr>
          <w:trHeight w:val="319"/>
        </w:trPr>
        <w:tc>
          <w:tcPr>
            <w:tcW w:w="2263" w:type="dxa"/>
            <w:vMerge w:val="restart"/>
          </w:tcPr>
          <w:p w:rsidR="00432037" w:rsidRPr="006A74F8" w:rsidRDefault="00E843AB" w:rsidP="00E31912">
            <w:pPr>
              <w:rPr>
                <w:rStyle w:val="Hyperlink"/>
                <w:b/>
                <w:color w:val="auto"/>
                <w:u w:val="none"/>
              </w:rPr>
            </w:pPr>
            <w:r w:rsidRPr="006A74F8">
              <w:rPr>
                <w:b/>
              </w:rPr>
              <w:t>Measurement marking requirements on packaged products</w:t>
            </w:r>
          </w:p>
        </w:tc>
        <w:tc>
          <w:tcPr>
            <w:tcW w:w="2126" w:type="dxa"/>
          </w:tcPr>
          <w:p w:rsidR="00432037" w:rsidRPr="006A74F8" w:rsidRDefault="00432037" w:rsidP="00E31912">
            <w:pPr>
              <w:rPr>
                <w:rFonts w:ascii="Calibri" w:hAnsi="Calibri" w:cs="Calibri"/>
              </w:rPr>
            </w:pPr>
            <w:r w:rsidRPr="006A74F8">
              <w:rPr>
                <w:rFonts w:ascii="Calibri" w:hAnsi="Calibri" w:cs="Calibri"/>
              </w:rPr>
              <w:t>Industry</w:t>
            </w:r>
          </w:p>
        </w:tc>
        <w:tc>
          <w:tcPr>
            <w:tcW w:w="1559" w:type="dxa"/>
          </w:tcPr>
          <w:p w:rsidR="00432037" w:rsidRPr="006A74F8" w:rsidRDefault="00432037" w:rsidP="001A6314">
            <w:pPr>
              <w:jc w:val="center"/>
              <w:rPr>
                <w:rStyle w:val="Hyperlink"/>
                <w:color w:val="auto"/>
                <w:u w:val="none"/>
              </w:rPr>
            </w:pPr>
            <w:r w:rsidRPr="006A74F8">
              <w:t>-$5.7m</w:t>
            </w:r>
          </w:p>
        </w:tc>
        <w:tc>
          <w:tcPr>
            <w:tcW w:w="1418" w:type="dxa"/>
          </w:tcPr>
          <w:p w:rsidR="00432037" w:rsidRPr="006A74F8" w:rsidRDefault="00432037" w:rsidP="001A6314">
            <w:pPr>
              <w:jc w:val="center"/>
              <w:rPr>
                <w:rStyle w:val="Hyperlink"/>
                <w:color w:val="auto"/>
                <w:u w:val="none"/>
              </w:rPr>
            </w:pPr>
            <w:r w:rsidRPr="006A74F8">
              <w:t>-$6.4m</w:t>
            </w:r>
          </w:p>
        </w:tc>
        <w:tc>
          <w:tcPr>
            <w:tcW w:w="1559" w:type="dxa"/>
          </w:tcPr>
          <w:p w:rsidR="00432037" w:rsidRPr="006A74F8" w:rsidRDefault="00432037" w:rsidP="001A6314">
            <w:pPr>
              <w:jc w:val="center"/>
              <w:rPr>
                <w:rStyle w:val="Hyperlink"/>
                <w:color w:val="auto"/>
                <w:u w:val="none"/>
              </w:rPr>
            </w:pPr>
            <w:r w:rsidRPr="006A74F8">
              <w:rPr>
                <w:rFonts w:ascii="Calibri" w:hAnsi="Calibri" w:cs="Calibri"/>
              </w:rPr>
              <w:t>-$6.4m</w:t>
            </w:r>
          </w:p>
        </w:tc>
      </w:tr>
      <w:tr w:rsidR="00432037" w:rsidRPr="006A74F8" w:rsidTr="00E843AB">
        <w:trPr>
          <w:trHeight w:val="279"/>
        </w:trPr>
        <w:tc>
          <w:tcPr>
            <w:tcW w:w="2263" w:type="dxa"/>
            <w:vMerge/>
          </w:tcPr>
          <w:p w:rsidR="00432037" w:rsidRPr="006A74F8" w:rsidRDefault="00432037" w:rsidP="00E31912">
            <w:pPr>
              <w:rPr>
                <w:rStyle w:val="Hyperlink"/>
                <w:b/>
                <w:color w:val="auto"/>
                <w:u w:val="none"/>
              </w:rPr>
            </w:pPr>
          </w:p>
        </w:tc>
        <w:tc>
          <w:tcPr>
            <w:tcW w:w="2126" w:type="dxa"/>
          </w:tcPr>
          <w:p w:rsidR="00432037" w:rsidRPr="006A74F8" w:rsidRDefault="00432037" w:rsidP="00E31912">
            <w:pPr>
              <w:rPr>
                <w:rStyle w:val="Hyperlink"/>
                <w:color w:val="auto"/>
                <w:u w:val="none"/>
              </w:rPr>
            </w:pPr>
            <w:r w:rsidRPr="006A74F8">
              <w:rPr>
                <w:rStyle w:val="Hyperlink"/>
                <w:color w:val="auto"/>
                <w:u w:val="none"/>
              </w:rPr>
              <w:t>Consumers</w:t>
            </w:r>
          </w:p>
        </w:tc>
        <w:tc>
          <w:tcPr>
            <w:tcW w:w="1559" w:type="dxa"/>
          </w:tcPr>
          <w:p w:rsidR="00432037" w:rsidRPr="006A74F8" w:rsidRDefault="00E843AB" w:rsidP="00E843AB">
            <w:pPr>
              <w:jc w:val="center"/>
              <w:rPr>
                <w:rStyle w:val="Hyperlink"/>
                <w:color w:val="auto"/>
                <w:u w:val="none"/>
              </w:rPr>
            </w:pPr>
            <w:r w:rsidRPr="006A74F8">
              <w:t>+</w:t>
            </w:r>
            <w:r w:rsidR="00432037" w:rsidRPr="006A74F8">
              <w:t xml:space="preserve">$0.1m </w:t>
            </w:r>
          </w:p>
        </w:tc>
        <w:tc>
          <w:tcPr>
            <w:tcW w:w="1418" w:type="dxa"/>
          </w:tcPr>
          <w:p w:rsidR="00432037" w:rsidRPr="006A74F8" w:rsidRDefault="00E843AB" w:rsidP="00E843AB">
            <w:pPr>
              <w:jc w:val="center"/>
              <w:rPr>
                <w:rStyle w:val="Hyperlink"/>
                <w:color w:val="auto"/>
                <w:u w:val="none"/>
              </w:rPr>
            </w:pPr>
            <w:r w:rsidRPr="006A74F8">
              <w:t>+</w:t>
            </w:r>
            <w:r w:rsidR="00432037" w:rsidRPr="006A74F8">
              <w:t>$0.9m</w:t>
            </w:r>
          </w:p>
        </w:tc>
        <w:tc>
          <w:tcPr>
            <w:tcW w:w="1559" w:type="dxa"/>
          </w:tcPr>
          <w:p w:rsidR="00432037" w:rsidRPr="006A74F8" w:rsidRDefault="00E843AB" w:rsidP="00E843AB">
            <w:pPr>
              <w:jc w:val="center"/>
              <w:rPr>
                <w:rStyle w:val="Hyperlink"/>
                <w:color w:val="auto"/>
                <w:u w:val="none"/>
              </w:rPr>
            </w:pPr>
            <w:r w:rsidRPr="006A74F8">
              <w:rPr>
                <w:rStyle w:val="Hyperlink"/>
                <w:color w:val="auto"/>
                <w:u w:val="none"/>
              </w:rPr>
              <w:t>+</w:t>
            </w:r>
            <w:r w:rsidR="00432037" w:rsidRPr="006A74F8">
              <w:rPr>
                <w:rStyle w:val="Hyperlink"/>
                <w:color w:val="auto"/>
                <w:u w:val="none"/>
              </w:rPr>
              <w:t>$0.9m</w:t>
            </w:r>
          </w:p>
        </w:tc>
      </w:tr>
      <w:tr w:rsidR="009E72B1" w:rsidRPr="006A74F8" w:rsidTr="00E843AB">
        <w:trPr>
          <w:trHeight w:val="300"/>
        </w:trPr>
        <w:tc>
          <w:tcPr>
            <w:tcW w:w="2263" w:type="dxa"/>
          </w:tcPr>
          <w:p w:rsidR="009E72B1" w:rsidRPr="006A74F8" w:rsidRDefault="009E72B1" w:rsidP="00E31912">
            <w:pPr>
              <w:rPr>
                <w:rStyle w:val="Hyperlink"/>
                <w:b/>
                <w:color w:val="auto"/>
                <w:u w:val="none"/>
              </w:rPr>
            </w:pPr>
            <w:r w:rsidRPr="006A74F8">
              <w:rPr>
                <w:b/>
              </w:rPr>
              <w:t>Understanding packaging requirements</w:t>
            </w:r>
          </w:p>
        </w:tc>
        <w:tc>
          <w:tcPr>
            <w:tcW w:w="2126" w:type="dxa"/>
          </w:tcPr>
          <w:p w:rsidR="009E72B1" w:rsidRPr="006A74F8" w:rsidRDefault="00E843AB" w:rsidP="00E31912">
            <w:pPr>
              <w:rPr>
                <w:rStyle w:val="Hyperlink"/>
                <w:color w:val="auto"/>
                <w:u w:val="none"/>
              </w:rPr>
            </w:pPr>
            <w:r w:rsidRPr="006A74F8">
              <w:t>Manufacturers and Importers of packaged p</w:t>
            </w:r>
            <w:r w:rsidR="009E72B1" w:rsidRPr="006A74F8">
              <w:t>roducts</w:t>
            </w:r>
          </w:p>
        </w:tc>
        <w:tc>
          <w:tcPr>
            <w:tcW w:w="1559" w:type="dxa"/>
          </w:tcPr>
          <w:p w:rsidR="009E72B1" w:rsidRPr="006A74F8" w:rsidRDefault="009E72B1" w:rsidP="00E843AB">
            <w:pPr>
              <w:jc w:val="center"/>
            </w:pPr>
            <w:r w:rsidRPr="006A74F8">
              <w:t>-$2.7m</w:t>
            </w:r>
          </w:p>
        </w:tc>
        <w:tc>
          <w:tcPr>
            <w:tcW w:w="1418" w:type="dxa"/>
          </w:tcPr>
          <w:p w:rsidR="009E72B1" w:rsidRPr="006A74F8" w:rsidRDefault="009E72B1" w:rsidP="00E843AB">
            <w:pPr>
              <w:jc w:val="center"/>
            </w:pPr>
            <w:r w:rsidRPr="006A74F8">
              <w:t>-$</w:t>
            </w:r>
            <w:r w:rsidR="00A669C5" w:rsidRPr="006A74F8">
              <w:t>2.7m</w:t>
            </w:r>
          </w:p>
        </w:tc>
        <w:tc>
          <w:tcPr>
            <w:tcW w:w="1559" w:type="dxa"/>
          </w:tcPr>
          <w:p w:rsidR="009E72B1" w:rsidRPr="006A74F8" w:rsidRDefault="009E72B1" w:rsidP="00E843AB">
            <w:pPr>
              <w:jc w:val="center"/>
            </w:pPr>
            <w:r w:rsidRPr="006A74F8">
              <w:t>-$</w:t>
            </w:r>
            <w:r w:rsidR="00A669C5" w:rsidRPr="006A74F8">
              <w:t>2.7m</w:t>
            </w:r>
          </w:p>
        </w:tc>
      </w:tr>
      <w:tr w:rsidR="00DD0018" w:rsidRPr="006A74F8" w:rsidTr="00E843AB">
        <w:trPr>
          <w:trHeight w:val="300"/>
        </w:trPr>
        <w:tc>
          <w:tcPr>
            <w:tcW w:w="2263" w:type="dxa"/>
          </w:tcPr>
          <w:p w:rsidR="00DD0018" w:rsidRPr="006A74F8" w:rsidRDefault="00DD0018" w:rsidP="00E31912">
            <w:pPr>
              <w:rPr>
                <w:b/>
              </w:rPr>
            </w:pPr>
            <w:r w:rsidRPr="006A74F8">
              <w:rPr>
                <w:rFonts w:cstheme="minorHAnsi"/>
                <w:b/>
              </w:rPr>
              <w:t>Pattern approval</w:t>
            </w:r>
            <w:r w:rsidR="000E774D" w:rsidRPr="006A74F8">
              <w:rPr>
                <w:rFonts w:cstheme="minorHAnsi"/>
                <w:b/>
              </w:rPr>
              <w:t xml:space="preserve"> costs</w:t>
            </w:r>
          </w:p>
        </w:tc>
        <w:tc>
          <w:tcPr>
            <w:tcW w:w="2126" w:type="dxa"/>
          </w:tcPr>
          <w:p w:rsidR="00DD0018" w:rsidRPr="006A74F8" w:rsidRDefault="00E843AB" w:rsidP="00E31912">
            <w:r w:rsidRPr="006A74F8">
              <w:rPr>
                <w:rFonts w:cstheme="minorHAnsi"/>
              </w:rPr>
              <w:t>Instrument manufacturers</w:t>
            </w:r>
          </w:p>
        </w:tc>
        <w:tc>
          <w:tcPr>
            <w:tcW w:w="1559" w:type="dxa"/>
          </w:tcPr>
          <w:p w:rsidR="00DD0018" w:rsidRPr="006A74F8" w:rsidRDefault="00A049B0" w:rsidP="00E843AB">
            <w:pPr>
              <w:jc w:val="center"/>
            </w:pPr>
            <w:r w:rsidRPr="006A74F8">
              <w:t>-$0.01m</w:t>
            </w:r>
          </w:p>
        </w:tc>
        <w:tc>
          <w:tcPr>
            <w:tcW w:w="1418" w:type="dxa"/>
          </w:tcPr>
          <w:p w:rsidR="00DD0018" w:rsidRPr="006A74F8" w:rsidRDefault="00A049B0" w:rsidP="00E843AB">
            <w:pPr>
              <w:jc w:val="center"/>
            </w:pPr>
            <w:r w:rsidRPr="006A74F8">
              <w:t>-$0.04m</w:t>
            </w:r>
          </w:p>
        </w:tc>
        <w:tc>
          <w:tcPr>
            <w:tcW w:w="1559" w:type="dxa"/>
          </w:tcPr>
          <w:p w:rsidR="00DD0018" w:rsidRPr="006A74F8" w:rsidRDefault="00827FB6" w:rsidP="00E843AB">
            <w:pPr>
              <w:jc w:val="center"/>
            </w:pPr>
            <w:r w:rsidRPr="006A74F8">
              <w:t>-$</w:t>
            </w:r>
            <w:r w:rsidR="00B45E08" w:rsidRPr="006A74F8">
              <w:t>0.04m</w:t>
            </w:r>
            <w:r w:rsidR="006D5B87" w:rsidRPr="006A74F8">
              <w:t>*</w:t>
            </w:r>
          </w:p>
        </w:tc>
      </w:tr>
      <w:tr w:rsidR="00D23363" w:rsidRPr="006A74F8" w:rsidTr="00E843AB">
        <w:trPr>
          <w:trHeight w:val="300"/>
        </w:trPr>
        <w:tc>
          <w:tcPr>
            <w:tcW w:w="2263" w:type="dxa"/>
          </w:tcPr>
          <w:p w:rsidR="00D23363" w:rsidRPr="006A74F8" w:rsidRDefault="00D23363" w:rsidP="00E31912">
            <w:pPr>
              <w:rPr>
                <w:rFonts w:cstheme="minorHAnsi"/>
                <w:b/>
              </w:rPr>
            </w:pPr>
            <w:r w:rsidRPr="006A74F8">
              <w:rPr>
                <w:rFonts w:cstheme="minorHAnsi"/>
                <w:b/>
              </w:rPr>
              <w:t>Verification</w:t>
            </w:r>
            <w:r w:rsidR="000E774D" w:rsidRPr="006A74F8">
              <w:rPr>
                <w:rFonts w:cstheme="minorHAnsi"/>
                <w:b/>
              </w:rPr>
              <w:t xml:space="preserve"> costs </w:t>
            </w:r>
          </w:p>
        </w:tc>
        <w:tc>
          <w:tcPr>
            <w:tcW w:w="2126" w:type="dxa"/>
          </w:tcPr>
          <w:p w:rsidR="00D23363" w:rsidRPr="006A74F8" w:rsidRDefault="000E774D" w:rsidP="00E31912">
            <w:pPr>
              <w:rPr>
                <w:rFonts w:cstheme="minorHAnsi"/>
              </w:rPr>
            </w:pPr>
            <w:r w:rsidRPr="006A74F8">
              <w:rPr>
                <w:rFonts w:cstheme="minorHAnsi"/>
              </w:rPr>
              <w:t>Industry</w:t>
            </w:r>
            <w:r w:rsidR="00991A38" w:rsidRPr="006A74F8">
              <w:rPr>
                <w:rFonts w:cstheme="minorHAnsi"/>
              </w:rPr>
              <w:t xml:space="preserve">: </w:t>
            </w:r>
            <w:r w:rsidR="00856E0C" w:rsidRPr="006A74F8">
              <w:rPr>
                <w:rFonts w:cstheme="minorHAnsi"/>
              </w:rPr>
              <w:t>A</w:t>
            </w:r>
            <w:r w:rsidR="00F426B8" w:rsidRPr="006A74F8">
              <w:rPr>
                <w:rFonts w:cstheme="minorHAnsi"/>
              </w:rPr>
              <w:t>TPs</w:t>
            </w:r>
            <w:r w:rsidR="00856E0C" w:rsidRPr="006A74F8">
              <w:rPr>
                <w:rFonts w:cstheme="minorHAnsi"/>
              </w:rPr>
              <w:t xml:space="preserve"> </w:t>
            </w:r>
            <w:r w:rsidR="00991A38" w:rsidRPr="006A74F8">
              <w:rPr>
                <w:rFonts w:cstheme="minorHAnsi"/>
              </w:rPr>
              <w:t xml:space="preserve">and </w:t>
            </w:r>
          </w:p>
          <w:p w:rsidR="00991A38" w:rsidRPr="006A74F8" w:rsidRDefault="00E843AB" w:rsidP="00E843AB">
            <w:pPr>
              <w:rPr>
                <w:rFonts w:cstheme="minorHAnsi"/>
              </w:rPr>
            </w:pPr>
            <w:r w:rsidRPr="006A74F8">
              <w:rPr>
                <w:rFonts w:cstheme="minorHAnsi"/>
              </w:rPr>
              <w:t>t</w:t>
            </w:r>
            <w:r w:rsidR="00991A38" w:rsidRPr="006A74F8">
              <w:rPr>
                <w:rFonts w:cstheme="minorHAnsi"/>
              </w:rPr>
              <w:t>rading businesses</w:t>
            </w:r>
          </w:p>
        </w:tc>
        <w:tc>
          <w:tcPr>
            <w:tcW w:w="1559" w:type="dxa"/>
          </w:tcPr>
          <w:p w:rsidR="00D23363" w:rsidRPr="006A74F8" w:rsidRDefault="00A049B0" w:rsidP="00E843AB">
            <w:pPr>
              <w:jc w:val="center"/>
            </w:pPr>
            <w:r w:rsidRPr="006A74F8">
              <w:t>-$0.1m</w:t>
            </w:r>
          </w:p>
        </w:tc>
        <w:tc>
          <w:tcPr>
            <w:tcW w:w="1418" w:type="dxa"/>
          </w:tcPr>
          <w:p w:rsidR="00D23363" w:rsidRPr="006A74F8" w:rsidRDefault="00A049B0" w:rsidP="00E843AB">
            <w:pPr>
              <w:jc w:val="center"/>
            </w:pPr>
            <w:r w:rsidRPr="006A74F8">
              <w:t>-</w:t>
            </w:r>
            <w:r w:rsidR="00E64A1E" w:rsidRPr="006A74F8">
              <w:t>$</w:t>
            </w:r>
            <w:r w:rsidRPr="006A74F8">
              <w:t>0.3m</w:t>
            </w:r>
          </w:p>
        </w:tc>
        <w:tc>
          <w:tcPr>
            <w:tcW w:w="1559" w:type="dxa"/>
          </w:tcPr>
          <w:p w:rsidR="00D23363" w:rsidRPr="006A74F8" w:rsidRDefault="00224689" w:rsidP="00E843AB">
            <w:pPr>
              <w:jc w:val="center"/>
            </w:pPr>
            <w:r w:rsidRPr="006A74F8">
              <w:t>-$0.</w:t>
            </w:r>
            <w:r w:rsidR="00A049B0" w:rsidRPr="006A74F8">
              <w:t>3</w:t>
            </w:r>
            <w:r w:rsidR="00827FB6" w:rsidRPr="006A74F8">
              <w:t>m*</w:t>
            </w:r>
          </w:p>
        </w:tc>
      </w:tr>
      <w:tr w:rsidR="00DD0018" w:rsidRPr="006A74F8" w:rsidTr="00E843AB">
        <w:trPr>
          <w:trHeight w:val="300"/>
        </w:trPr>
        <w:tc>
          <w:tcPr>
            <w:tcW w:w="2263" w:type="dxa"/>
          </w:tcPr>
          <w:p w:rsidR="00DD0018" w:rsidRPr="006A74F8" w:rsidRDefault="00DD0018" w:rsidP="00E31912">
            <w:pPr>
              <w:rPr>
                <w:rFonts w:cstheme="minorHAnsi"/>
              </w:rPr>
            </w:pPr>
          </w:p>
        </w:tc>
        <w:tc>
          <w:tcPr>
            <w:tcW w:w="2126" w:type="dxa"/>
          </w:tcPr>
          <w:p w:rsidR="00DD0018" w:rsidRPr="006A74F8" w:rsidRDefault="00DD0018" w:rsidP="00E31912">
            <w:pPr>
              <w:rPr>
                <w:rFonts w:cstheme="minorHAnsi"/>
                <w:b/>
              </w:rPr>
            </w:pPr>
            <w:r w:rsidRPr="006A74F8">
              <w:rPr>
                <w:rFonts w:cstheme="minorHAnsi"/>
                <w:b/>
              </w:rPr>
              <w:t>TOTAL</w:t>
            </w:r>
          </w:p>
        </w:tc>
        <w:tc>
          <w:tcPr>
            <w:tcW w:w="1559" w:type="dxa"/>
          </w:tcPr>
          <w:p w:rsidR="00DD0018" w:rsidRPr="006A74F8" w:rsidRDefault="00A049B0" w:rsidP="00E843AB">
            <w:pPr>
              <w:jc w:val="center"/>
              <w:rPr>
                <w:rFonts w:cstheme="minorHAnsi"/>
                <w:b/>
              </w:rPr>
            </w:pPr>
            <w:r w:rsidRPr="006A74F8">
              <w:rPr>
                <w:b/>
              </w:rPr>
              <w:t>-$ 8.4m</w:t>
            </w:r>
          </w:p>
        </w:tc>
        <w:tc>
          <w:tcPr>
            <w:tcW w:w="1418" w:type="dxa"/>
          </w:tcPr>
          <w:p w:rsidR="00DD0018" w:rsidRPr="006A74F8" w:rsidRDefault="00A049B0" w:rsidP="00E843AB">
            <w:pPr>
              <w:jc w:val="center"/>
              <w:rPr>
                <w:rFonts w:cstheme="minorHAnsi"/>
                <w:b/>
              </w:rPr>
            </w:pPr>
            <w:r w:rsidRPr="006A74F8">
              <w:rPr>
                <w:b/>
              </w:rPr>
              <w:t>-$ 8.5m</w:t>
            </w:r>
          </w:p>
        </w:tc>
        <w:tc>
          <w:tcPr>
            <w:tcW w:w="1559" w:type="dxa"/>
          </w:tcPr>
          <w:p w:rsidR="00DD0018" w:rsidRPr="006A74F8" w:rsidRDefault="00DD0018" w:rsidP="00E843AB">
            <w:pPr>
              <w:jc w:val="center"/>
              <w:rPr>
                <w:rStyle w:val="Hyperlink"/>
                <w:rFonts w:cstheme="minorHAnsi"/>
                <w:b/>
                <w:color w:val="auto"/>
                <w:u w:val="none"/>
              </w:rPr>
            </w:pPr>
            <w:r w:rsidRPr="006A74F8">
              <w:rPr>
                <w:rFonts w:cstheme="minorHAnsi"/>
                <w:b/>
              </w:rPr>
              <w:t>-$</w:t>
            </w:r>
            <w:r w:rsidR="00224689" w:rsidRPr="006A74F8">
              <w:rPr>
                <w:rFonts w:cstheme="minorHAnsi"/>
                <w:b/>
              </w:rPr>
              <w:t xml:space="preserve"> 8.5</w:t>
            </w:r>
            <w:r w:rsidR="00A669C5" w:rsidRPr="006A74F8">
              <w:rPr>
                <w:rFonts w:cstheme="minorHAnsi"/>
                <w:b/>
              </w:rPr>
              <w:t>m</w:t>
            </w:r>
          </w:p>
        </w:tc>
      </w:tr>
    </w:tbl>
    <w:p w:rsidR="00827FB6" w:rsidRPr="006A74F8" w:rsidRDefault="00827FB6">
      <w:pPr>
        <w:rPr>
          <w:rStyle w:val="Hyperlink"/>
          <w:rFonts w:cstheme="minorHAnsi"/>
          <w:color w:val="auto"/>
          <w:sz w:val="18"/>
          <w:szCs w:val="18"/>
          <w:u w:val="none"/>
        </w:rPr>
      </w:pPr>
      <w:r w:rsidRPr="006A74F8">
        <w:rPr>
          <w:lang w:eastAsia="en-AU"/>
        </w:rPr>
        <w:t xml:space="preserve">* </w:t>
      </w:r>
      <w:r w:rsidR="00867D3C" w:rsidRPr="006A74F8">
        <w:rPr>
          <w:rStyle w:val="Hyperlink"/>
          <w:rFonts w:cstheme="minorHAnsi"/>
          <w:color w:val="auto"/>
          <w:sz w:val="18"/>
          <w:szCs w:val="18"/>
          <w:u w:val="none"/>
        </w:rPr>
        <w:t>U</w:t>
      </w:r>
      <w:r w:rsidR="006D5B87" w:rsidRPr="006A74F8">
        <w:rPr>
          <w:rStyle w:val="Hyperlink"/>
          <w:rFonts w:cstheme="minorHAnsi"/>
          <w:color w:val="auto"/>
          <w:sz w:val="18"/>
          <w:szCs w:val="18"/>
          <w:u w:val="none"/>
        </w:rPr>
        <w:t>nder option 3 this number would be adjusted by an unquantifiable contingent increase</w:t>
      </w:r>
      <w:r w:rsidRPr="006A74F8">
        <w:rPr>
          <w:rStyle w:val="Hyperlink"/>
          <w:rFonts w:cstheme="minorHAnsi"/>
          <w:b/>
          <w:color w:val="auto"/>
          <w:sz w:val="18"/>
          <w:szCs w:val="18"/>
          <w:u w:val="none"/>
        </w:rPr>
        <w:t xml:space="preserve"> </w:t>
      </w:r>
      <w:r w:rsidRPr="006A74F8">
        <w:rPr>
          <w:rStyle w:val="Hyperlink"/>
          <w:rFonts w:cstheme="minorHAnsi"/>
          <w:color w:val="auto"/>
          <w:sz w:val="18"/>
          <w:szCs w:val="18"/>
          <w:u w:val="none"/>
        </w:rPr>
        <w:t>in regulatory burden on measuring instruments for regulatory purposes</w:t>
      </w:r>
    </w:p>
    <w:p w:rsidR="001E7155" w:rsidRPr="006A74F8" w:rsidRDefault="001E7155">
      <w:pPr>
        <w:rPr>
          <w:lang w:eastAsia="en-AU"/>
        </w:rPr>
      </w:pPr>
      <w:r w:rsidRPr="006A74F8">
        <w:rPr>
          <w:lang w:eastAsia="en-AU"/>
        </w:rPr>
        <w:t xml:space="preserve">Detailed costings are given in </w:t>
      </w:r>
      <w:r w:rsidRPr="006A74F8">
        <w:rPr>
          <w:rStyle w:val="Hyperlink"/>
          <w:color w:val="auto"/>
          <w:u w:val="none"/>
          <w:lang w:eastAsia="en-AU"/>
        </w:rPr>
        <w:t xml:space="preserve">Appendices </w:t>
      </w:r>
      <w:r w:rsidR="005F3E1F" w:rsidRPr="006A74F8">
        <w:rPr>
          <w:rStyle w:val="Hyperlink"/>
          <w:color w:val="auto"/>
          <w:u w:val="none"/>
          <w:lang w:eastAsia="en-AU"/>
        </w:rPr>
        <w:t>9</w:t>
      </w:r>
      <w:r w:rsidRPr="006A74F8">
        <w:rPr>
          <w:rStyle w:val="Hyperlink"/>
          <w:color w:val="auto"/>
          <w:u w:val="none"/>
          <w:lang w:eastAsia="en-AU"/>
        </w:rPr>
        <w:t xml:space="preserve"> </w:t>
      </w:r>
      <w:r w:rsidR="005F3E1F" w:rsidRPr="006A74F8">
        <w:rPr>
          <w:rStyle w:val="Hyperlink"/>
          <w:color w:val="auto"/>
          <w:u w:val="none"/>
          <w:lang w:eastAsia="en-AU"/>
        </w:rPr>
        <w:t>-</w:t>
      </w:r>
      <w:r w:rsidRPr="006A74F8">
        <w:rPr>
          <w:rStyle w:val="Hyperlink"/>
          <w:color w:val="auto"/>
          <w:u w:val="none"/>
          <w:lang w:eastAsia="en-AU"/>
        </w:rPr>
        <w:t xml:space="preserve"> 1</w:t>
      </w:r>
      <w:r w:rsidR="005F3E1F" w:rsidRPr="006A74F8">
        <w:rPr>
          <w:rStyle w:val="Hyperlink"/>
          <w:color w:val="auto"/>
          <w:u w:val="none"/>
          <w:lang w:eastAsia="en-AU"/>
        </w:rPr>
        <w:t>3</w:t>
      </w:r>
      <w:r w:rsidRPr="006A74F8">
        <w:rPr>
          <w:lang w:eastAsia="en-AU"/>
        </w:rPr>
        <w:t>.</w:t>
      </w:r>
    </w:p>
    <w:p w:rsidR="00057A34" w:rsidRPr="006A74F8" w:rsidRDefault="00E31912" w:rsidP="00057A34">
      <w:pPr>
        <w:pStyle w:val="Heading3"/>
        <w:rPr>
          <w:lang w:eastAsia="en-AU"/>
        </w:rPr>
      </w:pPr>
      <w:r w:rsidRPr="006A74F8">
        <w:rPr>
          <w:lang w:eastAsia="en-AU"/>
        </w:rPr>
        <w:t>Stakeholder i</w:t>
      </w:r>
      <w:r w:rsidR="00057A34" w:rsidRPr="006A74F8">
        <w:rPr>
          <w:lang w:eastAsia="en-AU"/>
        </w:rPr>
        <w:t>mpacts</w:t>
      </w:r>
    </w:p>
    <w:p w:rsidR="00225987" w:rsidRPr="006A74F8" w:rsidRDefault="00225987" w:rsidP="00225987">
      <w:r w:rsidRPr="006A74F8">
        <w:t xml:space="preserve">The impact of the reform options </w:t>
      </w:r>
      <w:r w:rsidR="001E7155" w:rsidRPr="006A74F8">
        <w:t>is considered for</w:t>
      </w:r>
      <w:r w:rsidRPr="006A74F8">
        <w:t xml:space="preserve"> </w:t>
      </w:r>
      <w:r w:rsidR="00B61064" w:rsidRPr="006A74F8">
        <w:t>5</w:t>
      </w:r>
      <w:r w:rsidRPr="006A74F8">
        <w:t xml:space="preserve"> key stakeholder groups</w:t>
      </w:r>
      <w:r w:rsidR="001E7155" w:rsidRPr="006A74F8">
        <w:t>:</w:t>
      </w:r>
      <w:r w:rsidRPr="006A74F8">
        <w:t xml:space="preserve"> </w:t>
      </w:r>
    </w:p>
    <w:p w:rsidR="00225987" w:rsidRPr="006A74F8" w:rsidRDefault="0024025C" w:rsidP="00C812C5">
      <w:pPr>
        <w:pStyle w:val="ListParagraph"/>
        <w:numPr>
          <w:ilvl w:val="0"/>
          <w:numId w:val="79"/>
        </w:numPr>
      </w:pPr>
      <w:r w:rsidRPr="006A74F8">
        <w:rPr>
          <w:b/>
        </w:rPr>
        <w:t>c</w:t>
      </w:r>
      <w:r w:rsidR="00225987" w:rsidRPr="006A74F8">
        <w:rPr>
          <w:b/>
        </w:rPr>
        <w:t>onsumers</w:t>
      </w:r>
    </w:p>
    <w:p w:rsidR="00225987" w:rsidRPr="006A74F8" w:rsidRDefault="00225987" w:rsidP="00C812C5">
      <w:pPr>
        <w:pStyle w:val="ListParagraph"/>
        <w:numPr>
          <w:ilvl w:val="0"/>
          <w:numId w:val="79"/>
        </w:numPr>
      </w:pPr>
      <w:r w:rsidRPr="006A74F8">
        <w:rPr>
          <w:b/>
        </w:rPr>
        <w:t>industry</w:t>
      </w:r>
      <w:r w:rsidRPr="006A74F8">
        <w:t xml:space="preserve"> - represented by</w:t>
      </w:r>
      <w:r w:rsidRPr="006A74F8">
        <w:rPr>
          <w:b/>
        </w:rPr>
        <w:t xml:space="preserve"> </w:t>
      </w:r>
    </w:p>
    <w:p w:rsidR="00225987" w:rsidRPr="006A74F8" w:rsidRDefault="00225987" w:rsidP="00C812C5">
      <w:pPr>
        <w:pStyle w:val="ListParagraph"/>
        <w:numPr>
          <w:ilvl w:val="1"/>
          <w:numId w:val="79"/>
        </w:numPr>
      </w:pPr>
      <w:r w:rsidRPr="006A74F8">
        <w:rPr>
          <w:b/>
        </w:rPr>
        <w:t>measuring instrument manufacturers</w:t>
      </w:r>
      <w:r w:rsidR="005E107B" w:rsidRPr="006A74F8">
        <w:rPr>
          <w:b/>
        </w:rPr>
        <w:t>, importers and distributors</w:t>
      </w:r>
    </w:p>
    <w:p w:rsidR="00225987" w:rsidRPr="006A74F8" w:rsidRDefault="003319A7" w:rsidP="00C812C5">
      <w:pPr>
        <w:pStyle w:val="ListParagraph"/>
        <w:numPr>
          <w:ilvl w:val="1"/>
          <w:numId w:val="79"/>
        </w:numPr>
      </w:pPr>
      <w:r w:rsidRPr="006A74F8">
        <w:rPr>
          <w:b/>
        </w:rPr>
        <w:lastRenderedPageBreak/>
        <w:t>a</w:t>
      </w:r>
      <w:r w:rsidR="00856E0C" w:rsidRPr="006A74F8">
        <w:rPr>
          <w:b/>
        </w:rPr>
        <w:t>uthorised third parties</w:t>
      </w:r>
      <w:r w:rsidR="00225987" w:rsidRPr="006A74F8">
        <w:rPr>
          <w:rStyle w:val="FootnoteReference"/>
        </w:rPr>
        <w:footnoteReference w:id="3"/>
      </w:r>
      <w:r w:rsidR="00225987" w:rsidRPr="006A74F8">
        <w:t xml:space="preserve"> </w:t>
      </w:r>
    </w:p>
    <w:p w:rsidR="00225987" w:rsidRPr="006A74F8" w:rsidRDefault="00225987" w:rsidP="00C812C5">
      <w:pPr>
        <w:pStyle w:val="ListParagraph"/>
        <w:numPr>
          <w:ilvl w:val="1"/>
          <w:numId w:val="79"/>
        </w:numPr>
      </w:pPr>
      <w:r w:rsidRPr="006A74F8">
        <w:rPr>
          <w:b/>
        </w:rPr>
        <w:t>wholesalers, retailers, importers and packers</w:t>
      </w:r>
    </w:p>
    <w:p w:rsidR="00225987" w:rsidRPr="006A74F8" w:rsidRDefault="00225987" w:rsidP="00C812C5">
      <w:pPr>
        <w:pStyle w:val="ListParagraph"/>
        <w:numPr>
          <w:ilvl w:val="0"/>
          <w:numId w:val="79"/>
        </w:numPr>
        <w:rPr>
          <w:rStyle w:val="Hyperlink"/>
          <w:color w:val="auto"/>
          <w:u w:val="none"/>
        </w:rPr>
      </w:pPr>
      <w:r w:rsidRPr="006A74F8">
        <w:rPr>
          <w:b/>
        </w:rPr>
        <w:t>government regulators</w:t>
      </w:r>
      <w:r w:rsidRPr="006A74F8">
        <w:t xml:space="preserve">. </w:t>
      </w:r>
    </w:p>
    <w:p w:rsidR="001E7155" w:rsidRPr="006A74F8" w:rsidRDefault="001E7155" w:rsidP="00225987">
      <w:pPr>
        <w:rPr>
          <w:rStyle w:val="Hyperlink"/>
        </w:rPr>
      </w:pPr>
      <w:r w:rsidRPr="006A74F8">
        <w:t xml:space="preserve">Impacts for these groups are considered in detail in </w:t>
      </w:r>
      <w:r w:rsidR="005F1B6F" w:rsidRPr="006A74F8">
        <w:rPr>
          <w:rStyle w:val="Hyperlink"/>
          <w:color w:val="auto"/>
          <w:u w:val="none"/>
        </w:rPr>
        <w:t>Appendices 4</w:t>
      </w:r>
      <w:r w:rsidR="00904D9A" w:rsidRPr="006A74F8">
        <w:rPr>
          <w:rStyle w:val="Hyperlink"/>
          <w:color w:val="auto"/>
          <w:u w:val="none"/>
        </w:rPr>
        <w:t xml:space="preserve"> -</w:t>
      </w:r>
      <w:r w:rsidR="005F1B6F" w:rsidRPr="006A74F8">
        <w:rPr>
          <w:rStyle w:val="Hyperlink"/>
          <w:color w:val="auto"/>
          <w:u w:val="none"/>
        </w:rPr>
        <w:t xml:space="preserve"> 8</w:t>
      </w:r>
      <w:r w:rsidRPr="006A74F8">
        <w:rPr>
          <w:rStyle w:val="Hyperlink"/>
          <w:color w:val="auto"/>
          <w:u w:val="none"/>
        </w:rPr>
        <w:t>.</w:t>
      </w:r>
      <w:r w:rsidRPr="006A74F8">
        <w:rPr>
          <w:rStyle w:val="Hyperlink"/>
          <w:color w:val="auto"/>
        </w:rPr>
        <w:t xml:space="preserve"> </w:t>
      </w:r>
    </w:p>
    <w:p w:rsidR="00225987" w:rsidRPr="006A74F8" w:rsidRDefault="00225987" w:rsidP="00225987">
      <w:r w:rsidRPr="006A74F8">
        <w:t xml:space="preserve">The assessment uses a 7 point scale, </w:t>
      </w:r>
      <w:r w:rsidR="001E7155" w:rsidRPr="006A74F8">
        <w:t>indicating</w:t>
      </w:r>
      <w:r w:rsidRPr="006A74F8">
        <w:t xml:space="preserve"> the anticipated impact of changes on particular stakeholder groups relative to the status quo</w:t>
      </w:r>
      <w:r w:rsidR="004C1E6B" w:rsidRPr="006A74F8">
        <w:t>.</w:t>
      </w:r>
    </w:p>
    <w:p w:rsidR="00225987" w:rsidRPr="006A74F8" w:rsidRDefault="00352A33" w:rsidP="00FB2798">
      <w:pPr>
        <w:jc w:val="center"/>
      </w:pPr>
      <w:r w:rsidRPr="006A74F8">
        <w:rPr>
          <w:noProof/>
          <w:lang w:eastAsia="en-AU"/>
        </w:rPr>
        <w:drawing>
          <wp:inline distT="0" distB="0" distL="0" distR="0" wp14:anchorId="6BC7C6A6" wp14:editId="21285987">
            <wp:extent cx="5727600" cy="925200"/>
            <wp:effectExtent l="0" t="0" r="0" b="0"/>
            <wp:docPr id="2" name="Picture 2"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0">
                      <a:extLst>
                        <a:ext uri="{28A0092B-C50C-407E-A947-70E740481C1C}">
                          <a14:useLocalDpi xmlns:a14="http://schemas.microsoft.com/office/drawing/2010/main" val="0"/>
                        </a:ext>
                      </a:extLst>
                    </a:blip>
                    <a:stretch>
                      <a:fillRect/>
                    </a:stretch>
                  </pic:blipFill>
                  <pic:spPr>
                    <a:xfrm>
                      <a:off x="0" y="0"/>
                      <a:ext cx="5727600" cy="925200"/>
                    </a:xfrm>
                    <a:prstGeom prst="rect">
                      <a:avLst/>
                    </a:prstGeom>
                  </pic:spPr>
                </pic:pic>
              </a:graphicData>
            </a:graphic>
          </wp:inline>
        </w:drawing>
      </w:r>
    </w:p>
    <w:p w:rsidR="00225987" w:rsidRPr="006A74F8" w:rsidRDefault="00225987" w:rsidP="00995E46">
      <w:r w:rsidRPr="006A74F8">
        <w:t>The average rating for the individual impacts applying to the different stakeholder</w:t>
      </w:r>
      <w:r w:rsidR="00D9783D" w:rsidRPr="006A74F8">
        <w:t>s</w:t>
      </w:r>
      <w:r w:rsidRPr="006A74F8">
        <w:t xml:space="preserve"> is summarised </w:t>
      </w:r>
      <w:r w:rsidR="004C1E6B" w:rsidRPr="006A74F8">
        <w:t>in the table below.</w:t>
      </w:r>
      <w:r w:rsidRPr="006A74F8">
        <w:t xml:space="preserve"> </w:t>
      </w:r>
    </w:p>
    <w:p w:rsidR="00DC6CF8" w:rsidRPr="006A74F8" w:rsidRDefault="00DC6CF8" w:rsidP="00DC6CF8">
      <w:pPr>
        <w:pStyle w:val="Caption"/>
        <w:keepNext/>
      </w:pPr>
      <w:r w:rsidRPr="006A74F8">
        <w:t xml:space="preserve">Table </w:t>
      </w:r>
      <w:r w:rsidR="00480B0E">
        <w:fldChar w:fldCharType="begin"/>
      </w:r>
      <w:r w:rsidR="00480B0E">
        <w:instrText xml:space="preserve"> SEQ Table \* ARABIC </w:instrText>
      </w:r>
      <w:r w:rsidR="00480B0E">
        <w:fldChar w:fldCharType="separate"/>
      </w:r>
      <w:r w:rsidR="0033017F">
        <w:rPr>
          <w:noProof/>
        </w:rPr>
        <w:t>4</w:t>
      </w:r>
      <w:r w:rsidR="00480B0E">
        <w:fldChar w:fldCharType="end"/>
      </w:r>
      <w:r w:rsidRPr="006A74F8">
        <w:t xml:space="preserve">: Overall impact </w:t>
      </w:r>
      <w:r w:rsidR="0088694C" w:rsidRPr="006A74F8">
        <w:t xml:space="preserve">of options </w:t>
      </w:r>
      <w:r w:rsidRPr="006A74F8">
        <w:t>on stakeholders</w:t>
      </w:r>
    </w:p>
    <w:tbl>
      <w:tblPr>
        <w:tblStyle w:val="PlainTable2"/>
        <w:tblW w:w="8789" w:type="dxa"/>
        <w:tblLook w:val="04A0" w:firstRow="1" w:lastRow="0" w:firstColumn="1" w:lastColumn="0" w:noHBand="0" w:noVBand="1"/>
        <w:tblCaption w:val="Overall impact of options on stakeholders"/>
        <w:tblDescription w:val="A summary of how each stakeholder group is impacted under each reform option.                                                                                                                Consumers - Options 1 to 3 all rated +0.75, slight beneficial. All reform options will provide a slight net benefit to this stakeholder group. Options 2 and 3 provide greater coverage of measurement transactions. Adverse impacts of changes to labelling requirements are increased slightly under options 2 and 3, compared with option 1.                                                                                      Industry - manufacturers of measuring instruments. Option 1 is rated +0.60, slight benefit. Option 2 is rated +1.60, moderate benefit. Option 3 is rated +1.00, slight benefit. Options 1 and 3 provide slight benefit. Option 2 provides greater benefits for the manufacturers of measuring instruments and greater support for innovation.                                                                                             Industry Authorised Third Parties - Option 1 is rated +0.25, neutral. Options 2 and 3 are rated +0.75, slight benefit. Options 2 and 3 provide for ATPs to have a more flexible and innovative approach in their regulated activities and to reduce regulatory compliance costs. Regulation will be streamlined in all three options and will reduce regulatory burden.                                                               Industry - wholesalers, retailers, importers - Option 1 is rated +1.00, slight benefit. Options 2 and 3 are rated +1.33, slight benefit. All reform options will benefit this stakeholder group. Options 2 and 3 provide the greatest net benefit.                                                                                                                Government regulators - Option 1 is rated +0.75, slight benefit. Option 2 is rated +1.50, slight to moderate benefit. Option 3 is rated +1.38, slight to moderate benefit. Option 1 provides a slight benefit to regulators whereas options 2 and 3 provide a more moderate benefit.                                                                             Overall (rounded) - Option 1 is rated +0.7, slight benefit. Option 2 is rated +1.2, slight benefit. Option 3 is rated +1.0, slight benefit. Analysis of stakeholder impacts shows that option 2 provides the greatest benefit to stakeholders. "/>
      </w:tblPr>
      <w:tblGrid>
        <w:gridCol w:w="1819"/>
        <w:gridCol w:w="671"/>
        <w:gridCol w:w="671"/>
        <w:gridCol w:w="671"/>
        <w:gridCol w:w="4957"/>
      </w:tblGrid>
      <w:tr w:rsidR="00FF5B56" w:rsidRPr="006A74F8" w:rsidTr="00FF5B56">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7" w:type="dxa"/>
            <w:vMerge w:val="restart"/>
            <w:tcBorders>
              <w:top w:val="single" w:sz="12" w:space="0" w:color="auto"/>
            </w:tcBorders>
            <w:vAlign w:val="center"/>
          </w:tcPr>
          <w:p w:rsidR="00FF5B56" w:rsidRPr="006A74F8" w:rsidRDefault="00FF5B56" w:rsidP="004B7B28">
            <w:r w:rsidRPr="006A74F8">
              <w:t>Stakeholder</w:t>
            </w:r>
          </w:p>
        </w:tc>
        <w:tc>
          <w:tcPr>
            <w:tcW w:w="1929" w:type="dxa"/>
            <w:gridSpan w:val="3"/>
            <w:tcBorders>
              <w:top w:val="single" w:sz="12" w:space="0" w:color="auto"/>
              <w:bottom w:val="nil"/>
            </w:tcBorders>
            <w:vAlign w:val="center"/>
          </w:tcPr>
          <w:p w:rsidR="00FF5B56" w:rsidRPr="006A74F8" w:rsidRDefault="00FF5B56" w:rsidP="004B7B28">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033" w:type="dxa"/>
            <w:vMerge w:val="restart"/>
            <w:tcBorders>
              <w:top w:val="single" w:sz="12" w:space="0" w:color="auto"/>
            </w:tcBorders>
            <w:vAlign w:val="center"/>
          </w:tcPr>
          <w:p w:rsidR="00FF5B56" w:rsidRPr="006A74F8" w:rsidRDefault="00FF5B56" w:rsidP="004B7B28">
            <w:pPr>
              <w:cnfStyle w:val="100000000000" w:firstRow="1" w:lastRow="0" w:firstColumn="0" w:lastColumn="0" w:oddVBand="0" w:evenVBand="0" w:oddHBand="0" w:evenHBand="0" w:firstRowFirstColumn="0" w:firstRowLastColumn="0" w:lastRowFirstColumn="0" w:lastRowLastColumn="0"/>
            </w:pPr>
            <w:r w:rsidRPr="006A74F8">
              <w:t>Explanation</w:t>
            </w:r>
          </w:p>
        </w:tc>
      </w:tr>
      <w:tr w:rsidR="00FF5B56" w:rsidRPr="006A74F8" w:rsidTr="00FF5B56">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7" w:type="dxa"/>
            <w:vMerge/>
            <w:tcBorders>
              <w:bottom w:val="double" w:sz="4" w:space="0" w:color="auto"/>
            </w:tcBorders>
          </w:tcPr>
          <w:p w:rsidR="00FF5B56" w:rsidRPr="006A74F8" w:rsidRDefault="00FF5B56" w:rsidP="004B7B28"/>
        </w:tc>
        <w:tc>
          <w:tcPr>
            <w:tcW w:w="643" w:type="dxa"/>
            <w:tcBorders>
              <w:top w:val="nil"/>
              <w:bottom w:val="double" w:sz="4" w:space="0" w:color="auto"/>
            </w:tcBorders>
          </w:tcPr>
          <w:p w:rsidR="00FF5B56" w:rsidRPr="006A74F8" w:rsidRDefault="00FF5B56" w:rsidP="004B7B28">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43" w:type="dxa"/>
            <w:tcBorders>
              <w:top w:val="nil"/>
              <w:bottom w:val="double" w:sz="4" w:space="0" w:color="auto"/>
            </w:tcBorders>
          </w:tcPr>
          <w:p w:rsidR="00FF5B56" w:rsidRPr="006A74F8" w:rsidRDefault="00FF5B56" w:rsidP="004B7B28">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43" w:type="dxa"/>
            <w:tcBorders>
              <w:top w:val="nil"/>
              <w:bottom w:val="double" w:sz="4" w:space="0" w:color="auto"/>
            </w:tcBorders>
          </w:tcPr>
          <w:p w:rsidR="00FF5B56" w:rsidRPr="006A74F8" w:rsidRDefault="00FF5B56" w:rsidP="004B7B28">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033" w:type="dxa"/>
            <w:vMerge/>
            <w:tcBorders>
              <w:bottom w:val="double" w:sz="4" w:space="0" w:color="auto"/>
            </w:tcBorders>
          </w:tcPr>
          <w:p w:rsidR="00FF5B56" w:rsidRPr="006A74F8" w:rsidRDefault="00FF5B56" w:rsidP="004B7B28">
            <w:pPr>
              <w:cnfStyle w:val="100000000000" w:firstRow="1" w:lastRow="0" w:firstColumn="0" w:lastColumn="0" w:oddVBand="0" w:evenVBand="0" w:oddHBand="0" w:evenHBand="0" w:firstRowFirstColumn="0" w:firstRowLastColumn="0" w:lastRowFirstColumn="0" w:lastRowLastColumn="0"/>
            </w:pPr>
          </w:p>
        </w:tc>
      </w:tr>
      <w:tr w:rsidR="00FF5B56" w:rsidRPr="006A74F8" w:rsidTr="00FF5B56">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827" w:type="dxa"/>
            <w:tcBorders>
              <w:top w:val="double" w:sz="4" w:space="0" w:color="auto"/>
            </w:tcBorders>
            <w:vAlign w:val="center"/>
          </w:tcPr>
          <w:p w:rsidR="00FF5B56" w:rsidRPr="006A74F8" w:rsidRDefault="00FF5B56" w:rsidP="004B7B28">
            <w:pPr>
              <w:rPr>
                <w:rFonts w:ascii="Calibri" w:eastAsia="Calibri" w:hAnsi="Calibri"/>
                <w:b w:val="0"/>
                <w:sz w:val="20"/>
                <w:szCs w:val="20"/>
              </w:rPr>
            </w:pPr>
            <w:r w:rsidRPr="006A74F8">
              <w:rPr>
                <w:rFonts w:ascii="Calibri" w:eastAsia="Calibri" w:hAnsi="Calibri"/>
                <w:sz w:val="20"/>
                <w:szCs w:val="20"/>
              </w:rPr>
              <w:t>Consumers</w:t>
            </w:r>
          </w:p>
        </w:tc>
        <w:tc>
          <w:tcPr>
            <w:tcW w:w="643" w:type="dxa"/>
            <w:tcBorders>
              <w:top w:val="double" w:sz="4" w:space="0" w:color="auto"/>
              <w:right w:val="single" w:sz="4" w:space="0" w:color="FFFFFF" w:themeColor="background1"/>
            </w:tcBorders>
            <w:shd w:val="clear" w:color="auto" w:fill="ACD7CA"/>
            <w:vAlign w:val="center"/>
          </w:tcPr>
          <w:p w:rsidR="00FF5B56" w:rsidRPr="006A74F8"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+0.75</w:t>
            </w:r>
          </w:p>
        </w:tc>
        <w:tc>
          <w:tcPr>
            <w:tcW w:w="643" w:type="dxa"/>
            <w:tcBorders>
              <w:top w:val="double" w:sz="4" w:space="0" w:color="auto"/>
              <w:left w:val="single" w:sz="4" w:space="0" w:color="FFFFFF" w:themeColor="background1"/>
              <w:right w:val="single" w:sz="4" w:space="0" w:color="FFFFFF" w:themeColor="background1"/>
            </w:tcBorders>
            <w:shd w:val="clear" w:color="auto" w:fill="ACD7CA"/>
            <w:vAlign w:val="center"/>
          </w:tcPr>
          <w:p w:rsidR="00FF5B56" w:rsidRPr="006A74F8"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+0.75</w:t>
            </w:r>
          </w:p>
        </w:tc>
        <w:tc>
          <w:tcPr>
            <w:tcW w:w="643" w:type="dxa"/>
            <w:tcBorders>
              <w:top w:val="double" w:sz="4" w:space="0" w:color="auto"/>
              <w:left w:val="single" w:sz="4" w:space="0" w:color="FFFFFF" w:themeColor="background1"/>
            </w:tcBorders>
            <w:shd w:val="clear" w:color="auto" w:fill="ACD7CA"/>
            <w:vAlign w:val="center"/>
          </w:tcPr>
          <w:p w:rsidR="00FF5B56" w:rsidRPr="006A74F8"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+0.75</w:t>
            </w:r>
          </w:p>
        </w:tc>
        <w:tc>
          <w:tcPr>
            <w:tcW w:w="5033" w:type="dxa"/>
            <w:tcBorders>
              <w:top w:val="double" w:sz="4" w:space="0" w:color="auto"/>
            </w:tcBorders>
            <w:vAlign w:val="center"/>
          </w:tcPr>
          <w:p w:rsidR="00FF5B56" w:rsidRPr="006A74F8" w:rsidRDefault="00FF5B56" w:rsidP="004B7B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6A74F8">
              <w:rPr>
                <w:rFonts w:ascii="Calibri" w:eastAsia="Calibri" w:hAnsi="Calibri"/>
                <w:sz w:val="20"/>
                <w:szCs w:val="20"/>
              </w:rPr>
              <w:t>All reform options will provide a slight net benefit to this stakeholder group. Options 2 and 3 provide greater coverage of measurement transactions. Adverse impacts of changes to labelling requirements are increased slightly under options 2 and 3, compared with option 1.</w:t>
            </w:r>
          </w:p>
        </w:tc>
      </w:tr>
      <w:tr w:rsidR="00FF5B56" w:rsidRPr="006A74F8" w:rsidTr="00FF5B56">
        <w:trPr>
          <w:trHeight w:hRule="exact" w:val="1418"/>
        </w:trPr>
        <w:tc>
          <w:tcPr>
            <w:cnfStyle w:val="001000000000" w:firstRow="0" w:lastRow="0" w:firstColumn="1" w:lastColumn="0" w:oddVBand="0" w:evenVBand="0" w:oddHBand="0" w:evenHBand="0" w:firstRowFirstColumn="0" w:firstRowLastColumn="0" w:lastRowFirstColumn="0" w:lastRowLastColumn="0"/>
            <w:tcW w:w="1827" w:type="dxa"/>
            <w:vAlign w:val="center"/>
          </w:tcPr>
          <w:p w:rsidR="00FF5B56" w:rsidRPr="006A74F8" w:rsidRDefault="00FF5B56" w:rsidP="00550413">
            <w:pPr>
              <w:spacing w:line="216" w:lineRule="auto"/>
              <w:rPr>
                <w:rFonts w:ascii="Calibri" w:eastAsia="Calibri" w:hAnsi="Calibri"/>
                <w:b w:val="0"/>
                <w:sz w:val="20"/>
                <w:szCs w:val="20"/>
              </w:rPr>
            </w:pPr>
            <w:r w:rsidRPr="006A74F8">
              <w:rPr>
                <w:rFonts w:ascii="Calibri" w:eastAsia="Calibri" w:hAnsi="Calibri"/>
                <w:sz w:val="20"/>
                <w:szCs w:val="20"/>
              </w:rPr>
              <w:t>Industry –</w:t>
            </w:r>
            <w:r w:rsidRPr="006A74F8" w:rsidDel="00CD0782">
              <w:rPr>
                <w:rFonts w:ascii="Calibri" w:eastAsia="Calibri" w:hAnsi="Calibri"/>
                <w:sz w:val="20"/>
                <w:szCs w:val="20"/>
              </w:rPr>
              <w:t xml:space="preserve"> </w:t>
            </w:r>
            <w:r w:rsidR="00A204EC" w:rsidRPr="006A74F8">
              <w:rPr>
                <w:rFonts w:ascii="Calibri" w:eastAsia="Calibri" w:hAnsi="Calibri"/>
                <w:sz w:val="20"/>
                <w:szCs w:val="20"/>
              </w:rPr>
              <w:t>measuring instrument manufacturers / importers / distributors</w:t>
            </w:r>
          </w:p>
        </w:tc>
        <w:tc>
          <w:tcPr>
            <w:tcW w:w="643" w:type="dxa"/>
            <w:tcBorders>
              <w:right w:val="single" w:sz="4" w:space="0" w:color="FFFFFF" w:themeColor="background1"/>
            </w:tcBorders>
            <w:shd w:val="clear" w:color="auto" w:fill="ACD7CA"/>
            <w:vAlign w:val="center"/>
          </w:tcPr>
          <w:p w:rsidR="00FF5B56" w:rsidRPr="006A74F8"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+0.60</w:t>
            </w:r>
          </w:p>
        </w:tc>
        <w:tc>
          <w:tcPr>
            <w:tcW w:w="643" w:type="dxa"/>
            <w:tcBorders>
              <w:left w:val="single" w:sz="4" w:space="0" w:color="FFFFFF" w:themeColor="background1"/>
              <w:right w:val="single" w:sz="4" w:space="0" w:color="FFFFFF" w:themeColor="background1"/>
            </w:tcBorders>
            <w:shd w:val="clear" w:color="auto" w:fill="398E98"/>
            <w:vAlign w:val="center"/>
          </w:tcPr>
          <w:p w:rsidR="00FF5B56" w:rsidRPr="006A74F8"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+1.60</w:t>
            </w:r>
          </w:p>
        </w:tc>
        <w:tc>
          <w:tcPr>
            <w:tcW w:w="643" w:type="dxa"/>
            <w:tcBorders>
              <w:left w:val="single" w:sz="4" w:space="0" w:color="FFFFFF" w:themeColor="background1"/>
            </w:tcBorders>
            <w:shd w:val="clear" w:color="auto" w:fill="ACD7CA"/>
            <w:vAlign w:val="center"/>
          </w:tcPr>
          <w:p w:rsidR="00FF5B56" w:rsidRPr="006A74F8"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+1.00</w:t>
            </w:r>
          </w:p>
        </w:tc>
        <w:tc>
          <w:tcPr>
            <w:tcW w:w="5033" w:type="dxa"/>
            <w:vAlign w:val="center"/>
          </w:tcPr>
          <w:p w:rsidR="00FF5B56" w:rsidRPr="006A74F8" w:rsidRDefault="00FF5B56" w:rsidP="004B7B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6A74F8">
              <w:rPr>
                <w:sz w:val="20"/>
                <w:szCs w:val="20"/>
              </w:rPr>
              <w:t>Options 1 and 3 provide slight benefit. Option 2 provides greater benefits for the manufacturers of measuring instruments and greater support for innovation.</w:t>
            </w:r>
          </w:p>
        </w:tc>
      </w:tr>
      <w:tr w:rsidR="00FF5B56" w:rsidRPr="006A74F8" w:rsidTr="00FF5B56">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827" w:type="dxa"/>
            <w:vAlign w:val="center"/>
          </w:tcPr>
          <w:p w:rsidR="00FF5B56" w:rsidRPr="006A74F8" w:rsidRDefault="00856E0C" w:rsidP="0070670B">
            <w:pPr>
              <w:spacing w:line="216" w:lineRule="auto"/>
              <w:rPr>
                <w:rFonts w:ascii="Calibri" w:eastAsia="Calibri" w:hAnsi="Calibri"/>
                <w:b w:val="0"/>
                <w:sz w:val="20"/>
                <w:szCs w:val="20"/>
              </w:rPr>
            </w:pPr>
            <w:r w:rsidRPr="006A74F8">
              <w:rPr>
                <w:rFonts w:cstheme="minorHAnsi"/>
                <w:sz w:val="20"/>
                <w:szCs w:val="20"/>
              </w:rPr>
              <w:t>Industry</w:t>
            </w:r>
            <w:r w:rsidRPr="006A74F8">
              <w:rPr>
                <w:rFonts w:ascii="Calibri" w:eastAsia="Calibri" w:hAnsi="Calibri"/>
                <w:sz w:val="20"/>
                <w:szCs w:val="20"/>
              </w:rPr>
              <w:t xml:space="preserve"> –</w:t>
            </w:r>
            <w:r w:rsidRPr="006A74F8">
              <w:rPr>
                <w:rFonts w:cstheme="minorHAnsi"/>
                <w:sz w:val="20"/>
                <w:szCs w:val="20"/>
              </w:rPr>
              <w:t xml:space="preserve"> </w:t>
            </w:r>
            <w:r w:rsidR="00D60ED7" w:rsidRPr="006A74F8">
              <w:rPr>
                <w:rFonts w:cstheme="minorHAnsi"/>
                <w:sz w:val="20"/>
                <w:szCs w:val="20"/>
              </w:rPr>
              <w:t>a</w:t>
            </w:r>
            <w:r w:rsidRPr="006A74F8">
              <w:rPr>
                <w:rFonts w:cstheme="minorHAnsi"/>
                <w:sz w:val="20"/>
                <w:szCs w:val="20"/>
              </w:rPr>
              <w:t>uthorised third parties</w:t>
            </w:r>
          </w:p>
        </w:tc>
        <w:tc>
          <w:tcPr>
            <w:tcW w:w="643" w:type="dxa"/>
            <w:tcBorders>
              <w:right w:val="single" w:sz="4" w:space="0" w:color="FFFFFF" w:themeColor="background1"/>
            </w:tcBorders>
            <w:shd w:val="clear" w:color="auto" w:fill="FFFFC5"/>
            <w:vAlign w:val="center"/>
          </w:tcPr>
          <w:p w:rsidR="00FF5B56" w:rsidRPr="006A74F8"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+0.25</w:t>
            </w:r>
          </w:p>
        </w:tc>
        <w:tc>
          <w:tcPr>
            <w:tcW w:w="643" w:type="dxa"/>
            <w:tcBorders>
              <w:left w:val="single" w:sz="4" w:space="0" w:color="FFFFFF" w:themeColor="background1"/>
              <w:right w:val="single" w:sz="4" w:space="0" w:color="FFFFFF" w:themeColor="background1"/>
            </w:tcBorders>
            <w:shd w:val="clear" w:color="auto" w:fill="ACD7CA"/>
            <w:vAlign w:val="center"/>
          </w:tcPr>
          <w:p w:rsidR="00FF5B56" w:rsidRPr="006A74F8"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+0.75</w:t>
            </w:r>
          </w:p>
        </w:tc>
        <w:tc>
          <w:tcPr>
            <w:tcW w:w="643" w:type="dxa"/>
            <w:tcBorders>
              <w:left w:val="single" w:sz="4" w:space="0" w:color="FFFFFF" w:themeColor="background1"/>
            </w:tcBorders>
            <w:shd w:val="clear" w:color="auto" w:fill="ACD7CA"/>
            <w:vAlign w:val="center"/>
          </w:tcPr>
          <w:p w:rsidR="00FF5B56" w:rsidRPr="006A74F8"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+0.75</w:t>
            </w:r>
          </w:p>
        </w:tc>
        <w:tc>
          <w:tcPr>
            <w:tcW w:w="5033" w:type="dxa"/>
            <w:vAlign w:val="center"/>
          </w:tcPr>
          <w:p w:rsidR="00C65148" w:rsidRPr="006A74F8" w:rsidRDefault="00C65148" w:rsidP="00C6514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6A74F8">
              <w:rPr>
                <w:sz w:val="20"/>
                <w:szCs w:val="20"/>
              </w:rPr>
              <w:t xml:space="preserve">Options 2 and 3 provide a more flexible approach to regulated activities in the future and reduce some regulatory compliance costs for </w:t>
            </w:r>
            <w:r w:rsidR="00570F48" w:rsidRPr="006A74F8">
              <w:rPr>
                <w:sz w:val="20"/>
                <w:szCs w:val="20"/>
              </w:rPr>
              <w:t>ATPs</w:t>
            </w:r>
            <w:r w:rsidRPr="006A74F8" w:rsidDel="007D7481">
              <w:rPr>
                <w:sz w:val="20"/>
                <w:szCs w:val="20"/>
              </w:rPr>
              <w:t>.</w:t>
            </w:r>
            <w:r w:rsidRPr="006A74F8">
              <w:rPr>
                <w:sz w:val="20"/>
                <w:szCs w:val="20"/>
              </w:rPr>
              <w:t xml:space="preserve"> Regulation</w:t>
            </w:r>
            <w:r w:rsidRPr="006A74F8" w:rsidDel="00CD0782">
              <w:rPr>
                <w:sz w:val="20"/>
                <w:szCs w:val="20"/>
              </w:rPr>
              <w:t xml:space="preserve"> </w:t>
            </w:r>
            <w:r w:rsidRPr="006A74F8">
              <w:rPr>
                <w:sz w:val="20"/>
                <w:szCs w:val="20"/>
              </w:rPr>
              <w:t>will be streamlined in all reform options and will reduce regulatory burden.</w:t>
            </w:r>
          </w:p>
        </w:tc>
      </w:tr>
      <w:tr w:rsidR="00FF5B56" w:rsidRPr="006A74F8" w:rsidTr="00FF5B56">
        <w:trPr>
          <w:trHeight w:hRule="exact" w:val="1418"/>
        </w:trPr>
        <w:tc>
          <w:tcPr>
            <w:cnfStyle w:val="001000000000" w:firstRow="0" w:lastRow="0" w:firstColumn="1" w:lastColumn="0" w:oddVBand="0" w:evenVBand="0" w:oddHBand="0" w:evenHBand="0" w:firstRowFirstColumn="0" w:firstRowLastColumn="0" w:lastRowFirstColumn="0" w:lastRowLastColumn="0"/>
            <w:tcW w:w="1827" w:type="dxa"/>
            <w:vAlign w:val="center"/>
          </w:tcPr>
          <w:p w:rsidR="00FF5B56" w:rsidRPr="006A74F8" w:rsidRDefault="00FF5B56" w:rsidP="0070670B">
            <w:pPr>
              <w:spacing w:line="216" w:lineRule="auto"/>
              <w:rPr>
                <w:rFonts w:ascii="Calibri" w:eastAsia="Calibri" w:hAnsi="Calibri"/>
                <w:b w:val="0"/>
                <w:sz w:val="20"/>
                <w:szCs w:val="20"/>
              </w:rPr>
            </w:pPr>
            <w:r w:rsidRPr="006A74F8">
              <w:rPr>
                <w:rFonts w:ascii="Calibri" w:eastAsia="Calibri" w:hAnsi="Calibri"/>
                <w:sz w:val="20"/>
                <w:szCs w:val="20"/>
              </w:rPr>
              <w:t>Industry – wholesalers / retailers / importers / packers</w:t>
            </w:r>
          </w:p>
        </w:tc>
        <w:tc>
          <w:tcPr>
            <w:tcW w:w="643" w:type="dxa"/>
            <w:tcBorders>
              <w:right w:val="single" w:sz="4" w:space="0" w:color="FFFFFF" w:themeColor="background1"/>
            </w:tcBorders>
            <w:shd w:val="clear" w:color="auto" w:fill="ACD7CA"/>
            <w:vAlign w:val="center"/>
          </w:tcPr>
          <w:p w:rsidR="00FF5B56" w:rsidRPr="006A74F8"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+1.00</w:t>
            </w:r>
          </w:p>
        </w:tc>
        <w:tc>
          <w:tcPr>
            <w:tcW w:w="643" w:type="dxa"/>
            <w:tcBorders>
              <w:left w:val="single" w:sz="4" w:space="0" w:color="FFFFFF" w:themeColor="background1"/>
              <w:right w:val="single" w:sz="4" w:space="0" w:color="FFFFFF" w:themeColor="background1"/>
            </w:tcBorders>
            <w:shd w:val="clear" w:color="auto" w:fill="ACD7CA"/>
            <w:vAlign w:val="center"/>
          </w:tcPr>
          <w:p w:rsidR="00FF5B56" w:rsidRPr="006A74F8"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+1.33</w:t>
            </w:r>
          </w:p>
        </w:tc>
        <w:tc>
          <w:tcPr>
            <w:tcW w:w="643" w:type="dxa"/>
            <w:tcBorders>
              <w:left w:val="single" w:sz="4" w:space="0" w:color="FFFFFF" w:themeColor="background1"/>
            </w:tcBorders>
            <w:shd w:val="clear" w:color="auto" w:fill="ACD7CA"/>
            <w:vAlign w:val="center"/>
          </w:tcPr>
          <w:p w:rsidR="00FF5B56" w:rsidRPr="006A74F8"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A74F8">
              <w:rPr>
                <w:rFonts w:ascii="Calibri" w:hAnsi="Calibri" w:cs="Calibri"/>
                <w:sz w:val="20"/>
                <w:szCs w:val="18"/>
              </w:rPr>
              <w:t>+1.33</w:t>
            </w:r>
          </w:p>
        </w:tc>
        <w:tc>
          <w:tcPr>
            <w:tcW w:w="5033" w:type="dxa"/>
            <w:vAlign w:val="center"/>
          </w:tcPr>
          <w:p w:rsidR="00FF5B56" w:rsidRPr="006A74F8" w:rsidRDefault="00FF5B56" w:rsidP="004B7B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6A74F8">
              <w:rPr>
                <w:sz w:val="20"/>
                <w:szCs w:val="20"/>
              </w:rPr>
              <w:t>All reform options will benefit this stakeholder group. Options 2 and 3 provide the greatest net benefit.</w:t>
            </w:r>
          </w:p>
        </w:tc>
      </w:tr>
      <w:tr w:rsidR="00FF5B56" w:rsidRPr="006A74F8" w:rsidTr="00FF5B56">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827" w:type="dxa"/>
            <w:vAlign w:val="center"/>
          </w:tcPr>
          <w:p w:rsidR="00FF5B56" w:rsidRPr="006A74F8" w:rsidRDefault="00FF5B56" w:rsidP="0070670B">
            <w:pPr>
              <w:spacing w:line="216" w:lineRule="auto"/>
              <w:rPr>
                <w:rFonts w:ascii="Calibri" w:eastAsia="Calibri" w:hAnsi="Calibri"/>
                <w:b w:val="0"/>
                <w:sz w:val="20"/>
                <w:szCs w:val="20"/>
              </w:rPr>
            </w:pPr>
            <w:r w:rsidRPr="006A74F8">
              <w:rPr>
                <w:rFonts w:ascii="Calibri" w:eastAsia="Calibri" w:hAnsi="Calibri"/>
                <w:sz w:val="20"/>
                <w:szCs w:val="20"/>
              </w:rPr>
              <w:lastRenderedPageBreak/>
              <w:t>Government Regulators</w:t>
            </w:r>
          </w:p>
        </w:tc>
        <w:tc>
          <w:tcPr>
            <w:tcW w:w="643" w:type="dxa"/>
            <w:tcBorders>
              <w:right w:val="single" w:sz="4" w:space="0" w:color="FFFFFF" w:themeColor="background1"/>
            </w:tcBorders>
            <w:shd w:val="clear" w:color="auto" w:fill="ACD7CA"/>
            <w:vAlign w:val="center"/>
          </w:tcPr>
          <w:p w:rsidR="00FF5B56" w:rsidRPr="006A74F8" w:rsidRDefault="00FF5B56" w:rsidP="004B7B2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643" w:type="dxa"/>
            <w:tcBorders>
              <w:left w:val="single" w:sz="4" w:space="0" w:color="FFFFFF" w:themeColor="background1"/>
              <w:right w:val="single" w:sz="4" w:space="0" w:color="FFFFFF" w:themeColor="background1"/>
            </w:tcBorders>
            <w:shd w:val="clear" w:color="auto" w:fill="398E98"/>
            <w:vAlign w:val="center"/>
          </w:tcPr>
          <w:p w:rsidR="00FF5B56" w:rsidRPr="006A74F8" w:rsidRDefault="00FF5B56" w:rsidP="004B7B2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+1.50</w:t>
            </w:r>
          </w:p>
        </w:tc>
        <w:tc>
          <w:tcPr>
            <w:tcW w:w="643" w:type="dxa"/>
            <w:tcBorders>
              <w:left w:val="single" w:sz="4" w:space="0" w:color="FFFFFF" w:themeColor="background1"/>
            </w:tcBorders>
            <w:shd w:val="clear" w:color="auto" w:fill="ACD7CA"/>
            <w:vAlign w:val="center"/>
          </w:tcPr>
          <w:p w:rsidR="00FF5B56" w:rsidRPr="006A74F8" w:rsidRDefault="00FF5B56" w:rsidP="004B7B2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+1.38</w:t>
            </w:r>
          </w:p>
        </w:tc>
        <w:tc>
          <w:tcPr>
            <w:tcW w:w="5033" w:type="dxa"/>
            <w:vAlign w:val="center"/>
          </w:tcPr>
          <w:p w:rsidR="00FF5B56" w:rsidRPr="006A74F8" w:rsidRDefault="00FF5B56" w:rsidP="004B7B28">
            <w:pPr>
              <w:cnfStyle w:val="000000100000" w:firstRow="0" w:lastRow="0" w:firstColumn="0" w:lastColumn="0" w:oddVBand="0" w:evenVBand="0" w:oddHBand="1" w:evenHBand="0" w:firstRowFirstColumn="0" w:firstRowLastColumn="0" w:lastRowFirstColumn="0" w:lastRowLastColumn="0"/>
              <w:rPr>
                <w:rFonts w:ascii="Calibri" w:eastAsia="Calibri" w:hAnsi="Calibri"/>
                <w:b/>
                <w:sz w:val="20"/>
                <w:szCs w:val="20"/>
              </w:rPr>
            </w:pPr>
            <w:r w:rsidRPr="006A74F8">
              <w:rPr>
                <w:sz w:val="20"/>
                <w:szCs w:val="20"/>
              </w:rPr>
              <w:t>Option</w:t>
            </w:r>
            <w:r w:rsidR="00176707" w:rsidRPr="006A74F8">
              <w:rPr>
                <w:sz w:val="20"/>
                <w:szCs w:val="20"/>
              </w:rPr>
              <w:t>s</w:t>
            </w:r>
            <w:r w:rsidRPr="006A74F8">
              <w:rPr>
                <w:sz w:val="20"/>
                <w:szCs w:val="20"/>
              </w:rPr>
              <w:t xml:space="preserve"> 1 </w:t>
            </w:r>
            <w:r w:rsidR="00176707" w:rsidRPr="006A74F8">
              <w:rPr>
                <w:sz w:val="20"/>
                <w:szCs w:val="20"/>
              </w:rPr>
              <w:t>and 3</w:t>
            </w:r>
            <w:r w:rsidRPr="006A74F8">
              <w:rPr>
                <w:sz w:val="20"/>
                <w:szCs w:val="20"/>
              </w:rPr>
              <w:t xml:space="preserve"> provide a slight benefit to regulators</w:t>
            </w:r>
            <w:r w:rsidR="00E65882" w:rsidRPr="006A74F8">
              <w:rPr>
                <w:sz w:val="20"/>
                <w:szCs w:val="20"/>
              </w:rPr>
              <w:t>, with option 3 impacting regulators to a greater extent than option 1.</w:t>
            </w:r>
            <w:r w:rsidRPr="006A74F8">
              <w:rPr>
                <w:sz w:val="20"/>
                <w:szCs w:val="20"/>
              </w:rPr>
              <w:t xml:space="preserve"> </w:t>
            </w:r>
            <w:r w:rsidR="00E65882" w:rsidRPr="006A74F8">
              <w:rPr>
                <w:sz w:val="20"/>
                <w:szCs w:val="20"/>
              </w:rPr>
              <w:t>O</w:t>
            </w:r>
            <w:r w:rsidR="00176707" w:rsidRPr="006A74F8">
              <w:rPr>
                <w:sz w:val="20"/>
                <w:szCs w:val="20"/>
              </w:rPr>
              <w:t>ption</w:t>
            </w:r>
            <w:r w:rsidRPr="006A74F8">
              <w:rPr>
                <w:sz w:val="20"/>
                <w:szCs w:val="20"/>
              </w:rPr>
              <w:t xml:space="preserve"> 2 provide</w:t>
            </w:r>
            <w:r w:rsidR="00176707" w:rsidRPr="006A74F8">
              <w:rPr>
                <w:sz w:val="20"/>
                <w:szCs w:val="20"/>
              </w:rPr>
              <w:t>s</w:t>
            </w:r>
            <w:r w:rsidRPr="006A74F8">
              <w:rPr>
                <w:sz w:val="20"/>
                <w:szCs w:val="20"/>
              </w:rPr>
              <w:t xml:space="preserve"> </w:t>
            </w:r>
            <w:r w:rsidR="00E65882" w:rsidRPr="006A74F8">
              <w:rPr>
                <w:sz w:val="20"/>
                <w:szCs w:val="20"/>
              </w:rPr>
              <w:t>the greatest net</w:t>
            </w:r>
            <w:r w:rsidRPr="006A74F8">
              <w:rPr>
                <w:sz w:val="20"/>
                <w:szCs w:val="20"/>
              </w:rPr>
              <w:t xml:space="preserve"> benefit</w:t>
            </w:r>
            <w:r w:rsidR="00E65882" w:rsidRPr="006A74F8">
              <w:rPr>
                <w:sz w:val="20"/>
                <w:szCs w:val="20"/>
              </w:rPr>
              <w:t xml:space="preserve"> to regulators</w:t>
            </w:r>
            <w:r w:rsidR="00A80BAC" w:rsidRPr="006A74F8">
              <w:rPr>
                <w:sz w:val="20"/>
                <w:szCs w:val="20"/>
              </w:rPr>
              <w:t xml:space="preserve"> as less regulatory overlap and ongoing engagement required as compared to Option 3.</w:t>
            </w:r>
          </w:p>
        </w:tc>
      </w:tr>
      <w:tr w:rsidR="00FF5B56" w:rsidRPr="006A74F8" w:rsidTr="00FF5B56">
        <w:trPr>
          <w:trHeight w:hRule="exact" w:val="794"/>
        </w:trPr>
        <w:tc>
          <w:tcPr>
            <w:cnfStyle w:val="001000000000" w:firstRow="0" w:lastRow="0" w:firstColumn="1" w:lastColumn="0" w:oddVBand="0" w:evenVBand="0" w:oddHBand="0" w:evenHBand="0" w:firstRowFirstColumn="0" w:firstRowLastColumn="0" w:lastRowFirstColumn="0" w:lastRowLastColumn="0"/>
            <w:tcW w:w="1827" w:type="dxa"/>
            <w:tcBorders>
              <w:bottom w:val="single" w:sz="12" w:space="0" w:color="auto"/>
            </w:tcBorders>
            <w:vAlign w:val="center"/>
          </w:tcPr>
          <w:p w:rsidR="00FF5B56" w:rsidRPr="006A74F8" w:rsidRDefault="00FF5B56" w:rsidP="004B7B28">
            <w:pPr>
              <w:rPr>
                <w:rFonts w:ascii="Calibri" w:eastAsia="Calibri" w:hAnsi="Calibri"/>
                <w:sz w:val="20"/>
                <w:szCs w:val="20"/>
              </w:rPr>
            </w:pPr>
            <w:r w:rsidRPr="006A74F8">
              <w:rPr>
                <w:rFonts w:ascii="Calibri" w:eastAsia="Calibri" w:hAnsi="Calibri"/>
                <w:sz w:val="20"/>
                <w:szCs w:val="20"/>
              </w:rPr>
              <w:t>Overall (rounded)</w:t>
            </w:r>
          </w:p>
        </w:tc>
        <w:tc>
          <w:tcPr>
            <w:tcW w:w="643" w:type="dxa"/>
            <w:tcBorders>
              <w:bottom w:val="single" w:sz="12" w:space="0" w:color="auto"/>
              <w:right w:val="single" w:sz="4" w:space="0" w:color="FFFFFF" w:themeColor="background1"/>
            </w:tcBorders>
            <w:shd w:val="clear" w:color="auto" w:fill="ACD7CA"/>
            <w:vAlign w:val="center"/>
          </w:tcPr>
          <w:p w:rsidR="00FF5B56" w:rsidRPr="006A74F8" w:rsidRDefault="00FF5B56" w:rsidP="004B7B2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eastAsia="Calibri" w:cstheme="minorHAnsi"/>
                <w:b/>
                <w:sz w:val="20"/>
                <w:szCs w:val="20"/>
              </w:rPr>
              <w:t>+0.7</w:t>
            </w:r>
          </w:p>
        </w:tc>
        <w:tc>
          <w:tcPr>
            <w:tcW w:w="643" w:type="dxa"/>
            <w:tcBorders>
              <w:left w:val="single" w:sz="4" w:space="0" w:color="FFFFFF" w:themeColor="background1"/>
              <w:bottom w:val="single" w:sz="12" w:space="0" w:color="auto"/>
              <w:right w:val="single" w:sz="4" w:space="0" w:color="FFFFFF" w:themeColor="background1"/>
            </w:tcBorders>
            <w:shd w:val="clear" w:color="auto" w:fill="ACD7CA"/>
            <w:vAlign w:val="center"/>
          </w:tcPr>
          <w:p w:rsidR="00FF5B56" w:rsidRPr="006A74F8" w:rsidRDefault="00FF5B56" w:rsidP="004B7B2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eastAsia="Calibri" w:cstheme="minorHAnsi"/>
                <w:b/>
                <w:sz w:val="20"/>
                <w:szCs w:val="20"/>
              </w:rPr>
              <w:t>+1.2</w:t>
            </w:r>
          </w:p>
        </w:tc>
        <w:tc>
          <w:tcPr>
            <w:tcW w:w="643" w:type="dxa"/>
            <w:tcBorders>
              <w:left w:val="single" w:sz="4" w:space="0" w:color="FFFFFF" w:themeColor="background1"/>
              <w:bottom w:val="single" w:sz="12" w:space="0" w:color="auto"/>
            </w:tcBorders>
            <w:shd w:val="clear" w:color="auto" w:fill="ACD7CA"/>
            <w:vAlign w:val="center"/>
          </w:tcPr>
          <w:p w:rsidR="00FF5B56" w:rsidRPr="006A74F8" w:rsidRDefault="00FF5B56" w:rsidP="004B7B2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eastAsia="Calibri" w:cstheme="minorHAnsi"/>
                <w:b/>
                <w:sz w:val="20"/>
                <w:szCs w:val="20"/>
              </w:rPr>
              <w:t>+1.0</w:t>
            </w:r>
          </w:p>
        </w:tc>
        <w:tc>
          <w:tcPr>
            <w:tcW w:w="5033" w:type="dxa"/>
            <w:tcBorders>
              <w:bottom w:val="single" w:sz="12" w:space="0" w:color="auto"/>
            </w:tcBorders>
            <w:vAlign w:val="center"/>
          </w:tcPr>
          <w:p w:rsidR="00FF5B56" w:rsidRPr="006A74F8" w:rsidRDefault="00FF5B56" w:rsidP="004B7B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6A74F8">
              <w:rPr>
                <w:rFonts w:ascii="Calibri" w:eastAsia="Calibri" w:hAnsi="Calibri"/>
                <w:b/>
                <w:sz w:val="20"/>
                <w:szCs w:val="20"/>
              </w:rPr>
              <w:t xml:space="preserve">Analysis of stakeholder impacts shows that option 2 provides the greatest benefit to stakeholders. </w:t>
            </w:r>
          </w:p>
        </w:tc>
      </w:tr>
    </w:tbl>
    <w:p w:rsidR="00225987" w:rsidRPr="006A74F8" w:rsidRDefault="00225987" w:rsidP="00995E46"/>
    <w:p w:rsidR="009E72B1" w:rsidRPr="006A74F8" w:rsidRDefault="00C310AF" w:rsidP="00C93920">
      <w:pPr>
        <w:keepNext/>
        <w:rPr>
          <w:rStyle w:val="Hyperlink"/>
          <w:color w:val="auto"/>
          <w:u w:val="none"/>
        </w:rPr>
      </w:pPr>
      <w:r w:rsidRPr="006A74F8">
        <w:rPr>
          <w:rStyle w:val="Hyperlink"/>
          <w:color w:val="auto"/>
          <w:u w:val="none"/>
        </w:rPr>
        <w:t>This a</w:t>
      </w:r>
      <w:r w:rsidR="009E72B1" w:rsidRPr="006A74F8">
        <w:rPr>
          <w:rStyle w:val="Hyperlink"/>
          <w:color w:val="auto"/>
          <w:u w:val="none"/>
        </w:rPr>
        <w:t>ssessment of stakeholder impacts indicates that:</w:t>
      </w:r>
    </w:p>
    <w:p w:rsidR="009E72B1" w:rsidRPr="006A74F8" w:rsidRDefault="009E72B1" w:rsidP="00C812C5">
      <w:pPr>
        <w:pStyle w:val="ListParagraph"/>
        <w:numPr>
          <w:ilvl w:val="0"/>
          <w:numId w:val="46"/>
        </w:numPr>
        <w:rPr>
          <w:rStyle w:val="Hyperlink"/>
          <w:color w:val="auto"/>
          <w:u w:val="none"/>
        </w:rPr>
      </w:pPr>
      <w:r w:rsidRPr="006A74F8">
        <w:rPr>
          <w:rStyle w:val="Hyperlink"/>
          <w:b/>
          <w:color w:val="auto"/>
          <w:u w:val="none"/>
        </w:rPr>
        <w:t>Option</w:t>
      </w:r>
      <w:r w:rsidR="00A06A5A" w:rsidRPr="006A74F8">
        <w:rPr>
          <w:rStyle w:val="Hyperlink"/>
          <w:b/>
          <w:color w:val="auto"/>
          <w:u w:val="none"/>
        </w:rPr>
        <w:t>s</w:t>
      </w:r>
      <w:r w:rsidRPr="006A74F8">
        <w:rPr>
          <w:rStyle w:val="Hyperlink"/>
          <w:b/>
          <w:color w:val="auto"/>
          <w:u w:val="none"/>
        </w:rPr>
        <w:t xml:space="preserve"> 1</w:t>
      </w:r>
      <w:r w:rsidRPr="006A74F8">
        <w:rPr>
          <w:rStyle w:val="Hyperlink"/>
          <w:color w:val="auto"/>
          <w:u w:val="none"/>
        </w:rPr>
        <w:t xml:space="preserve"> </w:t>
      </w:r>
      <w:r w:rsidR="00A06A5A" w:rsidRPr="006A74F8">
        <w:rPr>
          <w:rStyle w:val="Hyperlink"/>
          <w:b/>
          <w:color w:val="auto"/>
          <w:u w:val="none"/>
        </w:rPr>
        <w:t>and 3</w:t>
      </w:r>
      <w:r w:rsidR="00A06A5A" w:rsidRPr="006A74F8">
        <w:rPr>
          <w:rStyle w:val="Hyperlink"/>
          <w:color w:val="auto"/>
          <w:u w:val="none"/>
        </w:rPr>
        <w:t xml:space="preserve"> </w:t>
      </w:r>
      <w:r w:rsidRPr="006A74F8">
        <w:rPr>
          <w:rStyle w:val="Hyperlink"/>
          <w:color w:val="auto"/>
          <w:u w:val="none"/>
        </w:rPr>
        <w:t>provide an overall slight benefit across all stakeholder groups.</w:t>
      </w:r>
    </w:p>
    <w:p w:rsidR="009E72B1" w:rsidRPr="006A74F8" w:rsidRDefault="009E72B1" w:rsidP="00C812C5">
      <w:pPr>
        <w:pStyle w:val="ListParagraph"/>
        <w:numPr>
          <w:ilvl w:val="0"/>
          <w:numId w:val="46"/>
        </w:numPr>
        <w:rPr>
          <w:rStyle w:val="Hyperlink"/>
          <w:color w:val="auto"/>
          <w:u w:val="none"/>
        </w:rPr>
      </w:pPr>
      <w:r w:rsidRPr="006A74F8">
        <w:rPr>
          <w:rStyle w:val="Hyperlink"/>
          <w:b/>
          <w:color w:val="auto"/>
          <w:u w:val="none"/>
        </w:rPr>
        <w:t>Option 2</w:t>
      </w:r>
      <w:r w:rsidRPr="006A74F8" w:rsidDel="00A06A5A">
        <w:rPr>
          <w:rStyle w:val="Hyperlink"/>
          <w:color w:val="auto"/>
          <w:u w:val="none"/>
        </w:rPr>
        <w:t xml:space="preserve"> </w:t>
      </w:r>
      <w:r w:rsidRPr="006A74F8">
        <w:rPr>
          <w:rStyle w:val="Hyperlink"/>
          <w:color w:val="auto"/>
          <w:u w:val="none"/>
        </w:rPr>
        <w:t>provide</w:t>
      </w:r>
      <w:r w:rsidR="00A06A5A" w:rsidRPr="006A74F8">
        <w:rPr>
          <w:rStyle w:val="Hyperlink"/>
          <w:color w:val="auto"/>
          <w:u w:val="none"/>
        </w:rPr>
        <w:t>s</w:t>
      </w:r>
      <w:r w:rsidRPr="006A74F8">
        <w:rPr>
          <w:rStyle w:val="Hyperlink"/>
          <w:color w:val="auto"/>
          <w:u w:val="none"/>
        </w:rPr>
        <w:t xml:space="preserve"> </w:t>
      </w:r>
      <w:r w:rsidR="00E843AB" w:rsidRPr="006A74F8">
        <w:rPr>
          <w:rStyle w:val="Hyperlink"/>
          <w:color w:val="auto"/>
          <w:u w:val="none"/>
        </w:rPr>
        <w:t>slight</w:t>
      </w:r>
      <w:r w:rsidRPr="006A74F8">
        <w:rPr>
          <w:rStyle w:val="Hyperlink"/>
          <w:color w:val="auto"/>
          <w:u w:val="none"/>
        </w:rPr>
        <w:t xml:space="preserve"> benefits to </w:t>
      </w:r>
      <w:r w:rsidR="00E843AB" w:rsidRPr="006A74F8">
        <w:rPr>
          <w:rStyle w:val="Hyperlink"/>
          <w:color w:val="auto"/>
          <w:u w:val="none"/>
        </w:rPr>
        <w:t>some</w:t>
      </w:r>
      <w:r w:rsidRPr="006A74F8">
        <w:rPr>
          <w:rStyle w:val="Hyperlink"/>
          <w:color w:val="auto"/>
          <w:u w:val="none"/>
        </w:rPr>
        <w:t xml:space="preserve"> stakeholder groups, with </w:t>
      </w:r>
      <w:r w:rsidR="00E843AB" w:rsidRPr="006A74F8">
        <w:rPr>
          <w:rStyle w:val="Hyperlink"/>
          <w:color w:val="auto"/>
          <w:u w:val="none"/>
        </w:rPr>
        <w:t xml:space="preserve">more moderate </w:t>
      </w:r>
      <w:r w:rsidRPr="006A74F8">
        <w:rPr>
          <w:rStyle w:val="Hyperlink"/>
          <w:color w:val="auto"/>
          <w:u w:val="none"/>
        </w:rPr>
        <w:t>benefits to others.</w:t>
      </w:r>
    </w:p>
    <w:p w:rsidR="009E72B1" w:rsidRPr="006A74F8" w:rsidRDefault="009E72B1" w:rsidP="00C812C5">
      <w:pPr>
        <w:pStyle w:val="ListParagraph"/>
        <w:numPr>
          <w:ilvl w:val="0"/>
          <w:numId w:val="46"/>
        </w:numPr>
        <w:rPr>
          <w:rStyle w:val="Hyperlink"/>
          <w:color w:val="auto"/>
          <w:u w:val="none"/>
        </w:rPr>
      </w:pPr>
      <w:r w:rsidRPr="006A74F8">
        <w:rPr>
          <w:rStyle w:val="Hyperlink"/>
          <w:b/>
          <w:color w:val="auto"/>
          <w:u w:val="none"/>
        </w:rPr>
        <w:t xml:space="preserve">Option 2 </w:t>
      </w:r>
      <w:r w:rsidRPr="006A74F8">
        <w:rPr>
          <w:rStyle w:val="Hyperlink"/>
          <w:color w:val="auto"/>
          <w:u w:val="none"/>
        </w:rPr>
        <w:t>provides the greatest overall benefit across all stakeholder groups.</w:t>
      </w:r>
    </w:p>
    <w:p w:rsidR="00057A34" w:rsidRPr="006A74F8" w:rsidRDefault="00E31912" w:rsidP="009E72B1">
      <w:pPr>
        <w:pStyle w:val="Heading3"/>
        <w:rPr>
          <w:lang w:eastAsia="en-AU"/>
        </w:rPr>
      </w:pPr>
      <w:r w:rsidRPr="006A74F8">
        <w:rPr>
          <w:lang w:eastAsia="en-AU"/>
        </w:rPr>
        <w:t>Net benefit a</w:t>
      </w:r>
      <w:r w:rsidR="00057A34" w:rsidRPr="006A74F8">
        <w:rPr>
          <w:lang w:eastAsia="en-AU"/>
        </w:rPr>
        <w:t>ssessment</w:t>
      </w:r>
    </w:p>
    <w:p w:rsidR="00C310AF" w:rsidRPr="006A74F8" w:rsidRDefault="009E72B1" w:rsidP="009E72B1">
      <w:pPr>
        <w:rPr>
          <w:lang w:eastAsia="en-AU"/>
        </w:rPr>
      </w:pPr>
      <w:r w:rsidRPr="006A74F8">
        <w:rPr>
          <w:lang w:eastAsia="en-AU"/>
        </w:rPr>
        <w:t>Overall, analysis shows that</w:t>
      </w:r>
      <w:r w:rsidR="00C310AF" w:rsidRPr="006A74F8">
        <w:rPr>
          <w:lang w:eastAsia="en-AU"/>
        </w:rPr>
        <w:t>:</w:t>
      </w:r>
    </w:p>
    <w:p w:rsidR="00C310AF" w:rsidRPr="006A74F8" w:rsidRDefault="00C310AF" w:rsidP="00C812C5">
      <w:pPr>
        <w:pStyle w:val="ListParagraph"/>
        <w:numPr>
          <w:ilvl w:val="0"/>
          <w:numId w:val="114"/>
        </w:numPr>
        <w:rPr>
          <w:lang w:eastAsia="en-AU"/>
        </w:rPr>
      </w:pPr>
      <w:r w:rsidRPr="006A74F8">
        <w:rPr>
          <w:b/>
          <w:lang w:eastAsia="en-AU"/>
        </w:rPr>
        <w:t>O</w:t>
      </w:r>
      <w:r w:rsidR="009E72B1" w:rsidRPr="006A74F8">
        <w:rPr>
          <w:b/>
          <w:lang w:eastAsia="en-AU"/>
        </w:rPr>
        <w:t>ption 2</w:t>
      </w:r>
      <w:r w:rsidR="009E72B1" w:rsidRPr="006A74F8">
        <w:rPr>
          <w:lang w:eastAsia="en-AU"/>
        </w:rPr>
        <w:t xml:space="preserve"> has the greatest alignment with key policy principles and provides the greatest net benefit to affected stakeholders. It provides a strong overall combination of changes to reform the measurement framework and maintain it into the future</w:t>
      </w:r>
      <w:r w:rsidR="004D62BE" w:rsidRPr="006A74F8">
        <w:rPr>
          <w:lang w:eastAsia="en-AU"/>
        </w:rPr>
        <w:t xml:space="preserve">. </w:t>
      </w:r>
      <w:r w:rsidR="00BB7665" w:rsidRPr="006A74F8">
        <w:rPr>
          <w:b/>
          <w:lang w:eastAsia="en-AU"/>
        </w:rPr>
        <w:t>Options 2</w:t>
      </w:r>
      <w:r w:rsidR="00C91847" w:rsidRPr="006A74F8">
        <w:rPr>
          <w:b/>
          <w:lang w:eastAsia="en-AU"/>
        </w:rPr>
        <w:t xml:space="preserve"> and </w:t>
      </w:r>
      <w:r w:rsidR="00BB7665" w:rsidRPr="006A74F8">
        <w:rPr>
          <w:b/>
          <w:lang w:eastAsia="en-AU"/>
        </w:rPr>
        <w:t xml:space="preserve">3 </w:t>
      </w:r>
      <w:r w:rsidR="00BB7665" w:rsidRPr="006A74F8">
        <w:rPr>
          <w:lang w:eastAsia="en-AU"/>
        </w:rPr>
        <w:t xml:space="preserve">provide </w:t>
      </w:r>
      <w:r w:rsidR="00C91847" w:rsidRPr="006A74F8">
        <w:rPr>
          <w:lang w:eastAsia="en-AU"/>
        </w:rPr>
        <w:t>the equal highest quantifiable reduction in regulatory burden ($</w:t>
      </w:r>
      <w:r w:rsidR="00224689" w:rsidRPr="006A74F8">
        <w:rPr>
          <w:lang w:eastAsia="en-AU"/>
        </w:rPr>
        <w:t>8.5</w:t>
      </w:r>
      <w:r w:rsidR="00C91847" w:rsidRPr="006A74F8">
        <w:rPr>
          <w:lang w:eastAsia="en-AU"/>
        </w:rPr>
        <w:t>m)</w:t>
      </w:r>
      <w:r w:rsidR="009E72B1" w:rsidRPr="006A74F8">
        <w:rPr>
          <w:lang w:eastAsia="en-AU"/>
        </w:rPr>
        <w:t xml:space="preserve">. </w:t>
      </w:r>
    </w:p>
    <w:p w:rsidR="00C310AF" w:rsidRPr="006A74F8" w:rsidRDefault="009E72B1" w:rsidP="00C812C5">
      <w:pPr>
        <w:pStyle w:val="ListParagraph"/>
        <w:numPr>
          <w:ilvl w:val="0"/>
          <w:numId w:val="114"/>
        </w:numPr>
        <w:rPr>
          <w:lang w:eastAsia="en-AU"/>
        </w:rPr>
      </w:pPr>
      <w:r w:rsidRPr="006A74F8">
        <w:rPr>
          <w:lang w:eastAsia="en-AU"/>
        </w:rPr>
        <w:t xml:space="preserve">While </w:t>
      </w:r>
      <w:r w:rsidR="00C310AF" w:rsidRPr="006A74F8">
        <w:rPr>
          <w:b/>
          <w:lang w:eastAsia="en-AU"/>
        </w:rPr>
        <w:t>o</w:t>
      </w:r>
      <w:r w:rsidRPr="006A74F8">
        <w:rPr>
          <w:b/>
          <w:lang w:eastAsia="en-AU"/>
        </w:rPr>
        <w:t>ption 3</w:t>
      </w:r>
      <w:r w:rsidRPr="006A74F8">
        <w:rPr>
          <w:lang w:eastAsia="en-AU"/>
        </w:rPr>
        <w:t xml:space="preserve"> provides many of the same benefits</w:t>
      </w:r>
      <w:r w:rsidR="00C310AF" w:rsidRPr="006A74F8">
        <w:rPr>
          <w:lang w:eastAsia="en-AU"/>
        </w:rPr>
        <w:t xml:space="preserve"> as option 2</w:t>
      </w:r>
      <w:r w:rsidRPr="006A74F8">
        <w:rPr>
          <w:lang w:eastAsia="en-AU"/>
        </w:rPr>
        <w:t>, it comes at additional costs to government</w:t>
      </w:r>
      <w:r w:rsidR="00C91847" w:rsidRPr="006A74F8">
        <w:rPr>
          <w:lang w:eastAsia="en-AU"/>
        </w:rPr>
        <w:t xml:space="preserve"> and additional </w:t>
      </w:r>
      <w:r w:rsidR="00EA7BFF" w:rsidRPr="006A74F8">
        <w:rPr>
          <w:lang w:eastAsia="en-AU"/>
        </w:rPr>
        <w:t>potential</w:t>
      </w:r>
      <w:r w:rsidR="00C91847" w:rsidRPr="006A74F8">
        <w:rPr>
          <w:lang w:eastAsia="en-AU"/>
        </w:rPr>
        <w:t xml:space="preserve"> regulatory burdens when compared to option</w:t>
      </w:r>
      <w:r w:rsidR="0024025C" w:rsidRPr="006A74F8">
        <w:rPr>
          <w:lang w:eastAsia="en-AU"/>
        </w:rPr>
        <w:t> </w:t>
      </w:r>
      <w:r w:rsidR="00C91847" w:rsidRPr="006A74F8">
        <w:rPr>
          <w:lang w:eastAsia="en-AU"/>
        </w:rPr>
        <w:t>2</w:t>
      </w:r>
      <w:r w:rsidRPr="006A74F8">
        <w:rPr>
          <w:lang w:eastAsia="en-AU"/>
        </w:rPr>
        <w:t>.</w:t>
      </w:r>
      <w:r w:rsidR="00C310AF" w:rsidRPr="006A74F8">
        <w:rPr>
          <w:lang w:eastAsia="en-AU"/>
        </w:rPr>
        <w:t xml:space="preserve">  </w:t>
      </w:r>
    </w:p>
    <w:p w:rsidR="00017364" w:rsidRPr="006A74F8" w:rsidRDefault="00C310AF" w:rsidP="00C812C5">
      <w:pPr>
        <w:pStyle w:val="ListParagraph"/>
        <w:numPr>
          <w:ilvl w:val="0"/>
          <w:numId w:val="114"/>
        </w:numPr>
        <w:rPr>
          <w:lang w:eastAsia="en-AU"/>
        </w:rPr>
      </w:pPr>
      <w:r w:rsidRPr="006A74F8">
        <w:rPr>
          <w:b/>
          <w:lang w:eastAsia="en-AU"/>
        </w:rPr>
        <w:t>Option 1</w:t>
      </w:r>
      <w:r w:rsidRPr="006A74F8">
        <w:rPr>
          <w:lang w:eastAsia="en-AU"/>
        </w:rPr>
        <w:t xml:space="preserve"> maintains an overall positive impact on stakeholders but </w:t>
      </w:r>
      <w:r w:rsidR="00EA7BFF" w:rsidRPr="006A74F8">
        <w:rPr>
          <w:lang w:eastAsia="en-AU"/>
        </w:rPr>
        <w:t xml:space="preserve">is less aligned with </w:t>
      </w:r>
      <w:r w:rsidRPr="006A74F8">
        <w:rPr>
          <w:lang w:eastAsia="en-AU"/>
        </w:rPr>
        <w:t>the key policy principles, and results in a lower quantifiable reduction in regulatory burden ($</w:t>
      </w:r>
      <w:r w:rsidR="007E6461" w:rsidRPr="006A74F8">
        <w:rPr>
          <w:lang w:eastAsia="en-AU"/>
        </w:rPr>
        <w:t>8.</w:t>
      </w:r>
      <w:r w:rsidR="0010600D" w:rsidRPr="006A74F8">
        <w:rPr>
          <w:lang w:eastAsia="en-AU"/>
        </w:rPr>
        <w:t>4</w:t>
      </w:r>
      <w:r w:rsidRPr="006A74F8">
        <w:rPr>
          <w:lang w:eastAsia="en-AU"/>
        </w:rPr>
        <w:t>m). Option 1 also has greatly reduced ability to support innovation over time.</w:t>
      </w:r>
    </w:p>
    <w:bookmarkEnd w:id="206"/>
    <w:bookmarkEnd w:id="207"/>
    <w:bookmarkEnd w:id="208"/>
    <w:bookmarkEnd w:id="209"/>
    <w:bookmarkEnd w:id="210"/>
    <w:bookmarkEnd w:id="211"/>
    <w:bookmarkEnd w:id="212"/>
    <w:bookmarkEnd w:id="213"/>
    <w:bookmarkEnd w:id="214"/>
    <w:bookmarkEnd w:id="215"/>
    <w:bookmarkEnd w:id="216"/>
    <w:bookmarkEnd w:id="217"/>
    <w:p w:rsidR="006E137F" w:rsidRPr="006A74F8" w:rsidRDefault="00623B1F" w:rsidP="008A4BAE">
      <w:pPr>
        <w:pStyle w:val="Heading2"/>
        <w:rPr>
          <w:lang w:eastAsia="en-AU"/>
        </w:rPr>
      </w:pPr>
      <w:r w:rsidRPr="006A74F8">
        <w:rPr>
          <w:lang w:eastAsia="en-AU"/>
        </w:rPr>
        <w:t xml:space="preserve">Summary of </w:t>
      </w:r>
      <w:r w:rsidR="0034669F" w:rsidRPr="006A74F8">
        <w:rPr>
          <w:lang w:eastAsia="en-AU"/>
        </w:rPr>
        <w:t>Consultation</w:t>
      </w:r>
    </w:p>
    <w:p w:rsidR="00C30539" w:rsidRPr="006A74F8" w:rsidRDefault="00C30539">
      <w:pPr>
        <w:rPr>
          <w:rFonts w:ascii="Calibri" w:eastAsia="Times New Roman" w:hAnsi="Calibri" w:cs="Calibri"/>
          <w:color w:val="000000"/>
          <w:lang w:eastAsia="en-AU"/>
        </w:rPr>
      </w:pPr>
      <w:r w:rsidRPr="006A74F8">
        <w:rPr>
          <w:rFonts w:ascii="Calibri" w:eastAsia="Times New Roman" w:hAnsi="Calibri" w:cs="Calibri"/>
          <w:color w:val="000000"/>
          <w:lang w:eastAsia="en-AU"/>
        </w:rPr>
        <w:t xml:space="preserve">The department consulted extensively to form and refine the reform options presented in this RIS. </w:t>
      </w:r>
      <w:r w:rsidR="00816EE4" w:rsidRPr="006A74F8">
        <w:rPr>
          <w:rFonts w:ascii="Calibri" w:eastAsia="Times New Roman" w:hAnsi="Calibri" w:cs="Calibri"/>
          <w:color w:val="000000"/>
          <w:lang w:eastAsia="en-AU"/>
        </w:rPr>
        <w:t>Draft reform options were informed by the feedback received from six discussion papers on Australia’s measurement framework</w:t>
      </w:r>
      <w:r w:rsidR="00C9162F" w:rsidRPr="006A74F8">
        <w:rPr>
          <w:rFonts w:ascii="Calibri" w:eastAsia="Times New Roman" w:hAnsi="Calibri" w:cs="Calibri"/>
          <w:color w:val="000000"/>
          <w:lang w:eastAsia="en-AU"/>
        </w:rPr>
        <w:t xml:space="preserve"> (see </w:t>
      </w:r>
      <w:hyperlink w:anchor="_The_Measurement_Law" w:history="1">
        <w:r w:rsidRPr="006A74F8">
          <w:rPr>
            <w:rStyle w:val="Hyperlink"/>
            <w:rFonts w:ascii="Calibri" w:eastAsia="Times New Roman" w:hAnsi="Calibri" w:cs="Calibri"/>
            <w:lang w:eastAsia="en-AU"/>
          </w:rPr>
          <w:t>section 1</w:t>
        </w:r>
        <w:r w:rsidR="00B70C40" w:rsidRPr="006A74F8">
          <w:rPr>
            <w:rStyle w:val="Hyperlink"/>
            <w:rFonts w:ascii="Calibri" w:eastAsia="Times New Roman" w:hAnsi="Calibri" w:cs="Calibri"/>
            <w:lang w:eastAsia="en-AU"/>
          </w:rPr>
          <w:t>1</w:t>
        </w:r>
        <w:r w:rsidRPr="006A74F8">
          <w:rPr>
            <w:rStyle w:val="Hyperlink"/>
            <w:rFonts w:ascii="Calibri" w:eastAsia="Times New Roman" w:hAnsi="Calibri" w:cs="Calibri"/>
            <w:lang w:eastAsia="en-AU"/>
          </w:rPr>
          <w:t>.2</w:t>
        </w:r>
      </w:hyperlink>
      <w:r w:rsidR="00C9162F" w:rsidRPr="006A74F8">
        <w:rPr>
          <w:rFonts w:ascii="Calibri" w:eastAsia="Times New Roman" w:hAnsi="Calibri" w:cs="Calibri"/>
          <w:color w:val="000000"/>
          <w:lang w:eastAsia="en-AU"/>
        </w:rPr>
        <w:t>)</w:t>
      </w:r>
      <w:r w:rsidR="00B70877">
        <w:rPr>
          <w:rFonts w:ascii="Calibri" w:eastAsia="Times New Roman" w:hAnsi="Calibri" w:cs="Calibri"/>
          <w:color w:val="000000"/>
          <w:lang w:eastAsia="en-AU"/>
        </w:rPr>
        <w:t>.</w:t>
      </w:r>
      <w:r w:rsidR="00F53783" w:rsidRPr="006A74F8">
        <w:rPr>
          <w:rFonts w:ascii="Calibri" w:eastAsia="Times New Roman" w:hAnsi="Calibri" w:cs="Calibri"/>
          <w:color w:val="000000"/>
          <w:lang w:eastAsia="en-AU"/>
        </w:rPr>
        <w:t xml:space="preserve"> The</w:t>
      </w:r>
      <w:r w:rsidR="009B795D" w:rsidRPr="006A74F8">
        <w:rPr>
          <w:rFonts w:ascii="Calibri" w:eastAsia="Times New Roman" w:hAnsi="Calibri" w:cs="Calibri"/>
          <w:color w:val="000000"/>
          <w:lang w:eastAsia="en-AU"/>
        </w:rPr>
        <w:t>se</w:t>
      </w:r>
      <w:r w:rsidRPr="006A74F8">
        <w:rPr>
          <w:rFonts w:ascii="Calibri" w:eastAsia="Times New Roman" w:hAnsi="Calibri" w:cs="Calibri"/>
          <w:color w:val="000000"/>
          <w:lang w:eastAsia="en-AU"/>
        </w:rPr>
        <w:t xml:space="preserve"> options</w:t>
      </w:r>
      <w:r w:rsidR="00F53783" w:rsidRPr="006A74F8">
        <w:rPr>
          <w:rFonts w:ascii="Calibri" w:eastAsia="Times New Roman" w:hAnsi="Calibri" w:cs="Calibri"/>
          <w:color w:val="000000"/>
          <w:lang w:eastAsia="en-AU"/>
        </w:rPr>
        <w:t xml:space="preserve"> were presented in a Consultation RIS </w:t>
      </w:r>
      <w:r w:rsidR="009B795D" w:rsidRPr="006A74F8">
        <w:rPr>
          <w:rFonts w:ascii="Calibri" w:eastAsia="Times New Roman" w:hAnsi="Calibri" w:cs="Calibri"/>
          <w:color w:val="000000"/>
          <w:lang w:eastAsia="en-AU"/>
        </w:rPr>
        <w:t xml:space="preserve">for stakeholder feedback </w:t>
      </w:r>
      <w:r w:rsidR="00F53783" w:rsidRPr="006A74F8">
        <w:rPr>
          <w:rFonts w:ascii="Calibri" w:eastAsia="Times New Roman" w:hAnsi="Calibri" w:cs="Calibri"/>
          <w:color w:val="000000"/>
          <w:lang w:eastAsia="en-AU"/>
        </w:rPr>
        <w:t xml:space="preserve">and </w:t>
      </w:r>
      <w:r w:rsidRPr="006A74F8">
        <w:rPr>
          <w:rFonts w:ascii="Calibri" w:eastAsia="Times New Roman" w:hAnsi="Calibri" w:cs="Calibri"/>
          <w:color w:val="000000"/>
          <w:lang w:eastAsia="en-AU"/>
        </w:rPr>
        <w:t xml:space="preserve">published online </w:t>
      </w:r>
      <w:r w:rsidR="00B45195" w:rsidRPr="006A74F8">
        <w:rPr>
          <w:rFonts w:ascii="Calibri" w:eastAsia="Times New Roman" w:hAnsi="Calibri" w:cs="Calibri"/>
          <w:color w:val="000000"/>
          <w:lang w:eastAsia="en-AU"/>
        </w:rPr>
        <w:t>via</w:t>
      </w:r>
      <w:r w:rsidR="00F53783" w:rsidRPr="006A74F8">
        <w:rPr>
          <w:rFonts w:ascii="Calibri" w:eastAsia="Times New Roman" w:hAnsi="Calibri" w:cs="Calibri"/>
          <w:color w:val="000000"/>
          <w:lang w:eastAsia="en-AU"/>
        </w:rPr>
        <w:t xml:space="preserve"> the department’s consultation hub </w:t>
      </w:r>
      <w:r w:rsidR="009B795D" w:rsidRPr="006A74F8">
        <w:rPr>
          <w:rFonts w:ascii="Calibri" w:eastAsia="Times New Roman" w:hAnsi="Calibri" w:cs="Calibri"/>
          <w:color w:val="000000"/>
          <w:lang w:eastAsia="en-AU"/>
        </w:rPr>
        <w:t xml:space="preserve">for comment </w:t>
      </w:r>
      <w:r w:rsidRPr="006A74F8">
        <w:rPr>
          <w:rFonts w:ascii="Calibri" w:eastAsia="Times New Roman" w:hAnsi="Calibri" w:cs="Calibri"/>
          <w:color w:val="000000"/>
          <w:lang w:eastAsia="en-AU"/>
        </w:rPr>
        <w:t>between 15 April and 14 May 2021. Further information about the consultation</w:t>
      </w:r>
      <w:r w:rsidR="009B795D" w:rsidRPr="006A74F8">
        <w:rPr>
          <w:rFonts w:ascii="Calibri" w:eastAsia="Times New Roman" w:hAnsi="Calibri" w:cs="Calibri"/>
          <w:color w:val="000000"/>
          <w:lang w:eastAsia="en-AU"/>
        </w:rPr>
        <w:t xml:space="preserve"> on the draft reform options</w:t>
      </w:r>
      <w:r w:rsidRPr="006A74F8">
        <w:rPr>
          <w:rFonts w:ascii="Calibri" w:eastAsia="Times New Roman" w:hAnsi="Calibri" w:cs="Calibri"/>
          <w:color w:val="000000"/>
          <w:lang w:eastAsia="en-AU"/>
        </w:rPr>
        <w:t xml:space="preserve"> is available in </w:t>
      </w:r>
      <w:hyperlink w:anchor="_RIS_Question_5:" w:history="1">
        <w:r w:rsidRPr="00236856">
          <w:rPr>
            <w:rStyle w:val="Hyperlink"/>
            <w:lang w:eastAsia="en-AU"/>
          </w:rPr>
          <w:t xml:space="preserve">section </w:t>
        </w:r>
        <w:r w:rsidR="009B795D" w:rsidRPr="00236856">
          <w:rPr>
            <w:rStyle w:val="Hyperlink"/>
            <w:lang w:eastAsia="en-AU"/>
          </w:rPr>
          <w:t>7</w:t>
        </w:r>
      </w:hyperlink>
      <w:r>
        <w:rPr>
          <w:rStyle w:val="Hyperlink"/>
          <w:rFonts w:ascii="Calibri" w:eastAsia="Times New Roman" w:hAnsi="Calibri" w:cs="Calibri"/>
          <w:color w:val="auto"/>
          <w:u w:val="none"/>
          <w:lang w:eastAsia="en-AU"/>
        </w:rPr>
        <w:t>.</w:t>
      </w:r>
      <w:r w:rsidRPr="006A74F8">
        <w:rPr>
          <w:rFonts w:ascii="Calibri" w:eastAsia="Times New Roman" w:hAnsi="Calibri" w:cs="Calibri"/>
          <w:color w:val="000000"/>
          <w:lang w:eastAsia="en-AU"/>
        </w:rPr>
        <w:t xml:space="preserve"> </w:t>
      </w:r>
    </w:p>
    <w:p w:rsidR="00C30539" w:rsidRPr="006A74F8" w:rsidRDefault="00050C83" w:rsidP="00223E48">
      <w:pPr>
        <w:rPr>
          <w:rFonts w:ascii="Calibri" w:eastAsia="Times New Roman" w:hAnsi="Calibri" w:cs="Calibri"/>
          <w:color w:val="000000"/>
          <w:lang w:eastAsia="en-AU"/>
        </w:rPr>
      </w:pPr>
      <w:r w:rsidRPr="006A74F8">
        <w:rPr>
          <w:rFonts w:ascii="Calibri" w:eastAsia="Times New Roman" w:hAnsi="Calibri" w:cs="Calibri"/>
          <w:color w:val="000000"/>
          <w:lang w:eastAsia="en-AU"/>
        </w:rPr>
        <w:t>There was support for o</w:t>
      </w:r>
      <w:r w:rsidR="00C30539" w:rsidRPr="006A74F8">
        <w:rPr>
          <w:rFonts w:ascii="Calibri" w:eastAsia="Times New Roman" w:hAnsi="Calibri" w:cs="Calibri"/>
          <w:color w:val="000000"/>
          <w:lang w:eastAsia="en-AU"/>
        </w:rPr>
        <w:t xml:space="preserve">ption 2 </w:t>
      </w:r>
      <w:r w:rsidRPr="006A74F8">
        <w:rPr>
          <w:rFonts w:ascii="Calibri" w:eastAsia="Times New Roman" w:hAnsi="Calibri" w:cs="Calibri"/>
          <w:color w:val="000000"/>
          <w:lang w:eastAsia="en-AU"/>
        </w:rPr>
        <w:t>from</w:t>
      </w:r>
      <w:r w:rsidR="00C30539" w:rsidRPr="006A74F8">
        <w:rPr>
          <w:rFonts w:ascii="Calibri" w:eastAsia="Times New Roman" w:hAnsi="Calibri" w:cs="Calibri"/>
          <w:color w:val="000000"/>
          <w:lang w:eastAsia="en-AU"/>
        </w:rPr>
        <w:t xml:space="preserve"> industry and other stakeholder groups due to its flexibility and future focus. </w:t>
      </w:r>
      <w:r w:rsidR="00E73C56" w:rsidRPr="006A74F8">
        <w:rPr>
          <w:rFonts w:ascii="Calibri" w:eastAsia="Times New Roman" w:hAnsi="Calibri" w:cs="Calibri"/>
          <w:color w:val="000000"/>
          <w:lang w:eastAsia="en-AU"/>
        </w:rPr>
        <w:t xml:space="preserve">Stakeholders generally agreed with the assessment that option 2 provided the greatest net benefit. </w:t>
      </w:r>
      <w:r w:rsidR="00C30539" w:rsidRPr="006A74F8">
        <w:rPr>
          <w:rFonts w:ascii="Calibri" w:eastAsia="Times New Roman" w:hAnsi="Calibri" w:cs="Calibri"/>
          <w:color w:val="000000"/>
          <w:lang w:eastAsia="en-AU"/>
        </w:rPr>
        <w:t>Some stakeholders raised issues with discrete elements of option 2, including packag</w:t>
      </w:r>
      <w:r w:rsidR="00223E48" w:rsidRPr="006A74F8">
        <w:rPr>
          <w:rFonts w:ascii="Calibri" w:eastAsia="Times New Roman" w:hAnsi="Calibri" w:cs="Calibri"/>
          <w:color w:val="000000"/>
          <w:lang w:eastAsia="en-AU"/>
        </w:rPr>
        <w:t xml:space="preserve">ing and weighbridge licensing. </w:t>
      </w:r>
    </w:p>
    <w:p w:rsidR="00C30539" w:rsidRPr="006A74F8" w:rsidRDefault="00C30539" w:rsidP="00223E48">
      <w:pPr>
        <w:rPr>
          <w:rFonts w:ascii="Calibri" w:eastAsia="Times New Roman" w:hAnsi="Calibri" w:cs="Calibri"/>
          <w:color w:val="000000"/>
          <w:lang w:eastAsia="en-AU"/>
        </w:rPr>
      </w:pPr>
      <w:r w:rsidRPr="006A74F8">
        <w:rPr>
          <w:rFonts w:ascii="Calibri" w:eastAsia="Times New Roman" w:hAnsi="Calibri" w:cs="Calibri"/>
          <w:color w:val="000000"/>
          <w:lang w:eastAsia="en-AU"/>
        </w:rPr>
        <w:t xml:space="preserve">Option 1 did not receive much support. It was viewed as a stop gap with insufficient flexibility to meet future measurement needs for industry and government. There was also low support for </w:t>
      </w:r>
      <w:r w:rsidRPr="006A74F8">
        <w:rPr>
          <w:rFonts w:ascii="Calibri" w:eastAsia="Times New Roman" w:hAnsi="Calibri" w:cs="Calibri"/>
          <w:color w:val="000000"/>
          <w:lang w:eastAsia="en-AU"/>
        </w:rPr>
        <w:lastRenderedPageBreak/>
        <w:t>option 3 due to a lack of demonstrated need for an extension of scope to regulate measurements reli</w:t>
      </w:r>
      <w:r w:rsidR="00223E48" w:rsidRPr="006A74F8">
        <w:rPr>
          <w:rFonts w:ascii="Calibri" w:eastAsia="Times New Roman" w:hAnsi="Calibri" w:cs="Calibri"/>
          <w:color w:val="000000"/>
          <w:lang w:eastAsia="en-AU"/>
        </w:rPr>
        <w:t>ed upon by other policy owners.</w:t>
      </w:r>
    </w:p>
    <w:p w:rsidR="003F0D3A" w:rsidRPr="006A74F8" w:rsidRDefault="00C30539" w:rsidP="00223E48">
      <w:pPr>
        <w:spacing w:after="240"/>
        <w:rPr>
          <w:rFonts w:ascii="Calibri" w:eastAsia="Times New Roman" w:hAnsi="Calibri" w:cs="Calibri"/>
          <w:color w:val="000000"/>
          <w:lang w:eastAsia="en-AU"/>
        </w:rPr>
      </w:pPr>
      <w:r w:rsidRPr="006A74F8">
        <w:rPr>
          <w:rFonts w:ascii="Calibri" w:eastAsia="Times New Roman" w:hAnsi="Calibri" w:cs="Calibri"/>
          <w:color w:val="000000"/>
          <w:lang w:eastAsia="en-AU"/>
        </w:rPr>
        <w:t xml:space="preserve">The finalised options presented to government and described in this </w:t>
      </w:r>
      <w:r w:rsidR="004338E5" w:rsidRPr="006A74F8">
        <w:rPr>
          <w:rFonts w:ascii="Calibri" w:eastAsia="Times New Roman" w:hAnsi="Calibri" w:cs="Calibri"/>
          <w:color w:val="000000"/>
          <w:lang w:eastAsia="en-AU"/>
        </w:rPr>
        <w:t>RIS</w:t>
      </w:r>
      <w:r w:rsidRPr="006A74F8">
        <w:rPr>
          <w:rFonts w:ascii="Calibri" w:eastAsia="Times New Roman" w:hAnsi="Calibri" w:cs="Calibri"/>
          <w:color w:val="000000"/>
          <w:lang w:eastAsia="en-AU"/>
        </w:rPr>
        <w:t xml:space="preserve"> were revised following feedback on the draft reform options. Some discrete changes were made but these did not substantially alter the options. Detailed information about </w:t>
      </w:r>
      <w:r w:rsidR="00A36D50" w:rsidRPr="006A74F8">
        <w:rPr>
          <w:rFonts w:ascii="Calibri" w:eastAsia="Times New Roman" w:hAnsi="Calibri" w:cs="Calibri"/>
          <w:color w:val="000000"/>
          <w:lang w:eastAsia="en-AU"/>
        </w:rPr>
        <w:t xml:space="preserve">stakeholder feedback and </w:t>
      </w:r>
      <w:r w:rsidRPr="006A74F8">
        <w:rPr>
          <w:rFonts w:ascii="Calibri" w:eastAsia="Times New Roman" w:hAnsi="Calibri" w:cs="Calibri"/>
          <w:color w:val="000000"/>
          <w:lang w:eastAsia="en-AU"/>
        </w:rPr>
        <w:t xml:space="preserve">the changes </w:t>
      </w:r>
      <w:r w:rsidR="00A36D50" w:rsidRPr="006A74F8">
        <w:rPr>
          <w:rFonts w:ascii="Calibri" w:eastAsia="Times New Roman" w:hAnsi="Calibri" w:cs="Calibri"/>
          <w:color w:val="000000"/>
          <w:lang w:eastAsia="en-AU"/>
        </w:rPr>
        <w:t xml:space="preserve">made </w:t>
      </w:r>
      <w:r w:rsidR="004338E5" w:rsidRPr="006A74F8">
        <w:rPr>
          <w:rFonts w:ascii="Calibri" w:eastAsia="Times New Roman" w:hAnsi="Calibri" w:cs="Calibri"/>
          <w:color w:val="000000"/>
          <w:lang w:eastAsia="en-AU"/>
        </w:rPr>
        <w:t>are</w:t>
      </w:r>
      <w:r w:rsidRPr="006A74F8">
        <w:rPr>
          <w:rFonts w:ascii="Calibri" w:eastAsia="Times New Roman" w:hAnsi="Calibri" w:cs="Calibri"/>
          <w:color w:val="000000"/>
          <w:lang w:eastAsia="en-AU"/>
        </w:rPr>
        <w:t xml:space="preserve"> available in </w:t>
      </w:r>
      <w:hyperlink w:anchor="_Incorporating_stakeholder_feedback" w:history="1">
        <w:r w:rsidRPr="006A74F8">
          <w:rPr>
            <w:rStyle w:val="Hyperlink"/>
            <w:rFonts w:ascii="Calibri" w:eastAsia="Times New Roman" w:hAnsi="Calibri" w:cs="Calibri"/>
            <w:lang w:eastAsia="en-AU"/>
          </w:rPr>
          <w:t xml:space="preserve">section </w:t>
        </w:r>
        <w:r w:rsidR="00181C14" w:rsidRPr="006A74F8">
          <w:rPr>
            <w:rStyle w:val="Hyperlink"/>
            <w:rFonts w:ascii="Calibri" w:eastAsia="Times New Roman" w:hAnsi="Calibri" w:cs="Calibri"/>
            <w:lang w:eastAsia="en-AU"/>
          </w:rPr>
          <w:t>7</w:t>
        </w:r>
        <w:r w:rsidRPr="006A74F8">
          <w:rPr>
            <w:rStyle w:val="Hyperlink"/>
            <w:rFonts w:ascii="Calibri" w:eastAsia="Times New Roman" w:hAnsi="Calibri" w:cs="Calibri"/>
            <w:lang w:eastAsia="en-AU"/>
          </w:rPr>
          <w:t>.3</w:t>
        </w:r>
      </w:hyperlink>
      <w:r w:rsidR="00223E48" w:rsidRPr="006A74F8">
        <w:rPr>
          <w:rFonts w:ascii="Calibri" w:eastAsia="Times New Roman" w:hAnsi="Calibri" w:cs="Calibri"/>
          <w:color w:val="000000"/>
          <w:lang w:eastAsia="en-AU"/>
        </w:rPr>
        <w:t>.</w:t>
      </w:r>
    </w:p>
    <w:p w:rsidR="003F0D3A" w:rsidRPr="006A74F8" w:rsidRDefault="003F0D3A" w:rsidP="00223E48">
      <w:pPr>
        <w:pStyle w:val="Heading2"/>
        <w:rPr>
          <w:lang w:eastAsia="en-AU"/>
        </w:rPr>
      </w:pPr>
      <w:r w:rsidRPr="006A74F8">
        <w:rPr>
          <w:lang w:eastAsia="en-AU"/>
        </w:rPr>
        <w:t>Recommended option</w:t>
      </w:r>
    </w:p>
    <w:p w:rsidR="00A70F22" w:rsidRPr="006A74F8" w:rsidRDefault="00BD77EA" w:rsidP="00A70F22">
      <w:pPr>
        <w:pStyle w:val="NormalWeb"/>
        <w:spacing w:before="0" w:beforeAutospacing="0" w:after="120" w:afterAutospacing="0" w:line="259" w:lineRule="auto"/>
        <w:rPr>
          <w:rFonts w:ascii="Calibri" w:hAnsi="Calibri" w:cs="Calibri"/>
          <w:color w:val="000000"/>
          <w:sz w:val="22"/>
          <w:szCs w:val="22"/>
        </w:rPr>
      </w:pPr>
      <w:r w:rsidRPr="006A74F8">
        <w:rPr>
          <w:rFonts w:ascii="Calibri" w:hAnsi="Calibri" w:cs="Calibri"/>
          <w:color w:val="000000"/>
          <w:sz w:val="22"/>
          <w:szCs w:val="22"/>
        </w:rPr>
        <w:t>Analysis and consultation confirm that</w:t>
      </w:r>
      <w:r w:rsidR="003F0D3A" w:rsidRPr="006A74F8">
        <w:rPr>
          <w:rFonts w:ascii="Calibri" w:hAnsi="Calibri" w:cs="Calibri"/>
          <w:color w:val="000000"/>
          <w:sz w:val="22"/>
          <w:szCs w:val="22"/>
        </w:rPr>
        <w:t xml:space="preserve"> option 2 presents the greatest net benefit</w:t>
      </w:r>
      <w:r w:rsidR="00A70F22" w:rsidRPr="006A74F8">
        <w:rPr>
          <w:rFonts w:ascii="Calibri" w:hAnsi="Calibri" w:cs="Calibri"/>
          <w:color w:val="000000"/>
          <w:sz w:val="22"/>
          <w:szCs w:val="22"/>
        </w:rPr>
        <w:t xml:space="preserve"> and is the recommended option </w:t>
      </w:r>
      <w:r w:rsidR="00AC478D" w:rsidRPr="006A74F8">
        <w:rPr>
          <w:rFonts w:ascii="Calibri" w:hAnsi="Calibri" w:cs="Calibri"/>
          <w:color w:val="000000"/>
          <w:sz w:val="22"/>
          <w:szCs w:val="22"/>
        </w:rPr>
        <w:t>as it:</w:t>
      </w:r>
      <w:r w:rsidR="00A70F22" w:rsidRPr="006A74F8">
        <w:rPr>
          <w:rFonts w:ascii="Calibri" w:hAnsi="Calibri" w:cs="Calibri"/>
          <w:color w:val="000000"/>
          <w:sz w:val="22"/>
          <w:szCs w:val="22"/>
        </w:rPr>
        <w:t xml:space="preserve"> </w:t>
      </w:r>
    </w:p>
    <w:p w:rsidR="00A70F22" w:rsidRPr="006A74F8" w:rsidRDefault="00C523E9" w:rsidP="00A70F22">
      <w:pPr>
        <w:pStyle w:val="NormalWeb"/>
        <w:numPr>
          <w:ilvl w:val="0"/>
          <w:numId w:val="278"/>
        </w:numPr>
        <w:spacing w:before="0" w:beforeAutospacing="0" w:after="120" w:afterAutospacing="0" w:line="259" w:lineRule="auto"/>
        <w:ind w:left="714" w:hanging="357"/>
        <w:rPr>
          <w:rFonts w:ascii="Calibri" w:hAnsi="Calibri" w:cs="Calibri"/>
          <w:color w:val="000000"/>
          <w:sz w:val="22"/>
          <w:szCs w:val="22"/>
        </w:rPr>
      </w:pPr>
      <w:r w:rsidRPr="006A74F8">
        <w:rPr>
          <w:rFonts w:ascii="Calibri" w:hAnsi="Calibri" w:cs="Calibri"/>
          <w:color w:val="000000"/>
          <w:sz w:val="22"/>
          <w:szCs w:val="22"/>
        </w:rPr>
        <w:t>P</w:t>
      </w:r>
      <w:r w:rsidR="00A70F22" w:rsidRPr="006A74F8">
        <w:rPr>
          <w:rFonts w:ascii="Calibri" w:hAnsi="Calibri" w:cs="Calibri"/>
          <w:color w:val="000000"/>
          <w:sz w:val="22"/>
          <w:szCs w:val="22"/>
        </w:rPr>
        <w:t xml:space="preserve">rovides the equal highest quantifiable </w:t>
      </w:r>
      <w:r w:rsidR="003F0D3A" w:rsidRPr="006A74F8">
        <w:rPr>
          <w:rFonts w:ascii="Calibri" w:hAnsi="Calibri" w:cs="Calibri"/>
          <w:color w:val="000000"/>
          <w:sz w:val="22"/>
          <w:szCs w:val="22"/>
        </w:rPr>
        <w:t xml:space="preserve">reduction in annual regulatory burden of $8.5 million. </w:t>
      </w:r>
    </w:p>
    <w:p w:rsidR="00A70F22" w:rsidRPr="006A74F8" w:rsidRDefault="00C523E9" w:rsidP="00A70F22">
      <w:pPr>
        <w:pStyle w:val="NormalWeb"/>
        <w:numPr>
          <w:ilvl w:val="0"/>
          <w:numId w:val="278"/>
        </w:numPr>
        <w:spacing w:before="0" w:beforeAutospacing="0" w:after="120" w:afterAutospacing="0" w:line="259" w:lineRule="auto"/>
        <w:ind w:left="714" w:hanging="357"/>
        <w:rPr>
          <w:rFonts w:ascii="Calibri" w:hAnsi="Calibri" w:cs="Calibri"/>
          <w:color w:val="000000"/>
          <w:sz w:val="22"/>
          <w:szCs w:val="22"/>
        </w:rPr>
      </w:pPr>
      <w:r w:rsidRPr="006A74F8">
        <w:rPr>
          <w:rFonts w:ascii="Calibri" w:hAnsi="Calibri" w:cs="Calibri"/>
          <w:color w:val="000000"/>
          <w:sz w:val="22"/>
          <w:szCs w:val="22"/>
        </w:rPr>
        <w:t>O</w:t>
      </w:r>
      <w:r w:rsidR="003F0D3A" w:rsidRPr="006A74F8">
        <w:rPr>
          <w:rFonts w:ascii="Calibri" w:hAnsi="Calibri" w:cs="Calibri"/>
          <w:color w:val="000000"/>
          <w:sz w:val="22"/>
          <w:szCs w:val="22"/>
        </w:rPr>
        <w:t>ffers the greatest alignment with the policy objectives and principles that positions industry to develop and adopt new technologies through the flexibility of a largely principles-based approach</w:t>
      </w:r>
      <w:r w:rsidRPr="006A74F8">
        <w:rPr>
          <w:rFonts w:ascii="Calibri" w:hAnsi="Calibri" w:cs="Calibri"/>
          <w:color w:val="000000"/>
          <w:sz w:val="22"/>
          <w:szCs w:val="22"/>
        </w:rPr>
        <w:t>.</w:t>
      </w:r>
    </w:p>
    <w:p w:rsidR="00AC478D" w:rsidRPr="006A74F8" w:rsidRDefault="00AC478D" w:rsidP="00A70F22">
      <w:pPr>
        <w:pStyle w:val="NormalWeb"/>
        <w:numPr>
          <w:ilvl w:val="0"/>
          <w:numId w:val="278"/>
        </w:numPr>
        <w:spacing w:before="0" w:beforeAutospacing="0" w:after="120" w:afterAutospacing="0" w:line="259" w:lineRule="auto"/>
        <w:ind w:left="714" w:hanging="357"/>
        <w:rPr>
          <w:rFonts w:ascii="Calibri" w:hAnsi="Calibri" w:cs="Calibri"/>
          <w:color w:val="000000"/>
          <w:sz w:val="22"/>
          <w:szCs w:val="22"/>
        </w:rPr>
      </w:pPr>
      <w:r w:rsidRPr="006A74F8">
        <w:rPr>
          <w:rFonts w:ascii="Calibri" w:hAnsi="Calibri" w:cs="Calibri"/>
          <w:color w:val="000000"/>
          <w:sz w:val="22"/>
          <w:szCs w:val="22"/>
        </w:rPr>
        <w:t>Balances flexibility for industry with ensuring continued confidence in the measurement system.</w:t>
      </w:r>
    </w:p>
    <w:p w:rsidR="00A70F22" w:rsidRPr="006A74F8" w:rsidRDefault="00C523E9" w:rsidP="00A70F22">
      <w:pPr>
        <w:pStyle w:val="NormalWeb"/>
        <w:numPr>
          <w:ilvl w:val="0"/>
          <w:numId w:val="278"/>
        </w:numPr>
        <w:spacing w:before="0" w:beforeAutospacing="0" w:after="240" w:afterAutospacing="0" w:line="259" w:lineRule="auto"/>
        <w:rPr>
          <w:rFonts w:ascii="Calibri" w:hAnsi="Calibri" w:cs="Calibri"/>
          <w:color w:val="000000"/>
          <w:sz w:val="22"/>
          <w:szCs w:val="22"/>
        </w:rPr>
      </w:pPr>
      <w:r w:rsidRPr="006A74F8">
        <w:rPr>
          <w:rFonts w:ascii="Calibri" w:hAnsi="Calibri" w:cs="Calibri"/>
          <w:color w:val="000000"/>
          <w:sz w:val="22"/>
          <w:szCs w:val="22"/>
        </w:rPr>
        <w:t>P</w:t>
      </w:r>
      <w:r w:rsidR="00A70F22" w:rsidRPr="006A74F8">
        <w:rPr>
          <w:rFonts w:ascii="Calibri" w:hAnsi="Calibri" w:cs="Calibri"/>
          <w:color w:val="000000"/>
          <w:sz w:val="22"/>
          <w:szCs w:val="22"/>
        </w:rPr>
        <w:t>rovides the greatest net benefit to stakeholders</w:t>
      </w:r>
      <w:r w:rsidRPr="006A74F8">
        <w:rPr>
          <w:rFonts w:ascii="Calibri" w:hAnsi="Calibri" w:cs="Calibri"/>
          <w:color w:val="000000"/>
          <w:sz w:val="22"/>
          <w:szCs w:val="22"/>
        </w:rPr>
        <w:t>. There is support for this assessment from the majority of stakeholders.</w:t>
      </w:r>
    </w:p>
    <w:p w:rsidR="00AC478D" w:rsidRPr="006A74F8" w:rsidRDefault="00AC478D" w:rsidP="00AC478D">
      <w:pPr>
        <w:pStyle w:val="NormalWeb"/>
        <w:spacing w:before="0" w:beforeAutospacing="0" w:after="240" w:afterAutospacing="0" w:line="259" w:lineRule="auto"/>
        <w:rPr>
          <w:rFonts w:ascii="Calibri" w:hAnsi="Calibri" w:cs="Calibri"/>
          <w:color w:val="000000"/>
          <w:sz w:val="22"/>
          <w:szCs w:val="22"/>
        </w:rPr>
      </w:pPr>
      <w:r w:rsidRPr="006A74F8">
        <w:rPr>
          <w:rFonts w:ascii="Calibri" w:hAnsi="Calibri" w:cs="Calibri"/>
          <w:color w:val="000000"/>
          <w:sz w:val="22"/>
          <w:szCs w:val="22"/>
        </w:rPr>
        <w:t xml:space="preserve">See </w:t>
      </w:r>
      <w:hyperlink w:anchor="_RIS_Question_6:" w:history="1">
        <w:r w:rsidR="00F8591F" w:rsidRPr="006A74F8">
          <w:rPr>
            <w:rStyle w:val="Hyperlink"/>
            <w:rFonts w:ascii="Calibri" w:hAnsi="Calibri" w:cs="Calibri"/>
            <w:sz w:val="22"/>
            <w:szCs w:val="22"/>
          </w:rPr>
          <w:t>section 8</w:t>
        </w:r>
      </w:hyperlink>
      <w:r w:rsidR="00F8591F" w:rsidRPr="006A74F8">
        <w:rPr>
          <w:rFonts w:ascii="Calibri" w:hAnsi="Calibri" w:cs="Calibri"/>
          <w:color w:val="000000"/>
          <w:sz w:val="22"/>
          <w:szCs w:val="22"/>
        </w:rPr>
        <w:t xml:space="preserve"> </w:t>
      </w:r>
      <w:r w:rsidRPr="006A74F8">
        <w:rPr>
          <w:rFonts w:ascii="Calibri" w:hAnsi="Calibri" w:cs="Calibri"/>
          <w:color w:val="000000"/>
          <w:sz w:val="22"/>
          <w:szCs w:val="22"/>
        </w:rPr>
        <w:t>for more detail.</w:t>
      </w:r>
    </w:p>
    <w:p w:rsidR="003F0D3A" w:rsidRPr="006A74F8" w:rsidRDefault="003F0D3A" w:rsidP="00223E48">
      <w:pPr>
        <w:pStyle w:val="Heading2"/>
      </w:pPr>
      <w:r w:rsidRPr="006A74F8">
        <w:t>Implementation</w:t>
      </w:r>
    </w:p>
    <w:p w:rsidR="00A70F22" w:rsidRPr="006A74F8" w:rsidRDefault="003F0D3A" w:rsidP="00D426D7">
      <w:pPr>
        <w:pStyle w:val="NormalWeb"/>
        <w:spacing w:before="0" w:beforeAutospacing="0" w:after="160" w:afterAutospacing="0" w:line="259" w:lineRule="auto"/>
        <w:rPr>
          <w:rFonts w:ascii="Calibri" w:hAnsi="Calibri" w:cs="Calibri"/>
          <w:color w:val="000000"/>
          <w:sz w:val="22"/>
          <w:szCs w:val="22"/>
        </w:rPr>
      </w:pPr>
      <w:r w:rsidRPr="006A74F8">
        <w:rPr>
          <w:rFonts w:ascii="Calibri" w:hAnsi="Calibri" w:cs="Calibri"/>
          <w:color w:val="000000"/>
          <w:sz w:val="22"/>
          <w:szCs w:val="22"/>
        </w:rPr>
        <w:t xml:space="preserve">Australia’s current measurement legislation will be repealed and the new legislation introduced before the current regulations sunset </w:t>
      </w:r>
      <w:r w:rsidR="00922919" w:rsidRPr="006A74F8">
        <w:rPr>
          <w:rFonts w:ascii="Calibri" w:hAnsi="Calibri" w:cs="Calibri"/>
          <w:color w:val="000000"/>
          <w:sz w:val="22"/>
          <w:szCs w:val="22"/>
        </w:rPr>
        <w:t xml:space="preserve">– currently </w:t>
      </w:r>
      <w:r w:rsidRPr="006A74F8">
        <w:rPr>
          <w:rFonts w:ascii="Calibri" w:hAnsi="Calibri" w:cs="Calibri"/>
          <w:color w:val="000000"/>
          <w:sz w:val="22"/>
          <w:szCs w:val="22"/>
        </w:rPr>
        <w:t>on 1 April 2024. A</w:t>
      </w:r>
      <w:r w:rsidR="00E27242" w:rsidRPr="006A74F8">
        <w:rPr>
          <w:rFonts w:ascii="Calibri" w:hAnsi="Calibri" w:cs="Calibri"/>
          <w:color w:val="000000"/>
          <w:sz w:val="22"/>
          <w:szCs w:val="22"/>
        </w:rPr>
        <w:t xml:space="preserve"> </w:t>
      </w:r>
      <w:r w:rsidR="00922919" w:rsidRPr="006A74F8">
        <w:rPr>
          <w:rFonts w:ascii="Calibri" w:hAnsi="Calibri" w:cs="Calibri"/>
          <w:color w:val="000000"/>
          <w:sz w:val="22"/>
          <w:szCs w:val="22"/>
        </w:rPr>
        <w:t>three stage</w:t>
      </w:r>
      <w:r w:rsidRPr="006A74F8">
        <w:rPr>
          <w:rFonts w:ascii="Calibri" w:hAnsi="Calibri" w:cs="Calibri"/>
          <w:color w:val="000000"/>
          <w:sz w:val="22"/>
          <w:szCs w:val="22"/>
        </w:rPr>
        <w:t xml:space="preserve"> implementation plan (see </w:t>
      </w:r>
      <w:hyperlink w:anchor="_Implementation_Plan" w:history="1">
        <w:r w:rsidR="00223E48" w:rsidRPr="006A74F8">
          <w:rPr>
            <w:rStyle w:val="Hyperlink"/>
            <w:rFonts w:ascii="Calibri" w:hAnsi="Calibri" w:cs="Calibri"/>
            <w:sz w:val="22"/>
            <w:szCs w:val="22"/>
          </w:rPr>
          <w:t>section 9</w:t>
        </w:r>
        <w:r w:rsidRPr="006A74F8">
          <w:rPr>
            <w:rStyle w:val="Hyperlink"/>
            <w:rFonts w:ascii="Calibri" w:hAnsi="Calibri" w:cs="Calibri"/>
            <w:sz w:val="22"/>
            <w:szCs w:val="22"/>
          </w:rPr>
          <w:t>.1</w:t>
        </w:r>
      </w:hyperlink>
      <w:r w:rsidRPr="006A74F8">
        <w:rPr>
          <w:rFonts w:ascii="Calibri" w:hAnsi="Calibri" w:cs="Calibri"/>
          <w:color w:val="000000"/>
          <w:sz w:val="22"/>
          <w:szCs w:val="22"/>
        </w:rPr>
        <w:t>) demonstrates how the new measurement legislation will be established</w:t>
      </w:r>
      <w:r w:rsidR="0012668F" w:rsidRPr="006A74F8">
        <w:rPr>
          <w:rFonts w:ascii="Calibri" w:hAnsi="Calibri" w:cs="Calibri"/>
          <w:color w:val="000000"/>
          <w:sz w:val="22"/>
          <w:szCs w:val="22"/>
        </w:rPr>
        <w:t xml:space="preserve"> and administered</w:t>
      </w:r>
      <w:r w:rsidR="00922919" w:rsidRPr="006A74F8">
        <w:rPr>
          <w:rFonts w:ascii="Calibri" w:hAnsi="Calibri" w:cs="Calibri"/>
          <w:color w:val="000000"/>
          <w:sz w:val="22"/>
          <w:szCs w:val="22"/>
        </w:rPr>
        <w:t>:</w:t>
      </w:r>
      <w:r w:rsidRPr="006A74F8">
        <w:rPr>
          <w:rFonts w:ascii="Calibri" w:hAnsi="Calibri" w:cs="Calibri"/>
          <w:color w:val="000000"/>
          <w:sz w:val="22"/>
          <w:szCs w:val="22"/>
        </w:rPr>
        <w:t xml:space="preserve"> </w:t>
      </w:r>
    </w:p>
    <w:p w:rsidR="00922919" w:rsidRPr="006A74F8" w:rsidRDefault="00FB29B1" w:rsidP="00922919">
      <w:pPr>
        <w:pStyle w:val="NormalWeb"/>
        <w:numPr>
          <w:ilvl w:val="0"/>
          <w:numId w:val="283"/>
        </w:numPr>
        <w:spacing w:before="0" w:beforeAutospacing="0" w:after="0" w:afterAutospacing="0" w:line="259" w:lineRule="auto"/>
      </w:pPr>
      <w:r w:rsidRPr="006A74F8">
        <w:rPr>
          <w:rFonts w:ascii="Calibri" w:hAnsi="Calibri" w:cs="Calibri"/>
          <w:color w:val="000000"/>
          <w:sz w:val="22"/>
          <w:szCs w:val="22"/>
        </w:rPr>
        <w:t>The initial</w:t>
      </w:r>
      <w:r w:rsidR="00223E48" w:rsidRPr="006A74F8">
        <w:rPr>
          <w:rFonts w:ascii="Calibri" w:hAnsi="Calibri" w:cs="Calibri"/>
          <w:color w:val="000000"/>
          <w:sz w:val="22"/>
          <w:szCs w:val="22"/>
        </w:rPr>
        <w:t xml:space="preserve"> phase of implementation </w:t>
      </w:r>
      <w:r w:rsidR="00A70F22" w:rsidRPr="006A74F8">
        <w:rPr>
          <w:rFonts w:ascii="Calibri" w:hAnsi="Calibri" w:cs="Calibri"/>
          <w:color w:val="000000"/>
          <w:sz w:val="22"/>
          <w:szCs w:val="22"/>
        </w:rPr>
        <w:t>(2022-2024)</w:t>
      </w:r>
      <w:r w:rsidR="00223E48" w:rsidRPr="006A74F8">
        <w:rPr>
          <w:rFonts w:ascii="Calibri" w:hAnsi="Calibri" w:cs="Calibri"/>
          <w:color w:val="000000"/>
          <w:sz w:val="22"/>
          <w:szCs w:val="22"/>
        </w:rPr>
        <w:t xml:space="preserve"> commences the</w:t>
      </w:r>
      <w:r w:rsidR="003F0D3A" w:rsidRPr="006A74F8">
        <w:rPr>
          <w:rFonts w:ascii="Calibri" w:hAnsi="Calibri" w:cs="Calibri"/>
          <w:color w:val="000000"/>
          <w:sz w:val="22"/>
          <w:szCs w:val="22"/>
        </w:rPr>
        <w:t xml:space="preserve"> legislative drafting</w:t>
      </w:r>
      <w:r w:rsidR="00223E48" w:rsidRPr="006A74F8">
        <w:rPr>
          <w:rFonts w:ascii="Calibri" w:hAnsi="Calibri" w:cs="Calibri"/>
          <w:color w:val="000000"/>
          <w:sz w:val="22"/>
          <w:szCs w:val="22"/>
        </w:rPr>
        <w:t xml:space="preserve"> and </w:t>
      </w:r>
      <w:r w:rsidR="003F0D3A" w:rsidRPr="006A74F8">
        <w:rPr>
          <w:rFonts w:ascii="Calibri" w:hAnsi="Calibri" w:cs="Calibri"/>
          <w:color w:val="000000"/>
          <w:sz w:val="22"/>
          <w:szCs w:val="22"/>
        </w:rPr>
        <w:t xml:space="preserve">may involve consultation on specific issues. </w:t>
      </w:r>
    </w:p>
    <w:p w:rsidR="00922919" w:rsidRPr="006A74F8" w:rsidRDefault="00FB29B1" w:rsidP="00922919">
      <w:pPr>
        <w:pStyle w:val="NormalWeb"/>
        <w:numPr>
          <w:ilvl w:val="0"/>
          <w:numId w:val="283"/>
        </w:numPr>
        <w:spacing w:before="0" w:beforeAutospacing="0" w:after="0" w:afterAutospacing="0" w:line="259" w:lineRule="auto"/>
      </w:pPr>
      <w:r w:rsidRPr="006A74F8">
        <w:rPr>
          <w:rFonts w:ascii="Calibri" w:hAnsi="Calibri" w:cs="Calibri"/>
          <w:color w:val="000000"/>
          <w:sz w:val="22"/>
          <w:szCs w:val="22"/>
        </w:rPr>
        <w:t>In the second phase</w:t>
      </w:r>
      <w:r w:rsidR="00922919" w:rsidRPr="006A74F8">
        <w:rPr>
          <w:rFonts w:ascii="Calibri" w:hAnsi="Calibri" w:cs="Calibri"/>
          <w:color w:val="000000"/>
          <w:sz w:val="22"/>
          <w:szCs w:val="22"/>
        </w:rPr>
        <w:t xml:space="preserve"> (2024-2026</w:t>
      </w:r>
      <w:r w:rsidR="00A70F22" w:rsidRPr="006A74F8">
        <w:rPr>
          <w:rFonts w:ascii="Calibri" w:hAnsi="Calibri" w:cs="Calibri"/>
          <w:color w:val="000000"/>
          <w:sz w:val="22"/>
          <w:szCs w:val="22"/>
        </w:rPr>
        <w:t>)</w:t>
      </w:r>
      <w:r w:rsidRPr="006A74F8">
        <w:rPr>
          <w:rFonts w:ascii="Calibri" w:hAnsi="Calibri" w:cs="Calibri"/>
          <w:color w:val="000000"/>
          <w:sz w:val="22"/>
          <w:szCs w:val="22"/>
        </w:rPr>
        <w:t>, e</w:t>
      </w:r>
      <w:r w:rsidR="003F0D3A" w:rsidRPr="006A74F8">
        <w:rPr>
          <w:rFonts w:ascii="Calibri" w:hAnsi="Calibri" w:cs="Calibri"/>
          <w:color w:val="000000"/>
          <w:sz w:val="22"/>
          <w:szCs w:val="22"/>
        </w:rPr>
        <w:t>ducation campaigns and transitional arrangements</w:t>
      </w:r>
      <w:r w:rsidR="00922919" w:rsidRPr="006A74F8">
        <w:rPr>
          <w:rFonts w:ascii="Calibri" w:hAnsi="Calibri" w:cs="Calibri"/>
          <w:color w:val="000000"/>
          <w:sz w:val="22"/>
          <w:szCs w:val="22"/>
        </w:rPr>
        <w:t xml:space="preserve"> (</w:t>
      </w:r>
      <w:r w:rsidR="003F0D3A" w:rsidRPr="006A74F8">
        <w:rPr>
          <w:rFonts w:ascii="Calibri" w:hAnsi="Calibri" w:cs="Calibri"/>
          <w:color w:val="000000"/>
          <w:sz w:val="22"/>
          <w:szCs w:val="22"/>
        </w:rPr>
        <w:t>such as grace periods</w:t>
      </w:r>
      <w:r w:rsidR="00922919" w:rsidRPr="006A74F8">
        <w:rPr>
          <w:rFonts w:ascii="Calibri" w:hAnsi="Calibri" w:cs="Calibri"/>
          <w:color w:val="000000"/>
          <w:sz w:val="22"/>
          <w:szCs w:val="22"/>
        </w:rPr>
        <w:t xml:space="preserve">) </w:t>
      </w:r>
      <w:r w:rsidR="003F0D3A" w:rsidRPr="006A74F8">
        <w:rPr>
          <w:rFonts w:ascii="Calibri" w:hAnsi="Calibri" w:cs="Calibri"/>
          <w:color w:val="000000"/>
          <w:sz w:val="22"/>
          <w:szCs w:val="22"/>
        </w:rPr>
        <w:t xml:space="preserve">will help industry, consumers and other stakeholders transition to the new laws. </w:t>
      </w:r>
    </w:p>
    <w:p w:rsidR="00922919" w:rsidRPr="006A74F8" w:rsidRDefault="003F0D3A" w:rsidP="00922919">
      <w:pPr>
        <w:pStyle w:val="NormalWeb"/>
        <w:numPr>
          <w:ilvl w:val="0"/>
          <w:numId w:val="283"/>
        </w:numPr>
        <w:spacing w:before="0" w:beforeAutospacing="0" w:after="0" w:afterAutospacing="0" w:line="259" w:lineRule="auto"/>
      </w:pPr>
      <w:r w:rsidRPr="006A74F8">
        <w:rPr>
          <w:rFonts w:ascii="Calibri" w:hAnsi="Calibri" w:cs="Calibri"/>
          <w:color w:val="000000"/>
          <w:sz w:val="22"/>
          <w:szCs w:val="22"/>
        </w:rPr>
        <w:t xml:space="preserve">The final stage of implementation </w:t>
      </w:r>
      <w:r w:rsidR="00A70F22" w:rsidRPr="006A74F8">
        <w:rPr>
          <w:rFonts w:ascii="Calibri" w:hAnsi="Calibri" w:cs="Calibri"/>
          <w:color w:val="000000"/>
          <w:sz w:val="22"/>
          <w:szCs w:val="22"/>
        </w:rPr>
        <w:t>(2026 onwards)</w:t>
      </w:r>
      <w:r w:rsidRPr="006A74F8">
        <w:rPr>
          <w:rFonts w:ascii="Calibri" w:hAnsi="Calibri" w:cs="Calibri"/>
          <w:color w:val="000000"/>
          <w:sz w:val="22"/>
          <w:szCs w:val="22"/>
        </w:rPr>
        <w:t xml:space="preserve"> will involve evaluation of the reforms and a review of the exemptions.</w:t>
      </w:r>
      <w:r w:rsidR="0038535B" w:rsidRPr="006A74F8">
        <w:t xml:space="preserve"> </w:t>
      </w:r>
    </w:p>
    <w:p w:rsidR="003F0D3A" w:rsidRPr="006A74F8" w:rsidRDefault="0038535B" w:rsidP="00922919">
      <w:pPr>
        <w:pStyle w:val="NormalWeb"/>
        <w:spacing w:before="120" w:beforeAutospacing="0" w:after="0" w:afterAutospacing="0" w:line="259" w:lineRule="auto"/>
        <w:rPr>
          <w:rFonts w:ascii="Calibri" w:hAnsi="Calibri" w:cs="Calibri"/>
          <w:color w:val="000000"/>
          <w:sz w:val="22"/>
          <w:szCs w:val="22"/>
        </w:rPr>
      </w:pPr>
      <w:r w:rsidRPr="006A74F8">
        <w:rPr>
          <w:rFonts w:ascii="Calibri" w:hAnsi="Calibri" w:cs="Calibri"/>
          <w:color w:val="000000"/>
          <w:sz w:val="22"/>
          <w:szCs w:val="22"/>
        </w:rPr>
        <w:t>A public online policy register will be introduced during the second phase to support ongoing transparency in the evaluation and resolution of future policy issues.</w:t>
      </w:r>
    </w:p>
    <w:p w:rsidR="00BF135D" w:rsidRPr="006A74F8" w:rsidRDefault="00BF135D" w:rsidP="00DA2150">
      <w:pPr>
        <w:rPr>
          <w:lang w:eastAsia="en-AU"/>
        </w:rPr>
      </w:pPr>
      <w:r w:rsidRPr="006A74F8">
        <w:rPr>
          <w:lang w:eastAsia="en-AU"/>
        </w:rPr>
        <w:br w:type="page"/>
      </w:r>
    </w:p>
    <w:p w:rsidR="00F17507" w:rsidRPr="006A74F8" w:rsidRDefault="00F47E79" w:rsidP="00FD7AC9">
      <w:pPr>
        <w:pStyle w:val="Heading1"/>
        <w:rPr>
          <w:lang w:eastAsia="en-AU"/>
        </w:rPr>
      </w:pPr>
      <w:bookmarkStart w:id="218" w:name="_Toc64558432"/>
      <w:bookmarkStart w:id="219" w:name="_Toc64557452"/>
      <w:bookmarkStart w:id="220" w:name="_Toc64562177"/>
      <w:bookmarkStart w:id="221" w:name="_Toc64562433"/>
      <w:bookmarkStart w:id="222" w:name="_Toc64640219"/>
      <w:bookmarkStart w:id="223" w:name="_Toc64641195"/>
      <w:bookmarkStart w:id="224" w:name="_Toc64647137"/>
      <w:bookmarkStart w:id="225" w:name="_Toc64888303"/>
      <w:bookmarkStart w:id="226" w:name="_Toc64888683"/>
      <w:bookmarkStart w:id="227" w:name="_Toc64892958"/>
      <w:bookmarkStart w:id="228" w:name="_Toc64895604"/>
      <w:bookmarkStart w:id="229" w:name="_Toc64900811"/>
      <w:bookmarkStart w:id="230" w:name="_Toc64903077"/>
      <w:bookmarkStart w:id="231" w:name="_Toc64904016"/>
      <w:bookmarkStart w:id="232" w:name="_Toc64904238"/>
      <w:bookmarkStart w:id="233" w:name="_Toc64904681"/>
      <w:bookmarkStart w:id="234" w:name="_Toc64905195"/>
      <w:bookmarkStart w:id="235" w:name="_Toc64963972"/>
      <w:bookmarkStart w:id="236" w:name="_Toc64974569"/>
      <w:bookmarkStart w:id="237" w:name="_Toc64976271"/>
      <w:bookmarkStart w:id="238" w:name="_Toc65149645"/>
      <w:bookmarkStart w:id="239" w:name="_Toc65163422"/>
      <w:bookmarkStart w:id="240" w:name="_Toc65491061"/>
      <w:bookmarkStart w:id="241" w:name="_Toc65504797"/>
      <w:bookmarkStart w:id="242" w:name="_Toc65757880"/>
      <w:bookmarkStart w:id="243" w:name="_Toc65769475"/>
      <w:bookmarkStart w:id="244" w:name="_Toc65766843"/>
      <w:bookmarkStart w:id="245" w:name="_Toc65772617"/>
      <w:bookmarkStart w:id="246" w:name="_Toc66435674"/>
      <w:bookmarkStart w:id="247" w:name="_Toc66436463"/>
      <w:bookmarkStart w:id="248" w:name="_Toc66437674"/>
      <w:bookmarkStart w:id="249" w:name="_Toc66440013"/>
      <w:bookmarkStart w:id="250" w:name="_Toc66442216"/>
      <w:bookmarkStart w:id="251" w:name="_Toc66451885"/>
      <w:bookmarkStart w:id="252" w:name="_Toc66459162"/>
      <w:bookmarkStart w:id="253" w:name="_Toc66460216"/>
      <w:bookmarkStart w:id="254" w:name="_Toc67305370"/>
      <w:bookmarkStart w:id="255" w:name="_Toc67306283"/>
      <w:bookmarkStart w:id="256" w:name="_Toc67306735"/>
      <w:bookmarkStart w:id="257" w:name="_Toc67313585"/>
      <w:bookmarkStart w:id="258" w:name="_Toc67320778"/>
      <w:bookmarkStart w:id="259" w:name="_Toc67321931"/>
      <w:bookmarkStart w:id="260" w:name="_Toc67324396"/>
      <w:bookmarkStart w:id="261" w:name="_Toc67326557"/>
      <w:bookmarkStart w:id="262" w:name="_Toc67649114"/>
      <w:bookmarkStart w:id="263" w:name="_Toc67650098"/>
      <w:bookmarkStart w:id="264" w:name="_Toc67650353"/>
      <w:bookmarkStart w:id="265" w:name="_Toc67650645"/>
      <w:bookmarkStart w:id="266" w:name="_Toc67652965"/>
      <w:bookmarkStart w:id="267" w:name="_Toc67653050"/>
      <w:bookmarkStart w:id="268" w:name="_Toc67653482"/>
      <w:bookmarkStart w:id="269" w:name="_Toc67653545"/>
      <w:bookmarkStart w:id="270" w:name="_Toc67649962"/>
      <w:bookmarkStart w:id="271" w:name="_Toc67654048"/>
      <w:bookmarkStart w:id="272" w:name="_Toc67654355"/>
      <w:bookmarkStart w:id="273" w:name="_Toc67654572"/>
      <w:bookmarkStart w:id="274" w:name="_Toc67656179"/>
      <w:bookmarkStart w:id="275" w:name="_Toc67656941"/>
      <w:bookmarkStart w:id="276" w:name="_Toc67659240"/>
      <w:bookmarkStart w:id="277" w:name="_Toc67659741"/>
      <w:bookmarkStart w:id="278" w:name="_Toc67662799"/>
      <w:bookmarkStart w:id="279" w:name="_Toc67662940"/>
      <w:bookmarkStart w:id="280" w:name="_Toc67663706"/>
      <w:bookmarkStart w:id="281" w:name="_Toc67664127"/>
      <w:bookmarkStart w:id="282" w:name="_Toc67664446"/>
      <w:bookmarkStart w:id="283" w:name="_Toc67665423"/>
      <w:bookmarkStart w:id="284" w:name="_Toc67667173"/>
      <w:bookmarkStart w:id="285" w:name="_Toc67668246"/>
      <w:bookmarkStart w:id="286" w:name="_Toc67669153"/>
      <w:bookmarkStart w:id="287" w:name="_Toc67665764"/>
      <w:bookmarkStart w:id="288" w:name="_Toc67912153"/>
      <w:bookmarkStart w:id="289" w:name="_Toc67922234"/>
      <w:bookmarkStart w:id="290" w:name="_Toc67929093"/>
      <w:bookmarkStart w:id="291" w:name="_Toc67929387"/>
      <w:bookmarkStart w:id="292" w:name="_Toc67929612"/>
      <w:bookmarkStart w:id="293" w:name="_Toc67927089"/>
      <w:bookmarkStart w:id="294" w:name="_Toc68011254"/>
      <w:bookmarkStart w:id="295" w:name="_Toc68011312"/>
      <w:bookmarkStart w:id="296" w:name="_Toc81919528"/>
      <w:bookmarkStart w:id="297" w:name="_Toc81919802"/>
      <w:bookmarkStart w:id="298" w:name="_Toc81921157"/>
      <w:bookmarkStart w:id="299" w:name="_Toc81923644"/>
      <w:bookmarkStart w:id="300" w:name="_Toc81923759"/>
      <w:bookmarkStart w:id="301" w:name="_Toc81997299"/>
      <w:bookmarkStart w:id="302" w:name="_Toc81998072"/>
      <w:bookmarkStart w:id="303" w:name="_Toc82011836"/>
      <w:bookmarkStart w:id="304" w:name="_Toc82512683"/>
      <w:bookmarkStart w:id="305" w:name="_Toc82516151"/>
      <w:bookmarkStart w:id="306" w:name="_Toc82519102"/>
      <w:bookmarkStart w:id="307" w:name="_Toc82706640"/>
      <w:bookmarkStart w:id="308" w:name="_Toc82790529"/>
      <w:bookmarkStart w:id="309" w:name="_Toc82791048"/>
      <w:bookmarkStart w:id="310" w:name="_Toc82792359"/>
      <w:bookmarkStart w:id="311" w:name="_Toc83290741"/>
      <w:bookmarkStart w:id="312" w:name="_Toc83292750"/>
      <w:bookmarkStart w:id="313" w:name="_Toc83293521"/>
      <w:r w:rsidRPr="006A74F8">
        <w:rPr>
          <w:rFonts w:eastAsia="Times New Roman"/>
          <w:lang w:eastAsia="en-AU"/>
        </w:rPr>
        <w:lastRenderedPageBreak/>
        <w:t>Background</w:t>
      </w:r>
      <w:r w:rsidR="0043533E" w:rsidRPr="006A74F8">
        <w:rPr>
          <w:lang w:eastAsia="en-AU"/>
        </w:rPr>
        <w:t xml:space="preserve"> </w:t>
      </w:r>
      <w:r w:rsidR="004814C2" w:rsidRPr="006A74F8">
        <w:rPr>
          <w:lang w:eastAsia="en-AU"/>
        </w:rPr>
        <w:t>and</w:t>
      </w:r>
      <w:r w:rsidR="0043533E" w:rsidRPr="006A74F8">
        <w:rPr>
          <w:lang w:eastAsia="en-AU"/>
        </w:rPr>
        <w:t xml:space="preserve"> c</w:t>
      </w:r>
      <w:r w:rsidRPr="006A74F8">
        <w:rPr>
          <w:lang w:eastAsia="en-AU"/>
        </w:rPr>
        <w:t>ontext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6E137F" w:rsidRPr="006A74F8" w:rsidRDefault="006E137F" w:rsidP="00FD7AC9">
      <w:pPr>
        <w:pStyle w:val="Heading2"/>
      </w:pPr>
      <w:bookmarkStart w:id="314" w:name="_Toc64558433"/>
      <w:bookmarkStart w:id="315" w:name="_Toc64557453"/>
      <w:bookmarkStart w:id="316" w:name="_Toc64562178"/>
      <w:bookmarkStart w:id="317" w:name="_Toc64562434"/>
      <w:bookmarkStart w:id="318" w:name="_Toc64640220"/>
      <w:bookmarkStart w:id="319" w:name="_Toc64641196"/>
      <w:bookmarkStart w:id="320" w:name="_Toc64647138"/>
      <w:bookmarkStart w:id="321" w:name="_Toc64888304"/>
      <w:bookmarkStart w:id="322" w:name="_Toc64888684"/>
      <w:bookmarkStart w:id="323" w:name="_Toc64892959"/>
      <w:bookmarkStart w:id="324" w:name="_Toc64895605"/>
      <w:bookmarkStart w:id="325" w:name="_Toc64900812"/>
      <w:bookmarkStart w:id="326" w:name="_Toc64903078"/>
      <w:bookmarkStart w:id="327" w:name="_Toc64904017"/>
      <w:bookmarkStart w:id="328" w:name="_Toc64904239"/>
      <w:bookmarkStart w:id="329" w:name="_Toc64904682"/>
      <w:bookmarkStart w:id="330" w:name="_Toc64905196"/>
      <w:bookmarkStart w:id="331" w:name="_Toc64963973"/>
      <w:bookmarkStart w:id="332" w:name="_Toc64974570"/>
      <w:bookmarkStart w:id="333" w:name="_Toc64976272"/>
      <w:bookmarkStart w:id="334" w:name="_Toc65149646"/>
      <w:bookmarkStart w:id="335" w:name="_Toc65163423"/>
      <w:bookmarkStart w:id="336" w:name="_Toc65491062"/>
      <w:bookmarkStart w:id="337" w:name="_Toc65504798"/>
      <w:bookmarkStart w:id="338" w:name="_Toc65757881"/>
      <w:bookmarkStart w:id="339" w:name="_Toc65769476"/>
      <w:bookmarkStart w:id="340" w:name="_Toc65766844"/>
      <w:bookmarkStart w:id="341" w:name="_Toc65772618"/>
      <w:bookmarkStart w:id="342" w:name="_Toc66435675"/>
      <w:bookmarkStart w:id="343" w:name="_Toc66436464"/>
      <w:bookmarkStart w:id="344" w:name="_Toc66437675"/>
      <w:bookmarkStart w:id="345" w:name="_Toc66440014"/>
      <w:bookmarkStart w:id="346" w:name="_Toc66442217"/>
      <w:bookmarkStart w:id="347" w:name="_Toc66451886"/>
      <w:bookmarkStart w:id="348" w:name="_Toc66459163"/>
      <w:bookmarkStart w:id="349" w:name="_Toc66460217"/>
      <w:bookmarkStart w:id="350" w:name="_Toc67305371"/>
      <w:bookmarkStart w:id="351" w:name="_Toc67306284"/>
      <w:bookmarkStart w:id="352" w:name="_Toc67306736"/>
      <w:bookmarkStart w:id="353" w:name="_Toc67313586"/>
      <w:bookmarkStart w:id="354" w:name="_Toc67320779"/>
      <w:bookmarkStart w:id="355" w:name="_Toc67321932"/>
      <w:bookmarkStart w:id="356" w:name="_Toc67324397"/>
      <w:bookmarkStart w:id="357" w:name="_Toc67326558"/>
      <w:r w:rsidRPr="006A74F8">
        <w:t>Context for the review</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86357B" w:rsidRPr="006A74F8" w:rsidRDefault="006E137F" w:rsidP="00FD7AC9">
      <w:pPr>
        <w:rPr>
          <w:rFonts w:cstheme="minorHAnsi"/>
        </w:rPr>
      </w:pPr>
      <w:r w:rsidRPr="006A74F8">
        <w:rPr>
          <w:rFonts w:cstheme="minorHAnsi"/>
        </w:rPr>
        <w:t>The foundation for Australia’s current measurement legislation</w:t>
      </w:r>
      <w:r w:rsidR="00BA4A4B" w:rsidRPr="006A74F8">
        <w:rPr>
          <w:rFonts w:cstheme="minorHAnsi"/>
        </w:rPr>
        <w:t xml:space="preserve"> </w:t>
      </w:r>
      <w:r w:rsidRPr="006A74F8">
        <w:rPr>
          <w:rFonts w:cstheme="minorHAnsi"/>
        </w:rPr>
        <w:t xml:space="preserve">has existed since 1960 and while the legislation </w:t>
      </w:r>
      <w:r w:rsidR="00131C5F" w:rsidRPr="006A74F8">
        <w:rPr>
          <w:rFonts w:cstheme="minorHAnsi"/>
        </w:rPr>
        <w:t>has been updated</w:t>
      </w:r>
      <w:r w:rsidRPr="006A74F8">
        <w:rPr>
          <w:rFonts w:cstheme="minorHAnsi"/>
        </w:rPr>
        <w:t xml:space="preserve"> since then, it has not been fully reviewed.</w:t>
      </w:r>
      <w:r w:rsidR="00BA4A4B" w:rsidRPr="006A74F8">
        <w:rPr>
          <w:rStyle w:val="FootnoteReference"/>
        </w:rPr>
        <w:footnoteReference w:id="4"/>
      </w:r>
      <w:r w:rsidR="00BA4A4B" w:rsidRPr="006A74F8">
        <w:rPr>
          <w:rStyle w:val="FootnoteReference"/>
        </w:rPr>
        <w:t xml:space="preserve"> </w:t>
      </w:r>
      <w:r w:rsidR="003268E4" w:rsidRPr="006A74F8">
        <w:rPr>
          <w:rFonts w:cstheme="minorHAnsi"/>
        </w:rPr>
        <w:t>While</w:t>
      </w:r>
      <w:r w:rsidRPr="006A74F8">
        <w:rPr>
          <w:rFonts w:cstheme="minorHAnsi"/>
        </w:rPr>
        <w:t xml:space="preserve"> t</w:t>
      </w:r>
      <w:r w:rsidR="003268E4" w:rsidRPr="006A74F8">
        <w:rPr>
          <w:rFonts w:cstheme="minorHAnsi"/>
        </w:rPr>
        <w:t>he</w:t>
      </w:r>
      <w:r w:rsidRPr="006A74F8">
        <w:rPr>
          <w:rFonts w:cstheme="minorHAnsi"/>
        </w:rPr>
        <w:t xml:space="preserve"> legislati</w:t>
      </w:r>
      <w:r w:rsidR="00FB28CD" w:rsidRPr="006A74F8">
        <w:rPr>
          <w:rFonts w:cstheme="minorHAnsi"/>
        </w:rPr>
        <w:t xml:space="preserve">on </w:t>
      </w:r>
      <w:r w:rsidRPr="006A74F8">
        <w:rPr>
          <w:rFonts w:cstheme="minorHAnsi"/>
        </w:rPr>
        <w:t>continues to provide confidence</w:t>
      </w:r>
      <w:r w:rsidR="00BE6F5C" w:rsidRPr="006A74F8">
        <w:rPr>
          <w:rFonts w:cstheme="minorHAnsi"/>
        </w:rPr>
        <w:t xml:space="preserve"> in measurements made in Australia</w:t>
      </w:r>
      <w:r w:rsidR="00B1023A" w:rsidRPr="006A74F8">
        <w:rPr>
          <w:rFonts w:cstheme="minorHAnsi"/>
        </w:rPr>
        <w:t xml:space="preserve"> and meets international obligations</w:t>
      </w:r>
      <w:r w:rsidRPr="006A74F8">
        <w:rPr>
          <w:rFonts w:cstheme="minorHAnsi"/>
        </w:rPr>
        <w:t>, it requires modernisation to</w:t>
      </w:r>
      <w:r w:rsidR="00CB0D70" w:rsidRPr="006A74F8">
        <w:rPr>
          <w:rFonts w:cstheme="minorHAnsi"/>
        </w:rPr>
        <w:t xml:space="preserve"> </w:t>
      </w:r>
      <w:r w:rsidR="00BE6F5C" w:rsidRPr="006A74F8">
        <w:rPr>
          <w:rFonts w:cstheme="minorHAnsi"/>
        </w:rPr>
        <w:t xml:space="preserve">effectively </w:t>
      </w:r>
      <w:r w:rsidR="0051114B" w:rsidRPr="006A74F8">
        <w:rPr>
          <w:rFonts w:cstheme="minorHAnsi"/>
        </w:rPr>
        <w:t>accommodate</w:t>
      </w:r>
      <w:r w:rsidR="00BE6F5C" w:rsidRPr="006A74F8">
        <w:rPr>
          <w:rFonts w:cstheme="minorHAnsi"/>
        </w:rPr>
        <w:t xml:space="preserve"> advances in measurement science, </w:t>
      </w:r>
      <w:r w:rsidRPr="006A74F8">
        <w:rPr>
          <w:rFonts w:cstheme="minorHAnsi"/>
        </w:rPr>
        <w:t xml:space="preserve">engage with new technologies </w:t>
      </w:r>
      <w:r w:rsidR="00131C5F" w:rsidRPr="006A74F8">
        <w:rPr>
          <w:rFonts w:cstheme="minorHAnsi"/>
        </w:rPr>
        <w:t xml:space="preserve">and </w:t>
      </w:r>
      <w:r w:rsidRPr="006A74F8">
        <w:rPr>
          <w:rFonts w:cstheme="minorHAnsi"/>
        </w:rPr>
        <w:t xml:space="preserve">support </w:t>
      </w:r>
      <w:r w:rsidRPr="006A74F8">
        <w:t xml:space="preserve">Australia’s measurement needs </w:t>
      </w:r>
      <w:r w:rsidRPr="006A74F8">
        <w:rPr>
          <w:rFonts w:cstheme="minorHAnsi"/>
        </w:rPr>
        <w:t xml:space="preserve">into the future. </w:t>
      </w:r>
    </w:p>
    <w:p w:rsidR="00B16A6D" w:rsidRPr="006A74F8" w:rsidRDefault="002C5069" w:rsidP="00FD7AC9">
      <w:pPr>
        <w:rPr>
          <w:rFonts w:cstheme="minorHAnsi"/>
        </w:rPr>
      </w:pPr>
      <w:r w:rsidRPr="006A74F8">
        <w:rPr>
          <w:rFonts w:cstheme="minorHAnsi"/>
        </w:rPr>
        <w:t xml:space="preserve">In 2007 the Council of Australian Governments agreed to the </w:t>
      </w:r>
      <w:r w:rsidR="00131C5F" w:rsidRPr="006A74F8">
        <w:rPr>
          <w:rFonts w:cstheme="minorHAnsi"/>
        </w:rPr>
        <w:t>formation of a</w:t>
      </w:r>
      <w:r w:rsidRPr="006A74F8">
        <w:rPr>
          <w:rFonts w:cstheme="minorHAnsi"/>
        </w:rPr>
        <w:t xml:space="preserve"> national trade measurement</w:t>
      </w:r>
      <w:r w:rsidR="0065603B" w:rsidRPr="006A74F8">
        <w:rPr>
          <w:rStyle w:val="FootnoteReference"/>
          <w:rFonts w:cstheme="minorHAnsi"/>
        </w:rPr>
        <w:footnoteReference w:id="5"/>
      </w:r>
      <w:r w:rsidRPr="006A74F8">
        <w:rPr>
          <w:rFonts w:cstheme="minorHAnsi"/>
        </w:rPr>
        <w:t xml:space="preserve"> system </w:t>
      </w:r>
      <w:r w:rsidR="00131C5F" w:rsidRPr="006A74F8">
        <w:rPr>
          <w:rFonts w:cstheme="minorHAnsi"/>
        </w:rPr>
        <w:t xml:space="preserve">administered </w:t>
      </w:r>
      <w:r w:rsidRPr="006A74F8">
        <w:rPr>
          <w:rFonts w:cstheme="minorHAnsi"/>
        </w:rPr>
        <w:t xml:space="preserve">by NMI. </w:t>
      </w:r>
      <w:r w:rsidR="00B16A6D" w:rsidRPr="006A74F8">
        <w:rPr>
          <w:rFonts w:cstheme="minorHAnsi"/>
        </w:rPr>
        <w:t xml:space="preserve">In 2010, responsibility for trade measurement was transferred to the Commonwealth from </w:t>
      </w:r>
      <w:r w:rsidR="00D4547B" w:rsidRPr="006A74F8">
        <w:rPr>
          <w:rFonts w:cstheme="minorHAnsi"/>
        </w:rPr>
        <w:t xml:space="preserve">the </w:t>
      </w:r>
      <w:r w:rsidR="00B231BC" w:rsidRPr="006A74F8">
        <w:rPr>
          <w:rFonts w:cstheme="minorHAnsi"/>
        </w:rPr>
        <w:t>s</w:t>
      </w:r>
      <w:r w:rsidR="00B16A6D" w:rsidRPr="006A74F8">
        <w:rPr>
          <w:rFonts w:cstheme="minorHAnsi"/>
        </w:rPr>
        <w:t xml:space="preserve">tates and </w:t>
      </w:r>
      <w:r w:rsidR="00B231BC" w:rsidRPr="006A74F8">
        <w:rPr>
          <w:rFonts w:cstheme="minorHAnsi"/>
        </w:rPr>
        <w:t>t</w:t>
      </w:r>
      <w:r w:rsidR="00B16A6D" w:rsidRPr="006A74F8">
        <w:rPr>
          <w:rFonts w:cstheme="minorHAnsi"/>
        </w:rPr>
        <w:t>erritories</w:t>
      </w:r>
      <w:r w:rsidR="00131C5F" w:rsidRPr="006A74F8">
        <w:rPr>
          <w:rFonts w:cstheme="minorHAnsi"/>
        </w:rPr>
        <w:t>,</w:t>
      </w:r>
      <w:r w:rsidR="00B16A6D" w:rsidRPr="006A74F8">
        <w:rPr>
          <w:rFonts w:cstheme="minorHAnsi"/>
        </w:rPr>
        <w:t xml:space="preserve"> but the arrangements were not substantively reviewed and </w:t>
      </w:r>
      <w:r w:rsidR="00601F39" w:rsidRPr="006A74F8">
        <w:rPr>
          <w:rFonts w:cstheme="minorHAnsi"/>
        </w:rPr>
        <w:t>reflect</w:t>
      </w:r>
      <w:r w:rsidR="00B16A6D" w:rsidRPr="006A74F8">
        <w:rPr>
          <w:rFonts w:cstheme="minorHAnsi"/>
        </w:rPr>
        <w:t xml:space="preserve"> pre</w:t>
      </w:r>
      <w:r w:rsidR="000A4303" w:rsidRPr="006A74F8">
        <w:rPr>
          <w:rFonts w:cstheme="minorHAnsi"/>
        </w:rPr>
        <w:t>-existing legislation from the s</w:t>
      </w:r>
      <w:r w:rsidR="00B16A6D" w:rsidRPr="006A74F8">
        <w:rPr>
          <w:rFonts w:cstheme="minorHAnsi"/>
        </w:rPr>
        <w:t>tates</w:t>
      </w:r>
      <w:r w:rsidR="00EA03EB" w:rsidRPr="006A74F8">
        <w:rPr>
          <w:rFonts w:cstheme="minorHAnsi"/>
        </w:rPr>
        <w:t>. These arrangements were based on the</w:t>
      </w:r>
      <w:r w:rsidR="00B16A6D" w:rsidRPr="006A74F8">
        <w:rPr>
          <w:rFonts w:cstheme="minorHAnsi"/>
        </w:rPr>
        <w:t xml:space="preserve"> uniform trade measurement legislation</w:t>
      </w:r>
      <w:r w:rsidR="00EA03EB" w:rsidRPr="006A74F8">
        <w:rPr>
          <w:rFonts w:cstheme="minorHAnsi"/>
        </w:rPr>
        <w:t xml:space="preserve"> that was developed following a review completed in 1989</w:t>
      </w:r>
      <w:r w:rsidR="00B16A6D" w:rsidRPr="006A74F8">
        <w:rPr>
          <w:rFonts w:cstheme="minorHAnsi"/>
        </w:rPr>
        <w:t>.</w:t>
      </w:r>
    </w:p>
    <w:p w:rsidR="00B106DC" w:rsidRPr="006A74F8" w:rsidRDefault="006E137F" w:rsidP="00FD7AC9">
      <w:pPr>
        <w:rPr>
          <w:rFonts w:eastAsia="Times New Roman"/>
          <w:lang w:eastAsia="en-AU"/>
        </w:rPr>
      </w:pPr>
      <w:r w:rsidRPr="006A74F8">
        <w:t xml:space="preserve">The Measurement Law Review provides an opportunity to deliver </w:t>
      </w:r>
      <w:r w:rsidR="00FE5FCA" w:rsidRPr="006A74F8">
        <w:t xml:space="preserve">an updated, </w:t>
      </w:r>
      <w:r w:rsidRPr="006A74F8">
        <w:t>fle</w:t>
      </w:r>
      <w:r w:rsidR="0061004A" w:rsidRPr="006A74F8">
        <w:t>xible</w:t>
      </w:r>
      <w:r w:rsidR="00DB7451" w:rsidRPr="006A74F8">
        <w:t xml:space="preserve"> </w:t>
      </w:r>
      <w:r w:rsidRPr="006A74F8">
        <w:t xml:space="preserve">legislative framework that better meets government, industry and </w:t>
      </w:r>
      <w:r w:rsidRPr="006A74F8">
        <w:rPr>
          <w:rStyle w:val="normaltextrun1"/>
          <w:rFonts w:ascii="Calibri" w:hAnsi="Calibri" w:cs="Calibri"/>
        </w:rPr>
        <w:t>community</w:t>
      </w:r>
      <w:r w:rsidRPr="006A74F8">
        <w:t xml:space="preserve"> needs</w:t>
      </w:r>
      <w:r w:rsidR="00D4547B" w:rsidRPr="006A74F8">
        <w:t xml:space="preserve"> now and into the future</w:t>
      </w:r>
      <w:r w:rsidRPr="006A74F8">
        <w:t xml:space="preserve">. </w:t>
      </w:r>
      <w:r w:rsidR="00F47E79" w:rsidRPr="006A74F8">
        <w:rPr>
          <w:rFonts w:eastAsia="Times New Roman"/>
          <w:lang w:eastAsia="en-AU"/>
        </w:rPr>
        <w:t xml:space="preserve">Further information on the </w:t>
      </w:r>
      <w:hyperlink r:id="rId21" w:history="1">
        <w:r w:rsidR="00F47E79" w:rsidRPr="006A74F8">
          <w:rPr>
            <w:rStyle w:val="Hyperlink"/>
            <w:rFonts w:eastAsia="Times New Roman"/>
            <w:lang w:eastAsia="en-AU"/>
          </w:rPr>
          <w:t>review</w:t>
        </w:r>
      </w:hyperlink>
      <w:r w:rsidR="00F47E79" w:rsidRPr="006A74F8">
        <w:rPr>
          <w:rFonts w:eastAsia="Times New Roman"/>
          <w:lang w:eastAsia="en-AU"/>
        </w:rPr>
        <w:t xml:space="preserve"> and the </w:t>
      </w:r>
      <w:hyperlink r:id="rId22" w:history="1">
        <w:r w:rsidR="00F47E79" w:rsidRPr="006A74F8">
          <w:rPr>
            <w:rStyle w:val="Hyperlink"/>
            <w:rFonts w:eastAsia="Times New Roman"/>
            <w:lang w:eastAsia="en-AU"/>
          </w:rPr>
          <w:t>Terms of Reference</w:t>
        </w:r>
      </w:hyperlink>
      <w:r w:rsidR="00CB6EBC" w:rsidRPr="006A74F8">
        <w:rPr>
          <w:rFonts w:eastAsia="Times New Roman"/>
          <w:lang w:eastAsia="en-AU"/>
        </w:rPr>
        <w:t xml:space="preserve"> are available on the d</w:t>
      </w:r>
      <w:r w:rsidR="00F47E79" w:rsidRPr="006A74F8">
        <w:rPr>
          <w:rFonts w:eastAsia="Times New Roman"/>
          <w:lang w:eastAsia="en-AU"/>
        </w:rPr>
        <w:t xml:space="preserve">epartment’s website. </w:t>
      </w:r>
    </w:p>
    <w:p w:rsidR="006E137F" w:rsidRPr="006A74F8" w:rsidRDefault="006E137F" w:rsidP="004E1C47">
      <w:pPr>
        <w:pStyle w:val="Heading2"/>
        <w:rPr>
          <w:rStyle w:val="normaltextrun1"/>
        </w:rPr>
      </w:pPr>
      <w:bookmarkStart w:id="358" w:name="_Toc64558434"/>
      <w:bookmarkStart w:id="359" w:name="_Toc64557454"/>
      <w:bookmarkStart w:id="360" w:name="_Toc64562179"/>
      <w:bookmarkStart w:id="361" w:name="_Toc64562435"/>
      <w:bookmarkStart w:id="362" w:name="_Toc64640221"/>
      <w:bookmarkStart w:id="363" w:name="_Toc64641197"/>
      <w:bookmarkStart w:id="364" w:name="_Toc64647139"/>
      <w:bookmarkStart w:id="365" w:name="_Toc64888305"/>
      <w:bookmarkStart w:id="366" w:name="_Toc64888685"/>
      <w:bookmarkStart w:id="367" w:name="_Toc64892960"/>
      <w:bookmarkStart w:id="368" w:name="_Toc64895606"/>
      <w:bookmarkStart w:id="369" w:name="_Toc64900813"/>
      <w:bookmarkStart w:id="370" w:name="_Toc64903079"/>
      <w:bookmarkStart w:id="371" w:name="_Toc64904018"/>
      <w:bookmarkStart w:id="372" w:name="_Toc64904240"/>
      <w:bookmarkStart w:id="373" w:name="_Toc64904683"/>
      <w:bookmarkStart w:id="374" w:name="_Toc64905197"/>
      <w:bookmarkStart w:id="375" w:name="_Toc64963974"/>
      <w:bookmarkStart w:id="376" w:name="_Toc64974571"/>
      <w:bookmarkStart w:id="377" w:name="_Toc64976273"/>
      <w:bookmarkStart w:id="378" w:name="_Toc65149647"/>
      <w:bookmarkStart w:id="379" w:name="_Toc65163424"/>
      <w:bookmarkStart w:id="380" w:name="_Toc65491063"/>
      <w:bookmarkStart w:id="381" w:name="_Toc65504799"/>
      <w:bookmarkStart w:id="382" w:name="_Toc65757882"/>
      <w:bookmarkStart w:id="383" w:name="_Toc65769477"/>
      <w:bookmarkStart w:id="384" w:name="_Toc65766845"/>
      <w:bookmarkStart w:id="385" w:name="_Toc65772619"/>
      <w:bookmarkStart w:id="386" w:name="_Toc66435676"/>
      <w:bookmarkStart w:id="387" w:name="_Toc66436465"/>
      <w:bookmarkStart w:id="388" w:name="_Toc66437676"/>
      <w:bookmarkStart w:id="389" w:name="_Toc66440015"/>
      <w:bookmarkStart w:id="390" w:name="_Toc66442218"/>
      <w:bookmarkStart w:id="391" w:name="_Toc66451887"/>
      <w:bookmarkStart w:id="392" w:name="_Toc66459164"/>
      <w:bookmarkStart w:id="393" w:name="_Toc66460218"/>
      <w:bookmarkStart w:id="394" w:name="_Toc67305372"/>
      <w:bookmarkStart w:id="395" w:name="_Toc67306285"/>
      <w:bookmarkStart w:id="396" w:name="_Toc67306737"/>
      <w:bookmarkStart w:id="397" w:name="_Toc67313587"/>
      <w:bookmarkStart w:id="398" w:name="_Toc67320780"/>
      <w:bookmarkStart w:id="399" w:name="_Toc67321933"/>
      <w:bookmarkStart w:id="400" w:name="_Toc67324398"/>
      <w:bookmarkStart w:id="401" w:name="_Toc67326559"/>
      <w:r w:rsidRPr="006A74F8">
        <w:t>Why accurate and reliable measurement is important</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rsidR="00417CD6" w:rsidRPr="006A74F8" w:rsidRDefault="006E137F" w:rsidP="00FD7AC9">
      <w:pPr>
        <w:rPr>
          <w:rStyle w:val="normaltextrun1"/>
          <w:rFonts w:ascii="Calibri" w:hAnsi="Calibri" w:cs="Calibri"/>
        </w:rPr>
      </w:pPr>
      <w:r w:rsidRPr="006A74F8">
        <w:rPr>
          <w:rStyle w:val="normaltextrun1"/>
          <w:rFonts w:ascii="Calibri" w:hAnsi="Calibri" w:cs="Calibri"/>
        </w:rPr>
        <w:t xml:space="preserve">Measurement is relied on to make important decisions in trade, </w:t>
      </w:r>
      <w:r w:rsidR="009A47CA" w:rsidRPr="006A74F8">
        <w:rPr>
          <w:rStyle w:val="normaltextrun1"/>
          <w:rFonts w:ascii="Calibri" w:hAnsi="Calibri" w:cs="Calibri"/>
        </w:rPr>
        <w:t xml:space="preserve">taxation, </w:t>
      </w:r>
      <w:r w:rsidRPr="006A74F8">
        <w:rPr>
          <w:rStyle w:val="normaltextrun1"/>
          <w:rFonts w:ascii="Calibri" w:hAnsi="Calibri" w:cs="Calibri"/>
        </w:rPr>
        <w:t>innovation, scientific endeavour and industrial processes. </w:t>
      </w:r>
      <w:r w:rsidR="00D4547B" w:rsidRPr="006A74F8">
        <w:rPr>
          <w:rStyle w:val="normaltextrun1"/>
          <w:rFonts w:ascii="Calibri" w:hAnsi="Calibri" w:cs="Calibri"/>
        </w:rPr>
        <w:t>It</w:t>
      </w:r>
      <w:r w:rsidRPr="006A74F8">
        <w:rPr>
          <w:rStyle w:val="normaltextrun1"/>
          <w:rFonts w:ascii="Calibri" w:hAnsi="Calibri" w:cs="Calibri"/>
        </w:rPr>
        <w:t xml:space="preserve"> is </w:t>
      </w:r>
      <w:r w:rsidR="00EA03EB" w:rsidRPr="006A74F8">
        <w:t>relied on to make decisions about everyday purchases</w:t>
      </w:r>
      <w:r w:rsidR="00EA03EB" w:rsidRPr="006A74F8">
        <w:rPr>
          <w:rStyle w:val="normaltextrun1"/>
          <w:rFonts w:ascii="Calibri" w:hAnsi="Calibri" w:cs="Calibri"/>
        </w:rPr>
        <w:t xml:space="preserve"> and</w:t>
      </w:r>
      <w:r w:rsidRPr="006A74F8">
        <w:rPr>
          <w:rStyle w:val="normaltextrun1"/>
          <w:rFonts w:ascii="Calibri" w:hAnsi="Calibri" w:cs="Calibri"/>
        </w:rPr>
        <w:t xml:space="preserve"> is also a critical part of effective regulation that supports community health, safety and environmental protection outcomes</w:t>
      </w:r>
      <w:r w:rsidRPr="006A74F8">
        <w:rPr>
          <w:rFonts w:cstheme="minorHAnsi"/>
        </w:rPr>
        <w:t xml:space="preserve">. </w:t>
      </w:r>
      <w:r w:rsidRPr="006A74F8">
        <w:rPr>
          <w:rStyle w:val="normaltextrun1"/>
          <w:rFonts w:ascii="Calibri" w:hAnsi="Calibri" w:cs="Calibri"/>
        </w:rPr>
        <w:t xml:space="preserve">To properly inform these decisions and </w:t>
      </w:r>
      <w:r w:rsidR="00533B94" w:rsidRPr="006A74F8">
        <w:rPr>
          <w:rStyle w:val="normaltextrun1"/>
          <w:rFonts w:ascii="Calibri" w:hAnsi="Calibri" w:cs="Calibri"/>
        </w:rPr>
        <w:t>support measurement</w:t>
      </w:r>
      <w:r w:rsidR="00533B94" w:rsidRPr="006A74F8">
        <w:rPr>
          <w:rStyle w:val="normaltextrun1"/>
          <w:rFonts w:ascii="Calibri" w:hAnsi="Calibri" w:cs="Calibri"/>
        </w:rPr>
        <w:noBreakHyphen/>
        <w:t xml:space="preserve">related </w:t>
      </w:r>
      <w:r w:rsidRPr="006A74F8">
        <w:rPr>
          <w:rStyle w:val="normaltextrun1"/>
          <w:rFonts w:ascii="Calibri" w:hAnsi="Calibri" w:cs="Calibri"/>
        </w:rPr>
        <w:t>regulations, it is important that the measurements relied upon are sufficiently accurate</w:t>
      </w:r>
      <w:r w:rsidRPr="006A74F8">
        <w:rPr>
          <w:rStyle w:val="FootnoteReference"/>
          <w:rFonts w:cs="Calibri"/>
        </w:rPr>
        <w:footnoteReference w:id="6"/>
      </w:r>
      <w:r w:rsidRPr="006A74F8">
        <w:rPr>
          <w:rStyle w:val="normaltextrun1"/>
          <w:rFonts w:ascii="Calibri" w:hAnsi="Calibri" w:cs="Calibri"/>
        </w:rPr>
        <w:t xml:space="preserve"> and reliable</w:t>
      </w:r>
      <w:r w:rsidR="00BA4A4B" w:rsidRPr="006A74F8">
        <w:rPr>
          <w:rStyle w:val="normaltextrun1"/>
          <w:rFonts w:ascii="Calibri" w:hAnsi="Calibri" w:cs="Calibri"/>
        </w:rPr>
        <w:t>.</w:t>
      </w:r>
      <w:r w:rsidRPr="006A74F8">
        <w:rPr>
          <w:rStyle w:val="FootnoteReference"/>
          <w:rFonts w:cs="Calibri"/>
        </w:rPr>
        <w:footnoteReference w:id="7"/>
      </w:r>
      <w:r w:rsidRPr="006A74F8">
        <w:rPr>
          <w:rStyle w:val="normaltextrun1"/>
          <w:rFonts w:ascii="Calibri" w:hAnsi="Calibri" w:cs="Calibri"/>
        </w:rPr>
        <w:t> </w:t>
      </w:r>
    </w:p>
    <w:p w:rsidR="006E137F" w:rsidRPr="006A74F8" w:rsidRDefault="00B1023A" w:rsidP="00C62116">
      <w:pPr>
        <w:rPr>
          <w:rStyle w:val="normaltextrun1"/>
          <w:rFonts w:ascii="Calibri" w:hAnsi="Calibri" w:cs="Calibri"/>
          <w:color w:val="000000"/>
        </w:rPr>
      </w:pPr>
      <w:r w:rsidRPr="006A74F8">
        <w:rPr>
          <w:rStyle w:val="normaltextrun1"/>
          <w:rFonts w:ascii="Calibri" w:hAnsi="Calibri" w:cs="Calibri"/>
          <w:color w:val="000000"/>
        </w:rPr>
        <w:t>Effective regulation</w:t>
      </w:r>
      <w:r w:rsidR="006E137F" w:rsidRPr="006A74F8">
        <w:rPr>
          <w:rStyle w:val="normaltextrun1"/>
          <w:rFonts w:ascii="Calibri" w:hAnsi="Calibri" w:cs="Calibri"/>
          <w:color w:val="000000"/>
        </w:rPr>
        <w:t xml:space="preserve"> is fundamental to support </w:t>
      </w:r>
      <w:r w:rsidRPr="006A74F8">
        <w:rPr>
          <w:rStyle w:val="normaltextrun1"/>
          <w:rFonts w:ascii="Calibri" w:hAnsi="Calibri" w:cs="Calibri"/>
          <w:color w:val="000000"/>
        </w:rPr>
        <w:t>measurement confidence</w:t>
      </w:r>
      <w:r w:rsidR="006E137F" w:rsidRPr="006A74F8">
        <w:rPr>
          <w:rStyle w:val="normaltextrun1"/>
          <w:rFonts w:ascii="Calibri" w:hAnsi="Calibri" w:cs="Calibri"/>
          <w:color w:val="000000"/>
        </w:rPr>
        <w:t xml:space="preserve"> and the efficient and fair functioning of markets. Markets cannot operate efficiently or effectively if buyers and sellers have inadequate inf</w:t>
      </w:r>
      <w:r w:rsidR="00335971" w:rsidRPr="006A74F8">
        <w:rPr>
          <w:rStyle w:val="normaltextrun1"/>
          <w:rFonts w:ascii="Calibri" w:hAnsi="Calibri" w:cs="Calibri"/>
          <w:color w:val="000000"/>
        </w:rPr>
        <w:t>ormation about the products in the</w:t>
      </w:r>
      <w:r w:rsidR="006E137F" w:rsidRPr="006A74F8">
        <w:rPr>
          <w:rStyle w:val="normaltextrun1"/>
          <w:rFonts w:ascii="Calibri" w:hAnsi="Calibri" w:cs="Calibri"/>
          <w:color w:val="000000"/>
        </w:rPr>
        <w:t xml:space="preserve"> market</w:t>
      </w:r>
      <w:r w:rsidR="00533B94" w:rsidRPr="006A74F8">
        <w:rPr>
          <w:rStyle w:val="normaltextrun1"/>
          <w:rFonts w:ascii="Calibri" w:hAnsi="Calibri" w:cs="Calibri"/>
          <w:color w:val="000000"/>
        </w:rPr>
        <w:t xml:space="preserve">, or lack </w:t>
      </w:r>
      <w:r w:rsidR="00533B94" w:rsidRPr="006A74F8">
        <w:rPr>
          <w:rStyle w:val="normaltextrun1"/>
          <w:rFonts w:ascii="Calibri" w:hAnsi="Calibri" w:cs="Calibri"/>
        </w:rPr>
        <w:t>trust</w:t>
      </w:r>
      <w:r w:rsidR="00533B94" w:rsidRPr="006A74F8">
        <w:rPr>
          <w:rStyle w:val="normaltextrun1"/>
          <w:rFonts w:ascii="Calibri" w:hAnsi="Calibri" w:cs="Calibri"/>
          <w:color w:val="000000"/>
        </w:rPr>
        <w:t xml:space="preserve"> in the measurements that underpin it</w:t>
      </w:r>
      <w:r w:rsidR="006E137F" w:rsidRPr="006A74F8">
        <w:rPr>
          <w:rStyle w:val="normaltextrun1"/>
          <w:rFonts w:ascii="Calibri" w:hAnsi="Calibri" w:cs="Calibri"/>
          <w:color w:val="000000"/>
        </w:rPr>
        <w:t>. Similarly, regulation which is reliant on measurement is less able to achieve its intended outcomes if the underpinning measurements are not sufficiently accurate and reliable.</w:t>
      </w:r>
    </w:p>
    <w:p w:rsidR="00BE6F5C" w:rsidRPr="006A74F8" w:rsidRDefault="00BE6F5C" w:rsidP="00FD7AC9">
      <w:pPr>
        <w:pStyle w:val="Heading2"/>
      </w:pPr>
      <w:bookmarkStart w:id="402" w:name="_Toc64558435"/>
      <w:bookmarkStart w:id="403" w:name="_Toc64557455"/>
      <w:bookmarkStart w:id="404" w:name="_Toc64562180"/>
      <w:bookmarkStart w:id="405" w:name="_Toc64562436"/>
      <w:bookmarkStart w:id="406" w:name="_Toc64640222"/>
      <w:bookmarkStart w:id="407" w:name="_Toc64641198"/>
      <w:bookmarkStart w:id="408" w:name="_Toc64647140"/>
      <w:bookmarkStart w:id="409" w:name="_Toc64888306"/>
      <w:bookmarkStart w:id="410" w:name="_Toc64888686"/>
      <w:bookmarkStart w:id="411" w:name="_Toc64892961"/>
      <w:bookmarkStart w:id="412" w:name="_Toc64895607"/>
      <w:bookmarkStart w:id="413" w:name="_Toc64900814"/>
      <w:bookmarkStart w:id="414" w:name="_Toc64903080"/>
      <w:bookmarkStart w:id="415" w:name="_Toc64904019"/>
      <w:bookmarkStart w:id="416" w:name="_Toc64904241"/>
      <w:bookmarkStart w:id="417" w:name="_Toc64904684"/>
      <w:bookmarkStart w:id="418" w:name="_Toc64905198"/>
      <w:bookmarkStart w:id="419" w:name="_Toc64963975"/>
      <w:bookmarkStart w:id="420" w:name="_Toc64974572"/>
      <w:bookmarkStart w:id="421" w:name="_Toc64976274"/>
      <w:bookmarkStart w:id="422" w:name="_Toc65149648"/>
      <w:bookmarkStart w:id="423" w:name="_Toc65163425"/>
      <w:bookmarkStart w:id="424" w:name="_Toc65491064"/>
      <w:bookmarkStart w:id="425" w:name="_Toc65504800"/>
      <w:bookmarkStart w:id="426" w:name="_Toc65757883"/>
      <w:bookmarkStart w:id="427" w:name="_Toc65769478"/>
      <w:bookmarkStart w:id="428" w:name="_Toc65766846"/>
      <w:bookmarkStart w:id="429" w:name="_Toc65772620"/>
      <w:bookmarkStart w:id="430" w:name="_Toc66435677"/>
      <w:bookmarkStart w:id="431" w:name="_Toc66436466"/>
      <w:bookmarkStart w:id="432" w:name="_Toc66437677"/>
      <w:bookmarkStart w:id="433" w:name="_Toc66440016"/>
      <w:bookmarkStart w:id="434" w:name="_Toc66442219"/>
      <w:bookmarkStart w:id="435" w:name="_Toc66451888"/>
      <w:bookmarkStart w:id="436" w:name="_Toc66459165"/>
      <w:bookmarkStart w:id="437" w:name="_Toc66460219"/>
      <w:bookmarkStart w:id="438" w:name="_Toc67305373"/>
      <w:bookmarkStart w:id="439" w:name="_Toc67306286"/>
      <w:bookmarkStart w:id="440" w:name="_Toc67306738"/>
      <w:bookmarkStart w:id="441" w:name="_Toc67313588"/>
      <w:bookmarkStart w:id="442" w:name="_Toc67320781"/>
      <w:bookmarkStart w:id="443" w:name="_Toc67321934"/>
      <w:bookmarkStart w:id="444" w:name="_Toc67324399"/>
      <w:bookmarkStart w:id="445" w:name="_Toc67326560"/>
      <w:r w:rsidRPr="006A74F8">
        <w:lastRenderedPageBreak/>
        <w:t>Role of Australia’s measurement legislation</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rsidR="00BE6F5C" w:rsidRPr="006A74F8" w:rsidRDefault="000A4303" w:rsidP="00FD7AC9">
      <w:r w:rsidRPr="006A74F8">
        <w:t>Australia’s</w:t>
      </w:r>
      <w:r w:rsidR="00BE6F5C" w:rsidRPr="006A74F8">
        <w:t xml:space="preserve"> measurement legislation delivers the </w:t>
      </w:r>
      <w:r w:rsidRPr="006A74F8">
        <w:t>government’s</w:t>
      </w:r>
      <w:r w:rsidR="00BE6F5C" w:rsidRPr="006A74F8">
        <w:t xml:space="preserve"> constitutional responsibility for weights and measures. It plays a critical role in implementing inter-governmental treaty obligations,</w:t>
      </w:r>
      <w:r w:rsidR="00BE6F5C" w:rsidRPr="006A74F8">
        <w:rPr>
          <w:rStyle w:val="FootnoteReference"/>
        </w:rPr>
        <w:footnoteReference w:id="8"/>
      </w:r>
      <w:r w:rsidR="00BE6F5C" w:rsidRPr="006A74F8">
        <w:t xml:space="preserve"> and supports industry, trade, consumer confidence and effective regulation.</w:t>
      </w:r>
    </w:p>
    <w:p w:rsidR="00BE6F5C" w:rsidRPr="006A74F8" w:rsidRDefault="00BE6F5C" w:rsidP="00FD7AC9">
      <w:r w:rsidRPr="006A74F8">
        <w:t>It does this by:</w:t>
      </w:r>
    </w:p>
    <w:p w:rsidR="0086357B" w:rsidRPr="006A74F8" w:rsidRDefault="00BE6F5C" w:rsidP="00C812C5">
      <w:pPr>
        <w:pStyle w:val="ListParagraph"/>
        <w:numPr>
          <w:ilvl w:val="0"/>
          <w:numId w:val="26"/>
        </w:numPr>
      </w:pPr>
      <w:r w:rsidRPr="006A74F8">
        <w:rPr>
          <w:color w:val="000000"/>
          <w:shd w:val="clear" w:color="auto" w:fill="FFFFFF"/>
        </w:rPr>
        <w:t xml:space="preserve">establishing a national system of </w:t>
      </w:r>
      <w:r w:rsidR="00131C5F" w:rsidRPr="006A74F8">
        <w:rPr>
          <w:color w:val="000000"/>
          <w:shd w:val="clear" w:color="auto" w:fill="FFFFFF"/>
        </w:rPr>
        <w:t xml:space="preserve">measurement </w:t>
      </w:r>
      <w:r w:rsidRPr="006A74F8">
        <w:rPr>
          <w:color w:val="000000"/>
          <w:shd w:val="clear" w:color="auto" w:fill="FFFFFF"/>
        </w:rPr>
        <w:t>units</w:t>
      </w:r>
      <w:r w:rsidR="00D266D9" w:rsidRPr="006A74F8">
        <w:rPr>
          <w:color w:val="000000"/>
          <w:shd w:val="clear" w:color="auto" w:fill="FFFFFF"/>
        </w:rPr>
        <w:t xml:space="preserve"> </w:t>
      </w:r>
      <w:r w:rsidR="009434F2" w:rsidRPr="006A74F8">
        <w:rPr>
          <w:color w:val="000000"/>
          <w:shd w:val="clear" w:color="auto" w:fill="FFFFFF"/>
        </w:rPr>
        <w:t xml:space="preserve">based on internationally recognised measurement standards and reference </w:t>
      </w:r>
      <w:r w:rsidRPr="006A74F8">
        <w:rPr>
          <w:color w:val="000000"/>
          <w:shd w:val="clear" w:color="auto" w:fill="FFFFFF"/>
        </w:rPr>
        <w:t>material</w:t>
      </w:r>
      <w:r w:rsidR="00B231BC" w:rsidRPr="006A74F8">
        <w:rPr>
          <w:color w:val="000000"/>
          <w:shd w:val="clear" w:color="auto" w:fill="FFFFFF"/>
        </w:rPr>
        <w:t>s</w:t>
      </w:r>
      <w:r w:rsidRPr="006A74F8">
        <w:rPr>
          <w:rStyle w:val="FootnoteReference"/>
          <w:color w:val="000000"/>
          <w:shd w:val="clear" w:color="auto" w:fill="FFFFFF"/>
        </w:rPr>
        <w:footnoteReference w:id="9"/>
      </w:r>
    </w:p>
    <w:p w:rsidR="0086357B" w:rsidRPr="006A74F8" w:rsidRDefault="000B7103" w:rsidP="00C812C5">
      <w:pPr>
        <w:pStyle w:val="ListParagraph"/>
        <w:numPr>
          <w:ilvl w:val="0"/>
          <w:numId w:val="26"/>
        </w:numPr>
      </w:pPr>
      <w:r w:rsidRPr="006A74F8">
        <w:rPr>
          <w:color w:val="000000"/>
          <w:shd w:val="clear" w:color="auto" w:fill="FFFFFF"/>
        </w:rPr>
        <w:t xml:space="preserve">requiring </w:t>
      </w:r>
      <w:r w:rsidR="00131C5F" w:rsidRPr="006A74F8">
        <w:rPr>
          <w:color w:val="000000"/>
          <w:shd w:val="clear" w:color="auto" w:fill="FFFFFF"/>
        </w:rPr>
        <w:t>the use of these measurement units</w:t>
      </w:r>
      <w:r w:rsidRPr="006A74F8">
        <w:rPr>
          <w:color w:val="000000"/>
          <w:shd w:val="clear" w:color="auto" w:fill="FFFFFF"/>
        </w:rPr>
        <w:t xml:space="preserve"> for legal purposes</w:t>
      </w:r>
    </w:p>
    <w:p w:rsidR="0086357B" w:rsidRPr="006A74F8" w:rsidRDefault="00BE6F5C" w:rsidP="00C812C5">
      <w:pPr>
        <w:pStyle w:val="ListParagraph"/>
        <w:numPr>
          <w:ilvl w:val="0"/>
          <w:numId w:val="26"/>
        </w:numPr>
      </w:pPr>
      <w:r w:rsidRPr="006A74F8">
        <w:t xml:space="preserve">creating </w:t>
      </w:r>
      <w:r w:rsidR="00131C5F" w:rsidRPr="006A74F8">
        <w:t xml:space="preserve">the </w:t>
      </w:r>
      <w:r w:rsidR="00A333D7" w:rsidRPr="006A74F8">
        <w:t>NMI</w:t>
      </w:r>
      <w:r w:rsidR="00131C5F" w:rsidRPr="006A74F8">
        <w:t xml:space="preserve"> and outlining its responsibilities</w:t>
      </w:r>
    </w:p>
    <w:p w:rsidR="0086357B" w:rsidRPr="006A74F8" w:rsidRDefault="00FE5FCA" w:rsidP="00C812C5">
      <w:pPr>
        <w:pStyle w:val="ListParagraph"/>
        <w:numPr>
          <w:ilvl w:val="0"/>
          <w:numId w:val="26"/>
        </w:numPr>
      </w:pPr>
      <w:r w:rsidRPr="006A74F8">
        <w:t xml:space="preserve">establishing mechanisms for </w:t>
      </w:r>
      <w:r w:rsidR="00256BB5" w:rsidRPr="006A74F8">
        <w:t xml:space="preserve">ensuring </w:t>
      </w:r>
      <w:r w:rsidR="00BE6F5C" w:rsidRPr="006A74F8">
        <w:t>national and international recognition and acceptance of Australia’s measurement system</w:t>
      </w:r>
    </w:p>
    <w:p w:rsidR="00BE6F5C" w:rsidRPr="006A74F8" w:rsidRDefault="00BE6F5C" w:rsidP="00C812C5">
      <w:pPr>
        <w:pStyle w:val="ListParagraph"/>
        <w:numPr>
          <w:ilvl w:val="0"/>
          <w:numId w:val="26"/>
        </w:numPr>
      </w:pPr>
      <w:r w:rsidRPr="006A74F8">
        <w:t>establishing a national system of trade measurement</w:t>
      </w:r>
      <w:r w:rsidR="00131C5F" w:rsidRPr="006A74F8">
        <w:t>,</w:t>
      </w:r>
      <w:r w:rsidRPr="006A74F8">
        <w:t xml:space="preserve"> that regulates transactions based on measurements and measuring instruments used in trade.</w:t>
      </w:r>
    </w:p>
    <w:p w:rsidR="00FE5FCA" w:rsidRPr="006A74F8" w:rsidRDefault="00FE5FCA" w:rsidP="00FE5FCA">
      <w:r w:rsidRPr="006A74F8">
        <w:t xml:space="preserve">In doing so, the legislation </w:t>
      </w:r>
      <w:r w:rsidRPr="006A74F8">
        <w:rPr>
          <w:rFonts w:cstheme="minorHAnsi"/>
        </w:rPr>
        <w:t>makes clear that Australia is to align with, and contribute to the development of</w:t>
      </w:r>
      <w:r w:rsidR="00131C5F" w:rsidRPr="006A74F8">
        <w:rPr>
          <w:rFonts w:cstheme="minorHAnsi"/>
        </w:rPr>
        <w:t>,</w:t>
      </w:r>
      <w:r w:rsidRPr="006A74F8">
        <w:rPr>
          <w:rFonts w:cstheme="minorHAnsi"/>
        </w:rPr>
        <w:t xml:space="preserve"> internationally recognised measurement standards and accepted measurement practices.</w:t>
      </w:r>
      <w:r w:rsidRPr="006A74F8">
        <w:rPr>
          <w:rFonts w:cstheme="minorHAnsi"/>
          <w:color w:val="000000"/>
        </w:rPr>
        <w:t xml:space="preserve"> The legislation also</w:t>
      </w:r>
      <w:r w:rsidRPr="006A74F8">
        <w:t xml:space="preserve"> provides</w:t>
      </w:r>
      <w:r w:rsidRPr="006A74F8">
        <w:rPr>
          <w:rFonts w:cstheme="minorHAnsi"/>
          <w:color w:val="000000"/>
        </w:rPr>
        <w:t xml:space="preserve"> a fair and level playing field in domestic and international trade</w:t>
      </w:r>
      <w:r w:rsidR="00131C5F" w:rsidRPr="006A74F8">
        <w:rPr>
          <w:rFonts w:cstheme="minorHAnsi"/>
          <w:color w:val="000000"/>
        </w:rPr>
        <w:t>,</w:t>
      </w:r>
      <w:r w:rsidRPr="006A74F8">
        <w:rPr>
          <w:rFonts w:cstheme="minorHAnsi"/>
          <w:color w:val="000000"/>
        </w:rPr>
        <w:t xml:space="preserve"> ensuring all parties can be confident they get what they pay for</w:t>
      </w:r>
      <w:r w:rsidRPr="006A74F8">
        <w:rPr>
          <w:rFonts w:cstheme="minorHAnsi"/>
        </w:rPr>
        <w:t xml:space="preserve">. </w:t>
      </w:r>
    </w:p>
    <w:p w:rsidR="00FE5FCA" w:rsidRPr="006A74F8" w:rsidRDefault="00FE5FCA" w:rsidP="00FE5FCA">
      <w:pPr>
        <w:pStyle w:val="NormalWeb"/>
        <w:keepNext/>
        <w:spacing w:after="120" w:afterAutospacing="0"/>
        <w:rPr>
          <w:rFonts w:asciiTheme="minorHAnsi" w:hAnsiTheme="minorHAnsi" w:cstheme="minorHAnsi"/>
          <w:color w:val="000000"/>
          <w:sz w:val="22"/>
          <w:szCs w:val="22"/>
        </w:rPr>
      </w:pPr>
      <w:r w:rsidRPr="006A74F8">
        <w:rPr>
          <w:rFonts w:asciiTheme="minorHAnsi" w:hAnsiTheme="minorHAnsi" w:cstheme="minorHAnsi"/>
          <w:color w:val="000000"/>
          <w:sz w:val="22"/>
          <w:szCs w:val="22"/>
        </w:rPr>
        <w:t xml:space="preserve">The legislation establishes Australia’s national measurement system which </w:t>
      </w:r>
      <w:r w:rsidRPr="006A74F8">
        <w:rPr>
          <w:rFonts w:ascii="Calibri" w:hAnsi="Calibri" w:cs="Calibri"/>
          <w:color w:val="000000"/>
          <w:sz w:val="22"/>
          <w:szCs w:val="22"/>
        </w:rPr>
        <w:t>ensures that measurements can be made on a consistent</w:t>
      </w:r>
      <w:r w:rsidR="008339DC" w:rsidRPr="006A74F8">
        <w:rPr>
          <w:rFonts w:ascii="Calibri" w:hAnsi="Calibri" w:cs="Calibri"/>
          <w:color w:val="000000"/>
          <w:sz w:val="22"/>
          <w:szCs w:val="22"/>
        </w:rPr>
        <w:t xml:space="preserve"> and</w:t>
      </w:r>
      <w:r w:rsidRPr="006A74F8">
        <w:rPr>
          <w:rFonts w:ascii="Calibri" w:hAnsi="Calibri" w:cs="Calibri"/>
          <w:color w:val="000000"/>
          <w:sz w:val="22"/>
          <w:szCs w:val="22"/>
        </w:rPr>
        <w:t xml:space="preserve"> trusted basis. </w:t>
      </w:r>
      <w:r w:rsidRPr="006A74F8">
        <w:rPr>
          <w:rFonts w:asciiTheme="minorHAnsi" w:hAnsiTheme="minorHAnsi" w:cstheme="minorHAnsi"/>
          <w:color w:val="000000"/>
          <w:sz w:val="22"/>
          <w:szCs w:val="22"/>
        </w:rPr>
        <w:t>The measurement system:</w:t>
      </w:r>
    </w:p>
    <w:p w:rsidR="00FE5FCA" w:rsidRPr="006A74F8" w:rsidRDefault="00FE5FCA" w:rsidP="00C812C5">
      <w:pPr>
        <w:pStyle w:val="ListParagraph"/>
        <w:numPr>
          <w:ilvl w:val="0"/>
          <w:numId w:val="26"/>
        </w:numPr>
        <w:rPr>
          <w:rFonts w:cstheme="minorHAnsi"/>
          <w:color w:val="000000"/>
        </w:rPr>
      </w:pPr>
      <w:r w:rsidRPr="006A74F8">
        <w:rPr>
          <w:color w:val="000000"/>
          <w:shd w:val="clear" w:color="auto" w:fill="FFFFFF"/>
        </w:rPr>
        <w:t>r</w:t>
      </w:r>
      <w:r w:rsidRPr="006A74F8">
        <w:rPr>
          <w:rFonts w:cstheme="minorHAnsi"/>
          <w:color w:val="000000"/>
        </w:rPr>
        <w:t>educes technical barriers to trade and investment, both domestically and internationally</w:t>
      </w:r>
    </w:p>
    <w:p w:rsidR="00FE5FCA" w:rsidRPr="006A74F8" w:rsidRDefault="00FE5FCA" w:rsidP="00C812C5">
      <w:pPr>
        <w:pStyle w:val="ListParagraph"/>
        <w:numPr>
          <w:ilvl w:val="0"/>
          <w:numId w:val="26"/>
        </w:numPr>
        <w:rPr>
          <w:rFonts w:cstheme="minorHAnsi"/>
          <w:color w:val="000000"/>
        </w:rPr>
      </w:pPr>
      <w:r w:rsidRPr="006A74F8">
        <w:rPr>
          <w:color w:val="000000"/>
          <w:shd w:val="clear" w:color="auto" w:fill="FFFFFF"/>
        </w:rPr>
        <w:t>e</w:t>
      </w:r>
      <w:r w:rsidRPr="006A74F8">
        <w:rPr>
          <w:rFonts w:cstheme="minorHAnsi"/>
          <w:color w:val="000000"/>
        </w:rPr>
        <w:t>nhances business and consumer confidence through reliable and accurate measurement</w:t>
      </w:r>
    </w:p>
    <w:p w:rsidR="00FE5FCA" w:rsidRPr="006A74F8" w:rsidRDefault="00FE5FCA" w:rsidP="00C812C5">
      <w:pPr>
        <w:pStyle w:val="ListParagraph"/>
        <w:numPr>
          <w:ilvl w:val="0"/>
          <w:numId w:val="26"/>
        </w:numPr>
        <w:rPr>
          <w:rFonts w:cstheme="minorHAnsi"/>
          <w:color w:val="000000"/>
        </w:rPr>
      </w:pPr>
      <w:r w:rsidRPr="006A74F8">
        <w:rPr>
          <w:rFonts w:cstheme="minorHAnsi"/>
          <w:color w:val="000000"/>
        </w:rPr>
        <w:t xml:space="preserve">provides confidence to the Australian community that references to measurement in everyday statements are trustworthy and comparable, </w:t>
      </w:r>
      <w:r w:rsidRPr="006A74F8">
        <w:rPr>
          <w:rFonts w:cstheme="minorHAnsi"/>
        </w:rPr>
        <w:t>without requiring end users to have a thorough knowledge of measurement</w:t>
      </w:r>
    </w:p>
    <w:p w:rsidR="00FE5FCA" w:rsidRPr="006A74F8" w:rsidRDefault="00FE5FCA" w:rsidP="00C812C5">
      <w:pPr>
        <w:pStyle w:val="ListParagraph"/>
        <w:numPr>
          <w:ilvl w:val="0"/>
          <w:numId w:val="26"/>
        </w:numPr>
        <w:rPr>
          <w:rFonts w:cstheme="minorHAnsi"/>
          <w:color w:val="000000"/>
        </w:rPr>
      </w:pPr>
      <w:r w:rsidRPr="006A74F8">
        <w:rPr>
          <w:color w:val="000000"/>
          <w:shd w:val="clear" w:color="auto" w:fill="FFFFFF"/>
        </w:rPr>
        <w:t>s</w:t>
      </w:r>
      <w:r w:rsidRPr="006A74F8">
        <w:rPr>
          <w:rFonts w:cstheme="minorHAnsi"/>
          <w:color w:val="000000"/>
        </w:rPr>
        <w:t>upports science, technology, industry competitiveness and innovation, as well as collaboration with international partners</w:t>
      </w:r>
    </w:p>
    <w:p w:rsidR="00FE5FCA" w:rsidRPr="006A74F8" w:rsidRDefault="00FE5FCA" w:rsidP="00C812C5">
      <w:pPr>
        <w:pStyle w:val="ListParagraph"/>
        <w:numPr>
          <w:ilvl w:val="0"/>
          <w:numId w:val="26"/>
        </w:numPr>
        <w:rPr>
          <w:rFonts w:cstheme="minorHAnsi"/>
          <w:color w:val="000000"/>
        </w:rPr>
      </w:pPr>
      <w:r w:rsidRPr="006A74F8">
        <w:rPr>
          <w:color w:val="000000"/>
          <w:shd w:val="clear" w:color="auto" w:fill="FFFFFF"/>
        </w:rPr>
        <w:t>s</w:t>
      </w:r>
      <w:r w:rsidRPr="006A74F8">
        <w:rPr>
          <w:rFonts w:cstheme="minorHAnsi"/>
          <w:color w:val="000000"/>
        </w:rPr>
        <w:t>upports other Australian Government policy outcomes, including those related to manufacturing, energy, the digital economy, agriculture and water, defence, the environment, health and sport, law enforcement, safety, and security</w:t>
      </w:r>
    </w:p>
    <w:p w:rsidR="00ED5A46" w:rsidRPr="006A74F8" w:rsidRDefault="00FE5FCA" w:rsidP="00C812C5">
      <w:pPr>
        <w:pStyle w:val="ListParagraph"/>
        <w:numPr>
          <w:ilvl w:val="0"/>
          <w:numId w:val="26"/>
        </w:numPr>
        <w:rPr>
          <w:rFonts w:cstheme="minorHAnsi"/>
          <w:color w:val="000000"/>
        </w:rPr>
      </w:pPr>
      <w:r w:rsidRPr="006A74F8">
        <w:rPr>
          <w:color w:val="000000"/>
          <w:shd w:val="clear" w:color="auto" w:fill="FFFFFF"/>
        </w:rPr>
        <w:t>c</w:t>
      </w:r>
      <w:r w:rsidRPr="006A74F8">
        <w:rPr>
          <w:rFonts w:cstheme="minorHAnsi"/>
          <w:color w:val="000000"/>
        </w:rPr>
        <w:t>ontributes to ongoing economic prosperity for Australia by reducing transaction</w:t>
      </w:r>
      <w:r w:rsidR="006E54EF" w:rsidRPr="006A74F8">
        <w:rPr>
          <w:rFonts w:cstheme="minorHAnsi"/>
          <w:color w:val="000000"/>
        </w:rPr>
        <w:t xml:space="preserve"> costs</w:t>
      </w:r>
      <w:r w:rsidRPr="006A74F8">
        <w:rPr>
          <w:rFonts w:cstheme="minorHAnsi"/>
          <w:color w:val="000000"/>
        </w:rPr>
        <w:t xml:space="preserve"> and supporting accurate tax collection</w:t>
      </w:r>
      <w:r w:rsidR="00DB7451" w:rsidRPr="006A74F8">
        <w:rPr>
          <w:rFonts w:cstheme="minorHAnsi"/>
          <w:color w:val="000000"/>
        </w:rPr>
        <w:t>.</w:t>
      </w:r>
    </w:p>
    <w:p w:rsidR="00083CAF" w:rsidRPr="006A74F8" w:rsidRDefault="00131C5F" w:rsidP="00083CAF">
      <w:pPr>
        <w:pStyle w:val="Heading2"/>
      </w:pPr>
      <w:r w:rsidRPr="006A74F8">
        <w:t>Key terminology</w:t>
      </w:r>
    </w:p>
    <w:p w:rsidR="00131C5F" w:rsidRPr="006A74F8" w:rsidRDefault="00131C5F" w:rsidP="00DC6C5B">
      <w:pPr>
        <w:rPr>
          <w:rFonts w:cstheme="minorHAnsi"/>
          <w:bCs/>
        </w:rPr>
      </w:pPr>
      <w:r w:rsidRPr="006A74F8">
        <w:t>The RIS avoids technical vocabulary as far as possible but key terms are defined when introduced</w:t>
      </w:r>
      <w:r w:rsidR="00DC6C5B" w:rsidRPr="006A74F8">
        <w:t>, with</w:t>
      </w:r>
      <w:r w:rsidRPr="006A74F8">
        <w:rPr>
          <w:rFonts w:cstheme="minorHAnsi"/>
        </w:rPr>
        <w:t xml:space="preserve"> a </w:t>
      </w:r>
      <w:r w:rsidR="00DC6C5B" w:rsidRPr="006A74F8">
        <w:t>complete list in Appendix 1.</w:t>
      </w:r>
    </w:p>
    <w:p w:rsidR="00131C5F" w:rsidRPr="006A74F8" w:rsidRDefault="00131C5F" w:rsidP="00131C5F">
      <w:pPr>
        <w:sectPr w:rsidR="00131C5F" w:rsidRPr="006A74F8" w:rsidSect="00EC61D8">
          <w:pgSz w:w="11907" w:h="16840" w:code="9"/>
          <w:pgMar w:top="1440" w:right="1440" w:bottom="1440" w:left="1440" w:header="709" w:footer="0" w:gutter="0"/>
          <w:cols w:space="708"/>
          <w:docGrid w:linePitch="360"/>
        </w:sectPr>
      </w:pPr>
      <w:bookmarkStart w:id="446" w:name="_RIS_Question_1:"/>
      <w:bookmarkStart w:id="447" w:name="_Toc64558436"/>
      <w:bookmarkStart w:id="448" w:name="_Toc64557456"/>
      <w:bookmarkStart w:id="449" w:name="_Toc64562181"/>
      <w:bookmarkStart w:id="450" w:name="_Toc64562437"/>
      <w:bookmarkStart w:id="451" w:name="_Toc64640223"/>
      <w:bookmarkStart w:id="452" w:name="_Toc64641199"/>
      <w:bookmarkStart w:id="453" w:name="_Toc64647141"/>
      <w:bookmarkStart w:id="454" w:name="_Toc64888307"/>
      <w:bookmarkStart w:id="455" w:name="_Toc64888687"/>
      <w:bookmarkStart w:id="456" w:name="_Toc64892962"/>
      <w:bookmarkStart w:id="457" w:name="_Toc64895608"/>
      <w:bookmarkStart w:id="458" w:name="_Toc64900815"/>
      <w:bookmarkStart w:id="459" w:name="_Toc64903081"/>
      <w:bookmarkStart w:id="460" w:name="_Toc64904020"/>
      <w:bookmarkStart w:id="461" w:name="_Toc64904242"/>
      <w:bookmarkStart w:id="462" w:name="_Toc64904685"/>
      <w:bookmarkStart w:id="463" w:name="_Toc64905199"/>
      <w:bookmarkStart w:id="464" w:name="_Toc64963976"/>
      <w:bookmarkStart w:id="465" w:name="_Toc64974573"/>
      <w:bookmarkStart w:id="466" w:name="_Toc64976275"/>
      <w:bookmarkStart w:id="467" w:name="_Toc65149649"/>
      <w:bookmarkStart w:id="468" w:name="_Toc65163426"/>
      <w:bookmarkStart w:id="469" w:name="_Toc65491065"/>
      <w:bookmarkStart w:id="470" w:name="_Toc65504801"/>
      <w:bookmarkStart w:id="471" w:name="_Toc65757884"/>
      <w:bookmarkStart w:id="472" w:name="_Toc65769479"/>
      <w:bookmarkStart w:id="473" w:name="_Toc65766847"/>
      <w:bookmarkStart w:id="474" w:name="_Toc65772621"/>
      <w:bookmarkStart w:id="475" w:name="_Toc66435678"/>
      <w:bookmarkStart w:id="476" w:name="_Toc66436467"/>
      <w:bookmarkStart w:id="477" w:name="_Toc66437678"/>
      <w:bookmarkStart w:id="478" w:name="_Toc66440017"/>
      <w:bookmarkStart w:id="479" w:name="_Toc66442220"/>
      <w:bookmarkStart w:id="480" w:name="_Toc66451889"/>
      <w:bookmarkStart w:id="481" w:name="_Toc66459166"/>
      <w:bookmarkStart w:id="482" w:name="_Toc66460220"/>
      <w:bookmarkStart w:id="483" w:name="_Toc67305374"/>
      <w:bookmarkStart w:id="484" w:name="_Toc67306287"/>
      <w:bookmarkStart w:id="485" w:name="_Toc67306739"/>
      <w:bookmarkStart w:id="486" w:name="_Toc67313589"/>
      <w:bookmarkStart w:id="487" w:name="_Toc67320782"/>
      <w:bookmarkStart w:id="488" w:name="_Toc67321935"/>
      <w:bookmarkStart w:id="489" w:name="_Toc67324400"/>
      <w:bookmarkStart w:id="490" w:name="_Toc67326561"/>
      <w:bookmarkStart w:id="491" w:name="_Toc67649115"/>
      <w:bookmarkStart w:id="492" w:name="_Toc67650099"/>
      <w:bookmarkStart w:id="493" w:name="_Toc67650354"/>
      <w:bookmarkStart w:id="494" w:name="_Toc67650646"/>
      <w:bookmarkStart w:id="495" w:name="_Toc67652966"/>
      <w:bookmarkStart w:id="496" w:name="_Toc67653051"/>
      <w:bookmarkStart w:id="497" w:name="_Toc67653483"/>
      <w:bookmarkStart w:id="498" w:name="_Toc67653546"/>
      <w:bookmarkStart w:id="499" w:name="_Toc67649963"/>
      <w:bookmarkStart w:id="500" w:name="_Toc67654049"/>
      <w:bookmarkStart w:id="501" w:name="_Toc67654356"/>
      <w:bookmarkStart w:id="502" w:name="_Toc67654573"/>
      <w:bookmarkStart w:id="503" w:name="_Toc67656180"/>
      <w:bookmarkStart w:id="504" w:name="_Toc67656942"/>
      <w:bookmarkStart w:id="505" w:name="_Toc67659241"/>
      <w:bookmarkStart w:id="506" w:name="_Toc67659742"/>
      <w:bookmarkStart w:id="507" w:name="_Toc67661709"/>
      <w:bookmarkStart w:id="508" w:name="_Toc67662800"/>
      <w:bookmarkStart w:id="509" w:name="_Toc67662941"/>
      <w:bookmarkStart w:id="510" w:name="_Toc67663707"/>
      <w:bookmarkStart w:id="511" w:name="_Toc67664128"/>
      <w:bookmarkStart w:id="512" w:name="_Toc67664447"/>
      <w:bookmarkStart w:id="513" w:name="_Toc67665424"/>
      <w:bookmarkStart w:id="514" w:name="_Toc67667174"/>
      <w:bookmarkStart w:id="515" w:name="_Toc67668247"/>
      <w:bookmarkStart w:id="516" w:name="_Toc67669154"/>
      <w:bookmarkStart w:id="517" w:name="_Toc67665765"/>
      <w:bookmarkEnd w:id="446"/>
    </w:p>
    <w:p w:rsidR="000E6250" w:rsidRPr="006A74F8" w:rsidRDefault="003A7AD5" w:rsidP="00FD7AC9">
      <w:pPr>
        <w:pStyle w:val="Heading1"/>
        <w:rPr>
          <w:rFonts w:eastAsia="Times New Roman"/>
          <w:lang w:eastAsia="en-AU"/>
        </w:rPr>
      </w:pPr>
      <w:bookmarkStart w:id="518" w:name="_RIS_Question_1:_1"/>
      <w:bookmarkStart w:id="519" w:name="_Toc67912154"/>
      <w:bookmarkStart w:id="520" w:name="_Toc67922235"/>
      <w:bookmarkStart w:id="521" w:name="_Toc67929094"/>
      <w:bookmarkStart w:id="522" w:name="_Toc67929388"/>
      <w:bookmarkStart w:id="523" w:name="_Toc67929613"/>
      <w:bookmarkStart w:id="524" w:name="_Toc67927090"/>
      <w:bookmarkStart w:id="525" w:name="_Toc68011255"/>
      <w:bookmarkStart w:id="526" w:name="_Toc68011313"/>
      <w:bookmarkStart w:id="527" w:name="_Toc81919529"/>
      <w:bookmarkStart w:id="528" w:name="_Toc81919803"/>
      <w:bookmarkStart w:id="529" w:name="_Toc81921158"/>
      <w:bookmarkStart w:id="530" w:name="_Toc81923645"/>
      <w:bookmarkStart w:id="531" w:name="_Toc81923760"/>
      <w:bookmarkStart w:id="532" w:name="_Toc81997300"/>
      <w:bookmarkStart w:id="533" w:name="_Toc81998073"/>
      <w:bookmarkStart w:id="534" w:name="_Toc82011837"/>
      <w:bookmarkStart w:id="535" w:name="_Toc82512684"/>
      <w:bookmarkStart w:id="536" w:name="_Toc82516152"/>
      <w:bookmarkStart w:id="537" w:name="_Toc82519103"/>
      <w:bookmarkStart w:id="538" w:name="_Toc82706641"/>
      <w:bookmarkStart w:id="539" w:name="_Toc82790530"/>
      <w:bookmarkStart w:id="540" w:name="_Toc82791049"/>
      <w:bookmarkStart w:id="541" w:name="_Toc82792360"/>
      <w:bookmarkStart w:id="542" w:name="_Toc83290742"/>
      <w:bookmarkStart w:id="543" w:name="_Toc83292751"/>
      <w:bookmarkStart w:id="544" w:name="_Toc83293522"/>
      <w:bookmarkEnd w:id="518"/>
      <w:r w:rsidRPr="006A74F8">
        <w:rPr>
          <w:rFonts w:eastAsia="Times New Roman"/>
          <w:lang w:eastAsia="en-AU"/>
        </w:rPr>
        <w:lastRenderedPageBreak/>
        <w:t xml:space="preserve">RIS Question 1: </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003647F6" w:rsidRPr="006A74F8">
        <w:t>What is the policy problem to be solved?</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rsidR="006718E6" w:rsidRPr="006A74F8" w:rsidRDefault="006718E6" w:rsidP="006718E6">
      <w:pPr>
        <w:pStyle w:val="Heading2"/>
      </w:pPr>
      <w:r w:rsidRPr="006A74F8">
        <w:t>Overview</w:t>
      </w:r>
    </w:p>
    <w:p w:rsidR="00B12406" w:rsidRPr="006A74F8" w:rsidRDefault="006E137F" w:rsidP="00FD7AC9">
      <w:pPr>
        <w:rPr>
          <w:rFonts w:cstheme="minorHAnsi"/>
        </w:rPr>
      </w:pPr>
      <w:r w:rsidRPr="006A74F8">
        <w:rPr>
          <w:rFonts w:cstheme="minorHAnsi"/>
        </w:rPr>
        <w:t>Australia’s measurement legislation has historically supported a str</w:t>
      </w:r>
      <w:r w:rsidR="0086357B" w:rsidRPr="006A74F8">
        <w:rPr>
          <w:rFonts w:cstheme="minorHAnsi"/>
        </w:rPr>
        <w:t xml:space="preserve">ong degree of confidence in the </w:t>
      </w:r>
      <w:r w:rsidRPr="006A74F8">
        <w:rPr>
          <w:rFonts w:cstheme="minorHAnsi"/>
        </w:rPr>
        <w:t>measurements made in Australia. Consultation undertaken during the Measurement Law Review identified support for key components of the current arrangements</w:t>
      </w:r>
      <w:r w:rsidR="00325EF3" w:rsidRPr="006A74F8">
        <w:rPr>
          <w:rFonts w:cstheme="minorHAnsi"/>
        </w:rPr>
        <w:t>, including:</w:t>
      </w:r>
      <w:r w:rsidR="00B12406" w:rsidRPr="006A74F8">
        <w:rPr>
          <w:rFonts w:cstheme="minorHAnsi"/>
        </w:rPr>
        <w:t xml:space="preserve"> </w:t>
      </w:r>
    </w:p>
    <w:p w:rsidR="00B12406" w:rsidRPr="006A74F8" w:rsidRDefault="00B12406" w:rsidP="00C812C5">
      <w:pPr>
        <w:pStyle w:val="ListParagraph"/>
        <w:numPr>
          <w:ilvl w:val="0"/>
          <w:numId w:val="26"/>
        </w:numPr>
        <w:rPr>
          <w:rFonts w:cstheme="minorHAnsi"/>
        </w:rPr>
      </w:pPr>
      <w:r w:rsidRPr="006A74F8">
        <w:rPr>
          <w:color w:val="000000"/>
          <w:shd w:val="clear" w:color="auto" w:fill="FFFFFF"/>
        </w:rPr>
        <w:t>legislative scope</w:t>
      </w:r>
    </w:p>
    <w:p w:rsidR="00B12406" w:rsidRPr="006A74F8" w:rsidRDefault="00B12406" w:rsidP="00C812C5">
      <w:pPr>
        <w:pStyle w:val="ListParagraph"/>
        <w:numPr>
          <w:ilvl w:val="0"/>
          <w:numId w:val="26"/>
        </w:numPr>
        <w:rPr>
          <w:rFonts w:cstheme="minorHAnsi"/>
        </w:rPr>
      </w:pPr>
      <w:r w:rsidRPr="006A74F8">
        <w:rPr>
          <w:color w:val="000000"/>
          <w:shd w:val="clear" w:color="auto" w:fill="FFFFFF"/>
        </w:rPr>
        <w:t>traceability</w:t>
      </w:r>
    </w:p>
    <w:p w:rsidR="00B12406" w:rsidRPr="006A74F8" w:rsidRDefault="00B12406" w:rsidP="00C812C5">
      <w:pPr>
        <w:pStyle w:val="ListParagraph"/>
        <w:numPr>
          <w:ilvl w:val="0"/>
          <w:numId w:val="26"/>
        </w:numPr>
        <w:rPr>
          <w:rFonts w:cstheme="minorHAnsi"/>
        </w:rPr>
      </w:pPr>
      <w:r w:rsidRPr="006A74F8">
        <w:rPr>
          <w:color w:val="000000"/>
          <w:shd w:val="clear" w:color="auto" w:fill="FFFFFF"/>
        </w:rPr>
        <w:t>measuring instruments</w:t>
      </w:r>
    </w:p>
    <w:p w:rsidR="00B12406" w:rsidRPr="006A74F8" w:rsidRDefault="00B12406" w:rsidP="00C812C5">
      <w:pPr>
        <w:pStyle w:val="ListParagraph"/>
        <w:numPr>
          <w:ilvl w:val="0"/>
          <w:numId w:val="26"/>
        </w:numPr>
        <w:rPr>
          <w:rFonts w:cstheme="minorHAnsi"/>
        </w:rPr>
      </w:pPr>
      <w:r w:rsidRPr="006A74F8">
        <w:rPr>
          <w:color w:val="000000"/>
          <w:shd w:val="clear" w:color="auto" w:fill="FFFFFF"/>
        </w:rPr>
        <w:t>measurement-based transactions</w:t>
      </w:r>
    </w:p>
    <w:p w:rsidR="00B12406" w:rsidRPr="006A74F8" w:rsidRDefault="00B12406" w:rsidP="00C812C5">
      <w:pPr>
        <w:pStyle w:val="ListParagraph"/>
        <w:numPr>
          <w:ilvl w:val="0"/>
          <w:numId w:val="26"/>
        </w:numPr>
        <w:rPr>
          <w:rFonts w:cstheme="minorHAnsi"/>
        </w:rPr>
      </w:pPr>
      <w:r w:rsidRPr="006A74F8">
        <w:rPr>
          <w:color w:val="000000"/>
          <w:shd w:val="clear" w:color="auto" w:fill="FFFFFF"/>
        </w:rPr>
        <w:t>third party arrangements</w:t>
      </w:r>
      <w:r w:rsidRPr="006A74F8">
        <w:rPr>
          <w:rFonts w:cstheme="minorHAnsi"/>
        </w:rPr>
        <w:t xml:space="preserve"> </w:t>
      </w:r>
    </w:p>
    <w:p w:rsidR="00B12406" w:rsidRPr="006A74F8" w:rsidRDefault="00B12406" w:rsidP="00C812C5">
      <w:pPr>
        <w:pStyle w:val="ListParagraph"/>
        <w:numPr>
          <w:ilvl w:val="0"/>
          <w:numId w:val="26"/>
        </w:numPr>
        <w:rPr>
          <w:rFonts w:cstheme="minorHAnsi"/>
        </w:rPr>
      </w:pPr>
      <w:r w:rsidRPr="006A74F8">
        <w:rPr>
          <w:color w:val="000000"/>
          <w:shd w:val="clear" w:color="auto" w:fill="FFFFFF"/>
        </w:rPr>
        <w:t>compliance and enforcement arrangements</w:t>
      </w:r>
    </w:p>
    <w:p w:rsidR="00512795" w:rsidRPr="006A74F8" w:rsidRDefault="00FE5FCA" w:rsidP="00FD7AC9">
      <w:pPr>
        <w:rPr>
          <w:rFonts w:cstheme="minorHAnsi"/>
        </w:rPr>
      </w:pPr>
      <w:r w:rsidRPr="006A74F8">
        <w:t>C</w:t>
      </w:r>
      <w:r w:rsidR="00686DCC" w:rsidRPr="006A74F8">
        <w:rPr>
          <w:rFonts w:cstheme="minorHAnsi"/>
        </w:rPr>
        <w:t xml:space="preserve">onsultation </w:t>
      </w:r>
      <w:r w:rsidR="00E1554E" w:rsidRPr="006A74F8">
        <w:rPr>
          <w:rFonts w:cstheme="minorHAnsi"/>
        </w:rPr>
        <w:t xml:space="preserve">and analysis </w:t>
      </w:r>
      <w:r w:rsidR="00512795" w:rsidRPr="006A74F8">
        <w:rPr>
          <w:rFonts w:cstheme="minorHAnsi"/>
        </w:rPr>
        <w:t>also</w:t>
      </w:r>
      <w:r w:rsidR="006E137F" w:rsidRPr="006A74F8">
        <w:rPr>
          <w:rFonts w:cstheme="minorHAnsi"/>
        </w:rPr>
        <w:t xml:space="preserve"> identified that the legislation has been overtaken by </w:t>
      </w:r>
      <w:r w:rsidR="00693161" w:rsidRPr="006A74F8">
        <w:rPr>
          <w:rFonts w:cstheme="minorHAnsi"/>
        </w:rPr>
        <w:t>new measurement technologies</w:t>
      </w:r>
      <w:r w:rsidR="001B279F" w:rsidRPr="006A74F8">
        <w:rPr>
          <w:rFonts w:cstheme="minorHAnsi"/>
        </w:rPr>
        <w:t>, evolving</w:t>
      </w:r>
      <w:r w:rsidR="006E137F" w:rsidRPr="006A74F8" w:rsidDel="00B12406">
        <w:rPr>
          <w:rFonts w:cstheme="minorHAnsi"/>
        </w:rPr>
        <w:t xml:space="preserve"> </w:t>
      </w:r>
      <w:r w:rsidR="006E137F" w:rsidRPr="006A74F8">
        <w:rPr>
          <w:rFonts w:cstheme="minorHAnsi"/>
        </w:rPr>
        <w:t>measurement methods and business practice</w:t>
      </w:r>
      <w:r w:rsidR="00C10246" w:rsidRPr="006A74F8">
        <w:rPr>
          <w:rFonts w:cstheme="minorHAnsi"/>
        </w:rPr>
        <w:t>s</w:t>
      </w:r>
      <w:r w:rsidR="00693161" w:rsidRPr="006A74F8">
        <w:rPr>
          <w:rFonts w:cstheme="minorHAnsi"/>
        </w:rPr>
        <w:t xml:space="preserve">, </w:t>
      </w:r>
      <w:r w:rsidR="001B279F" w:rsidRPr="006A74F8">
        <w:rPr>
          <w:rFonts w:cstheme="minorHAnsi"/>
        </w:rPr>
        <w:t xml:space="preserve">and </w:t>
      </w:r>
      <w:r w:rsidR="00693161" w:rsidRPr="006A74F8">
        <w:rPr>
          <w:rFonts w:cstheme="minorHAnsi"/>
        </w:rPr>
        <w:t>international developments</w:t>
      </w:r>
      <w:r w:rsidR="001B279F" w:rsidRPr="006A74F8">
        <w:rPr>
          <w:rFonts w:cstheme="minorHAnsi"/>
        </w:rPr>
        <w:t xml:space="preserve">. Australia’s approach to regulation has also matured, </w:t>
      </w:r>
      <w:r w:rsidR="00A019CA" w:rsidRPr="006A74F8">
        <w:rPr>
          <w:rFonts w:cstheme="minorHAnsi"/>
        </w:rPr>
        <w:t>requiring that it is only introduced where necessary</w:t>
      </w:r>
      <w:r w:rsidR="00790362" w:rsidRPr="006A74F8">
        <w:rPr>
          <w:rFonts w:cstheme="minorHAnsi"/>
        </w:rPr>
        <w:t xml:space="preserve"> and </w:t>
      </w:r>
      <w:r w:rsidR="001B279F" w:rsidRPr="006A74F8">
        <w:rPr>
          <w:rFonts w:cstheme="minorHAnsi"/>
        </w:rPr>
        <w:t>with least cost to</w:t>
      </w:r>
      <w:r w:rsidR="00A019CA" w:rsidRPr="006A74F8">
        <w:rPr>
          <w:rFonts w:cstheme="minorHAnsi"/>
        </w:rPr>
        <w:t xml:space="preserve"> business</w:t>
      </w:r>
      <w:r w:rsidR="001B279F" w:rsidRPr="006A74F8">
        <w:rPr>
          <w:rFonts w:cstheme="minorHAnsi"/>
        </w:rPr>
        <w:t>.</w:t>
      </w:r>
      <w:r w:rsidR="00BE087E" w:rsidRPr="006A74F8">
        <w:rPr>
          <w:rFonts w:cstheme="minorHAnsi"/>
        </w:rPr>
        <w:t xml:space="preserve"> </w:t>
      </w:r>
    </w:p>
    <w:p w:rsidR="00693161" w:rsidRPr="006A74F8" w:rsidRDefault="00512795" w:rsidP="00FD7AC9">
      <w:pPr>
        <w:rPr>
          <w:rFonts w:cstheme="minorHAnsi"/>
        </w:rPr>
      </w:pPr>
      <w:r w:rsidRPr="006A74F8">
        <w:rPr>
          <w:rFonts w:cstheme="minorHAnsi"/>
        </w:rPr>
        <w:t xml:space="preserve">These </w:t>
      </w:r>
      <w:r w:rsidR="00E1554E" w:rsidRPr="006A74F8">
        <w:rPr>
          <w:rFonts w:cstheme="minorHAnsi"/>
        </w:rPr>
        <w:t xml:space="preserve">findings are explored in this chapter through the following </w:t>
      </w:r>
      <w:r w:rsidR="00734851" w:rsidRPr="006A74F8">
        <w:rPr>
          <w:rFonts w:cstheme="minorHAnsi"/>
        </w:rPr>
        <w:t>6</w:t>
      </w:r>
      <w:r w:rsidR="00E1554E" w:rsidRPr="006A74F8">
        <w:rPr>
          <w:rFonts w:cstheme="minorHAnsi"/>
        </w:rPr>
        <w:t xml:space="preserve"> key issues</w:t>
      </w:r>
      <w:r w:rsidR="00BE087E" w:rsidRPr="006A74F8">
        <w:rPr>
          <w:rFonts w:cstheme="minorHAnsi"/>
        </w:rPr>
        <w:t>:</w:t>
      </w:r>
    </w:p>
    <w:p w:rsidR="00BE087E" w:rsidRPr="006A74F8" w:rsidRDefault="00BE087E" w:rsidP="00C812C5">
      <w:pPr>
        <w:pStyle w:val="ListParagraph"/>
        <w:numPr>
          <w:ilvl w:val="0"/>
          <w:numId w:val="61"/>
        </w:numPr>
        <w:rPr>
          <w:rFonts w:cstheme="minorHAnsi"/>
        </w:rPr>
      </w:pPr>
      <w:r w:rsidRPr="006A74F8">
        <w:rPr>
          <w:rFonts w:cstheme="minorHAnsi"/>
        </w:rPr>
        <w:t>Emerging measuring instrument technologies require a new approach</w:t>
      </w:r>
      <w:r w:rsidR="009B28B1" w:rsidRPr="006A74F8">
        <w:rPr>
          <w:rFonts w:cstheme="minorHAnsi"/>
        </w:rPr>
        <w:t>.</w:t>
      </w:r>
    </w:p>
    <w:p w:rsidR="00BE087E" w:rsidRPr="006A74F8" w:rsidRDefault="000003F4" w:rsidP="00C812C5">
      <w:pPr>
        <w:pStyle w:val="ListParagraph"/>
        <w:numPr>
          <w:ilvl w:val="0"/>
          <w:numId w:val="61"/>
        </w:numPr>
        <w:rPr>
          <w:rFonts w:cstheme="minorHAnsi"/>
        </w:rPr>
      </w:pPr>
      <w:r w:rsidRPr="006A74F8">
        <w:rPr>
          <w:rFonts w:cstheme="minorHAnsi"/>
        </w:rPr>
        <w:t>The i</w:t>
      </w:r>
      <w:r w:rsidR="00BE087E" w:rsidRPr="006A74F8">
        <w:rPr>
          <w:rFonts w:cstheme="minorHAnsi"/>
        </w:rPr>
        <w:t>nternational me</w:t>
      </w:r>
      <w:r w:rsidRPr="006A74F8">
        <w:rPr>
          <w:rFonts w:cstheme="minorHAnsi"/>
        </w:rPr>
        <w:t>asurement system</w:t>
      </w:r>
      <w:r w:rsidR="00BE087E" w:rsidRPr="006A74F8">
        <w:rPr>
          <w:rFonts w:cstheme="minorHAnsi"/>
        </w:rPr>
        <w:t xml:space="preserve"> is evolving and creating new ways to recognise legal measurements</w:t>
      </w:r>
      <w:r w:rsidR="009B28B1" w:rsidRPr="006A74F8">
        <w:rPr>
          <w:rFonts w:cstheme="minorHAnsi"/>
        </w:rPr>
        <w:t>.</w:t>
      </w:r>
    </w:p>
    <w:p w:rsidR="00BE087E" w:rsidRPr="006A74F8" w:rsidRDefault="00BE087E" w:rsidP="00C812C5">
      <w:pPr>
        <w:pStyle w:val="ListParagraph"/>
        <w:numPr>
          <w:ilvl w:val="0"/>
          <w:numId w:val="61"/>
        </w:numPr>
        <w:rPr>
          <w:rFonts w:cstheme="minorHAnsi"/>
        </w:rPr>
      </w:pPr>
      <w:r w:rsidRPr="006A74F8">
        <w:rPr>
          <w:rFonts w:cstheme="minorHAnsi"/>
        </w:rPr>
        <w:t xml:space="preserve">Industry has identified some prescriptive requirements as burdensome </w:t>
      </w:r>
      <w:r w:rsidR="004814C2" w:rsidRPr="006A74F8">
        <w:rPr>
          <w:rFonts w:cstheme="minorHAnsi"/>
        </w:rPr>
        <w:t>and</w:t>
      </w:r>
      <w:r w:rsidRPr="006A74F8">
        <w:rPr>
          <w:rFonts w:cstheme="minorHAnsi"/>
        </w:rPr>
        <w:t xml:space="preserve"> unnecessary</w:t>
      </w:r>
      <w:r w:rsidR="009B28B1" w:rsidRPr="006A74F8">
        <w:rPr>
          <w:rFonts w:cstheme="minorHAnsi"/>
        </w:rPr>
        <w:t>.</w:t>
      </w:r>
    </w:p>
    <w:p w:rsidR="00BE087E" w:rsidRPr="006A74F8" w:rsidRDefault="00BE087E" w:rsidP="00C812C5">
      <w:pPr>
        <w:pStyle w:val="ListParagraph"/>
        <w:numPr>
          <w:ilvl w:val="0"/>
          <w:numId w:val="61"/>
        </w:numPr>
        <w:rPr>
          <w:rFonts w:cstheme="minorHAnsi"/>
        </w:rPr>
      </w:pPr>
      <w:r w:rsidRPr="006A74F8">
        <w:rPr>
          <w:rFonts w:cstheme="minorHAnsi"/>
        </w:rPr>
        <w:t xml:space="preserve">Australia’s trading environment </w:t>
      </w:r>
      <w:r w:rsidR="004814C2" w:rsidRPr="006A74F8">
        <w:rPr>
          <w:rFonts w:cstheme="minorHAnsi"/>
        </w:rPr>
        <w:t>and</w:t>
      </w:r>
      <w:r w:rsidRPr="006A74F8">
        <w:rPr>
          <w:rFonts w:cstheme="minorHAnsi"/>
        </w:rPr>
        <w:t xml:space="preserve"> economy </w:t>
      </w:r>
      <w:r w:rsidR="00C10246" w:rsidRPr="006A74F8">
        <w:rPr>
          <w:rFonts w:cstheme="minorHAnsi"/>
        </w:rPr>
        <w:t xml:space="preserve">have </w:t>
      </w:r>
      <w:r w:rsidRPr="006A74F8">
        <w:rPr>
          <w:rFonts w:cstheme="minorHAnsi"/>
        </w:rPr>
        <w:t>matured significantly since 1960</w:t>
      </w:r>
      <w:r w:rsidR="009B28B1" w:rsidRPr="006A74F8">
        <w:rPr>
          <w:rFonts w:cstheme="minorHAnsi"/>
        </w:rPr>
        <w:t>.</w:t>
      </w:r>
    </w:p>
    <w:p w:rsidR="00BE087E" w:rsidRPr="006A74F8" w:rsidRDefault="00BE087E" w:rsidP="00C812C5">
      <w:pPr>
        <w:pStyle w:val="ListParagraph"/>
        <w:numPr>
          <w:ilvl w:val="0"/>
          <w:numId w:val="61"/>
        </w:numPr>
        <w:rPr>
          <w:rFonts w:cstheme="minorHAnsi"/>
        </w:rPr>
      </w:pPr>
      <w:r w:rsidRPr="006A74F8">
        <w:rPr>
          <w:rFonts w:cstheme="minorHAnsi"/>
        </w:rPr>
        <w:t xml:space="preserve">Exemptions need to be </w:t>
      </w:r>
      <w:r w:rsidR="00B1023A" w:rsidRPr="006A74F8">
        <w:rPr>
          <w:rFonts w:cstheme="minorHAnsi"/>
        </w:rPr>
        <w:t xml:space="preserve">reviewed and </w:t>
      </w:r>
      <w:r w:rsidRPr="006A74F8">
        <w:rPr>
          <w:rFonts w:cstheme="minorHAnsi"/>
        </w:rPr>
        <w:t>more flexible</w:t>
      </w:r>
      <w:r w:rsidR="009B28B1" w:rsidRPr="006A74F8">
        <w:rPr>
          <w:rFonts w:cstheme="minorHAnsi"/>
        </w:rPr>
        <w:t>.</w:t>
      </w:r>
    </w:p>
    <w:p w:rsidR="00BE087E" w:rsidRPr="006A74F8" w:rsidRDefault="00BE087E" w:rsidP="00C812C5">
      <w:pPr>
        <w:pStyle w:val="ListParagraph"/>
        <w:numPr>
          <w:ilvl w:val="0"/>
          <w:numId w:val="61"/>
        </w:numPr>
        <w:rPr>
          <w:rFonts w:cstheme="minorHAnsi"/>
        </w:rPr>
      </w:pPr>
      <w:r w:rsidRPr="006A74F8">
        <w:rPr>
          <w:rFonts w:cstheme="minorHAnsi"/>
        </w:rPr>
        <w:t>Compliance and enforcement mechanisms are limited</w:t>
      </w:r>
      <w:r w:rsidR="009B28B1" w:rsidRPr="006A74F8">
        <w:rPr>
          <w:rFonts w:cstheme="minorHAnsi"/>
        </w:rPr>
        <w:t>.</w:t>
      </w:r>
    </w:p>
    <w:p w:rsidR="006E137F" w:rsidRPr="006A74F8" w:rsidRDefault="000A3ACD" w:rsidP="00FD7AC9">
      <w:pPr>
        <w:pStyle w:val="Heading2"/>
      </w:pPr>
      <w:bookmarkStart w:id="545" w:name="_Toc64895609"/>
      <w:bookmarkStart w:id="546" w:name="_Toc64892963"/>
      <w:bookmarkStart w:id="547" w:name="_Toc64640224"/>
      <w:bookmarkStart w:id="548" w:name="_Toc64558437"/>
      <w:bookmarkStart w:id="549" w:name="_Toc64557457"/>
      <w:bookmarkStart w:id="550" w:name="_Toc64562182"/>
      <w:bookmarkStart w:id="551" w:name="_Toc64562438"/>
      <w:bookmarkStart w:id="552" w:name="_Toc64647142"/>
      <w:bookmarkStart w:id="553" w:name="_Toc64903082"/>
      <w:bookmarkStart w:id="554" w:name="_Toc64963977"/>
      <w:bookmarkStart w:id="555" w:name="_Toc65149650"/>
      <w:bookmarkStart w:id="556" w:name="_Toc65163427"/>
      <w:bookmarkStart w:id="557" w:name="_Toc65491066"/>
      <w:bookmarkStart w:id="558" w:name="_Toc65504802"/>
      <w:bookmarkStart w:id="559" w:name="_Toc65757885"/>
      <w:bookmarkStart w:id="560" w:name="_Toc65769480"/>
      <w:bookmarkStart w:id="561" w:name="_Toc65766848"/>
      <w:bookmarkStart w:id="562" w:name="_Toc65772622"/>
      <w:bookmarkStart w:id="563" w:name="_Toc66435679"/>
      <w:bookmarkStart w:id="564" w:name="_Toc66436468"/>
      <w:bookmarkStart w:id="565" w:name="_Toc66437679"/>
      <w:bookmarkStart w:id="566" w:name="_Toc66440018"/>
      <w:bookmarkStart w:id="567" w:name="_Toc66442221"/>
      <w:bookmarkStart w:id="568" w:name="_Toc66451890"/>
      <w:bookmarkStart w:id="569" w:name="_Toc66459167"/>
      <w:bookmarkStart w:id="570" w:name="_Toc66460221"/>
      <w:bookmarkStart w:id="571" w:name="_Toc67305375"/>
      <w:bookmarkStart w:id="572" w:name="_Toc67306288"/>
      <w:bookmarkStart w:id="573" w:name="_Toc67306740"/>
      <w:bookmarkStart w:id="574" w:name="_Toc67313590"/>
      <w:bookmarkStart w:id="575" w:name="_Toc67320783"/>
      <w:bookmarkStart w:id="576" w:name="_Toc67321936"/>
      <w:bookmarkStart w:id="577" w:name="_Toc67324401"/>
      <w:bookmarkStart w:id="578" w:name="_Toc67326562"/>
      <w:r w:rsidRPr="006A74F8">
        <w:t>E</w:t>
      </w:r>
      <w:r w:rsidR="006E137F" w:rsidRPr="006A74F8">
        <w:t>merging</w:t>
      </w:r>
      <w:bookmarkStart w:id="579" w:name="_Toc64641200"/>
      <w:bookmarkStart w:id="580" w:name="_Toc64888308"/>
      <w:bookmarkStart w:id="581" w:name="_Toc64888688"/>
      <w:bookmarkStart w:id="582" w:name="_Toc64900816"/>
      <w:bookmarkStart w:id="583" w:name="_Toc64904021"/>
      <w:bookmarkStart w:id="584" w:name="_Toc64904243"/>
      <w:bookmarkStart w:id="585" w:name="_Toc64904686"/>
      <w:bookmarkStart w:id="586" w:name="_Toc64905200"/>
      <w:bookmarkStart w:id="587" w:name="_Toc64974575"/>
      <w:bookmarkStart w:id="588" w:name="_Toc64976276"/>
      <w:bookmarkStart w:id="589" w:name="_Toc58418821"/>
      <w:r w:rsidR="006E137F" w:rsidRPr="006A74F8">
        <w:t xml:space="preserve"> measuring instrument technologies</w:t>
      </w:r>
      <w:bookmarkEnd w:id="545"/>
      <w:r w:rsidR="006E137F" w:rsidRPr="006A74F8">
        <w:t xml:space="preserve"> </w:t>
      </w:r>
      <w:bookmarkEnd w:id="546"/>
      <w:r w:rsidR="00077B43" w:rsidRPr="006A74F8">
        <w:t>require</w:t>
      </w:r>
      <w:bookmarkEnd w:id="547"/>
      <w:r w:rsidRPr="006A74F8">
        <w:t xml:space="preserve"> a new approach</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sidR="006E137F" w:rsidRPr="006A74F8">
        <w:t xml:space="preserve"> </w:t>
      </w:r>
    </w:p>
    <w:p w:rsidR="006E137F" w:rsidRPr="006A74F8" w:rsidRDefault="006E137F" w:rsidP="00FD7AC9">
      <w:pPr>
        <w:rPr>
          <w:rFonts w:cstheme="minorHAnsi"/>
        </w:rPr>
      </w:pPr>
      <w:r w:rsidRPr="006A74F8">
        <w:t xml:space="preserve">Feedback from stakeholders provided strong </w:t>
      </w:r>
      <w:r w:rsidRPr="006A74F8">
        <w:rPr>
          <w:rFonts w:cstheme="minorHAnsi"/>
        </w:rPr>
        <w:t xml:space="preserve">indication that the current legislation is not sufficiently able to respond to and support uptake of new and </w:t>
      </w:r>
      <w:r w:rsidR="008B3C9E" w:rsidRPr="006A74F8">
        <w:rPr>
          <w:rFonts w:cstheme="minorHAnsi"/>
        </w:rPr>
        <w:t>innovative measuring instruments</w:t>
      </w:r>
      <w:r w:rsidR="0002607D" w:rsidRPr="006A74F8">
        <w:rPr>
          <w:rFonts w:cstheme="minorHAnsi"/>
        </w:rPr>
        <w:t>.</w:t>
      </w:r>
      <w:r w:rsidR="008B3C9E" w:rsidRPr="006A74F8">
        <w:rPr>
          <w:rStyle w:val="FootnoteReference"/>
          <w:rFonts w:cstheme="minorHAnsi"/>
        </w:rPr>
        <w:footnoteReference w:id="10"/>
      </w:r>
      <w:r w:rsidRPr="006A74F8">
        <w:rPr>
          <w:rFonts w:cstheme="minorHAnsi"/>
        </w:rPr>
        <w:t xml:space="preserve"> </w:t>
      </w:r>
    </w:p>
    <w:p w:rsidR="006E137F" w:rsidRPr="006A74F8" w:rsidRDefault="006E137F" w:rsidP="00FE45E6">
      <w:pPr>
        <w:rPr>
          <w:rFonts w:cstheme="minorHAnsi"/>
        </w:rPr>
      </w:pPr>
      <w:r w:rsidRPr="006A74F8">
        <w:lastRenderedPageBreak/>
        <w:t>A key example cited is the current way that instruments are approved for trade use</w:t>
      </w:r>
      <w:r w:rsidR="00D67090" w:rsidRPr="006A74F8">
        <w:t>,</w:t>
      </w:r>
      <w:r w:rsidR="00686DCC" w:rsidRPr="006A74F8">
        <w:rPr>
          <w:rStyle w:val="FootnoteReference"/>
          <w:rFonts w:cstheme="minorHAnsi"/>
        </w:rPr>
        <w:footnoteReference w:id="11"/>
      </w:r>
      <w:r w:rsidRPr="006A74F8">
        <w:rPr>
          <w:rFonts w:cstheme="minorHAnsi"/>
        </w:rPr>
        <w:t xml:space="preserve"> with pattern approval</w:t>
      </w:r>
      <w:r w:rsidRPr="006A74F8">
        <w:rPr>
          <w:rStyle w:val="FootnoteReference"/>
          <w:rFonts w:cstheme="minorHAnsi"/>
        </w:rPr>
        <w:footnoteReference w:id="12"/>
      </w:r>
      <w:r w:rsidRPr="006A74F8">
        <w:rPr>
          <w:rFonts w:cstheme="minorHAnsi"/>
        </w:rPr>
        <w:t xml:space="preserve"> and verification</w:t>
      </w:r>
      <w:r w:rsidR="00FE45E6" w:rsidRPr="006A74F8">
        <w:rPr>
          <w:rStyle w:val="FootnoteReference"/>
        </w:rPr>
        <w:footnoteReference w:id="13"/>
      </w:r>
      <w:r w:rsidR="00FE45E6" w:rsidRPr="006A74F8">
        <w:t xml:space="preserve"> </w:t>
      </w:r>
      <w:r w:rsidRPr="006A74F8">
        <w:rPr>
          <w:rFonts w:cstheme="minorHAnsi"/>
        </w:rPr>
        <w:t xml:space="preserve">required prior to first use </w:t>
      </w:r>
      <w:r w:rsidR="00D4547B" w:rsidRPr="006A74F8">
        <w:rPr>
          <w:rFonts w:cstheme="minorHAnsi"/>
        </w:rPr>
        <w:t xml:space="preserve">in the marketplace </w:t>
      </w:r>
      <w:r w:rsidRPr="006A74F8">
        <w:rPr>
          <w:rFonts w:cstheme="minorHAnsi"/>
        </w:rPr>
        <w:t xml:space="preserve">and limited checking of instruments </w:t>
      </w:r>
      <w:r w:rsidR="00533B94" w:rsidRPr="006A74F8">
        <w:rPr>
          <w:rFonts w:cstheme="minorHAnsi"/>
        </w:rPr>
        <w:t xml:space="preserve">when </w:t>
      </w:r>
      <w:r w:rsidRPr="006A74F8">
        <w:rPr>
          <w:rFonts w:cstheme="minorHAnsi"/>
        </w:rPr>
        <w:t xml:space="preserve">in service. </w:t>
      </w:r>
    </w:p>
    <w:p w:rsidR="006E137F" w:rsidRPr="006A74F8" w:rsidRDefault="006E137F" w:rsidP="00FD7AC9">
      <w:pPr>
        <w:rPr>
          <w:rFonts w:cstheme="minorHAnsi"/>
        </w:rPr>
      </w:pPr>
      <w:r w:rsidRPr="006A74F8">
        <w:t>An increasing range of novel and complex instruments are being developed which are not well suited to the current design approval process, including where</w:t>
      </w:r>
      <w:r w:rsidR="00533B94" w:rsidRPr="006A74F8">
        <w:rPr>
          <w:rFonts w:cstheme="minorHAnsi"/>
        </w:rPr>
        <w:t xml:space="preserve"> instruments</w:t>
      </w:r>
      <w:r w:rsidR="00D4547B" w:rsidRPr="006A74F8">
        <w:rPr>
          <w:rFonts w:cstheme="minorHAnsi"/>
        </w:rPr>
        <w:t xml:space="preserve"> include any of the following</w:t>
      </w:r>
      <w:r w:rsidRPr="006A74F8">
        <w:rPr>
          <w:rFonts w:cstheme="minorHAnsi"/>
        </w:rPr>
        <w:t>:</w:t>
      </w:r>
    </w:p>
    <w:p w:rsidR="006E137F" w:rsidRPr="006A74F8" w:rsidRDefault="00533B94" w:rsidP="00C812C5">
      <w:pPr>
        <w:pStyle w:val="ListParagraph"/>
        <w:numPr>
          <w:ilvl w:val="0"/>
          <w:numId w:val="26"/>
        </w:numPr>
        <w:rPr>
          <w:rFonts w:cstheme="minorHAnsi"/>
        </w:rPr>
      </w:pPr>
      <w:r w:rsidRPr="006A74F8">
        <w:rPr>
          <w:color w:val="000000"/>
          <w:shd w:val="clear" w:color="auto" w:fill="FFFFFF"/>
        </w:rPr>
        <w:t>embedded</w:t>
      </w:r>
      <w:r w:rsidR="006E137F" w:rsidRPr="006A74F8">
        <w:rPr>
          <w:rFonts w:cstheme="minorHAnsi"/>
        </w:rPr>
        <w:t xml:space="preserve"> machine learning or artificial intell</w:t>
      </w:r>
      <w:r w:rsidR="00D4547B" w:rsidRPr="006A74F8">
        <w:rPr>
          <w:rFonts w:cstheme="minorHAnsi"/>
        </w:rPr>
        <w:t>igence to self-adjust over time</w:t>
      </w:r>
    </w:p>
    <w:p w:rsidR="006E137F" w:rsidRPr="006A74F8" w:rsidRDefault="006E137F" w:rsidP="00C812C5">
      <w:pPr>
        <w:pStyle w:val="ListParagraph"/>
        <w:numPr>
          <w:ilvl w:val="0"/>
          <w:numId w:val="26"/>
        </w:numPr>
        <w:rPr>
          <w:rFonts w:cstheme="minorHAnsi"/>
        </w:rPr>
      </w:pPr>
      <w:r w:rsidRPr="006A74F8">
        <w:rPr>
          <w:rFonts w:cstheme="minorHAnsi"/>
        </w:rPr>
        <w:t>complex and integrated system designs, whereby the measurement process occurs across multiple devices and platforms</w:t>
      </w:r>
      <w:r w:rsidR="008339DC" w:rsidRPr="006A74F8">
        <w:rPr>
          <w:rFonts w:cstheme="minorHAnsi"/>
        </w:rPr>
        <w:t>,</w:t>
      </w:r>
      <w:r w:rsidRPr="006A74F8">
        <w:rPr>
          <w:rFonts w:cstheme="minorHAnsi"/>
        </w:rPr>
        <w:t xml:space="preserve"> and potentiall</w:t>
      </w:r>
      <w:r w:rsidR="00AC311C" w:rsidRPr="006A74F8">
        <w:rPr>
          <w:rFonts w:cstheme="minorHAnsi"/>
        </w:rPr>
        <w:t>y</w:t>
      </w:r>
      <w:r w:rsidR="00D4547B" w:rsidRPr="006A74F8">
        <w:rPr>
          <w:rFonts w:cstheme="minorHAnsi"/>
        </w:rPr>
        <w:t xml:space="preserve"> across multiple jurisdictions</w:t>
      </w:r>
      <w:r w:rsidR="00B1023A" w:rsidRPr="006A74F8">
        <w:rPr>
          <w:rFonts w:cstheme="minorHAnsi"/>
        </w:rPr>
        <w:t xml:space="preserve"> and economies</w:t>
      </w:r>
    </w:p>
    <w:p w:rsidR="00AC311C" w:rsidRPr="006A74F8" w:rsidRDefault="00AC311C" w:rsidP="00C812C5">
      <w:pPr>
        <w:pStyle w:val="ListParagraph"/>
        <w:numPr>
          <w:ilvl w:val="0"/>
          <w:numId w:val="26"/>
        </w:numPr>
        <w:rPr>
          <w:rFonts w:cstheme="minorHAnsi"/>
        </w:rPr>
      </w:pPr>
      <w:r w:rsidRPr="006A74F8">
        <w:rPr>
          <w:color w:val="000000"/>
          <w:shd w:val="clear" w:color="auto" w:fill="FFFFFF"/>
        </w:rPr>
        <w:t>digital or other proprietary designs that obscure the underlying measurement processes.</w:t>
      </w:r>
    </w:p>
    <w:p w:rsidR="006E137F" w:rsidRPr="006A74F8" w:rsidRDefault="006E137F" w:rsidP="00FD7AC9">
      <w:pPr>
        <w:rPr>
          <w:rFonts w:cstheme="minorHAnsi"/>
        </w:rPr>
      </w:pPr>
      <w:r w:rsidRPr="006A74F8">
        <w:t xml:space="preserve">In order to appropriately meet these challenges, greater flexibility is required in the legislation to provide alternative assurance arrangements. This will enable the risk associated with </w:t>
      </w:r>
      <w:r w:rsidR="008B3C9E" w:rsidRPr="006A74F8">
        <w:rPr>
          <w:rFonts w:cstheme="minorHAnsi"/>
        </w:rPr>
        <w:t>new</w:t>
      </w:r>
      <w:r w:rsidRPr="006A74F8">
        <w:rPr>
          <w:rFonts w:cstheme="minorHAnsi"/>
        </w:rPr>
        <w:t xml:space="preserve"> and </w:t>
      </w:r>
      <w:r w:rsidR="008B3C9E" w:rsidRPr="006A74F8">
        <w:rPr>
          <w:rFonts w:cstheme="minorHAnsi"/>
        </w:rPr>
        <w:t>innovative</w:t>
      </w:r>
      <w:r w:rsidRPr="006A74F8">
        <w:rPr>
          <w:rFonts w:cstheme="minorHAnsi"/>
        </w:rPr>
        <w:t xml:space="preserve"> measuring instruments to be appropriately managed. This flexibility would also </w:t>
      </w:r>
      <w:r w:rsidR="00533B94" w:rsidRPr="006A74F8">
        <w:rPr>
          <w:rFonts w:cstheme="minorHAnsi"/>
        </w:rPr>
        <w:t>facilitate</w:t>
      </w:r>
      <w:r w:rsidRPr="006A74F8">
        <w:rPr>
          <w:rFonts w:cstheme="minorHAnsi"/>
        </w:rPr>
        <w:t xml:space="preserve"> lower regulatory burden for lower risk measuring instruments</w:t>
      </w:r>
      <w:r w:rsidR="004E23EE" w:rsidRPr="006A74F8">
        <w:rPr>
          <w:rFonts w:cstheme="minorHAnsi"/>
        </w:rPr>
        <w:t xml:space="preserve">, including where </w:t>
      </w:r>
      <w:r w:rsidR="003672B2" w:rsidRPr="006A74F8">
        <w:rPr>
          <w:rFonts w:cstheme="minorHAnsi"/>
        </w:rPr>
        <w:t xml:space="preserve">either </w:t>
      </w:r>
      <w:r w:rsidR="004E23EE" w:rsidRPr="006A74F8">
        <w:rPr>
          <w:rFonts w:cstheme="minorHAnsi"/>
        </w:rPr>
        <w:t xml:space="preserve">an instrument itself or the way that </w:t>
      </w:r>
      <w:r w:rsidR="00E361E4" w:rsidRPr="006A74F8">
        <w:rPr>
          <w:rFonts w:cstheme="minorHAnsi"/>
        </w:rPr>
        <w:t xml:space="preserve">an </w:t>
      </w:r>
      <w:r w:rsidR="004E23EE" w:rsidRPr="006A74F8">
        <w:rPr>
          <w:rFonts w:cstheme="minorHAnsi"/>
        </w:rPr>
        <w:t xml:space="preserve">instrument </w:t>
      </w:r>
      <w:r w:rsidR="003672B2" w:rsidRPr="006A74F8">
        <w:rPr>
          <w:rFonts w:cstheme="minorHAnsi"/>
        </w:rPr>
        <w:t>is</w:t>
      </w:r>
      <w:r w:rsidR="004E23EE" w:rsidRPr="006A74F8">
        <w:rPr>
          <w:rFonts w:cstheme="minorHAnsi"/>
        </w:rPr>
        <w:t xml:space="preserve"> used </w:t>
      </w:r>
      <w:r w:rsidR="003672B2" w:rsidRPr="006A74F8">
        <w:rPr>
          <w:rFonts w:cstheme="minorHAnsi"/>
        </w:rPr>
        <w:t>carries</w:t>
      </w:r>
      <w:r w:rsidR="004E23EE" w:rsidRPr="006A74F8">
        <w:rPr>
          <w:rFonts w:cstheme="minorHAnsi"/>
        </w:rPr>
        <w:t xml:space="preserve"> lower risk</w:t>
      </w:r>
      <w:r w:rsidRPr="006A74F8">
        <w:rPr>
          <w:rFonts w:cstheme="minorHAnsi"/>
        </w:rPr>
        <w:t xml:space="preserve">. </w:t>
      </w:r>
    </w:p>
    <w:p w:rsidR="006E137F" w:rsidRPr="006A74F8" w:rsidRDefault="006E137F" w:rsidP="00FD7AC9">
      <w:pPr>
        <w:rPr>
          <w:rFonts w:eastAsia="Times New Roman" w:cstheme="minorHAnsi"/>
          <w:color w:val="000000" w:themeColor="text1"/>
          <w:lang w:eastAsia="en-AU"/>
        </w:rPr>
      </w:pPr>
      <w:r w:rsidRPr="006A74F8">
        <w:t xml:space="preserve">While it would be possible to update the </w:t>
      </w:r>
      <w:r w:rsidR="00AC311C" w:rsidRPr="006A74F8">
        <w:rPr>
          <w:rFonts w:cstheme="minorHAnsi"/>
        </w:rPr>
        <w:t xml:space="preserve">primary </w:t>
      </w:r>
      <w:r w:rsidRPr="006A74F8">
        <w:rPr>
          <w:rFonts w:cstheme="minorHAnsi"/>
        </w:rPr>
        <w:t xml:space="preserve">legislation to reflect current measurement technologies, </w:t>
      </w:r>
      <w:r w:rsidRPr="006A74F8">
        <w:rPr>
          <w:rFonts w:eastAsia="Times New Roman" w:cstheme="minorHAnsi"/>
          <w:color w:val="000000" w:themeColor="text1"/>
          <w:lang w:eastAsia="en-AU"/>
        </w:rPr>
        <w:t xml:space="preserve">a more flexible </w:t>
      </w:r>
      <w:r w:rsidR="00FB28CD" w:rsidRPr="006A74F8">
        <w:rPr>
          <w:rFonts w:eastAsia="Times New Roman" w:cstheme="minorHAnsi"/>
          <w:color w:val="000000" w:themeColor="text1"/>
          <w:lang w:eastAsia="en-AU"/>
        </w:rPr>
        <w:t xml:space="preserve">legislative </w:t>
      </w:r>
      <w:r w:rsidRPr="006A74F8">
        <w:rPr>
          <w:rFonts w:eastAsia="Times New Roman" w:cstheme="minorHAnsi"/>
          <w:color w:val="000000" w:themeColor="text1"/>
          <w:lang w:eastAsia="en-AU"/>
        </w:rPr>
        <w:t xml:space="preserve">framework </w:t>
      </w:r>
      <w:r w:rsidR="00642218" w:rsidRPr="006A74F8">
        <w:rPr>
          <w:rFonts w:eastAsia="Times New Roman" w:cstheme="minorHAnsi"/>
          <w:color w:val="000000" w:themeColor="text1"/>
          <w:lang w:eastAsia="en-AU"/>
        </w:rPr>
        <w:t>would avoid</w:t>
      </w:r>
      <w:r w:rsidRPr="006A74F8">
        <w:rPr>
          <w:rFonts w:eastAsia="Times New Roman" w:cstheme="minorHAnsi"/>
          <w:color w:val="000000" w:themeColor="text1"/>
          <w:lang w:eastAsia="en-AU"/>
        </w:rPr>
        <w:t xml:space="preserve"> the need for continued amendment</w:t>
      </w:r>
      <w:r w:rsidR="003672B2" w:rsidRPr="006A74F8">
        <w:rPr>
          <w:rFonts w:eastAsia="Times New Roman" w:cstheme="minorHAnsi"/>
          <w:color w:val="000000" w:themeColor="text1"/>
          <w:lang w:eastAsia="en-AU"/>
        </w:rPr>
        <w:t>s</w:t>
      </w:r>
      <w:r w:rsidR="00533B94" w:rsidRPr="006A74F8">
        <w:rPr>
          <w:rFonts w:eastAsia="Times New Roman" w:cstheme="minorHAnsi"/>
          <w:color w:val="000000" w:themeColor="text1"/>
          <w:lang w:eastAsia="en-AU"/>
        </w:rPr>
        <w:t>,</w:t>
      </w:r>
      <w:r w:rsidRPr="006A74F8">
        <w:rPr>
          <w:rFonts w:eastAsia="Times New Roman" w:cstheme="minorHAnsi"/>
          <w:color w:val="000000" w:themeColor="text1"/>
          <w:lang w:eastAsia="en-AU"/>
        </w:rPr>
        <w:t xml:space="preserve"> future</w:t>
      </w:r>
      <w:r w:rsidR="00533B94" w:rsidRPr="006A74F8">
        <w:rPr>
          <w:rFonts w:eastAsia="Times New Roman" w:cstheme="minorHAnsi"/>
          <w:color w:val="000000" w:themeColor="text1"/>
          <w:lang w:eastAsia="en-AU"/>
        </w:rPr>
        <w:t>-proofing it to accommodate</w:t>
      </w:r>
      <w:r w:rsidRPr="006A74F8">
        <w:rPr>
          <w:rFonts w:eastAsia="Times New Roman" w:cstheme="minorHAnsi"/>
          <w:color w:val="000000" w:themeColor="text1"/>
          <w:lang w:eastAsia="en-AU"/>
        </w:rPr>
        <w:t xml:space="preserve"> </w:t>
      </w:r>
      <w:r w:rsidR="003672B2" w:rsidRPr="006A74F8">
        <w:rPr>
          <w:rFonts w:eastAsia="Times New Roman" w:cstheme="minorHAnsi"/>
          <w:color w:val="000000" w:themeColor="text1"/>
          <w:lang w:eastAsia="en-AU"/>
        </w:rPr>
        <w:t xml:space="preserve">ongoing </w:t>
      </w:r>
      <w:r w:rsidRPr="006A74F8">
        <w:rPr>
          <w:rFonts w:eastAsia="Times New Roman" w:cstheme="minorHAnsi"/>
          <w:color w:val="000000" w:themeColor="text1"/>
          <w:lang w:eastAsia="en-AU"/>
        </w:rPr>
        <w:t>advance</w:t>
      </w:r>
      <w:r w:rsidR="00533B94" w:rsidRPr="006A74F8">
        <w:rPr>
          <w:rFonts w:eastAsia="Times New Roman" w:cstheme="minorHAnsi"/>
          <w:color w:val="000000" w:themeColor="text1"/>
          <w:lang w:eastAsia="en-AU"/>
        </w:rPr>
        <w:t>s</w:t>
      </w:r>
      <w:r w:rsidRPr="006A74F8">
        <w:rPr>
          <w:rFonts w:eastAsia="Times New Roman" w:cstheme="minorHAnsi"/>
          <w:color w:val="000000" w:themeColor="text1"/>
          <w:lang w:eastAsia="en-AU"/>
        </w:rPr>
        <w:t xml:space="preserve"> in measureme</w:t>
      </w:r>
      <w:r w:rsidR="00D4547B" w:rsidRPr="006A74F8">
        <w:rPr>
          <w:rFonts w:eastAsia="Times New Roman" w:cstheme="minorHAnsi"/>
          <w:color w:val="000000" w:themeColor="text1"/>
          <w:lang w:eastAsia="en-AU"/>
        </w:rPr>
        <w:t>nt and instrument technologies.</w:t>
      </w:r>
    </w:p>
    <w:p w:rsidR="00437AE6" w:rsidRPr="006A74F8" w:rsidRDefault="003672B2" w:rsidP="00FD7AC9">
      <w:pPr>
        <w:pStyle w:val="Heading2"/>
      </w:pPr>
      <w:bookmarkStart w:id="590" w:name="_The_international_measurement"/>
      <w:bookmarkStart w:id="591" w:name="_Toc64900817"/>
      <w:bookmarkStart w:id="592" w:name="_Toc64903083"/>
      <w:bookmarkStart w:id="593" w:name="_Toc64904022"/>
      <w:bookmarkStart w:id="594" w:name="_Toc64904244"/>
      <w:bookmarkStart w:id="595" w:name="_Toc64904687"/>
      <w:bookmarkStart w:id="596" w:name="_Toc64905201"/>
      <w:bookmarkStart w:id="597" w:name="_Toc64963978"/>
      <w:bookmarkStart w:id="598" w:name="_Toc64974576"/>
      <w:bookmarkStart w:id="599" w:name="_Toc64976277"/>
      <w:bookmarkStart w:id="600" w:name="_Toc65149651"/>
      <w:bookmarkStart w:id="601" w:name="_Toc65163428"/>
      <w:bookmarkStart w:id="602" w:name="_Toc65491067"/>
      <w:bookmarkStart w:id="603" w:name="_Toc65504803"/>
      <w:bookmarkStart w:id="604" w:name="_Toc65757886"/>
      <w:bookmarkStart w:id="605" w:name="_Toc65769481"/>
      <w:bookmarkStart w:id="606" w:name="_Toc65766849"/>
      <w:bookmarkStart w:id="607" w:name="_Toc65772623"/>
      <w:bookmarkStart w:id="608" w:name="_Toc66435680"/>
      <w:bookmarkStart w:id="609" w:name="_Toc66436469"/>
      <w:bookmarkStart w:id="610" w:name="_Toc66437680"/>
      <w:bookmarkStart w:id="611" w:name="_Toc66440019"/>
      <w:bookmarkStart w:id="612" w:name="_Toc66442222"/>
      <w:bookmarkStart w:id="613" w:name="_Toc66451891"/>
      <w:bookmarkStart w:id="614" w:name="_Toc66459168"/>
      <w:bookmarkStart w:id="615" w:name="_Toc66460222"/>
      <w:bookmarkStart w:id="616" w:name="_Toc67305376"/>
      <w:bookmarkStart w:id="617" w:name="_Toc67306289"/>
      <w:bookmarkStart w:id="618" w:name="_Toc67306741"/>
      <w:bookmarkStart w:id="619" w:name="_Toc67313591"/>
      <w:bookmarkStart w:id="620" w:name="_Toc67320784"/>
      <w:bookmarkStart w:id="621" w:name="_Toc67321937"/>
      <w:bookmarkStart w:id="622" w:name="_Toc67324402"/>
      <w:bookmarkStart w:id="623" w:name="_Toc67326563"/>
      <w:bookmarkEnd w:id="589"/>
      <w:bookmarkEnd w:id="590"/>
      <w:r w:rsidRPr="006A74F8">
        <w:t>The i</w:t>
      </w:r>
      <w:r w:rsidR="00437AE6" w:rsidRPr="006A74F8">
        <w:t xml:space="preserve">nternational </w:t>
      </w:r>
      <w:r w:rsidRPr="006A74F8">
        <w:t xml:space="preserve">measurement system </w:t>
      </w:r>
      <w:r w:rsidR="00437AE6" w:rsidRPr="006A74F8">
        <w:t>is evolving and creating new ways to recognise legal measurements</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764244" w:rsidRPr="006A74F8" w:rsidRDefault="00764244" w:rsidP="00FD7AC9">
      <w:r w:rsidRPr="006A74F8">
        <w:t>Australia’s measurement laws provide for measurements used for a legal purpose to be linked to one or more reference points, which are based on the International System of Units (the SI).  For example, a reference point for mass could be a 1 kg weight</w:t>
      </w:r>
      <w:r w:rsidR="00B85590" w:rsidRPr="006A74F8">
        <w:t xml:space="preserve"> that is </w:t>
      </w:r>
      <w:r w:rsidRPr="006A74F8">
        <w:t>verified as a reference standard of measurement</w:t>
      </w:r>
      <w:r w:rsidR="00B85590" w:rsidRPr="006A74F8">
        <w:t xml:space="preserve"> and </w:t>
      </w:r>
      <w:r w:rsidRPr="006A74F8">
        <w:t xml:space="preserve">linked to Australia’s </w:t>
      </w:r>
      <w:r w:rsidR="00236856">
        <w:t>primary</w:t>
      </w:r>
      <w:r w:rsidRPr="006A74F8">
        <w:t xml:space="preserve"> kilogram (and </w:t>
      </w:r>
      <w:r w:rsidR="00B85590" w:rsidRPr="006A74F8">
        <w:t xml:space="preserve">therefore </w:t>
      </w:r>
      <w:r w:rsidR="001C3B4F" w:rsidRPr="006A74F8">
        <w:t xml:space="preserve">traceable </w:t>
      </w:r>
      <w:r w:rsidRPr="006A74F8">
        <w:t>to the SI).</w:t>
      </w:r>
    </w:p>
    <w:p w:rsidR="00C70F73" w:rsidRPr="006A74F8" w:rsidRDefault="00764244" w:rsidP="00FD7AC9">
      <w:r w:rsidRPr="006A74F8">
        <w:t xml:space="preserve">However, the international measurement system is evolving. </w:t>
      </w:r>
      <w:r w:rsidR="00BF6494" w:rsidRPr="006A74F8">
        <w:t>F</w:t>
      </w:r>
      <w:r w:rsidR="001C3B4F" w:rsidRPr="006A74F8">
        <w:t xml:space="preserve">ollowing on from the revision of the SI </w:t>
      </w:r>
      <w:r w:rsidR="00BF6494" w:rsidRPr="006A74F8">
        <w:t>in</w:t>
      </w:r>
      <w:r w:rsidRPr="006A74F8">
        <w:t xml:space="preserve"> May 2019, </w:t>
      </w:r>
      <w:r w:rsidR="00BF6494" w:rsidRPr="006A74F8">
        <w:t xml:space="preserve">the international measurement system </w:t>
      </w:r>
      <w:r w:rsidRPr="006A74F8">
        <w:t xml:space="preserve">has been </w:t>
      </w:r>
      <w:r w:rsidR="001C3B4F" w:rsidRPr="006A74F8">
        <w:t>re-defined</w:t>
      </w:r>
      <w:r w:rsidRPr="006A74F8">
        <w:t xml:space="preserve"> based on </w:t>
      </w:r>
      <w:r w:rsidR="00C70F73" w:rsidRPr="006A74F8">
        <w:t>fundamental constants of nature</w:t>
      </w:r>
      <w:r w:rsidRPr="006A74F8">
        <w:t>.</w:t>
      </w:r>
      <w:r w:rsidRPr="006A74F8" w:rsidDel="00764244">
        <w:t xml:space="preserve"> </w:t>
      </w:r>
      <w:r w:rsidR="00C70F73" w:rsidRPr="006A74F8">
        <w:t xml:space="preserve">This means that, in principle, </w:t>
      </w:r>
      <w:r w:rsidR="00BF6494" w:rsidRPr="006A74F8">
        <w:t xml:space="preserve">the Chief Metrologist could recognise </w:t>
      </w:r>
      <w:r w:rsidRPr="006A74F8">
        <w:t xml:space="preserve">a </w:t>
      </w:r>
      <w:r w:rsidR="00C70F73" w:rsidRPr="006A74F8">
        <w:t xml:space="preserve">primary </w:t>
      </w:r>
      <w:r w:rsidR="00063FD0" w:rsidRPr="006A74F8">
        <w:t xml:space="preserve">measurement </w:t>
      </w:r>
      <w:r w:rsidR="00C70F73" w:rsidRPr="006A74F8">
        <w:t>standard</w:t>
      </w:r>
      <w:r w:rsidR="009C2445" w:rsidRPr="006A74F8">
        <w:rPr>
          <w:rStyle w:val="FootnoteReference"/>
        </w:rPr>
        <w:footnoteReference w:id="14"/>
      </w:r>
      <w:r w:rsidR="00236856">
        <w:t xml:space="preserve"> for a base unit like the kilogram </w:t>
      </w:r>
      <w:r w:rsidR="00C70F73" w:rsidRPr="006A74F8">
        <w:t xml:space="preserve">could be </w:t>
      </w:r>
      <w:r w:rsidR="00236856">
        <w:t>developed</w:t>
      </w:r>
      <w:r w:rsidR="00C70F73" w:rsidRPr="006A74F8">
        <w:t xml:space="preserve"> by anyone</w:t>
      </w:r>
      <w:r w:rsidR="001A3E6D" w:rsidRPr="006A74F8">
        <w:t xml:space="preserve"> with sufficient resources and prof</w:t>
      </w:r>
      <w:r w:rsidR="001A3E6D" w:rsidRPr="00236856">
        <w:t>iciency</w:t>
      </w:r>
      <w:r w:rsidR="00C70F73" w:rsidRPr="00236856">
        <w:t>.</w:t>
      </w:r>
      <w:r w:rsidR="00236856" w:rsidRPr="00236856">
        <w:t xml:space="preserve"> These primary standards could be innovative in their design and </w:t>
      </w:r>
      <w:r w:rsidR="00236856" w:rsidRPr="00236856">
        <w:lastRenderedPageBreak/>
        <w:t>operation (e.g. standards ‘on a chip’</w:t>
      </w:r>
      <w:r w:rsidR="00236856" w:rsidRPr="00236856">
        <w:rPr>
          <w:rStyle w:val="FootnoteReference"/>
        </w:rPr>
        <w:footnoteReference w:id="15"/>
      </w:r>
      <w:r w:rsidR="00236856" w:rsidRPr="00236856">
        <w:t>) and could be developed and maintained by the private sector.</w:t>
      </w:r>
    </w:p>
    <w:p w:rsidR="006E137F" w:rsidRPr="00CF14DA" w:rsidRDefault="00305D06" w:rsidP="00FD7AC9">
      <w:r w:rsidRPr="006A74F8">
        <w:t xml:space="preserve">This requires Australia’s measurement </w:t>
      </w:r>
      <w:r w:rsidR="00BF6494" w:rsidRPr="006A74F8">
        <w:t>legislation</w:t>
      </w:r>
      <w:r w:rsidRPr="006A74F8">
        <w:t xml:space="preserve"> to be sufficiently flexible to adapt to this evolving </w:t>
      </w:r>
      <w:r w:rsidRPr="00CF14DA">
        <w:t>system</w:t>
      </w:r>
      <w:r w:rsidR="0060694F" w:rsidRPr="00CF14DA">
        <w:t xml:space="preserve"> over the coming decades</w:t>
      </w:r>
      <w:r w:rsidRPr="00CF14DA">
        <w:t xml:space="preserve">. </w:t>
      </w:r>
      <w:r w:rsidR="00BF6494" w:rsidRPr="00CF14DA">
        <w:t xml:space="preserve">An </w:t>
      </w:r>
      <w:r w:rsidRPr="00CF14DA">
        <w:t>example</w:t>
      </w:r>
      <w:r w:rsidR="00BF6494" w:rsidRPr="00CF14DA">
        <w:t xml:space="preserve"> of this is</w:t>
      </w:r>
      <w:r w:rsidRPr="00CF14DA">
        <w:t xml:space="preserve"> to provide for the </w:t>
      </w:r>
      <w:r w:rsidR="0060694F" w:rsidRPr="00CF14DA">
        <w:t xml:space="preserve">legal </w:t>
      </w:r>
      <w:r w:rsidRPr="00CF14DA">
        <w:t xml:space="preserve">recognition of appropriate primary </w:t>
      </w:r>
      <w:r w:rsidR="0060694F" w:rsidRPr="00CF14DA">
        <w:t xml:space="preserve">measurement </w:t>
      </w:r>
      <w:r w:rsidRPr="00CF14DA">
        <w:t>standards that support new technologies and opportunities for Australian industry and consumers.</w:t>
      </w:r>
      <w:r w:rsidR="00BF6494" w:rsidRPr="00CF14DA">
        <w:t xml:space="preserve"> </w:t>
      </w:r>
    </w:p>
    <w:p w:rsidR="00BF6494" w:rsidRPr="006A74F8" w:rsidRDefault="00BF6494" w:rsidP="00FD7AC9">
      <w:r w:rsidRPr="00CF14DA">
        <w:t xml:space="preserve">The opportunities that may arise from innovation also rely upon the maintenance of highly accurate and internationally recognised primary </w:t>
      </w:r>
      <w:r w:rsidR="0060694F" w:rsidRPr="00CF14DA">
        <w:t xml:space="preserve">measurement </w:t>
      </w:r>
      <w:r w:rsidRPr="00CF14DA">
        <w:t>standards. As such, the future Act must also maintain confidence in Australia’s primary measurement</w:t>
      </w:r>
      <w:r w:rsidR="0060694F" w:rsidRPr="00CF14DA">
        <w:t xml:space="preserve"> standards</w:t>
      </w:r>
      <w:r w:rsidRPr="00CF14DA">
        <w:t xml:space="preserve">, the realisation of which will continue to be based upon internationally aligned best practice, criteria and systems. </w:t>
      </w:r>
    </w:p>
    <w:p w:rsidR="006E137F" w:rsidRPr="006A74F8" w:rsidRDefault="00437AE6" w:rsidP="00FD7AC9">
      <w:pPr>
        <w:pStyle w:val="Heading2"/>
      </w:pPr>
      <w:bookmarkStart w:id="624" w:name="_Toc64900818"/>
      <w:bookmarkStart w:id="625" w:name="_Toc64904023"/>
      <w:bookmarkStart w:id="626" w:name="_Toc64904245"/>
      <w:bookmarkStart w:id="627" w:name="_Toc64904688"/>
      <w:bookmarkStart w:id="628" w:name="_Toc64905202"/>
      <w:bookmarkStart w:id="629" w:name="_Toc64974577"/>
      <w:bookmarkStart w:id="630" w:name="_Toc64976278"/>
      <w:bookmarkStart w:id="631" w:name="_Toc65149652"/>
      <w:bookmarkStart w:id="632" w:name="_Toc65163429"/>
      <w:bookmarkStart w:id="633" w:name="_Toc65491068"/>
      <w:bookmarkStart w:id="634" w:name="_Toc65504804"/>
      <w:bookmarkStart w:id="635" w:name="_Toc65757887"/>
      <w:bookmarkStart w:id="636" w:name="_Toc65769482"/>
      <w:bookmarkStart w:id="637" w:name="_Toc65766850"/>
      <w:bookmarkStart w:id="638" w:name="_Toc65772624"/>
      <w:bookmarkStart w:id="639" w:name="_Toc66435681"/>
      <w:bookmarkStart w:id="640" w:name="_Toc66436470"/>
      <w:bookmarkStart w:id="641" w:name="_Toc66437681"/>
      <w:bookmarkStart w:id="642" w:name="_Toc66440020"/>
      <w:bookmarkStart w:id="643" w:name="_Toc66442223"/>
      <w:bookmarkStart w:id="644" w:name="_Toc66451892"/>
      <w:bookmarkStart w:id="645" w:name="_Toc66459169"/>
      <w:bookmarkStart w:id="646" w:name="_Toc66460223"/>
      <w:bookmarkStart w:id="647" w:name="_Toc67305377"/>
      <w:bookmarkStart w:id="648" w:name="_Toc67306290"/>
      <w:bookmarkStart w:id="649" w:name="_Toc67306742"/>
      <w:bookmarkStart w:id="650" w:name="_Toc67313592"/>
      <w:bookmarkStart w:id="651" w:name="_Toc67320785"/>
      <w:bookmarkStart w:id="652" w:name="_Toc67321938"/>
      <w:bookmarkStart w:id="653" w:name="_Toc67324403"/>
      <w:bookmarkStart w:id="654" w:name="_Toc67326564"/>
      <w:bookmarkStart w:id="655" w:name="_Toc58501207"/>
      <w:bookmarkStart w:id="656" w:name="_Toc61338660"/>
      <w:bookmarkStart w:id="657" w:name="_Toc63062572"/>
      <w:bookmarkStart w:id="658" w:name="_Toc64558439"/>
      <w:bookmarkStart w:id="659" w:name="_Toc64557459"/>
      <w:bookmarkStart w:id="660" w:name="_Toc64562184"/>
      <w:bookmarkStart w:id="661" w:name="_Toc64562440"/>
      <w:bookmarkStart w:id="662" w:name="_Toc64640226"/>
      <w:bookmarkStart w:id="663" w:name="_Toc64641202"/>
      <w:bookmarkStart w:id="664" w:name="_Toc64647144"/>
      <w:bookmarkStart w:id="665" w:name="_Toc64888310"/>
      <w:bookmarkStart w:id="666" w:name="_Toc64888690"/>
      <w:bookmarkStart w:id="667" w:name="_Toc64892965"/>
      <w:bookmarkStart w:id="668" w:name="_Toc64895611"/>
      <w:bookmarkStart w:id="669" w:name="_Toc64903084"/>
      <w:bookmarkStart w:id="670" w:name="_Toc64963979"/>
      <w:bookmarkStart w:id="671" w:name="_Toc58418824"/>
      <w:r w:rsidRPr="006A74F8">
        <w:t xml:space="preserve">Industry has identified some prescriptive requirements as burdensome </w:t>
      </w:r>
      <w:r w:rsidR="004814C2" w:rsidRPr="006A74F8">
        <w:t>and</w:t>
      </w:r>
      <w:r w:rsidRPr="006A74F8">
        <w:t xml:space="preserve"> unnecessary</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sidRPr="006A74F8">
        <w:t xml:space="preserve"> </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rsidR="006E137F" w:rsidRPr="006A74F8" w:rsidRDefault="006E137F" w:rsidP="00FD7AC9">
      <w:pPr>
        <w:rPr>
          <w:rFonts w:cstheme="minorHAnsi"/>
        </w:rPr>
      </w:pPr>
      <w:r w:rsidRPr="006A74F8">
        <w:t xml:space="preserve">The </w:t>
      </w:r>
      <w:r w:rsidR="00D4547B" w:rsidRPr="006A74F8">
        <w:t xml:space="preserve">current </w:t>
      </w:r>
      <w:r w:rsidR="00002A60" w:rsidRPr="006A74F8">
        <w:t xml:space="preserve">measurement </w:t>
      </w:r>
      <w:r w:rsidRPr="006A74F8">
        <w:t>legislation is prescriptive</w:t>
      </w:r>
      <w:r w:rsidR="00437AE6" w:rsidRPr="006A74F8">
        <w:rPr>
          <w:rFonts w:cstheme="minorHAnsi"/>
        </w:rPr>
        <w:t xml:space="preserve"> and lacks flexibility</w:t>
      </w:r>
      <w:r w:rsidR="00002A60" w:rsidRPr="006A74F8">
        <w:rPr>
          <w:rFonts w:cstheme="minorHAnsi"/>
        </w:rPr>
        <w:t xml:space="preserve">, which </w:t>
      </w:r>
      <w:r w:rsidR="00532AAB" w:rsidRPr="006A74F8">
        <w:rPr>
          <w:rFonts w:cstheme="minorHAnsi"/>
        </w:rPr>
        <w:t>reflects a</w:t>
      </w:r>
      <w:r w:rsidR="00002A60" w:rsidRPr="006A74F8">
        <w:rPr>
          <w:rFonts w:cstheme="minorHAnsi"/>
        </w:rPr>
        <w:t xml:space="preserve"> </w:t>
      </w:r>
      <w:r w:rsidR="00401477" w:rsidRPr="006A74F8">
        <w:rPr>
          <w:rFonts w:cstheme="minorHAnsi"/>
        </w:rPr>
        <w:t>historical</w:t>
      </w:r>
      <w:r w:rsidR="0049742C" w:rsidRPr="006A74F8">
        <w:rPr>
          <w:rFonts w:cstheme="minorHAnsi"/>
        </w:rPr>
        <w:t xml:space="preserve"> approach to regulation</w:t>
      </w:r>
      <w:r w:rsidR="00533B94" w:rsidRPr="006A74F8">
        <w:rPr>
          <w:rFonts w:cstheme="minorHAnsi"/>
        </w:rPr>
        <w:t>. W</w:t>
      </w:r>
      <w:r w:rsidRPr="006A74F8">
        <w:rPr>
          <w:rFonts w:cstheme="minorHAnsi"/>
        </w:rPr>
        <w:t xml:space="preserve">hile there are areas where this is appropriate, </w:t>
      </w:r>
      <w:r w:rsidR="00AC1E51" w:rsidRPr="006A74F8">
        <w:rPr>
          <w:rFonts w:cstheme="minorHAnsi"/>
        </w:rPr>
        <w:t>contemporary legislative drafting takes a more principles</w:t>
      </w:r>
      <w:r w:rsidR="00AC1E51" w:rsidRPr="006A74F8">
        <w:rPr>
          <w:rFonts w:cstheme="minorHAnsi"/>
        </w:rPr>
        <w:noBreakHyphen/>
        <w:t>based</w:t>
      </w:r>
      <w:r w:rsidR="00AC1E51" w:rsidRPr="006A74F8">
        <w:rPr>
          <w:rStyle w:val="FootnoteReference"/>
          <w:rFonts w:cstheme="minorHAnsi"/>
        </w:rPr>
        <w:footnoteReference w:id="16"/>
      </w:r>
      <w:r w:rsidR="00AC1E51" w:rsidRPr="006A74F8">
        <w:rPr>
          <w:rFonts w:cstheme="minorHAnsi"/>
        </w:rPr>
        <w:t xml:space="preserve"> approach in line with government efforts to reduce burden and establish fit</w:t>
      </w:r>
      <w:r w:rsidR="00995E46" w:rsidRPr="006A74F8">
        <w:rPr>
          <w:rFonts w:cstheme="minorHAnsi"/>
        </w:rPr>
        <w:t xml:space="preserve"> </w:t>
      </w:r>
      <w:r w:rsidR="00AC1E51" w:rsidRPr="006A74F8">
        <w:rPr>
          <w:rFonts w:cstheme="minorHAnsi"/>
        </w:rPr>
        <w:t>for</w:t>
      </w:r>
      <w:r w:rsidR="00995E46" w:rsidRPr="006A74F8">
        <w:rPr>
          <w:rFonts w:cstheme="minorHAnsi"/>
        </w:rPr>
        <w:t xml:space="preserve"> </w:t>
      </w:r>
      <w:r w:rsidR="00AC1E51" w:rsidRPr="006A74F8">
        <w:rPr>
          <w:rFonts w:cstheme="minorHAnsi"/>
        </w:rPr>
        <w:t>purpose regulation. This is supported by c</w:t>
      </w:r>
      <w:r w:rsidRPr="006A74F8">
        <w:rPr>
          <w:rFonts w:cstheme="minorHAnsi"/>
        </w:rPr>
        <w:t>onsultation</w:t>
      </w:r>
      <w:r w:rsidR="00AC1E51" w:rsidRPr="006A74F8">
        <w:rPr>
          <w:rFonts w:cstheme="minorHAnsi"/>
        </w:rPr>
        <w:t xml:space="preserve"> with stakeholders who </w:t>
      </w:r>
      <w:r w:rsidRPr="006A74F8">
        <w:rPr>
          <w:rFonts w:cstheme="minorHAnsi"/>
        </w:rPr>
        <w:t xml:space="preserve">identified the need to consider where </w:t>
      </w:r>
      <w:r w:rsidRPr="006A74F8">
        <w:rPr>
          <w:rFonts w:eastAsia="Times New Roman" w:cstheme="minorHAnsi"/>
        </w:rPr>
        <w:t>principles-based regulation</w:t>
      </w:r>
      <w:r w:rsidRPr="006A74F8">
        <w:rPr>
          <w:rFonts w:cstheme="minorHAnsi"/>
        </w:rPr>
        <w:t xml:space="preserve"> would provide greater flexibility and </w:t>
      </w:r>
      <w:r w:rsidR="00AC1E51" w:rsidRPr="006A74F8">
        <w:rPr>
          <w:rFonts w:cstheme="minorHAnsi"/>
        </w:rPr>
        <w:t>be more fit-for-purpose</w:t>
      </w:r>
      <w:r w:rsidRPr="006A74F8">
        <w:rPr>
          <w:rFonts w:cstheme="minorHAnsi"/>
        </w:rPr>
        <w:t xml:space="preserve">. In particular, </w:t>
      </w:r>
      <w:r w:rsidR="00533B94" w:rsidRPr="006A74F8">
        <w:rPr>
          <w:rFonts w:cstheme="minorHAnsi"/>
        </w:rPr>
        <w:t>stakeholders</w:t>
      </w:r>
      <w:r w:rsidRPr="006A74F8">
        <w:rPr>
          <w:rFonts w:cstheme="minorHAnsi"/>
        </w:rPr>
        <w:t xml:space="preserve"> identified that:</w:t>
      </w:r>
    </w:p>
    <w:p w:rsidR="006E137F" w:rsidRPr="006A74F8" w:rsidRDefault="006E137F" w:rsidP="00C812C5">
      <w:pPr>
        <w:pStyle w:val="ListParagraph"/>
        <w:numPr>
          <w:ilvl w:val="0"/>
          <w:numId w:val="26"/>
        </w:numPr>
        <w:rPr>
          <w:rFonts w:cstheme="minorHAnsi"/>
        </w:rPr>
      </w:pPr>
      <w:r w:rsidRPr="006A74F8">
        <w:rPr>
          <w:color w:val="000000"/>
          <w:shd w:val="clear" w:color="auto" w:fill="FFFFFF"/>
        </w:rPr>
        <w:t xml:space="preserve">Introducing appropriate principles-based arrangements </w:t>
      </w:r>
      <w:r w:rsidR="00587579" w:rsidRPr="006A74F8">
        <w:rPr>
          <w:rFonts w:cstheme="minorHAnsi"/>
        </w:rPr>
        <w:t>would give</w:t>
      </w:r>
      <w:r w:rsidRPr="006A74F8">
        <w:rPr>
          <w:rFonts w:cstheme="minorHAnsi"/>
        </w:rPr>
        <w:t xml:space="preserve"> greater flexibility to meet the needs of an </w:t>
      </w:r>
      <w:r w:rsidRPr="006A74F8">
        <w:rPr>
          <w:rFonts w:ascii="Calibri" w:hAnsi="Calibri" w:cs="Calibri"/>
          <w:lang w:val="en-US"/>
        </w:rPr>
        <w:t>evolving digital economy and adapt to new challenges.</w:t>
      </w:r>
      <w:r w:rsidRPr="006A74F8">
        <w:rPr>
          <w:rFonts w:cstheme="minorHAnsi"/>
        </w:rPr>
        <w:t xml:space="preserve"> </w:t>
      </w:r>
    </w:p>
    <w:p w:rsidR="00EC338C" w:rsidRPr="006A74F8" w:rsidRDefault="006E137F" w:rsidP="00C812C5">
      <w:pPr>
        <w:pStyle w:val="ListParagraph"/>
        <w:numPr>
          <w:ilvl w:val="0"/>
          <w:numId w:val="26"/>
        </w:numPr>
        <w:rPr>
          <w:rFonts w:cstheme="minorHAnsi"/>
        </w:rPr>
      </w:pPr>
      <w:r w:rsidRPr="006A74F8">
        <w:rPr>
          <w:color w:val="000000"/>
          <w:shd w:val="clear" w:color="auto" w:fill="FFFFFF"/>
        </w:rPr>
        <w:t>Areas specifically identified as being appropriate for principles-based provisions include:</w:t>
      </w:r>
    </w:p>
    <w:p w:rsidR="006E137F" w:rsidRPr="006A74F8" w:rsidRDefault="006A130F" w:rsidP="00C812C5">
      <w:pPr>
        <w:pStyle w:val="ListParagraph"/>
        <w:numPr>
          <w:ilvl w:val="1"/>
          <w:numId w:val="26"/>
        </w:numPr>
        <w:rPr>
          <w:color w:val="000000"/>
          <w:shd w:val="clear" w:color="auto" w:fill="FFFFFF"/>
        </w:rPr>
      </w:pPr>
      <w:r w:rsidRPr="006A74F8">
        <w:rPr>
          <w:rFonts w:ascii="Calibri" w:eastAsia="Times New Roman" w:hAnsi="Calibri" w:cs="Calibri"/>
          <w:color w:val="000000"/>
          <w:lang w:val="en-US" w:eastAsia="en-GB"/>
        </w:rPr>
        <w:t>packaging requirements</w:t>
      </w:r>
    </w:p>
    <w:p w:rsidR="006E137F" w:rsidRPr="006A74F8" w:rsidRDefault="006E137F" w:rsidP="00C812C5">
      <w:pPr>
        <w:pStyle w:val="ListParagraph"/>
        <w:numPr>
          <w:ilvl w:val="1"/>
          <w:numId w:val="26"/>
        </w:numPr>
        <w:rPr>
          <w:rFonts w:ascii="Calibri" w:eastAsia="Times New Roman" w:hAnsi="Calibri" w:cs="Calibri"/>
          <w:color w:val="000000"/>
          <w:lang w:val="en-US" w:eastAsia="en-GB"/>
        </w:rPr>
      </w:pPr>
      <w:r w:rsidRPr="006A74F8">
        <w:rPr>
          <w:rFonts w:ascii="Calibri" w:eastAsia="Times New Roman" w:hAnsi="Calibri" w:cs="Calibri"/>
          <w:color w:val="000000"/>
          <w:lang w:val="en-US" w:eastAsia="en-GB"/>
        </w:rPr>
        <w:t>how products are sold</w:t>
      </w:r>
      <w:r w:rsidR="00587579" w:rsidRPr="006A74F8">
        <w:rPr>
          <w:rFonts w:ascii="Calibri" w:eastAsia="Times New Roman" w:hAnsi="Calibri" w:cs="Calibri"/>
          <w:color w:val="000000"/>
          <w:lang w:val="en-US" w:eastAsia="en-GB"/>
        </w:rPr>
        <w:t xml:space="preserve"> (trading practices)</w:t>
      </w:r>
    </w:p>
    <w:p w:rsidR="006E137F" w:rsidRPr="006A74F8" w:rsidRDefault="006E137F" w:rsidP="00C812C5">
      <w:pPr>
        <w:pStyle w:val="ListParagraph"/>
        <w:numPr>
          <w:ilvl w:val="1"/>
          <w:numId w:val="26"/>
        </w:numPr>
        <w:rPr>
          <w:rFonts w:ascii="Calibri" w:eastAsia="Times New Roman" w:hAnsi="Calibri" w:cs="Calibri"/>
          <w:color w:val="000000"/>
          <w:lang w:val="en-US" w:eastAsia="en-GB"/>
        </w:rPr>
      </w:pPr>
      <w:r w:rsidRPr="006A74F8">
        <w:rPr>
          <w:rFonts w:ascii="Calibri" w:eastAsia="Times New Roman" w:hAnsi="Calibri" w:cs="Calibri"/>
          <w:color w:val="000000"/>
          <w:lang w:val="en-US" w:eastAsia="en-GB"/>
        </w:rPr>
        <w:t>how measuring instruments are to be used for trade</w:t>
      </w:r>
      <w:r w:rsidR="00720C93" w:rsidRPr="006A74F8">
        <w:rPr>
          <w:rFonts w:ascii="Calibri" w:eastAsia="Times New Roman" w:hAnsi="Calibri" w:cs="Calibri"/>
          <w:color w:val="000000"/>
          <w:lang w:val="en-US" w:eastAsia="en-GB"/>
        </w:rPr>
        <w:t>, including their accuracy and their suitability for some purposes</w:t>
      </w:r>
    </w:p>
    <w:p w:rsidR="006E137F" w:rsidRPr="006A74F8" w:rsidRDefault="006E137F" w:rsidP="00C812C5">
      <w:pPr>
        <w:pStyle w:val="ListParagraph"/>
        <w:numPr>
          <w:ilvl w:val="1"/>
          <w:numId w:val="26"/>
        </w:numPr>
        <w:rPr>
          <w:rFonts w:ascii="Calibri" w:eastAsia="Times New Roman" w:hAnsi="Calibri" w:cs="Calibri"/>
          <w:color w:val="000000"/>
          <w:lang w:val="en-US" w:eastAsia="en-GB"/>
        </w:rPr>
      </w:pPr>
      <w:r w:rsidRPr="006A74F8">
        <w:rPr>
          <w:rFonts w:ascii="Calibri" w:eastAsia="Times New Roman" w:hAnsi="Calibri" w:cs="Calibri"/>
          <w:color w:val="000000"/>
          <w:lang w:val="en-US" w:eastAsia="en-GB"/>
        </w:rPr>
        <w:t>determining whether measuring inst</w:t>
      </w:r>
      <w:r w:rsidR="006A130F" w:rsidRPr="006A74F8">
        <w:rPr>
          <w:rFonts w:ascii="Calibri" w:eastAsia="Times New Roman" w:hAnsi="Calibri" w:cs="Calibri"/>
          <w:color w:val="000000"/>
          <w:lang w:val="en-US" w:eastAsia="en-GB"/>
        </w:rPr>
        <w:t>ruments are fit for trade use</w:t>
      </w:r>
    </w:p>
    <w:p w:rsidR="006E137F" w:rsidRPr="006A74F8" w:rsidRDefault="006E137F" w:rsidP="00C812C5">
      <w:pPr>
        <w:pStyle w:val="ListParagraph"/>
        <w:numPr>
          <w:ilvl w:val="1"/>
          <w:numId w:val="26"/>
        </w:numPr>
        <w:rPr>
          <w:rFonts w:ascii="Calibri" w:eastAsia="Times New Roman" w:hAnsi="Calibri" w:cs="Calibri"/>
          <w:color w:val="000000"/>
          <w:lang w:val="en-US" w:eastAsia="en-GB"/>
        </w:rPr>
      </w:pPr>
      <w:r w:rsidRPr="006A74F8">
        <w:rPr>
          <w:rFonts w:ascii="Calibri" w:eastAsia="Times New Roman" w:hAnsi="Calibri" w:cs="Calibri"/>
          <w:color w:val="000000"/>
          <w:lang w:val="en-US" w:eastAsia="en-GB"/>
        </w:rPr>
        <w:t>requirements that measurement statements be accurate.</w:t>
      </w:r>
    </w:p>
    <w:p w:rsidR="00AC1E51" w:rsidRPr="006A74F8" w:rsidRDefault="00AC1E51" w:rsidP="00C812C5">
      <w:pPr>
        <w:pStyle w:val="ListParagraph"/>
        <w:numPr>
          <w:ilvl w:val="0"/>
          <w:numId w:val="26"/>
        </w:numPr>
        <w:rPr>
          <w:rFonts w:cstheme="minorHAnsi"/>
        </w:rPr>
      </w:pPr>
      <w:r w:rsidRPr="006A74F8">
        <w:rPr>
          <w:color w:val="000000"/>
          <w:shd w:val="clear" w:color="auto" w:fill="FFFFFF"/>
        </w:rPr>
        <w:t>Some p</w:t>
      </w:r>
      <w:r w:rsidRPr="006A74F8">
        <w:rPr>
          <w:rFonts w:cstheme="minorHAnsi"/>
        </w:rPr>
        <w:t>rescription is necessary to ensure that measurements are traceable back to the A</w:t>
      </w:r>
      <w:r w:rsidR="009B28B1" w:rsidRPr="006A74F8">
        <w:rPr>
          <w:rFonts w:cstheme="minorHAnsi"/>
        </w:rPr>
        <w:t>ustralian l</w:t>
      </w:r>
      <w:r w:rsidRPr="006A74F8">
        <w:rPr>
          <w:rFonts w:cstheme="minorHAnsi"/>
        </w:rPr>
        <w:t>egal units of measurement</w:t>
      </w:r>
      <w:r w:rsidR="00A10508" w:rsidRPr="006A74F8">
        <w:rPr>
          <w:rFonts w:cstheme="minorHAnsi"/>
        </w:rPr>
        <w:t xml:space="preserve"> </w:t>
      </w:r>
      <w:r w:rsidR="00512432" w:rsidRPr="006A74F8">
        <w:rPr>
          <w:rFonts w:cstheme="minorHAnsi"/>
        </w:rPr>
        <w:t>(ALUMs)</w:t>
      </w:r>
      <w:r w:rsidR="00A10508" w:rsidRPr="006A74F8">
        <w:rPr>
          <w:rFonts w:cstheme="minorHAnsi"/>
        </w:rPr>
        <w:t xml:space="preserve"> and meet international obligations</w:t>
      </w:r>
      <w:r w:rsidRPr="006A74F8">
        <w:rPr>
          <w:rFonts w:cstheme="minorHAnsi"/>
        </w:rPr>
        <w:t>. However this could be included in guidance materials rather than the Act.</w:t>
      </w:r>
    </w:p>
    <w:p w:rsidR="00AC1E51" w:rsidRPr="006A74F8" w:rsidRDefault="00AC1E51" w:rsidP="00C812C5">
      <w:pPr>
        <w:pStyle w:val="ListParagraph"/>
        <w:numPr>
          <w:ilvl w:val="0"/>
          <w:numId w:val="26"/>
        </w:numPr>
        <w:rPr>
          <w:rFonts w:cstheme="minorHAnsi"/>
        </w:rPr>
      </w:pPr>
      <w:r w:rsidRPr="006A74F8">
        <w:rPr>
          <w:color w:val="000000"/>
          <w:shd w:val="clear" w:color="auto" w:fill="FFFFFF"/>
        </w:rPr>
        <w:t xml:space="preserve">Prescription via clear National Instrument Test Procedures </w:t>
      </w:r>
      <w:r w:rsidR="00A333D7" w:rsidRPr="006A74F8">
        <w:rPr>
          <w:color w:val="000000"/>
          <w:shd w:val="clear" w:color="auto" w:fill="FFFFFF"/>
        </w:rPr>
        <w:t>(NITPs)</w:t>
      </w:r>
      <w:r w:rsidRPr="006A74F8">
        <w:rPr>
          <w:color w:val="000000"/>
          <w:shd w:val="clear" w:color="auto" w:fill="FFFFFF"/>
        </w:rPr>
        <w:t xml:space="preserve"> </w:t>
      </w:r>
      <w:r w:rsidR="00F2546C" w:rsidRPr="006A74F8">
        <w:rPr>
          <w:color w:val="000000"/>
          <w:shd w:val="clear" w:color="auto" w:fill="FFFFFF"/>
        </w:rPr>
        <w:t>gives important guidance to industry on how measuring instruments may be tested and verified,</w:t>
      </w:r>
      <w:r w:rsidRPr="006A74F8">
        <w:rPr>
          <w:color w:val="000000"/>
          <w:shd w:val="clear" w:color="auto" w:fill="FFFFFF"/>
        </w:rPr>
        <w:t xml:space="preserve"> and </w:t>
      </w:r>
      <w:r w:rsidRPr="006A74F8">
        <w:rPr>
          <w:rFonts w:cstheme="minorHAnsi"/>
        </w:rPr>
        <w:t>supports technical capabilities required for accurate measurement.</w:t>
      </w:r>
    </w:p>
    <w:p w:rsidR="006E137F" w:rsidRPr="006A74F8" w:rsidRDefault="00437AE6" w:rsidP="00FD7AC9">
      <w:pPr>
        <w:pStyle w:val="Heading2"/>
      </w:pPr>
      <w:bookmarkStart w:id="672" w:name="_Toc64900819"/>
      <w:bookmarkStart w:id="673" w:name="_Toc64904024"/>
      <w:bookmarkStart w:id="674" w:name="_Toc64904246"/>
      <w:bookmarkStart w:id="675" w:name="_Toc64904689"/>
      <w:bookmarkStart w:id="676" w:name="_Toc64905203"/>
      <w:bookmarkStart w:id="677" w:name="_Toc64974578"/>
      <w:bookmarkStart w:id="678" w:name="_Toc64976279"/>
      <w:bookmarkStart w:id="679" w:name="_Toc58501208"/>
      <w:bookmarkStart w:id="680" w:name="_Toc61338661"/>
      <w:bookmarkStart w:id="681" w:name="_Toc63062573"/>
      <w:bookmarkStart w:id="682" w:name="_Toc64558440"/>
      <w:bookmarkStart w:id="683" w:name="_Toc64557460"/>
      <w:bookmarkStart w:id="684" w:name="_Toc64562185"/>
      <w:bookmarkStart w:id="685" w:name="_Toc64562441"/>
      <w:bookmarkStart w:id="686" w:name="_Toc64640227"/>
      <w:bookmarkStart w:id="687" w:name="_Toc64641203"/>
      <w:bookmarkStart w:id="688" w:name="_Toc64647145"/>
      <w:bookmarkStart w:id="689" w:name="_Toc64888311"/>
      <w:bookmarkStart w:id="690" w:name="_Toc64888691"/>
      <w:bookmarkStart w:id="691" w:name="_Toc64892966"/>
      <w:bookmarkStart w:id="692" w:name="_Toc64895612"/>
      <w:bookmarkStart w:id="693" w:name="_Toc64903085"/>
      <w:bookmarkStart w:id="694" w:name="_Toc64963980"/>
      <w:bookmarkStart w:id="695" w:name="_Toc65149653"/>
      <w:bookmarkStart w:id="696" w:name="_Toc65163430"/>
      <w:bookmarkStart w:id="697" w:name="_Toc65491069"/>
      <w:bookmarkStart w:id="698" w:name="_Toc65504805"/>
      <w:bookmarkStart w:id="699" w:name="_Toc65757888"/>
      <w:bookmarkStart w:id="700" w:name="_Toc65769483"/>
      <w:bookmarkStart w:id="701" w:name="_Toc65766851"/>
      <w:bookmarkStart w:id="702" w:name="_Toc65772625"/>
      <w:bookmarkStart w:id="703" w:name="_Toc66435682"/>
      <w:bookmarkStart w:id="704" w:name="_Toc66436471"/>
      <w:bookmarkStart w:id="705" w:name="_Toc66437682"/>
      <w:bookmarkStart w:id="706" w:name="_Toc66440021"/>
      <w:bookmarkStart w:id="707" w:name="_Toc66442224"/>
      <w:bookmarkStart w:id="708" w:name="_Toc66451893"/>
      <w:bookmarkStart w:id="709" w:name="_Toc66459170"/>
      <w:bookmarkStart w:id="710" w:name="_Toc66460224"/>
      <w:bookmarkStart w:id="711" w:name="_Toc67305378"/>
      <w:bookmarkStart w:id="712" w:name="_Toc67306291"/>
      <w:bookmarkStart w:id="713" w:name="_Toc67306743"/>
      <w:bookmarkStart w:id="714" w:name="_Toc67313593"/>
      <w:bookmarkStart w:id="715" w:name="_Toc67320786"/>
      <w:bookmarkStart w:id="716" w:name="_Toc67321939"/>
      <w:bookmarkStart w:id="717" w:name="_Toc67324404"/>
      <w:bookmarkStart w:id="718" w:name="_Toc67326565"/>
      <w:r w:rsidRPr="006A74F8">
        <w:lastRenderedPageBreak/>
        <w:t xml:space="preserve">Australia’s trading environment </w:t>
      </w:r>
      <w:r w:rsidR="004814C2" w:rsidRPr="006A74F8">
        <w:t>and</w:t>
      </w:r>
      <w:r w:rsidRPr="006A74F8">
        <w:t xml:space="preserve"> economy ha</w:t>
      </w:r>
      <w:r w:rsidR="00532AAB" w:rsidRPr="006A74F8">
        <w:t>ve</w:t>
      </w:r>
      <w:r w:rsidRPr="006A74F8">
        <w:t xml:space="preserve"> matured significantly since 1960</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DA55C1" w:rsidRPr="006A74F8" w:rsidRDefault="00AC1E51" w:rsidP="00FD7AC9">
      <w:pPr>
        <w:rPr>
          <w:lang w:eastAsia="en-AU"/>
        </w:rPr>
      </w:pPr>
      <w:r w:rsidRPr="006A74F8">
        <w:rPr>
          <w:lang w:eastAsia="en-AU"/>
        </w:rPr>
        <w:t>The way Australian</w:t>
      </w:r>
      <w:r w:rsidR="00DA55C1" w:rsidRPr="006A74F8">
        <w:rPr>
          <w:lang w:eastAsia="en-AU"/>
        </w:rPr>
        <w:t>s buy and sell goods and services has evolved, as seen thr</w:t>
      </w:r>
      <w:r w:rsidRPr="006A74F8">
        <w:rPr>
          <w:lang w:eastAsia="en-AU"/>
        </w:rPr>
        <w:t xml:space="preserve">ough the rise in packaged goods, </w:t>
      </w:r>
      <w:r w:rsidR="00D4547B" w:rsidRPr="006A74F8">
        <w:rPr>
          <w:lang w:eastAsia="en-AU"/>
        </w:rPr>
        <w:t xml:space="preserve">and the </w:t>
      </w:r>
      <w:r w:rsidR="00DA55C1" w:rsidRPr="006A74F8">
        <w:rPr>
          <w:lang w:eastAsia="en-AU"/>
        </w:rPr>
        <w:t xml:space="preserve">range of </w:t>
      </w:r>
      <w:r w:rsidR="006A669E" w:rsidRPr="006A74F8">
        <w:rPr>
          <w:lang w:eastAsia="en-AU"/>
        </w:rPr>
        <w:t xml:space="preserve">services and </w:t>
      </w:r>
      <w:r w:rsidR="00DA55C1" w:rsidRPr="006A74F8">
        <w:rPr>
          <w:lang w:eastAsia="en-AU"/>
        </w:rPr>
        <w:t>imported products now available. The legislation has not kept pace with these changes and operates inconsistently in a number of areas.</w:t>
      </w:r>
    </w:p>
    <w:p w:rsidR="006E137F" w:rsidRPr="006A74F8" w:rsidRDefault="00E254E9" w:rsidP="00F8591F">
      <w:pPr>
        <w:keepNext/>
        <w:rPr>
          <w:lang w:eastAsia="en-AU"/>
        </w:rPr>
      </w:pPr>
      <w:r w:rsidRPr="006A74F8">
        <w:rPr>
          <w:lang w:eastAsia="en-AU"/>
        </w:rPr>
        <w:t>In relation to measurement-</w:t>
      </w:r>
      <w:r w:rsidR="006E137F" w:rsidRPr="006A74F8">
        <w:rPr>
          <w:lang w:eastAsia="en-AU"/>
        </w:rPr>
        <w:t>based transactions</w:t>
      </w:r>
      <w:r w:rsidR="00FD240E" w:rsidRPr="006A74F8">
        <w:rPr>
          <w:lang w:eastAsia="en-AU"/>
        </w:rPr>
        <w:t xml:space="preserve"> </w:t>
      </w:r>
      <w:r w:rsidR="00A10508" w:rsidRPr="006A74F8">
        <w:rPr>
          <w:lang w:eastAsia="en-AU"/>
        </w:rPr>
        <w:t>these inconsistencies include</w:t>
      </w:r>
      <w:r w:rsidR="006E137F" w:rsidRPr="006A74F8">
        <w:rPr>
          <w:lang w:eastAsia="en-AU"/>
        </w:rPr>
        <w:t>:</w:t>
      </w:r>
    </w:p>
    <w:p w:rsidR="00EC338C" w:rsidRPr="006A74F8" w:rsidRDefault="00D4547B" w:rsidP="004C54D2">
      <w:pPr>
        <w:pStyle w:val="ListParagraph"/>
        <w:numPr>
          <w:ilvl w:val="0"/>
          <w:numId w:val="2"/>
        </w:numPr>
        <w:rPr>
          <w:rFonts w:eastAsia="Times New Roman"/>
          <w:color w:val="000000" w:themeColor="text1"/>
          <w:lang w:eastAsia="en-AU"/>
        </w:rPr>
      </w:pPr>
      <w:r w:rsidRPr="006A74F8">
        <w:rPr>
          <w:rFonts w:eastAsia="Times New Roman"/>
          <w:b/>
          <w:color w:val="000000" w:themeColor="text1"/>
          <w:lang w:eastAsia="en-AU"/>
        </w:rPr>
        <w:t>packaged vs non</w:t>
      </w:r>
      <w:r w:rsidR="00C71ED9" w:rsidRPr="006A74F8">
        <w:rPr>
          <w:rFonts w:eastAsia="Times New Roman"/>
          <w:b/>
          <w:color w:val="000000" w:themeColor="text1"/>
          <w:lang w:eastAsia="en-AU"/>
        </w:rPr>
        <w:t>-</w:t>
      </w:r>
      <w:r w:rsidR="006E137F" w:rsidRPr="006A74F8">
        <w:rPr>
          <w:rFonts w:eastAsia="Times New Roman"/>
          <w:b/>
          <w:color w:val="000000" w:themeColor="text1"/>
          <w:lang w:eastAsia="en-AU"/>
        </w:rPr>
        <w:t>packaged goods</w:t>
      </w:r>
      <w:r w:rsidR="00532AAB" w:rsidRPr="006A74F8">
        <w:rPr>
          <w:rFonts w:eastAsia="Times New Roman"/>
          <w:b/>
          <w:color w:val="000000" w:themeColor="text1"/>
          <w:lang w:eastAsia="en-AU"/>
        </w:rPr>
        <w:t>:</w:t>
      </w:r>
      <w:r w:rsidR="006E137F" w:rsidRPr="006A74F8">
        <w:rPr>
          <w:rFonts w:eastAsia="Times New Roman"/>
          <w:color w:val="000000" w:themeColor="text1"/>
          <w:lang w:eastAsia="en-AU"/>
        </w:rPr>
        <w:t xml:space="preserve"> </w:t>
      </w:r>
      <w:r w:rsidR="00C42175" w:rsidRPr="006A74F8">
        <w:rPr>
          <w:rFonts w:eastAsia="Times New Roman"/>
          <w:color w:val="000000" w:themeColor="text1"/>
          <w:lang w:eastAsia="en-AU"/>
        </w:rPr>
        <w:t>t</w:t>
      </w:r>
      <w:r w:rsidR="006E137F" w:rsidRPr="006A74F8">
        <w:rPr>
          <w:rFonts w:eastAsia="Times New Roman"/>
          <w:color w:val="000000" w:themeColor="text1"/>
          <w:lang w:eastAsia="en-AU"/>
        </w:rPr>
        <w:t>here is a disparity between the requirements for product</w:t>
      </w:r>
      <w:r w:rsidR="00587579" w:rsidRPr="006A74F8">
        <w:rPr>
          <w:rFonts w:eastAsia="Times New Roman"/>
          <w:color w:val="000000" w:themeColor="text1"/>
          <w:lang w:eastAsia="en-AU"/>
        </w:rPr>
        <w:t>s</w:t>
      </w:r>
      <w:r w:rsidR="006E137F" w:rsidRPr="006A74F8">
        <w:rPr>
          <w:rFonts w:eastAsia="Times New Roman"/>
          <w:color w:val="000000" w:themeColor="text1"/>
          <w:lang w:eastAsia="en-AU"/>
        </w:rPr>
        <w:t xml:space="preserve"> when sold either packaged or loose.</w:t>
      </w:r>
      <w:r w:rsidR="006E137F" w:rsidRPr="006A74F8">
        <w:rPr>
          <w:rStyle w:val="FootnoteReference"/>
          <w:rFonts w:eastAsia="Times New Roman"/>
          <w:color w:val="000000" w:themeColor="text1"/>
          <w:lang w:eastAsia="en-AU"/>
        </w:rPr>
        <w:footnoteReference w:id="17"/>
      </w:r>
      <w:r w:rsidR="006E137F" w:rsidRPr="006A74F8">
        <w:rPr>
          <w:rFonts w:eastAsia="Times New Roman"/>
          <w:color w:val="000000" w:themeColor="text1"/>
          <w:lang w:eastAsia="en-AU"/>
        </w:rPr>
        <w:t xml:space="preserve"> </w:t>
      </w:r>
    </w:p>
    <w:p w:rsidR="00EC338C" w:rsidRPr="006A74F8" w:rsidRDefault="00C42175" w:rsidP="004C54D2">
      <w:pPr>
        <w:pStyle w:val="ListParagraph"/>
        <w:numPr>
          <w:ilvl w:val="0"/>
          <w:numId w:val="2"/>
        </w:numPr>
        <w:rPr>
          <w:rFonts w:eastAsia="Times New Roman"/>
          <w:color w:val="000000" w:themeColor="text1"/>
          <w:lang w:eastAsia="en-AU"/>
        </w:rPr>
      </w:pPr>
      <w:r w:rsidRPr="006A74F8">
        <w:rPr>
          <w:rFonts w:eastAsia="Times New Roman"/>
          <w:b/>
          <w:color w:val="000000" w:themeColor="text1"/>
          <w:lang w:eastAsia="en-AU"/>
        </w:rPr>
        <w:t>b</w:t>
      </w:r>
      <w:r w:rsidR="006E137F" w:rsidRPr="006A74F8">
        <w:rPr>
          <w:rFonts w:eastAsia="Times New Roman"/>
          <w:b/>
          <w:color w:val="000000" w:themeColor="text1"/>
          <w:lang w:eastAsia="en-AU"/>
        </w:rPr>
        <w:t>uying and selling goods</w:t>
      </w:r>
      <w:r w:rsidR="00532AAB" w:rsidRPr="006A74F8">
        <w:rPr>
          <w:rFonts w:eastAsia="Times New Roman"/>
          <w:b/>
          <w:color w:val="000000" w:themeColor="text1"/>
          <w:lang w:eastAsia="en-AU"/>
        </w:rPr>
        <w:t>:</w:t>
      </w:r>
      <w:r w:rsidRPr="006A74F8">
        <w:rPr>
          <w:rFonts w:eastAsia="Times New Roman"/>
          <w:color w:val="000000" w:themeColor="text1"/>
          <w:lang w:eastAsia="en-AU"/>
        </w:rPr>
        <w:t xml:space="preserve"> t</w:t>
      </w:r>
      <w:r w:rsidR="006E137F" w:rsidRPr="006A74F8">
        <w:rPr>
          <w:rFonts w:eastAsia="Times New Roman"/>
          <w:color w:val="000000" w:themeColor="text1"/>
          <w:lang w:eastAsia="en-AU"/>
        </w:rPr>
        <w:t xml:space="preserve">here are currently offences for selling goods with a measurement less than the amount represented (shortfall) but no related offences for a purchaser misrepresenting the measurement of goods that they buy. A notable example is where the legislation prohibits misrepresenting the measurement by a person selling gold, but does not prohibit the misrepresentation of the measurement by a person buying gold. </w:t>
      </w:r>
    </w:p>
    <w:p w:rsidR="00EC338C" w:rsidRPr="006A74F8" w:rsidRDefault="00C42175" w:rsidP="004C54D2">
      <w:pPr>
        <w:pStyle w:val="ListParagraph"/>
        <w:numPr>
          <w:ilvl w:val="0"/>
          <w:numId w:val="2"/>
        </w:numPr>
        <w:rPr>
          <w:rFonts w:eastAsia="Times New Roman"/>
          <w:color w:val="000000" w:themeColor="text1"/>
          <w:lang w:eastAsia="en-AU"/>
        </w:rPr>
      </w:pPr>
      <w:r w:rsidRPr="006A74F8">
        <w:rPr>
          <w:rFonts w:eastAsia="Times New Roman"/>
          <w:b/>
          <w:color w:val="000000" w:themeColor="text1"/>
          <w:lang w:eastAsia="en-AU"/>
        </w:rPr>
        <w:t>p</w:t>
      </w:r>
      <w:r w:rsidR="006E137F" w:rsidRPr="006A74F8">
        <w:rPr>
          <w:rFonts w:eastAsia="Times New Roman"/>
          <w:b/>
          <w:color w:val="000000" w:themeColor="text1"/>
          <w:lang w:eastAsia="en-AU"/>
        </w:rPr>
        <w:t>rovision of services</w:t>
      </w:r>
      <w:r w:rsidR="00532AAB" w:rsidRPr="006A74F8">
        <w:rPr>
          <w:rFonts w:eastAsia="Times New Roman"/>
          <w:b/>
          <w:color w:val="000000" w:themeColor="text1"/>
          <w:lang w:eastAsia="en-AU"/>
        </w:rPr>
        <w:t>:</w:t>
      </w:r>
      <w:r w:rsidRPr="006A74F8">
        <w:rPr>
          <w:rFonts w:eastAsia="Times New Roman"/>
          <w:color w:val="000000" w:themeColor="text1"/>
          <w:lang w:eastAsia="en-AU"/>
        </w:rPr>
        <w:t xml:space="preserve"> s</w:t>
      </w:r>
      <w:r w:rsidR="006E137F" w:rsidRPr="006A74F8">
        <w:rPr>
          <w:rFonts w:eastAsia="Times New Roman"/>
          <w:color w:val="000000" w:themeColor="text1"/>
          <w:lang w:eastAsia="en-AU"/>
        </w:rPr>
        <w:t>imilar to the buying and selling of goods, there is also a growing market f</w:t>
      </w:r>
      <w:r w:rsidR="00A40103" w:rsidRPr="006A74F8">
        <w:rPr>
          <w:rFonts w:eastAsia="Times New Roman"/>
          <w:color w:val="000000" w:themeColor="text1"/>
          <w:lang w:eastAsia="en-AU"/>
        </w:rPr>
        <w:t>or the provision of measurement-</w:t>
      </w:r>
      <w:r w:rsidR="006E137F" w:rsidRPr="006A74F8">
        <w:rPr>
          <w:rFonts w:eastAsia="Times New Roman"/>
          <w:color w:val="000000" w:themeColor="text1"/>
          <w:lang w:eastAsia="en-AU"/>
        </w:rPr>
        <w:t>based services. The current legislation does not prohibit measurement misrepresentations in relation to the provision of these services</w:t>
      </w:r>
      <w:r w:rsidR="00D4547B" w:rsidRPr="006A74F8">
        <w:rPr>
          <w:rFonts w:eastAsia="Times New Roman"/>
          <w:color w:val="000000" w:themeColor="text1"/>
          <w:lang w:eastAsia="en-AU"/>
        </w:rPr>
        <w:t xml:space="preserve"> (e</w:t>
      </w:r>
      <w:r w:rsidR="006E137F" w:rsidRPr="006A74F8">
        <w:rPr>
          <w:rFonts w:eastAsia="Times New Roman"/>
          <w:color w:val="000000" w:themeColor="text1"/>
          <w:lang w:eastAsia="en-AU"/>
        </w:rPr>
        <w:t>xamples include freight or waste collection</w:t>
      </w:r>
      <w:r w:rsidR="00D4547B" w:rsidRPr="006A74F8">
        <w:rPr>
          <w:rFonts w:eastAsia="Times New Roman"/>
          <w:color w:val="000000" w:themeColor="text1"/>
          <w:lang w:eastAsia="en-AU"/>
        </w:rPr>
        <w:t>)</w:t>
      </w:r>
      <w:r w:rsidR="006E137F" w:rsidRPr="006A74F8">
        <w:rPr>
          <w:rFonts w:eastAsia="Times New Roman"/>
          <w:color w:val="000000" w:themeColor="text1"/>
          <w:lang w:eastAsia="en-AU"/>
        </w:rPr>
        <w:t>.</w:t>
      </w:r>
    </w:p>
    <w:p w:rsidR="006E137F" w:rsidRPr="006A74F8" w:rsidRDefault="00C42175" w:rsidP="004C54D2">
      <w:pPr>
        <w:pStyle w:val="ListParagraph"/>
        <w:numPr>
          <w:ilvl w:val="0"/>
          <w:numId w:val="2"/>
        </w:numPr>
        <w:rPr>
          <w:rFonts w:eastAsia="Times New Roman"/>
          <w:color w:val="000000" w:themeColor="text1"/>
          <w:lang w:eastAsia="en-AU"/>
        </w:rPr>
      </w:pPr>
      <w:r w:rsidRPr="006A74F8">
        <w:rPr>
          <w:b/>
          <w:lang w:eastAsia="en-AU"/>
        </w:rPr>
        <w:t>l</w:t>
      </w:r>
      <w:r w:rsidR="006E137F" w:rsidRPr="006A74F8">
        <w:rPr>
          <w:b/>
          <w:lang w:eastAsia="en-AU"/>
        </w:rPr>
        <w:t>abelling requirements</w:t>
      </w:r>
      <w:r w:rsidR="00532AAB" w:rsidRPr="006A74F8">
        <w:rPr>
          <w:b/>
          <w:lang w:eastAsia="en-AU"/>
        </w:rPr>
        <w:t>:</w:t>
      </w:r>
      <w:r w:rsidRPr="006A74F8">
        <w:rPr>
          <w:lang w:eastAsia="en-AU"/>
        </w:rPr>
        <w:t xml:space="preserve"> t</w:t>
      </w:r>
      <w:r w:rsidR="006E137F" w:rsidRPr="006A74F8">
        <w:rPr>
          <w:lang w:eastAsia="en-AU"/>
        </w:rPr>
        <w:t>he increase in import</w:t>
      </w:r>
      <w:r w:rsidR="00587579" w:rsidRPr="006A74F8">
        <w:rPr>
          <w:lang w:eastAsia="en-AU"/>
        </w:rPr>
        <w:t>ed</w:t>
      </w:r>
      <w:r w:rsidR="006E137F" w:rsidRPr="006A74F8">
        <w:rPr>
          <w:lang w:eastAsia="en-AU"/>
        </w:rPr>
        <w:t xml:space="preserve"> and export</w:t>
      </w:r>
      <w:r w:rsidR="00587579" w:rsidRPr="006A74F8">
        <w:rPr>
          <w:lang w:eastAsia="en-AU"/>
        </w:rPr>
        <w:t>ed</w:t>
      </w:r>
      <w:r w:rsidR="006E137F" w:rsidRPr="006A74F8">
        <w:rPr>
          <w:lang w:eastAsia="en-AU"/>
        </w:rPr>
        <w:t xml:space="preserve"> packaged goods has highlighted differences in Australia’s measurement marking requirements and those of some key trading partners (</w:t>
      </w:r>
      <w:r w:rsidR="00587579" w:rsidRPr="006A74F8">
        <w:rPr>
          <w:lang w:eastAsia="en-AU"/>
        </w:rPr>
        <w:t xml:space="preserve">such as the </w:t>
      </w:r>
      <w:r w:rsidR="006E137F" w:rsidRPr="006A74F8">
        <w:rPr>
          <w:lang w:eastAsia="en-AU"/>
        </w:rPr>
        <w:t>EU</w:t>
      </w:r>
      <w:r w:rsidR="00202B05" w:rsidRPr="006A74F8">
        <w:rPr>
          <w:lang w:eastAsia="en-AU"/>
        </w:rPr>
        <w:t xml:space="preserve"> and the UK</w:t>
      </w:r>
      <w:r w:rsidR="006E137F" w:rsidRPr="006A74F8">
        <w:rPr>
          <w:lang w:eastAsia="en-AU"/>
        </w:rPr>
        <w:t>). This places a burden on importers required to re-label products and is particularly apparent in the area of cosmetics, where exemptions are considered on a case by case basis.</w:t>
      </w:r>
    </w:p>
    <w:p w:rsidR="006E137F" w:rsidRPr="006A74F8" w:rsidRDefault="006E137F" w:rsidP="00FD7AC9">
      <w:pPr>
        <w:rPr>
          <w:lang w:eastAsia="en-AU"/>
        </w:rPr>
      </w:pPr>
      <w:r w:rsidRPr="006A74F8">
        <w:rPr>
          <w:lang w:eastAsia="en-AU"/>
        </w:rPr>
        <w:t xml:space="preserve">There are also inconsistencies in the ways in which third parties are authorised to perform particular functions under the legislation, including the terms of appointment, preconditions, reporting and compliance arrangements. </w:t>
      </w:r>
    </w:p>
    <w:p w:rsidR="004B44A1" w:rsidRPr="006A74F8" w:rsidRDefault="00DB30BD" w:rsidP="00FD7AC9">
      <w:pPr>
        <w:pStyle w:val="Heading2"/>
      </w:pPr>
      <w:bookmarkStart w:id="719" w:name="_Toc66435683"/>
      <w:bookmarkStart w:id="720" w:name="_Toc66436472"/>
      <w:bookmarkStart w:id="721" w:name="_Toc66437683"/>
      <w:bookmarkStart w:id="722" w:name="_Toc66440022"/>
      <w:bookmarkStart w:id="723" w:name="_Toc66442225"/>
      <w:bookmarkStart w:id="724" w:name="_Toc66451894"/>
      <w:bookmarkStart w:id="725" w:name="_Toc66459171"/>
      <w:bookmarkStart w:id="726" w:name="_Toc66460225"/>
      <w:bookmarkStart w:id="727" w:name="_Toc67305379"/>
      <w:bookmarkStart w:id="728" w:name="_Toc67306292"/>
      <w:bookmarkStart w:id="729" w:name="_Toc67306744"/>
      <w:bookmarkStart w:id="730" w:name="_Toc67313594"/>
      <w:bookmarkStart w:id="731" w:name="_Toc67320787"/>
      <w:bookmarkStart w:id="732" w:name="_Toc67321940"/>
      <w:bookmarkStart w:id="733" w:name="_Toc67324405"/>
      <w:bookmarkStart w:id="734" w:name="_Toc67326566"/>
      <w:bookmarkStart w:id="735" w:name="_Toc64900820"/>
      <w:bookmarkStart w:id="736" w:name="_Toc64904025"/>
      <w:bookmarkStart w:id="737" w:name="_Toc64904247"/>
      <w:bookmarkStart w:id="738" w:name="_Toc64904690"/>
      <w:bookmarkStart w:id="739" w:name="_Toc64905204"/>
      <w:bookmarkStart w:id="740" w:name="_Toc58501209"/>
      <w:bookmarkStart w:id="741" w:name="_Toc61338662"/>
      <w:bookmarkStart w:id="742" w:name="_Toc63062574"/>
      <w:bookmarkStart w:id="743" w:name="_Toc64558441"/>
      <w:bookmarkStart w:id="744" w:name="_Toc64557461"/>
      <w:bookmarkStart w:id="745" w:name="_Toc64562186"/>
      <w:bookmarkStart w:id="746" w:name="_Toc64562442"/>
      <w:bookmarkStart w:id="747" w:name="_Toc64640228"/>
      <w:bookmarkStart w:id="748" w:name="_Toc64641204"/>
      <w:bookmarkStart w:id="749" w:name="_Toc64647146"/>
      <w:bookmarkStart w:id="750" w:name="_Toc64888312"/>
      <w:bookmarkStart w:id="751" w:name="_Toc64888692"/>
      <w:bookmarkStart w:id="752" w:name="_Toc64892967"/>
      <w:bookmarkStart w:id="753" w:name="_Toc64895613"/>
      <w:bookmarkStart w:id="754" w:name="_Toc64903086"/>
      <w:bookmarkStart w:id="755" w:name="_Toc64963981"/>
      <w:r w:rsidRPr="006A74F8">
        <w:t>E</w:t>
      </w:r>
      <w:r w:rsidR="00B16A6D" w:rsidRPr="006A74F8">
        <w:t xml:space="preserve">xemptions </w:t>
      </w:r>
      <w:r w:rsidRPr="006A74F8">
        <w:t xml:space="preserve">need to be </w:t>
      </w:r>
      <w:r w:rsidR="00B1023A" w:rsidRPr="006A74F8">
        <w:t xml:space="preserve">reviewed and </w:t>
      </w:r>
      <w:r w:rsidRPr="006A74F8">
        <w:t>more flexible</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rsidR="006E137F" w:rsidRPr="006A74F8" w:rsidRDefault="0049742C" w:rsidP="00FD7AC9">
      <w:pPr>
        <w:rPr>
          <w:lang w:eastAsia="en-AU"/>
        </w:rPr>
      </w:pPr>
      <w:r w:rsidRPr="006A74F8">
        <w:rPr>
          <w:lang w:eastAsia="en-AU"/>
        </w:rPr>
        <w:t xml:space="preserve">Historically, </w:t>
      </w:r>
      <w:r w:rsidR="00312764" w:rsidRPr="006A74F8">
        <w:rPr>
          <w:lang w:eastAsia="en-AU"/>
        </w:rPr>
        <w:t xml:space="preserve">exemptions were introduced to reflect other regulatory arrangements, usually to avoid duplication of requirements. For example, taxi fares and parking </w:t>
      </w:r>
      <w:r w:rsidR="003D2F6E" w:rsidRPr="006A74F8">
        <w:rPr>
          <w:lang w:eastAsia="en-AU"/>
        </w:rPr>
        <w:t xml:space="preserve">metering </w:t>
      </w:r>
      <w:r w:rsidR="00312764" w:rsidRPr="006A74F8">
        <w:rPr>
          <w:lang w:eastAsia="en-AU"/>
        </w:rPr>
        <w:t xml:space="preserve">are already regulated at the state level. </w:t>
      </w:r>
      <w:r w:rsidR="004B44A1" w:rsidRPr="006A74F8">
        <w:rPr>
          <w:lang w:eastAsia="en-AU"/>
        </w:rPr>
        <w:t>These exemptions n</w:t>
      </w:r>
      <w:r w:rsidR="006E137F" w:rsidRPr="006A74F8">
        <w:rPr>
          <w:lang w:eastAsia="en-AU"/>
        </w:rPr>
        <w:t xml:space="preserve">eed to be reconsidered for consistency, appropriateness and </w:t>
      </w:r>
      <w:r w:rsidR="004B44A1" w:rsidRPr="006A74F8">
        <w:rPr>
          <w:lang w:eastAsia="en-AU"/>
        </w:rPr>
        <w:t>ability</w:t>
      </w:r>
      <w:r w:rsidR="006E137F" w:rsidRPr="006A74F8">
        <w:rPr>
          <w:lang w:eastAsia="en-AU"/>
        </w:rPr>
        <w:t xml:space="preserve"> to respond to changing measurement needs</w:t>
      </w:r>
      <w:r w:rsidR="004B44A1" w:rsidRPr="006A74F8">
        <w:rPr>
          <w:lang w:eastAsia="en-AU"/>
        </w:rPr>
        <w:t>.</w:t>
      </w:r>
      <w:r w:rsidR="00282017" w:rsidRPr="006A74F8">
        <w:rPr>
          <w:lang w:eastAsia="en-AU"/>
        </w:rPr>
        <w:t xml:space="preserve"> Consideration and review of exemptions will occur subject to </w:t>
      </w:r>
      <w:r w:rsidR="00D3530D" w:rsidRPr="006A74F8">
        <w:rPr>
          <w:lang w:eastAsia="en-AU"/>
        </w:rPr>
        <w:t xml:space="preserve">future </w:t>
      </w:r>
      <w:r w:rsidR="00282017" w:rsidRPr="006A74F8">
        <w:rPr>
          <w:lang w:eastAsia="en-AU"/>
        </w:rPr>
        <w:t>consultation.</w:t>
      </w:r>
      <w:r w:rsidR="004B44A1" w:rsidRPr="006A74F8">
        <w:rPr>
          <w:lang w:eastAsia="en-AU"/>
        </w:rPr>
        <w:t xml:space="preserve"> Particular issues include:</w:t>
      </w:r>
    </w:p>
    <w:p w:rsidR="00EC338C" w:rsidRPr="006A74F8" w:rsidRDefault="00C42175" w:rsidP="00C812C5">
      <w:pPr>
        <w:pStyle w:val="ListParagraph"/>
        <w:numPr>
          <w:ilvl w:val="0"/>
          <w:numId w:val="28"/>
        </w:numPr>
        <w:rPr>
          <w:rFonts w:eastAsia="Times New Roman"/>
          <w:color w:val="000000" w:themeColor="text1"/>
          <w:lang w:eastAsia="en-AU"/>
        </w:rPr>
      </w:pPr>
      <w:r w:rsidRPr="006A74F8">
        <w:rPr>
          <w:b/>
          <w:lang w:eastAsia="en-AU"/>
        </w:rPr>
        <w:t>r</w:t>
      </w:r>
      <w:r w:rsidR="006E137F" w:rsidRPr="006A74F8">
        <w:rPr>
          <w:b/>
          <w:lang w:eastAsia="en-AU"/>
        </w:rPr>
        <w:t>elevancy of existing exemptions</w:t>
      </w:r>
      <w:r w:rsidR="00532AAB" w:rsidRPr="006A74F8">
        <w:rPr>
          <w:b/>
          <w:lang w:eastAsia="en-AU"/>
        </w:rPr>
        <w:t>:</w:t>
      </w:r>
      <w:r w:rsidRPr="006A74F8">
        <w:rPr>
          <w:lang w:eastAsia="en-AU"/>
        </w:rPr>
        <w:t xml:space="preserve"> t</w:t>
      </w:r>
      <w:r w:rsidR="006E137F" w:rsidRPr="006A74F8">
        <w:rPr>
          <w:lang w:eastAsia="en-AU"/>
        </w:rPr>
        <w:t>he current</w:t>
      </w:r>
      <w:r w:rsidR="006E137F" w:rsidRPr="006A74F8">
        <w:rPr>
          <w:rFonts w:eastAsia="Times New Roman"/>
          <w:color w:val="000000" w:themeColor="text1"/>
          <w:lang w:eastAsia="en-AU"/>
        </w:rPr>
        <w:t xml:space="preserve"> exemptions to trade measurement provisions </w:t>
      </w:r>
      <w:r w:rsidR="006E137F" w:rsidRPr="006A74F8">
        <w:rPr>
          <w:lang w:eastAsia="en-AU"/>
        </w:rPr>
        <w:t>are based on historical measurement requirements</w:t>
      </w:r>
      <w:r w:rsidR="006E137F" w:rsidRPr="006A74F8">
        <w:rPr>
          <w:rFonts w:eastAsia="Times New Roman"/>
          <w:color w:val="000000" w:themeColor="text1"/>
          <w:lang w:eastAsia="en-AU"/>
        </w:rPr>
        <w:t xml:space="preserve">. These will require future review following data collection and further consultation. </w:t>
      </w:r>
    </w:p>
    <w:p w:rsidR="00EC338C" w:rsidRPr="006A74F8" w:rsidRDefault="00C42175" w:rsidP="00C812C5">
      <w:pPr>
        <w:pStyle w:val="ListParagraph"/>
        <w:numPr>
          <w:ilvl w:val="0"/>
          <w:numId w:val="28"/>
        </w:numPr>
        <w:rPr>
          <w:rFonts w:eastAsia="Times New Roman"/>
          <w:color w:val="000000" w:themeColor="text1"/>
          <w:lang w:eastAsia="en-AU"/>
        </w:rPr>
      </w:pPr>
      <w:r w:rsidRPr="006A74F8">
        <w:rPr>
          <w:b/>
          <w:lang w:eastAsia="en-AU"/>
        </w:rPr>
        <w:lastRenderedPageBreak/>
        <w:t>l</w:t>
      </w:r>
      <w:r w:rsidR="006E137F" w:rsidRPr="006A74F8">
        <w:rPr>
          <w:b/>
          <w:lang w:eastAsia="en-AU"/>
        </w:rPr>
        <w:t>ocation of exemptions</w:t>
      </w:r>
      <w:r w:rsidR="00532AAB" w:rsidRPr="006A74F8">
        <w:rPr>
          <w:b/>
          <w:lang w:eastAsia="en-AU"/>
        </w:rPr>
        <w:t>:</w:t>
      </w:r>
      <w:r w:rsidRPr="006A74F8">
        <w:rPr>
          <w:rFonts w:eastAsia="Times New Roman"/>
          <w:color w:val="000000" w:themeColor="text1"/>
          <w:lang w:eastAsia="en-AU"/>
        </w:rPr>
        <w:t xml:space="preserve"> c</w:t>
      </w:r>
      <w:r w:rsidR="006E137F" w:rsidRPr="006A74F8">
        <w:rPr>
          <w:rFonts w:eastAsia="Times New Roman"/>
          <w:color w:val="000000" w:themeColor="text1"/>
          <w:lang w:eastAsia="en-AU"/>
        </w:rPr>
        <w:t xml:space="preserve">urrently some exemptions are contained in the primary legislation while others are contained in the regulations. Those exemptions provided in the primary Act should be moved to </w:t>
      </w:r>
      <w:r w:rsidR="009B28B1" w:rsidRPr="006A74F8">
        <w:rPr>
          <w:rFonts w:eastAsia="Times New Roman"/>
          <w:color w:val="000000" w:themeColor="text1"/>
          <w:lang w:eastAsia="en-AU"/>
        </w:rPr>
        <w:t xml:space="preserve">the </w:t>
      </w:r>
      <w:r w:rsidR="006E137F" w:rsidRPr="006A74F8">
        <w:rPr>
          <w:rFonts w:eastAsia="Times New Roman"/>
          <w:color w:val="000000" w:themeColor="text1"/>
          <w:lang w:eastAsia="en-AU"/>
        </w:rPr>
        <w:t xml:space="preserve">regulations to provide consistency and enable long term review following appropriate consultations. </w:t>
      </w:r>
    </w:p>
    <w:p w:rsidR="007C7CF3" w:rsidRPr="006A74F8" w:rsidRDefault="00C42175" w:rsidP="00C812C5">
      <w:pPr>
        <w:pStyle w:val="ListParagraph"/>
        <w:numPr>
          <w:ilvl w:val="0"/>
          <w:numId w:val="28"/>
        </w:numPr>
        <w:rPr>
          <w:rFonts w:eastAsia="Times New Roman"/>
          <w:color w:val="000000" w:themeColor="text1"/>
          <w:lang w:eastAsia="en-AU"/>
        </w:rPr>
      </w:pPr>
      <w:r w:rsidRPr="006A74F8">
        <w:rPr>
          <w:b/>
          <w:lang w:eastAsia="en-AU"/>
        </w:rPr>
        <w:t>a</w:t>
      </w:r>
      <w:r w:rsidR="006E137F" w:rsidRPr="006A74F8">
        <w:rPr>
          <w:b/>
          <w:lang w:eastAsia="en-AU"/>
        </w:rPr>
        <w:t xml:space="preserve">dministrative powers to </w:t>
      </w:r>
      <w:r w:rsidR="00401477" w:rsidRPr="006A74F8">
        <w:rPr>
          <w:b/>
          <w:lang w:eastAsia="en-AU"/>
        </w:rPr>
        <w:t>waive</w:t>
      </w:r>
      <w:r w:rsidR="00532AAB" w:rsidRPr="006A74F8">
        <w:rPr>
          <w:b/>
          <w:lang w:eastAsia="en-AU"/>
        </w:rPr>
        <w:t>:</w:t>
      </w:r>
      <w:r w:rsidRPr="006A74F8">
        <w:rPr>
          <w:rFonts w:eastAsia="Times New Roman"/>
          <w:color w:val="000000" w:themeColor="text1"/>
          <w:lang w:eastAsia="en-AU"/>
        </w:rPr>
        <w:t xml:space="preserve"> t</w:t>
      </w:r>
      <w:r w:rsidR="006E137F" w:rsidRPr="006A74F8">
        <w:rPr>
          <w:rFonts w:eastAsia="Times New Roman"/>
          <w:color w:val="000000" w:themeColor="text1"/>
          <w:lang w:eastAsia="en-AU"/>
        </w:rPr>
        <w:t xml:space="preserve">he current legislation lacks administrative powers to </w:t>
      </w:r>
      <w:r w:rsidR="00401477" w:rsidRPr="006A74F8">
        <w:rPr>
          <w:rFonts w:eastAsia="Times New Roman"/>
          <w:color w:val="000000" w:themeColor="text1"/>
          <w:lang w:eastAsia="en-AU"/>
        </w:rPr>
        <w:t>wa</w:t>
      </w:r>
      <w:r w:rsidR="00ED2229" w:rsidRPr="006A74F8">
        <w:rPr>
          <w:rFonts w:eastAsia="Times New Roman"/>
          <w:color w:val="000000" w:themeColor="text1"/>
          <w:lang w:eastAsia="en-AU"/>
        </w:rPr>
        <w:t>i</w:t>
      </w:r>
      <w:r w:rsidR="00401477" w:rsidRPr="006A74F8">
        <w:rPr>
          <w:rFonts w:eastAsia="Times New Roman"/>
          <w:color w:val="000000" w:themeColor="text1"/>
          <w:lang w:eastAsia="en-AU"/>
        </w:rPr>
        <w:t>ve requirements in appropriate circumstances</w:t>
      </w:r>
      <w:r w:rsidR="006E137F" w:rsidRPr="006A74F8">
        <w:rPr>
          <w:rFonts w:eastAsia="Times New Roman"/>
          <w:color w:val="000000" w:themeColor="text1"/>
          <w:lang w:eastAsia="en-AU"/>
        </w:rPr>
        <w:t xml:space="preserve">. The addition of these </w:t>
      </w:r>
      <w:r w:rsidR="00CD1D12" w:rsidRPr="006A74F8">
        <w:rPr>
          <w:rFonts w:eastAsia="Times New Roman"/>
          <w:color w:val="000000" w:themeColor="text1"/>
          <w:lang w:eastAsia="en-AU"/>
        </w:rPr>
        <w:t>mechanisms</w:t>
      </w:r>
      <w:r w:rsidR="006E137F" w:rsidRPr="006A74F8">
        <w:rPr>
          <w:rFonts w:eastAsia="Times New Roman"/>
          <w:color w:val="000000" w:themeColor="text1"/>
          <w:lang w:eastAsia="en-AU"/>
        </w:rPr>
        <w:t xml:space="preserve"> would provide flexibility to adapt to future measurement needs</w:t>
      </w:r>
      <w:r w:rsidR="007C7CF3" w:rsidRPr="006A74F8">
        <w:rPr>
          <w:rFonts w:eastAsia="Times New Roman"/>
          <w:color w:val="000000" w:themeColor="text1"/>
          <w:lang w:eastAsia="en-AU"/>
        </w:rPr>
        <w:t xml:space="preserve"> and allow </w:t>
      </w:r>
      <w:r w:rsidR="00401477" w:rsidRPr="006A74F8">
        <w:rPr>
          <w:rFonts w:eastAsia="Times New Roman"/>
          <w:color w:val="000000" w:themeColor="text1"/>
          <w:lang w:eastAsia="en-AU"/>
        </w:rPr>
        <w:t>waivers</w:t>
      </w:r>
      <w:r w:rsidR="007C7CF3" w:rsidRPr="006A74F8">
        <w:rPr>
          <w:rFonts w:eastAsia="Times New Roman"/>
          <w:color w:val="000000" w:themeColor="text1"/>
          <w:lang w:eastAsia="en-AU"/>
        </w:rPr>
        <w:t xml:space="preserve"> to be considered in a timely and appropriate manner</w:t>
      </w:r>
      <w:r w:rsidR="00A940BF" w:rsidRPr="006A74F8">
        <w:rPr>
          <w:rFonts w:eastAsia="Times New Roman"/>
          <w:color w:val="000000" w:themeColor="text1"/>
          <w:lang w:eastAsia="en-AU"/>
        </w:rPr>
        <w:t>.</w:t>
      </w:r>
    </w:p>
    <w:p w:rsidR="004C1CE2" w:rsidRPr="006A74F8" w:rsidRDefault="004C1CE2" w:rsidP="00FD7AC9">
      <w:pPr>
        <w:pStyle w:val="Heading2"/>
      </w:pPr>
      <w:bookmarkStart w:id="756" w:name="_Toc66435684"/>
      <w:bookmarkStart w:id="757" w:name="_Toc66436473"/>
      <w:bookmarkStart w:id="758" w:name="_Toc66437684"/>
      <w:bookmarkStart w:id="759" w:name="_Toc66440023"/>
      <w:bookmarkStart w:id="760" w:name="_Toc66442226"/>
      <w:bookmarkStart w:id="761" w:name="_Toc66459172"/>
      <w:bookmarkStart w:id="762" w:name="_Toc66460226"/>
      <w:bookmarkStart w:id="763" w:name="_Toc67305380"/>
      <w:bookmarkStart w:id="764" w:name="_Toc67306293"/>
      <w:bookmarkStart w:id="765" w:name="_Toc67306745"/>
      <w:bookmarkStart w:id="766" w:name="_Toc67313595"/>
      <w:bookmarkStart w:id="767" w:name="_Toc67320788"/>
      <w:bookmarkStart w:id="768" w:name="_Toc67321941"/>
      <w:bookmarkStart w:id="769" w:name="_Toc67324406"/>
      <w:bookmarkStart w:id="770" w:name="_Toc67326567"/>
      <w:bookmarkStart w:id="771" w:name="_Toc66451895"/>
      <w:r w:rsidRPr="006A74F8">
        <w:t xml:space="preserve">Compliance and enforcement </w:t>
      </w:r>
      <w:r w:rsidR="00781F5D" w:rsidRPr="006A74F8">
        <w:t>mechanisms</w:t>
      </w:r>
      <w:r w:rsidRPr="006A74F8">
        <w:t xml:space="preserve"> are limited</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bookmarkEnd w:id="771"/>
    <w:p w:rsidR="00D82545" w:rsidRPr="006A74F8" w:rsidRDefault="00FA030B" w:rsidP="00FD7AC9">
      <w:r w:rsidRPr="006A74F8">
        <w:t>The compl</w:t>
      </w:r>
      <w:r w:rsidR="001A2823" w:rsidRPr="006A74F8">
        <w:t xml:space="preserve">iance and enforcement </w:t>
      </w:r>
      <w:r w:rsidR="005F3FAE" w:rsidRPr="006A74F8">
        <w:t>mechanisms</w:t>
      </w:r>
      <w:r w:rsidRPr="006A74F8">
        <w:t xml:space="preserve"> in the current measurement legislation</w:t>
      </w:r>
      <w:r w:rsidR="001A2823" w:rsidRPr="006A74F8">
        <w:t xml:space="preserve"> are based on </w:t>
      </w:r>
      <w:r w:rsidR="005F3FAE" w:rsidRPr="006A74F8">
        <w:t>older regulatory models, focusing</w:t>
      </w:r>
      <w:r w:rsidR="00DD7538" w:rsidRPr="006A74F8">
        <w:t xml:space="preserve"> on indiv</w:t>
      </w:r>
      <w:r w:rsidR="005F3FAE" w:rsidRPr="006A74F8">
        <w:t>idual deterrence and punishment and</w:t>
      </w:r>
      <w:r w:rsidR="00DD7538" w:rsidRPr="006A74F8">
        <w:t xml:space="preserve"> primarily utilising the imposition of sancti</w:t>
      </w:r>
      <w:r w:rsidR="00D82545" w:rsidRPr="006A74F8">
        <w:t xml:space="preserve">ons to affect future behaviour. </w:t>
      </w:r>
    </w:p>
    <w:p w:rsidR="003E43BB" w:rsidRPr="006A74F8" w:rsidRDefault="00D82545" w:rsidP="00FD7AC9">
      <w:r w:rsidRPr="006A74F8">
        <w:t>The current legislation consist</w:t>
      </w:r>
      <w:r w:rsidR="00BE087E" w:rsidRPr="006A74F8">
        <w:t>s</w:t>
      </w:r>
      <w:r w:rsidRPr="006A74F8">
        <w:t xml:space="preserve"> only of criminal offences and is out of step with modern Commonwealth frameworks that have adopted civil penalty provisions</w:t>
      </w:r>
      <w:r w:rsidR="00BA4A4B" w:rsidRPr="006A74F8">
        <w:t>.</w:t>
      </w:r>
      <w:r w:rsidRPr="006A74F8">
        <w:rPr>
          <w:rStyle w:val="FootnoteReference"/>
        </w:rPr>
        <w:footnoteReference w:id="18"/>
      </w:r>
      <w:r w:rsidRPr="006A74F8">
        <w:t xml:space="preserve"> The </w:t>
      </w:r>
      <w:r w:rsidRPr="006A74F8">
        <w:rPr>
          <w:i/>
        </w:rPr>
        <w:t>Regulatory Powers (Standard Provisions) Act 2014</w:t>
      </w:r>
      <w:r w:rsidRPr="006A74F8">
        <w:t xml:space="preserve"> also contains standard provisions relating to civil penalties that can be triggered by other Commonwealth Acts</w:t>
      </w:r>
      <w:r w:rsidR="00BA4A4B" w:rsidRPr="006A74F8">
        <w:t>.</w:t>
      </w:r>
      <w:r w:rsidR="00BA4A4B" w:rsidRPr="006A74F8">
        <w:rPr>
          <w:rStyle w:val="FootnoteReference"/>
        </w:rPr>
        <w:footnoteReference w:id="19"/>
      </w:r>
      <w:r w:rsidRPr="006A74F8">
        <w:t xml:space="preserve"> Civil penalties provide a means to introduce penalty options for offences that perhaps do not warrant criminal prosecution and allow the courts greater flexibility to determine appropriate penalties.</w:t>
      </w:r>
      <w:r w:rsidRPr="006A74F8">
        <w:rPr>
          <w:rStyle w:val="FootnoteReference"/>
        </w:rPr>
        <w:footnoteReference w:id="20"/>
      </w:r>
    </w:p>
    <w:p w:rsidR="009122B1" w:rsidRPr="006A74F8" w:rsidRDefault="009122B1" w:rsidP="00FD7AC9">
      <w:r w:rsidRPr="006A74F8">
        <w:t>Most low-level compliance options currently utilised by NMI in its regulatory activities exist outside the legislation. Those compliance options outlined in the measurement legislation are heavily focussed on the threat of criminal offences and infringement notice provisions. There</w:t>
      </w:r>
      <w:r w:rsidRPr="006A74F8" w:rsidDel="00F2546C">
        <w:t xml:space="preserve"> </w:t>
      </w:r>
      <w:r w:rsidR="00F2546C" w:rsidRPr="006A74F8">
        <w:t>are</w:t>
      </w:r>
      <w:r w:rsidRPr="006A74F8">
        <w:t xml:space="preserve"> only a limited number of legislated administrative options available and a lack of varying penalty units for infringement notices. </w:t>
      </w:r>
    </w:p>
    <w:p w:rsidR="001A2823" w:rsidRPr="006A74F8" w:rsidRDefault="009122B1" w:rsidP="00FD7AC9">
      <w:r w:rsidRPr="006A74F8">
        <w:t>The</w:t>
      </w:r>
      <w:r w:rsidR="009B0AB4" w:rsidRPr="006A74F8">
        <w:t>se</w:t>
      </w:r>
      <w:r w:rsidRPr="006A74F8">
        <w:t xml:space="preserve"> </w:t>
      </w:r>
      <w:r w:rsidR="005F3FAE" w:rsidRPr="006A74F8">
        <w:t>mechanisms</w:t>
      </w:r>
      <w:r w:rsidR="001A2823" w:rsidRPr="006A74F8">
        <w:t xml:space="preserve"> no longer align with modern regulatory approaches</w:t>
      </w:r>
      <w:r w:rsidRPr="006A74F8">
        <w:t>.</w:t>
      </w:r>
      <w:r w:rsidR="001A2823" w:rsidRPr="006A74F8">
        <w:t xml:space="preserve"> </w:t>
      </w:r>
      <w:r w:rsidRPr="006A74F8">
        <w:t>Modern approaches</w:t>
      </w:r>
      <w:r w:rsidR="001A2823" w:rsidRPr="006A74F8">
        <w:t xml:space="preserve"> </w:t>
      </w:r>
      <w:r w:rsidRPr="006A74F8">
        <w:t xml:space="preserve">now </w:t>
      </w:r>
      <w:r w:rsidR="001A2823" w:rsidRPr="006A74F8">
        <w:t>seek to achieve compliance by focusing on changing the culture of organisations and leveraging general deterrence to influence broader market behaviour</w:t>
      </w:r>
      <w:r w:rsidR="00D4547B" w:rsidRPr="006A74F8">
        <w:t>. The</w:t>
      </w:r>
      <w:r w:rsidRPr="006A74F8">
        <w:t xml:space="preserve"> current legislation does not adequately support this</w:t>
      </w:r>
      <w:r w:rsidR="00D4547B" w:rsidRPr="006A74F8">
        <w:t xml:space="preserve"> and</w:t>
      </w:r>
      <w:r w:rsidR="001A2823" w:rsidRPr="006A74F8">
        <w:t xml:space="preserve"> does not </w:t>
      </w:r>
      <w:r w:rsidR="005F3FAE" w:rsidRPr="006A74F8">
        <w:t xml:space="preserve">adequately </w:t>
      </w:r>
      <w:r w:rsidR="001A2823" w:rsidRPr="006A74F8">
        <w:t xml:space="preserve">reflect </w:t>
      </w:r>
      <w:r w:rsidR="009B0AB4" w:rsidRPr="006A74F8">
        <w:t>NMI’s</w:t>
      </w:r>
      <w:r w:rsidR="001A2823" w:rsidRPr="006A74F8">
        <w:t xml:space="preserve"> risk-based, cooperative approach </w:t>
      </w:r>
      <w:r w:rsidR="009B0AB4" w:rsidRPr="006A74F8">
        <w:t>to</w:t>
      </w:r>
      <w:r w:rsidR="001A2823" w:rsidRPr="006A74F8">
        <w:t xml:space="preserve"> compliance and enforcement activities</w:t>
      </w:r>
      <w:r w:rsidR="009B0AB4" w:rsidRPr="006A74F8">
        <w:t xml:space="preserve"> in practice.</w:t>
      </w:r>
    </w:p>
    <w:p w:rsidR="006E137F" w:rsidRPr="006A74F8" w:rsidRDefault="005F3FAE" w:rsidP="00315E0F">
      <w:r w:rsidRPr="006A74F8">
        <w:t xml:space="preserve">New and updated compliance and enforcement mechanisms are needed to </w:t>
      </w:r>
      <w:r w:rsidR="003E43BB" w:rsidRPr="006A74F8">
        <w:t xml:space="preserve">address some of the gaps in the current regulatory toolkit to </w:t>
      </w:r>
      <w:r w:rsidRPr="006A74F8">
        <w:t xml:space="preserve">better </w:t>
      </w:r>
      <w:r w:rsidR="003E43BB" w:rsidRPr="006A74F8">
        <w:t>support a contemporary approach to compliance and enforcement.</w:t>
      </w:r>
      <w:r w:rsidR="007C7CF3" w:rsidRPr="006A74F8">
        <w:rPr>
          <w:rFonts w:eastAsia="Times New Roman"/>
          <w:color w:val="000000" w:themeColor="text1"/>
          <w:lang w:eastAsia="en-AU"/>
        </w:rPr>
        <w:br w:type="page"/>
      </w:r>
    </w:p>
    <w:p w:rsidR="006E137F" w:rsidRPr="006A74F8" w:rsidRDefault="003A7AD5" w:rsidP="00FD7AC9">
      <w:pPr>
        <w:pStyle w:val="Heading1"/>
      </w:pPr>
      <w:bookmarkStart w:id="772" w:name="_RIS_Question_2:"/>
      <w:bookmarkStart w:id="773" w:name="_Toc58501210"/>
      <w:bookmarkStart w:id="774" w:name="_Toc61338663"/>
      <w:bookmarkStart w:id="775" w:name="_Toc63062575"/>
      <w:bookmarkStart w:id="776" w:name="_Toc64558442"/>
      <w:bookmarkStart w:id="777" w:name="_Toc64557462"/>
      <w:bookmarkStart w:id="778" w:name="_Toc64562187"/>
      <w:bookmarkStart w:id="779" w:name="_Toc64562443"/>
      <w:bookmarkStart w:id="780" w:name="_Toc64640229"/>
      <w:bookmarkStart w:id="781" w:name="_Toc64641205"/>
      <w:bookmarkStart w:id="782" w:name="_Toc64647147"/>
      <w:bookmarkStart w:id="783" w:name="_Toc64888313"/>
      <w:bookmarkStart w:id="784" w:name="_Toc64888693"/>
      <w:bookmarkStart w:id="785" w:name="_Toc64892968"/>
      <w:bookmarkStart w:id="786" w:name="_Toc64895614"/>
      <w:bookmarkStart w:id="787" w:name="_Toc64900821"/>
      <w:bookmarkStart w:id="788" w:name="_Toc64903087"/>
      <w:bookmarkStart w:id="789" w:name="_Toc64904026"/>
      <w:bookmarkStart w:id="790" w:name="_Toc64904248"/>
      <w:bookmarkStart w:id="791" w:name="_Toc64904691"/>
      <w:bookmarkStart w:id="792" w:name="_Toc64905205"/>
      <w:bookmarkStart w:id="793" w:name="_Toc64963982"/>
      <w:bookmarkStart w:id="794" w:name="_Toc64974580"/>
      <w:bookmarkStart w:id="795" w:name="_Toc64976281"/>
      <w:bookmarkStart w:id="796" w:name="_Toc65149655"/>
      <w:bookmarkStart w:id="797" w:name="_Toc65163432"/>
      <w:bookmarkStart w:id="798" w:name="_Toc65491071"/>
      <w:bookmarkStart w:id="799" w:name="_Toc65504807"/>
      <w:bookmarkStart w:id="800" w:name="_Toc65757890"/>
      <w:bookmarkStart w:id="801" w:name="_Toc65769485"/>
      <w:bookmarkStart w:id="802" w:name="_Toc65766853"/>
      <w:bookmarkStart w:id="803" w:name="_Toc65772627"/>
      <w:bookmarkStart w:id="804" w:name="_Toc66435685"/>
      <w:bookmarkStart w:id="805" w:name="_Toc66436474"/>
      <w:bookmarkStart w:id="806" w:name="_Toc66437685"/>
      <w:bookmarkStart w:id="807" w:name="_Toc66440024"/>
      <w:bookmarkStart w:id="808" w:name="_Toc66442227"/>
      <w:bookmarkStart w:id="809" w:name="_Toc66451896"/>
      <w:bookmarkStart w:id="810" w:name="_Toc66459173"/>
      <w:bookmarkStart w:id="811" w:name="_Toc66460227"/>
      <w:bookmarkStart w:id="812" w:name="_Toc67305381"/>
      <w:bookmarkStart w:id="813" w:name="_Toc67306294"/>
      <w:bookmarkStart w:id="814" w:name="_Toc67306746"/>
      <w:bookmarkStart w:id="815" w:name="_Toc67313596"/>
      <w:bookmarkStart w:id="816" w:name="_Toc67320789"/>
      <w:bookmarkStart w:id="817" w:name="_Toc67321942"/>
      <w:bookmarkStart w:id="818" w:name="_Toc67324407"/>
      <w:bookmarkStart w:id="819" w:name="_Toc67326568"/>
      <w:bookmarkStart w:id="820" w:name="_Toc67649116"/>
      <w:bookmarkStart w:id="821" w:name="_Toc67650100"/>
      <w:bookmarkStart w:id="822" w:name="_Toc67650355"/>
      <w:bookmarkStart w:id="823" w:name="_Toc67650647"/>
      <w:bookmarkStart w:id="824" w:name="_Toc67652967"/>
      <w:bookmarkStart w:id="825" w:name="_Toc67653052"/>
      <w:bookmarkStart w:id="826" w:name="_Toc67653484"/>
      <w:bookmarkStart w:id="827" w:name="_Toc67653547"/>
      <w:bookmarkStart w:id="828" w:name="_Toc67649964"/>
      <w:bookmarkStart w:id="829" w:name="_Toc67654050"/>
      <w:bookmarkStart w:id="830" w:name="_Toc67654357"/>
      <w:bookmarkStart w:id="831" w:name="_Toc67654574"/>
      <w:bookmarkStart w:id="832" w:name="_Toc67656181"/>
      <w:bookmarkStart w:id="833" w:name="_Toc67656943"/>
      <w:bookmarkStart w:id="834" w:name="_Toc67659242"/>
      <w:bookmarkStart w:id="835" w:name="_Toc67659743"/>
      <w:bookmarkStart w:id="836" w:name="_Toc67661710"/>
      <w:bookmarkStart w:id="837" w:name="_Toc67662801"/>
      <w:bookmarkStart w:id="838" w:name="_Toc67662942"/>
      <w:bookmarkStart w:id="839" w:name="_Toc67663708"/>
      <w:bookmarkStart w:id="840" w:name="_Toc67664129"/>
      <w:bookmarkStart w:id="841" w:name="_Toc67664448"/>
      <w:bookmarkStart w:id="842" w:name="_Toc67665425"/>
      <w:bookmarkStart w:id="843" w:name="_Toc67667175"/>
      <w:bookmarkStart w:id="844" w:name="_Toc67668248"/>
      <w:bookmarkStart w:id="845" w:name="_Toc67669155"/>
      <w:bookmarkStart w:id="846" w:name="_Toc67665766"/>
      <w:bookmarkStart w:id="847" w:name="_Toc67912155"/>
      <w:bookmarkStart w:id="848" w:name="_Toc67922236"/>
      <w:bookmarkStart w:id="849" w:name="_Toc67929095"/>
      <w:bookmarkStart w:id="850" w:name="_Toc67929389"/>
      <w:bookmarkStart w:id="851" w:name="_Toc67929614"/>
      <w:bookmarkStart w:id="852" w:name="_Toc67927091"/>
      <w:bookmarkStart w:id="853" w:name="_Toc68011256"/>
      <w:bookmarkStart w:id="854" w:name="_Toc68011314"/>
      <w:bookmarkStart w:id="855" w:name="_Toc81919530"/>
      <w:bookmarkStart w:id="856" w:name="_Toc81919804"/>
      <w:bookmarkStart w:id="857" w:name="_Toc81921159"/>
      <w:bookmarkStart w:id="858" w:name="_Toc81923646"/>
      <w:bookmarkStart w:id="859" w:name="_Toc81923761"/>
      <w:bookmarkStart w:id="860" w:name="_Toc81997301"/>
      <w:bookmarkStart w:id="861" w:name="_Toc81998074"/>
      <w:bookmarkStart w:id="862" w:name="_Toc82011838"/>
      <w:bookmarkStart w:id="863" w:name="_Toc82512685"/>
      <w:bookmarkStart w:id="864" w:name="_Toc82516153"/>
      <w:bookmarkStart w:id="865" w:name="_Toc82519104"/>
      <w:bookmarkStart w:id="866" w:name="_Toc82706642"/>
      <w:bookmarkStart w:id="867" w:name="_Toc82790531"/>
      <w:bookmarkStart w:id="868" w:name="_Toc82791050"/>
      <w:bookmarkStart w:id="869" w:name="_Toc82792361"/>
      <w:bookmarkStart w:id="870" w:name="_Toc83290743"/>
      <w:bookmarkStart w:id="871" w:name="_Toc83292752"/>
      <w:bookmarkStart w:id="872" w:name="_Toc83293523"/>
      <w:bookmarkStart w:id="873" w:name="_Toc58418825"/>
      <w:bookmarkEnd w:id="772"/>
      <w:r w:rsidRPr="006A74F8">
        <w:lastRenderedPageBreak/>
        <w:t xml:space="preserve">RIS Question 2: </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003647F6" w:rsidRPr="006A74F8">
        <w:t>Why is government action needed?</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bookmarkEnd w:id="873"/>
    <w:p w:rsidR="00480F76" w:rsidRPr="006A74F8" w:rsidRDefault="00480F76" w:rsidP="00480F76">
      <w:pPr>
        <w:pStyle w:val="Heading2"/>
      </w:pPr>
      <w:r w:rsidRPr="006A74F8">
        <w:t>Overview</w:t>
      </w:r>
    </w:p>
    <w:p w:rsidR="006E137F" w:rsidRPr="006A74F8" w:rsidRDefault="006E137F" w:rsidP="00FD7AC9">
      <w:r w:rsidRPr="006A74F8">
        <w:t xml:space="preserve">Without change, the measurement </w:t>
      </w:r>
      <w:r w:rsidR="00FB28CD" w:rsidRPr="006A74F8">
        <w:t>legislation</w:t>
      </w:r>
      <w:r w:rsidRPr="006A74F8" w:rsidDel="00FB28CD">
        <w:t xml:space="preserve"> </w:t>
      </w:r>
      <w:r w:rsidRPr="006A74F8">
        <w:t xml:space="preserve">will become increasingly outdated, limit innovation and growth, and impact Australia’s ability to maintain its international standing and obligations. There is some potential for industry to provide partial solutions </w:t>
      </w:r>
      <w:r w:rsidR="00AB06F7" w:rsidRPr="006A74F8">
        <w:t>to innovation and international aspects</w:t>
      </w:r>
      <w:r w:rsidR="00587579" w:rsidRPr="006A74F8">
        <w:t>. However,</w:t>
      </w:r>
      <w:r w:rsidRPr="006A74F8">
        <w:t xml:space="preserve"> significant risks exist with this approach, and the underlying</w:t>
      </w:r>
      <w:r w:rsidR="00BE087E" w:rsidRPr="006A74F8">
        <w:t xml:space="preserve"> issues will remain unless g</w:t>
      </w:r>
      <w:r w:rsidRPr="006A74F8">
        <w:t xml:space="preserve">overnment undertakes legislative reform. </w:t>
      </w:r>
    </w:p>
    <w:p w:rsidR="00AC311C" w:rsidRPr="006A74F8" w:rsidRDefault="0024141F" w:rsidP="00FD7AC9">
      <w:pPr>
        <w:pStyle w:val="Heading2"/>
      </w:pPr>
      <w:bookmarkStart w:id="874" w:name="_Toc58418827"/>
      <w:bookmarkStart w:id="875" w:name="_Toc58501212"/>
      <w:bookmarkStart w:id="876" w:name="_Toc61338665"/>
      <w:bookmarkStart w:id="877" w:name="_Toc63286728"/>
      <w:bookmarkStart w:id="878" w:name="_Toc64558443"/>
      <w:bookmarkStart w:id="879" w:name="_Toc64557463"/>
      <w:bookmarkStart w:id="880" w:name="_Toc64562188"/>
      <w:bookmarkStart w:id="881" w:name="_Toc64562444"/>
      <w:bookmarkStart w:id="882" w:name="_Toc64640230"/>
      <w:bookmarkStart w:id="883" w:name="_Toc64641206"/>
      <w:bookmarkStart w:id="884" w:name="_Toc64647148"/>
      <w:bookmarkStart w:id="885" w:name="_Toc64888314"/>
      <w:bookmarkStart w:id="886" w:name="_Toc64888694"/>
      <w:bookmarkStart w:id="887" w:name="_Toc64892969"/>
      <w:bookmarkStart w:id="888" w:name="_Toc64895615"/>
      <w:bookmarkStart w:id="889" w:name="_Toc64900822"/>
      <w:bookmarkStart w:id="890" w:name="_Toc64903088"/>
      <w:bookmarkStart w:id="891" w:name="_Toc64904027"/>
      <w:bookmarkStart w:id="892" w:name="_Toc64904249"/>
      <w:bookmarkStart w:id="893" w:name="_Toc64904692"/>
      <w:bookmarkStart w:id="894" w:name="_Toc64905206"/>
      <w:bookmarkStart w:id="895" w:name="_Toc64963983"/>
      <w:bookmarkStart w:id="896" w:name="_Toc64974581"/>
      <w:bookmarkStart w:id="897" w:name="_Toc64976282"/>
      <w:bookmarkStart w:id="898" w:name="_Toc65149656"/>
      <w:bookmarkStart w:id="899" w:name="_Toc65163433"/>
      <w:bookmarkStart w:id="900" w:name="_Toc65491072"/>
      <w:bookmarkStart w:id="901" w:name="_Toc65504808"/>
      <w:bookmarkStart w:id="902" w:name="_Toc65757891"/>
      <w:bookmarkStart w:id="903" w:name="_Toc65769486"/>
      <w:bookmarkStart w:id="904" w:name="_Toc65766854"/>
      <w:bookmarkStart w:id="905" w:name="_Toc65772628"/>
      <w:bookmarkStart w:id="906" w:name="_Toc66435686"/>
      <w:bookmarkStart w:id="907" w:name="_Toc66436475"/>
      <w:bookmarkStart w:id="908" w:name="_Toc66437686"/>
      <w:bookmarkStart w:id="909" w:name="_Toc66440025"/>
      <w:bookmarkStart w:id="910" w:name="_Toc66442228"/>
      <w:bookmarkStart w:id="911" w:name="_Toc66451897"/>
      <w:bookmarkStart w:id="912" w:name="_Toc66459174"/>
      <w:bookmarkStart w:id="913" w:name="_Toc66460228"/>
      <w:bookmarkStart w:id="914" w:name="_Toc67305382"/>
      <w:bookmarkStart w:id="915" w:name="_Toc67306295"/>
      <w:bookmarkStart w:id="916" w:name="_Toc67306747"/>
      <w:bookmarkStart w:id="917" w:name="_Toc67313597"/>
      <w:bookmarkStart w:id="918" w:name="_Toc67320790"/>
      <w:bookmarkStart w:id="919" w:name="_Toc67321943"/>
      <w:bookmarkStart w:id="920" w:name="_Toc67324408"/>
      <w:bookmarkStart w:id="921" w:name="_Toc67326569"/>
      <w:bookmarkStart w:id="922" w:name="_Toc58418828"/>
      <w:bookmarkStart w:id="923" w:name="_Toc58501213"/>
      <w:bookmarkStart w:id="924" w:name="_Toc61338666"/>
      <w:bookmarkStart w:id="925" w:name="_Toc63062578"/>
      <w:r w:rsidRPr="006A74F8">
        <w:t>The current legislation is increasingly outdated</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rsidR="00AC311C" w:rsidRPr="006A74F8" w:rsidRDefault="00AC311C" w:rsidP="00FD7AC9">
      <w:pPr>
        <w:rPr>
          <w:color w:val="000000"/>
        </w:rPr>
      </w:pPr>
      <w:r w:rsidRPr="006A74F8">
        <w:t xml:space="preserve">While the existing legislation </w:t>
      </w:r>
      <w:r w:rsidR="005554A0" w:rsidRPr="006A74F8">
        <w:t>will</w:t>
      </w:r>
      <w:r w:rsidRPr="006A74F8">
        <w:t xml:space="preserve"> provide a level of measurement confidence for Australia into the future, it will continue to be outpaced by </w:t>
      </w:r>
      <w:r w:rsidR="003C7952" w:rsidRPr="006A74F8">
        <w:t>advance</w:t>
      </w:r>
      <w:r w:rsidRPr="006A74F8">
        <w:t>s in industry and measurement practice and eventually become a significant barrier to innovation. U</w:t>
      </w:r>
      <w:r w:rsidRPr="006A74F8">
        <w:rPr>
          <w:color w:val="000000"/>
        </w:rPr>
        <w:t>nless the</w:t>
      </w:r>
      <w:r w:rsidRPr="006A74F8" w:rsidDel="00FB28CD">
        <w:rPr>
          <w:color w:val="000000"/>
        </w:rPr>
        <w:t xml:space="preserve"> </w:t>
      </w:r>
      <w:r w:rsidR="00FB28CD" w:rsidRPr="006A74F8">
        <w:rPr>
          <w:color w:val="000000"/>
        </w:rPr>
        <w:t xml:space="preserve">legislation </w:t>
      </w:r>
      <w:r w:rsidRPr="006A74F8">
        <w:rPr>
          <w:color w:val="000000"/>
        </w:rPr>
        <w:t>is reformed, the law will remain inflexible and prescriptive, continue to apply a one-size-fits-all approach</w:t>
      </w:r>
      <w:r w:rsidR="00ED2229" w:rsidRPr="006A74F8">
        <w:rPr>
          <w:color w:val="000000"/>
        </w:rPr>
        <w:t xml:space="preserve"> </w:t>
      </w:r>
      <w:r w:rsidRPr="006A74F8">
        <w:rPr>
          <w:color w:val="000000"/>
        </w:rPr>
        <w:t xml:space="preserve">and remain limited by compliance and enforcement arrangements that focus on punishment and deterrence. </w:t>
      </w:r>
      <w:r w:rsidR="00D4547B" w:rsidRPr="006A74F8">
        <w:rPr>
          <w:color w:val="000000"/>
        </w:rPr>
        <w:t>These</w:t>
      </w:r>
      <w:r w:rsidR="0009611A" w:rsidRPr="006A74F8">
        <w:rPr>
          <w:color w:val="000000"/>
        </w:rPr>
        <w:t xml:space="preserve"> change</w:t>
      </w:r>
      <w:r w:rsidR="00D4547B" w:rsidRPr="006A74F8">
        <w:rPr>
          <w:color w:val="000000"/>
        </w:rPr>
        <w:t>s</w:t>
      </w:r>
      <w:r w:rsidR="0009611A" w:rsidRPr="006A74F8">
        <w:rPr>
          <w:color w:val="000000"/>
        </w:rPr>
        <w:t xml:space="preserve"> can only be </w:t>
      </w:r>
      <w:r w:rsidR="00D4547B" w:rsidRPr="006A74F8">
        <w:rPr>
          <w:color w:val="000000"/>
        </w:rPr>
        <w:t>legislated</w:t>
      </w:r>
      <w:r w:rsidR="0009611A" w:rsidRPr="006A74F8">
        <w:rPr>
          <w:color w:val="000000"/>
        </w:rPr>
        <w:t xml:space="preserve"> by government. </w:t>
      </w:r>
    </w:p>
    <w:p w:rsidR="00AC311C" w:rsidRPr="006A74F8" w:rsidRDefault="00AC311C" w:rsidP="00FD7AC9">
      <w:r w:rsidRPr="006A74F8">
        <w:t>The inability of the current legislation to adapt to new and emerging technologies</w:t>
      </w:r>
      <w:r w:rsidR="003C7952" w:rsidRPr="006A74F8">
        <w:t>,</w:t>
      </w:r>
      <w:r w:rsidRPr="006A74F8">
        <w:t xml:space="preserve"> or to support new ways of </w:t>
      </w:r>
      <w:r w:rsidR="00D4547B" w:rsidRPr="006A74F8">
        <w:t>ensuring</w:t>
      </w:r>
      <w:r w:rsidRPr="006A74F8">
        <w:t xml:space="preserve"> measurement accuracy</w:t>
      </w:r>
      <w:r w:rsidR="003C7952" w:rsidRPr="006A74F8">
        <w:t>,</w:t>
      </w:r>
      <w:r w:rsidRPr="006A74F8">
        <w:t xml:space="preserve"> will </w:t>
      </w:r>
      <w:r w:rsidR="003C7952" w:rsidRPr="006A74F8">
        <w:t>result in</w:t>
      </w:r>
      <w:r w:rsidRPr="006A74F8">
        <w:t xml:space="preserve"> Australia </w:t>
      </w:r>
      <w:r w:rsidR="003C7952" w:rsidRPr="006A74F8">
        <w:t>being</w:t>
      </w:r>
      <w:r w:rsidRPr="006A74F8">
        <w:t xml:space="preserve"> left behind the rest of the metrological world. </w:t>
      </w:r>
      <w:r w:rsidR="003C7952" w:rsidRPr="006A74F8">
        <w:t>Without change, A</w:t>
      </w:r>
      <w:r w:rsidRPr="006A74F8">
        <w:t>ustralia</w:t>
      </w:r>
      <w:r w:rsidR="003C7952" w:rsidRPr="006A74F8">
        <w:t xml:space="preserve">’s legislative framework will </w:t>
      </w:r>
      <w:r w:rsidRPr="006A74F8">
        <w:t>increasingly</w:t>
      </w:r>
      <w:r w:rsidR="00345C07" w:rsidRPr="006A74F8">
        <w:t xml:space="preserve"> be</w:t>
      </w:r>
      <w:r w:rsidRPr="006A74F8">
        <w:t>:</w:t>
      </w:r>
    </w:p>
    <w:p w:rsidR="00EC338C" w:rsidRPr="006A74F8" w:rsidRDefault="00BE64E6" w:rsidP="00C812C5">
      <w:pPr>
        <w:pStyle w:val="ListParagraph"/>
        <w:numPr>
          <w:ilvl w:val="0"/>
          <w:numId w:val="29"/>
        </w:numPr>
        <w:tabs>
          <w:tab w:val="left" w:pos="8789"/>
        </w:tabs>
        <w:spacing w:after="240"/>
        <w:rPr>
          <w:rFonts w:cstheme="minorHAnsi"/>
          <w:color w:val="000000"/>
        </w:rPr>
      </w:pPr>
      <w:r w:rsidRPr="006A74F8">
        <w:rPr>
          <w:rFonts w:cstheme="minorHAnsi"/>
          <w:color w:val="000000"/>
        </w:rPr>
        <w:t>o</w:t>
      </w:r>
      <w:r w:rsidR="00AC311C" w:rsidRPr="006A74F8">
        <w:rPr>
          <w:rFonts w:cstheme="minorHAnsi"/>
          <w:color w:val="000000"/>
        </w:rPr>
        <w:t xml:space="preserve">ut-of-step with new and emerging technology </w:t>
      </w:r>
    </w:p>
    <w:p w:rsidR="00EC338C" w:rsidRPr="006A74F8" w:rsidRDefault="00BE64E6" w:rsidP="00C812C5">
      <w:pPr>
        <w:pStyle w:val="ListParagraph"/>
        <w:numPr>
          <w:ilvl w:val="0"/>
          <w:numId w:val="29"/>
        </w:numPr>
        <w:tabs>
          <w:tab w:val="left" w:pos="8789"/>
        </w:tabs>
        <w:spacing w:after="240"/>
        <w:rPr>
          <w:rFonts w:cstheme="minorHAnsi"/>
          <w:color w:val="000000"/>
        </w:rPr>
      </w:pPr>
      <w:r w:rsidRPr="006A74F8">
        <w:rPr>
          <w:rFonts w:cstheme="minorHAnsi"/>
          <w:color w:val="000000"/>
        </w:rPr>
        <w:t>l</w:t>
      </w:r>
      <w:r w:rsidR="00AC311C" w:rsidRPr="006A74F8">
        <w:rPr>
          <w:rFonts w:cstheme="minorHAnsi"/>
          <w:color w:val="000000"/>
        </w:rPr>
        <w:t xml:space="preserve">acking foundational </w:t>
      </w:r>
      <w:r w:rsidR="003C7952" w:rsidRPr="006A74F8">
        <w:rPr>
          <w:rFonts w:cstheme="minorHAnsi"/>
          <w:color w:val="000000"/>
        </w:rPr>
        <w:t xml:space="preserve">legislative </w:t>
      </w:r>
      <w:r w:rsidR="00AC311C" w:rsidRPr="006A74F8">
        <w:rPr>
          <w:rFonts w:cstheme="minorHAnsi"/>
          <w:color w:val="000000"/>
        </w:rPr>
        <w:t>infrastructure to support innovation and growth</w:t>
      </w:r>
    </w:p>
    <w:p w:rsidR="00EC338C" w:rsidRPr="006A74F8" w:rsidRDefault="00BE64E6" w:rsidP="00C812C5">
      <w:pPr>
        <w:pStyle w:val="ListParagraph"/>
        <w:numPr>
          <w:ilvl w:val="0"/>
          <w:numId w:val="29"/>
        </w:numPr>
        <w:tabs>
          <w:tab w:val="left" w:pos="8789"/>
        </w:tabs>
        <w:spacing w:after="240"/>
        <w:rPr>
          <w:rFonts w:cstheme="minorHAnsi"/>
          <w:color w:val="000000"/>
        </w:rPr>
      </w:pPr>
      <w:r w:rsidRPr="006A74F8">
        <w:rPr>
          <w:rFonts w:cstheme="minorHAnsi"/>
          <w:color w:val="000000"/>
        </w:rPr>
        <w:t>u</w:t>
      </w:r>
      <w:r w:rsidR="00AC311C" w:rsidRPr="006A74F8">
        <w:rPr>
          <w:rFonts w:cstheme="minorHAnsi"/>
          <w:color w:val="000000"/>
        </w:rPr>
        <w:t>nable to support Australian businesses to compete in international market</w:t>
      </w:r>
      <w:r w:rsidR="00A519C8" w:rsidRPr="006A74F8">
        <w:rPr>
          <w:rFonts w:cstheme="minorHAnsi"/>
          <w:color w:val="000000"/>
        </w:rPr>
        <w:t>s</w:t>
      </w:r>
      <w:r w:rsidR="00AC311C" w:rsidRPr="006A74F8">
        <w:rPr>
          <w:rFonts w:cstheme="minorHAnsi"/>
          <w:color w:val="000000"/>
        </w:rPr>
        <w:t xml:space="preserve"> with confidence</w:t>
      </w:r>
    </w:p>
    <w:p w:rsidR="00CC4047" w:rsidRPr="006A74F8" w:rsidRDefault="00BE64E6" w:rsidP="00C812C5">
      <w:pPr>
        <w:pStyle w:val="ListParagraph"/>
        <w:numPr>
          <w:ilvl w:val="0"/>
          <w:numId w:val="29"/>
        </w:numPr>
        <w:tabs>
          <w:tab w:val="left" w:pos="8789"/>
        </w:tabs>
        <w:spacing w:after="240"/>
        <w:rPr>
          <w:rFonts w:cstheme="minorHAnsi"/>
          <w:color w:val="000000"/>
        </w:rPr>
      </w:pPr>
      <w:r w:rsidRPr="006A74F8">
        <w:rPr>
          <w:rFonts w:cstheme="minorHAnsi"/>
          <w:color w:val="000000"/>
        </w:rPr>
        <w:t>u</w:t>
      </w:r>
      <w:r w:rsidR="00CC4047" w:rsidRPr="006A74F8">
        <w:rPr>
          <w:rFonts w:cstheme="minorHAnsi"/>
          <w:color w:val="000000"/>
        </w:rPr>
        <w:t>nable to accommodate some modern advances developed overseas, potentially limiting Australia’s access to advances in measurement technology</w:t>
      </w:r>
    </w:p>
    <w:p w:rsidR="00EC338C" w:rsidRPr="006A74F8" w:rsidRDefault="00BE64E6" w:rsidP="00C812C5">
      <w:pPr>
        <w:pStyle w:val="ListParagraph"/>
        <w:numPr>
          <w:ilvl w:val="0"/>
          <w:numId w:val="29"/>
        </w:numPr>
        <w:tabs>
          <w:tab w:val="left" w:pos="8789"/>
        </w:tabs>
        <w:spacing w:after="240"/>
        <w:rPr>
          <w:rFonts w:cstheme="minorHAnsi"/>
          <w:color w:val="000000"/>
        </w:rPr>
      </w:pPr>
      <w:r w:rsidRPr="006A74F8">
        <w:rPr>
          <w:rFonts w:cstheme="minorHAnsi"/>
          <w:color w:val="000000"/>
        </w:rPr>
        <w:t>u</w:t>
      </w:r>
      <w:r w:rsidR="00AC311C" w:rsidRPr="006A74F8">
        <w:rPr>
          <w:rFonts w:cstheme="minorHAnsi"/>
          <w:color w:val="000000"/>
        </w:rPr>
        <w:t>nattractive to key regional and international collaboration partners, resulting in:</w:t>
      </w:r>
    </w:p>
    <w:p w:rsidR="00EC338C" w:rsidRPr="006A74F8" w:rsidRDefault="00AC311C" w:rsidP="00C812C5">
      <w:pPr>
        <w:pStyle w:val="ListParagraph"/>
        <w:numPr>
          <w:ilvl w:val="1"/>
          <w:numId w:val="29"/>
        </w:numPr>
        <w:tabs>
          <w:tab w:val="left" w:pos="8789"/>
        </w:tabs>
        <w:spacing w:after="240"/>
        <w:rPr>
          <w:rFonts w:cstheme="minorHAnsi"/>
          <w:color w:val="000000"/>
        </w:rPr>
      </w:pPr>
      <w:r w:rsidRPr="006A74F8">
        <w:rPr>
          <w:rFonts w:cstheme="minorHAnsi"/>
          <w:color w:val="000000"/>
        </w:rPr>
        <w:t>diminishing opportunities to leverage international expertise and investment</w:t>
      </w:r>
    </w:p>
    <w:p w:rsidR="00AC311C" w:rsidRPr="006A74F8" w:rsidRDefault="00AC311C" w:rsidP="00C812C5">
      <w:pPr>
        <w:pStyle w:val="ListParagraph"/>
        <w:numPr>
          <w:ilvl w:val="1"/>
          <w:numId w:val="29"/>
        </w:numPr>
        <w:tabs>
          <w:tab w:val="left" w:pos="8789"/>
        </w:tabs>
        <w:spacing w:after="240"/>
        <w:rPr>
          <w:rFonts w:cstheme="minorHAnsi"/>
          <w:color w:val="000000"/>
        </w:rPr>
      </w:pPr>
      <w:r w:rsidRPr="006A74F8">
        <w:rPr>
          <w:rFonts w:cstheme="minorHAnsi"/>
          <w:color w:val="000000"/>
        </w:rPr>
        <w:t>a reduction of Australia’s influence and reputation</w:t>
      </w:r>
      <w:r w:rsidR="00F2546C" w:rsidRPr="006A74F8">
        <w:rPr>
          <w:rFonts w:cstheme="minorHAnsi"/>
          <w:color w:val="000000"/>
        </w:rPr>
        <w:t>,</w:t>
      </w:r>
      <w:r w:rsidRPr="006A74F8">
        <w:rPr>
          <w:rFonts w:cstheme="minorHAnsi"/>
          <w:color w:val="000000"/>
        </w:rPr>
        <w:t xml:space="preserve"> both regionally and globally.</w:t>
      </w:r>
    </w:p>
    <w:p w:rsidR="00AC311C" w:rsidRPr="006A74F8" w:rsidRDefault="00FE5FCA" w:rsidP="00FD7AC9">
      <w:r w:rsidRPr="006A74F8">
        <w:t>The increasing complexity of technology is producing diverse measurement systems and outputs that are moving away from the traditional national hierarchy of measurement standards. There is likely to be an increase in the degree of confusion and uncertainty within the economy about the accuracy and reliability of such measurements. This uncertainty will reduce industry confidence in the measurement services that their activities rely on.</w:t>
      </w:r>
    </w:p>
    <w:p w:rsidR="00AC311C" w:rsidRPr="006A74F8" w:rsidRDefault="00FE5FCA" w:rsidP="00FD7AC9">
      <w:r w:rsidRPr="006A74F8">
        <w:t>The increasing reliance on digitally-enabled, inter-connected measurement devices and processes brings an associated increase in the risk of incorrect measurements, and potentially of fraud facilitated or manipulated by malicious software or devices. Maintaining</w:t>
      </w:r>
      <w:r w:rsidRPr="006A74F8" w:rsidDel="00FB28CD">
        <w:t xml:space="preserve"> </w:t>
      </w:r>
      <w:r w:rsidRPr="006A74F8">
        <w:t>outdated measurement legislation may leave Australia vulnerable, and ill</w:t>
      </w:r>
      <w:r w:rsidRPr="006A74F8">
        <w:noBreakHyphen/>
        <w:t xml:space="preserve">equipped to protect itself from these types of fraudulent measurement practices. Examples include </w:t>
      </w:r>
      <w:r w:rsidR="004658E7" w:rsidRPr="006A74F8">
        <w:t xml:space="preserve">online </w:t>
      </w:r>
      <w:r w:rsidRPr="006A74F8">
        <w:t>measurement-based transactions from international sellers, or where digital transfer of measurement data across the national border occurs.</w:t>
      </w:r>
    </w:p>
    <w:p w:rsidR="006E137F" w:rsidRPr="006A74F8" w:rsidRDefault="0024141F" w:rsidP="00FD7AC9">
      <w:pPr>
        <w:pStyle w:val="Heading2"/>
      </w:pPr>
      <w:bookmarkStart w:id="926" w:name="_Toc64558444"/>
      <w:bookmarkStart w:id="927" w:name="_Toc64557464"/>
      <w:bookmarkStart w:id="928" w:name="_Toc64562189"/>
      <w:bookmarkStart w:id="929" w:name="_Toc64562445"/>
      <w:bookmarkStart w:id="930" w:name="_Toc64640231"/>
      <w:bookmarkStart w:id="931" w:name="_Toc64641207"/>
      <w:bookmarkStart w:id="932" w:name="_Toc64647149"/>
      <w:bookmarkStart w:id="933" w:name="_Toc64888315"/>
      <w:bookmarkStart w:id="934" w:name="_Toc64888695"/>
      <w:bookmarkStart w:id="935" w:name="_Toc64892970"/>
      <w:bookmarkStart w:id="936" w:name="_Toc64895616"/>
      <w:bookmarkStart w:id="937" w:name="_Toc64900823"/>
      <w:bookmarkStart w:id="938" w:name="_Toc64903089"/>
      <w:bookmarkStart w:id="939" w:name="_Toc64904028"/>
      <w:bookmarkStart w:id="940" w:name="_Toc64904250"/>
      <w:bookmarkStart w:id="941" w:name="_Toc64904693"/>
      <w:bookmarkStart w:id="942" w:name="_Toc64905207"/>
      <w:bookmarkStart w:id="943" w:name="_Toc64963984"/>
      <w:bookmarkStart w:id="944" w:name="_Toc64974582"/>
      <w:bookmarkStart w:id="945" w:name="_Toc64976283"/>
      <w:bookmarkStart w:id="946" w:name="_Toc65149657"/>
      <w:bookmarkStart w:id="947" w:name="_Toc65163434"/>
      <w:bookmarkStart w:id="948" w:name="_Toc65491073"/>
      <w:bookmarkStart w:id="949" w:name="_Toc65504809"/>
      <w:bookmarkStart w:id="950" w:name="_Toc65757892"/>
      <w:bookmarkStart w:id="951" w:name="_Toc65769487"/>
      <w:bookmarkStart w:id="952" w:name="_Toc65766855"/>
      <w:bookmarkStart w:id="953" w:name="_Toc65772629"/>
      <w:bookmarkStart w:id="954" w:name="_Toc66435687"/>
      <w:bookmarkStart w:id="955" w:name="_Toc66436476"/>
      <w:bookmarkStart w:id="956" w:name="_Toc66437687"/>
      <w:bookmarkStart w:id="957" w:name="_Toc66440026"/>
      <w:bookmarkStart w:id="958" w:name="_Toc66442229"/>
      <w:bookmarkStart w:id="959" w:name="_Toc66451898"/>
      <w:bookmarkStart w:id="960" w:name="_Toc66459175"/>
      <w:bookmarkStart w:id="961" w:name="_Toc66460229"/>
      <w:bookmarkStart w:id="962" w:name="_Toc67305383"/>
      <w:bookmarkStart w:id="963" w:name="_Toc67306296"/>
      <w:bookmarkStart w:id="964" w:name="_Toc67306748"/>
      <w:bookmarkStart w:id="965" w:name="_Toc67313598"/>
      <w:bookmarkStart w:id="966" w:name="_Toc67320791"/>
      <w:bookmarkStart w:id="967" w:name="_Toc67321944"/>
      <w:bookmarkStart w:id="968" w:name="_Toc67324409"/>
      <w:bookmarkStart w:id="969" w:name="_Toc67326570"/>
      <w:r w:rsidRPr="006A74F8">
        <w:lastRenderedPageBreak/>
        <w:t>The private sector cannot ensure a level playing field</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rsidR="001454D3" w:rsidRPr="006A74F8" w:rsidRDefault="001454D3" w:rsidP="00FD7AC9">
      <w:bookmarkStart w:id="970" w:name="_Toc58418829"/>
      <w:bookmarkStart w:id="971" w:name="_Toc58501214"/>
      <w:bookmarkStart w:id="972" w:name="_Toc61338667"/>
      <w:bookmarkStart w:id="973" w:name="_Toc63062579"/>
      <w:r w:rsidRPr="006A74F8">
        <w:t xml:space="preserve">Due to the nature of the measurement system and its pervasiveness in the economy, it is not appropriate to rely on the private sector to solve the measurement challenges facing Australia. Whilst the private sector could address some of the issues, government intervention and stewardship of the system is required, and legislative amendment </w:t>
      </w:r>
      <w:r w:rsidR="00F2546C" w:rsidRPr="006A74F8">
        <w:t>is</w:t>
      </w:r>
      <w:r w:rsidRPr="006A74F8">
        <w:t xml:space="preserve"> required to </w:t>
      </w:r>
      <w:r w:rsidR="00A10508" w:rsidRPr="006A74F8">
        <w:t>prevent significant market failures</w:t>
      </w:r>
      <w:r w:rsidRPr="006A74F8">
        <w:t xml:space="preserve">. </w:t>
      </w:r>
    </w:p>
    <w:p w:rsidR="0022249F" w:rsidRPr="006A74F8" w:rsidRDefault="0022249F" w:rsidP="00FD7AC9">
      <w:r w:rsidRPr="006A74F8">
        <w:t xml:space="preserve">The </w:t>
      </w:r>
      <w:r w:rsidR="004A3485" w:rsidRPr="006A74F8">
        <w:t>6</w:t>
      </w:r>
      <w:r w:rsidRPr="006A74F8">
        <w:t xml:space="preserve"> key issues </w:t>
      </w:r>
      <w:r w:rsidR="00C93BCC" w:rsidRPr="006A74F8">
        <w:t xml:space="preserve">identified in </w:t>
      </w:r>
      <w:r w:rsidR="0055702B" w:rsidRPr="006A74F8">
        <w:t>response to RIS Question 1</w:t>
      </w:r>
      <w:r w:rsidR="00C93BCC" w:rsidRPr="006A74F8">
        <w:t xml:space="preserve"> </w:t>
      </w:r>
      <w:r w:rsidRPr="006A74F8">
        <w:t>are repeated below for ease of reference. They are:</w:t>
      </w:r>
    </w:p>
    <w:p w:rsidR="00F2546C" w:rsidRPr="006A74F8" w:rsidRDefault="00F2546C" w:rsidP="00C812C5">
      <w:pPr>
        <w:pStyle w:val="ListParagraph"/>
        <w:numPr>
          <w:ilvl w:val="0"/>
          <w:numId w:val="62"/>
        </w:numPr>
        <w:rPr>
          <w:rFonts w:cstheme="minorHAnsi"/>
        </w:rPr>
      </w:pPr>
      <w:r w:rsidRPr="006A74F8">
        <w:rPr>
          <w:rFonts w:cstheme="minorHAnsi"/>
        </w:rPr>
        <w:t>Emerging measuring instrument technologies require a new approach</w:t>
      </w:r>
      <w:r w:rsidR="003B1E94" w:rsidRPr="006A74F8">
        <w:rPr>
          <w:rFonts w:cstheme="minorHAnsi"/>
        </w:rPr>
        <w:t>.</w:t>
      </w:r>
    </w:p>
    <w:p w:rsidR="00F2546C" w:rsidRPr="006A74F8" w:rsidRDefault="00F2546C" w:rsidP="00C812C5">
      <w:pPr>
        <w:pStyle w:val="ListParagraph"/>
        <w:numPr>
          <w:ilvl w:val="0"/>
          <w:numId w:val="62"/>
        </w:numPr>
        <w:rPr>
          <w:rFonts w:cstheme="minorHAnsi"/>
        </w:rPr>
      </w:pPr>
      <w:r w:rsidRPr="006A74F8">
        <w:rPr>
          <w:rFonts w:cstheme="minorHAnsi"/>
        </w:rPr>
        <w:t>The international measurement system is evolving and creating new ways to recognise legal measurements</w:t>
      </w:r>
      <w:r w:rsidR="003B1E94" w:rsidRPr="006A74F8">
        <w:rPr>
          <w:rFonts w:cstheme="minorHAnsi"/>
        </w:rPr>
        <w:t>.</w:t>
      </w:r>
    </w:p>
    <w:p w:rsidR="00F2546C" w:rsidRPr="006A74F8" w:rsidRDefault="00F2546C" w:rsidP="00C812C5">
      <w:pPr>
        <w:pStyle w:val="ListParagraph"/>
        <w:numPr>
          <w:ilvl w:val="0"/>
          <w:numId w:val="62"/>
        </w:numPr>
        <w:rPr>
          <w:rFonts w:cstheme="minorHAnsi"/>
        </w:rPr>
      </w:pPr>
      <w:r w:rsidRPr="006A74F8">
        <w:rPr>
          <w:rFonts w:cstheme="minorHAnsi"/>
        </w:rPr>
        <w:t>Industry has identified some prescriptive requirements as burdensome and unnecessary</w:t>
      </w:r>
      <w:r w:rsidR="003B1E94" w:rsidRPr="006A74F8">
        <w:rPr>
          <w:rFonts w:cstheme="minorHAnsi"/>
        </w:rPr>
        <w:t>.</w:t>
      </w:r>
    </w:p>
    <w:p w:rsidR="00F2546C" w:rsidRPr="006A74F8" w:rsidRDefault="00F2546C" w:rsidP="00C812C5">
      <w:pPr>
        <w:pStyle w:val="ListParagraph"/>
        <w:numPr>
          <w:ilvl w:val="0"/>
          <w:numId w:val="62"/>
        </w:numPr>
        <w:rPr>
          <w:rFonts w:cstheme="minorHAnsi"/>
        </w:rPr>
      </w:pPr>
      <w:r w:rsidRPr="006A74F8">
        <w:rPr>
          <w:rFonts w:cstheme="minorHAnsi"/>
        </w:rPr>
        <w:t>Australia’s trading environment and economy have matured significantly since 1960</w:t>
      </w:r>
      <w:r w:rsidR="003B1E94" w:rsidRPr="006A74F8">
        <w:rPr>
          <w:rFonts w:cstheme="minorHAnsi"/>
        </w:rPr>
        <w:t>.</w:t>
      </w:r>
    </w:p>
    <w:p w:rsidR="00F2546C" w:rsidRPr="006A74F8" w:rsidRDefault="00F2546C" w:rsidP="00C812C5">
      <w:pPr>
        <w:pStyle w:val="ListParagraph"/>
        <w:numPr>
          <w:ilvl w:val="0"/>
          <w:numId w:val="62"/>
        </w:numPr>
        <w:rPr>
          <w:rFonts w:cstheme="minorHAnsi"/>
        </w:rPr>
      </w:pPr>
      <w:r w:rsidRPr="006A74F8">
        <w:rPr>
          <w:rFonts w:cstheme="minorHAnsi"/>
        </w:rPr>
        <w:t>Exemptions need to be reviewed and more flexible</w:t>
      </w:r>
      <w:r w:rsidR="003B1E94" w:rsidRPr="006A74F8">
        <w:rPr>
          <w:rFonts w:cstheme="minorHAnsi"/>
        </w:rPr>
        <w:t>.</w:t>
      </w:r>
    </w:p>
    <w:p w:rsidR="00F2546C" w:rsidRPr="006A74F8" w:rsidRDefault="00F2546C" w:rsidP="00C812C5">
      <w:pPr>
        <w:pStyle w:val="ListParagraph"/>
        <w:numPr>
          <w:ilvl w:val="0"/>
          <w:numId w:val="62"/>
        </w:numPr>
        <w:rPr>
          <w:rFonts w:cstheme="minorHAnsi"/>
        </w:rPr>
      </w:pPr>
      <w:r w:rsidRPr="006A74F8">
        <w:rPr>
          <w:rFonts w:cstheme="minorHAnsi"/>
        </w:rPr>
        <w:t>Compliance and enforcement mechanisms are limited</w:t>
      </w:r>
      <w:r w:rsidR="003B1E94" w:rsidRPr="006A74F8">
        <w:rPr>
          <w:rFonts w:cstheme="minorHAnsi"/>
        </w:rPr>
        <w:t>.</w:t>
      </w:r>
    </w:p>
    <w:p w:rsidR="001454D3" w:rsidRPr="006A74F8" w:rsidRDefault="001454D3" w:rsidP="00FD7AC9">
      <w:r w:rsidRPr="006A74F8">
        <w:t xml:space="preserve">The legislative focus of issues </w:t>
      </w:r>
      <w:r w:rsidR="009B5490" w:rsidRPr="006A74F8">
        <w:t xml:space="preserve">3 </w:t>
      </w:r>
      <w:r w:rsidR="0022249F" w:rsidRPr="006A74F8">
        <w:t xml:space="preserve">to </w:t>
      </w:r>
      <w:r w:rsidR="009B5490" w:rsidRPr="006A74F8">
        <w:t>6</w:t>
      </w:r>
      <w:r w:rsidRPr="006A74F8">
        <w:t xml:space="preserve"> require government intervention to ensure the intent is still achieved, although in a more fit for purpose way. </w:t>
      </w:r>
    </w:p>
    <w:p w:rsidR="001454D3" w:rsidRPr="006A74F8" w:rsidRDefault="001454D3" w:rsidP="00FD7AC9">
      <w:r w:rsidRPr="006A74F8">
        <w:t xml:space="preserve">While legislative </w:t>
      </w:r>
      <w:r w:rsidR="00C93BCC" w:rsidRPr="006A74F8">
        <w:t>concerns</w:t>
      </w:r>
      <w:r w:rsidRPr="006A74F8">
        <w:t xml:space="preserve"> are still a large contributor to </w:t>
      </w:r>
      <w:r w:rsidR="005554A0" w:rsidRPr="006A74F8">
        <w:t xml:space="preserve">the first </w:t>
      </w:r>
      <w:r w:rsidR="00842066" w:rsidRPr="006A74F8">
        <w:t>2</w:t>
      </w:r>
      <w:r w:rsidR="005554A0" w:rsidRPr="006A74F8">
        <w:t xml:space="preserve"> issues</w:t>
      </w:r>
      <w:r w:rsidRPr="006A74F8">
        <w:t xml:space="preserve">, and some degree of legislative amendment is needed to enable new areas to be covered, there is potential for them to be partially addressed through private sector solutions. Non-legislative barriers to private sector solutions emerging to address issues one and </w:t>
      </w:r>
      <w:r w:rsidR="00F44681" w:rsidRPr="006A74F8">
        <w:t>2</w:t>
      </w:r>
      <w:r w:rsidRPr="006A74F8">
        <w:t xml:space="preserve"> include:</w:t>
      </w:r>
    </w:p>
    <w:p w:rsidR="00EC338C" w:rsidRPr="006A74F8" w:rsidRDefault="004F7978" w:rsidP="00C812C5">
      <w:pPr>
        <w:pStyle w:val="ListParagraph"/>
        <w:numPr>
          <w:ilvl w:val="0"/>
          <w:numId w:val="30"/>
        </w:numPr>
        <w:tabs>
          <w:tab w:val="left" w:pos="8789"/>
        </w:tabs>
        <w:spacing w:after="240"/>
        <w:rPr>
          <w:rFonts w:cstheme="minorHAnsi"/>
          <w:color w:val="000000"/>
        </w:rPr>
      </w:pPr>
      <w:r w:rsidRPr="006A74F8">
        <w:rPr>
          <w:rFonts w:cstheme="minorHAnsi"/>
          <w:color w:val="000000"/>
        </w:rPr>
        <w:t>l</w:t>
      </w:r>
      <w:r w:rsidR="001454D3" w:rsidRPr="006A74F8">
        <w:rPr>
          <w:rFonts w:cstheme="minorHAnsi"/>
          <w:color w:val="000000"/>
        </w:rPr>
        <w:t>ack of financial incentive to provide complete or sustained</w:t>
      </w:r>
      <w:r w:rsidR="007C7CF3" w:rsidRPr="006A74F8">
        <w:rPr>
          <w:rFonts w:cstheme="minorHAnsi"/>
          <w:color w:val="000000"/>
        </w:rPr>
        <w:t xml:space="preserve"> </w:t>
      </w:r>
      <w:r w:rsidR="001454D3" w:rsidRPr="006A74F8">
        <w:rPr>
          <w:rFonts w:cstheme="minorHAnsi"/>
          <w:color w:val="000000"/>
        </w:rPr>
        <w:t>long term solutions</w:t>
      </w:r>
    </w:p>
    <w:p w:rsidR="00EC338C" w:rsidRPr="006A74F8" w:rsidRDefault="004F7978" w:rsidP="00C812C5">
      <w:pPr>
        <w:pStyle w:val="ListParagraph"/>
        <w:numPr>
          <w:ilvl w:val="0"/>
          <w:numId w:val="30"/>
        </w:numPr>
        <w:tabs>
          <w:tab w:val="left" w:pos="8789"/>
        </w:tabs>
        <w:spacing w:after="240"/>
        <w:rPr>
          <w:rFonts w:cstheme="minorHAnsi"/>
          <w:color w:val="000000"/>
        </w:rPr>
      </w:pPr>
      <w:r w:rsidRPr="006A74F8">
        <w:rPr>
          <w:rFonts w:cstheme="minorHAnsi"/>
          <w:color w:val="000000"/>
        </w:rPr>
        <w:t>r</w:t>
      </w:r>
      <w:r w:rsidR="001454D3" w:rsidRPr="006A74F8">
        <w:rPr>
          <w:rFonts w:cstheme="minorHAnsi"/>
          <w:color w:val="000000"/>
        </w:rPr>
        <w:t>eal or perceived conflicts of interest and lack of impartiality</w:t>
      </w:r>
    </w:p>
    <w:p w:rsidR="00EC338C" w:rsidRPr="006A74F8" w:rsidRDefault="004F7978" w:rsidP="00C812C5">
      <w:pPr>
        <w:pStyle w:val="ListParagraph"/>
        <w:numPr>
          <w:ilvl w:val="0"/>
          <w:numId w:val="30"/>
        </w:numPr>
        <w:tabs>
          <w:tab w:val="left" w:pos="8789"/>
        </w:tabs>
        <w:spacing w:after="240"/>
        <w:rPr>
          <w:rFonts w:cstheme="minorHAnsi"/>
          <w:color w:val="000000"/>
        </w:rPr>
      </w:pPr>
      <w:r w:rsidRPr="006A74F8">
        <w:rPr>
          <w:rFonts w:cstheme="minorHAnsi"/>
          <w:color w:val="000000"/>
        </w:rPr>
        <w:t>l</w:t>
      </w:r>
      <w:r w:rsidR="001454D3" w:rsidRPr="006A74F8">
        <w:rPr>
          <w:rFonts w:cstheme="minorHAnsi"/>
          <w:color w:val="000000"/>
        </w:rPr>
        <w:t xml:space="preserve">ack of expertise to </w:t>
      </w:r>
      <w:r w:rsidR="007B2E16" w:rsidRPr="006A74F8">
        <w:rPr>
          <w:rFonts w:cstheme="minorHAnsi"/>
          <w:color w:val="000000"/>
        </w:rPr>
        <w:t>implement and maintain</w:t>
      </w:r>
      <w:r w:rsidR="001454D3" w:rsidRPr="006A74F8">
        <w:rPr>
          <w:rFonts w:cstheme="minorHAnsi"/>
          <w:color w:val="000000"/>
        </w:rPr>
        <w:t xml:space="preserve"> the infrastructure needed across an economy</w:t>
      </w:r>
    </w:p>
    <w:p w:rsidR="00EC338C" w:rsidRPr="006A74F8" w:rsidRDefault="004F7978" w:rsidP="00C812C5">
      <w:pPr>
        <w:pStyle w:val="ListParagraph"/>
        <w:numPr>
          <w:ilvl w:val="0"/>
          <w:numId w:val="30"/>
        </w:numPr>
        <w:tabs>
          <w:tab w:val="left" w:pos="8789"/>
        </w:tabs>
        <w:spacing w:after="240"/>
        <w:rPr>
          <w:rFonts w:cstheme="minorHAnsi"/>
          <w:color w:val="000000"/>
        </w:rPr>
      </w:pPr>
      <w:r w:rsidRPr="006A74F8">
        <w:rPr>
          <w:rFonts w:cstheme="minorHAnsi"/>
          <w:color w:val="000000"/>
        </w:rPr>
        <w:t>s</w:t>
      </w:r>
      <w:r w:rsidR="00F11517" w:rsidRPr="006A74F8">
        <w:rPr>
          <w:rFonts w:cstheme="minorHAnsi"/>
          <w:color w:val="000000"/>
        </w:rPr>
        <w:t>maller market sizes in Australia meaning less opportunities for economies of scale</w:t>
      </w:r>
      <w:r w:rsidR="001454D3" w:rsidRPr="006A74F8">
        <w:rPr>
          <w:rFonts w:cstheme="minorHAnsi"/>
          <w:color w:val="000000"/>
        </w:rPr>
        <w:t xml:space="preserve">. </w:t>
      </w:r>
    </w:p>
    <w:p w:rsidR="001454D3" w:rsidRPr="006A74F8" w:rsidRDefault="001454D3" w:rsidP="00FD7AC9">
      <w:r w:rsidRPr="006A74F8">
        <w:t>Risks with private sector led solutions</w:t>
      </w:r>
      <w:r w:rsidR="001222EA" w:rsidRPr="006A74F8">
        <w:t xml:space="preserve"> in these areas</w:t>
      </w:r>
      <w:r w:rsidRPr="006A74F8">
        <w:t xml:space="preserve"> include:</w:t>
      </w:r>
    </w:p>
    <w:p w:rsidR="00EC338C" w:rsidRPr="006A74F8" w:rsidRDefault="00C93BCC" w:rsidP="00C812C5">
      <w:pPr>
        <w:pStyle w:val="ListParagraph"/>
        <w:numPr>
          <w:ilvl w:val="0"/>
          <w:numId w:val="31"/>
        </w:numPr>
        <w:spacing w:after="240"/>
        <w:rPr>
          <w:rFonts w:cstheme="minorHAnsi"/>
        </w:rPr>
      </w:pPr>
      <w:r w:rsidRPr="006A74F8">
        <w:rPr>
          <w:rFonts w:cstheme="minorHAnsi"/>
          <w:b/>
        </w:rPr>
        <w:t>Market failure</w:t>
      </w:r>
      <w:r w:rsidR="00A51185" w:rsidRPr="006A74F8">
        <w:rPr>
          <w:rFonts w:cstheme="minorHAnsi"/>
          <w:b/>
        </w:rPr>
        <w:t>:</w:t>
      </w:r>
      <w:r w:rsidR="004F7978" w:rsidRPr="006A74F8">
        <w:rPr>
          <w:rFonts w:cstheme="minorHAnsi"/>
          <w:color w:val="000000"/>
        </w:rPr>
        <w:t xml:space="preserve"> </w:t>
      </w:r>
      <w:r w:rsidR="00735040" w:rsidRPr="006A74F8">
        <w:rPr>
          <w:rFonts w:cstheme="minorHAnsi"/>
        </w:rPr>
        <w:t>a</w:t>
      </w:r>
      <w:r w:rsidR="001454D3" w:rsidRPr="006A74F8">
        <w:rPr>
          <w:rFonts w:cstheme="minorHAnsi"/>
        </w:rPr>
        <w:t>n individual business may be at a disadvantage investing in the development of a measurement standard through a privately funded project. This is because other firms benefit at their expense (a free rider problem</w:t>
      </w:r>
      <w:r w:rsidR="004658E7" w:rsidRPr="006A74F8">
        <w:rPr>
          <w:rFonts w:cstheme="minorHAnsi"/>
        </w:rPr>
        <w:t>).</w:t>
      </w:r>
      <w:r w:rsidR="001454D3" w:rsidRPr="006A74F8">
        <w:rPr>
          <w:szCs w:val="16"/>
          <w:vertAlign w:val="superscript"/>
        </w:rPr>
        <w:footnoteReference w:id="21"/>
      </w:r>
      <w:r w:rsidR="001454D3" w:rsidRPr="006A74F8">
        <w:rPr>
          <w:rFonts w:cstheme="minorHAnsi"/>
        </w:rPr>
        <w:t xml:space="preserve"> Consequentially, businesses may exclude others from accessing the standard, resulting in an individual but not market solution.</w:t>
      </w:r>
    </w:p>
    <w:p w:rsidR="00EC338C" w:rsidRPr="006A74F8" w:rsidRDefault="001454D3" w:rsidP="00C812C5">
      <w:pPr>
        <w:pStyle w:val="ListParagraph"/>
        <w:numPr>
          <w:ilvl w:val="0"/>
          <w:numId w:val="31"/>
        </w:numPr>
        <w:spacing w:after="240"/>
        <w:rPr>
          <w:rFonts w:cstheme="minorHAnsi"/>
        </w:rPr>
      </w:pPr>
      <w:r w:rsidRPr="006A74F8">
        <w:rPr>
          <w:rFonts w:cstheme="minorHAnsi"/>
          <w:b/>
        </w:rPr>
        <w:t>Unfair market advantage</w:t>
      </w:r>
      <w:r w:rsidR="00A51185" w:rsidRPr="006A74F8">
        <w:rPr>
          <w:rFonts w:cstheme="minorHAnsi"/>
          <w:b/>
        </w:rPr>
        <w:t>:</w:t>
      </w:r>
      <w:r w:rsidR="004F7978" w:rsidRPr="006A74F8">
        <w:rPr>
          <w:rFonts w:cstheme="minorHAnsi"/>
          <w:color w:val="000000"/>
        </w:rPr>
        <w:t xml:space="preserve"> </w:t>
      </w:r>
      <w:r w:rsidR="00735040" w:rsidRPr="006A74F8">
        <w:rPr>
          <w:rFonts w:cstheme="minorHAnsi"/>
        </w:rPr>
        <w:t>b</w:t>
      </w:r>
      <w:r w:rsidRPr="006A74F8">
        <w:rPr>
          <w:rFonts w:cstheme="minorHAnsi"/>
        </w:rPr>
        <w:t>usinesses exercising their interests may result in market distortion, monopoly and anti-competitive behaviour while increased transaction costs and inefficiencies may be placed on other operators in the market.</w:t>
      </w:r>
    </w:p>
    <w:p w:rsidR="00EC338C" w:rsidRPr="006A74F8" w:rsidRDefault="001454D3" w:rsidP="00C812C5">
      <w:pPr>
        <w:pStyle w:val="ListParagraph"/>
        <w:numPr>
          <w:ilvl w:val="0"/>
          <w:numId w:val="31"/>
        </w:numPr>
        <w:spacing w:after="240"/>
        <w:rPr>
          <w:rFonts w:cstheme="minorHAnsi"/>
        </w:rPr>
      </w:pPr>
      <w:r w:rsidRPr="006A74F8">
        <w:rPr>
          <w:rFonts w:cstheme="minorHAnsi"/>
          <w:b/>
        </w:rPr>
        <w:t>Partial solutions</w:t>
      </w:r>
      <w:r w:rsidR="00A51185" w:rsidRPr="006A74F8">
        <w:rPr>
          <w:rFonts w:cstheme="minorHAnsi"/>
          <w:b/>
        </w:rPr>
        <w:t>:</w:t>
      </w:r>
      <w:r w:rsidR="004F7978" w:rsidRPr="006A74F8">
        <w:rPr>
          <w:rFonts w:cstheme="minorHAnsi"/>
          <w:color w:val="000000"/>
        </w:rPr>
        <w:t xml:space="preserve"> </w:t>
      </w:r>
      <w:r w:rsidR="00735040" w:rsidRPr="006A74F8">
        <w:rPr>
          <w:rFonts w:cstheme="minorHAnsi"/>
          <w:color w:val="000000" w:themeColor="text1"/>
        </w:rPr>
        <w:t>c</w:t>
      </w:r>
      <w:r w:rsidRPr="006A74F8">
        <w:rPr>
          <w:rFonts w:cstheme="minorHAnsi"/>
          <w:color w:val="000000" w:themeColor="text1"/>
        </w:rPr>
        <w:t>ompeting business priorities may take precedence resulting in partial or incomplete solutions, where accuracy in measurement is only one factor in a broader business decision.</w:t>
      </w:r>
    </w:p>
    <w:p w:rsidR="00EC338C" w:rsidRPr="006A74F8" w:rsidRDefault="00C93BCC" w:rsidP="00C812C5">
      <w:pPr>
        <w:pStyle w:val="ListParagraph"/>
        <w:numPr>
          <w:ilvl w:val="0"/>
          <w:numId w:val="31"/>
        </w:numPr>
        <w:spacing w:after="240"/>
        <w:rPr>
          <w:rFonts w:cstheme="minorHAnsi"/>
        </w:rPr>
      </w:pPr>
      <w:r w:rsidRPr="006A74F8">
        <w:rPr>
          <w:rFonts w:cstheme="minorHAnsi"/>
          <w:b/>
          <w:color w:val="000000"/>
        </w:rPr>
        <w:lastRenderedPageBreak/>
        <w:t>Under-investment</w:t>
      </w:r>
      <w:r w:rsidR="00A51185" w:rsidRPr="006A74F8">
        <w:rPr>
          <w:rFonts w:cstheme="minorHAnsi"/>
          <w:b/>
          <w:color w:val="000000"/>
        </w:rPr>
        <w:t>:</w:t>
      </w:r>
      <w:r w:rsidR="004F7978" w:rsidRPr="006A74F8">
        <w:rPr>
          <w:rFonts w:cstheme="minorHAnsi"/>
          <w:color w:val="000000"/>
        </w:rPr>
        <w:t xml:space="preserve"> </w:t>
      </w:r>
      <w:r w:rsidR="00735040" w:rsidRPr="006A74F8">
        <w:rPr>
          <w:rFonts w:cstheme="minorHAnsi"/>
          <w:color w:val="000000"/>
        </w:rPr>
        <w:t>m</w:t>
      </w:r>
      <w:r w:rsidR="007907E7" w:rsidRPr="006A74F8">
        <w:rPr>
          <w:rFonts w:cstheme="minorHAnsi"/>
          <w:color w:val="000000"/>
        </w:rPr>
        <w:t>easurement</w:t>
      </w:r>
      <w:r w:rsidR="001454D3" w:rsidRPr="006A74F8">
        <w:rPr>
          <w:rFonts w:cstheme="minorHAnsi"/>
          <w:color w:val="000000"/>
        </w:rPr>
        <w:t xml:space="preserve"> projects</w:t>
      </w:r>
      <w:r w:rsidR="00DF52BF" w:rsidRPr="006A74F8">
        <w:rPr>
          <w:rStyle w:val="FootnoteReference"/>
          <w:rFonts w:cstheme="minorHAnsi"/>
          <w:color w:val="000000"/>
        </w:rPr>
        <w:footnoteReference w:id="22"/>
      </w:r>
      <w:r w:rsidR="001454D3" w:rsidRPr="006A74F8">
        <w:rPr>
          <w:rFonts w:cstheme="minorHAnsi"/>
          <w:color w:val="000000"/>
        </w:rPr>
        <w:t xml:space="preserve"> are subject to economies of scale and scope. There are large fixed costs associated with the development of some </w:t>
      </w:r>
      <w:r w:rsidR="007907E7" w:rsidRPr="006A74F8">
        <w:rPr>
          <w:rFonts w:cstheme="minorHAnsi"/>
          <w:color w:val="000000"/>
        </w:rPr>
        <w:t xml:space="preserve">measurement </w:t>
      </w:r>
      <w:r w:rsidR="001454D3" w:rsidRPr="006A74F8">
        <w:rPr>
          <w:rFonts w:cstheme="minorHAnsi"/>
          <w:color w:val="000000"/>
        </w:rPr>
        <w:t xml:space="preserve">projects. In general, these fixed costs exceed the benefit that the individual business would receive by investing in a private </w:t>
      </w:r>
      <w:r w:rsidR="007907E7" w:rsidRPr="006A74F8">
        <w:rPr>
          <w:rFonts w:cstheme="minorHAnsi"/>
          <w:color w:val="000000"/>
        </w:rPr>
        <w:t>measurement</w:t>
      </w:r>
      <w:r w:rsidR="001454D3" w:rsidRPr="006A74F8">
        <w:rPr>
          <w:rFonts w:cstheme="minorHAnsi"/>
          <w:color w:val="000000"/>
        </w:rPr>
        <w:t xml:space="preserve"> project. </w:t>
      </w:r>
    </w:p>
    <w:p w:rsidR="001454D3" w:rsidRPr="006A74F8" w:rsidRDefault="00EE5445" w:rsidP="00C812C5">
      <w:pPr>
        <w:pStyle w:val="ListParagraph"/>
        <w:numPr>
          <w:ilvl w:val="0"/>
          <w:numId w:val="31"/>
        </w:numPr>
        <w:spacing w:after="240"/>
        <w:rPr>
          <w:rFonts w:cstheme="minorHAnsi"/>
        </w:rPr>
      </w:pPr>
      <w:r w:rsidRPr="006A74F8">
        <w:rPr>
          <w:rFonts w:cstheme="minorHAnsi"/>
          <w:b/>
          <w:color w:val="000000"/>
        </w:rPr>
        <w:t>Sustainability r</w:t>
      </w:r>
      <w:r w:rsidR="001454D3" w:rsidRPr="006A74F8">
        <w:rPr>
          <w:rFonts w:cstheme="minorHAnsi"/>
          <w:b/>
          <w:color w:val="000000"/>
        </w:rPr>
        <w:t>isk</w:t>
      </w:r>
      <w:r w:rsidR="00A51185" w:rsidRPr="006A74F8">
        <w:rPr>
          <w:rFonts w:cstheme="minorHAnsi"/>
          <w:b/>
          <w:color w:val="000000"/>
        </w:rPr>
        <w:t>:</w:t>
      </w:r>
      <w:r w:rsidR="001454D3" w:rsidRPr="006A74F8">
        <w:rPr>
          <w:rFonts w:cstheme="minorHAnsi"/>
          <w:color w:val="000000"/>
        </w:rPr>
        <w:t xml:space="preserve"> </w:t>
      </w:r>
      <w:r w:rsidR="00735040" w:rsidRPr="006A74F8">
        <w:rPr>
          <w:rFonts w:cstheme="minorHAnsi"/>
          <w:color w:val="000000"/>
        </w:rPr>
        <w:t>a</w:t>
      </w:r>
      <w:r w:rsidR="001454D3" w:rsidRPr="006A74F8">
        <w:rPr>
          <w:rFonts w:cstheme="minorHAnsi"/>
          <w:color w:val="000000"/>
        </w:rPr>
        <w:t xml:space="preserve"> business may decide to </w:t>
      </w:r>
      <w:r w:rsidR="001454D3" w:rsidRPr="006A74F8">
        <w:t>discontinue a specific capability after having established it, with no obligation to ensure continuity.</w:t>
      </w:r>
    </w:p>
    <w:p w:rsidR="007B2E16" w:rsidRPr="006A74F8" w:rsidRDefault="00D4547B" w:rsidP="00FD7AC9">
      <w:pPr>
        <w:spacing w:after="240"/>
        <w:rPr>
          <w:rFonts w:cstheme="minorHAnsi"/>
        </w:rPr>
      </w:pPr>
      <w:r w:rsidRPr="006A74F8">
        <w:rPr>
          <w:rFonts w:cstheme="minorHAnsi"/>
        </w:rPr>
        <w:t>Individually and c</w:t>
      </w:r>
      <w:r w:rsidR="007B2E16" w:rsidRPr="006A74F8">
        <w:rPr>
          <w:rFonts w:cstheme="minorHAnsi"/>
        </w:rPr>
        <w:t>ollectively, the limitations associated with these private sector led solutions effectively undercut the principle of a level playing field.</w:t>
      </w:r>
    </w:p>
    <w:p w:rsidR="006E137F" w:rsidRPr="006A74F8" w:rsidRDefault="006E137F" w:rsidP="00FD7AC9">
      <w:pPr>
        <w:pStyle w:val="Heading2"/>
      </w:pPr>
      <w:bookmarkStart w:id="974" w:name="_Toc64558445"/>
      <w:bookmarkStart w:id="975" w:name="_Toc64557465"/>
      <w:bookmarkStart w:id="976" w:name="_Toc64562190"/>
      <w:bookmarkStart w:id="977" w:name="_Toc64562446"/>
      <w:bookmarkStart w:id="978" w:name="_Toc64640232"/>
      <w:bookmarkStart w:id="979" w:name="_Toc64641208"/>
      <w:bookmarkStart w:id="980" w:name="_Toc64647150"/>
      <w:bookmarkStart w:id="981" w:name="_Toc64888316"/>
      <w:bookmarkStart w:id="982" w:name="_Toc64888696"/>
      <w:bookmarkStart w:id="983" w:name="_Toc64892971"/>
      <w:bookmarkStart w:id="984" w:name="_Toc64895617"/>
      <w:bookmarkStart w:id="985" w:name="_Toc64900824"/>
      <w:bookmarkStart w:id="986" w:name="_Toc64903090"/>
      <w:bookmarkStart w:id="987" w:name="_Toc64904029"/>
      <w:bookmarkStart w:id="988" w:name="_Toc64904251"/>
      <w:bookmarkStart w:id="989" w:name="_Toc64904694"/>
      <w:bookmarkStart w:id="990" w:name="_Toc64905208"/>
      <w:bookmarkStart w:id="991" w:name="_Toc64963985"/>
      <w:bookmarkStart w:id="992" w:name="_Toc64974583"/>
      <w:bookmarkStart w:id="993" w:name="_Toc64976284"/>
      <w:bookmarkStart w:id="994" w:name="_Toc65149658"/>
      <w:bookmarkStart w:id="995" w:name="_Toc65163435"/>
      <w:bookmarkStart w:id="996" w:name="_Toc65491074"/>
      <w:bookmarkStart w:id="997" w:name="_Toc65504810"/>
      <w:bookmarkStart w:id="998" w:name="_Toc65757893"/>
      <w:bookmarkStart w:id="999" w:name="_Toc65769488"/>
      <w:bookmarkStart w:id="1000" w:name="_Toc65766856"/>
      <w:bookmarkStart w:id="1001" w:name="_Toc65772630"/>
      <w:bookmarkStart w:id="1002" w:name="_Toc66435688"/>
      <w:bookmarkStart w:id="1003" w:name="_Toc66436477"/>
      <w:bookmarkStart w:id="1004" w:name="_Toc66437688"/>
      <w:bookmarkStart w:id="1005" w:name="_Toc66440027"/>
      <w:bookmarkStart w:id="1006" w:name="_Toc66442230"/>
      <w:bookmarkStart w:id="1007" w:name="_Toc66451899"/>
      <w:bookmarkStart w:id="1008" w:name="_Toc66459176"/>
      <w:bookmarkStart w:id="1009" w:name="_Toc66460230"/>
      <w:bookmarkStart w:id="1010" w:name="_Toc67305384"/>
      <w:bookmarkStart w:id="1011" w:name="_Toc67306297"/>
      <w:bookmarkStart w:id="1012" w:name="_Toc67306749"/>
      <w:bookmarkStart w:id="1013" w:name="_Toc67313599"/>
      <w:bookmarkStart w:id="1014" w:name="_Toc67320792"/>
      <w:bookmarkStart w:id="1015" w:name="_Toc67321945"/>
      <w:bookmarkStart w:id="1016" w:name="_Toc67324410"/>
      <w:bookmarkStart w:id="1017" w:name="_Toc67326571"/>
      <w:r w:rsidRPr="006A74F8">
        <w:t xml:space="preserve">Government </w:t>
      </w:r>
      <w:r w:rsidR="0024141F" w:rsidRPr="006A74F8">
        <w:t xml:space="preserve">intervention is required </w:t>
      </w:r>
      <w:bookmarkEnd w:id="970"/>
      <w:bookmarkEnd w:id="971"/>
      <w:bookmarkEnd w:id="972"/>
      <w:bookmarkEnd w:id="973"/>
      <w:bookmarkEnd w:id="974"/>
      <w:bookmarkEnd w:id="975"/>
      <w:bookmarkEnd w:id="976"/>
      <w:bookmarkEnd w:id="977"/>
      <w:r w:rsidR="000C1087" w:rsidRPr="006A74F8">
        <w:t>for an effective</w:t>
      </w:r>
      <w:r w:rsidR="00E77C1E" w:rsidRPr="006A74F8">
        <w:t xml:space="preserve"> framework </w:t>
      </w:r>
      <w:r w:rsidR="006B3899" w:rsidRPr="006A74F8">
        <w:t>and</w:t>
      </w:r>
      <w:r w:rsidR="00E77C1E" w:rsidRPr="006A74F8">
        <w:t xml:space="preserve"> </w:t>
      </w:r>
      <w:r w:rsidR="000C1087" w:rsidRPr="006A74F8">
        <w:t xml:space="preserve">to </w:t>
      </w:r>
      <w:r w:rsidR="00DD796B" w:rsidRPr="006A74F8">
        <w:t>facilitate trade</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rsidR="00B31DD2" w:rsidRPr="006A74F8" w:rsidRDefault="00B31DD2" w:rsidP="00FD7AC9">
      <w:pPr>
        <w:rPr>
          <w:rFonts w:eastAsia="Times New Roman"/>
        </w:rPr>
      </w:pPr>
      <w:r w:rsidRPr="006A74F8">
        <w:t xml:space="preserve">Measurement supports and stimulates innovation, collaboration and commercialisation. It provides the technical infrastructure and tools necessary to further innovation, and provides a platform </w:t>
      </w:r>
      <w:r w:rsidR="007B2E16" w:rsidRPr="006A74F8">
        <w:t>up</w:t>
      </w:r>
      <w:r w:rsidRPr="006A74F8">
        <w:t>on which new technologies</w:t>
      </w:r>
      <w:r w:rsidRPr="006A74F8">
        <w:rPr>
          <w:lang w:val="en"/>
        </w:rPr>
        <w:t xml:space="preserve"> and processes can be built and demonstrated. </w:t>
      </w:r>
      <w:r w:rsidRPr="006A74F8">
        <w:rPr>
          <w:rFonts w:eastAsia="Times New Roman"/>
        </w:rPr>
        <w:t xml:space="preserve">Section 51(xv) of the Constitution provides the </w:t>
      </w:r>
      <w:r w:rsidR="000A4303" w:rsidRPr="006A74F8">
        <w:rPr>
          <w:rFonts w:eastAsia="Times New Roman"/>
        </w:rPr>
        <w:t>Australian</w:t>
      </w:r>
      <w:r w:rsidRPr="006A74F8">
        <w:rPr>
          <w:rFonts w:eastAsia="Times New Roman"/>
        </w:rPr>
        <w:t xml:space="preserve"> Government the power to make laws with respect to weights and measures. Over a period of decades, responsibility for </w:t>
      </w:r>
      <w:r w:rsidR="00A80E48" w:rsidRPr="006A74F8">
        <w:rPr>
          <w:rFonts w:eastAsia="Times New Roman"/>
        </w:rPr>
        <w:t xml:space="preserve">measurement </w:t>
      </w:r>
      <w:r w:rsidRPr="006A74F8">
        <w:rPr>
          <w:rFonts w:eastAsia="Times New Roman"/>
        </w:rPr>
        <w:t xml:space="preserve">functions has increasingly been </w:t>
      </w:r>
      <w:r w:rsidR="00DF52BF" w:rsidRPr="006A74F8">
        <w:rPr>
          <w:rFonts w:eastAsia="Times New Roman"/>
        </w:rPr>
        <w:t>transferred</w:t>
      </w:r>
      <w:r w:rsidR="005E5780" w:rsidRPr="006A74F8">
        <w:rPr>
          <w:rFonts w:eastAsia="Times New Roman"/>
        </w:rPr>
        <w:t xml:space="preserve"> to</w:t>
      </w:r>
      <w:r w:rsidRPr="006A74F8">
        <w:rPr>
          <w:rFonts w:eastAsia="Times New Roman"/>
        </w:rPr>
        <w:t xml:space="preserve"> the Australian Government in the interests of national consistency, thereby reducing </w:t>
      </w:r>
      <w:r w:rsidR="00D4547B" w:rsidRPr="006A74F8">
        <w:rPr>
          <w:rFonts w:eastAsia="Times New Roman"/>
        </w:rPr>
        <w:t xml:space="preserve">compliance costs for industry as well as </w:t>
      </w:r>
      <w:r w:rsidRPr="006A74F8">
        <w:rPr>
          <w:rFonts w:eastAsia="Times New Roman"/>
        </w:rPr>
        <w:t>internal barriers to trade and operational arrangements between states and territories. For example, the establishment of a national servicing licensee framework was widely applauded by industry at the time.</w:t>
      </w:r>
    </w:p>
    <w:p w:rsidR="00B31DD2" w:rsidRPr="006A74F8" w:rsidRDefault="003C12DC" w:rsidP="00FD7AC9">
      <w:r w:rsidRPr="006A74F8">
        <w:rPr>
          <w:rFonts w:eastAsia="Times New Roman"/>
        </w:rPr>
        <w:t>Government</w:t>
      </w:r>
      <w:r w:rsidRPr="006A74F8">
        <w:rPr>
          <w:lang w:val="en-GB"/>
        </w:rPr>
        <w:t xml:space="preserve"> leadership provides a level playing field for businesses and consumers to operate within, and ensures the safety and integrity of the system. </w:t>
      </w:r>
      <w:r w:rsidR="00B31DD2" w:rsidRPr="006A74F8">
        <w:rPr>
          <w:rFonts w:eastAsia="Times New Roman"/>
        </w:rPr>
        <w:t xml:space="preserve">Lack of future Commonwealth leadership may result in fragmented measurement requirements between </w:t>
      </w:r>
      <w:r w:rsidR="00995E46" w:rsidRPr="006A74F8">
        <w:rPr>
          <w:rFonts w:eastAsia="Times New Roman"/>
        </w:rPr>
        <w:t xml:space="preserve">the </w:t>
      </w:r>
      <w:r w:rsidR="00B31DD2" w:rsidRPr="006A74F8">
        <w:rPr>
          <w:rFonts w:eastAsia="Times New Roman"/>
        </w:rPr>
        <w:t>states</w:t>
      </w:r>
      <w:r w:rsidR="00995E46" w:rsidRPr="006A74F8">
        <w:rPr>
          <w:rFonts w:eastAsia="Times New Roman"/>
        </w:rPr>
        <w:t xml:space="preserve"> and territories</w:t>
      </w:r>
      <w:r w:rsidR="00B31DD2" w:rsidRPr="006A74F8">
        <w:rPr>
          <w:rFonts w:eastAsia="Times New Roman"/>
        </w:rPr>
        <w:t xml:space="preserve">, and </w:t>
      </w:r>
      <w:r w:rsidR="00B31DD2" w:rsidRPr="006A74F8">
        <w:t xml:space="preserve">increased costs for businesses, both Australian and </w:t>
      </w:r>
      <w:r w:rsidR="005E5780" w:rsidRPr="006A74F8">
        <w:t>international</w:t>
      </w:r>
      <w:r w:rsidR="00B31DD2" w:rsidRPr="006A74F8">
        <w:t>, that operate across state and territory borders</w:t>
      </w:r>
      <w:r w:rsidR="00B31DD2" w:rsidRPr="006A74F8">
        <w:rPr>
          <w:rFonts w:eastAsia="Times New Roman"/>
        </w:rPr>
        <w:t>.</w:t>
      </w:r>
      <w:r w:rsidR="00B31DD2" w:rsidRPr="006A74F8">
        <w:t xml:space="preserve"> </w:t>
      </w:r>
    </w:p>
    <w:p w:rsidR="00B31DD2" w:rsidRPr="006A74F8" w:rsidRDefault="00077B43" w:rsidP="008555A3">
      <w:pPr>
        <w:pStyle w:val="Heading2"/>
        <w:ind w:left="720"/>
      </w:pPr>
      <w:r w:rsidRPr="006A74F8">
        <w:t>I</w:t>
      </w:r>
      <w:r w:rsidR="00B31DD2" w:rsidRPr="006A74F8">
        <w:t xml:space="preserve">nternational recognition and </w:t>
      </w:r>
      <w:r w:rsidR="009B3C8D" w:rsidRPr="006A74F8">
        <w:t>engagement</w:t>
      </w:r>
      <w:r w:rsidRPr="006A74F8">
        <w:t xml:space="preserve"> </w:t>
      </w:r>
      <w:r w:rsidR="008555A3" w:rsidRPr="006A74F8">
        <w:t>are essential</w:t>
      </w:r>
    </w:p>
    <w:p w:rsidR="00180C93" w:rsidRPr="006A74F8" w:rsidRDefault="00180C93" w:rsidP="008555A3">
      <w:pPr>
        <w:ind w:left="144"/>
        <w:rPr>
          <w:lang w:val="en-GB"/>
        </w:rPr>
      </w:pPr>
      <w:r w:rsidRPr="006A74F8">
        <w:rPr>
          <w:lang w:val="en-GB"/>
        </w:rPr>
        <w:t>For well over a hundred years, global trade has relied on a common international system of measurement. More than ever, access to international markets requires our trading partners to have confidence in Australian measurements, from the tonnage of iron ore, to the energy content of liquefied natural gas, to the level of agrichemical residue in exported food.</w:t>
      </w:r>
    </w:p>
    <w:p w:rsidR="008555A3" w:rsidRPr="006A74F8" w:rsidRDefault="008555A3" w:rsidP="008555A3">
      <w:pPr>
        <w:ind w:left="144"/>
        <w:rPr>
          <w:lang w:val="en-GB"/>
        </w:rPr>
      </w:pPr>
      <w:r w:rsidRPr="006A74F8">
        <w:rPr>
          <w:lang w:val="en-GB"/>
        </w:rPr>
        <w:t>Australia is a signatory to the two inter-governmental treaties in measurement, the Metre Convention (for scientific measurement) and International Organization of Legal Metrology (OIML) Convention (for legal metrology).</w:t>
      </w:r>
      <w:r w:rsidR="00DC6C5B" w:rsidRPr="006A74F8">
        <w:rPr>
          <w:rStyle w:val="FootnoteReference"/>
          <w:lang w:val="en-GB"/>
        </w:rPr>
        <w:footnoteReference w:id="23"/>
      </w:r>
      <w:r w:rsidRPr="006A74F8">
        <w:rPr>
          <w:lang w:val="en-GB"/>
        </w:rPr>
        <w:t xml:space="preserve"> Australia is also a member of the corresponding peak </w:t>
      </w:r>
      <w:r w:rsidR="00180C93" w:rsidRPr="006A74F8">
        <w:rPr>
          <w:lang w:val="en-GB"/>
        </w:rPr>
        <w:t xml:space="preserve">forums at </w:t>
      </w:r>
      <w:r w:rsidR="00B22159" w:rsidRPr="006A74F8">
        <w:rPr>
          <w:lang w:val="en-GB"/>
        </w:rPr>
        <w:t xml:space="preserve">a </w:t>
      </w:r>
      <w:r w:rsidR="00180C93" w:rsidRPr="006A74F8">
        <w:rPr>
          <w:lang w:val="en-GB"/>
        </w:rPr>
        <w:t>regional level in the Asia-Pacific</w:t>
      </w:r>
      <w:r w:rsidRPr="006A74F8">
        <w:rPr>
          <w:lang w:val="en-GB"/>
        </w:rPr>
        <w:t xml:space="preserve">. Some of the ways the Australian Government </w:t>
      </w:r>
      <w:r w:rsidR="00D24B4E" w:rsidRPr="006A74F8">
        <w:rPr>
          <w:lang w:val="en-GB"/>
        </w:rPr>
        <w:t>uses these global frameworks to ensure international recognition and acceptance of Australia’s measurement system are</w:t>
      </w:r>
      <w:r w:rsidRPr="006A74F8">
        <w:rPr>
          <w:lang w:val="en-GB"/>
        </w:rPr>
        <w:t>:</w:t>
      </w:r>
    </w:p>
    <w:p w:rsidR="00A51185" w:rsidRPr="006A74F8" w:rsidRDefault="00A51185" w:rsidP="00C812C5">
      <w:pPr>
        <w:pStyle w:val="BulletList"/>
        <w:numPr>
          <w:ilvl w:val="0"/>
          <w:numId w:val="32"/>
        </w:numPr>
        <w:rPr>
          <w:rFonts w:asciiTheme="minorHAnsi" w:hAnsiTheme="minorHAnsi" w:cstheme="minorHAnsi"/>
          <w:sz w:val="22"/>
          <w:szCs w:val="22"/>
        </w:rPr>
      </w:pPr>
      <w:r w:rsidRPr="006A74F8">
        <w:rPr>
          <w:rFonts w:asciiTheme="minorHAnsi" w:hAnsiTheme="minorHAnsi" w:cstheme="minorHAnsi"/>
          <w:sz w:val="22"/>
          <w:szCs w:val="22"/>
        </w:rPr>
        <w:lastRenderedPageBreak/>
        <w:t>ensuring the functions and regulation of the measurement framework align with and address Australia’s international commitments</w:t>
      </w:r>
    </w:p>
    <w:p w:rsidR="00A51185" w:rsidRPr="006A74F8" w:rsidRDefault="00A51185" w:rsidP="00C812C5">
      <w:pPr>
        <w:pStyle w:val="BulletList"/>
        <w:numPr>
          <w:ilvl w:val="0"/>
          <w:numId w:val="32"/>
        </w:numPr>
        <w:rPr>
          <w:rFonts w:asciiTheme="minorHAnsi" w:hAnsiTheme="minorHAnsi" w:cstheme="minorHAnsi"/>
          <w:sz w:val="22"/>
          <w:szCs w:val="22"/>
        </w:rPr>
      </w:pPr>
      <w:r w:rsidRPr="006A74F8">
        <w:rPr>
          <w:rFonts w:asciiTheme="minorHAnsi" w:hAnsiTheme="minorHAnsi" w:cstheme="minorHAnsi"/>
          <w:sz w:val="22"/>
          <w:szCs w:val="22"/>
        </w:rPr>
        <w:t>representing the interests of Australian stakeholders in the governance of these international frameworks, including by participating in:</w:t>
      </w:r>
    </w:p>
    <w:p w:rsidR="008555A3" w:rsidRPr="006A74F8" w:rsidRDefault="008555A3" w:rsidP="00C812C5">
      <w:pPr>
        <w:pStyle w:val="BulletList"/>
        <w:numPr>
          <w:ilvl w:val="1"/>
          <w:numId w:val="32"/>
        </w:numPr>
        <w:rPr>
          <w:rFonts w:asciiTheme="minorHAnsi" w:hAnsiTheme="minorHAnsi" w:cstheme="minorHAnsi"/>
          <w:sz w:val="22"/>
          <w:szCs w:val="22"/>
        </w:rPr>
      </w:pPr>
      <w:r w:rsidRPr="006A74F8">
        <w:rPr>
          <w:rFonts w:asciiTheme="minorHAnsi" w:hAnsiTheme="minorHAnsi" w:cstheme="minorHAnsi"/>
          <w:sz w:val="22"/>
          <w:szCs w:val="22"/>
        </w:rPr>
        <w:t>the 9 discipline-based expert committees under the Metre Treaty</w:t>
      </w:r>
      <w:r w:rsidRPr="006A74F8">
        <w:rPr>
          <w:rStyle w:val="FootnoteReference"/>
          <w:rFonts w:asciiTheme="minorHAnsi" w:hAnsiTheme="minorHAnsi" w:cstheme="minorHAnsi"/>
          <w:sz w:val="22"/>
          <w:szCs w:val="22"/>
        </w:rPr>
        <w:footnoteReference w:id="24"/>
      </w:r>
    </w:p>
    <w:p w:rsidR="00A51185" w:rsidRPr="006A74F8" w:rsidRDefault="00A51185" w:rsidP="00C812C5">
      <w:pPr>
        <w:pStyle w:val="BulletList"/>
        <w:numPr>
          <w:ilvl w:val="1"/>
          <w:numId w:val="32"/>
        </w:numPr>
        <w:rPr>
          <w:rFonts w:asciiTheme="minorHAnsi" w:hAnsiTheme="minorHAnsi" w:cstheme="minorHAnsi"/>
          <w:sz w:val="22"/>
          <w:szCs w:val="22"/>
        </w:rPr>
      </w:pPr>
      <w:r w:rsidRPr="006A74F8">
        <w:rPr>
          <w:rFonts w:asciiTheme="minorHAnsi" w:hAnsiTheme="minorHAnsi" w:cstheme="minorHAnsi"/>
          <w:sz w:val="22"/>
          <w:szCs w:val="22"/>
        </w:rPr>
        <w:t>technical committees under the OIML Convention in areas of priority for Australian stakeholders</w:t>
      </w:r>
    </w:p>
    <w:p w:rsidR="00A51185" w:rsidRPr="006A74F8" w:rsidRDefault="00A51185" w:rsidP="00C812C5">
      <w:pPr>
        <w:pStyle w:val="BulletList"/>
        <w:numPr>
          <w:ilvl w:val="1"/>
          <w:numId w:val="32"/>
        </w:numPr>
        <w:rPr>
          <w:rFonts w:asciiTheme="minorHAnsi" w:hAnsiTheme="minorHAnsi" w:cstheme="minorHAnsi"/>
          <w:sz w:val="22"/>
          <w:szCs w:val="22"/>
        </w:rPr>
      </w:pPr>
      <w:r w:rsidRPr="006A74F8">
        <w:rPr>
          <w:rFonts w:asciiTheme="minorHAnsi" w:hAnsiTheme="minorHAnsi" w:cstheme="minorHAnsi"/>
          <w:sz w:val="22"/>
          <w:szCs w:val="22"/>
        </w:rPr>
        <w:t>corresponding committees at regional level</w:t>
      </w:r>
    </w:p>
    <w:p w:rsidR="00A51185" w:rsidRPr="006A74F8" w:rsidRDefault="00A51185" w:rsidP="00C812C5">
      <w:pPr>
        <w:pStyle w:val="BulletList"/>
        <w:numPr>
          <w:ilvl w:val="0"/>
          <w:numId w:val="32"/>
        </w:numPr>
        <w:rPr>
          <w:rFonts w:ascii="Calibri" w:hAnsi="Calibri" w:cs="Calibri"/>
          <w:color w:val="auto"/>
          <w:sz w:val="22"/>
          <w:szCs w:val="22"/>
        </w:rPr>
      </w:pPr>
      <w:r w:rsidRPr="006A74F8">
        <w:rPr>
          <w:rFonts w:ascii="Calibri" w:hAnsi="Calibri" w:cs="Calibri"/>
          <w:color w:val="auto"/>
          <w:sz w:val="22"/>
          <w:szCs w:val="22"/>
        </w:rPr>
        <w:t xml:space="preserve">effectively participating in mutual recognition </w:t>
      </w:r>
      <w:r w:rsidR="004448AA" w:rsidRPr="006A74F8">
        <w:rPr>
          <w:rFonts w:ascii="Calibri" w:hAnsi="Calibri" w:cs="Calibri"/>
          <w:color w:val="auto"/>
          <w:sz w:val="22"/>
          <w:szCs w:val="22"/>
        </w:rPr>
        <w:t xml:space="preserve">and acceptance </w:t>
      </w:r>
      <w:r w:rsidRPr="006A74F8">
        <w:rPr>
          <w:rFonts w:ascii="Calibri" w:hAnsi="Calibri" w:cs="Calibri"/>
          <w:color w:val="auto"/>
          <w:sz w:val="22"/>
          <w:szCs w:val="22"/>
        </w:rPr>
        <w:t>arrangements, to reduce technical barriers to trade, as signatories to the Mutual Recognition Arrangement of the International Committee for Weights and Measures (CIPM MRA) and the OIML Certification System (OIML-CS)</w:t>
      </w:r>
    </w:p>
    <w:p w:rsidR="00A51185" w:rsidRPr="006A74F8" w:rsidRDefault="00A51185" w:rsidP="00C812C5">
      <w:pPr>
        <w:pStyle w:val="BulletList"/>
        <w:numPr>
          <w:ilvl w:val="0"/>
          <w:numId w:val="32"/>
        </w:numPr>
        <w:rPr>
          <w:rFonts w:asciiTheme="minorHAnsi" w:hAnsiTheme="minorHAnsi" w:cstheme="minorHAnsi"/>
          <w:sz w:val="22"/>
          <w:szCs w:val="22"/>
        </w:rPr>
      </w:pPr>
      <w:r w:rsidRPr="006A74F8">
        <w:rPr>
          <w:rFonts w:asciiTheme="minorHAnsi" w:hAnsiTheme="minorHAnsi" w:cstheme="minorHAnsi"/>
          <w:sz w:val="22"/>
          <w:szCs w:val="22"/>
        </w:rPr>
        <w:t xml:space="preserve">aligning Australia’s legal metrology regulations with OIML guidance and recommendations </w:t>
      </w:r>
    </w:p>
    <w:p w:rsidR="00A51185" w:rsidRPr="006A74F8" w:rsidRDefault="00A51185" w:rsidP="00C812C5">
      <w:pPr>
        <w:pStyle w:val="BulletList"/>
        <w:numPr>
          <w:ilvl w:val="0"/>
          <w:numId w:val="32"/>
        </w:numPr>
        <w:rPr>
          <w:rFonts w:asciiTheme="minorHAnsi" w:hAnsiTheme="minorHAnsi" w:cstheme="minorHAnsi"/>
          <w:sz w:val="22"/>
          <w:szCs w:val="22"/>
        </w:rPr>
      </w:pPr>
      <w:r w:rsidRPr="006A74F8">
        <w:rPr>
          <w:rFonts w:asciiTheme="minorHAnsi" w:hAnsiTheme="minorHAnsi" w:cstheme="minorHAnsi"/>
          <w:sz w:val="22"/>
          <w:szCs w:val="22"/>
        </w:rPr>
        <w:t>engaging and coordinating with the international metrology community and relevant domestic organisations</w:t>
      </w:r>
      <w:r w:rsidR="00796BDD" w:rsidRPr="006A74F8">
        <w:rPr>
          <w:rFonts w:asciiTheme="minorHAnsi" w:hAnsiTheme="minorHAnsi" w:cstheme="minorHAnsi"/>
          <w:sz w:val="22"/>
          <w:szCs w:val="22"/>
        </w:rPr>
        <w:t>.</w:t>
      </w:r>
    </w:p>
    <w:p w:rsidR="008555A3" w:rsidRPr="006A74F8" w:rsidRDefault="00B31DD2" w:rsidP="008555A3">
      <w:pPr>
        <w:spacing w:before="120"/>
        <w:rPr>
          <w:rFonts w:ascii="Times New Roman" w:hAnsi="Times New Roman" w:cs="Times New Roman"/>
          <w:sz w:val="24"/>
          <w:szCs w:val="24"/>
          <w:lang w:val="en-GB" w:eastAsia="en-GB"/>
        </w:rPr>
      </w:pPr>
      <w:r w:rsidRPr="006A74F8">
        <w:rPr>
          <w:lang w:val="en-GB"/>
        </w:rPr>
        <w:t>A national approach to the management of a robust</w:t>
      </w:r>
      <w:r w:rsidR="00D4547B" w:rsidRPr="006A74F8">
        <w:rPr>
          <w:lang w:val="en-GB"/>
        </w:rPr>
        <w:t>,</w:t>
      </w:r>
      <w:r w:rsidRPr="006A74F8">
        <w:rPr>
          <w:lang w:val="en-GB"/>
        </w:rPr>
        <w:t xml:space="preserve"> multifaceted measurement system, including its many international interactions, has benefits for industry and the Australian community. Legislative reform is important to ensure the continued effectiveness of the system and alignment with international developments.</w:t>
      </w:r>
      <w:r w:rsidRPr="006A74F8">
        <w:rPr>
          <w:rFonts w:ascii="Times New Roman" w:hAnsi="Times New Roman" w:cs="Times New Roman"/>
          <w:sz w:val="24"/>
          <w:szCs w:val="24"/>
          <w:lang w:val="en-GB" w:eastAsia="en-GB"/>
        </w:rPr>
        <w:t xml:space="preserve"> </w:t>
      </w:r>
    </w:p>
    <w:p w:rsidR="00ED5A46" w:rsidRPr="006A74F8" w:rsidRDefault="00ED5A46" w:rsidP="00FD7AC9">
      <w:pPr>
        <w:rPr>
          <w:rFonts w:cstheme="minorHAnsi"/>
        </w:rPr>
        <w:sectPr w:rsidR="00ED5A46" w:rsidRPr="006A74F8" w:rsidSect="00EC61D8">
          <w:pgSz w:w="11907" w:h="16840" w:code="9"/>
          <w:pgMar w:top="1440" w:right="1440" w:bottom="1440" w:left="1440" w:header="709" w:footer="0" w:gutter="0"/>
          <w:cols w:space="708"/>
          <w:docGrid w:linePitch="360"/>
        </w:sectPr>
      </w:pPr>
    </w:p>
    <w:p w:rsidR="006E137F" w:rsidRPr="006A74F8" w:rsidRDefault="003A7AD5" w:rsidP="00FD7AC9">
      <w:pPr>
        <w:pStyle w:val="Heading1"/>
      </w:pPr>
      <w:bookmarkStart w:id="1018" w:name="_RIS_Question_3:"/>
      <w:bookmarkStart w:id="1019" w:name="_Toc58501215"/>
      <w:bookmarkStart w:id="1020" w:name="_Toc61338668"/>
      <w:bookmarkStart w:id="1021" w:name="_Toc64558446"/>
      <w:bookmarkStart w:id="1022" w:name="_Toc64557466"/>
      <w:bookmarkStart w:id="1023" w:name="_Toc64562191"/>
      <w:bookmarkStart w:id="1024" w:name="_Toc64562447"/>
      <w:bookmarkStart w:id="1025" w:name="_Toc64640233"/>
      <w:bookmarkStart w:id="1026" w:name="_Toc64641209"/>
      <w:bookmarkStart w:id="1027" w:name="_Toc64647151"/>
      <w:bookmarkStart w:id="1028" w:name="_Toc64888317"/>
      <w:bookmarkStart w:id="1029" w:name="_Toc64888697"/>
      <w:bookmarkStart w:id="1030" w:name="_Toc64892972"/>
      <w:bookmarkStart w:id="1031" w:name="_Toc64895620"/>
      <w:bookmarkStart w:id="1032" w:name="_Toc64900827"/>
      <w:bookmarkStart w:id="1033" w:name="_Toc64903093"/>
      <w:bookmarkStart w:id="1034" w:name="_Toc64904032"/>
      <w:bookmarkStart w:id="1035" w:name="_Toc64904254"/>
      <w:bookmarkStart w:id="1036" w:name="_Toc64904697"/>
      <w:bookmarkStart w:id="1037" w:name="_Toc64905211"/>
      <w:bookmarkStart w:id="1038" w:name="_Toc64963988"/>
      <w:bookmarkStart w:id="1039" w:name="_Toc64974586"/>
      <w:bookmarkStart w:id="1040" w:name="_Toc64976287"/>
      <w:bookmarkStart w:id="1041" w:name="_Toc65149661"/>
      <w:bookmarkStart w:id="1042" w:name="_Toc65163436"/>
      <w:bookmarkStart w:id="1043" w:name="_Toc65491075"/>
      <w:bookmarkStart w:id="1044" w:name="_Toc65504811"/>
      <w:bookmarkStart w:id="1045" w:name="_Toc65757894"/>
      <w:bookmarkStart w:id="1046" w:name="_Toc65769489"/>
      <w:bookmarkStart w:id="1047" w:name="_Toc65766857"/>
      <w:bookmarkStart w:id="1048" w:name="_Toc65772631"/>
      <w:bookmarkStart w:id="1049" w:name="_Toc66435689"/>
      <w:bookmarkStart w:id="1050" w:name="_Toc66436478"/>
      <w:bookmarkStart w:id="1051" w:name="_Toc66437689"/>
      <w:bookmarkStart w:id="1052" w:name="_Toc66440028"/>
      <w:bookmarkStart w:id="1053" w:name="_Toc66442231"/>
      <w:bookmarkStart w:id="1054" w:name="_Toc66451900"/>
      <w:bookmarkStart w:id="1055" w:name="_Toc66459177"/>
      <w:bookmarkStart w:id="1056" w:name="_Toc66460231"/>
      <w:bookmarkStart w:id="1057" w:name="_Toc67305385"/>
      <w:bookmarkStart w:id="1058" w:name="_Toc67306298"/>
      <w:bookmarkStart w:id="1059" w:name="_Toc67306750"/>
      <w:bookmarkStart w:id="1060" w:name="_Toc67313600"/>
      <w:bookmarkStart w:id="1061" w:name="_Toc67320793"/>
      <w:bookmarkStart w:id="1062" w:name="_Toc67321946"/>
      <w:bookmarkStart w:id="1063" w:name="_Toc67326572"/>
      <w:bookmarkStart w:id="1064" w:name="_Toc67649117"/>
      <w:bookmarkStart w:id="1065" w:name="_Toc67650101"/>
      <w:bookmarkStart w:id="1066" w:name="_Toc67650356"/>
      <w:bookmarkStart w:id="1067" w:name="_Toc67650648"/>
      <w:bookmarkStart w:id="1068" w:name="_Toc67652968"/>
      <w:bookmarkStart w:id="1069" w:name="_Toc67653053"/>
      <w:bookmarkStart w:id="1070" w:name="_Toc67653485"/>
      <w:bookmarkStart w:id="1071" w:name="_Toc67653548"/>
      <w:bookmarkStart w:id="1072" w:name="_Toc67649965"/>
      <w:bookmarkStart w:id="1073" w:name="_Toc67654051"/>
      <w:bookmarkStart w:id="1074" w:name="_Toc67654358"/>
      <w:bookmarkStart w:id="1075" w:name="_Toc67654575"/>
      <w:bookmarkStart w:id="1076" w:name="_Toc67656182"/>
      <w:bookmarkStart w:id="1077" w:name="_Toc67656944"/>
      <w:bookmarkStart w:id="1078" w:name="_Toc67659243"/>
      <w:bookmarkStart w:id="1079" w:name="_Toc67659744"/>
      <w:bookmarkStart w:id="1080" w:name="_Toc67661711"/>
      <w:bookmarkStart w:id="1081" w:name="_Toc67662802"/>
      <w:bookmarkStart w:id="1082" w:name="_Toc67662943"/>
      <w:bookmarkStart w:id="1083" w:name="_Toc67663709"/>
      <w:bookmarkStart w:id="1084" w:name="_Toc67664130"/>
      <w:bookmarkStart w:id="1085" w:name="_Toc67664449"/>
      <w:bookmarkStart w:id="1086" w:name="_Toc67665426"/>
      <w:bookmarkStart w:id="1087" w:name="_Toc67667176"/>
      <w:bookmarkStart w:id="1088" w:name="_Toc67668249"/>
      <w:bookmarkStart w:id="1089" w:name="_Toc67669156"/>
      <w:bookmarkStart w:id="1090" w:name="_Toc67665767"/>
      <w:bookmarkStart w:id="1091" w:name="_Toc67912156"/>
      <w:bookmarkStart w:id="1092" w:name="_Toc67922237"/>
      <w:bookmarkStart w:id="1093" w:name="_Toc67929096"/>
      <w:bookmarkStart w:id="1094" w:name="_Toc67929390"/>
      <w:bookmarkStart w:id="1095" w:name="_Toc67929615"/>
      <w:bookmarkStart w:id="1096" w:name="_Toc67927092"/>
      <w:bookmarkStart w:id="1097" w:name="_Toc68011257"/>
      <w:bookmarkStart w:id="1098" w:name="_Toc68011315"/>
      <w:bookmarkStart w:id="1099" w:name="_Toc81919531"/>
      <w:bookmarkStart w:id="1100" w:name="_Toc81919805"/>
      <w:bookmarkStart w:id="1101" w:name="_Toc81921160"/>
      <w:bookmarkStart w:id="1102" w:name="_Toc81923647"/>
      <w:bookmarkStart w:id="1103" w:name="_Toc81923762"/>
      <w:bookmarkStart w:id="1104" w:name="_Toc81997302"/>
      <w:bookmarkStart w:id="1105" w:name="_Toc81998075"/>
      <w:bookmarkStart w:id="1106" w:name="_Toc82011839"/>
      <w:bookmarkStart w:id="1107" w:name="_Toc82512686"/>
      <w:bookmarkStart w:id="1108" w:name="_Toc82516154"/>
      <w:bookmarkStart w:id="1109" w:name="_Toc82519105"/>
      <w:bookmarkStart w:id="1110" w:name="_Toc82706643"/>
      <w:bookmarkStart w:id="1111" w:name="_Toc82790532"/>
      <w:bookmarkStart w:id="1112" w:name="_Toc82791051"/>
      <w:bookmarkStart w:id="1113" w:name="_Toc82792362"/>
      <w:bookmarkStart w:id="1114" w:name="_Toc83290744"/>
      <w:bookmarkStart w:id="1115" w:name="_Toc83292753"/>
      <w:bookmarkStart w:id="1116" w:name="_Toc83293524"/>
      <w:bookmarkStart w:id="1117" w:name="_Toc57891532"/>
      <w:bookmarkStart w:id="1118" w:name="_Toc58228980"/>
      <w:bookmarkStart w:id="1119" w:name="_Toc67324411"/>
      <w:bookmarkEnd w:id="1018"/>
      <w:r w:rsidRPr="006A74F8">
        <w:lastRenderedPageBreak/>
        <w:t xml:space="preserve">RIS Question 3: </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sidR="003647F6" w:rsidRPr="006A74F8">
        <w:t>What policy options are being considered?</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rsidR="00445281" w:rsidRPr="006A74F8" w:rsidRDefault="00445281" w:rsidP="00445281">
      <w:pPr>
        <w:pStyle w:val="Heading2"/>
      </w:pPr>
      <w:bookmarkStart w:id="1120" w:name="_Toc58501216"/>
      <w:bookmarkEnd w:id="1117"/>
      <w:bookmarkEnd w:id="1118"/>
      <w:bookmarkEnd w:id="1119"/>
      <w:bookmarkEnd w:id="1120"/>
      <w:r w:rsidRPr="006A74F8">
        <w:t>Overview</w:t>
      </w:r>
    </w:p>
    <w:p w:rsidR="000D6E06" w:rsidRPr="006A74F8" w:rsidRDefault="000D6E06" w:rsidP="00FC2B28">
      <w:pPr>
        <w:spacing w:before="120"/>
      </w:pPr>
      <w:r w:rsidRPr="006A74F8">
        <w:t xml:space="preserve">In response to the drivers for change outlined above, and consistent with national measurement policy objectives, the Measurement Law Review has developed </w:t>
      </w:r>
      <w:r w:rsidR="00EC3281" w:rsidRPr="006A74F8">
        <w:t>3</w:t>
      </w:r>
      <w:r w:rsidRPr="006A74F8">
        <w:t xml:space="preserve"> reform options for consideration alongside the status quo. </w:t>
      </w:r>
      <w:r w:rsidR="00FC2B28" w:rsidRPr="006A74F8">
        <w:rPr>
          <w:lang w:val="en"/>
        </w:rPr>
        <w:t>These options were developed following</w:t>
      </w:r>
      <w:r w:rsidR="00FC2B28" w:rsidRPr="006A74F8">
        <w:t xml:space="preserve"> analysis of the measurement legislation and significant </w:t>
      </w:r>
      <w:r w:rsidR="00FC2B28" w:rsidRPr="006A74F8">
        <w:rPr>
          <w:lang w:val="en"/>
        </w:rPr>
        <w:t>consultation with a broad range of stakeholders. They are:</w:t>
      </w:r>
    </w:p>
    <w:p w:rsidR="00FC2B28" w:rsidRPr="006A74F8" w:rsidRDefault="00735040" w:rsidP="00FC2B28">
      <w:pPr>
        <w:pStyle w:val="Caption"/>
        <w:keepNext/>
      </w:pPr>
      <w:r w:rsidRPr="006A74F8">
        <w:t xml:space="preserve">(Copy of) </w:t>
      </w:r>
      <w:r w:rsidR="00FC2B28" w:rsidRPr="006A74F8">
        <w:t>Table 1: Reform options for consultation</w:t>
      </w:r>
    </w:p>
    <w:tbl>
      <w:tblPr>
        <w:tblW w:w="903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le 1 Reform options for consultation"/>
        <w:tblDescription w:val="The status quo option has no changes and maintains the existing prescriptive legislative framework. Reform option one would streamline the legislation with minimal change and reduce prescription by taking a principles-based approach, whilst largely maintaining the current scope. Reform option two is flexible and future focussed which is streamlined as in option one, and would further reduce regulatory burden by significantly increasing flexibility and support for innovation. Reform option three is flexible with additional regulatory powers. It would extend option 2 by providing appropriate powers to regulate measurements relied upon by other policy owners. "/>
      </w:tblPr>
      <w:tblGrid>
        <w:gridCol w:w="2119"/>
        <w:gridCol w:w="2268"/>
        <w:gridCol w:w="2355"/>
        <w:gridCol w:w="2297"/>
      </w:tblGrid>
      <w:tr w:rsidR="00FC2B28" w:rsidRPr="006A74F8" w:rsidTr="00741990">
        <w:trPr>
          <w:trHeight w:val="526"/>
          <w:tblHeader/>
        </w:trPr>
        <w:tc>
          <w:tcPr>
            <w:tcW w:w="2119" w:type="dxa"/>
            <w:shd w:val="clear" w:color="auto" w:fill="1F3864"/>
            <w:vAlign w:val="center"/>
          </w:tcPr>
          <w:p w:rsidR="00FC2B28" w:rsidRPr="006A74F8" w:rsidRDefault="00FC2B28" w:rsidP="00741990">
            <w:pPr>
              <w:rPr>
                <w:b/>
                <w:szCs w:val="20"/>
              </w:rPr>
            </w:pPr>
            <w:r w:rsidRPr="006A74F8">
              <w:rPr>
                <w:b/>
                <w:szCs w:val="20"/>
              </w:rPr>
              <w:t xml:space="preserve">Status </w:t>
            </w:r>
            <w:r w:rsidR="002A1F13" w:rsidRPr="006A74F8">
              <w:rPr>
                <w:b/>
                <w:szCs w:val="20"/>
              </w:rPr>
              <w:t>q</w:t>
            </w:r>
            <w:r w:rsidRPr="006A74F8">
              <w:rPr>
                <w:b/>
                <w:szCs w:val="20"/>
              </w:rPr>
              <w:t xml:space="preserve">uo </w:t>
            </w:r>
          </w:p>
        </w:tc>
        <w:tc>
          <w:tcPr>
            <w:tcW w:w="2268" w:type="dxa"/>
            <w:shd w:val="clear" w:color="auto" w:fill="1F3864"/>
            <w:vAlign w:val="center"/>
          </w:tcPr>
          <w:p w:rsidR="00FC2B28" w:rsidRPr="006A74F8" w:rsidRDefault="00FC2B28" w:rsidP="00741990">
            <w:pPr>
              <w:rPr>
                <w:b/>
                <w:szCs w:val="20"/>
              </w:rPr>
            </w:pPr>
            <w:r w:rsidRPr="006A74F8">
              <w:rPr>
                <w:b/>
                <w:szCs w:val="20"/>
              </w:rPr>
              <w:t xml:space="preserve">Reform </w:t>
            </w:r>
            <w:r w:rsidR="002A1F13" w:rsidRPr="006A74F8">
              <w:rPr>
                <w:b/>
                <w:szCs w:val="20"/>
              </w:rPr>
              <w:t>o</w:t>
            </w:r>
            <w:r w:rsidRPr="006A74F8">
              <w:rPr>
                <w:b/>
                <w:szCs w:val="20"/>
              </w:rPr>
              <w:t>ption 1</w:t>
            </w:r>
          </w:p>
        </w:tc>
        <w:tc>
          <w:tcPr>
            <w:tcW w:w="2355" w:type="dxa"/>
            <w:shd w:val="clear" w:color="auto" w:fill="1F3864"/>
            <w:vAlign w:val="center"/>
          </w:tcPr>
          <w:p w:rsidR="00FC2B28" w:rsidRPr="006A74F8" w:rsidRDefault="00FC2B28" w:rsidP="00741990">
            <w:pPr>
              <w:rPr>
                <w:b/>
                <w:szCs w:val="20"/>
              </w:rPr>
            </w:pPr>
            <w:r w:rsidRPr="006A74F8">
              <w:rPr>
                <w:b/>
                <w:szCs w:val="20"/>
              </w:rPr>
              <w:t xml:space="preserve">Reform </w:t>
            </w:r>
            <w:r w:rsidR="002A1F13" w:rsidRPr="006A74F8">
              <w:rPr>
                <w:b/>
                <w:szCs w:val="20"/>
              </w:rPr>
              <w:t>o</w:t>
            </w:r>
            <w:r w:rsidRPr="006A74F8">
              <w:rPr>
                <w:b/>
                <w:szCs w:val="20"/>
              </w:rPr>
              <w:t>ption 2</w:t>
            </w:r>
          </w:p>
        </w:tc>
        <w:tc>
          <w:tcPr>
            <w:tcW w:w="2297" w:type="dxa"/>
            <w:shd w:val="clear" w:color="auto" w:fill="1F3864"/>
            <w:vAlign w:val="center"/>
          </w:tcPr>
          <w:p w:rsidR="00FC2B28" w:rsidRPr="006A74F8" w:rsidRDefault="00FC2B28" w:rsidP="00741990">
            <w:pPr>
              <w:rPr>
                <w:b/>
                <w:szCs w:val="20"/>
              </w:rPr>
            </w:pPr>
            <w:r w:rsidRPr="006A74F8">
              <w:rPr>
                <w:b/>
                <w:szCs w:val="20"/>
              </w:rPr>
              <w:t xml:space="preserve">Reform </w:t>
            </w:r>
            <w:r w:rsidR="002A1F13" w:rsidRPr="006A74F8">
              <w:rPr>
                <w:b/>
                <w:szCs w:val="20"/>
              </w:rPr>
              <w:t>o</w:t>
            </w:r>
            <w:r w:rsidRPr="006A74F8">
              <w:rPr>
                <w:b/>
                <w:szCs w:val="20"/>
              </w:rPr>
              <w:t>ption 3</w:t>
            </w:r>
          </w:p>
        </w:tc>
      </w:tr>
      <w:tr w:rsidR="00FC2B28" w:rsidRPr="006A74F8" w:rsidTr="00741990">
        <w:trPr>
          <w:trHeight w:val="438"/>
        </w:trPr>
        <w:tc>
          <w:tcPr>
            <w:tcW w:w="2119" w:type="dxa"/>
            <w:shd w:val="clear" w:color="auto" w:fill="B0E9FF" w:themeFill="text2" w:themeFillTint="33"/>
          </w:tcPr>
          <w:p w:rsidR="00FC2B28" w:rsidRPr="006A74F8" w:rsidRDefault="00FC2B28" w:rsidP="00741990">
            <w:pPr>
              <w:spacing w:after="0"/>
              <w:rPr>
                <w:szCs w:val="20"/>
              </w:rPr>
            </w:pPr>
            <w:r w:rsidRPr="006A74F8">
              <w:rPr>
                <w:szCs w:val="20"/>
              </w:rPr>
              <w:t>No change</w:t>
            </w:r>
          </w:p>
          <w:p w:rsidR="00FC2B28" w:rsidRPr="006A74F8" w:rsidRDefault="00FC2B28" w:rsidP="00741990">
            <w:pPr>
              <w:spacing w:after="0"/>
              <w:rPr>
                <w:szCs w:val="20"/>
              </w:rPr>
            </w:pPr>
          </w:p>
        </w:tc>
        <w:tc>
          <w:tcPr>
            <w:tcW w:w="2268" w:type="dxa"/>
            <w:shd w:val="clear" w:color="auto" w:fill="B0E9FF" w:themeFill="text2" w:themeFillTint="33"/>
          </w:tcPr>
          <w:p w:rsidR="00FC2B28" w:rsidRPr="006A74F8" w:rsidRDefault="00FC2B28" w:rsidP="00741990">
            <w:pPr>
              <w:spacing w:after="0"/>
              <w:rPr>
                <w:szCs w:val="20"/>
              </w:rPr>
            </w:pPr>
            <w:r w:rsidRPr="006A74F8">
              <w:rPr>
                <w:szCs w:val="20"/>
              </w:rPr>
              <w:t>Streamline with minimal change</w:t>
            </w:r>
          </w:p>
        </w:tc>
        <w:tc>
          <w:tcPr>
            <w:tcW w:w="2355" w:type="dxa"/>
            <w:shd w:val="clear" w:color="auto" w:fill="B0E9FF" w:themeFill="text2" w:themeFillTint="33"/>
          </w:tcPr>
          <w:p w:rsidR="00FC2B28" w:rsidRPr="006A74F8" w:rsidRDefault="00FC2B28" w:rsidP="00741990">
            <w:pPr>
              <w:spacing w:after="0"/>
              <w:rPr>
                <w:szCs w:val="20"/>
              </w:rPr>
            </w:pPr>
            <w:r w:rsidRPr="006A74F8">
              <w:rPr>
                <w:szCs w:val="20"/>
              </w:rPr>
              <w:t>Flexible and future focused</w:t>
            </w:r>
          </w:p>
          <w:p w:rsidR="00FC2B28" w:rsidRPr="006A74F8" w:rsidRDefault="00FC2B28" w:rsidP="00741990">
            <w:pPr>
              <w:spacing w:after="0"/>
              <w:rPr>
                <w:szCs w:val="20"/>
              </w:rPr>
            </w:pPr>
          </w:p>
        </w:tc>
        <w:tc>
          <w:tcPr>
            <w:tcW w:w="2297" w:type="dxa"/>
            <w:shd w:val="clear" w:color="auto" w:fill="B0E9FF" w:themeFill="text2" w:themeFillTint="33"/>
          </w:tcPr>
          <w:p w:rsidR="00FC2B28" w:rsidRPr="006A74F8" w:rsidRDefault="00FC2B28" w:rsidP="00741990">
            <w:pPr>
              <w:spacing w:after="0"/>
              <w:rPr>
                <w:szCs w:val="20"/>
              </w:rPr>
            </w:pPr>
            <w:r w:rsidRPr="006A74F8">
              <w:rPr>
                <w:szCs w:val="20"/>
              </w:rPr>
              <w:t>Flexible with additional regulatory powers</w:t>
            </w:r>
          </w:p>
        </w:tc>
      </w:tr>
      <w:tr w:rsidR="00FC2B28" w:rsidRPr="006A74F8" w:rsidTr="00741990">
        <w:trPr>
          <w:trHeight w:val="411"/>
        </w:trPr>
        <w:tc>
          <w:tcPr>
            <w:tcW w:w="2119" w:type="dxa"/>
            <w:shd w:val="clear" w:color="auto" w:fill="D3D4D5" w:themeFill="accent1" w:themeFillTint="66"/>
          </w:tcPr>
          <w:p w:rsidR="00FC2B28" w:rsidRPr="006A74F8" w:rsidRDefault="00FC2B28" w:rsidP="00741990">
            <w:pPr>
              <w:spacing w:after="0"/>
            </w:pPr>
            <w:r w:rsidRPr="006A74F8">
              <w:t>Maintain existing prescriptive legislative framework</w:t>
            </w:r>
          </w:p>
        </w:tc>
        <w:tc>
          <w:tcPr>
            <w:tcW w:w="2268" w:type="dxa"/>
            <w:shd w:val="clear" w:color="auto" w:fill="D3D4D5" w:themeFill="accent1" w:themeFillTint="66"/>
          </w:tcPr>
          <w:p w:rsidR="00FC2B28" w:rsidRPr="006A74F8" w:rsidRDefault="00FC2B28" w:rsidP="00217F09">
            <w:pPr>
              <w:spacing w:after="0"/>
            </w:pPr>
            <w:r w:rsidRPr="006A74F8">
              <w:t>Streamline the legislation and reduce prescription by taking a principles-based approach, whilst largely maintaining the current scope</w:t>
            </w:r>
          </w:p>
        </w:tc>
        <w:tc>
          <w:tcPr>
            <w:tcW w:w="2355" w:type="dxa"/>
            <w:shd w:val="clear" w:color="auto" w:fill="D3D4D5" w:themeFill="accent1" w:themeFillTint="66"/>
          </w:tcPr>
          <w:p w:rsidR="00FC2B28" w:rsidRPr="006A74F8" w:rsidRDefault="00FC2B28" w:rsidP="00741990">
            <w:pPr>
              <w:spacing w:after="0"/>
            </w:pPr>
            <w:r w:rsidRPr="006A74F8">
              <w:t>Streamlined as for option 1, and further reduce regulatory impact by significantly increasing flexibility and support for innovation</w:t>
            </w:r>
          </w:p>
        </w:tc>
        <w:tc>
          <w:tcPr>
            <w:tcW w:w="2297" w:type="dxa"/>
            <w:shd w:val="clear" w:color="auto" w:fill="D3D4D5" w:themeFill="accent1" w:themeFillTint="66"/>
          </w:tcPr>
          <w:p w:rsidR="00FC2B28" w:rsidRPr="006A74F8" w:rsidRDefault="00FC2B28" w:rsidP="00741990">
            <w:pPr>
              <w:spacing w:after="0"/>
            </w:pPr>
            <w:r w:rsidRPr="006A74F8">
              <w:t>Extend option 2 by providing appropriate powers to regulate measurements relied upon by other policy owners</w:t>
            </w:r>
          </w:p>
        </w:tc>
      </w:tr>
    </w:tbl>
    <w:p w:rsidR="000D6E06" w:rsidRPr="006A74F8" w:rsidRDefault="00FC2B28" w:rsidP="003A3D65">
      <w:pPr>
        <w:spacing w:before="120"/>
        <w:rPr>
          <w:lang w:val="en"/>
        </w:rPr>
      </w:pPr>
      <w:r w:rsidRPr="006A74F8">
        <w:t xml:space="preserve">This chapter </w:t>
      </w:r>
      <w:r w:rsidR="00C55230" w:rsidRPr="006A74F8">
        <w:t>provides</w:t>
      </w:r>
      <w:r w:rsidR="000D6E06" w:rsidRPr="006A74F8">
        <w:t xml:space="preserve">: </w:t>
      </w:r>
    </w:p>
    <w:p w:rsidR="000D6E06" w:rsidRPr="006A74F8" w:rsidRDefault="003B1E94" w:rsidP="00C812C5">
      <w:pPr>
        <w:pStyle w:val="ListParagraph"/>
        <w:numPr>
          <w:ilvl w:val="0"/>
          <w:numId w:val="108"/>
        </w:numPr>
        <w:spacing w:before="120"/>
        <w:rPr>
          <w:lang w:val="en"/>
        </w:rPr>
      </w:pPr>
      <w:r w:rsidRPr="006A74F8">
        <w:rPr>
          <w:lang w:val="en"/>
        </w:rPr>
        <w:t>a</w:t>
      </w:r>
      <w:r w:rsidR="000D6E06" w:rsidRPr="006A74F8">
        <w:rPr>
          <w:lang w:val="en"/>
        </w:rPr>
        <w:t>n overview of the process for options development</w:t>
      </w:r>
    </w:p>
    <w:p w:rsidR="000D6E06" w:rsidRPr="006A74F8" w:rsidRDefault="003B1E94" w:rsidP="00C812C5">
      <w:pPr>
        <w:pStyle w:val="ListParagraph"/>
        <w:numPr>
          <w:ilvl w:val="0"/>
          <w:numId w:val="108"/>
        </w:numPr>
        <w:spacing w:before="120"/>
        <w:rPr>
          <w:lang w:val="en"/>
        </w:rPr>
      </w:pPr>
      <w:r w:rsidRPr="006A74F8">
        <w:rPr>
          <w:lang w:val="en"/>
        </w:rPr>
        <w:t>a</w:t>
      </w:r>
      <w:r w:rsidR="000D6E06" w:rsidRPr="006A74F8">
        <w:rPr>
          <w:lang w:val="en"/>
        </w:rPr>
        <w:t xml:space="preserve"> discussion of </w:t>
      </w:r>
      <w:r w:rsidR="00072037" w:rsidRPr="006A74F8">
        <w:rPr>
          <w:lang w:val="en"/>
        </w:rPr>
        <w:t xml:space="preserve">reform </w:t>
      </w:r>
      <w:r w:rsidR="000D6E06" w:rsidRPr="006A74F8">
        <w:rPr>
          <w:lang w:val="en"/>
        </w:rPr>
        <w:t>options not progressed</w:t>
      </w:r>
    </w:p>
    <w:p w:rsidR="000D6E06" w:rsidRPr="006A74F8" w:rsidRDefault="003B1E94" w:rsidP="00C812C5">
      <w:pPr>
        <w:pStyle w:val="ListParagraph"/>
        <w:numPr>
          <w:ilvl w:val="0"/>
          <w:numId w:val="108"/>
        </w:numPr>
        <w:spacing w:before="120"/>
      </w:pPr>
      <w:r w:rsidRPr="006A74F8">
        <w:rPr>
          <w:lang w:val="en"/>
        </w:rPr>
        <w:t>a</w:t>
      </w:r>
      <w:r w:rsidR="000D6E06" w:rsidRPr="006A74F8">
        <w:rPr>
          <w:lang w:val="en"/>
        </w:rPr>
        <w:t xml:space="preserve"> description of </w:t>
      </w:r>
      <w:r w:rsidR="000D6E06" w:rsidRPr="006A74F8">
        <w:t>options being considered and comparison against the status quo</w:t>
      </w:r>
    </w:p>
    <w:p w:rsidR="000D6E06" w:rsidRPr="006A74F8" w:rsidRDefault="003B1E94" w:rsidP="00C812C5">
      <w:pPr>
        <w:pStyle w:val="ListParagraph"/>
        <w:numPr>
          <w:ilvl w:val="0"/>
          <w:numId w:val="108"/>
        </w:numPr>
        <w:spacing w:before="120"/>
        <w:rPr>
          <w:lang w:val="en"/>
        </w:rPr>
      </w:pPr>
      <w:r w:rsidRPr="006A74F8">
        <w:rPr>
          <w:lang w:val="en"/>
        </w:rPr>
        <w:t>a</w:t>
      </w:r>
      <w:r w:rsidR="000D6E06" w:rsidRPr="006A74F8">
        <w:rPr>
          <w:lang w:val="en"/>
        </w:rPr>
        <w:t xml:space="preserve"> discussion of the significant changes under the different options</w:t>
      </w:r>
    </w:p>
    <w:p w:rsidR="000D6E06" w:rsidRPr="006A74F8" w:rsidRDefault="003B1E94" w:rsidP="00C812C5">
      <w:pPr>
        <w:pStyle w:val="ListParagraph"/>
        <w:numPr>
          <w:ilvl w:val="0"/>
          <w:numId w:val="108"/>
        </w:numPr>
        <w:spacing w:before="120"/>
        <w:rPr>
          <w:lang w:val="en"/>
        </w:rPr>
      </w:pPr>
      <w:r w:rsidRPr="006A74F8">
        <w:t>a</w:t>
      </w:r>
      <w:r w:rsidR="000D6E06" w:rsidRPr="006A74F8">
        <w:t>n analysis of how each option meets the policy objectives.</w:t>
      </w:r>
    </w:p>
    <w:p w:rsidR="007F1F5B" w:rsidRPr="006A74F8" w:rsidRDefault="00C86C3A" w:rsidP="007F1F5B">
      <w:r w:rsidRPr="006A74F8">
        <w:t>I</w:t>
      </w:r>
      <w:r w:rsidR="000D6E06" w:rsidRPr="006A74F8">
        <w:t xml:space="preserve">nformation on </w:t>
      </w:r>
      <w:r w:rsidR="00072037" w:rsidRPr="006A74F8">
        <w:t xml:space="preserve">the timing of potential </w:t>
      </w:r>
      <w:r w:rsidR="000D6E06" w:rsidRPr="006A74F8">
        <w:t xml:space="preserve">changes is in </w:t>
      </w:r>
      <w:hyperlink w:anchor="_Appendix_4:_When" w:history="1">
        <w:r w:rsidR="000D6E06" w:rsidRPr="006A74F8">
          <w:rPr>
            <w:rStyle w:val="Hyperlink"/>
          </w:rPr>
          <w:t xml:space="preserve">Appendix </w:t>
        </w:r>
        <w:r w:rsidR="004755F0" w:rsidRPr="006A74F8">
          <w:rPr>
            <w:rStyle w:val="Hyperlink"/>
          </w:rPr>
          <w:t>3</w:t>
        </w:r>
      </w:hyperlink>
      <w:r w:rsidR="000D6E06" w:rsidRPr="006A74F8">
        <w:t xml:space="preserve">. </w:t>
      </w:r>
      <w:bookmarkStart w:id="1121" w:name="_Toc57891533"/>
      <w:bookmarkStart w:id="1122" w:name="_Toc58228981"/>
      <w:bookmarkStart w:id="1123" w:name="_Toc58501217"/>
      <w:r w:rsidR="007F1F5B" w:rsidRPr="006A74F8">
        <w:t>The impact of spe</w:t>
      </w:r>
      <w:r w:rsidR="00946B94" w:rsidRPr="006A74F8">
        <w:t>cific changes under each option</w:t>
      </w:r>
      <w:r w:rsidR="007F1F5B" w:rsidRPr="006A74F8">
        <w:t xml:space="preserve"> on stakeholders is outlined in response to RIS Question 4 in the next chapter.</w:t>
      </w:r>
    </w:p>
    <w:p w:rsidR="007F1F5B" w:rsidRPr="006A74F8" w:rsidRDefault="007F1F5B" w:rsidP="007F1F5B">
      <w:pPr>
        <w:pStyle w:val="Heading3"/>
      </w:pPr>
      <w:r w:rsidRPr="006A74F8">
        <w:t xml:space="preserve">Discussion by </w:t>
      </w:r>
      <w:r w:rsidR="00197192" w:rsidRPr="006A74F8">
        <w:t>key fundamental elements of the legislation</w:t>
      </w:r>
    </w:p>
    <w:p w:rsidR="006C31EB" w:rsidRPr="006A74F8" w:rsidRDefault="006C31EB" w:rsidP="00FD7AC9">
      <w:r w:rsidRPr="006A74F8">
        <w:t xml:space="preserve">Under all options presented, key fundamental elements of the </w:t>
      </w:r>
      <w:r w:rsidR="000B52EF" w:rsidRPr="006A74F8">
        <w:t xml:space="preserve">legislative </w:t>
      </w:r>
      <w:r w:rsidRPr="006A74F8">
        <w:t>framework remain</w:t>
      </w:r>
      <w:r w:rsidR="009463DB" w:rsidRPr="006A74F8">
        <w:t>,</w:t>
      </w:r>
      <w:r w:rsidRPr="006A74F8">
        <w:t xml:space="preserve"> </w:t>
      </w:r>
      <w:r w:rsidR="005578D3" w:rsidRPr="006A74F8">
        <w:t>including</w:t>
      </w:r>
      <w:r w:rsidRPr="006A74F8">
        <w:t>:</w:t>
      </w:r>
    </w:p>
    <w:p w:rsidR="00EC338C" w:rsidRPr="006A74F8" w:rsidRDefault="006C31EB" w:rsidP="00C812C5">
      <w:pPr>
        <w:pStyle w:val="ListParagraph"/>
        <w:numPr>
          <w:ilvl w:val="0"/>
          <w:numId w:val="33"/>
        </w:numPr>
      </w:pPr>
      <w:r w:rsidRPr="006A74F8">
        <w:t xml:space="preserve">the traceability of measurements </w:t>
      </w:r>
    </w:p>
    <w:p w:rsidR="00EC338C" w:rsidRPr="006A74F8" w:rsidRDefault="006C31EB" w:rsidP="00C812C5">
      <w:pPr>
        <w:pStyle w:val="ListParagraph"/>
        <w:numPr>
          <w:ilvl w:val="0"/>
          <w:numId w:val="33"/>
        </w:numPr>
      </w:pPr>
      <w:r w:rsidRPr="006A74F8">
        <w:t xml:space="preserve">the regulation of measuring instruments </w:t>
      </w:r>
    </w:p>
    <w:p w:rsidR="00EC338C" w:rsidRPr="006A74F8" w:rsidRDefault="00E254E9" w:rsidP="00C812C5">
      <w:pPr>
        <w:pStyle w:val="ListParagraph"/>
        <w:numPr>
          <w:ilvl w:val="0"/>
          <w:numId w:val="33"/>
        </w:numPr>
      </w:pPr>
      <w:r w:rsidRPr="006A74F8">
        <w:t>requirements for measurement-</w:t>
      </w:r>
      <w:r w:rsidR="006C31EB" w:rsidRPr="006A74F8">
        <w:t xml:space="preserve">based transactions </w:t>
      </w:r>
    </w:p>
    <w:p w:rsidR="00ED5A46" w:rsidRPr="006A74F8" w:rsidRDefault="006C31EB" w:rsidP="00C812C5">
      <w:pPr>
        <w:pStyle w:val="ListParagraph"/>
        <w:numPr>
          <w:ilvl w:val="0"/>
          <w:numId w:val="33"/>
        </w:numPr>
      </w:pPr>
      <w:r w:rsidRPr="006A74F8">
        <w:t>arrangeme</w:t>
      </w:r>
      <w:r w:rsidR="009B3556" w:rsidRPr="006A74F8">
        <w:t>nts for appointment and use of ATPs</w:t>
      </w:r>
      <w:r w:rsidR="009B3556" w:rsidRPr="006A74F8">
        <w:rPr>
          <w:rStyle w:val="FootnoteReference"/>
        </w:rPr>
        <w:footnoteReference w:id="25"/>
      </w:r>
      <w:r w:rsidR="009B3556" w:rsidRPr="006A74F8">
        <w:t xml:space="preserve"> </w:t>
      </w:r>
      <w:r w:rsidRPr="006A74F8">
        <w:t xml:space="preserve">to provide </w:t>
      </w:r>
      <w:r w:rsidR="005128A1" w:rsidRPr="006A74F8">
        <w:t>various</w:t>
      </w:r>
      <w:r w:rsidR="009B3556" w:rsidRPr="006A74F8">
        <w:t xml:space="preserve"> </w:t>
      </w:r>
      <w:r w:rsidR="00ED5A46" w:rsidRPr="006A74F8">
        <w:t>measurement services</w:t>
      </w:r>
    </w:p>
    <w:p w:rsidR="00ED5A46" w:rsidRPr="006A74F8" w:rsidRDefault="006C31EB" w:rsidP="00C812C5">
      <w:pPr>
        <w:pStyle w:val="ListParagraph"/>
        <w:numPr>
          <w:ilvl w:val="0"/>
          <w:numId w:val="33"/>
        </w:numPr>
      </w:pPr>
      <w:bookmarkStart w:id="1124" w:name="_Toc61338670"/>
      <w:bookmarkStart w:id="1125" w:name="_Toc63062582"/>
      <w:r w:rsidRPr="006A74F8">
        <w:t>tools to enable appropriate compli</w:t>
      </w:r>
      <w:r w:rsidR="001127DD" w:rsidRPr="006A74F8">
        <w:t>ance and enforcement activitie</w:t>
      </w:r>
      <w:r w:rsidR="00BA6BDB" w:rsidRPr="006A74F8">
        <w:t>s</w:t>
      </w:r>
      <w:r w:rsidR="0030628F" w:rsidRPr="006A74F8">
        <w:t>.</w:t>
      </w:r>
      <w:r w:rsidR="00ED5A46" w:rsidRPr="006A74F8">
        <w:t xml:space="preserve"> </w:t>
      </w:r>
    </w:p>
    <w:p w:rsidR="001127DD" w:rsidRPr="006A74F8" w:rsidRDefault="001127DD" w:rsidP="00C812C5">
      <w:pPr>
        <w:pStyle w:val="ListParagraph"/>
        <w:ind w:firstLine="0"/>
        <w:sectPr w:rsidR="001127DD" w:rsidRPr="006A74F8" w:rsidSect="00EC61D8">
          <w:pgSz w:w="11907" w:h="16840" w:code="9"/>
          <w:pgMar w:top="1440" w:right="1440" w:bottom="1440" w:left="1440" w:header="709" w:footer="0" w:gutter="0"/>
          <w:cols w:space="708"/>
          <w:docGrid w:linePitch="360"/>
        </w:sectPr>
      </w:pPr>
    </w:p>
    <w:p w:rsidR="005760F5" w:rsidRPr="006A74F8" w:rsidRDefault="005760F5" w:rsidP="003B5BE3">
      <w:pPr>
        <w:pStyle w:val="Heading2"/>
      </w:pPr>
      <w:bookmarkStart w:id="1126" w:name="_Toc64558447"/>
      <w:bookmarkStart w:id="1127" w:name="_Toc64557467"/>
      <w:bookmarkStart w:id="1128" w:name="_Toc64562192"/>
      <w:bookmarkStart w:id="1129" w:name="_Toc64562448"/>
      <w:bookmarkStart w:id="1130" w:name="_Toc64640234"/>
      <w:bookmarkStart w:id="1131" w:name="_Toc64641210"/>
      <w:bookmarkStart w:id="1132" w:name="_Toc64647152"/>
      <w:bookmarkStart w:id="1133" w:name="_Toc64888318"/>
      <w:bookmarkStart w:id="1134" w:name="_Toc64888698"/>
      <w:bookmarkStart w:id="1135" w:name="_Toc64892973"/>
      <w:bookmarkStart w:id="1136" w:name="_Toc64895621"/>
      <w:bookmarkStart w:id="1137" w:name="_Toc64900828"/>
      <w:bookmarkStart w:id="1138" w:name="_Toc64903094"/>
      <w:bookmarkStart w:id="1139" w:name="_Toc64904033"/>
      <w:bookmarkStart w:id="1140" w:name="_Toc64904255"/>
      <w:bookmarkStart w:id="1141" w:name="_Toc64904698"/>
      <w:bookmarkStart w:id="1142" w:name="_Toc64905212"/>
      <w:bookmarkStart w:id="1143" w:name="_Toc64963989"/>
      <w:bookmarkStart w:id="1144" w:name="_Toc64974587"/>
      <w:bookmarkStart w:id="1145" w:name="_Toc64976288"/>
      <w:bookmarkStart w:id="1146" w:name="_Toc65149662"/>
      <w:bookmarkStart w:id="1147" w:name="_Toc65163437"/>
      <w:bookmarkStart w:id="1148" w:name="_Toc65491076"/>
      <w:bookmarkStart w:id="1149" w:name="_Toc65504812"/>
      <w:bookmarkStart w:id="1150" w:name="_Toc65757895"/>
      <w:bookmarkStart w:id="1151" w:name="_Toc65769490"/>
      <w:bookmarkStart w:id="1152" w:name="_Toc65766858"/>
      <w:bookmarkStart w:id="1153" w:name="_Toc65772632"/>
      <w:bookmarkStart w:id="1154" w:name="_Toc66435690"/>
      <w:bookmarkStart w:id="1155" w:name="_Toc66436479"/>
      <w:bookmarkStart w:id="1156" w:name="_Toc66437690"/>
      <w:bookmarkStart w:id="1157" w:name="_Toc66440029"/>
      <w:bookmarkStart w:id="1158" w:name="_Toc66442232"/>
      <w:bookmarkStart w:id="1159" w:name="_Toc66451901"/>
      <w:bookmarkStart w:id="1160" w:name="_Toc66459178"/>
      <w:bookmarkStart w:id="1161" w:name="_Toc66460232"/>
      <w:bookmarkStart w:id="1162" w:name="_Toc67305386"/>
      <w:bookmarkStart w:id="1163" w:name="_Toc67306299"/>
      <w:bookmarkStart w:id="1164" w:name="_Toc67306751"/>
      <w:bookmarkStart w:id="1165" w:name="_Toc67313601"/>
      <w:bookmarkStart w:id="1166" w:name="_Toc67320794"/>
      <w:bookmarkStart w:id="1167" w:name="_Toc67321947"/>
      <w:bookmarkStart w:id="1168" w:name="_Toc67324412"/>
      <w:bookmarkStart w:id="1169" w:name="_Toc67326573"/>
      <w:r w:rsidRPr="006A74F8">
        <w:lastRenderedPageBreak/>
        <w:t>P</w:t>
      </w:r>
      <w:r w:rsidR="001273EE" w:rsidRPr="006A74F8">
        <w:t xml:space="preserve">rocess of </w:t>
      </w:r>
      <w:r w:rsidR="0024141F" w:rsidRPr="006A74F8">
        <w:t>o</w:t>
      </w:r>
      <w:r w:rsidR="00F0659D" w:rsidRPr="006A74F8">
        <w:t>ptions development</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tbl>
      <w:tblPr>
        <w:tblStyle w:val="TableGrid"/>
        <w:tblpPr w:leftFromText="180" w:rightFromText="180" w:vertAnchor="text" w:tblpY="1"/>
        <w:tblOverlap w:val="never"/>
        <w:tblW w:w="13321"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Caption w:val="Review Progress Diagram"/>
        <w:tblDescription w:val="&#10;2015 Packaging Review  Start of Packaging Review The Department undertook a review of Part 4 of the National Trade Measurement Regulations from 2015 to 2018. The purpose of the review was to identify where red tape could be cut without compromising the objectives of the national trade measurement system.&#10;    &#10;    The packaging review gathered stakeholder views through four key processes: 1. Discussion paper for comment&#10;2. One on one stakeholder meetings&#10;3. Options paper for comment&#10;4. ORIMA research/surveys&#10;2017  Measurement Law Review (MLR) Start of MLR The Measurement Law Review (MLR) was established. The review team analysed the legislation and divided it into thematic areas for the purposes of public consultation (outlined below).&#10;    &#10;2018  Stakeholder Workshops Workshop discussions were undertaken across government (Commonwealth and states and territories), peak industry bodies and consumer groups to raise awareness of the review and advise on the key principles of the review. In 2018 the packaging review was merged with the MLR&#10;     &#10;2019  Public Consultation Throughout 2018 and 2019 six discussion papers seeking feedback on Australia’s current measurement framework were released for public comment. One for each of the thematic areas: 1. Scope&#10;2. Traceability&#10;3. Measuring instruments&#10;4. Measurement-based transactions&#10;5. Third party arrangements&#10;6. Compliance and enforcement arrangements. A total of 103 submissions were received&#10;&#10;      &#10;   Economic Analysis &amp; Industry Survey An independent report estimated the baseline value of the measurement framework and noted the benefits of measurement regulation are widespread and varied, ranging from reduced economic transaction costs to environmental benefits and improved healthcare outcomes.&#10;2020  Third Party Industry Consultation The public consultation discussion papers were supplemented with a series of consultation forums with authorised third parties. These forums were in Melbourne, Adelaide, Sydney, Brisbane and Perth. A total of 123 participants attended the forums.&#10;    &#10;   Publication of Consultation Summary An overview of the key feedback from the public consultations and third party forums was summarised and made available on the review’s Webpage (link).   Internal Policy Analysis The MLR facilitated a number of policy development workshops to draw on the expertise and knowledge from across NMI and jointly develop a potential range of proposed options that incorporated feedback from stakeholders.&#10;2021  Consultation RIS Drafting &amp; Stakeholder Impact Analysis The MLR drafted the initial Consultation Regulation Impact Statement (RIS), focusing on four key questions: 1. What is the problem to be solved?&#10;2. What is the rationale for Government Action?&#10;3. What reform options are being considered?&#10;4. What are the impacts of the reform options? As a part of the RIS, the review considered how proposed changes would impact key stakeholder groups, and align with key policy objectives.&#10;      &#10;TODAY  Public Consultation The consultation RIS has now been released for public comment&#10;    &#10;   Final RIS Following consultation, the MLR will review submissions and incorporate feedback to finalise the proposed options for government consideration.&#10;2022  Government Decision It is anticipated that Government will make a final decision on the options between the end of 2021 and the start of 2022.&#10;    &#10;&#10;"/>
      </w:tblPr>
      <w:tblGrid>
        <w:gridCol w:w="1331"/>
        <w:gridCol w:w="557"/>
        <w:gridCol w:w="555"/>
        <w:gridCol w:w="2502"/>
        <w:gridCol w:w="2933"/>
        <w:gridCol w:w="3119"/>
        <w:gridCol w:w="2324"/>
      </w:tblGrid>
      <w:tr w:rsidR="00472CEC" w:rsidRPr="006A74F8" w:rsidTr="00E81223">
        <w:trPr>
          <w:trHeight w:val="571"/>
          <w:tblHeader/>
        </w:trPr>
        <w:tc>
          <w:tcPr>
            <w:tcW w:w="13321" w:type="dxa"/>
            <w:gridSpan w:val="7"/>
            <w:shd w:val="clear" w:color="auto" w:fill="00283E" w:themeFill="accent2"/>
            <w:vAlign w:val="center"/>
          </w:tcPr>
          <w:p w:rsidR="00472CEC" w:rsidRPr="006A74F8" w:rsidRDefault="00472CEC" w:rsidP="00E81223">
            <w:pPr>
              <w:jc w:val="center"/>
              <w:rPr>
                <w:rFonts w:ascii="Gotham Narrow Book" w:hAnsi="Gotham Narrow Book"/>
                <w:b/>
                <w:color w:val="002B3B" w:themeColor="text2" w:themeShade="80"/>
              </w:rPr>
            </w:pPr>
            <w:r w:rsidRPr="006A74F8">
              <w:rPr>
                <w:rFonts w:ascii="Gotham Narrow Book" w:hAnsi="Gotham Narrow Book"/>
                <w:b/>
                <w:color w:val="FFFFFF" w:themeColor="background1"/>
                <w:sz w:val="36"/>
              </w:rPr>
              <w:t>Review Progress Diagram</w:t>
            </w:r>
          </w:p>
        </w:tc>
      </w:tr>
      <w:tr w:rsidR="00472CEC" w:rsidRPr="006A74F8" w:rsidTr="00E81223">
        <w:trPr>
          <w:trHeight w:val="349"/>
        </w:trPr>
        <w:tc>
          <w:tcPr>
            <w:tcW w:w="1331" w:type="dxa"/>
            <w:shd w:val="clear" w:color="auto" w:fill="55E0DA" w:themeFill="accent3" w:themeFillTint="99"/>
            <w:vAlign w:val="center"/>
          </w:tcPr>
          <w:p w:rsidR="00472CEC" w:rsidRPr="006A74F8" w:rsidRDefault="00472CEC" w:rsidP="00E81223">
            <w:pPr>
              <w:jc w:val="center"/>
              <w:rPr>
                <w:rFonts w:ascii="Gotham Narrow Book" w:hAnsi="Gotham Narrow Book"/>
                <w:b/>
                <w:sz w:val="32"/>
              </w:rPr>
            </w:pPr>
            <w:r w:rsidRPr="006A74F8">
              <w:rPr>
                <w:rFonts w:ascii="Gotham Narrow Book" w:hAnsi="Gotham Narrow Book"/>
                <w:b/>
                <w:sz w:val="32"/>
              </w:rPr>
              <w:t>2015</w:t>
            </w:r>
          </w:p>
        </w:tc>
        <w:tc>
          <w:tcPr>
            <w:tcW w:w="557" w:type="dxa"/>
            <w:vMerge w:val="restart"/>
            <w:shd w:val="clear" w:color="auto" w:fill="004369" w:themeFill="accent2" w:themeFillTint="E6"/>
            <w:textDirection w:val="btLr"/>
            <w:vAlign w:val="center"/>
          </w:tcPr>
          <w:p w:rsidR="00472CEC" w:rsidRPr="006A74F8" w:rsidRDefault="00472CEC" w:rsidP="00E81223">
            <w:pPr>
              <w:ind w:left="113" w:right="113"/>
              <w:jc w:val="center"/>
              <w:rPr>
                <w:rFonts w:ascii="Gotham Narrow Book" w:hAnsi="Gotham Narrow Book"/>
                <w:b/>
                <w:sz w:val="28"/>
              </w:rPr>
            </w:pPr>
            <w:r w:rsidRPr="006A74F8">
              <w:rPr>
                <w:rFonts w:ascii="Gotham Narrow Book" w:hAnsi="Gotham Narrow Book"/>
                <w:b/>
                <w:sz w:val="28"/>
              </w:rPr>
              <w:t>Packaging Review</w:t>
            </w:r>
          </w:p>
        </w:tc>
        <w:tc>
          <w:tcPr>
            <w:tcW w:w="555" w:type="dxa"/>
            <w:vMerge w:val="restart"/>
            <w:vAlign w:val="center"/>
          </w:tcPr>
          <w:p w:rsidR="00472CEC" w:rsidRPr="006A74F8" w:rsidRDefault="00472CEC" w:rsidP="00E81223">
            <w:pPr>
              <w:jc w:val="center"/>
              <w:rPr>
                <w:rFonts w:ascii="Gotham Narrow Book" w:hAnsi="Gotham Narrow Book"/>
              </w:rPr>
            </w:pPr>
          </w:p>
        </w:tc>
        <w:tc>
          <w:tcPr>
            <w:tcW w:w="2502" w:type="dxa"/>
            <w:vMerge w:val="restart"/>
            <w:shd w:val="clear" w:color="auto" w:fill="8ED6FF" w:themeFill="accent2" w:themeFillTint="40"/>
            <w:vAlign w:val="center"/>
          </w:tcPr>
          <w:p w:rsidR="00472CEC" w:rsidRPr="006A74F8" w:rsidRDefault="00472CEC" w:rsidP="00E81223">
            <w:pPr>
              <w:jc w:val="center"/>
              <w:rPr>
                <w:rFonts w:ascii="Gotham Narrow Book" w:hAnsi="Gotham Narrow Book"/>
                <w:b/>
                <w:color w:val="002B3B" w:themeColor="text2" w:themeShade="80"/>
                <w:sz w:val="28"/>
                <w:szCs w:val="24"/>
              </w:rPr>
            </w:pPr>
            <w:r w:rsidRPr="006A74F8">
              <w:rPr>
                <w:rFonts w:ascii="Gotham Narrow Book" w:hAnsi="Gotham Narrow Book"/>
                <w:b/>
                <w:color w:val="002B3B" w:themeColor="text2" w:themeShade="80"/>
                <w:sz w:val="28"/>
                <w:szCs w:val="24"/>
              </w:rPr>
              <w:t>Start of Packaging Review</w:t>
            </w:r>
          </w:p>
        </w:tc>
        <w:tc>
          <w:tcPr>
            <w:tcW w:w="8376" w:type="dxa"/>
            <w:gridSpan w:val="3"/>
            <w:vMerge w:val="restart"/>
            <w:shd w:val="clear" w:color="auto" w:fill="D1EEFF" w:themeFill="accent2" w:themeFillTint="1A"/>
            <w:vAlign w:val="center"/>
          </w:tcPr>
          <w:p w:rsidR="00472CEC" w:rsidRPr="006A74F8" w:rsidRDefault="00472CEC" w:rsidP="00E81223">
            <w:pPr>
              <w:jc w:val="center"/>
              <w:rPr>
                <w:rFonts w:ascii="Gotham Narrow Book" w:hAnsi="Gotham Narrow Book"/>
                <w:color w:val="002B3B" w:themeColor="text2" w:themeShade="80"/>
              </w:rPr>
            </w:pPr>
            <w:r w:rsidRPr="006A74F8">
              <w:rPr>
                <w:rFonts w:ascii="Gotham Narrow Book" w:hAnsi="Gotham Narrow Book"/>
                <w:color w:val="002B3B" w:themeColor="text2" w:themeShade="80"/>
              </w:rPr>
              <w:t>The Department undertook a review of Part 4 of the National Trade Measurement Regulations from 2015 to 2018. The purpose of the review was to identify where red tape could be cut without compromising the objectives of the national trade measurement system.</w:t>
            </w:r>
          </w:p>
        </w:tc>
      </w:tr>
      <w:tr w:rsidR="00472CEC" w:rsidRPr="006A74F8" w:rsidTr="00E81223">
        <w:trPr>
          <w:trHeight w:val="786"/>
        </w:trPr>
        <w:tc>
          <w:tcPr>
            <w:tcW w:w="1331" w:type="dxa"/>
            <w:vAlign w:val="center"/>
          </w:tcPr>
          <w:p w:rsidR="00472CEC" w:rsidRPr="006A74F8" w:rsidRDefault="00472CEC" w:rsidP="00E81223">
            <w:pPr>
              <w:jc w:val="center"/>
              <w:rPr>
                <w:rFonts w:ascii="Gotham Narrow Book" w:hAnsi="Gotham Narrow Book"/>
                <w:b/>
                <w:sz w:val="32"/>
              </w:rPr>
            </w:pPr>
          </w:p>
        </w:tc>
        <w:tc>
          <w:tcPr>
            <w:tcW w:w="557" w:type="dxa"/>
            <w:vMerge/>
            <w:shd w:val="clear" w:color="auto" w:fill="004369" w:themeFill="accent2" w:themeFillTint="E6"/>
            <w:vAlign w:val="center"/>
          </w:tcPr>
          <w:p w:rsidR="00472CEC" w:rsidRPr="006A74F8" w:rsidRDefault="00472CEC" w:rsidP="00E81223">
            <w:pPr>
              <w:jc w:val="center"/>
              <w:rPr>
                <w:rFonts w:ascii="Gotham Narrow Book" w:hAnsi="Gotham Narrow Book"/>
                <w:b/>
                <w:sz w:val="28"/>
              </w:rPr>
            </w:pPr>
          </w:p>
        </w:tc>
        <w:tc>
          <w:tcPr>
            <w:tcW w:w="555" w:type="dxa"/>
            <w:vMerge/>
            <w:vAlign w:val="center"/>
          </w:tcPr>
          <w:p w:rsidR="00472CEC" w:rsidRPr="006A74F8" w:rsidRDefault="00472CEC" w:rsidP="00E81223">
            <w:pPr>
              <w:jc w:val="center"/>
              <w:rPr>
                <w:rFonts w:ascii="Gotham Narrow Book" w:hAnsi="Gotham Narrow Book"/>
              </w:rPr>
            </w:pPr>
          </w:p>
        </w:tc>
        <w:tc>
          <w:tcPr>
            <w:tcW w:w="2502" w:type="dxa"/>
            <w:vMerge/>
            <w:shd w:val="clear" w:color="auto" w:fill="8ED6FF" w:themeFill="accent2" w:themeFillTint="40"/>
            <w:vAlign w:val="center"/>
          </w:tcPr>
          <w:p w:rsidR="00472CEC" w:rsidRPr="006A74F8" w:rsidRDefault="00472CEC" w:rsidP="00E81223">
            <w:pPr>
              <w:jc w:val="center"/>
              <w:rPr>
                <w:rFonts w:ascii="Gotham Narrow Book" w:hAnsi="Gotham Narrow Book"/>
                <w:b/>
                <w:color w:val="002B3B" w:themeColor="text2" w:themeShade="80"/>
                <w:sz w:val="28"/>
                <w:szCs w:val="24"/>
              </w:rPr>
            </w:pPr>
          </w:p>
        </w:tc>
        <w:tc>
          <w:tcPr>
            <w:tcW w:w="8376" w:type="dxa"/>
            <w:gridSpan w:val="3"/>
            <w:vMerge/>
            <w:shd w:val="clear" w:color="auto" w:fill="D1EEFF" w:themeFill="accent2" w:themeFillTint="1A"/>
            <w:vAlign w:val="center"/>
          </w:tcPr>
          <w:p w:rsidR="00472CEC" w:rsidRPr="006A74F8" w:rsidRDefault="00472CEC" w:rsidP="00E81223">
            <w:pPr>
              <w:jc w:val="center"/>
              <w:rPr>
                <w:rFonts w:ascii="Gotham Narrow Book" w:hAnsi="Gotham Narrow Book"/>
                <w:color w:val="002B3B" w:themeColor="text2" w:themeShade="80"/>
              </w:rPr>
            </w:pPr>
          </w:p>
        </w:tc>
      </w:tr>
      <w:tr w:rsidR="00472CEC" w:rsidRPr="006A74F8" w:rsidTr="00E81223">
        <w:trPr>
          <w:trHeight w:val="80"/>
        </w:trPr>
        <w:tc>
          <w:tcPr>
            <w:tcW w:w="1331" w:type="dxa"/>
            <w:vAlign w:val="center"/>
          </w:tcPr>
          <w:p w:rsidR="00472CEC" w:rsidRPr="006A74F8" w:rsidRDefault="00472CEC" w:rsidP="00E81223">
            <w:pPr>
              <w:jc w:val="center"/>
              <w:rPr>
                <w:rFonts w:ascii="Gotham Narrow Book" w:hAnsi="Gotham Narrow Book"/>
                <w:b/>
                <w:sz w:val="32"/>
              </w:rPr>
            </w:pPr>
          </w:p>
        </w:tc>
        <w:tc>
          <w:tcPr>
            <w:tcW w:w="557" w:type="dxa"/>
            <w:vMerge/>
            <w:shd w:val="clear" w:color="auto" w:fill="004369" w:themeFill="accent2" w:themeFillTint="E6"/>
            <w:vAlign w:val="center"/>
          </w:tcPr>
          <w:p w:rsidR="00472CEC" w:rsidRPr="006A74F8" w:rsidRDefault="00472CEC" w:rsidP="00E81223">
            <w:pPr>
              <w:jc w:val="center"/>
              <w:rPr>
                <w:rFonts w:ascii="Gotham Narrow Book" w:hAnsi="Gotham Narrow Book"/>
                <w:b/>
                <w:sz w:val="28"/>
              </w:rPr>
            </w:pPr>
          </w:p>
        </w:tc>
        <w:tc>
          <w:tcPr>
            <w:tcW w:w="555" w:type="dxa"/>
            <w:vAlign w:val="center"/>
          </w:tcPr>
          <w:p w:rsidR="00472CEC" w:rsidRPr="006A74F8" w:rsidRDefault="00472CEC" w:rsidP="00E81223">
            <w:pPr>
              <w:jc w:val="center"/>
              <w:rPr>
                <w:rFonts w:ascii="Gotham Narrow Book" w:hAnsi="Gotham Narrow Book"/>
              </w:rPr>
            </w:pPr>
          </w:p>
        </w:tc>
        <w:tc>
          <w:tcPr>
            <w:tcW w:w="2502" w:type="dxa"/>
            <w:shd w:val="clear" w:color="auto" w:fill="FFFFFF" w:themeFill="background1"/>
            <w:vAlign w:val="center"/>
          </w:tcPr>
          <w:p w:rsidR="00472CEC" w:rsidRPr="006A74F8" w:rsidRDefault="00472CEC" w:rsidP="00E81223">
            <w:pPr>
              <w:jc w:val="center"/>
              <w:rPr>
                <w:rFonts w:ascii="Gotham Narrow Book" w:hAnsi="Gotham Narrow Book"/>
                <w:b/>
                <w:color w:val="002B3B" w:themeColor="text2" w:themeShade="80"/>
                <w:sz w:val="28"/>
              </w:rPr>
            </w:pPr>
          </w:p>
        </w:tc>
        <w:tc>
          <w:tcPr>
            <w:tcW w:w="2933" w:type="dxa"/>
            <w:shd w:val="clear" w:color="auto" w:fill="D1EEFF" w:themeFill="accent2" w:themeFillTint="1A"/>
            <w:vAlign w:val="center"/>
          </w:tcPr>
          <w:p w:rsidR="00472CEC" w:rsidRPr="006A74F8" w:rsidRDefault="00472CEC" w:rsidP="00E81223">
            <w:pPr>
              <w:jc w:val="center"/>
              <w:rPr>
                <w:rFonts w:ascii="Gotham Narrow Book" w:hAnsi="Gotham Narrow Book" w:cstheme="minorHAnsi"/>
                <w:color w:val="002B3B" w:themeColor="text2" w:themeShade="80"/>
              </w:rPr>
            </w:pPr>
            <w:r w:rsidRPr="006A74F8">
              <w:rPr>
                <w:rFonts w:ascii="Gotham Narrow Book" w:hAnsi="Gotham Narrow Book" w:cstheme="minorHAnsi"/>
                <w:color w:val="002B3B" w:themeColor="text2" w:themeShade="80"/>
              </w:rPr>
              <w:t>The packaging review gathered stakeholder views through four key processes:</w:t>
            </w:r>
          </w:p>
        </w:tc>
        <w:tc>
          <w:tcPr>
            <w:tcW w:w="5443" w:type="dxa"/>
            <w:gridSpan w:val="2"/>
            <w:shd w:val="clear" w:color="auto" w:fill="D1EEFF" w:themeFill="accent2" w:themeFillTint="1A"/>
            <w:vAlign w:val="center"/>
          </w:tcPr>
          <w:p w:rsidR="00472CEC" w:rsidRPr="006A74F8" w:rsidRDefault="00472CEC" w:rsidP="00472CEC">
            <w:pPr>
              <w:pStyle w:val="ListParagraph"/>
              <w:numPr>
                <w:ilvl w:val="0"/>
                <w:numId w:val="25"/>
              </w:numPr>
              <w:ind w:left="426"/>
              <w:rPr>
                <w:rFonts w:ascii="Gotham Narrow Book" w:hAnsi="Gotham Narrow Book" w:cstheme="minorHAnsi"/>
                <w:color w:val="002B3B" w:themeColor="text2" w:themeShade="80"/>
              </w:rPr>
            </w:pPr>
            <w:r w:rsidRPr="006A74F8">
              <w:rPr>
                <w:rFonts w:ascii="Gotham Narrow Book" w:hAnsi="Gotham Narrow Book" w:cstheme="minorHAnsi"/>
                <w:color w:val="002B3B" w:themeColor="text2" w:themeShade="80"/>
              </w:rPr>
              <w:t>Discussion paper for comment</w:t>
            </w:r>
          </w:p>
          <w:p w:rsidR="00472CEC" w:rsidRPr="006A74F8" w:rsidRDefault="00472CEC" w:rsidP="00472CEC">
            <w:pPr>
              <w:pStyle w:val="ListParagraph"/>
              <w:numPr>
                <w:ilvl w:val="0"/>
                <w:numId w:val="25"/>
              </w:numPr>
              <w:ind w:left="426"/>
              <w:rPr>
                <w:rFonts w:ascii="Gotham Narrow Book" w:hAnsi="Gotham Narrow Book" w:cstheme="minorHAnsi"/>
                <w:color w:val="002B3B" w:themeColor="text2" w:themeShade="80"/>
              </w:rPr>
            </w:pPr>
            <w:r w:rsidRPr="006A74F8">
              <w:rPr>
                <w:rFonts w:ascii="Gotham Narrow Book" w:hAnsi="Gotham Narrow Book" w:cstheme="minorHAnsi"/>
                <w:color w:val="002B3B" w:themeColor="text2" w:themeShade="80"/>
              </w:rPr>
              <w:t>One on one stakeholder meetings</w:t>
            </w:r>
          </w:p>
          <w:p w:rsidR="00472CEC" w:rsidRPr="006A74F8" w:rsidRDefault="00472CEC" w:rsidP="00472CEC">
            <w:pPr>
              <w:pStyle w:val="ListParagraph"/>
              <w:numPr>
                <w:ilvl w:val="0"/>
                <w:numId w:val="25"/>
              </w:numPr>
              <w:ind w:left="426"/>
              <w:rPr>
                <w:rFonts w:ascii="Gotham Narrow Book" w:hAnsi="Gotham Narrow Book" w:cstheme="minorHAnsi"/>
                <w:color w:val="002B3B" w:themeColor="text2" w:themeShade="80"/>
              </w:rPr>
            </w:pPr>
            <w:r w:rsidRPr="006A74F8">
              <w:rPr>
                <w:rFonts w:ascii="Gotham Narrow Book" w:hAnsi="Gotham Narrow Book" w:cstheme="minorHAnsi"/>
                <w:color w:val="002B3B" w:themeColor="text2" w:themeShade="80"/>
              </w:rPr>
              <w:t xml:space="preserve">Options paper for comment </w:t>
            </w:r>
          </w:p>
          <w:p w:rsidR="00472CEC" w:rsidRPr="006A74F8" w:rsidRDefault="00472CEC" w:rsidP="00472CEC">
            <w:pPr>
              <w:pStyle w:val="ListParagraph"/>
              <w:numPr>
                <w:ilvl w:val="0"/>
                <w:numId w:val="25"/>
              </w:numPr>
              <w:spacing w:after="160"/>
              <w:ind w:left="426"/>
              <w:rPr>
                <w:rFonts w:ascii="Gotham Narrow Book" w:hAnsi="Gotham Narrow Book" w:cstheme="minorHAnsi"/>
                <w:color w:val="002B3B" w:themeColor="text2" w:themeShade="80"/>
              </w:rPr>
            </w:pPr>
            <w:r w:rsidRPr="006A74F8">
              <w:rPr>
                <w:rFonts w:ascii="Gotham Narrow Book" w:hAnsi="Gotham Narrow Book" w:cstheme="minorHAnsi"/>
                <w:color w:val="002B3B" w:themeColor="text2" w:themeShade="80"/>
              </w:rPr>
              <w:t>ORIMA research/surveys</w:t>
            </w:r>
          </w:p>
        </w:tc>
      </w:tr>
      <w:tr w:rsidR="00472CEC" w:rsidRPr="006A74F8" w:rsidTr="00E81223">
        <w:trPr>
          <w:trHeight w:val="105"/>
        </w:trPr>
        <w:tc>
          <w:tcPr>
            <w:tcW w:w="1331" w:type="dxa"/>
            <w:shd w:val="clear" w:color="auto" w:fill="55E0DA" w:themeFill="accent3" w:themeFillTint="99"/>
            <w:vAlign w:val="center"/>
          </w:tcPr>
          <w:p w:rsidR="00472CEC" w:rsidRPr="006A74F8" w:rsidRDefault="00472CEC" w:rsidP="00E81223">
            <w:pPr>
              <w:jc w:val="center"/>
              <w:rPr>
                <w:rFonts w:ascii="Gotham Narrow Book" w:hAnsi="Gotham Narrow Book"/>
                <w:b/>
                <w:sz w:val="32"/>
              </w:rPr>
            </w:pPr>
            <w:r w:rsidRPr="006A74F8">
              <w:rPr>
                <w:rFonts w:ascii="Gotham Narrow Book" w:hAnsi="Gotham Narrow Book"/>
                <w:b/>
                <w:sz w:val="32"/>
              </w:rPr>
              <w:t>2017</w:t>
            </w:r>
          </w:p>
        </w:tc>
        <w:tc>
          <w:tcPr>
            <w:tcW w:w="557" w:type="dxa"/>
            <w:vMerge/>
            <w:shd w:val="clear" w:color="auto" w:fill="004369" w:themeFill="accent2" w:themeFillTint="E6"/>
            <w:vAlign w:val="center"/>
          </w:tcPr>
          <w:p w:rsidR="00472CEC" w:rsidRPr="006A74F8" w:rsidRDefault="00472CEC" w:rsidP="00E81223">
            <w:pPr>
              <w:jc w:val="center"/>
              <w:rPr>
                <w:rFonts w:ascii="Gotham Narrow Book" w:hAnsi="Gotham Narrow Book"/>
                <w:b/>
                <w:sz w:val="28"/>
              </w:rPr>
            </w:pPr>
          </w:p>
        </w:tc>
        <w:tc>
          <w:tcPr>
            <w:tcW w:w="555" w:type="dxa"/>
            <w:vMerge w:val="restart"/>
            <w:shd w:val="clear" w:color="auto" w:fill="0D4A48" w:themeFill="accent3" w:themeFillShade="80"/>
            <w:textDirection w:val="btLr"/>
            <w:vAlign w:val="center"/>
          </w:tcPr>
          <w:p w:rsidR="00472CEC" w:rsidRPr="006A74F8" w:rsidRDefault="00472CEC" w:rsidP="00E81223">
            <w:pPr>
              <w:ind w:left="113" w:right="113"/>
              <w:jc w:val="center"/>
              <w:rPr>
                <w:rFonts w:ascii="Gotham Narrow Book" w:hAnsi="Gotham Narrow Book"/>
                <w:b/>
              </w:rPr>
            </w:pPr>
            <w:r w:rsidRPr="006A74F8">
              <w:rPr>
                <w:rFonts w:ascii="Gotham Narrow Book" w:hAnsi="Gotham Narrow Book"/>
                <w:b/>
                <w:sz w:val="28"/>
              </w:rPr>
              <w:t>Measurement Law Review (MLR)</w:t>
            </w:r>
          </w:p>
        </w:tc>
        <w:tc>
          <w:tcPr>
            <w:tcW w:w="2502" w:type="dxa"/>
            <w:vMerge w:val="restart"/>
            <w:shd w:val="clear" w:color="auto" w:fill="3AA2A2" w:themeFill="accent4" w:themeFillShade="BF"/>
            <w:vAlign w:val="center"/>
          </w:tcPr>
          <w:p w:rsidR="00472CEC" w:rsidRPr="006A74F8" w:rsidRDefault="00472CEC" w:rsidP="00E81223">
            <w:pPr>
              <w:jc w:val="center"/>
              <w:rPr>
                <w:rFonts w:ascii="Gotham Narrow Book" w:hAnsi="Gotham Narrow Book"/>
                <w:b/>
                <w:color w:val="FFFFFF" w:themeColor="background1"/>
                <w:sz w:val="28"/>
                <w:szCs w:val="24"/>
              </w:rPr>
            </w:pPr>
            <w:r w:rsidRPr="006A74F8">
              <w:rPr>
                <w:rFonts w:ascii="Gotham Narrow Book" w:hAnsi="Gotham Narrow Book"/>
                <w:b/>
                <w:color w:val="FFFFFF" w:themeColor="background1"/>
                <w:sz w:val="28"/>
                <w:szCs w:val="24"/>
              </w:rPr>
              <w:t>Start of MLR</w:t>
            </w:r>
          </w:p>
        </w:tc>
        <w:tc>
          <w:tcPr>
            <w:tcW w:w="8376" w:type="dxa"/>
            <w:gridSpan w:val="3"/>
            <w:vMerge w:val="restart"/>
            <w:shd w:val="clear" w:color="auto" w:fill="BFE8E8" w:themeFill="accent4" w:themeFillTint="66"/>
            <w:vAlign w:val="center"/>
          </w:tcPr>
          <w:p w:rsidR="00472CEC" w:rsidRPr="006A74F8" w:rsidRDefault="00472CEC" w:rsidP="00E81223">
            <w:pPr>
              <w:jc w:val="center"/>
              <w:rPr>
                <w:rFonts w:ascii="Gotham Narrow Book" w:hAnsi="Gotham Narrow Book"/>
                <w:color w:val="002B3B" w:themeColor="text2" w:themeShade="80"/>
              </w:rPr>
            </w:pPr>
            <w:r w:rsidRPr="006A74F8">
              <w:rPr>
                <w:rFonts w:ascii="Gotham Narrow Book" w:hAnsi="Gotham Narrow Book"/>
                <w:color w:val="002B3B" w:themeColor="text2" w:themeShade="80"/>
              </w:rPr>
              <w:t>Government agreed to undertake a thematic review of the measurement legislation and the Measurement Law Review (MLR) was established. The review team analysed the legislation and divided it into thematic areas for the purposes of public consultation (outlined below).</w:t>
            </w:r>
          </w:p>
        </w:tc>
      </w:tr>
      <w:tr w:rsidR="00472CEC" w:rsidRPr="006A74F8" w:rsidTr="00E81223">
        <w:trPr>
          <w:trHeight w:val="625"/>
        </w:trPr>
        <w:tc>
          <w:tcPr>
            <w:tcW w:w="1331" w:type="dxa"/>
            <w:vAlign w:val="center"/>
          </w:tcPr>
          <w:p w:rsidR="00472CEC" w:rsidRPr="006A74F8" w:rsidRDefault="00472CEC" w:rsidP="00E81223">
            <w:pPr>
              <w:jc w:val="center"/>
              <w:rPr>
                <w:rFonts w:ascii="Gotham Narrow Book" w:hAnsi="Gotham Narrow Book"/>
                <w:b/>
                <w:sz w:val="32"/>
              </w:rPr>
            </w:pPr>
          </w:p>
        </w:tc>
        <w:tc>
          <w:tcPr>
            <w:tcW w:w="557" w:type="dxa"/>
            <w:vMerge/>
            <w:shd w:val="clear" w:color="auto" w:fill="004369" w:themeFill="accent2" w:themeFillTint="E6"/>
            <w:vAlign w:val="center"/>
          </w:tcPr>
          <w:p w:rsidR="00472CEC" w:rsidRPr="006A74F8" w:rsidRDefault="00472CEC" w:rsidP="00E81223">
            <w:pPr>
              <w:jc w:val="center"/>
              <w:rPr>
                <w:rFonts w:ascii="Gotham Narrow Book" w:hAnsi="Gotham Narrow Book"/>
                <w:b/>
                <w:sz w:val="28"/>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shd w:val="clear" w:color="auto" w:fill="3AA2A2" w:themeFill="accent4" w:themeFillShade="BF"/>
            <w:vAlign w:val="center"/>
          </w:tcPr>
          <w:p w:rsidR="00472CEC" w:rsidRPr="006A74F8" w:rsidRDefault="00472CEC" w:rsidP="00E81223">
            <w:pPr>
              <w:jc w:val="center"/>
              <w:rPr>
                <w:rFonts w:ascii="Gotham Narrow Book" w:hAnsi="Gotham Narrow Book"/>
                <w:b/>
                <w:color w:val="002B3B" w:themeColor="text2" w:themeShade="80"/>
                <w:sz w:val="28"/>
                <w:szCs w:val="24"/>
              </w:rPr>
            </w:pPr>
          </w:p>
        </w:tc>
        <w:tc>
          <w:tcPr>
            <w:tcW w:w="8376" w:type="dxa"/>
            <w:gridSpan w:val="3"/>
            <w:vMerge/>
            <w:shd w:val="clear" w:color="auto" w:fill="BFE8E8" w:themeFill="accent4" w:themeFillTint="66"/>
            <w:vAlign w:val="center"/>
          </w:tcPr>
          <w:p w:rsidR="00472CEC" w:rsidRPr="006A74F8" w:rsidRDefault="00472CEC" w:rsidP="00E81223">
            <w:pPr>
              <w:jc w:val="center"/>
              <w:rPr>
                <w:rFonts w:ascii="Gotham Narrow Book" w:hAnsi="Gotham Narrow Book"/>
                <w:color w:val="002B3B" w:themeColor="text2" w:themeShade="80"/>
              </w:rPr>
            </w:pPr>
          </w:p>
        </w:tc>
      </w:tr>
      <w:tr w:rsidR="00472CEC" w:rsidRPr="006A74F8" w:rsidTr="00E81223">
        <w:trPr>
          <w:trHeight w:val="105"/>
        </w:trPr>
        <w:tc>
          <w:tcPr>
            <w:tcW w:w="1888" w:type="dxa"/>
            <w:gridSpan w:val="2"/>
            <w:shd w:val="clear" w:color="auto" w:fill="55E0DA" w:themeFill="accent3" w:themeFillTint="99"/>
            <w:vAlign w:val="center"/>
          </w:tcPr>
          <w:p w:rsidR="00472CEC" w:rsidRPr="006A74F8" w:rsidRDefault="00472CEC" w:rsidP="00E81223">
            <w:pPr>
              <w:jc w:val="center"/>
              <w:rPr>
                <w:rFonts w:ascii="Gotham Narrow Book" w:hAnsi="Gotham Narrow Book"/>
                <w:b/>
                <w:sz w:val="28"/>
              </w:rPr>
            </w:pPr>
            <w:r w:rsidRPr="006A74F8">
              <w:rPr>
                <w:rFonts w:ascii="Gotham Narrow Book" w:hAnsi="Gotham Narrow Book"/>
                <w:b/>
                <w:sz w:val="32"/>
              </w:rPr>
              <w:t>2018</w:t>
            </w: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val="restart"/>
            <w:shd w:val="clear" w:color="auto" w:fill="A0DCDC" w:themeFill="accent4" w:themeFillTint="99"/>
            <w:vAlign w:val="center"/>
          </w:tcPr>
          <w:p w:rsidR="00472CEC" w:rsidRPr="006A74F8" w:rsidRDefault="00472CEC" w:rsidP="00E81223">
            <w:pPr>
              <w:jc w:val="center"/>
              <w:rPr>
                <w:rFonts w:ascii="Gotham Narrow Book" w:hAnsi="Gotham Narrow Book"/>
                <w:b/>
                <w:color w:val="002B3B" w:themeColor="text2" w:themeShade="80"/>
                <w:sz w:val="28"/>
                <w:szCs w:val="24"/>
              </w:rPr>
            </w:pPr>
            <w:r w:rsidRPr="006A74F8">
              <w:rPr>
                <w:rFonts w:ascii="Gotham Narrow Book" w:hAnsi="Gotham Narrow Book"/>
                <w:b/>
                <w:color w:val="002B3B" w:themeColor="text2" w:themeShade="80"/>
                <w:sz w:val="28"/>
                <w:szCs w:val="24"/>
              </w:rPr>
              <w:t>Stakeholder Workshops</w:t>
            </w:r>
          </w:p>
        </w:tc>
        <w:tc>
          <w:tcPr>
            <w:tcW w:w="6052" w:type="dxa"/>
            <w:gridSpan w:val="2"/>
            <w:vMerge w:val="restart"/>
            <w:shd w:val="clear" w:color="auto" w:fill="EBF7F8" w:themeFill="accent5" w:themeFillTint="33"/>
            <w:vAlign w:val="center"/>
          </w:tcPr>
          <w:p w:rsidR="00472CEC" w:rsidRPr="006A74F8" w:rsidRDefault="00472CEC" w:rsidP="00E81223">
            <w:pPr>
              <w:jc w:val="center"/>
              <w:rPr>
                <w:rFonts w:ascii="Gotham Narrow Book" w:hAnsi="Gotham Narrow Book"/>
                <w:color w:val="002B3B" w:themeColor="text2" w:themeShade="80"/>
              </w:rPr>
            </w:pPr>
            <w:r w:rsidRPr="006A74F8">
              <w:rPr>
                <w:rFonts w:ascii="Gotham Narrow Book" w:hAnsi="Gotham Narrow Book"/>
                <w:color w:val="002B3B" w:themeColor="text2" w:themeShade="80"/>
              </w:rPr>
              <w:t>Workshop discussions were undertaken across government (Commonwealth and states and territories), peak industry bodies and consumer groups to raise awareness of the review and advise on the key principles of the review.</w:t>
            </w:r>
          </w:p>
        </w:tc>
        <w:tc>
          <w:tcPr>
            <w:tcW w:w="2324" w:type="dxa"/>
            <w:vMerge w:val="restart"/>
            <w:shd w:val="clear" w:color="auto" w:fill="EBF7F8" w:themeFill="accent5" w:themeFillTint="33"/>
            <w:vAlign w:val="center"/>
          </w:tcPr>
          <w:p w:rsidR="00472CEC" w:rsidRPr="006A74F8" w:rsidRDefault="00472CEC" w:rsidP="00E81223">
            <w:pPr>
              <w:jc w:val="center"/>
              <w:rPr>
                <w:rFonts w:ascii="Gotham Narrow Book" w:hAnsi="Gotham Narrow Book" w:cstheme="minorHAnsi"/>
                <w:b/>
                <w:color w:val="002B3B" w:themeColor="text2" w:themeShade="80"/>
              </w:rPr>
            </w:pPr>
            <w:r w:rsidRPr="006A74F8">
              <w:rPr>
                <w:rFonts w:ascii="Gotham Narrow Book" w:hAnsi="Gotham Narrow Book" w:cstheme="minorHAnsi"/>
                <w:b/>
                <w:color w:val="002B3B" w:themeColor="text2" w:themeShade="80"/>
              </w:rPr>
              <w:t>In 2018 the packaging review was merged with the MLR.</w:t>
            </w:r>
          </w:p>
        </w:tc>
      </w:tr>
      <w:tr w:rsidR="00472CEC" w:rsidRPr="006A74F8" w:rsidTr="00E81223">
        <w:trPr>
          <w:trHeight w:val="832"/>
        </w:trPr>
        <w:tc>
          <w:tcPr>
            <w:tcW w:w="1331" w:type="dxa"/>
            <w:vAlign w:val="center"/>
          </w:tcPr>
          <w:p w:rsidR="00472CEC" w:rsidRPr="006A74F8" w:rsidRDefault="00472CEC" w:rsidP="00E81223">
            <w:pPr>
              <w:jc w:val="center"/>
              <w:rPr>
                <w:rFonts w:ascii="Gotham Narrow Book" w:hAnsi="Gotham Narrow Book"/>
                <w:b/>
                <w:sz w:val="32"/>
              </w:rPr>
            </w:pPr>
          </w:p>
        </w:tc>
        <w:tc>
          <w:tcPr>
            <w:tcW w:w="557" w:type="dxa"/>
            <w:vAlign w:val="center"/>
          </w:tcPr>
          <w:p w:rsidR="00472CEC" w:rsidRPr="006A74F8" w:rsidRDefault="00472CEC" w:rsidP="00E81223">
            <w:pPr>
              <w:jc w:val="center"/>
              <w:rPr>
                <w:rFonts w:ascii="Gotham Narrow Book" w:hAnsi="Gotham Narrow Book"/>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shd w:val="clear" w:color="auto" w:fill="A0DCDC" w:themeFill="accent4" w:themeFillTint="99"/>
            <w:vAlign w:val="center"/>
          </w:tcPr>
          <w:p w:rsidR="00472CEC" w:rsidRPr="006A74F8" w:rsidRDefault="00472CEC" w:rsidP="00E81223">
            <w:pPr>
              <w:jc w:val="center"/>
              <w:rPr>
                <w:rFonts w:ascii="Gotham Narrow Book" w:hAnsi="Gotham Narrow Book"/>
                <w:b/>
                <w:color w:val="002B3B" w:themeColor="text2" w:themeShade="80"/>
                <w:sz w:val="28"/>
                <w:szCs w:val="24"/>
              </w:rPr>
            </w:pPr>
          </w:p>
        </w:tc>
        <w:tc>
          <w:tcPr>
            <w:tcW w:w="6052" w:type="dxa"/>
            <w:gridSpan w:val="2"/>
            <w:vMerge/>
            <w:shd w:val="clear" w:color="auto" w:fill="EBF7F8" w:themeFill="accent5" w:themeFillTint="33"/>
            <w:vAlign w:val="center"/>
          </w:tcPr>
          <w:p w:rsidR="00472CEC" w:rsidRPr="006A74F8" w:rsidRDefault="00472CEC" w:rsidP="00E81223">
            <w:pPr>
              <w:jc w:val="center"/>
              <w:rPr>
                <w:rFonts w:ascii="Gotham Narrow Book" w:hAnsi="Gotham Narrow Book"/>
                <w:color w:val="002B3B" w:themeColor="text2" w:themeShade="80"/>
              </w:rPr>
            </w:pPr>
          </w:p>
        </w:tc>
        <w:tc>
          <w:tcPr>
            <w:tcW w:w="2324" w:type="dxa"/>
            <w:vMerge/>
            <w:shd w:val="clear" w:color="auto" w:fill="EBF7F8" w:themeFill="accent5" w:themeFillTint="33"/>
            <w:vAlign w:val="center"/>
          </w:tcPr>
          <w:p w:rsidR="00472CEC" w:rsidRPr="006A74F8" w:rsidRDefault="00472CEC" w:rsidP="00E81223">
            <w:pPr>
              <w:jc w:val="center"/>
              <w:rPr>
                <w:rFonts w:ascii="Gotham Narrow Book" w:hAnsi="Gotham Narrow Book"/>
                <w:color w:val="002B3B" w:themeColor="text2" w:themeShade="80"/>
              </w:rPr>
            </w:pPr>
          </w:p>
        </w:tc>
      </w:tr>
      <w:tr w:rsidR="00472CEC" w:rsidRPr="006A74F8" w:rsidTr="00E81223">
        <w:trPr>
          <w:trHeight w:val="105"/>
        </w:trPr>
        <w:tc>
          <w:tcPr>
            <w:tcW w:w="1888" w:type="dxa"/>
            <w:gridSpan w:val="2"/>
            <w:shd w:val="clear" w:color="auto" w:fill="55E0DA" w:themeFill="accent3" w:themeFillTint="99"/>
            <w:vAlign w:val="center"/>
          </w:tcPr>
          <w:p w:rsidR="00472CEC" w:rsidRPr="006A74F8" w:rsidRDefault="00472CEC" w:rsidP="00E81223">
            <w:pPr>
              <w:jc w:val="center"/>
              <w:rPr>
                <w:rFonts w:ascii="Gotham Narrow Book" w:hAnsi="Gotham Narrow Book"/>
              </w:rPr>
            </w:pPr>
            <w:r w:rsidRPr="006A74F8">
              <w:rPr>
                <w:rFonts w:ascii="Gotham Narrow Book" w:hAnsi="Gotham Narrow Book"/>
                <w:b/>
                <w:sz w:val="32"/>
              </w:rPr>
              <w:t>2019</w:t>
            </w: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val="restart"/>
            <w:shd w:val="clear" w:color="auto" w:fill="3AA2A2" w:themeFill="accent4" w:themeFillShade="BF"/>
            <w:vAlign w:val="center"/>
          </w:tcPr>
          <w:p w:rsidR="00472CEC" w:rsidRPr="006A74F8" w:rsidRDefault="00472CEC" w:rsidP="00E81223">
            <w:pPr>
              <w:jc w:val="center"/>
              <w:rPr>
                <w:rFonts w:ascii="Gotham Narrow Book" w:hAnsi="Gotham Narrow Book"/>
                <w:b/>
                <w:color w:val="FFFFFF" w:themeColor="background1"/>
                <w:sz w:val="28"/>
                <w:szCs w:val="24"/>
              </w:rPr>
            </w:pPr>
            <w:r w:rsidRPr="006A74F8">
              <w:rPr>
                <w:rFonts w:ascii="Gotham Narrow Book" w:hAnsi="Gotham Narrow Book"/>
                <w:b/>
                <w:color w:val="FFFFFF" w:themeColor="background1"/>
                <w:sz w:val="28"/>
                <w:szCs w:val="24"/>
              </w:rPr>
              <w:t>Public Consultation</w:t>
            </w:r>
          </w:p>
          <w:p w:rsidR="00472CEC" w:rsidRPr="006A74F8" w:rsidRDefault="00472CEC" w:rsidP="00E81223">
            <w:pPr>
              <w:rPr>
                <w:rFonts w:ascii="Gotham Narrow Book" w:hAnsi="Gotham Narrow Book"/>
                <w:color w:val="FFFFFF" w:themeColor="background1"/>
                <w:sz w:val="28"/>
                <w:szCs w:val="24"/>
              </w:rPr>
            </w:pPr>
          </w:p>
        </w:tc>
        <w:tc>
          <w:tcPr>
            <w:tcW w:w="2933" w:type="dxa"/>
            <w:vMerge w:val="restart"/>
            <w:shd w:val="clear" w:color="auto" w:fill="BFE8E8" w:themeFill="accent4" w:themeFillTint="66"/>
            <w:vAlign w:val="center"/>
          </w:tcPr>
          <w:p w:rsidR="00472CEC" w:rsidRPr="006A74F8" w:rsidRDefault="00472CEC" w:rsidP="00E81223">
            <w:pPr>
              <w:jc w:val="center"/>
              <w:rPr>
                <w:rFonts w:ascii="Gotham Narrow Book" w:hAnsi="Gotham Narrow Book"/>
                <w:color w:val="002B3B" w:themeColor="text2" w:themeShade="80"/>
              </w:rPr>
            </w:pPr>
            <w:r w:rsidRPr="006A74F8">
              <w:rPr>
                <w:rFonts w:ascii="Gotham Narrow Book" w:hAnsi="Gotham Narrow Book"/>
                <w:color w:val="002B3B" w:themeColor="text2" w:themeShade="80"/>
              </w:rPr>
              <w:t xml:space="preserve">Throughout 2018 and 2019 </w:t>
            </w:r>
            <w:hyperlink r:id="rId23" w:history="1">
              <w:r w:rsidRPr="006A74F8">
                <w:rPr>
                  <w:rStyle w:val="Hyperlink"/>
                  <w:rFonts w:ascii="Gotham Narrow Book" w:hAnsi="Gotham Narrow Book"/>
                  <w:color w:val="002B3B" w:themeColor="text2" w:themeShade="80"/>
                </w:rPr>
                <w:t>six discussion papers</w:t>
              </w:r>
            </w:hyperlink>
            <w:r w:rsidRPr="006A74F8">
              <w:rPr>
                <w:rFonts w:ascii="Gotham Narrow Book" w:hAnsi="Gotham Narrow Book"/>
                <w:color w:val="002B3B" w:themeColor="text2" w:themeShade="80"/>
              </w:rPr>
              <w:t xml:space="preserve"> seeking feedback on Australia’s current measurement framework were released for public comment.</w:t>
            </w:r>
          </w:p>
        </w:tc>
        <w:tc>
          <w:tcPr>
            <w:tcW w:w="3119" w:type="dxa"/>
            <w:vMerge w:val="restart"/>
            <w:shd w:val="clear" w:color="auto" w:fill="BFE8E8" w:themeFill="accent4" w:themeFillTint="66"/>
            <w:vAlign w:val="center"/>
          </w:tcPr>
          <w:p w:rsidR="00472CEC" w:rsidRPr="006A74F8" w:rsidRDefault="00472CEC" w:rsidP="00472CEC">
            <w:pPr>
              <w:pStyle w:val="ListParagraph"/>
              <w:numPr>
                <w:ilvl w:val="0"/>
                <w:numId w:val="23"/>
              </w:numPr>
              <w:ind w:left="360"/>
              <w:rPr>
                <w:rFonts w:ascii="Gotham Narrow Book" w:hAnsi="Gotham Narrow Book"/>
                <w:color w:val="002B3B" w:themeColor="text2" w:themeShade="80"/>
              </w:rPr>
            </w:pPr>
            <w:r w:rsidRPr="006A74F8">
              <w:rPr>
                <w:rFonts w:ascii="Gotham Narrow Book" w:hAnsi="Gotham Narrow Book"/>
                <w:color w:val="002B3B" w:themeColor="text2" w:themeShade="80"/>
              </w:rPr>
              <w:t>Scope</w:t>
            </w:r>
          </w:p>
          <w:p w:rsidR="00472CEC" w:rsidRPr="006A74F8" w:rsidRDefault="00472CEC" w:rsidP="00472CEC">
            <w:pPr>
              <w:pStyle w:val="ListParagraph"/>
              <w:numPr>
                <w:ilvl w:val="0"/>
                <w:numId w:val="23"/>
              </w:numPr>
              <w:ind w:left="360"/>
              <w:rPr>
                <w:rFonts w:ascii="Gotham Narrow Book" w:hAnsi="Gotham Narrow Book"/>
                <w:color w:val="002B3B" w:themeColor="text2" w:themeShade="80"/>
              </w:rPr>
            </w:pPr>
            <w:r w:rsidRPr="006A74F8">
              <w:rPr>
                <w:rFonts w:ascii="Gotham Narrow Book" w:hAnsi="Gotham Narrow Book"/>
                <w:color w:val="002B3B" w:themeColor="text2" w:themeShade="80"/>
              </w:rPr>
              <w:t>Traceability</w:t>
            </w:r>
          </w:p>
          <w:p w:rsidR="00472CEC" w:rsidRPr="006A74F8" w:rsidRDefault="00472CEC" w:rsidP="00472CEC">
            <w:pPr>
              <w:pStyle w:val="ListParagraph"/>
              <w:numPr>
                <w:ilvl w:val="0"/>
                <w:numId w:val="23"/>
              </w:numPr>
              <w:ind w:left="360"/>
              <w:rPr>
                <w:rFonts w:ascii="Gotham Narrow Book" w:hAnsi="Gotham Narrow Book"/>
                <w:color w:val="002B3B" w:themeColor="text2" w:themeShade="80"/>
              </w:rPr>
            </w:pPr>
            <w:r w:rsidRPr="006A74F8">
              <w:rPr>
                <w:rFonts w:ascii="Gotham Narrow Book" w:hAnsi="Gotham Narrow Book"/>
                <w:color w:val="002B3B" w:themeColor="text2" w:themeShade="80"/>
              </w:rPr>
              <w:t>Measuring instruments</w:t>
            </w:r>
          </w:p>
          <w:p w:rsidR="00472CEC" w:rsidRPr="006A74F8" w:rsidRDefault="00472CEC" w:rsidP="00472CEC">
            <w:pPr>
              <w:pStyle w:val="ListParagraph"/>
              <w:numPr>
                <w:ilvl w:val="0"/>
                <w:numId w:val="23"/>
              </w:numPr>
              <w:ind w:left="360"/>
              <w:rPr>
                <w:rFonts w:ascii="Gotham Narrow Book" w:hAnsi="Gotham Narrow Book"/>
                <w:color w:val="002B3B" w:themeColor="text2" w:themeShade="80"/>
              </w:rPr>
            </w:pPr>
            <w:r w:rsidRPr="006A74F8">
              <w:rPr>
                <w:rFonts w:ascii="Gotham Narrow Book" w:hAnsi="Gotham Narrow Book"/>
                <w:color w:val="002B3B" w:themeColor="text2" w:themeShade="80"/>
              </w:rPr>
              <w:t>Measurement-based transactions</w:t>
            </w:r>
          </w:p>
          <w:p w:rsidR="00472CEC" w:rsidRPr="006A74F8" w:rsidRDefault="00472CEC" w:rsidP="00472CEC">
            <w:pPr>
              <w:pStyle w:val="ListParagraph"/>
              <w:numPr>
                <w:ilvl w:val="0"/>
                <w:numId w:val="23"/>
              </w:numPr>
              <w:ind w:left="360"/>
              <w:rPr>
                <w:rFonts w:ascii="Gotham Narrow Book" w:hAnsi="Gotham Narrow Book"/>
                <w:color w:val="002B3B" w:themeColor="text2" w:themeShade="80"/>
              </w:rPr>
            </w:pPr>
            <w:r w:rsidRPr="006A74F8">
              <w:rPr>
                <w:rFonts w:ascii="Gotham Narrow Book" w:hAnsi="Gotham Narrow Book"/>
                <w:color w:val="002B3B" w:themeColor="text2" w:themeShade="80"/>
              </w:rPr>
              <w:t>Third party arrangements</w:t>
            </w:r>
          </w:p>
          <w:p w:rsidR="00472CEC" w:rsidRPr="006A74F8" w:rsidRDefault="00472CEC" w:rsidP="00472CEC">
            <w:pPr>
              <w:pStyle w:val="ListParagraph"/>
              <w:numPr>
                <w:ilvl w:val="0"/>
                <w:numId w:val="23"/>
              </w:numPr>
              <w:spacing w:after="160"/>
              <w:ind w:left="360"/>
              <w:rPr>
                <w:rFonts w:ascii="Gotham Narrow Book" w:hAnsi="Gotham Narrow Book"/>
                <w:b/>
                <w:color w:val="002B3B" w:themeColor="text2" w:themeShade="80"/>
              </w:rPr>
            </w:pPr>
            <w:r w:rsidRPr="006A74F8">
              <w:rPr>
                <w:rFonts w:ascii="Gotham Narrow Book" w:hAnsi="Gotham Narrow Book"/>
                <w:color w:val="002B3B" w:themeColor="text2" w:themeShade="80"/>
              </w:rPr>
              <w:t>Compliance and enforcement arrangements</w:t>
            </w:r>
          </w:p>
        </w:tc>
        <w:tc>
          <w:tcPr>
            <w:tcW w:w="2324" w:type="dxa"/>
            <w:vMerge w:val="restart"/>
            <w:shd w:val="clear" w:color="auto" w:fill="BFE8E8" w:themeFill="accent4" w:themeFillTint="66"/>
            <w:vAlign w:val="center"/>
          </w:tcPr>
          <w:p w:rsidR="00472CEC" w:rsidRPr="006A74F8" w:rsidRDefault="00472CEC" w:rsidP="00E81223">
            <w:pPr>
              <w:jc w:val="center"/>
              <w:rPr>
                <w:rFonts w:ascii="Gotham Narrow Book" w:hAnsi="Gotham Narrow Book"/>
                <w:color w:val="002B3B" w:themeColor="text2" w:themeShade="80"/>
              </w:rPr>
            </w:pPr>
            <w:r w:rsidRPr="006A74F8">
              <w:rPr>
                <w:rFonts w:ascii="Gotham Narrow Book" w:hAnsi="Gotham Narrow Book"/>
                <w:b/>
                <w:color w:val="002B3B" w:themeColor="text2" w:themeShade="80"/>
              </w:rPr>
              <w:t>A total of 103 submissions were received</w:t>
            </w:r>
            <w:r w:rsidRPr="006A74F8">
              <w:rPr>
                <w:rFonts w:ascii="Gotham Narrow Book" w:hAnsi="Gotham Narrow Book"/>
                <w:color w:val="002B3B" w:themeColor="text2" w:themeShade="80"/>
              </w:rPr>
              <w:t>.</w:t>
            </w:r>
          </w:p>
          <w:p w:rsidR="00472CEC" w:rsidRPr="006A74F8" w:rsidRDefault="00472CEC" w:rsidP="00E81223">
            <w:pPr>
              <w:jc w:val="center"/>
              <w:rPr>
                <w:rFonts w:ascii="Gotham Narrow Book" w:hAnsi="Gotham Narrow Book"/>
                <w:color w:val="002B3B" w:themeColor="text2" w:themeShade="80"/>
              </w:rPr>
            </w:pPr>
          </w:p>
        </w:tc>
      </w:tr>
      <w:tr w:rsidR="00472CEC" w:rsidRPr="006A74F8" w:rsidTr="00E81223">
        <w:trPr>
          <w:trHeight w:val="1865"/>
        </w:trPr>
        <w:tc>
          <w:tcPr>
            <w:tcW w:w="1331" w:type="dxa"/>
            <w:vAlign w:val="center"/>
          </w:tcPr>
          <w:p w:rsidR="00472CEC" w:rsidRPr="006A74F8" w:rsidRDefault="00472CEC" w:rsidP="00E81223">
            <w:pPr>
              <w:jc w:val="center"/>
              <w:rPr>
                <w:rFonts w:ascii="Gotham Narrow Book" w:hAnsi="Gotham Narrow Book"/>
                <w:b/>
                <w:sz w:val="32"/>
              </w:rPr>
            </w:pPr>
          </w:p>
        </w:tc>
        <w:tc>
          <w:tcPr>
            <w:tcW w:w="557" w:type="dxa"/>
            <w:vAlign w:val="center"/>
          </w:tcPr>
          <w:p w:rsidR="00472CEC" w:rsidRPr="006A74F8" w:rsidRDefault="00472CEC" w:rsidP="00E81223">
            <w:pPr>
              <w:jc w:val="center"/>
              <w:rPr>
                <w:rFonts w:ascii="Gotham Narrow Book" w:hAnsi="Gotham Narrow Book"/>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shd w:val="clear" w:color="auto" w:fill="3AA2A2" w:themeFill="accent4" w:themeFillShade="BF"/>
            <w:vAlign w:val="center"/>
          </w:tcPr>
          <w:p w:rsidR="00472CEC" w:rsidRPr="006A74F8" w:rsidRDefault="00472CEC" w:rsidP="00E81223">
            <w:pPr>
              <w:jc w:val="center"/>
              <w:rPr>
                <w:rFonts w:ascii="Gotham Narrow Book" w:hAnsi="Gotham Narrow Book"/>
                <w:b/>
                <w:color w:val="002B3B" w:themeColor="text2" w:themeShade="80"/>
                <w:sz w:val="28"/>
                <w:szCs w:val="24"/>
              </w:rPr>
            </w:pPr>
          </w:p>
        </w:tc>
        <w:tc>
          <w:tcPr>
            <w:tcW w:w="2933" w:type="dxa"/>
            <w:vMerge/>
            <w:shd w:val="clear" w:color="auto" w:fill="BFE8E8" w:themeFill="accent4" w:themeFillTint="66"/>
            <w:vAlign w:val="center"/>
          </w:tcPr>
          <w:p w:rsidR="00472CEC" w:rsidRPr="006A74F8" w:rsidRDefault="00472CEC" w:rsidP="00E81223">
            <w:pPr>
              <w:jc w:val="center"/>
              <w:rPr>
                <w:rFonts w:ascii="Gotham Narrow Book" w:hAnsi="Gotham Narrow Book"/>
                <w:color w:val="002B3B" w:themeColor="text2" w:themeShade="80"/>
              </w:rPr>
            </w:pPr>
          </w:p>
        </w:tc>
        <w:tc>
          <w:tcPr>
            <w:tcW w:w="3119" w:type="dxa"/>
            <w:vMerge/>
            <w:shd w:val="clear" w:color="auto" w:fill="BFE8E8" w:themeFill="accent4" w:themeFillTint="66"/>
            <w:vAlign w:val="center"/>
          </w:tcPr>
          <w:p w:rsidR="00472CEC" w:rsidRPr="006A74F8" w:rsidRDefault="00472CEC" w:rsidP="00472CEC">
            <w:pPr>
              <w:pStyle w:val="ListParagraph"/>
              <w:numPr>
                <w:ilvl w:val="0"/>
                <w:numId w:val="23"/>
              </w:numPr>
              <w:ind w:left="360"/>
              <w:jc w:val="center"/>
              <w:rPr>
                <w:rFonts w:ascii="Gotham Narrow Book" w:hAnsi="Gotham Narrow Book"/>
                <w:b/>
                <w:color w:val="002B3B" w:themeColor="text2" w:themeShade="80"/>
              </w:rPr>
            </w:pPr>
          </w:p>
        </w:tc>
        <w:tc>
          <w:tcPr>
            <w:tcW w:w="2324" w:type="dxa"/>
            <w:vMerge/>
            <w:shd w:val="clear" w:color="auto" w:fill="BFE8E8" w:themeFill="accent4" w:themeFillTint="66"/>
            <w:vAlign w:val="center"/>
          </w:tcPr>
          <w:p w:rsidR="00472CEC" w:rsidRPr="006A74F8" w:rsidRDefault="00472CEC" w:rsidP="00E81223">
            <w:pPr>
              <w:jc w:val="center"/>
              <w:rPr>
                <w:rFonts w:ascii="Gotham Narrow Book" w:hAnsi="Gotham Narrow Book"/>
                <w:color w:val="002B3B" w:themeColor="text2" w:themeShade="80"/>
              </w:rPr>
            </w:pPr>
          </w:p>
        </w:tc>
      </w:tr>
      <w:tr w:rsidR="00472CEC" w:rsidRPr="006A74F8" w:rsidTr="00E81223">
        <w:trPr>
          <w:trHeight w:val="1039"/>
        </w:trPr>
        <w:tc>
          <w:tcPr>
            <w:tcW w:w="1331" w:type="dxa"/>
            <w:vAlign w:val="center"/>
          </w:tcPr>
          <w:p w:rsidR="00472CEC" w:rsidRPr="006A74F8" w:rsidRDefault="00472CEC" w:rsidP="00E81223">
            <w:pPr>
              <w:jc w:val="center"/>
              <w:rPr>
                <w:rFonts w:ascii="Gotham Narrow Book" w:hAnsi="Gotham Narrow Book"/>
                <w:b/>
                <w:sz w:val="32"/>
              </w:rPr>
            </w:pPr>
          </w:p>
        </w:tc>
        <w:tc>
          <w:tcPr>
            <w:tcW w:w="557" w:type="dxa"/>
            <w:vAlign w:val="center"/>
          </w:tcPr>
          <w:p w:rsidR="00472CEC" w:rsidRPr="006A74F8" w:rsidRDefault="00472CEC" w:rsidP="00E81223">
            <w:pPr>
              <w:jc w:val="center"/>
              <w:rPr>
                <w:rFonts w:ascii="Gotham Narrow Book" w:hAnsi="Gotham Narrow Book"/>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shd w:val="clear" w:color="auto" w:fill="A0DCDC" w:themeFill="accent4" w:themeFillTint="99"/>
            <w:vAlign w:val="center"/>
          </w:tcPr>
          <w:p w:rsidR="00472CEC" w:rsidRPr="006A74F8" w:rsidRDefault="00472CEC" w:rsidP="00E81223">
            <w:pPr>
              <w:jc w:val="center"/>
              <w:rPr>
                <w:rFonts w:ascii="Gotham Narrow Book" w:hAnsi="Gotham Narrow Book"/>
                <w:b/>
                <w:color w:val="002B3B" w:themeColor="text2" w:themeShade="80"/>
                <w:sz w:val="28"/>
                <w:szCs w:val="24"/>
              </w:rPr>
            </w:pPr>
            <w:r w:rsidRPr="006A74F8">
              <w:rPr>
                <w:rFonts w:ascii="Gotham Narrow Book" w:hAnsi="Gotham Narrow Book"/>
                <w:b/>
                <w:color w:val="002B3B" w:themeColor="text2" w:themeShade="80"/>
                <w:sz w:val="28"/>
                <w:szCs w:val="24"/>
              </w:rPr>
              <w:t>Economic Analysis &amp; Industry Survey</w:t>
            </w:r>
          </w:p>
        </w:tc>
        <w:tc>
          <w:tcPr>
            <w:tcW w:w="8376" w:type="dxa"/>
            <w:gridSpan w:val="3"/>
            <w:shd w:val="clear" w:color="auto" w:fill="EBF7F8" w:themeFill="accent5" w:themeFillTint="33"/>
            <w:vAlign w:val="center"/>
          </w:tcPr>
          <w:p w:rsidR="00472CEC" w:rsidRPr="006A74F8" w:rsidRDefault="00472CEC" w:rsidP="00E81223">
            <w:pPr>
              <w:jc w:val="center"/>
              <w:rPr>
                <w:rFonts w:ascii="Gotham Narrow Book" w:hAnsi="Gotham Narrow Book"/>
                <w:color w:val="002B3B" w:themeColor="text2" w:themeShade="80"/>
              </w:rPr>
            </w:pPr>
            <w:r w:rsidRPr="006A74F8">
              <w:rPr>
                <w:rStyle w:val="normaltextrun1"/>
                <w:rFonts w:ascii="Gotham Narrow Book" w:hAnsi="Gotham Narrow Book" w:cs="Calibri"/>
                <w:color w:val="002B3B" w:themeColor="text2" w:themeShade="80"/>
              </w:rPr>
              <w:t>An independent report estimated the baseline value of the measurement framework and noted</w:t>
            </w:r>
            <w:r w:rsidRPr="006A74F8">
              <w:rPr>
                <w:rFonts w:ascii="Gotham Narrow Book" w:eastAsiaTheme="majorEastAsia" w:hAnsi="Gotham Narrow Book" w:cs="Calibri"/>
                <w:bCs/>
                <w:color w:val="002B3B" w:themeColor="text2" w:themeShade="80"/>
              </w:rPr>
              <w:t xml:space="preserve"> the benefits of measurement regulation are widespread and varied, ranging from reduced economic transaction costs to environmental benefits and improved healthcare outcomes.</w:t>
            </w:r>
          </w:p>
        </w:tc>
      </w:tr>
      <w:tr w:rsidR="00472CEC" w:rsidRPr="006A74F8" w:rsidTr="00E81223">
        <w:trPr>
          <w:trHeight w:val="105"/>
        </w:trPr>
        <w:tc>
          <w:tcPr>
            <w:tcW w:w="1888" w:type="dxa"/>
            <w:gridSpan w:val="2"/>
            <w:shd w:val="clear" w:color="auto" w:fill="55E0DA" w:themeFill="accent3" w:themeFillTint="99"/>
            <w:vAlign w:val="center"/>
          </w:tcPr>
          <w:p w:rsidR="00472CEC" w:rsidRPr="006A74F8" w:rsidRDefault="00472CEC" w:rsidP="00E81223">
            <w:pPr>
              <w:jc w:val="center"/>
              <w:rPr>
                <w:rFonts w:ascii="Gotham Narrow Book" w:hAnsi="Gotham Narrow Book"/>
              </w:rPr>
            </w:pPr>
            <w:r w:rsidRPr="006A74F8">
              <w:rPr>
                <w:rFonts w:ascii="Gotham Narrow Book" w:hAnsi="Gotham Narrow Book"/>
                <w:b/>
                <w:sz w:val="32"/>
              </w:rPr>
              <w:t>2020</w:t>
            </w: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val="restart"/>
            <w:shd w:val="clear" w:color="auto" w:fill="3AA2A2" w:themeFill="accent4" w:themeFillShade="BF"/>
            <w:vAlign w:val="center"/>
          </w:tcPr>
          <w:p w:rsidR="00472CEC" w:rsidRPr="006A74F8" w:rsidRDefault="00472CEC" w:rsidP="00E81223">
            <w:pPr>
              <w:jc w:val="center"/>
              <w:rPr>
                <w:rFonts w:ascii="Gotham Narrow Book" w:hAnsi="Gotham Narrow Book"/>
                <w:b/>
                <w:color w:val="FFFFFF" w:themeColor="background1"/>
                <w:sz w:val="28"/>
                <w:szCs w:val="24"/>
              </w:rPr>
            </w:pPr>
            <w:r w:rsidRPr="006A74F8">
              <w:rPr>
                <w:rFonts w:ascii="Gotham Narrow Book" w:hAnsi="Gotham Narrow Book"/>
                <w:b/>
                <w:color w:val="FFFFFF" w:themeColor="background1"/>
                <w:sz w:val="28"/>
                <w:szCs w:val="24"/>
              </w:rPr>
              <w:t>Third Party Industry Consultation</w:t>
            </w:r>
          </w:p>
        </w:tc>
        <w:tc>
          <w:tcPr>
            <w:tcW w:w="8376" w:type="dxa"/>
            <w:gridSpan w:val="3"/>
            <w:vMerge w:val="restart"/>
            <w:shd w:val="clear" w:color="auto" w:fill="BFE8E8" w:themeFill="accent4" w:themeFillTint="66"/>
            <w:vAlign w:val="center"/>
          </w:tcPr>
          <w:p w:rsidR="00472CEC" w:rsidRPr="006A74F8" w:rsidRDefault="00472CEC" w:rsidP="00E81223">
            <w:pPr>
              <w:jc w:val="center"/>
              <w:rPr>
                <w:rFonts w:ascii="Gotham Narrow Book" w:hAnsi="Gotham Narrow Book"/>
                <w:color w:val="002B3B" w:themeColor="text2" w:themeShade="80"/>
              </w:rPr>
            </w:pPr>
            <w:r w:rsidRPr="006A74F8">
              <w:rPr>
                <w:rFonts w:ascii="Gotham Narrow Book" w:hAnsi="Gotham Narrow Book"/>
                <w:color w:val="002B3B" w:themeColor="text2" w:themeShade="80"/>
              </w:rPr>
              <w:t xml:space="preserve">The public consultation discussion papers were supplemented with a series of consultation forums with </w:t>
            </w:r>
            <w:r w:rsidR="005D0F22" w:rsidRPr="006A74F8">
              <w:rPr>
                <w:rFonts w:ascii="Gotham Narrow Book" w:hAnsi="Gotham Narrow Book"/>
                <w:color w:val="002B3B" w:themeColor="text2" w:themeShade="80"/>
              </w:rPr>
              <w:t>ATPs</w:t>
            </w:r>
            <w:r w:rsidRPr="006A74F8">
              <w:rPr>
                <w:rFonts w:ascii="Gotham Narrow Book" w:hAnsi="Gotham Narrow Book"/>
                <w:color w:val="002B3B" w:themeColor="text2" w:themeShade="80"/>
              </w:rPr>
              <w:t xml:space="preserve">. These forums were in Melbourne, Adelaide, Sydney, Brisbane and Perth. A total of </w:t>
            </w:r>
            <w:r w:rsidRPr="006A74F8">
              <w:rPr>
                <w:rFonts w:ascii="Gotham Narrow Book" w:hAnsi="Gotham Narrow Book"/>
                <w:b/>
                <w:color w:val="002B3B" w:themeColor="text2" w:themeShade="80"/>
              </w:rPr>
              <w:t>123 participants</w:t>
            </w:r>
            <w:r w:rsidRPr="006A74F8">
              <w:rPr>
                <w:rFonts w:ascii="Gotham Narrow Book" w:hAnsi="Gotham Narrow Book"/>
                <w:color w:val="002B3B" w:themeColor="text2" w:themeShade="80"/>
              </w:rPr>
              <w:t xml:space="preserve"> attended the forums.</w:t>
            </w:r>
          </w:p>
        </w:tc>
      </w:tr>
      <w:tr w:rsidR="00472CEC" w:rsidRPr="006A74F8" w:rsidTr="00E81223">
        <w:trPr>
          <w:trHeight w:val="902"/>
        </w:trPr>
        <w:tc>
          <w:tcPr>
            <w:tcW w:w="1331" w:type="dxa"/>
            <w:vAlign w:val="center"/>
          </w:tcPr>
          <w:p w:rsidR="00472CEC" w:rsidRPr="006A74F8" w:rsidRDefault="00472CEC" w:rsidP="00E81223">
            <w:pPr>
              <w:jc w:val="center"/>
              <w:rPr>
                <w:rFonts w:ascii="Gotham Narrow Book" w:hAnsi="Gotham Narrow Book"/>
                <w:b/>
                <w:sz w:val="32"/>
              </w:rPr>
            </w:pPr>
          </w:p>
        </w:tc>
        <w:tc>
          <w:tcPr>
            <w:tcW w:w="557" w:type="dxa"/>
            <w:vAlign w:val="center"/>
          </w:tcPr>
          <w:p w:rsidR="00472CEC" w:rsidRPr="006A74F8" w:rsidRDefault="00472CEC" w:rsidP="00E81223">
            <w:pPr>
              <w:jc w:val="center"/>
              <w:rPr>
                <w:rFonts w:ascii="Gotham Narrow Book" w:hAnsi="Gotham Narrow Book"/>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shd w:val="clear" w:color="auto" w:fill="3AA2A2" w:themeFill="accent4" w:themeFillShade="BF"/>
            <w:vAlign w:val="center"/>
          </w:tcPr>
          <w:p w:rsidR="00472CEC" w:rsidRPr="006A74F8" w:rsidRDefault="00472CEC" w:rsidP="00E81223">
            <w:pPr>
              <w:jc w:val="center"/>
              <w:rPr>
                <w:rFonts w:ascii="Gotham Narrow Book" w:hAnsi="Gotham Narrow Book"/>
                <w:b/>
                <w:color w:val="002B3B" w:themeColor="text2" w:themeShade="80"/>
                <w:sz w:val="28"/>
                <w:szCs w:val="24"/>
              </w:rPr>
            </w:pPr>
          </w:p>
        </w:tc>
        <w:tc>
          <w:tcPr>
            <w:tcW w:w="8376" w:type="dxa"/>
            <w:gridSpan w:val="3"/>
            <w:vMerge/>
            <w:shd w:val="clear" w:color="auto" w:fill="BFE8E8" w:themeFill="accent4" w:themeFillTint="66"/>
            <w:vAlign w:val="center"/>
          </w:tcPr>
          <w:p w:rsidR="00472CEC" w:rsidRPr="006A74F8" w:rsidRDefault="00472CEC" w:rsidP="00E81223">
            <w:pPr>
              <w:jc w:val="center"/>
              <w:rPr>
                <w:rFonts w:ascii="Gotham Narrow Book" w:hAnsi="Gotham Narrow Book"/>
                <w:color w:val="002B3B" w:themeColor="text2" w:themeShade="80"/>
              </w:rPr>
            </w:pPr>
          </w:p>
        </w:tc>
      </w:tr>
      <w:tr w:rsidR="00472CEC" w:rsidRPr="006A74F8" w:rsidTr="00E81223">
        <w:trPr>
          <w:trHeight w:val="105"/>
        </w:trPr>
        <w:tc>
          <w:tcPr>
            <w:tcW w:w="1331" w:type="dxa"/>
            <w:vAlign w:val="center"/>
          </w:tcPr>
          <w:p w:rsidR="00472CEC" w:rsidRPr="006A74F8" w:rsidRDefault="00472CEC" w:rsidP="00E81223">
            <w:pPr>
              <w:jc w:val="center"/>
              <w:rPr>
                <w:rFonts w:ascii="Gotham Narrow Book" w:hAnsi="Gotham Narrow Book"/>
                <w:b/>
                <w:sz w:val="32"/>
              </w:rPr>
            </w:pPr>
          </w:p>
        </w:tc>
        <w:tc>
          <w:tcPr>
            <w:tcW w:w="557" w:type="dxa"/>
            <w:vAlign w:val="center"/>
          </w:tcPr>
          <w:p w:rsidR="00472CEC" w:rsidRPr="006A74F8" w:rsidRDefault="00472CEC" w:rsidP="00E81223">
            <w:pPr>
              <w:jc w:val="center"/>
              <w:rPr>
                <w:rFonts w:ascii="Gotham Narrow Book" w:hAnsi="Gotham Narrow Book"/>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shd w:val="clear" w:color="auto" w:fill="A0DCDC" w:themeFill="accent4" w:themeFillTint="99"/>
            <w:vAlign w:val="center"/>
          </w:tcPr>
          <w:p w:rsidR="00472CEC" w:rsidRPr="006A74F8" w:rsidRDefault="00472CEC" w:rsidP="00E81223">
            <w:pPr>
              <w:jc w:val="center"/>
              <w:rPr>
                <w:rFonts w:ascii="Gotham Narrow Book" w:hAnsi="Gotham Narrow Book"/>
                <w:b/>
                <w:color w:val="002B3B" w:themeColor="text2" w:themeShade="80"/>
                <w:sz w:val="28"/>
                <w:szCs w:val="24"/>
              </w:rPr>
            </w:pPr>
            <w:r w:rsidRPr="006A74F8">
              <w:rPr>
                <w:rFonts w:ascii="Gotham Narrow Book" w:hAnsi="Gotham Narrow Book"/>
                <w:b/>
                <w:color w:val="002B3B" w:themeColor="text2" w:themeShade="80"/>
                <w:sz w:val="28"/>
                <w:szCs w:val="24"/>
              </w:rPr>
              <w:t>Publication of Consultation Summary</w:t>
            </w:r>
          </w:p>
        </w:tc>
        <w:tc>
          <w:tcPr>
            <w:tcW w:w="8376" w:type="dxa"/>
            <w:gridSpan w:val="3"/>
            <w:shd w:val="clear" w:color="auto" w:fill="EBF7F8" w:themeFill="accent5" w:themeFillTint="33"/>
            <w:vAlign w:val="center"/>
          </w:tcPr>
          <w:p w:rsidR="00472CEC" w:rsidRPr="006A74F8" w:rsidRDefault="00472CEC" w:rsidP="00E81223">
            <w:pPr>
              <w:pStyle w:val="Default"/>
              <w:spacing w:after="160" w:line="259" w:lineRule="auto"/>
              <w:jc w:val="center"/>
              <w:rPr>
                <w:rFonts w:ascii="Gotham Narrow Book" w:hAnsi="Gotham Narrow Book" w:cs="Calibri"/>
                <w:b/>
                <w:color w:val="002B3B" w:themeColor="text2" w:themeShade="80"/>
                <w:sz w:val="22"/>
                <w:szCs w:val="22"/>
              </w:rPr>
            </w:pPr>
            <w:r w:rsidRPr="006A74F8">
              <w:rPr>
                <w:rFonts w:ascii="Gotham Narrow Book" w:hAnsi="Gotham Narrow Book" w:cs="Calibri"/>
                <w:color w:val="002B3B" w:themeColor="text2" w:themeShade="80"/>
                <w:sz w:val="22"/>
                <w:szCs w:val="22"/>
              </w:rPr>
              <w:t>An overview of the key feedback from the public consultations and third party forums was summarised and made available on the review’s Webpage (</w:t>
            </w:r>
            <w:hyperlink r:id="rId24" w:history="1">
              <w:r w:rsidRPr="006A74F8">
                <w:rPr>
                  <w:rStyle w:val="Hyperlink"/>
                  <w:rFonts w:ascii="Gotham Narrow Book" w:hAnsi="Gotham Narrow Book" w:cs="Calibri"/>
                  <w:color w:val="002B3B" w:themeColor="text2" w:themeShade="80"/>
                  <w:sz w:val="22"/>
                  <w:szCs w:val="22"/>
                </w:rPr>
                <w:t>link</w:t>
              </w:r>
            </w:hyperlink>
            <w:r w:rsidRPr="006A74F8">
              <w:rPr>
                <w:rFonts w:ascii="Gotham Narrow Book" w:hAnsi="Gotham Narrow Book" w:cs="Calibri"/>
                <w:color w:val="002B3B" w:themeColor="text2" w:themeShade="80"/>
                <w:sz w:val="22"/>
                <w:szCs w:val="22"/>
              </w:rPr>
              <w:t>).</w:t>
            </w:r>
          </w:p>
        </w:tc>
      </w:tr>
      <w:tr w:rsidR="00472CEC" w:rsidRPr="006A74F8" w:rsidTr="00E81223">
        <w:trPr>
          <w:trHeight w:val="1152"/>
        </w:trPr>
        <w:tc>
          <w:tcPr>
            <w:tcW w:w="1331" w:type="dxa"/>
            <w:vAlign w:val="center"/>
          </w:tcPr>
          <w:p w:rsidR="00472CEC" w:rsidRPr="006A74F8" w:rsidRDefault="00472CEC" w:rsidP="00E81223">
            <w:pPr>
              <w:jc w:val="center"/>
              <w:rPr>
                <w:rFonts w:ascii="Gotham Narrow Book" w:hAnsi="Gotham Narrow Book"/>
                <w:b/>
                <w:sz w:val="32"/>
              </w:rPr>
            </w:pPr>
          </w:p>
        </w:tc>
        <w:tc>
          <w:tcPr>
            <w:tcW w:w="557" w:type="dxa"/>
            <w:vAlign w:val="center"/>
          </w:tcPr>
          <w:p w:rsidR="00472CEC" w:rsidRPr="006A74F8" w:rsidRDefault="00472CEC" w:rsidP="00E81223">
            <w:pPr>
              <w:jc w:val="center"/>
              <w:rPr>
                <w:rFonts w:ascii="Gotham Narrow Book" w:hAnsi="Gotham Narrow Book"/>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shd w:val="clear" w:color="auto" w:fill="3AA2A2" w:themeFill="accent4" w:themeFillShade="BF"/>
            <w:vAlign w:val="center"/>
          </w:tcPr>
          <w:p w:rsidR="00472CEC" w:rsidRPr="006A74F8" w:rsidRDefault="00472CEC" w:rsidP="00E81223">
            <w:pPr>
              <w:jc w:val="center"/>
              <w:rPr>
                <w:rFonts w:ascii="Gotham Narrow Book" w:hAnsi="Gotham Narrow Book"/>
                <w:b/>
                <w:color w:val="FFFFFF" w:themeColor="background1"/>
                <w:sz w:val="28"/>
              </w:rPr>
            </w:pPr>
            <w:r w:rsidRPr="006A74F8">
              <w:rPr>
                <w:rFonts w:ascii="Gotham Narrow Book" w:hAnsi="Gotham Narrow Book"/>
                <w:b/>
                <w:color w:val="FFFFFF" w:themeColor="background1"/>
                <w:sz w:val="28"/>
                <w:szCs w:val="24"/>
              </w:rPr>
              <w:t>Internal Policy Analysis</w:t>
            </w:r>
          </w:p>
        </w:tc>
        <w:tc>
          <w:tcPr>
            <w:tcW w:w="8376" w:type="dxa"/>
            <w:gridSpan w:val="3"/>
            <w:shd w:val="clear" w:color="auto" w:fill="BFE8E8" w:themeFill="accent4" w:themeFillTint="66"/>
            <w:vAlign w:val="center"/>
          </w:tcPr>
          <w:p w:rsidR="00472CEC" w:rsidRPr="006A74F8" w:rsidRDefault="00472CEC" w:rsidP="00E81223">
            <w:pPr>
              <w:autoSpaceDE w:val="0"/>
              <w:autoSpaceDN w:val="0"/>
              <w:adjustRightInd w:val="0"/>
              <w:jc w:val="center"/>
              <w:rPr>
                <w:rFonts w:ascii="Gotham Narrow Book" w:hAnsi="Gotham Narrow Book" w:cstheme="minorHAnsi"/>
                <w:color w:val="002B3B" w:themeColor="text2" w:themeShade="80"/>
              </w:rPr>
            </w:pPr>
            <w:r w:rsidRPr="006A74F8">
              <w:rPr>
                <w:rStyle w:val="normaltextrun1"/>
                <w:rFonts w:ascii="Gotham Narrow Book" w:hAnsi="Gotham Narrow Book" w:cs="Calibri"/>
                <w:color w:val="002B3B" w:themeColor="text2" w:themeShade="80"/>
              </w:rPr>
              <w:t xml:space="preserve">The </w:t>
            </w:r>
            <w:r w:rsidRPr="006A74F8">
              <w:rPr>
                <w:rFonts w:ascii="Gotham Narrow Book" w:hAnsi="Gotham Narrow Book" w:cs="Calibri"/>
                <w:color w:val="002B3B" w:themeColor="text2" w:themeShade="80"/>
              </w:rPr>
              <w:t xml:space="preserve">MLR facilitated a number of policy development workshops to draw on the expertise and knowledge from across NMI and jointly develop a potential </w:t>
            </w:r>
            <w:r w:rsidRPr="006A74F8">
              <w:rPr>
                <w:rFonts w:ascii="Gotham Narrow Book" w:hAnsi="Gotham Narrow Book" w:cstheme="minorHAnsi"/>
                <w:color w:val="002B3B" w:themeColor="text2" w:themeShade="80"/>
              </w:rPr>
              <w:t>range of proposed options that incorporated feedback from stakeholders.</w:t>
            </w:r>
          </w:p>
        </w:tc>
      </w:tr>
      <w:tr w:rsidR="00472CEC" w:rsidRPr="006A74F8" w:rsidTr="00E81223">
        <w:trPr>
          <w:trHeight w:val="105"/>
        </w:trPr>
        <w:tc>
          <w:tcPr>
            <w:tcW w:w="1888" w:type="dxa"/>
            <w:gridSpan w:val="2"/>
            <w:shd w:val="clear" w:color="auto" w:fill="55E0DA" w:themeFill="accent3" w:themeFillTint="99"/>
            <w:vAlign w:val="center"/>
          </w:tcPr>
          <w:p w:rsidR="00472CEC" w:rsidRPr="006A74F8" w:rsidRDefault="00472CEC" w:rsidP="00E81223">
            <w:pPr>
              <w:jc w:val="center"/>
              <w:rPr>
                <w:rFonts w:ascii="Gotham Narrow Book" w:hAnsi="Gotham Narrow Book"/>
              </w:rPr>
            </w:pPr>
            <w:r w:rsidRPr="006A74F8">
              <w:rPr>
                <w:rFonts w:ascii="Gotham Narrow Book" w:hAnsi="Gotham Narrow Book"/>
                <w:b/>
                <w:sz w:val="32"/>
              </w:rPr>
              <w:t>2021</w:t>
            </w: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val="restart"/>
            <w:shd w:val="clear" w:color="auto" w:fill="A0DCDC" w:themeFill="accent4" w:themeFillTint="99"/>
            <w:vAlign w:val="center"/>
          </w:tcPr>
          <w:p w:rsidR="00472CEC" w:rsidRPr="006A74F8" w:rsidRDefault="00472CEC" w:rsidP="00E81223">
            <w:pPr>
              <w:jc w:val="center"/>
              <w:rPr>
                <w:rFonts w:ascii="Gotham Narrow Book" w:hAnsi="Gotham Narrow Book"/>
                <w:b/>
                <w:color w:val="002B3B" w:themeColor="text2" w:themeShade="80"/>
                <w:sz w:val="28"/>
                <w:szCs w:val="24"/>
              </w:rPr>
            </w:pPr>
            <w:r w:rsidRPr="006A74F8">
              <w:rPr>
                <w:rFonts w:ascii="Gotham Narrow Book" w:hAnsi="Gotham Narrow Book"/>
                <w:b/>
                <w:color w:val="002B3B" w:themeColor="text2" w:themeShade="80"/>
                <w:sz w:val="28"/>
                <w:szCs w:val="24"/>
              </w:rPr>
              <w:t>Consultation RIS Drafting &amp; Stakeholder Impact Analysis</w:t>
            </w:r>
          </w:p>
        </w:tc>
        <w:tc>
          <w:tcPr>
            <w:tcW w:w="2933" w:type="dxa"/>
            <w:vMerge w:val="restart"/>
            <w:shd w:val="clear" w:color="auto" w:fill="EBF7F8" w:themeFill="accent5" w:themeFillTint="33"/>
            <w:vAlign w:val="center"/>
          </w:tcPr>
          <w:p w:rsidR="00472CEC" w:rsidRPr="006A74F8" w:rsidRDefault="00472CEC" w:rsidP="00E81223">
            <w:pPr>
              <w:jc w:val="center"/>
              <w:rPr>
                <w:rFonts w:ascii="Gotham Narrow Book" w:hAnsi="Gotham Narrow Book"/>
                <w:color w:val="002B3B" w:themeColor="text2" w:themeShade="80"/>
              </w:rPr>
            </w:pPr>
            <w:r w:rsidRPr="006A74F8">
              <w:rPr>
                <w:rFonts w:ascii="Gotham Narrow Book" w:hAnsi="Gotham Narrow Book"/>
                <w:b/>
                <w:color w:val="002B3B" w:themeColor="text2" w:themeShade="80"/>
              </w:rPr>
              <w:t>The MLR drafted the initial Consultati</w:t>
            </w:r>
            <w:r w:rsidR="000F1A33" w:rsidRPr="006A74F8">
              <w:rPr>
                <w:rFonts w:ascii="Gotham Narrow Book" w:hAnsi="Gotham Narrow Book"/>
                <w:b/>
                <w:color w:val="002B3B" w:themeColor="text2" w:themeShade="80"/>
              </w:rPr>
              <w:t>on RIS</w:t>
            </w:r>
            <w:r w:rsidRPr="006A74F8">
              <w:rPr>
                <w:rFonts w:ascii="Gotham Narrow Book" w:hAnsi="Gotham Narrow Book"/>
                <w:b/>
                <w:color w:val="002B3B" w:themeColor="text2" w:themeShade="80"/>
              </w:rPr>
              <w:t>, focusing on four key questions:</w:t>
            </w:r>
          </w:p>
        </w:tc>
        <w:tc>
          <w:tcPr>
            <w:tcW w:w="3119" w:type="dxa"/>
            <w:vMerge w:val="restart"/>
            <w:shd w:val="clear" w:color="auto" w:fill="EBF7F8" w:themeFill="accent5" w:themeFillTint="33"/>
            <w:vAlign w:val="center"/>
          </w:tcPr>
          <w:p w:rsidR="00472CEC" w:rsidRPr="006A74F8" w:rsidRDefault="00472CEC" w:rsidP="00472CEC">
            <w:pPr>
              <w:pStyle w:val="ListParagraph"/>
              <w:numPr>
                <w:ilvl w:val="0"/>
                <w:numId w:val="24"/>
              </w:numPr>
              <w:ind w:left="360"/>
              <w:rPr>
                <w:rFonts w:ascii="Gotham Narrow Book" w:hAnsi="Gotham Narrow Book"/>
                <w:color w:val="002B3B" w:themeColor="text2" w:themeShade="80"/>
              </w:rPr>
            </w:pPr>
            <w:r w:rsidRPr="006A74F8">
              <w:rPr>
                <w:rFonts w:ascii="Gotham Narrow Book" w:hAnsi="Gotham Narrow Book"/>
                <w:color w:val="002B3B" w:themeColor="text2" w:themeShade="80"/>
              </w:rPr>
              <w:t>What is the problem to be solved?</w:t>
            </w:r>
          </w:p>
          <w:p w:rsidR="00472CEC" w:rsidRPr="006A74F8" w:rsidRDefault="00472CEC" w:rsidP="00472CEC">
            <w:pPr>
              <w:pStyle w:val="ListParagraph"/>
              <w:numPr>
                <w:ilvl w:val="0"/>
                <w:numId w:val="24"/>
              </w:numPr>
              <w:ind w:left="360"/>
              <w:rPr>
                <w:rFonts w:ascii="Gotham Narrow Book" w:hAnsi="Gotham Narrow Book"/>
                <w:color w:val="002B3B" w:themeColor="text2" w:themeShade="80"/>
              </w:rPr>
            </w:pPr>
            <w:r w:rsidRPr="006A74F8">
              <w:rPr>
                <w:rFonts w:ascii="Gotham Narrow Book" w:hAnsi="Gotham Narrow Book"/>
                <w:color w:val="002B3B" w:themeColor="text2" w:themeShade="80"/>
              </w:rPr>
              <w:t>What is the rationale for Government Action?</w:t>
            </w:r>
          </w:p>
          <w:p w:rsidR="00472CEC" w:rsidRPr="006A74F8" w:rsidRDefault="00472CEC" w:rsidP="00472CEC">
            <w:pPr>
              <w:pStyle w:val="ListParagraph"/>
              <w:numPr>
                <w:ilvl w:val="0"/>
                <w:numId w:val="24"/>
              </w:numPr>
              <w:ind w:left="360"/>
              <w:rPr>
                <w:rFonts w:ascii="Gotham Narrow Book" w:hAnsi="Gotham Narrow Book"/>
                <w:color w:val="002B3B" w:themeColor="text2" w:themeShade="80"/>
              </w:rPr>
            </w:pPr>
            <w:r w:rsidRPr="006A74F8">
              <w:rPr>
                <w:rFonts w:ascii="Gotham Narrow Book" w:hAnsi="Gotham Narrow Book"/>
                <w:color w:val="002B3B" w:themeColor="text2" w:themeShade="80"/>
              </w:rPr>
              <w:t>What reform options are being considered?</w:t>
            </w:r>
          </w:p>
          <w:p w:rsidR="00472CEC" w:rsidRPr="006A74F8" w:rsidRDefault="00472CEC" w:rsidP="00472CEC">
            <w:pPr>
              <w:pStyle w:val="ListParagraph"/>
              <w:numPr>
                <w:ilvl w:val="0"/>
                <w:numId w:val="24"/>
              </w:numPr>
              <w:ind w:left="360"/>
              <w:rPr>
                <w:rFonts w:ascii="Gotham Narrow Book" w:hAnsi="Gotham Narrow Book"/>
                <w:color w:val="002B3B" w:themeColor="text2" w:themeShade="80"/>
              </w:rPr>
            </w:pPr>
            <w:r w:rsidRPr="006A74F8">
              <w:rPr>
                <w:rFonts w:ascii="Gotham Narrow Book" w:hAnsi="Gotham Narrow Book"/>
                <w:color w:val="002B3B" w:themeColor="text2" w:themeShade="80"/>
              </w:rPr>
              <w:t>What are the impacts of the reform options?</w:t>
            </w:r>
          </w:p>
        </w:tc>
        <w:tc>
          <w:tcPr>
            <w:tcW w:w="2324" w:type="dxa"/>
            <w:vMerge w:val="restart"/>
            <w:shd w:val="clear" w:color="auto" w:fill="EBF7F8" w:themeFill="accent5" w:themeFillTint="33"/>
            <w:vAlign w:val="center"/>
          </w:tcPr>
          <w:p w:rsidR="00472CEC" w:rsidRPr="006A74F8" w:rsidRDefault="00472CEC" w:rsidP="00E81223">
            <w:pPr>
              <w:jc w:val="center"/>
              <w:rPr>
                <w:rFonts w:ascii="Gotham Narrow Book" w:hAnsi="Gotham Narrow Book" w:cstheme="minorHAnsi"/>
                <w:color w:val="002B3B" w:themeColor="text2" w:themeShade="80"/>
              </w:rPr>
            </w:pPr>
            <w:r w:rsidRPr="006A74F8">
              <w:rPr>
                <w:rFonts w:ascii="Gotham Narrow Book" w:hAnsi="Gotham Narrow Book" w:cstheme="minorHAnsi"/>
                <w:color w:val="002B3B" w:themeColor="text2" w:themeShade="80"/>
              </w:rPr>
              <w:t>As a part of the RIS, the review considered how proposed changes would impact key stakeholder groups, and align with key policy objectives.</w:t>
            </w:r>
          </w:p>
        </w:tc>
      </w:tr>
      <w:tr w:rsidR="00472CEC" w:rsidRPr="006A74F8" w:rsidTr="00E81223">
        <w:trPr>
          <w:trHeight w:val="1865"/>
        </w:trPr>
        <w:tc>
          <w:tcPr>
            <w:tcW w:w="1331" w:type="dxa"/>
            <w:vAlign w:val="center"/>
          </w:tcPr>
          <w:p w:rsidR="00472CEC" w:rsidRPr="006A74F8" w:rsidRDefault="00472CEC" w:rsidP="00E81223">
            <w:pPr>
              <w:jc w:val="center"/>
              <w:rPr>
                <w:rFonts w:ascii="Gotham Narrow Book" w:hAnsi="Gotham Narrow Book"/>
                <w:b/>
                <w:sz w:val="32"/>
              </w:rPr>
            </w:pPr>
          </w:p>
        </w:tc>
        <w:tc>
          <w:tcPr>
            <w:tcW w:w="557" w:type="dxa"/>
            <w:vAlign w:val="center"/>
          </w:tcPr>
          <w:p w:rsidR="00472CEC" w:rsidRPr="006A74F8" w:rsidRDefault="00472CEC" w:rsidP="00E81223">
            <w:pPr>
              <w:jc w:val="center"/>
              <w:rPr>
                <w:rFonts w:ascii="Gotham Narrow Book" w:hAnsi="Gotham Narrow Book"/>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shd w:val="clear" w:color="auto" w:fill="A0DCDC" w:themeFill="accent4" w:themeFillTint="99"/>
            <w:vAlign w:val="center"/>
          </w:tcPr>
          <w:p w:rsidR="00472CEC" w:rsidRPr="006A74F8" w:rsidRDefault="00472CEC" w:rsidP="00E81223">
            <w:pPr>
              <w:jc w:val="center"/>
              <w:rPr>
                <w:rFonts w:ascii="Gotham Narrow Book" w:hAnsi="Gotham Narrow Book"/>
                <w:b/>
                <w:color w:val="002B3B" w:themeColor="text2" w:themeShade="80"/>
                <w:sz w:val="28"/>
                <w:szCs w:val="24"/>
              </w:rPr>
            </w:pPr>
          </w:p>
        </w:tc>
        <w:tc>
          <w:tcPr>
            <w:tcW w:w="2933" w:type="dxa"/>
            <w:vMerge/>
            <w:shd w:val="clear" w:color="auto" w:fill="EBF7F8" w:themeFill="accent5" w:themeFillTint="33"/>
            <w:vAlign w:val="center"/>
          </w:tcPr>
          <w:p w:rsidR="00472CEC" w:rsidRPr="006A74F8" w:rsidRDefault="00472CEC" w:rsidP="00E81223">
            <w:pPr>
              <w:jc w:val="center"/>
              <w:rPr>
                <w:rFonts w:ascii="Gotham Narrow Book" w:hAnsi="Gotham Narrow Book"/>
                <w:color w:val="002B3B" w:themeColor="text2" w:themeShade="80"/>
              </w:rPr>
            </w:pPr>
          </w:p>
        </w:tc>
        <w:tc>
          <w:tcPr>
            <w:tcW w:w="3119" w:type="dxa"/>
            <w:vMerge/>
            <w:shd w:val="clear" w:color="auto" w:fill="EBF7F8" w:themeFill="accent5" w:themeFillTint="33"/>
            <w:vAlign w:val="center"/>
          </w:tcPr>
          <w:p w:rsidR="00472CEC" w:rsidRPr="006A74F8" w:rsidRDefault="00472CEC" w:rsidP="00472CEC">
            <w:pPr>
              <w:pStyle w:val="ListParagraph"/>
              <w:numPr>
                <w:ilvl w:val="0"/>
                <w:numId w:val="24"/>
              </w:numPr>
              <w:ind w:left="360"/>
              <w:jc w:val="center"/>
              <w:rPr>
                <w:rFonts w:ascii="Gotham Narrow Book" w:hAnsi="Gotham Narrow Book"/>
                <w:b/>
                <w:color w:val="002B3B" w:themeColor="text2" w:themeShade="80"/>
              </w:rPr>
            </w:pPr>
          </w:p>
        </w:tc>
        <w:tc>
          <w:tcPr>
            <w:tcW w:w="2324" w:type="dxa"/>
            <w:vMerge/>
            <w:shd w:val="clear" w:color="auto" w:fill="EBF7F8" w:themeFill="accent5" w:themeFillTint="33"/>
            <w:vAlign w:val="center"/>
          </w:tcPr>
          <w:p w:rsidR="00472CEC" w:rsidRPr="006A74F8" w:rsidRDefault="00472CEC" w:rsidP="00E81223">
            <w:pPr>
              <w:jc w:val="center"/>
              <w:rPr>
                <w:rFonts w:ascii="Gotham Narrow Book" w:hAnsi="Gotham Narrow Book" w:cstheme="minorHAnsi"/>
                <w:color w:val="002B3B" w:themeColor="text2" w:themeShade="80"/>
              </w:rPr>
            </w:pPr>
          </w:p>
        </w:tc>
      </w:tr>
      <w:tr w:rsidR="00472CEC" w:rsidRPr="006A74F8" w:rsidTr="00E81223">
        <w:trPr>
          <w:trHeight w:val="416"/>
        </w:trPr>
        <w:tc>
          <w:tcPr>
            <w:tcW w:w="1888" w:type="dxa"/>
            <w:gridSpan w:val="2"/>
            <w:shd w:val="clear" w:color="auto" w:fill="auto"/>
            <w:vAlign w:val="center"/>
          </w:tcPr>
          <w:p w:rsidR="00472CEC" w:rsidRPr="006A74F8" w:rsidRDefault="00472CEC" w:rsidP="00E81223">
            <w:pPr>
              <w:jc w:val="center"/>
              <w:rPr>
                <w:rFonts w:ascii="Gotham Narrow Book" w:hAnsi="Gotham Narrow Book"/>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val="restart"/>
            <w:shd w:val="clear" w:color="auto" w:fill="3AA2A2" w:themeFill="accent4" w:themeFillShade="BF"/>
            <w:vAlign w:val="center"/>
          </w:tcPr>
          <w:p w:rsidR="00472CEC" w:rsidRPr="006A74F8" w:rsidRDefault="00472CEC" w:rsidP="00E81223">
            <w:pPr>
              <w:jc w:val="center"/>
              <w:rPr>
                <w:rFonts w:ascii="Gotham Narrow Book" w:hAnsi="Gotham Narrow Book"/>
                <w:b/>
                <w:color w:val="FFFFFF" w:themeColor="background1"/>
                <w:sz w:val="28"/>
                <w:szCs w:val="24"/>
              </w:rPr>
            </w:pPr>
            <w:r w:rsidRPr="006A74F8">
              <w:rPr>
                <w:rFonts w:ascii="Gotham Narrow Book" w:hAnsi="Gotham Narrow Book"/>
                <w:b/>
                <w:color w:val="FFFFFF" w:themeColor="background1"/>
                <w:sz w:val="28"/>
                <w:szCs w:val="24"/>
              </w:rPr>
              <w:t>Public Consultation</w:t>
            </w:r>
          </w:p>
        </w:tc>
        <w:tc>
          <w:tcPr>
            <w:tcW w:w="2933" w:type="dxa"/>
            <w:vMerge w:val="restart"/>
            <w:shd w:val="clear" w:color="auto" w:fill="BFE8E8" w:themeFill="accent4" w:themeFillTint="66"/>
            <w:vAlign w:val="center"/>
          </w:tcPr>
          <w:p w:rsidR="00472CEC" w:rsidRPr="006A74F8" w:rsidRDefault="00472CEC" w:rsidP="00E81223">
            <w:pPr>
              <w:jc w:val="center"/>
              <w:rPr>
                <w:rFonts w:ascii="Gotham Narrow Book" w:hAnsi="Gotham Narrow Book"/>
                <w:b/>
                <w:color w:val="002B3B" w:themeColor="text2" w:themeShade="80"/>
              </w:rPr>
            </w:pPr>
            <w:r w:rsidRPr="006A74F8">
              <w:rPr>
                <w:rFonts w:ascii="Gotham Narrow Book" w:hAnsi="Gotham Narrow Book" w:cstheme="minorHAnsi"/>
                <w:color w:val="002B3B" w:themeColor="text2" w:themeShade="80"/>
              </w:rPr>
              <w:t>The Consultation RIS was open for comment from 15 April until 14 May 2021.</w:t>
            </w:r>
          </w:p>
        </w:tc>
        <w:tc>
          <w:tcPr>
            <w:tcW w:w="5443" w:type="dxa"/>
            <w:gridSpan w:val="2"/>
            <w:vMerge w:val="restart"/>
            <w:shd w:val="clear" w:color="auto" w:fill="BFE8E8" w:themeFill="accent4" w:themeFillTint="66"/>
            <w:vAlign w:val="center"/>
          </w:tcPr>
          <w:p w:rsidR="00472CEC" w:rsidRPr="006A74F8" w:rsidRDefault="00472CEC" w:rsidP="00472CEC">
            <w:pPr>
              <w:pStyle w:val="ListParagraph"/>
              <w:numPr>
                <w:ilvl w:val="0"/>
                <w:numId w:val="246"/>
              </w:numPr>
              <w:ind w:left="338" w:hanging="284"/>
              <w:rPr>
                <w:rFonts w:ascii="Gotham Narrow Book" w:hAnsi="Gotham Narrow Book"/>
                <w:color w:val="002B3B" w:themeColor="text2" w:themeShade="80"/>
              </w:rPr>
            </w:pPr>
            <w:r w:rsidRPr="006A74F8">
              <w:rPr>
                <w:rFonts w:ascii="Gotham Narrow Book" w:hAnsi="Gotham Narrow Book"/>
                <w:b/>
                <w:color w:val="002B3B" w:themeColor="text2" w:themeShade="80"/>
              </w:rPr>
              <w:t xml:space="preserve">38 </w:t>
            </w:r>
            <w:r w:rsidRPr="006A74F8">
              <w:rPr>
                <w:rFonts w:ascii="Gotham Narrow Book" w:hAnsi="Gotham Narrow Book"/>
                <w:color w:val="002B3B" w:themeColor="text2" w:themeShade="80"/>
              </w:rPr>
              <w:t>written submissions were received.</w:t>
            </w:r>
          </w:p>
          <w:p w:rsidR="00472CEC" w:rsidRPr="006A74F8" w:rsidRDefault="00472CEC" w:rsidP="00472CEC">
            <w:pPr>
              <w:pStyle w:val="ListParagraph"/>
              <w:numPr>
                <w:ilvl w:val="0"/>
                <w:numId w:val="246"/>
              </w:numPr>
              <w:ind w:left="338" w:hanging="284"/>
              <w:rPr>
                <w:rFonts w:ascii="Gotham Narrow Book" w:hAnsi="Gotham Narrow Book"/>
                <w:color w:val="002B3B" w:themeColor="text2" w:themeShade="80"/>
              </w:rPr>
            </w:pPr>
            <w:r w:rsidRPr="006A74F8">
              <w:rPr>
                <w:rFonts w:ascii="Gotham Narrow Book" w:hAnsi="Gotham Narrow Book"/>
                <w:b/>
                <w:color w:val="002B3B" w:themeColor="text2" w:themeShade="80"/>
              </w:rPr>
              <w:t xml:space="preserve">5 </w:t>
            </w:r>
            <w:r w:rsidRPr="006A74F8">
              <w:rPr>
                <w:rFonts w:ascii="Gotham Narrow Book" w:hAnsi="Gotham Narrow Book"/>
                <w:color w:val="002B3B" w:themeColor="text2" w:themeShade="80"/>
              </w:rPr>
              <w:t xml:space="preserve">virtual town hall discussions, with </w:t>
            </w:r>
            <w:r w:rsidRPr="006A74F8">
              <w:rPr>
                <w:rFonts w:ascii="Gotham Narrow Book" w:hAnsi="Gotham Narrow Book"/>
                <w:b/>
                <w:color w:val="002B3B" w:themeColor="text2" w:themeShade="80"/>
              </w:rPr>
              <w:t>81</w:t>
            </w:r>
            <w:r w:rsidRPr="006A74F8">
              <w:rPr>
                <w:rFonts w:ascii="Gotham Narrow Book" w:hAnsi="Gotham Narrow Book"/>
                <w:color w:val="002B3B" w:themeColor="text2" w:themeShade="80"/>
              </w:rPr>
              <w:t xml:space="preserve"> participants, were conducted.</w:t>
            </w:r>
          </w:p>
          <w:p w:rsidR="00472CEC" w:rsidRPr="006A74F8" w:rsidRDefault="00472CEC" w:rsidP="00A93F3A">
            <w:pPr>
              <w:pStyle w:val="ListParagraph"/>
              <w:numPr>
                <w:ilvl w:val="0"/>
                <w:numId w:val="246"/>
              </w:numPr>
              <w:ind w:left="338" w:hanging="284"/>
              <w:rPr>
                <w:rFonts w:ascii="Gotham Narrow Book" w:hAnsi="Gotham Narrow Book"/>
                <w:color w:val="002B3B" w:themeColor="text2" w:themeShade="80"/>
              </w:rPr>
            </w:pPr>
            <w:r w:rsidRPr="006A74F8">
              <w:rPr>
                <w:rFonts w:ascii="Gotham Narrow Book" w:hAnsi="Gotham Narrow Book"/>
                <w:b/>
                <w:color w:val="002B3B" w:themeColor="text2" w:themeShade="80"/>
              </w:rPr>
              <w:t xml:space="preserve">22 </w:t>
            </w:r>
            <w:r w:rsidRPr="006A74F8">
              <w:rPr>
                <w:rFonts w:ascii="Gotham Narrow Book" w:hAnsi="Gotham Narrow Book"/>
                <w:color w:val="002B3B" w:themeColor="text2" w:themeShade="80"/>
              </w:rPr>
              <w:t>targeted one-one-one discussions were held.</w:t>
            </w:r>
          </w:p>
        </w:tc>
      </w:tr>
      <w:tr w:rsidR="00472CEC" w:rsidRPr="006A74F8" w:rsidTr="00493903">
        <w:trPr>
          <w:trHeight w:val="823"/>
        </w:trPr>
        <w:tc>
          <w:tcPr>
            <w:tcW w:w="1331" w:type="dxa"/>
            <w:vAlign w:val="center"/>
          </w:tcPr>
          <w:p w:rsidR="00472CEC" w:rsidRPr="006A74F8" w:rsidRDefault="00472CEC" w:rsidP="00E81223">
            <w:pPr>
              <w:jc w:val="center"/>
              <w:rPr>
                <w:rFonts w:ascii="Gotham Narrow Book" w:hAnsi="Gotham Narrow Book"/>
                <w:b/>
                <w:sz w:val="32"/>
              </w:rPr>
            </w:pPr>
          </w:p>
        </w:tc>
        <w:tc>
          <w:tcPr>
            <w:tcW w:w="557" w:type="dxa"/>
            <w:vAlign w:val="center"/>
          </w:tcPr>
          <w:p w:rsidR="00472CEC" w:rsidRPr="006A74F8" w:rsidRDefault="00472CEC" w:rsidP="00E81223">
            <w:pPr>
              <w:jc w:val="center"/>
              <w:rPr>
                <w:rFonts w:ascii="Gotham Narrow Book" w:hAnsi="Gotham Narrow Book"/>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shd w:val="clear" w:color="auto" w:fill="3AA2A2" w:themeFill="accent4" w:themeFillShade="BF"/>
            <w:vAlign w:val="center"/>
          </w:tcPr>
          <w:p w:rsidR="00472CEC" w:rsidRPr="006A74F8" w:rsidRDefault="00472CEC" w:rsidP="00E81223">
            <w:pPr>
              <w:jc w:val="center"/>
              <w:rPr>
                <w:rFonts w:ascii="Gotham Narrow Book" w:hAnsi="Gotham Narrow Book"/>
                <w:b/>
                <w:color w:val="002B3B" w:themeColor="text2" w:themeShade="80"/>
                <w:sz w:val="28"/>
                <w:szCs w:val="24"/>
              </w:rPr>
            </w:pPr>
          </w:p>
        </w:tc>
        <w:tc>
          <w:tcPr>
            <w:tcW w:w="2933" w:type="dxa"/>
            <w:vMerge/>
            <w:shd w:val="clear" w:color="auto" w:fill="BFE8E8" w:themeFill="accent4" w:themeFillTint="66"/>
            <w:vAlign w:val="center"/>
          </w:tcPr>
          <w:p w:rsidR="00472CEC" w:rsidRPr="006A74F8" w:rsidRDefault="00472CEC" w:rsidP="00E81223">
            <w:pPr>
              <w:jc w:val="center"/>
              <w:rPr>
                <w:rFonts w:ascii="Gotham Narrow Book" w:hAnsi="Gotham Narrow Book" w:cstheme="minorHAnsi"/>
                <w:color w:val="002B3B" w:themeColor="text2" w:themeShade="80"/>
              </w:rPr>
            </w:pPr>
          </w:p>
        </w:tc>
        <w:tc>
          <w:tcPr>
            <w:tcW w:w="5443" w:type="dxa"/>
            <w:gridSpan w:val="2"/>
            <w:vMerge/>
            <w:shd w:val="clear" w:color="auto" w:fill="BFE8E8" w:themeFill="accent4" w:themeFillTint="66"/>
            <w:vAlign w:val="center"/>
          </w:tcPr>
          <w:p w:rsidR="00472CEC" w:rsidRPr="006A74F8" w:rsidRDefault="00472CEC" w:rsidP="00E81223">
            <w:pPr>
              <w:jc w:val="center"/>
              <w:rPr>
                <w:rFonts w:ascii="Gotham Narrow Book" w:hAnsi="Gotham Narrow Book" w:cstheme="minorHAnsi"/>
                <w:color w:val="002B3B" w:themeColor="text2" w:themeShade="80"/>
              </w:rPr>
            </w:pPr>
          </w:p>
        </w:tc>
      </w:tr>
      <w:tr w:rsidR="00472CEC" w:rsidRPr="006A74F8" w:rsidTr="00E81223">
        <w:trPr>
          <w:trHeight w:val="397"/>
        </w:trPr>
        <w:tc>
          <w:tcPr>
            <w:tcW w:w="1888" w:type="dxa"/>
            <w:gridSpan w:val="2"/>
            <w:shd w:val="clear" w:color="auto" w:fill="FFFFFF" w:themeFill="background1"/>
            <w:vAlign w:val="center"/>
          </w:tcPr>
          <w:p w:rsidR="00472CEC" w:rsidRPr="006A74F8" w:rsidRDefault="00472CEC" w:rsidP="00E81223">
            <w:pPr>
              <w:jc w:val="center"/>
              <w:rPr>
                <w:rFonts w:ascii="Gotham Narrow Book" w:hAnsi="Gotham Narrow Book"/>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val="restart"/>
            <w:shd w:val="clear" w:color="auto" w:fill="A0DCDC" w:themeFill="accent4" w:themeFillTint="99"/>
            <w:vAlign w:val="center"/>
          </w:tcPr>
          <w:p w:rsidR="00472CEC" w:rsidRPr="006A74F8" w:rsidRDefault="00472CEC" w:rsidP="00E81223">
            <w:pPr>
              <w:jc w:val="center"/>
              <w:rPr>
                <w:rFonts w:ascii="Gotham Narrow Book" w:hAnsi="Gotham Narrow Book"/>
                <w:b/>
                <w:color w:val="000000" w:themeColor="text1"/>
                <w:sz w:val="28"/>
                <w:szCs w:val="24"/>
              </w:rPr>
            </w:pPr>
            <w:r w:rsidRPr="006A74F8">
              <w:rPr>
                <w:rFonts w:ascii="Gotham Narrow Book" w:hAnsi="Gotham Narrow Book"/>
                <w:b/>
                <w:color w:val="000000" w:themeColor="text1"/>
                <w:sz w:val="28"/>
                <w:szCs w:val="24"/>
              </w:rPr>
              <w:t>Final RIS</w:t>
            </w:r>
          </w:p>
        </w:tc>
        <w:tc>
          <w:tcPr>
            <w:tcW w:w="8376" w:type="dxa"/>
            <w:gridSpan w:val="3"/>
            <w:vMerge w:val="restart"/>
            <w:shd w:val="clear" w:color="auto" w:fill="EBF7F8" w:themeFill="accent5" w:themeFillTint="33"/>
            <w:vAlign w:val="center"/>
          </w:tcPr>
          <w:p w:rsidR="00472CEC" w:rsidRPr="006A74F8" w:rsidRDefault="000F1A33" w:rsidP="00020A40">
            <w:pPr>
              <w:jc w:val="center"/>
              <w:rPr>
                <w:rFonts w:ascii="Gotham Narrow Book" w:hAnsi="Gotham Narrow Book" w:cstheme="minorHAnsi"/>
                <w:color w:val="002B3B" w:themeColor="text2" w:themeShade="80"/>
              </w:rPr>
            </w:pPr>
            <w:r w:rsidRPr="006A74F8">
              <w:rPr>
                <w:rFonts w:ascii="Gotham Narrow Book" w:hAnsi="Gotham Narrow Book" w:cstheme="minorHAnsi"/>
                <w:color w:val="002B3B" w:themeColor="text2" w:themeShade="80"/>
              </w:rPr>
              <w:t>Prepared f</w:t>
            </w:r>
            <w:r w:rsidR="00472CEC" w:rsidRPr="006A74F8">
              <w:rPr>
                <w:rFonts w:ascii="Gotham Narrow Book" w:hAnsi="Gotham Narrow Book" w:cstheme="minorHAnsi"/>
                <w:color w:val="002B3B" w:themeColor="text2" w:themeShade="80"/>
              </w:rPr>
              <w:t xml:space="preserve">ollowing </w:t>
            </w:r>
            <w:r w:rsidRPr="006A74F8">
              <w:rPr>
                <w:rFonts w:ascii="Gotham Narrow Book" w:hAnsi="Gotham Narrow Book" w:cstheme="minorHAnsi"/>
                <w:color w:val="002B3B" w:themeColor="text2" w:themeShade="80"/>
              </w:rPr>
              <w:t xml:space="preserve">feedback from stakeholders on the Consultation RIS. </w:t>
            </w:r>
          </w:p>
        </w:tc>
      </w:tr>
      <w:tr w:rsidR="00472CEC" w:rsidRPr="006A74F8" w:rsidTr="00E81223">
        <w:trPr>
          <w:trHeight w:val="397"/>
        </w:trPr>
        <w:tc>
          <w:tcPr>
            <w:tcW w:w="1888" w:type="dxa"/>
            <w:gridSpan w:val="2"/>
            <w:shd w:val="clear" w:color="auto" w:fill="auto"/>
            <w:vAlign w:val="center"/>
          </w:tcPr>
          <w:p w:rsidR="00472CEC" w:rsidRPr="006A74F8" w:rsidRDefault="00472CEC" w:rsidP="00E81223">
            <w:pPr>
              <w:jc w:val="center"/>
              <w:rPr>
                <w:rFonts w:ascii="Gotham Narrow Book" w:hAnsi="Gotham Narrow Book"/>
                <w:b/>
                <w:color w:val="FFFFFF" w:themeColor="background1"/>
                <w:sz w:val="40"/>
              </w:rPr>
            </w:pPr>
          </w:p>
        </w:tc>
        <w:tc>
          <w:tcPr>
            <w:tcW w:w="555" w:type="dxa"/>
            <w:vMerge/>
            <w:shd w:val="clear" w:color="auto" w:fill="0D4A48" w:themeFill="accent3" w:themeFillShade="80"/>
            <w:vAlign w:val="center"/>
          </w:tcPr>
          <w:p w:rsidR="00472CEC" w:rsidRPr="006A74F8" w:rsidRDefault="00472CEC" w:rsidP="00E81223">
            <w:pPr>
              <w:jc w:val="center"/>
              <w:rPr>
                <w:rFonts w:ascii="Gotham Narrow Book" w:hAnsi="Gotham Narrow Book"/>
              </w:rPr>
            </w:pPr>
          </w:p>
        </w:tc>
        <w:tc>
          <w:tcPr>
            <w:tcW w:w="2502" w:type="dxa"/>
            <w:vMerge/>
            <w:shd w:val="clear" w:color="auto" w:fill="A0DCDC" w:themeFill="accent4" w:themeFillTint="99"/>
            <w:vAlign w:val="center"/>
          </w:tcPr>
          <w:p w:rsidR="00472CEC" w:rsidRPr="006A74F8" w:rsidRDefault="00472CEC" w:rsidP="00E81223">
            <w:pPr>
              <w:jc w:val="center"/>
              <w:rPr>
                <w:rFonts w:ascii="Gotham Narrow Book" w:hAnsi="Gotham Narrow Book"/>
                <w:b/>
                <w:color w:val="002B3B" w:themeColor="text2" w:themeShade="80"/>
                <w:sz w:val="28"/>
                <w:szCs w:val="24"/>
              </w:rPr>
            </w:pPr>
          </w:p>
        </w:tc>
        <w:tc>
          <w:tcPr>
            <w:tcW w:w="8376" w:type="dxa"/>
            <w:gridSpan w:val="3"/>
            <w:vMerge/>
            <w:shd w:val="clear" w:color="auto" w:fill="EBF7F8" w:themeFill="accent5" w:themeFillTint="33"/>
            <w:vAlign w:val="center"/>
          </w:tcPr>
          <w:p w:rsidR="00472CEC" w:rsidRPr="006A74F8" w:rsidRDefault="00472CEC" w:rsidP="00E81223">
            <w:pPr>
              <w:jc w:val="center"/>
              <w:rPr>
                <w:rFonts w:ascii="Gotham Narrow Book" w:hAnsi="Gotham Narrow Book" w:cstheme="minorHAnsi"/>
                <w:color w:val="002B3B" w:themeColor="text2" w:themeShade="80"/>
              </w:rPr>
            </w:pPr>
          </w:p>
        </w:tc>
      </w:tr>
      <w:tr w:rsidR="00472CEC" w:rsidRPr="006A74F8" w:rsidTr="00E81223">
        <w:trPr>
          <w:trHeight w:val="105"/>
        </w:trPr>
        <w:tc>
          <w:tcPr>
            <w:tcW w:w="1888" w:type="dxa"/>
            <w:gridSpan w:val="2"/>
            <w:shd w:val="clear" w:color="auto" w:fill="55E0DA" w:themeFill="accent3" w:themeFillTint="99"/>
            <w:vAlign w:val="center"/>
          </w:tcPr>
          <w:p w:rsidR="00472CEC" w:rsidRPr="006A74F8" w:rsidRDefault="00472CEC" w:rsidP="00E81223">
            <w:pPr>
              <w:jc w:val="center"/>
              <w:rPr>
                <w:rFonts w:ascii="Gotham Narrow Book" w:hAnsi="Gotham Narrow Book"/>
              </w:rPr>
            </w:pPr>
            <w:r w:rsidRPr="006A74F8">
              <w:rPr>
                <w:rFonts w:ascii="Gotham Narrow Book" w:hAnsi="Gotham Narrow Book"/>
                <w:b/>
                <w:sz w:val="32"/>
              </w:rPr>
              <w:t>2022</w:t>
            </w:r>
          </w:p>
        </w:tc>
        <w:tc>
          <w:tcPr>
            <w:tcW w:w="555" w:type="dxa"/>
            <w:vMerge/>
            <w:shd w:val="clear" w:color="auto" w:fill="DEAACE" w:themeFill="accent6" w:themeFillTint="99"/>
            <w:vAlign w:val="center"/>
          </w:tcPr>
          <w:p w:rsidR="00472CEC" w:rsidRPr="006A74F8" w:rsidRDefault="00472CEC" w:rsidP="00E81223">
            <w:pPr>
              <w:jc w:val="center"/>
              <w:rPr>
                <w:rFonts w:ascii="Gotham Narrow Book" w:hAnsi="Gotham Narrow Book"/>
              </w:rPr>
            </w:pPr>
          </w:p>
        </w:tc>
        <w:tc>
          <w:tcPr>
            <w:tcW w:w="2502" w:type="dxa"/>
            <w:vMerge w:val="restart"/>
            <w:shd w:val="clear" w:color="auto" w:fill="3AA2A2" w:themeFill="accent4" w:themeFillShade="BF"/>
            <w:vAlign w:val="center"/>
          </w:tcPr>
          <w:p w:rsidR="00472CEC" w:rsidRPr="006A74F8" w:rsidRDefault="00472CEC" w:rsidP="00E81223">
            <w:pPr>
              <w:jc w:val="center"/>
              <w:rPr>
                <w:rFonts w:ascii="Gotham Narrow Book" w:hAnsi="Gotham Narrow Book"/>
                <w:b/>
                <w:color w:val="FFFFFF" w:themeColor="background1"/>
                <w:sz w:val="28"/>
                <w:szCs w:val="24"/>
              </w:rPr>
            </w:pPr>
            <w:r w:rsidRPr="006A74F8">
              <w:rPr>
                <w:rFonts w:ascii="Gotham Narrow Book" w:hAnsi="Gotham Narrow Book"/>
                <w:b/>
                <w:color w:val="FFFFFF" w:themeColor="background1"/>
                <w:sz w:val="28"/>
                <w:szCs w:val="24"/>
              </w:rPr>
              <w:t>Government Decision</w:t>
            </w:r>
          </w:p>
        </w:tc>
        <w:tc>
          <w:tcPr>
            <w:tcW w:w="8376" w:type="dxa"/>
            <w:gridSpan w:val="3"/>
            <w:vMerge w:val="restart"/>
            <w:shd w:val="clear" w:color="auto" w:fill="BFE8E8" w:themeFill="accent4" w:themeFillTint="66"/>
            <w:vAlign w:val="center"/>
          </w:tcPr>
          <w:p w:rsidR="00472CEC" w:rsidRPr="006A74F8" w:rsidRDefault="00472CEC" w:rsidP="00E81223">
            <w:pPr>
              <w:jc w:val="center"/>
              <w:rPr>
                <w:rFonts w:ascii="Gotham Narrow Book" w:hAnsi="Gotham Narrow Book"/>
                <w:color w:val="002B3B" w:themeColor="text2" w:themeShade="80"/>
              </w:rPr>
            </w:pPr>
            <w:r w:rsidRPr="006A74F8">
              <w:rPr>
                <w:rFonts w:ascii="Gotham Narrow Book" w:hAnsi="Gotham Narrow Book" w:cstheme="minorHAnsi"/>
                <w:color w:val="002B3B" w:themeColor="text2" w:themeShade="80"/>
              </w:rPr>
              <w:t>It is anticipated that Government will make a final decision on the options between the end of 2021 and the start of 2022.</w:t>
            </w:r>
          </w:p>
        </w:tc>
      </w:tr>
      <w:tr w:rsidR="00472CEC" w:rsidRPr="006A74F8" w:rsidTr="00E81223">
        <w:trPr>
          <w:trHeight w:val="625"/>
        </w:trPr>
        <w:tc>
          <w:tcPr>
            <w:tcW w:w="1331" w:type="dxa"/>
            <w:vAlign w:val="center"/>
          </w:tcPr>
          <w:p w:rsidR="00472CEC" w:rsidRPr="006A74F8" w:rsidRDefault="00472CEC" w:rsidP="00E81223">
            <w:pPr>
              <w:jc w:val="center"/>
              <w:rPr>
                <w:b/>
                <w:sz w:val="32"/>
              </w:rPr>
            </w:pPr>
          </w:p>
        </w:tc>
        <w:tc>
          <w:tcPr>
            <w:tcW w:w="557" w:type="dxa"/>
            <w:vAlign w:val="center"/>
          </w:tcPr>
          <w:p w:rsidR="00472CEC" w:rsidRPr="006A74F8" w:rsidRDefault="00472CEC" w:rsidP="00E81223">
            <w:pPr>
              <w:jc w:val="center"/>
            </w:pPr>
          </w:p>
        </w:tc>
        <w:tc>
          <w:tcPr>
            <w:tcW w:w="555" w:type="dxa"/>
            <w:vMerge/>
            <w:shd w:val="clear" w:color="auto" w:fill="0D4A48" w:themeFill="accent3" w:themeFillShade="80"/>
            <w:vAlign w:val="center"/>
          </w:tcPr>
          <w:p w:rsidR="00472CEC" w:rsidRPr="006A74F8" w:rsidRDefault="00472CEC" w:rsidP="00E81223">
            <w:pPr>
              <w:jc w:val="center"/>
            </w:pPr>
          </w:p>
        </w:tc>
        <w:tc>
          <w:tcPr>
            <w:tcW w:w="2502" w:type="dxa"/>
            <w:vMerge/>
            <w:shd w:val="clear" w:color="auto" w:fill="3AA2A2" w:themeFill="accent4" w:themeFillShade="BF"/>
            <w:vAlign w:val="center"/>
          </w:tcPr>
          <w:p w:rsidR="00472CEC" w:rsidRPr="006A74F8" w:rsidRDefault="00472CEC" w:rsidP="00E81223">
            <w:pPr>
              <w:jc w:val="center"/>
              <w:rPr>
                <w:rFonts w:ascii="Franklin Gothic Heavy" w:hAnsi="Franklin Gothic Heavy"/>
                <w:sz w:val="24"/>
                <w:szCs w:val="24"/>
              </w:rPr>
            </w:pPr>
          </w:p>
        </w:tc>
        <w:tc>
          <w:tcPr>
            <w:tcW w:w="8376" w:type="dxa"/>
            <w:gridSpan w:val="3"/>
            <w:vMerge/>
            <w:shd w:val="clear" w:color="auto" w:fill="BFE8E8" w:themeFill="accent4" w:themeFillTint="66"/>
            <w:vAlign w:val="center"/>
          </w:tcPr>
          <w:p w:rsidR="00472CEC" w:rsidRPr="006A74F8" w:rsidRDefault="00472CEC" w:rsidP="00E81223">
            <w:pPr>
              <w:jc w:val="center"/>
              <w:rPr>
                <w:rFonts w:cstheme="minorHAnsi"/>
                <w:color w:val="004369" w:themeColor="accent2" w:themeTint="E6"/>
              </w:rPr>
            </w:pPr>
          </w:p>
        </w:tc>
      </w:tr>
    </w:tbl>
    <w:p w:rsidR="007C47DF" w:rsidRPr="006A74F8" w:rsidRDefault="007C47DF" w:rsidP="00FD7AC9">
      <w:pPr>
        <w:spacing w:before="120" w:after="120"/>
        <w:sectPr w:rsidR="007C47DF" w:rsidRPr="006A74F8" w:rsidSect="00EC61D8">
          <w:pgSz w:w="16839" w:h="23814" w:code="8"/>
          <w:pgMar w:top="1440" w:right="1440" w:bottom="1440" w:left="1440" w:header="709" w:footer="0" w:gutter="0"/>
          <w:cols w:space="708"/>
          <w:docGrid w:linePitch="360"/>
        </w:sectPr>
      </w:pPr>
    </w:p>
    <w:p w:rsidR="006E137F" w:rsidRPr="006A74F8" w:rsidRDefault="0024141F" w:rsidP="00FD7AC9">
      <w:pPr>
        <w:pStyle w:val="Heading3"/>
      </w:pPr>
      <w:bookmarkStart w:id="1170" w:name="_Toc61338671"/>
      <w:bookmarkStart w:id="1171" w:name="_Toc63062583"/>
      <w:bookmarkStart w:id="1172" w:name="_Toc64895624"/>
      <w:bookmarkStart w:id="1173" w:name="_Toc64900831"/>
      <w:bookmarkStart w:id="1174" w:name="_Toc64903097"/>
      <w:bookmarkStart w:id="1175" w:name="_Toc64904036"/>
      <w:bookmarkStart w:id="1176" w:name="_Toc64904258"/>
      <w:bookmarkStart w:id="1177" w:name="_Toc64904701"/>
      <w:bookmarkStart w:id="1178" w:name="_Toc64905215"/>
      <w:bookmarkStart w:id="1179" w:name="_Toc64963992"/>
      <w:bookmarkStart w:id="1180" w:name="_Toc64974590"/>
      <w:bookmarkStart w:id="1181" w:name="_Toc64976291"/>
      <w:bookmarkStart w:id="1182" w:name="_Toc65149665"/>
      <w:bookmarkEnd w:id="1121"/>
      <w:bookmarkEnd w:id="1122"/>
      <w:bookmarkEnd w:id="1123"/>
      <w:bookmarkEnd w:id="1124"/>
      <w:bookmarkEnd w:id="1125"/>
      <w:r w:rsidRPr="006A74F8">
        <w:lastRenderedPageBreak/>
        <w:t xml:space="preserve">Other options </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00D9699F" w:rsidRPr="006A74F8">
        <w:t>not progressed</w:t>
      </w:r>
    </w:p>
    <w:p w:rsidR="002D0B5F" w:rsidRPr="006A74F8" w:rsidRDefault="002D0B5F" w:rsidP="00FD7AC9">
      <w:pPr>
        <w:spacing w:line="240" w:lineRule="auto"/>
      </w:pPr>
      <w:bookmarkStart w:id="1183" w:name="_Toc61338672"/>
      <w:bookmarkStart w:id="1184" w:name="_Toc63062584"/>
      <w:bookmarkStart w:id="1185" w:name="_Toc57637405"/>
      <w:bookmarkStart w:id="1186" w:name="_Toc57637472"/>
      <w:bookmarkStart w:id="1187" w:name="_Toc57891536"/>
      <w:bookmarkStart w:id="1188" w:name="_Toc58228984"/>
      <w:bookmarkStart w:id="1189" w:name="_Toc58501220"/>
      <w:r w:rsidRPr="006A74F8">
        <w:t xml:space="preserve">Reform options were considered against the measurement policy objectives </w:t>
      </w:r>
      <w:r w:rsidR="00D9699F" w:rsidRPr="006A74F8">
        <w:t>(</w:t>
      </w:r>
      <w:hyperlink w:anchor="_Understanding_how_the" w:history="1">
        <w:r w:rsidR="00F8591F" w:rsidRPr="006A74F8">
          <w:rPr>
            <w:rStyle w:val="Hyperlink"/>
          </w:rPr>
          <w:t>section 5.5</w:t>
        </w:r>
      </w:hyperlink>
      <w:r w:rsidR="00D9699F" w:rsidRPr="006A74F8">
        <w:t>)</w:t>
      </w:r>
      <w:r w:rsidRPr="006A74F8">
        <w:t xml:space="preserve"> to ensure the regulation is fit for purpose and minimises regulatory</w:t>
      </w:r>
      <w:r w:rsidR="002B10D8" w:rsidRPr="006A74F8">
        <w:t xml:space="preserve"> burden</w:t>
      </w:r>
      <w:r w:rsidRPr="006A74F8">
        <w:t xml:space="preserve">. </w:t>
      </w:r>
    </w:p>
    <w:p w:rsidR="00EC338C" w:rsidRPr="006A74F8" w:rsidRDefault="002D0B5F" w:rsidP="00FD7AC9">
      <w:pPr>
        <w:spacing w:line="240" w:lineRule="auto"/>
      </w:pPr>
      <w:r w:rsidRPr="006A74F8">
        <w:t xml:space="preserve">A more extensive deregulatory option was also investigated, </w:t>
      </w:r>
      <w:r w:rsidR="002D30E8" w:rsidRPr="006A74F8">
        <w:t>essentially focusing on the accuracy of the measurement result without specifying how measurement should be made or verified. Informed by stakeholder input and analysis, the review concluded that this option should not be considered further, as it would</w:t>
      </w:r>
      <w:r w:rsidRPr="006A74F8">
        <w:t>:</w:t>
      </w:r>
    </w:p>
    <w:p w:rsidR="00EC338C" w:rsidRPr="006A74F8" w:rsidRDefault="002D0B5F" w:rsidP="00D3530D">
      <w:pPr>
        <w:pStyle w:val="ListParagraph"/>
        <w:numPr>
          <w:ilvl w:val="0"/>
          <w:numId w:val="34"/>
        </w:numPr>
        <w:spacing w:line="240" w:lineRule="auto"/>
      </w:pPr>
      <w:r w:rsidRPr="006A74F8">
        <w:t>present a significant divergence from global practice</w:t>
      </w:r>
    </w:p>
    <w:p w:rsidR="00EC338C" w:rsidRPr="006A74F8" w:rsidRDefault="002D0B5F" w:rsidP="00D3530D">
      <w:pPr>
        <w:pStyle w:val="ListParagraph"/>
        <w:numPr>
          <w:ilvl w:val="0"/>
          <w:numId w:val="34"/>
        </w:numPr>
        <w:spacing w:line="240" w:lineRule="auto"/>
      </w:pPr>
      <w:r w:rsidRPr="006A74F8">
        <w:t>reduce confidence in measurement (particularly for trade)</w:t>
      </w:r>
    </w:p>
    <w:p w:rsidR="00EC338C" w:rsidRPr="006A74F8" w:rsidRDefault="002D0B5F" w:rsidP="00D3530D">
      <w:pPr>
        <w:pStyle w:val="ListParagraph"/>
        <w:numPr>
          <w:ilvl w:val="0"/>
          <w:numId w:val="34"/>
        </w:numPr>
        <w:spacing w:line="240" w:lineRule="auto"/>
      </w:pPr>
      <w:r w:rsidRPr="006A74F8">
        <w:t>present increased risk to the community</w:t>
      </w:r>
    </w:p>
    <w:p w:rsidR="00EC338C" w:rsidRPr="006A74F8" w:rsidRDefault="002D0B5F" w:rsidP="00D3530D">
      <w:pPr>
        <w:pStyle w:val="ListParagraph"/>
        <w:numPr>
          <w:ilvl w:val="0"/>
          <w:numId w:val="34"/>
        </w:numPr>
        <w:spacing w:line="240" w:lineRule="auto"/>
      </w:pPr>
      <w:r w:rsidRPr="006A74F8">
        <w:t>be costly and inefficient for government to administer</w:t>
      </w:r>
      <w:r w:rsidR="007B6F34" w:rsidRPr="006A74F8">
        <w:t>,</w:t>
      </w:r>
      <w:r w:rsidRPr="006A74F8">
        <w:t xml:space="preserve"> due to </w:t>
      </w:r>
      <w:r w:rsidR="00077B43" w:rsidRPr="006A74F8">
        <w:t xml:space="preserve">significantly </w:t>
      </w:r>
      <w:r w:rsidRPr="006A74F8">
        <w:t>increased requirements for monitoring, surveillance, compliance and enforcement activity</w:t>
      </w:r>
    </w:p>
    <w:p w:rsidR="00EC338C" w:rsidRPr="006A74F8" w:rsidRDefault="002D0B5F" w:rsidP="00D3530D">
      <w:pPr>
        <w:pStyle w:val="ListParagraph"/>
        <w:numPr>
          <w:ilvl w:val="0"/>
          <w:numId w:val="34"/>
        </w:numPr>
        <w:spacing w:line="240" w:lineRule="auto"/>
      </w:pPr>
      <w:r w:rsidRPr="006A74F8">
        <w:t>be detrimental to Australia’s international standing</w:t>
      </w:r>
    </w:p>
    <w:p w:rsidR="002D0B5F" w:rsidRPr="006A74F8" w:rsidRDefault="002D0B5F" w:rsidP="00D3530D">
      <w:pPr>
        <w:pStyle w:val="ListParagraph"/>
        <w:numPr>
          <w:ilvl w:val="0"/>
          <w:numId w:val="34"/>
        </w:numPr>
        <w:spacing w:line="240" w:lineRule="auto"/>
      </w:pPr>
      <w:r w:rsidRPr="006A74F8">
        <w:t xml:space="preserve">not meet the needs of stakeholders. </w:t>
      </w:r>
      <w:bookmarkStart w:id="1190" w:name="_Toc57637404"/>
      <w:bookmarkStart w:id="1191" w:name="_Toc57637471"/>
    </w:p>
    <w:p w:rsidR="00D9699F" w:rsidRPr="006A74F8" w:rsidRDefault="00D9699F" w:rsidP="00D9699F">
      <w:pPr>
        <w:spacing w:line="240" w:lineRule="auto"/>
      </w:pPr>
      <w:r w:rsidRPr="006A74F8">
        <w:t xml:space="preserve">The remaining valid options for consideration are </w:t>
      </w:r>
      <w:r w:rsidR="006A6CDB" w:rsidRPr="006A74F8">
        <w:t>outlined below.</w:t>
      </w:r>
    </w:p>
    <w:p w:rsidR="007138AB" w:rsidRPr="006A74F8" w:rsidRDefault="007138AB" w:rsidP="00FD7AC9">
      <w:pPr>
        <w:pStyle w:val="Heading2"/>
      </w:pPr>
      <w:bookmarkStart w:id="1192" w:name="_Toc67305387"/>
      <w:bookmarkStart w:id="1193" w:name="_Toc67306300"/>
      <w:bookmarkStart w:id="1194" w:name="_Toc67306752"/>
      <w:bookmarkStart w:id="1195" w:name="_Toc67313602"/>
      <w:bookmarkStart w:id="1196" w:name="_Toc67320795"/>
      <w:bookmarkStart w:id="1197" w:name="_Toc67321948"/>
      <w:bookmarkStart w:id="1198" w:name="_Toc67324413"/>
      <w:bookmarkStart w:id="1199" w:name="_Toc67326574"/>
      <w:bookmarkStart w:id="1200" w:name="_Toc64558448"/>
      <w:bookmarkStart w:id="1201" w:name="_Toc64557468"/>
      <w:bookmarkStart w:id="1202" w:name="_Toc64562193"/>
      <w:bookmarkStart w:id="1203" w:name="_Toc64562449"/>
      <w:bookmarkStart w:id="1204" w:name="_Toc64640235"/>
      <w:bookmarkStart w:id="1205" w:name="_Toc64641211"/>
      <w:bookmarkStart w:id="1206" w:name="_Toc64647153"/>
      <w:bookmarkStart w:id="1207" w:name="_Toc64888319"/>
      <w:bookmarkStart w:id="1208" w:name="_Toc64888699"/>
      <w:bookmarkStart w:id="1209" w:name="_Toc64892974"/>
      <w:bookmarkStart w:id="1210" w:name="_Toc64895625"/>
      <w:bookmarkStart w:id="1211" w:name="_Toc64900832"/>
      <w:bookmarkStart w:id="1212" w:name="_Toc64903098"/>
      <w:bookmarkStart w:id="1213" w:name="_Toc64904037"/>
      <w:bookmarkStart w:id="1214" w:name="_Toc64904259"/>
      <w:bookmarkStart w:id="1215" w:name="_Toc64904702"/>
      <w:bookmarkStart w:id="1216" w:name="_Toc64905216"/>
      <w:bookmarkStart w:id="1217" w:name="_Toc64963993"/>
      <w:bookmarkStart w:id="1218" w:name="_Toc64974591"/>
      <w:bookmarkStart w:id="1219" w:name="_Toc64976292"/>
      <w:bookmarkStart w:id="1220" w:name="_Toc65149666"/>
      <w:bookmarkStart w:id="1221" w:name="_Toc65163438"/>
      <w:bookmarkStart w:id="1222" w:name="_Toc65491077"/>
      <w:bookmarkStart w:id="1223" w:name="_Toc65504813"/>
      <w:bookmarkStart w:id="1224" w:name="_Toc65757896"/>
      <w:bookmarkStart w:id="1225" w:name="_Toc65769491"/>
      <w:bookmarkStart w:id="1226" w:name="_Toc65766859"/>
      <w:bookmarkStart w:id="1227" w:name="_Toc65772633"/>
      <w:bookmarkStart w:id="1228" w:name="_Toc66435691"/>
      <w:bookmarkStart w:id="1229" w:name="_Toc66436480"/>
      <w:bookmarkStart w:id="1230" w:name="_Toc66437691"/>
      <w:bookmarkStart w:id="1231" w:name="_Toc66440030"/>
      <w:bookmarkStart w:id="1232" w:name="_Toc66442233"/>
      <w:bookmarkStart w:id="1233" w:name="_Toc66451902"/>
      <w:bookmarkStart w:id="1234" w:name="_Toc66459179"/>
      <w:bookmarkStart w:id="1235" w:name="_Toc66460233"/>
      <w:bookmarkEnd w:id="1183"/>
      <w:bookmarkEnd w:id="1184"/>
      <w:bookmarkEnd w:id="1190"/>
      <w:bookmarkEnd w:id="1191"/>
      <w:r w:rsidRPr="006A74F8">
        <w:t xml:space="preserve">The </w:t>
      </w:r>
      <w:r w:rsidR="005D3CBA" w:rsidRPr="006A74F8">
        <w:t>o</w:t>
      </w:r>
      <w:r w:rsidRPr="006A74F8">
        <w:t>ptions</w:t>
      </w:r>
      <w:bookmarkEnd w:id="1192"/>
      <w:bookmarkEnd w:id="1193"/>
      <w:bookmarkEnd w:id="1194"/>
      <w:r w:rsidR="005D3CBA" w:rsidRPr="006A74F8">
        <w:t xml:space="preserve"> being considered</w:t>
      </w:r>
      <w:bookmarkEnd w:id="1195"/>
      <w:bookmarkEnd w:id="1196"/>
      <w:bookmarkEnd w:id="1197"/>
      <w:bookmarkEnd w:id="1198"/>
      <w:bookmarkEnd w:id="1199"/>
    </w:p>
    <w:p w:rsidR="006E137F" w:rsidRPr="006A74F8" w:rsidRDefault="00F0659D" w:rsidP="00D4547B">
      <w:pPr>
        <w:pStyle w:val="Heading3"/>
      </w:pPr>
      <w:r w:rsidRPr="006A74F8">
        <w:t>The s</w:t>
      </w:r>
      <w:r w:rsidR="006E137F" w:rsidRPr="006A74F8">
        <w:t xml:space="preserve">tatus </w:t>
      </w:r>
      <w:r w:rsidRPr="006A74F8">
        <w:t>q</w:t>
      </w:r>
      <w:r w:rsidR="006E137F" w:rsidRPr="006A74F8">
        <w:t>uo</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rsidR="007E31B4" w:rsidRPr="006A74F8" w:rsidRDefault="002D0B5F" w:rsidP="00FD7AC9">
      <w:pPr>
        <w:spacing w:line="240" w:lineRule="auto"/>
      </w:pPr>
      <w:bookmarkStart w:id="1236" w:name="_Toc61338673"/>
      <w:bookmarkEnd w:id="1185"/>
      <w:bookmarkEnd w:id="1186"/>
      <w:bookmarkEnd w:id="1187"/>
      <w:bookmarkEnd w:id="1188"/>
      <w:bookmarkEnd w:id="1189"/>
      <w:r w:rsidRPr="006A74F8">
        <w:t>The current legislative framework</w:t>
      </w:r>
      <w:r w:rsidR="007E31B4" w:rsidRPr="006A74F8">
        <w:t>:</w:t>
      </w:r>
    </w:p>
    <w:p w:rsidR="007E31B4" w:rsidRPr="006A74F8" w:rsidRDefault="00D9699F" w:rsidP="00D3530D">
      <w:pPr>
        <w:pStyle w:val="ListParagraph"/>
        <w:numPr>
          <w:ilvl w:val="0"/>
          <w:numId w:val="67"/>
        </w:numPr>
        <w:spacing w:line="240" w:lineRule="auto"/>
      </w:pPr>
      <w:r w:rsidRPr="006A74F8">
        <w:t>establish</w:t>
      </w:r>
      <w:r w:rsidR="001B5E4C" w:rsidRPr="006A74F8">
        <w:t>es</w:t>
      </w:r>
      <w:r w:rsidR="008774DC" w:rsidRPr="006A74F8">
        <w:t xml:space="preserve"> a national system of units and standards of measurement of physical quantities</w:t>
      </w:r>
    </w:p>
    <w:p w:rsidR="007E31B4" w:rsidRPr="006A74F8" w:rsidRDefault="00D9699F" w:rsidP="00D3530D">
      <w:pPr>
        <w:pStyle w:val="ListParagraph"/>
        <w:numPr>
          <w:ilvl w:val="0"/>
          <w:numId w:val="67"/>
        </w:numPr>
        <w:spacing w:line="240" w:lineRule="auto"/>
      </w:pPr>
      <w:r w:rsidRPr="006A74F8">
        <w:t>provid</w:t>
      </w:r>
      <w:r w:rsidR="001B5E4C" w:rsidRPr="006A74F8">
        <w:t>es</w:t>
      </w:r>
      <w:r w:rsidR="008774DC" w:rsidRPr="006A74F8">
        <w:t xml:space="preserve"> for </w:t>
      </w:r>
      <w:r w:rsidR="008D1A8E" w:rsidRPr="006A74F8">
        <w:t xml:space="preserve">the </w:t>
      </w:r>
      <w:r w:rsidR="008774DC" w:rsidRPr="006A74F8">
        <w:t>use of those uniform units and standards of measurement throughout Australia</w:t>
      </w:r>
    </w:p>
    <w:p w:rsidR="007E31B4" w:rsidRPr="006A74F8" w:rsidRDefault="00D9699F" w:rsidP="00D3530D">
      <w:pPr>
        <w:pStyle w:val="ListParagraph"/>
        <w:numPr>
          <w:ilvl w:val="0"/>
          <w:numId w:val="67"/>
        </w:numPr>
        <w:spacing w:line="240" w:lineRule="auto"/>
      </w:pPr>
      <w:r w:rsidRPr="006A74F8">
        <w:t>coordinat</w:t>
      </w:r>
      <w:r w:rsidR="001B5E4C" w:rsidRPr="006A74F8">
        <w:t>es</w:t>
      </w:r>
      <w:r w:rsidR="008774DC" w:rsidRPr="006A74F8">
        <w:t xml:space="preserve"> the operation for the national system of measurement </w:t>
      </w:r>
    </w:p>
    <w:p w:rsidR="008774DC" w:rsidRPr="006A74F8" w:rsidRDefault="00D9699F" w:rsidP="00D3530D">
      <w:pPr>
        <w:pStyle w:val="ListParagraph"/>
        <w:numPr>
          <w:ilvl w:val="0"/>
          <w:numId w:val="67"/>
        </w:numPr>
        <w:spacing w:line="240" w:lineRule="auto"/>
      </w:pPr>
      <w:r w:rsidRPr="006A74F8">
        <w:t>provid</w:t>
      </w:r>
      <w:r w:rsidR="00A712AA" w:rsidRPr="006A74F8">
        <w:t>es</w:t>
      </w:r>
      <w:r w:rsidR="008774DC" w:rsidRPr="006A74F8">
        <w:t xml:space="preserve"> a national system of trade measurement.</w:t>
      </w:r>
    </w:p>
    <w:p w:rsidR="002D0B5F" w:rsidRPr="006A74F8" w:rsidRDefault="00D4547B" w:rsidP="00FD7AC9">
      <w:pPr>
        <w:spacing w:line="240" w:lineRule="auto"/>
      </w:pPr>
      <w:r w:rsidRPr="006A74F8">
        <w:t>The system</w:t>
      </w:r>
      <w:r w:rsidR="002D0B5F" w:rsidRPr="006A74F8">
        <w:t xml:space="preserve"> provide</w:t>
      </w:r>
      <w:r w:rsidR="00765BEE" w:rsidRPr="006A74F8">
        <w:t>s</w:t>
      </w:r>
      <w:r w:rsidR="002D0B5F" w:rsidRPr="006A74F8">
        <w:t xml:space="preserve"> measurement confidence </w:t>
      </w:r>
      <w:r w:rsidR="008D1A8E" w:rsidRPr="006A74F8">
        <w:t xml:space="preserve">for </w:t>
      </w:r>
      <w:r w:rsidR="002D0B5F" w:rsidRPr="006A74F8">
        <w:t>transactions based on measurement (e.g. export of commodities, sale of meat</w:t>
      </w:r>
      <w:r w:rsidR="008D1A8E" w:rsidRPr="006A74F8">
        <w:t>)</w:t>
      </w:r>
      <w:r w:rsidR="002D0B5F" w:rsidRPr="006A74F8">
        <w:t>,</w:t>
      </w:r>
      <w:r w:rsidR="008D1A8E" w:rsidRPr="006A74F8">
        <w:t xml:space="preserve"> the use of measuring instruments for trade purposes (e.g.</w:t>
      </w:r>
      <w:r w:rsidR="002D0B5F" w:rsidRPr="006A74F8">
        <w:t xml:space="preserve"> use of a belt weigher)</w:t>
      </w:r>
      <w:r w:rsidR="008D1A8E" w:rsidRPr="006A74F8">
        <w:t xml:space="preserve"> and</w:t>
      </w:r>
      <w:r w:rsidR="002D0B5F" w:rsidRPr="006A74F8">
        <w:t xml:space="preserve"> for legal purposes such as to serve the needs of law enforcement and regulators (e.g. certified evidential breath analysers)</w:t>
      </w:r>
      <w:r w:rsidR="008D1A8E" w:rsidRPr="006A74F8">
        <w:t>,</w:t>
      </w:r>
      <w:r w:rsidR="002D0B5F" w:rsidRPr="006A74F8">
        <w:t xml:space="preserve"> </w:t>
      </w:r>
      <w:r w:rsidR="00765BEE" w:rsidRPr="006A74F8">
        <w:t xml:space="preserve">and </w:t>
      </w:r>
      <w:r w:rsidR="002D0B5F" w:rsidRPr="006A74F8">
        <w:t>provide</w:t>
      </w:r>
      <w:r w:rsidR="00765BEE" w:rsidRPr="006A74F8">
        <w:t>s for</w:t>
      </w:r>
      <w:r w:rsidR="002D0B5F" w:rsidRPr="006A74F8">
        <w:t xml:space="preserve"> independent evidence of measurement (e.g. using public weighbridges). </w:t>
      </w:r>
    </w:p>
    <w:p w:rsidR="007602F2" w:rsidRPr="006A74F8" w:rsidRDefault="007602F2" w:rsidP="00FD7AC9">
      <w:pPr>
        <w:spacing w:line="240" w:lineRule="auto"/>
      </w:pPr>
      <w:r w:rsidRPr="006A74F8">
        <w:t>The current legislative framework has the following characteristics:</w:t>
      </w:r>
    </w:p>
    <w:p w:rsidR="002D0B5F" w:rsidRPr="006A74F8" w:rsidRDefault="002D0B5F" w:rsidP="00FD7AC9">
      <w:pPr>
        <w:keepNext/>
        <w:spacing w:line="240" w:lineRule="auto"/>
      </w:pPr>
      <w:r w:rsidRPr="006A74F8">
        <w:rPr>
          <w:b/>
        </w:rPr>
        <w:t>Approach</w:t>
      </w:r>
      <w:r w:rsidRPr="006A74F8">
        <w:t>: It uses a prescriptive approach with limited flexibility</w:t>
      </w:r>
      <w:r w:rsidR="00E86837" w:rsidRPr="006A74F8">
        <w:t>.</w:t>
      </w:r>
      <w:r w:rsidRPr="006A74F8">
        <w:t xml:space="preserve"> </w:t>
      </w:r>
      <w:r w:rsidR="00E86837" w:rsidRPr="006A74F8">
        <w:t>F</w:t>
      </w:r>
      <w:r w:rsidRPr="006A74F8">
        <w:t xml:space="preserve">or example: </w:t>
      </w:r>
    </w:p>
    <w:p w:rsidR="00EC338C" w:rsidRPr="006A74F8" w:rsidRDefault="002D0B5F" w:rsidP="00D3530D">
      <w:pPr>
        <w:pStyle w:val="ListParagraph"/>
        <w:numPr>
          <w:ilvl w:val="0"/>
          <w:numId w:val="58"/>
        </w:numPr>
        <w:spacing w:line="240" w:lineRule="auto"/>
      </w:pPr>
      <w:r w:rsidRPr="006A74F8">
        <w:t>The</w:t>
      </w:r>
      <w:r w:rsidRPr="006A74F8" w:rsidDel="007720D5">
        <w:t xml:space="preserve"> </w:t>
      </w:r>
      <w:r w:rsidR="007720D5" w:rsidRPr="006A74F8">
        <w:t xml:space="preserve">legislation </w:t>
      </w:r>
      <w:r w:rsidRPr="006A74F8">
        <w:t xml:space="preserve">makes sure that only </w:t>
      </w:r>
      <w:r w:rsidR="00536F24" w:rsidRPr="006A74F8">
        <w:t>ALUM</w:t>
      </w:r>
      <w:r w:rsidR="00E86837" w:rsidRPr="006A74F8">
        <w:t>s</w:t>
      </w:r>
      <w:r w:rsidR="00536F24" w:rsidRPr="006A74F8">
        <w:t xml:space="preserve"> </w:t>
      </w:r>
      <w:r w:rsidRPr="006A74F8">
        <w:t xml:space="preserve">are used for trade and legal purposes and are traceable to the SI in prescribed ways. </w:t>
      </w:r>
    </w:p>
    <w:p w:rsidR="00EC338C" w:rsidRPr="006A74F8" w:rsidRDefault="002D0B5F" w:rsidP="00D3530D">
      <w:pPr>
        <w:pStyle w:val="ListParagraph"/>
        <w:numPr>
          <w:ilvl w:val="0"/>
          <w:numId w:val="58"/>
        </w:numPr>
        <w:spacing w:line="240" w:lineRule="auto"/>
      </w:pPr>
      <w:r w:rsidRPr="006A74F8">
        <w:t xml:space="preserve">The NMI and </w:t>
      </w:r>
      <w:r w:rsidR="000B0849" w:rsidRPr="006A74F8">
        <w:t>ATPs</w:t>
      </w:r>
      <w:r w:rsidRPr="006A74F8">
        <w:t xml:space="preserve"> appointed under the Act disseminate consistent measurement and issue regulation certificates as a record of the measurement’s legal standing. These </w:t>
      </w:r>
      <w:r w:rsidR="000B0849" w:rsidRPr="006A74F8">
        <w:t>ATPs</w:t>
      </w:r>
      <w:r w:rsidRPr="006A74F8">
        <w:t xml:space="preserve"> are appointed to tightly defined categories with specific appointment criteria. </w:t>
      </w:r>
    </w:p>
    <w:p w:rsidR="00EC338C" w:rsidRPr="006A74F8" w:rsidRDefault="002D0B5F" w:rsidP="00D3530D">
      <w:pPr>
        <w:pStyle w:val="ListParagraph"/>
        <w:numPr>
          <w:ilvl w:val="0"/>
          <w:numId w:val="58"/>
        </w:numPr>
        <w:spacing w:line="240" w:lineRule="auto"/>
      </w:pPr>
      <w:r w:rsidRPr="006A74F8">
        <w:t xml:space="preserve">Measuring instruments used for trade </w:t>
      </w:r>
      <w:r w:rsidR="002B30D5" w:rsidRPr="006A74F8">
        <w:t>and</w:t>
      </w:r>
      <w:r w:rsidRPr="006A74F8">
        <w:t xml:space="preserve"> within scope </w:t>
      </w:r>
      <w:r w:rsidR="00536F24" w:rsidRPr="006A74F8">
        <w:t>of the legislation</w:t>
      </w:r>
      <w:r w:rsidRPr="006A74F8">
        <w:t xml:space="preserve"> must be of an approved pattern, be verified before first use</w:t>
      </w:r>
      <w:r w:rsidR="000B724E" w:rsidRPr="006A74F8">
        <w:t xml:space="preserve">, be accurate to specified Maximum Permissible Error (MPE) when in use, </w:t>
      </w:r>
      <w:r w:rsidRPr="006A74F8">
        <w:t xml:space="preserve">and be used correctly. </w:t>
      </w:r>
    </w:p>
    <w:p w:rsidR="00EC338C" w:rsidRPr="006A74F8" w:rsidRDefault="00765BEE" w:rsidP="00D3530D">
      <w:pPr>
        <w:pStyle w:val="ListParagraph"/>
        <w:numPr>
          <w:ilvl w:val="0"/>
          <w:numId w:val="58"/>
        </w:numPr>
        <w:spacing w:line="240" w:lineRule="auto"/>
      </w:pPr>
      <w:r w:rsidRPr="006A74F8">
        <w:t>Short measure is</w:t>
      </w:r>
      <w:r w:rsidR="002D0B5F" w:rsidRPr="006A74F8">
        <w:t xml:space="preserve"> prohibited for the sale of goods, however other types of transactions (e.g. services and purchase of goods) are not covered.</w:t>
      </w:r>
    </w:p>
    <w:p w:rsidR="007D6811" w:rsidRPr="006A74F8" w:rsidRDefault="002D0B5F" w:rsidP="00D3530D">
      <w:pPr>
        <w:pStyle w:val="ListParagraph"/>
        <w:numPr>
          <w:ilvl w:val="0"/>
          <w:numId w:val="58"/>
        </w:numPr>
        <w:spacing w:line="240" w:lineRule="auto"/>
      </w:pPr>
      <w:r w:rsidRPr="006A74F8">
        <w:t xml:space="preserve">Packaged goods must have the measurement mark </w:t>
      </w:r>
      <w:r w:rsidR="00972CD0" w:rsidRPr="006A74F8">
        <w:t xml:space="preserve">presented </w:t>
      </w:r>
      <w:r w:rsidRPr="006A74F8">
        <w:t xml:space="preserve">to </w:t>
      </w:r>
      <w:r w:rsidR="007602F2" w:rsidRPr="006A74F8">
        <w:t xml:space="preserve">satisfy </w:t>
      </w:r>
      <w:r w:rsidRPr="006A74F8">
        <w:t xml:space="preserve">prescriptive </w:t>
      </w:r>
      <w:r w:rsidR="00972CD0" w:rsidRPr="006A74F8">
        <w:t xml:space="preserve">labelling </w:t>
      </w:r>
      <w:r w:rsidRPr="006A74F8">
        <w:t>requirements (</w:t>
      </w:r>
      <w:r w:rsidR="00972CD0" w:rsidRPr="006A74F8">
        <w:t xml:space="preserve">e.g. </w:t>
      </w:r>
      <w:r w:rsidR="00E07C49" w:rsidRPr="006A74F8">
        <w:t xml:space="preserve">position, format, </w:t>
      </w:r>
      <w:r w:rsidR="00972CD0" w:rsidRPr="006A74F8">
        <w:t xml:space="preserve">minimum font </w:t>
      </w:r>
      <w:r w:rsidRPr="006A74F8">
        <w:t>size</w:t>
      </w:r>
      <w:r w:rsidR="00E07C49" w:rsidRPr="006A74F8">
        <w:t xml:space="preserve"> and </w:t>
      </w:r>
      <w:r w:rsidRPr="006A74F8">
        <w:t xml:space="preserve">colour </w:t>
      </w:r>
      <w:r w:rsidR="00972CD0" w:rsidRPr="006A74F8">
        <w:t>contrast</w:t>
      </w:r>
      <w:r w:rsidRPr="006A74F8">
        <w:t xml:space="preserve">). </w:t>
      </w:r>
    </w:p>
    <w:p w:rsidR="007D6811" w:rsidRPr="006A74F8" w:rsidRDefault="001A31E8" w:rsidP="00D3530D">
      <w:pPr>
        <w:pStyle w:val="ListParagraph"/>
        <w:numPr>
          <w:ilvl w:val="0"/>
          <w:numId w:val="58"/>
        </w:numPr>
        <w:spacing w:line="240" w:lineRule="auto"/>
      </w:pPr>
      <w:r w:rsidRPr="006A74F8">
        <w:rPr>
          <w:rFonts w:eastAsia="Times New Roman"/>
          <w:color w:val="000000" w:themeColor="text1"/>
          <w:lang w:eastAsia="en-AU"/>
        </w:rPr>
        <w:lastRenderedPageBreak/>
        <w:t>C</w:t>
      </w:r>
      <w:r w:rsidR="002D0B5F" w:rsidRPr="006A74F8">
        <w:rPr>
          <w:rFonts w:eastAsia="Times New Roman"/>
          <w:color w:val="000000" w:themeColor="text1"/>
          <w:lang w:eastAsia="en-AU"/>
        </w:rPr>
        <w:t xml:space="preserve">ompliance and enforcement </w:t>
      </w:r>
      <w:r w:rsidR="003B1E94" w:rsidRPr="006A74F8">
        <w:rPr>
          <w:rFonts w:eastAsia="Times New Roman"/>
          <w:color w:val="000000" w:themeColor="text1"/>
          <w:lang w:eastAsia="en-AU"/>
        </w:rPr>
        <w:t>mechanisms</w:t>
      </w:r>
      <w:r w:rsidR="002D0B5F" w:rsidRPr="006A74F8">
        <w:rPr>
          <w:rFonts w:eastAsia="Times New Roman"/>
          <w:color w:val="000000" w:themeColor="text1"/>
          <w:lang w:eastAsia="en-AU"/>
        </w:rPr>
        <w:t xml:space="preserve"> are based around criminal offences, with no civil penalty provisions</w:t>
      </w:r>
      <w:r w:rsidR="00CB3A5F" w:rsidRPr="006A74F8">
        <w:rPr>
          <w:rFonts w:eastAsia="Times New Roman"/>
          <w:color w:val="000000" w:themeColor="text1"/>
          <w:lang w:eastAsia="en-AU"/>
        </w:rPr>
        <w:t>, non-variable penalty amounts for infringement notices</w:t>
      </w:r>
      <w:r w:rsidR="002D0B5F" w:rsidRPr="006A74F8">
        <w:rPr>
          <w:rFonts w:eastAsia="Times New Roman"/>
          <w:color w:val="000000" w:themeColor="text1"/>
          <w:lang w:eastAsia="en-AU"/>
        </w:rPr>
        <w:t xml:space="preserve"> and limited provisions supporting administrative compliance options.</w:t>
      </w:r>
    </w:p>
    <w:p w:rsidR="007D6811" w:rsidRPr="006A74F8" w:rsidRDefault="002D0B5F" w:rsidP="00FD7AC9">
      <w:pPr>
        <w:keepNext/>
        <w:spacing w:line="240" w:lineRule="auto"/>
        <w:rPr>
          <w:b/>
        </w:rPr>
      </w:pPr>
      <w:r w:rsidRPr="006A74F8">
        <w:rPr>
          <w:b/>
        </w:rPr>
        <w:t>Legislation</w:t>
      </w:r>
      <w:r w:rsidRPr="006A74F8">
        <w:t>: It is prescriptively written to provide consistency, stability, certainty and support for industry. However, the legislated framework is inflexible</w:t>
      </w:r>
      <w:r w:rsidR="009A2CC1" w:rsidRPr="006A74F8">
        <w:t>,</w:t>
      </w:r>
      <w:r w:rsidRPr="006A74F8">
        <w:t xml:space="preserve"> and to adjust or keep pace with technological and scientific changes, </w:t>
      </w:r>
      <w:r w:rsidR="00F11517" w:rsidRPr="006A74F8">
        <w:t>NMI</w:t>
      </w:r>
      <w:r w:rsidRPr="006A74F8">
        <w:t xml:space="preserve"> uses </w:t>
      </w:r>
      <w:r w:rsidRPr="006A74F8" w:rsidDel="003D36B6">
        <w:t xml:space="preserve">exemptions </w:t>
      </w:r>
      <w:r w:rsidRPr="006A74F8">
        <w:t>and</w:t>
      </w:r>
      <w:r w:rsidR="00536F24" w:rsidRPr="006A74F8" w:rsidDel="003D36B6">
        <w:t xml:space="preserve"> </w:t>
      </w:r>
      <w:r w:rsidRPr="006A74F8">
        <w:t>administrative solutions not covered by the legislation.</w:t>
      </w:r>
      <w:r w:rsidRPr="006A74F8">
        <w:rPr>
          <w:b/>
        </w:rPr>
        <w:t xml:space="preserve"> </w:t>
      </w:r>
    </w:p>
    <w:p w:rsidR="00551121" w:rsidRPr="006A74F8" w:rsidRDefault="002D0B5F" w:rsidP="00FD7AC9">
      <w:pPr>
        <w:keepNext/>
        <w:spacing w:line="240" w:lineRule="auto"/>
        <w:rPr>
          <w:b/>
        </w:rPr>
      </w:pPr>
      <w:r w:rsidRPr="006A74F8">
        <w:rPr>
          <w:b/>
        </w:rPr>
        <w:t>Outcome</w:t>
      </w:r>
      <w:r w:rsidRPr="006A74F8">
        <w:t xml:space="preserve">: The </w:t>
      </w:r>
      <w:r w:rsidR="007720D5" w:rsidRPr="006A74F8">
        <w:t xml:space="preserve">legislative </w:t>
      </w:r>
      <w:r w:rsidR="00C779B8" w:rsidRPr="006A74F8">
        <w:t xml:space="preserve">framework will continue as is, and </w:t>
      </w:r>
      <w:r w:rsidRPr="006A74F8">
        <w:t xml:space="preserve">with its current limitations. An increasing number of </w:t>
      </w:r>
      <w:r w:rsidR="00445281" w:rsidRPr="006A74F8">
        <w:t>instrument</w:t>
      </w:r>
      <w:r w:rsidRPr="006A74F8">
        <w:t xml:space="preserve"> and</w:t>
      </w:r>
      <w:r w:rsidR="00536F24" w:rsidRPr="006A74F8">
        <w:t xml:space="preserve"> measurement</w:t>
      </w:r>
      <w:r w:rsidRPr="006A74F8">
        <w:t xml:space="preserve"> applications will not be </w:t>
      </w:r>
      <w:r w:rsidR="00445281" w:rsidRPr="006A74F8">
        <w:t xml:space="preserve">properly </w:t>
      </w:r>
      <w:r w:rsidRPr="006A74F8">
        <w:t>covered by the Act as technology evolves</w:t>
      </w:r>
      <w:r w:rsidR="00445281" w:rsidRPr="006A74F8">
        <w:t xml:space="preserve"> and</w:t>
      </w:r>
      <w:r w:rsidR="00FE45E6" w:rsidRPr="006A74F8">
        <w:t xml:space="preserve"> practices change</w:t>
      </w:r>
      <w:r w:rsidRPr="006A74F8">
        <w:t>.</w:t>
      </w:r>
    </w:p>
    <w:p w:rsidR="006E137F" w:rsidRPr="006A74F8" w:rsidRDefault="006E137F" w:rsidP="00AB6BFA">
      <w:pPr>
        <w:pStyle w:val="Heading3"/>
      </w:pPr>
      <w:bookmarkStart w:id="1237" w:name="_Toc63062585"/>
      <w:bookmarkStart w:id="1238" w:name="_Toc64558449"/>
      <w:bookmarkStart w:id="1239" w:name="_Toc64557469"/>
      <w:bookmarkStart w:id="1240" w:name="_Toc64562194"/>
      <w:bookmarkStart w:id="1241" w:name="_Toc64562450"/>
      <w:bookmarkStart w:id="1242" w:name="_Toc64640236"/>
      <w:bookmarkStart w:id="1243" w:name="_Toc64641212"/>
      <w:bookmarkStart w:id="1244" w:name="_Toc64647154"/>
      <w:bookmarkStart w:id="1245" w:name="_Toc64888320"/>
      <w:bookmarkStart w:id="1246" w:name="_Toc64888700"/>
      <w:bookmarkStart w:id="1247" w:name="_Toc64892975"/>
      <w:bookmarkStart w:id="1248" w:name="_Toc64895626"/>
      <w:bookmarkStart w:id="1249" w:name="_Toc64900833"/>
      <w:bookmarkStart w:id="1250" w:name="_Toc64903099"/>
      <w:bookmarkStart w:id="1251" w:name="_Toc64904038"/>
      <w:bookmarkStart w:id="1252" w:name="_Toc64904260"/>
      <w:bookmarkStart w:id="1253" w:name="_Toc64904703"/>
      <w:bookmarkStart w:id="1254" w:name="_Toc64905217"/>
      <w:bookmarkStart w:id="1255" w:name="_Toc64963994"/>
      <w:bookmarkStart w:id="1256" w:name="_Toc64974592"/>
      <w:bookmarkStart w:id="1257" w:name="_Toc64976293"/>
      <w:bookmarkStart w:id="1258" w:name="_Toc65149667"/>
      <w:bookmarkStart w:id="1259" w:name="_Toc65163439"/>
      <w:bookmarkStart w:id="1260" w:name="_Toc65491078"/>
      <w:bookmarkStart w:id="1261" w:name="_Toc65504814"/>
      <w:bookmarkStart w:id="1262" w:name="_Toc65757897"/>
      <w:bookmarkStart w:id="1263" w:name="_Toc65769492"/>
      <w:bookmarkStart w:id="1264" w:name="_Toc65766860"/>
      <w:bookmarkStart w:id="1265" w:name="_Toc65772634"/>
      <w:bookmarkStart w:id="1266" w:name="_Toc66435692"/>
      <w:bookmarkStart w:id="1267" w:name="_Toc66436481"/>
      <w:bookmarkStart w:id="1268" w:name="_Toc66437692"/>
      <w:bookmarkStart w:id="1269" w:name="_Toc66440031"/>
      <w:bookmarkStart w:id="1270" w:name="_Toc66442234"/>
      <w:bookmarkStart w:id="1271" w:name="_Toc66451903"/>
      <w:bookmarkStart w:id="1272" w:name="_Toc66459180"/>
      <w:bookmarkStart w:id="1273" w:name="_Toc66460234"/>
      <w:r w:rsidRPr="006A74F8">
        <w:t xml:space="preserve">Option 1 – Streamline with </w:t>
      </w:r>
      <w:r w:rsidR="00F0659D" w:rsidRPr="006A74F8">
        <w:t>m</w:t>
      </w:r>
      <w:r w:rsidRPr="006A74F8">
        <w:t xml:space="preserve">inimal </w:t>
      </w:r>
      <w:r w:rsidR="00F0659D" w:rsidRPr="006A74F8">
        <w:t>c</w:t>
      </w:r>
      <w:r w:rsidRPr="006A74F8">
        <w:t>hange</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rsidR="00320771" w:rsidRPr="006A74F8" w:rsidRDefault="00320771" w:rsidP="00FD7AC9">
      <w:bookmarkStart w:id="1274" w:name="_Toc61338674"/>
      <w:bookmarkStart w:id="1275" w:name="_Toc63062586"/>
      <w:r w:rsidRPr="006A74F8">
        <w:t xml:space="preserve">This option enhances the current </w:t>
      </w:r>
      <w:r w:rsidR="007720D5" w:rsidRPr="006A74F8">
        <w:t xml:space="preserve">legislation </w:t>
      </w:r>
      <w:r w:rsidRPr="006A74F8">
        <w:t xml:space="preserve">and aligns it to current international </w:t>
      </w:r>
      <w:r w:rsidR="00765BEE" w:rsidRPr="006A74F8">
        <w:rPr>
          <w:rFonts w:eastAsia="Times New Roman"/>
          <w:color w:val="000000" w:themeColor="text1"/>
          <w:lang w:eastAsia="en-AU"/>
        </w:rPr>
        <w:t xml:space="preserve">technology and measurement </w:t>
      </w:r>
      <w:r w:rsidRPr="006A74F8">
        <w:t xml:space="preserve">practices. </w:t>
      </w:r>
      <w:r w:rsidR="007602F2" w:rsidRPr="006A74F8">
        <w:t xml:space="preserve">It would have the following characteristics: </w:t>
      </w:r>
    </w:p>
    <w:p w:rsidR="007D6811" w:rsidRPr="006A74F8" w:rsidRDefault="007D6811" w:rsidP="00FD7AC9">
      <w:r w:rsidRPr="006A74F8">
        <w:rPr>
          <w:b/>
        </w:rPr>
        <w:t>Approach:</w:t>
      </w:r>
      <w:r w:rsidRPr="006A74F8">
        <w:t xml:space="preserve"> Fix known issues with the current framework, and largely maintain the existing approach and scope of regulation:</w:t>
      </w:r>
    </w:p>
    <w:p w:rsidR="007D6811" w:rsidRPr="006A74F8" w:rsidRDefault="007D6811" w:rsidP="00D3530D">
      <w:pPr>
        <w:pStyle w:val="ListParagraph"/>
        <w:numPr>
          <w:ilvl w:val="0"/>
          <w:numId w:val="35"/>
        </w:numPr>
        <w:spacing w:line="240" w:lineRule="auto"/>
      </w:pPr>
      <w:r w:rsidRPr="006A74F8">
        <w:t xml:space="preserve">Additional </w:t>
      </w:r>
      <w:r w:rsidR="006A33D8" w:rsidRPr="006A74F8">
        <w:t>mechanisms</w:t>
      </w:r>
      <w:r w:rsidRPr="006A74F8">
        <w:t xml:space="preserve"> will be provided for the Chief Metrologist to determine other references to support accurate and reliable measurement beyond traditional ‘weights and measures’, particularly for chemical, biological and other complex measurements.</w:t>
      </w:r>
    </w:p>
    <w:p w:rsidR="007D6811" w:rsidRPr="006A74F8" w:rsidRDefault="007D6811" w:rsidP="00D3530D">
      <w:pPr>
        <w:pStyle w:val="ListParagraph"/>
        <w:numPr>
          <w:ilvl w:val="0"/>
          <w:numId w:val="35"/>
        </w:numPr>
        <w:spacing w:line="240" w:lineRule="auto"/>
      </w:pPr>
      <w:r w:rsidRPr="006A74F8">
        <w:t>The current pattern approval and verification requirements for measuring instruments used in trade will be largely preserved</w:t>
      </w:r>
      <w:r w:rsidR="00E201E4" w:rsidRPr="006A74F8">
        <w:t>. T</w:t>
      </w:r>
      <w:r w:rsidRPr="006A74F8">
        <w:t xml:space="preserve">he Chief Metrologist will have the </w:t>
      </w:r>
      <w:r w:rsidR="00FF15A3" w:rsidRPr="006A74F8">
        <w:t>ability</w:t>
      </w:r>
      <w:r w:rsidRPr="006A74F8">
        <w:t xml:space="preserve"> to grant exemptions for particular </w:t>
      </w:r>
      <w:r w:rsidR="002B30D5" w:rsidRPr="006A74F8">
        <w:t xml:space="preserve">measuring </w:t>
      </w:r>
      <w:r w:rsidRPr="006A74F8">
        <w:t xml:space="preserve">instrument types to provide some flexibility. Verification marks </w:t>
      </w:r>
      <w:r w:rsidR="00C779B8" w:rsidRPr="006A74F8">
        <w:t>could</w:t>
      </w:r>
      <w:r w:rsidRPr="006A74F8">
        <w:t xml:space="preserve"> be either physical or digital.</w:t>
      </w:r>
    </w:p>
    <w:p w:rsidR="00E201E4" w:rsidRPr="006A74F8" w:rsidRDefault="00E201E4" w:rsidP="00D3530D">
      <w:pPr>
        <w:pStyle w:val="ListParagraph"/>
        <w:numPr>
          <w:ilvl w:val="0"/>
          <w:numId w:val="35"/>
        </w:numPr>
        <w:spacing w:line="240" w:lineRule="auto"/>
      </w:pPr>
      <w:r w:rsidRPr="006A74F8">
        <w:t xml:space="preserve">Existing exemptions </w:t>
      </w:r>
      <w:r w:rsidR="00A10508" w:rsidRPr="006A74F8">
        <w:t xml:space="preserve">in the Act </w:t>
      </w:r>
      <w:r w:rsidRPr="006A74F8">
        <w:t>will be maintained.</w:t>
      </w:r>
    </w:p>
    <w:p w:rsidR="007D6811" w:rsidRPr="006A74F8" w:rsidRDefault="00116532" w:rsidP="00811E21">
      <w:pPr>
        <w:pStyle w:val="ListParagraph"/>
        <w:numPr>
          <w:ilvl w:val="0"/>
          <w:numId w:val="35"/>
        </w:numPr>
        <w:spacing w:line="240" w:lineRule="auto"/>
      </w:pPr>
      <w:r w:rsidRPr="006A74F8">
        <w:t>Presentation requirements of the measurement mark on</w:t>
      </w:r>
      <w:r w:rsidR="007D6811" w:rsidRPr="006A74F8">
        <w:t xml:space="preserve"> packaged goods will be simplified</w:t>
      </w:r>
      <w:r w:rsidRPr="006A74F8">
        <w:t>. Introduc</w:t>
      </w:r>
      <w:r w:rsidR="00757514" w:rsidRPr="006A74F8">
        <w:t>tion of</w:t>
      </w:r>
      <w:r w:rsidRPr="006A74F8">
        <w:t xml:space="preserve"> an exemption for cosmetic products such that the measurement mark is prominent and legible.</w:t>
      </w:r>
      <w:r w:rsidR="00811E21" w:rsidRPr="006A74F8">
        <w:t xml:space="preserve"> </w:t>
      </w:r>
      <w:r w:rsidR="00811E21" w:rsidRPr="006A74F8">
        <w:rPr>
          <w:rFonts w:ascii="Calibri" w:hAnsi="Calibri" w:cs="Calibri"/>
          <w:color w:val="000000"/>
          <w:lang w:val="en-US"/>
        </w:rPr>
        <w:t>Ability to grant exemptions and deemed compliance pathways, or introduce additional requirements (where there is a need) for categories of products under the regulations.</w:t>
      </w:r>
    </w:p>
    <w:p w:rsidR="007D6811" w:rsidRPr="006A74F8" w:rsidRDefault="007D6811" w:rsidP="00D3530D">
      <w:pPr>
        <w:pStyle w:val="ListParagraph"/>
        <w:numPr>
          <w:ilvl w:val="0"/>
          <w:numId w:val="35"/>
        </w:numPr>
        <w:spacing w:line="240" w:lineRule="auto"/>
      </w:pPr>
      <w:r w:rsidRPr="006A74F8">
        <w:t xml:space="preserve">Prohibition on </w:t>
      </w:r>
      <w:r w:rsidR="004024CD" w:rsidRPr="006A74F8">
        <w:t xml:space="preserve">short measure to be </w:t>
      </w:r>
      <w:r w:rsidR="001A68CC" w:rsidRPr="006A74F8">
        <w:t>extended</w:t>
      </w:r>
      <w:r w:rsidR="004024CD" w:rsidRPr="006A74F8">
        <w:t xml:space="preserve"> to cover </w:t>
      </w:r>
      <w:r w:rsidRPr="006A74F8">
        <w:t xml:space="preserve">false </w:t>
      </w:r>
      <w:r w:rsidR="00B177BB" w:rsidRPr="006A74F8">
        <w:t xml:space="preserve">or </w:t>
      </w:r>
      <w:r w:rsidRPr="006A74F8">
        <w:t>misleading measurements for the sale of goods</w:t>
      </w:r>
      <w:r w:rsidR="004024CD" w:rsidRPr="006A74F8">
        <w:t xml:space="preserve">. Coverage also expanded </w:t>
      </w:r>
      <w:r w:rsidRPr="006A74F8">
        <w:t>to include purchase of goods (for example, refunds on can and bottle recycling</w:t>
      </w:r>
      <w:r w:rsidR="00B96CC3" w:rsidRPr="006A74F8">
        <w:t>, scrap metal recycling and gold buying</w:t>
      </w:r>
      <w:r w:rsidRPr="006A74F8">
        <w:t>).</w:t>
      </w:r>
    </w:p>
    <w:p w:rsidR="00484020" w:rsidRPr="006A74F8" w:rsidRDefault="003B77DA" w:rsidP="00D3530D">
      <w:pPr>
        <w:pStyle w:val="ListParagraph"/>
        <w:numPr>
          <w:ilvl w:val="0"/>
          <w:numId w:val="35"/>
        </w:numPr>
        <w:spacing w:line="240" w:lineRule="auto"/>
        <w:ind w:left="714" w:hanging="357"/>
      </w:pPr>
      <w:r w:rsidRPr="006A74F8">
        <w:t xml:space="preserve">Consolidating </w:t>
      </w:r>
      <w:r w:rsidR="00AA3C76" w:rsidRPr="006A74F8">
        <w:t>6</w:t>
      </w:r>
      <w:r w:rsidR="001A68CC" w:rsidRPr="006A74F8">
        <w:t xml:space="preserve"> </w:t>
      </w:r>
      <w:r w:rsidR="00E60AA6" w:rsidRPr="006A74F8">
        <w:t>ATP</w:t>
      </w:r>
      <w:r w:rsidR="001A68CC" w:rsidRPr="006A74F8">
        <w:t xml:space="preserve"> appointment types </w:t>
      </w:r>
      <w:r w:rsidR="008F2F71" w:rsidRPr="006A74F8">
        <w:t xml:space="preserve">into </w:t>
      </w:r>
      <w:r w:rsidR="00AA3C76" w:rsidRPr="006A74F8">
        <w:t>4</w:t>
      </w:r>
      <w:r w:rsidR="00E60AA6" w:rsidRPr="006A74F8">
        <w:t>,</w:t>
      </w:r>
      <w:r w:rsidR="008F2F71" w:rsidRPr="006A74F8">
        <w:t xml:space="preserve"> as well as introducing additional flexibility for appointments and competency.</w:t>
      </w:r>
      <w:r w:rsidR="001A68CC" w:rsidRPr="006A74F8">
        <w:t xml:space="preserve"> </w:t>
      </w:r>
      <w:r w:rsidR="007D6811" w:rsidRPr="006A74F8">
        <w:t xml:space="preserve">Servicing Licensees </w:t>
      </w:r>
      <w:r w:rsidRPr="006A74F8">
        <w:t xml:space="preserve">are merged with </w:t>
      </w:r>
      <w:r w:rsidR="007D6811" w:rsidRPr="006A74F8">
        <w:t>Utility Meter Verifiers</w:t>
      </w:r>
      <w:r w:rsidR="006D4F4C" w:rsidRPr="006A74F8">
        <w:t xml:space="preserve"> (UMVs)</w:t>
      </w:r>
      <w:r w:rsidRPr="006A74F8">
        <w:t>,</w:t>
      </w:r>
      <w:r w:rsidR="007D6811" w:rsidRPr="006A74F8">
        <w:t xml:space="preserve"> </w:t>
      </w:r>
      <w:r w:rsidR="001A68CC" w:rsidRPr="006A74F8">
        <w:t>while</w:t>
      </w:r>
      <w:r w:rsidR="007D6811" w:rsidRPr="006A74F8">
        <w:t xml:space="preserve"> </w:t>
      </w:r>
      <w:r w:rsidR="009821F2" w:rsidRPr="006A74F8">
        <w:t>Certifying Authorities and</w:t>
      </w:r>
      <w:r w:rsidR="001A68CC" w:rsidRPr="006A74F8">
        <w:t xml:space="preserve"> Verifying Authorities </w:t>
      </w:r>
      <w:r w:rsidRPr="006A74F8">
        <w:t xml:space="preserve">are merged into a single appointment. </w:t>
      </w:r>
      <w:r w:rsidR="009821F2" w:rsidRPr="006A74F8">
        <w:t xml:space="preserve">Approving Authorities and </w:t>
      </w:r>
      <w:r w:rsidR="00316701" w:rsidRPr="006A74F8">
        <w:t>Public Weighbridge Licen</w:t>
      </w:r>
      <w:r w:rsidR="00F34CC7" w:rsidRPr="006A74F8">
        <w:t>s</w:t>
      </w:r>
      <w:r w:rsidR="00D03D3C" w:rsidRPr="006A74F8">
        <w:t>e</w:t>
      </w:r>
      <w:r w:rsidR="009654C4" w:rsidRPr="006A74F8">
        <w:t>es</w:t>
      </w:r>
      <w:r w:rsidR="008F2F71" w:rsidRPr="006A74F8">
        <w:t xml:space="preserve"> remain a</w:t>
      </w:r>
      <w:r w:rsidR="009821F2" w:rsidRPr="006A74F8">
        <w:t>s</w:t>
      </w:r>
      <w:r w:rsidR="008F2F71" w:rsidRPr="006A74F8">
        <w:t xml:space="preserve"> separate appointment type</w:t>
      </w:r>
      <w:r w:rsidR="009821F2" w:rsidRPr="006A74F8">
        <w:t>s</w:t>
      </w:r>
      <w:r w:rsidR="008F2F71" w:rsidRPr="006A74F8">
        <w:t xml:space="preserve"> </w:t>
      </w:r>
      <w:r w:rsidR="00246E9D" w:rsidRPr="006A74F8">
        <w:t>and</w:t>
      </w:r>
      <w:r w:rsidR="008F2F71" w:rsidRPr="006A74F8">
        <w:t xml:space="preserve"> prescription</w:t>
      </w:r>
      <w:r w:rsidR="00246E9D" w:rsidRPr="006A74F8">
        <w:t xml:space="preserve"> is reduced</w:t>
      </w:r>
      <w:r w:rsidR="009821F2" w:rsidRPr="006A74F8">
        <w:t xml:space="preserve"> for </w:t>
      </w:r>
      <w:r w:rsidR="00246E9D" w:rsidRPr="006A74F8">
        <w:t>public weighbridge</w:t>
      </w:r>
      <w:r w:rsidR="009821F2" w:rsidRPr="006A74F8">
        <w:t>s</w:t>
      </w:r>
      <w:r w:rsidR="008F2F71" w:rsidRPr="006A74F8">
        <w:t>.</w:t>
      </w:r>
    </w:p>
    <w:p w:rsidR="007D6811" w:rsidRPr="006A74F8" w:rsidRDefault="00484020" w:rsidP="00D3530D">
      <w:pPr>
        <w:pStyle w:val="ListParagraph"/>
        <w:numPr>
          <w:ilvl w:val="0"/>
          <w:numId w:val="35"/>
        </w:numPr>
        <w:spacing w:line="240" w:lineRule="auto"/>
      </w:pPr>
      <w:r w:rsidRPr="006A74F8">
        <w:t>Introduction of additional compliance and enforcement tools including civil penalties, tailored infringement notice penalties and additional administrative compliance options.</w:t>
      </w:r>
    </w:p>
    <w:p w:rsidR="007D6811" w:rsidRPr="006A74F8" w:rsidRDefault="007D6811" w:rsidP="00FD7AC9">
      <w:r w:rsidRPr="006A74F8">
        <w:rPr>
          <w:b/>
        </w:rPr>
        <w:t>Legislation</w:t>
      </w:r>
      <w:r w:rsidRPr="006A74F8">
        <w:t>: Under this option, the legislation will be simplified, streamlined and phrased to be more technology neutral. It will be supported by guidance material issued to assist in its interpretation. Prescription will be maintained where required (for example, N</w:t>
      </w:r>
      <w:r w:rsidR="00A333D7" w:rsidRPr="006A74F8">
        <w:t>ITP</w:t>
      </w:r>
      <w:r w:rsidRPr="006A74F8">
        <w:t>s and certain pattern approval requirements). Legislation will be brought up to date with current technology and measurement practices but subsequent amendment</w:t>
      </w:r>
      <w:r w:rsidR="00E201E4" w:rsidRPr="006A74F8">
        <w:t>s</w:t>
      </w:r>
      <w:r w:rsidRPr="006A74F8">
        <w:t xml:space="preserve"> would be required to reflect future changes in technology and measurement practices.</w:t>
      </w:r>
    </w:p>
    <w:p w:rsidR="007D6811" w:rsidRPr="006A74F8" w:rsidRDefault="007D6811" w:rsidP="00FD7AC9">
      <w:r w:rsidRPr="006A74F8">
        <w:rPr>
          <w:b/>
        </w:rPr>
        <w:t>Outcome</w:t>
      </w:r>
      <w:r w:rsidRPr="006A74F8">
        <w:t>: The framework is improved for the present time, with limited change in scope and cost, but not future proofed beyond the near term.</w:t>
      </w:r>
    </w:p>
    <w:p w:rsidR="006E137F" w:rsidRPr="006A74F8" w:rsidRDefault="006E137F" w:rsidP="002F6810">
      <w:pPr>
        <w:pStyle w:val="Heading3"/>
      </w:pPr>
      <w:bookmarkStart w:id="1276" w:name="_Toc64558450"/>
      <w:bookmarkStart w:id="1277" w:name="_Toc64557470"/>
      <w:bookmarkStart w:id="1278" w:name="_Toc64562195"/>
      <w:bookmarkStart w:id="1279" w:name="_Toc64562451"/>
      <w:bookmarkStart w:id="1280" w:name="_Toc64640237"/>
      <w:bookmarkStart w:id="1281" w:name="_Toc64641213"/>
      <w:bookmarkStart w:id="1282" w:name="_Toc64647155"/>
      <w:bookmarkStart w:id="1283" w:name="_Toc64888321"/>
      <w:bookmarkStart w:id="1284" w:name="_Toc64888701"/>
      <w:bookmarkStart w:id="1285" w:name="_Toc64892976"/>
      <w:bookmarkStart w:id="1286" w:name="_Toc64895627"/>
      <w:bookmarkStart w:id="1287" w:name="_Toc64900834"/>
      <w:bookmarkStart w:id="1288" w:name="_Toc64903100"/>
      <w:bookmarkStart w:id="1289" w:name="_Toc64904039"/>
      <w:bookmarkStart w:id="1290" w:name="_Toc64904261"/>
      <w:bookmarkStart w:id="1291" w:name="_Toc64904704"/>
      <w:bookmarkStart w:id="1292" w:name="_Toc64905218"/>
      <w:bookmarkStart w:id="1293" w:name="_Toc64963995"/>
      <w:bookmarkStart w:id="1294" w:name="_Toc64974593"/>
      <w:bookmarkStart w:id="1295" w:name="_Toc64976294"/>
      <w:bookmarkStart w:id="1296" w:name="_Toc65149668"/>
      <w:bookmarkStart w:id="1297" w:name="_Toc65163440"/>
      <w:bookmarkStart w:id="1298" w:name="_Toc65491079"/>
      <w:bookmarkStart w:id="1299" w:name="_Toc65504815"/>
      <w:bookmarkStart w:id="1300" w:name="_Toc65757898"/>
      <w:bookmarkStart w:id="1301" w:name="_Toc65769493"/>
      <w:bookmarkStart w:id="1302" w:name="_Toc65766861"/>
      <w:bookmarkStart w:id="1303" w:name="_Toc65772635"/>
      <w:bookmarkStart w:id="1304" w:name="_Toc66435693"/>
      <w:bookmarkStart w:id="1305" w:name="_Toc66436482"/>
      <w:bookmarkStart w:id="1306" w:name="_Toc66437693"/>
      <w:bookmarkStart w:id="1307" w:name="_Toc66440032"/>
      <w:bookmarkStart w:id="1308" w:name="_Toc66442235"/>
      <w:bookmarkStart w:id="1309" w:name="_Toc66451904"/>
      <w:bookmarkStart w:id="1310" w:name="_Toc66459181"/>
      <w:bookmarkStart w:id="1311" w:name="_Toc66460235"/>
      <w:r w:rsidRPr="006A74F8">
        <w:lastRenderedPageBreak/>
        <w:t xml:space="preserve">Option 2 – Flexible and </w:t>
      </w:r>
      <w:r w:rsidR="00F0659D" w:rsidRPr="006A74F8">
        <w:t>future f</w:t>
      </w:r>
      <w:r w:rsidRPr="006A74F8">
        <w:t>ocused</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rsidR="007D6811" w:rsidRPr="006A74F8" w:rsidRDefault="007D6811" w:rsidP="00FD7AC9">
      <w:bookmarkStart w:id="1312" w:name="_Toc61338675"/>
      <w:bookmarkStart w:id="1313" w:name="_Toc63062587"/>
      <w:bookmarkStart w:id="1314" w:name="_Toc64558451"/>
      <w:bookmarkStart w:id="1315" w:name="_Toc64557471"/>
      <w:bookmarkStart w:id="1316" w:name="_Toc64562196"/>
      <w:bookmarkStart w:id="1317" w:name="_Toc64562452"/>
      <w:bookmarkStart w:id="1318" w:name="_Toc64640238"/>
      <w:bookmarkStart w:id="1319" w:name="_Toc64641214"/>
      <w:bookmarkStart w:id="1320" w:name="_Toc64647156"/>
      <w:bookmarkStart w:id="1321" w:name="_Toc64888322"/>
      <w:bookmarkStart w:id="1322" w:name="_Toc64888702"/>
      <w:bookmarkStart w:id="1323" w:name="_Toc64892977"/>
      <w:bookmarkStart w:id="1324" w:name="_Toc64895628"/>
      <w:bookmarkStart w:id="1325" w:name="_Toc64900835"/>
      <w:bookmarkStart w:id="1326" w:name="_Toc64903101"/>
      <w:bookmarkStart w:id="1327" w:name="_Toc64904040"/>
      <w:bookmarkStart w:id="1328" w:name="_Toc64904262"/>
      <w:bookmarkStart w:id="1329" w:name="_Toc64904705"/>
      <w:bookmarkStart w:id="1330" w:name="_Toc64905219"/>
      <w:bookmarkStart w:id="1331" w:name="_Toc64963996"/>
      <w:bookmarkStart w:id="1332" w:name="_Toc64974594"/>
      <w:bookmarkStart w:id="1333" w:name="_Toc64976295"/>
      <w:bookmarkStart w:id="1334" w:name="_Toc65149669"/>
      <w:bookmarkStart w:id="1335" w:name="_Toc65163441"/>
      <w:bookmarkStart w:id="1336" w:name="_Toc65491080"/>
      <w:bookmarkStart w:id="1337" w:name="_Toc65504816"/>
      <w:bookmarkStart w:id="1338" w:name="_Toc65757899"/>
      <w:bookmarkStart w:id="1339" w:name="_Toc65769494"/>
      <w:bookmarkStart w:id="1340" w:name="_Toc65766862"/>
      <w:bookmarkStart w:id="1341" w:name="_Toc65772636"/>
      <w:bookmarkStart w:id="1342" w:name="_Toc66435694"/>
      <w:bookmarkStart w:id="1343" w:name="_Toc66436483"/>
      <w:bookmarkStart w:id="1344" w:name="_Toc66437694"/>
      <w:r w:rsidRPr="006A74F8">
        <w:t xml:space="preserve">This option enhances the measurement framework by making it significantly more flexible and adaptive through additional mechanisms that enable a fit for purpose approach when applying regulations. The framework will appropriately engage with emerging and future measurement technologies and techniques. It would have the following characteristics: </w:t>
      </w:r>
    </w:p>
    <w:p w:rsidR="007D6811" w:rsidRPr="006A74F8" w:rsidRDefault="007D6811" w:rsidP="00FD7AC9">
      <w:r w:rsidRPr="006A74F8">
        <w:rPr>
          <w:b/>
        </w:rPr>
        <w:t>Approach</w:t>
      </w:r>
      <w:r w:rsidRPr="006A74F8">
        <w:t>: Apply a flexible approach to regulation, supporting current needs and future needs as they arise:</w:t>
      </w:r>
    </w:p>
    <w:p w:rsidR="007D6811" w:rsidRPr="006A74F8" w:rsidRDefault="00755D1F" w:rsidP="00D3530D">
      <w:pPr>
        <w:pStyle w:val="ListParagraph"/>
        <w:numPr>
          <w:ilvl w:val="0"/>
          <w:numId w:val="35"/>
        </w:numPr>
        <w:spacing w:line="240" w:lineRule="auto"/>
      </w:pPr>
      <w:r w:rsidRPr="006A74F8">
        <w:t xml:space="preserve">While pattern approval </w:t>
      </w:r>
      <w:r w:rsidR="00677F91" w:rsidRPr="006A74F8">
        <w:t xml:space="preserve">and verification requirements </w:t>
      </w:r>
      <w:r w:rsidRPr="006A74F8">
        <w:t xml:space="preserve">will remain the </w:t>
      </w:r>
      <w:r w:rsidR="008C384A" w:rsidRPr="006A74F8">
        <w:t>default</w:t>
      </w:r>
      <w:r w:rsidRPr="006A74F8">
        <w:t xml:space="preserve"> approach</w:t>
      </w:r>
      <w:r w:rsidR="00677F91" w:rsidRPr="006A74F8">
        <w:t xml:space="preserve"> for regulating instruments used in trade</w:t>
      </w:r>
      <w:r w:rsidRPr="006A74F8">
        <w:t xml:space="preserve">, </w:t>
      </w:r>
      <w:r w:rsidR="00180A1E" w:rsidRPr="006A74F8">
        <w:t xml:space="preserve">the legislation will include mechanisms for the Chief Metrologist to introduce </w:t>
      </w:r>
      <w:r w:rsidRPr="006A74F8">
        <w:t>a</w:t>
      </w:r>
      <w:r w:rsidR="007D6811" w:rsidRPr="006A74F8">
        <w:t xml:space="preserve">dditional </w:t>
      </w:r>
      <w:r w:rsidR="00E201E4" w:rsidRPr="006A74F8">
        <w:t xml:space="preserve">measuring instrument control </w:t>
      </w:r>
      <w:r w:rsidR="007D6811" w:rsidRPr="006A74F8">
        <w:t xml:space="preserve">mechanisms </w:t>
      </w:r>
      <w:r w:rsidR="008C384A" w:rsidRPr="006A74F8">
        <w:t>designed to provide support and confidence in innovation</w:t>
      </w:r>
      <w:r w:rsidRPr="006A74F8">
        <w:t xml:space="preserve">. </w:t>
      </w:r>
      <w:r w:rsidR="007F3833" w:rsidRPr="006A74F8">
        <w:t xml:space="preserve">These alternative controls may be applied in certain circumstances, for example where pattern approval is not be possible or where it may not be the most suitable approach, </w:t>
      </w:r>
      <w:r w:rsidRPr="006A74F8">
        <w:t>instead of applying a one-size-fits-all approach across all instrument types</w:t>
      </w:r>
      <w:r w:rsidR="007F3833" w:rsidRPr="006A74F8">
        <w:t>.</w:t>
      </w:r>
      <w:r w:rsidR="007D6811" w:rsidRPr="006A74F8">
        <w:t xml:space="preserve"> This </w:t>
      </w:r>
      <w:r w:rsidR="00677F91" w:rsidRPr="006A74F8">
        <w:t xml:space="preserve">will </w:t>
      </w:r>
      <w:r w:rsidR="007D6811" w:rsidRPr="006A74F8">
        <w:t>allow the framework to evolve and remain fit for purpose over time</w:t>
      </w:r>
      <w:r w:rsidRPr="006A74F8">
        <w:t xml:space="preserve">. </w:t>
      </w:r>
    </w:p>
    <w:p w:rsidR="007D6811" w:rsidRPr="006A74F8" w:rsidRDefault="007D6811" w:rsidP="00D3530D">
      <w:pPr>
        <w:pStyle w:val="ListParagraph"/>
        <w:numPr>
          <w:ilvl w:val="0"/>
          <w:numId w:val="35"/>
        </w:numPr>
        <w:spacing w:line="240" w:lineRule="auto"/>
      </w:pPr>
      <w:r w:rsidRPr="006A74F8">
        <w:t>Current legislative exemptions</w:t>
      </w:r>
      <w:r w:rsidR="00C779B8" w:rsidRPr="006A74F8">
        <w:t xml:space="preserve"> will be maintained initially. These a</w:t>
      </w:r>
      <w:r w:rsidRPr="006A74F8">
        <w:t xml:space="preserve">rrangements </w:t>
      </w:r>
      <w:r w:rsidR="00C779B8" w:rsidRPr="006A74F8" w:rsidDel="0090331D">
        <w:t>will</w:t>
      </w:r>
      <w:r w:rsidRPr="006A74F8">
        <w:t xml:space="preserve"> be reviewed over time following data collection, risk assessment and appropriate consultation</w:t>
      </w:r>
      <w:r w:rsidR="0090331D" w:rsidRPr="006A74F8">
        <w:t xml:space="preserve"> to ensure they remain the most suitable approach, or to determine </w:t>
      </w:r>
      <w:r w:rsidR="00840D3F" w:rsidRPr="006A74F8">
        <w:t>whether</w:t>
      </w:r>
      <w:r w:rsidR="0090331D" w:rsidRPr="006A74F8">
        <w:t xml:space="preserve"> alternative arrangements might be more </w:t>
      </w:r>
      <w:r w:rsidR="00013319" w:rsidRPr="006A74F8">
        <w:t>appropriate</w:t>
      </w:r>
      <w:r w:rsidR="0090331D" w:rsidRPr="006A74F8">
        <w:t>.</w:t>
      </w:r>
    </w:p>
    <w:p w:rsidR="00BD7729" w:rsidRPr="006A74F8" w:rsidRDefault="00BD7729" w:rsidP="00D3530D">
      <w:pPr>
        <w:pStyle w:val="ListParagraph"/>
        <w:numPr>
          <w:ilvl w:val="0"/>
          <w:numId w:val="35"/>
        </w:numPr>
        <w:spacing w:line="240" w:lineRule="auto"/>
      </w:pPr>
      <w:r w:rsidRPr="006A74F8">
        <w:t xml:space="preserve">Principles-based approach to the presentation of the measurement mark on packaged products with limited prescriptive presentational requirements retained. </w:t>
      </w:r>
      <w:r w:rsidRPr="006A74F8">
        <w:rPr>
          <w:rFonts w:ascii="Calibri" w:hAnsi="Calibri" w:cs="Calibri"/>
          <w:color w:val="000000"/>
          <w:lang w:val="en-US"/>
        </w:rPr>
        <w:t xml:space="preserve">Ability to grant exemptions </w:t>
      </w:r>
      <w:r w:rsidR="00E60AA6" w:rsidRPr="006A74F8">
        <w:rPr>
          <w:rFonts w:ascii="Calibri" w:hAnsi="Calibri" w:cs="Calibri"/>
          <w:color w:val="000000"/>
          <w:lang w:val="en-US"/>
        </w:rPr>
        <w:t xml:space="preserve">and deemed compliance pathways, </w:t>
      </w:r>
      <w:r w:rsidRPr="006A74F8">
        <w:rPr>
          <w:rFonts w:ascii="Calibri" w:hAnsi="Calibri" w:cs="Calibri"/>
          <w:color w:val="000000"/>
          <w:lang w:val="en-US"/>
        </w:rPr>
        <w:t xml:space="preserve">or introduce additional requirements (where there is a need) for categories of </w:t>
      </w:r>
      <w:r w:rsidR="009F2E2B" w:rsidRPr="006A74F8">
        <w:rPr>
          <w:rFonts w:ascii="Calibri" w:hAnsi="Calibri" w:cs="Calibri"/>
          <w:color w:val="000000"/>
          <w:lang w:val="en-US"/>
        </w:rPr>
        <w:t xml:space="preserve">products </w:t>
      </w:r>
      <w:r w:rsidRPr="006A74F8">
        <w:rPr>
          <w:rFonts w:ascii="Calibri" w:hAnsi="Calibri" w:cs="Calibri"/>
          <w:color w:val="000000"/>
          <w:lang w:val="en-US"/>
        </w:rPr>
        <w:t>under the regulations.</w:t>
      </w:r>
    </w:p>
    <w:p w:rsidR="007D6811" w:rsidRPr="006A74F8" w:rsidRDefault="00E25326" w:rsidP="00D3530D">
      <w:pPr>
        <w:pStyle w:val="ListParagraph"/>
        <w:numPr>
          <w:ilvl w:val="0"/>
          <w:numId w:val="35"/>
        </w:numPr>
        <w:spacing w:line="240" w:lineRule="auto"/>
      </w:pPr>
      <w:r w:rsidRPr="006A74F8">
        <w:t>Scope coverage for</w:t>
      </w:r>
      <w:r w:rsidR="007D6811" w:rsidRPr="006A74F8">
        <w:t xml:space="preserve"> false </w:t>
      </w:r>
      <w:r w:rsidR="00B177BB" w:rsidRPr="006A74F8">
        <w:t xml:space="preserve">or </w:t>
      </w:r>
      <w:r w:rsidR="007D6811" w:rsidRPr="006A74F8">
        <w:t xml:space="preserve">misleading measurements to </w:t>
      </w:r>
      <w:r w:rsidRPr="006A74F8">
        <w:t xml:space="preserve">include </w:t>
      </w:r>
      <w:r w:rsidR="007D6811" w:rsidRPr="006A74F8">
        <w:t>both sale and purchase of goods (as per option 1) and also extend to services.</w:t>
      </w:r>
    </w:p>
    <w:p w:rsidR="00B77E3A" w:rsidRPr="006A74F8" w:rsidRDefault="00B77E3A" w:rsidP="00B77E3A">
      <w:pPr>
        <w:pStyle w:val="ListParagraph"/>
        <w:numPr>
          <w:ilvl w:val="0"/>
          <w:numId w:val="35"/>
        </w:numPr>
      </w:pPr>
      <w:r w:rsidRPr="006A74F8">
        <w:t xml:space="preserve">The legislation will use a single mechanism to appoint an ATP, authorising them </w:t>
      </w:r>
      <w:r w:rsidR="00A02D30">
        <w:t xml:space="preserve">to </w:t>
      </w:r>
      <w:r w:rsidRPr="006A74F8">
        <w:t>perform certain distinct functions outlined in the regulations. Authorised functions will align with existing ATP categories and a new general category will be introduced to enable performance of “other metrological functions as determined by the Chief Metrologist” to accommodate future needs.</w:t>
      </w:r>
    </w:p>
    <w:p w:rsidR="007D6811" w:rsidRPr="006A74F8" w:rsidRDefault="007D6811" w:rsidP="00D3530D">
      <w:pPr>
        <w:pStyle w:val="ListParagraph"/>
        <w:numPr>
          <w:ilvl w:val="0"/>
          <w:numId w:val="35"/>
        </w:numPr>
        <w:spacing w:line="240" w:lineRule="auto"/>
      </w:pPr>
      <w:r w:rsidRPr="006A74F8">
        <w:t xml:space="preserve">Powers for the Chief Metrologist to </w:t>
      </w:r>
      <w:r w:rsidR="00670B9C" w:rsidRPr="006A74F8">
        <w:t xml:space="preserve">approve </w:t>
      </w:r>
      <w:r w:rsidRPr="006A74F8">
        <w:t>additional trusted measurement reference points (traceability pathways). These are important for supporting reliability and accuracy of measurements used for legal and trade purposes.</w:t>
      </w:r>
    </w:p>
    <w:p w:rsidR="007B3C2A" w:rsidRPr="006A74F8" w:rsidRDefault="007B3C2A" w:rsidP="00D3530D">
      <w:pPr>
        <w:pStyle w:val="ListParagraph"/>
        <w:numPr>
          <w:ilvl w:val="0"/>
          <w:numId w:val="35"/>
        </w:numPr>
        <w:spacing w:line="240" w:lineRule="auto"/>
      </w:pPr>
      <w:r w:rsidRPr="006A74F8">
        <w:t xml:space="preserve">Additional compliance and enforcement tools included (as per option 1), with the ability to accommodate enforceable </w:t>
      </w:r>
      <w:r w:rsidR="006A65A2">
        <w:t>i</w:t>
      </w:r>
      <w:r w:rsidRPr="006A74F8">
        <w:t xml:space="preserve">ndustry </w:t>
      </w:r>
      <w:r w:rsidR="006A65A2">
        <w:t>c</w:t>
      </w:r>
      <w:r w:rsidRPr="006A74F8">
        <w:t xml:space="preserve">odes of </w:t>
      </w:r>
      <w:r w:rsidR="006A65A2">
        <w:t>conduct</w:t>
      </w:r>
      <w:r w:rsidRPr="006A74F8">
        <w:t xml:space="preserve"> and implement recalls on measuring instruments and packaged products.</w:t>
      </w:r>
    </w:p>
    <w:p w:rsidR="00302254" w:rsidRPr="006A74F8" w:rsidRDefault="00302254" w:rsidP="00302254">
      <w:pPr>
        <w:pStyle w:val="ListParagraph"/>
        <w:numPr>
          <w:ilvl w:val="0"/>
          <w:numId w:val="35"/>
        </w:numPr>
        <w:rPr>
          <w:lang w:val="en"/>
        </w:rPr>
      </w:pPr>
      <w:r w:rsidRPr="006A74F8">
        <w:t xml:space="preserve">Provide clear authority for </w:t>
      </w:r>
      <w:r w:rsidR="00CE581B">
        <w:t xml:space="preserve">the </w:t>
      </w:r>
      <w:r w:rsidRPr="006A74F8">
        <w:t>role</w:t>
      </w:r>
      <w:r w:rsidR="00A02D30">
        <w:t xml:space="preserve"> </w:t>
      </w:r>
      <w:r w:rsidRPr="006A74F8">
        <w:t xml:space="preserve">of Government in underpinning accurate and reliable measurement in Australia. Ability to make regulations or other legislative instruments to support this role enables </w:t>
      </w:r>
      <w:r w:rsidR="001E24E3" w:rsidRPr="006A74F8">
        <w:t>greater oversight and coordination of measurement issues, particularly in response to crisis.</w:t>
      </w:r>
    </w:p>
    <w:p w:rsidR="007D6811" w:rsidRPr="006A74F8" w:rsidRDefault="007D6811" w:rsidP="00FD7AC9">
      <w:r w:rsidRPr="006A74F8">
        <w:rPr>
          <w:b/>
        </w:rPr>
        <w:t>Legislation</w:t>
      </w:r>
      <w:r w:rsidRPr="006A74F8">
        <w:t>: The primary legislation will be largely principles-based and provide additional power for purposes of flexibility. Guidance material will supplement principles-based regulation, but prescription may be maintained where required due to risk (for example</w:t>
      </w:r>
      <w:r w:rsidR="00C779B8" w:rsidRPr="006A74F8">
        <w:t xml:space="preserve"> via </w:t>
      </w:r>
      <w:r w:rsidR="00A333D7" w:rsidRPr="006A74F8">
        <w:t>NITPs</w:t>
      </w:r>
      <w:r w:rsidRPr="006A74F8">
        <w:t xml:space="preserve"> and certain pattern approval requirements). Legislation phrased to be technology neutral so that it is able to respond to changing technologies. The legislated traceability framework keeps pace with advances in measurement technology and technique and will not become a barrier for stakeholders</w:t>
      </w:r>
      <w:r w:rsidR="00A10508" w:rsidRPr="006A74F8">
        <w:t xml:space="preserve"> (for example</w:t>
      </w:r>
      <w:r w:rsidR="009C2220" w:rsidRPr="006A74F8">
        <w:t>,</w:t>
      </w:r>
      <w:r w:rsidR="00A10508" w:rsidRPr="006A74F8">
        <w:t xml:space="preserve"> biological and chemical measurements). </w:t>
      </w:r>
    </w:p>
    <w:p w:rsidR="007D6811" w:rsidRPr="006A74F8" w:rsidRDefault="007D6811" w:rsidP="00FD7AC9">
      <w:r w:rsidRPr="006A74F8">
        <w:rPr>
          <w:b/>
        </w:rPr>
        <w:lastRenderedPageBreak/>
        <w:t>Outcome</w:t>
      </w:r>
      <w:r w:rsidRPr="006A74F8">
        <w:t>: The measurement framework maintains measurement confidence and supports industry growth as technology changes, as it has greater flexibility to adapt to future needs.</w:t>
      </w:r>
    </w:p>
    <w:p w:rsidR="006E137F" w:rsidRPr="006A74F8" w:rsidRDefault="006E137F" w:rsidP="002F6810">
      <w:pPr>
        <w:pStyle w:val="Heading3"/>
      </w:pPr>
      <w:bookmarkStart w:id="1345" w:name="_Toc66440033"/>
      <w:bookmarkStart w:id="1346" w:name="_Toc66442236"/>
      <w:bookmarkStart w:id="1347" w:name="_Toc66451905"/>
      <w:bookmarkStart w:id="1348" w:name="_Toc66459182"/>
      <w:bookmarkStart w:id="1349" w:name="_Toc66460236"/>
      <w:r w:rsidRPr="006A74F8">
        <w:t xml:space="preserve">Option 3 – Flexible with </w:t>
      </w:r>
      <w:r w:rsidR="00F0659D" w:rsidRPr="006A74F8">
        <w:t>additional regulatory p</w:t>
      </w:r>
      <w:r w:rsidRPr="006A74F8">
        <w:t>owers</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rsidR="007D6811" w:rsidRPr="006A74F8" w:rsidRDefault="007D6811" w:rsidP="00FD7AC9">
      <w:pPr>
        <w:rPr>
          <w:lang w:eastAsia="en-AU"/>
        </w:rPr>
      </w:pPr>
      <w:r w:rsidRPr="006A74F8">
        <w:rPr>
          <w:lang w:eastAsia="en-AU"/>
        </w:rPr>
        <w:t xml:space="preserve">This option builds on </w:t>
      </w:r>
      <w:r w:rsidR="00501502" w:rsidRPr="006A74F8">
        <w:rPr>
          <w:lang w:eastAsia="en-AU"/>
        </w:rPr>
        <w:t>o</w:t>
      </w:r>
      <w:r w:rsidRPr="006A74F8">
        <w:rPr>
          <w:lang w:eastAsia="en-AU"/>
        </w:rPr>
        <w:t xml:space="preserve">ption 2 and provides the </w:t>
      </w:r>
      <w:r w:rsidR="000A4303" w:rsidRPr="006A74F8">
        <w:rPr>
          <w:lang w:eastAsia="en-AU"/>
        </w:rPr>
        <w:t>government</w:t>
      </w:r>
      <w:r w:rsidRPr="006A74F8">
        <w:rPr>
          <w:lang w:eastAsia="en-AU"/>
        </w:rPr>
        <w:t xml:space="preserve"> with additional power to more broadly and proactively support measurement confidence for regulatory outcomes</w:t>
      </w:r>
      <w:r w:rsidR="00CA07D6" w:rsidRPr="006A74F8">
        <w:rPr>
          <w:lang w:eastAsia="en-AU"/>
        </w:rPr>
        <w:t>,</w:t>
      </w:r>
      <w:r w:rsidR="00866E74" w:rsidRPr="006A74F8">
        <w:rPr>
          <w:lang w:eastAsia="en-AU"/>
        </w:rPr>
        <w:t xml:space="preserve"> outside of the trade measurement context</w:t>
      </w:r>
      <w:r w:rsidR="00CA07D6" w:rsidRPr="006A74F8">
        <w:rPr>
          <w:lang w:eastAsia="en-AU"/>
        </w:rPr>
        <w:t>,</w:t>
      </w:r>
      <w:r w:rsidRPr="006A74F8">
        <w:rPr>
          <w:lang w:eastAsia="en-AU"/>
        </w:rPr>
        <w:t xml:space="preserve"> using a risk</w:t>
      </w:r>
      <w:r w:rsidR="00995E46" w:rsidRPr="006A74F8">
        <w:rPr>
          <w:lang w:eastAsia="en-AU"/>
        </w:rPr>
        <w:t>-</w:t>
      </w:r>
      <w:r w:rsidRPr="006A74F8">
        <w:rPr>
          <w:lang w:eastAsia="en-AU"/>
        </w:rPr>
        <w:t xml:space="preserve">based approach. </w:t>
      </w:r>
      <w:r w:rsidR="00A43A45" w:rsidRPr="006A74F8">
        <w:rPr>
          <w:lang w:val="en-US"/>
        </w:rPr>
        <w:t>T</w:t>
      </w:r>
      <w:r w:rsidR="00D6437E" w:rsidRPr="006A74F8">
        <w:rPr>
          <w:lang w:val="en-US"/>
        </w:rPr>
        <w:t xml:space="preserve">he intention of option 3 is not to provide </w:t>
      </w:r>
      <w:r w:rsidR="008D68AA" w:rsidRPr="006A74F8">
        <w:rPr>
          <w:lang w:val="en-US"/>
        </w:rPr>
        <w:t>existing</w:t>
      </w:r>
      <w:r w:rsidR="000054F0" w:rsidRPr="006A74F8">
        <w:rPr>
          <w:lang w:val="en-US"/>
        </w:rPr>
        <w:t xml:space="preserve"> </w:t>
      </w:r>
      <w:r w:rsidR="00D6437E" w:rsidRPr="006A74F8">
        <w:rPr>
          <w:lang w:val="en-US"/>
        </w:rPr>
        <w:t>inspectors with additional powers, rather it would allow expansion of existing regulatory scope</w:t>
      </w:r>
      <w:r w:rsidRPr="006A74F8">
        <w:t xml:space="preserve"> </w:t>
      </w:r>
      <w:r w:rsidR="00D6437E" w:rsidRPr="006A74F8">
        <w:t>with</w:t>
      </w:r>
      <w:r w:rsidRPr="006A74F8">
        <w:t xml:space="preserve"> the following characteristics:</w:t>
      </w:r>
    </w:p>
    <w:p w:rsidR="007D6811" w:rsidRPr="006A74F8" w:rsidRDefault="007D6811" w:rsidP="00FD7AC9">
      <w:pPr>
        <w:rPr>
          <w:lang w:eastAsia="en-AU"/>
        </w:rPr>
      </w:pPr>
      <w:r w:rsidRPr="006A74F8">
        <w:rPr>
          <w:b/>
          <w:lang w:eastAsia="en-AU"/>
        </w:rPr>
        <w:t>Approach</w:t>
      </w:r>
      <w:r w:rsidRPr="006A74F8">
        <w:rPr>
          <w:lang w:eastAsia="en-AU"/>
        </w:rPr>
        <w:t xml:space="preserve">: NMI will have a general power to regulate measurement, beyond the current primary focus on trade, with the ability to directly take action to address measurement issues that reflect national priorities. This power would be used </w:t>
      </w:r>
      <w:r w:rsidR="0045259F" w:rsidRPr="006A74F8">
        <w:rPr>
          <w:lang w:eastAsia="en-AU"/>
        </w:rPr>
        <w:t>selectively an</w:t>
      </w:r>
      <w:r w:rsidR="00673203" w:rsidRPr="006A74F8">
        <w:rPr>
          <w:lang w:eastAsia="en-AU"/>
        </w:rPr>
        <w:t>d</w:t>
      </w:r>
      <w:r w:rsidR="0045259F" w:rsidRPr="006A74F8">
        <w:rPr>
          <w:lang w:eastAsia="en-AU"/>
        </w:rPr>
        <w:t xml:space="preserve"> in consultation </w:t>
      </w:r>
      <w:r w:rsidRPr="006A74F8">
        <w:rPr>
          <w:lang w:eastAsia="en-AU"/>
        </w:rPr>
        <w:t xml:space="preserve">to support confidence in measurements which other regulators rely upon. This would help enable rapid response in a crisis, or provide coverage where other regulators lack </w:t>
      </w:r>
      <w:r w:rsidR="00FC63C5" w:rsidRPr="006A74F8">
        <w:rPr>
          <w:lang w:eastAsia="en-AU"/>
        </w:rPr>
        <w:t xml:space="preserve">a </w:t>
      </w:r>
      <w:r w:rsidRPr="006A74F8">
        <w:rPr>
          <w:lang w:eastAsia="en-AU"/>
        </w:rPr>
        <w:t xml:space="preserve">sufficient existing framework or jurisdiction to resolve measurement issues. </w:t>
      </w:r>
    </w:p>
    <w:p w:rsidR="007D6811" w:rsidRPr="006A74F8" w:rsidRDefault="007D6811" w:rsidP="00FD7AC9">
      <w:pPr>
        <w:rPr>
          <w:lang w:eastAsia="en-AU"/>
        </w:rPr>
      </w:pPr>
      <w:r w:rsidRPr="006A74F8">
        <w:rPr>
          <w:b/>
          <w:lang w:eastAsia="en-AU"/>
        </w:rPr>
        <w:t>Legislation</w:t>
      </w:r>
      <w:r w:rsidRPr="006A74F8">
        <w:rPr>
          <w:lang w:eastAsia="en-AU"/>
        </w:rPr>
        <w:t xml:space="preserve">: </w:t>
      </w:r>
      <w:r w:rsidR="001010C3" w:rsidRPr="006A74F8">
        <w:rPr>
          <w:lang w:eastAsia="en-AU"/>
        </w:rPr>
        <w:t>F</w:t>
      </w:r>
      <w:r w:rsidRPr="006A74F8">
        <w:rPr>
          <w:lang w:eastAsia="en-AU"/>
        </w:rPr>
        <w:t xml:space="preserve">lexible and principles-based legislation establishes </w:t>
      </w:r>
      <w:r w:rsidR="00130437" w:rsidRPr="006A74F8">
        <w:rPr>
          <w:lang w:eastAsia="en-AU"/>
        </w:rPr>
        <w:t xml:space="preserve">mechanisms </w:t>
      </w:r>
      <w:r w:rsidRPr="006A74F8">
        <w:rPr>
          <w:lang w:eastAsia="en-AU"/>
        </w:rPr>
        <w:t>to directly p</w:t>
      </w:r>
      <w:r w:rsidR="00A40103" w:rsidRPr="006A74F8">
        <w:rPr>
          <w:lang w:eastAsia="en-AU"/>
        </w:rPr>
        <w:t>rovide solutions to measurement-</w:t>
      </w:r>
      <w:r w:rsidRPr="006A74F8">
        <w:rPr>
          <w:lang w:eastAsia="en-AU"/>
        </w:rPr>
        <w:t xml:space="preserve">based issues faced by other regulators who rely on measurement to achieve their policy objectives but do not have a complete legal framework in place. NMI helps to set and settle measurement confidence issues in regulatory frameworks </w:t>
      </w:r>
      <w:r w:rsidR="00C779B8" w:rsidRPr="006A74F8">
        <w:rPr>
          <w:lang w:eastAsia="en-AU"/>
        </w:rPr>
        <w:t>where required</w:t>
      </w:r>
      <w:r w:rsidRPr="006A74F8">
        <w:rPr>
          <w:lang w:eastAsia="en-AU"/>
        </w:rPr>
        <w:t>, in addition to providing technical expertise and coordination to support regulators (as it does currently).</w:t>
      </w:r>
    </w:p>
    <w:p w:rsidR="009F45BC" w:rsidRPr="006A74F8" w:rsidRDefault="007D6811" w:rsidP="00FD7AC9">
      <w:pPr>
        <w:rPr>
          <w:lang w:eastAsia="en-AU"/>
        </w:rPr>
      </w:pPr>
      <w:r w:rsidRPr="006A74F8">
        <w:rPr>
          <w:b/>
          <w:lang w:eastAsia="en-AU"/>
        </w:rPr>
        <w:t>Outcome</w:t>
      </w:r>
      <w:r w:rsidRPr="006A74F8">
        <w:rPr>
          <w:lang w:eastAsia="en-AU"/>
        </w:rPr>
        <w:t>: NMI can respond where other regulators have incomplete jurisdiction, insufficient powers or lack the technical capability t</w:t>
      </w:r>
      <w:r w:rsidR="00C779B8" w:rsidRPr="006A74F8">
        <w:rPr>
          <w:lang w:eastAsia="en-AU"/>
        </w:rPr>
        <w:t>o address measurement failures</w:t>
      </w:r>
      <w:r w:rsidRPr="006A74F8">
        <w:rPr>
          <w:lang w:eastAsia="en-AU"/>
        </w:rPr>
        <w:t>. NMI must work closely with relevant regulators to manage potential overlap between measurement outcomes and other policy outcomes.</w:t>
      </w:r>
    </w:p>
    <w:p w:rsidR="006E137F" w:rsidRPr="006A74F8" w:rsidRDefault="006E137F" w:rsidP="00FD7AC9">
      <w:pPr>
        <w:pStyle w:val="Heading3"/>
      </w:pPr>
      <w:bookmarkStart w:id="1350" w:name="_Toc61338676"/>
      <w:bookmarkStart w:id="1351" w:name="_Toc63062588"/>
      <w:bookmarkStart w:id="1352" w:name="_Toc64895630"/>
      <w:bookmarkStart w:id="1353" w:name="_Toc64900837"/>
      <w:bookmarkStart w:id="1354" w:name="_Toc64903103"/>
      <w:bookmarkStart w:id="1355" w:name="_Toc64904042"/>
      <w:bookmarkStart w:id="1356" w:name="_Toc64904264"/>
      <w:bookmarkStart w:id="1357" w:name="_Toc64904707"/>
      <w:bookmarkStart w:id="1358" w:name="_Toc64905221"/>
      <w:bookmarkStart w:id="1359" w:name="_Toc64963998"/>
      <w:bookmarkStart w:id="1360" w:name="_Toc64974596"/>
      <w:bookmarkStart w:id="1361" w:name="_Toc64976297"/>
      <w:bookmarkStart w:id="1362" w:name="_Toc65149671"/>
      <w:r w:rsidRPr="006A74F8">
        <w:t xml:space="preserve">Comparison of </w:t>
      </w:r>
      <w:r w:rsidR="00F0659D" w:rsidRPr="006A74F8">
        <w:t>o</w:t>
      </w:r>
      <w:r w:rsidRPr="006A74F8">
        <w:t>ptions</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rsidR="006E137F" w:rsidRPr="006A74F8" w:rsidRDefault="006E137F" w:rsidP="00FD7AC9">
      <w:r w:rsidRPr="006A74F8">
        <w:t xml:space="preserve">A high level comparison of the merits of the reform options is outlined in Table </w:t>
      </w:r>
      <w:r w:rsidR="00EF10D0" w:rsidRPr="006A74F8">
        <w:t xml:space="preserve">5 </w:t>
      </w:r>
      <w:r w:rsidRPr="006A74F8">
        <w:t xml:space="preserve">below. </w:t>
      </w:r>
    </w:p>
    <w:p w:rsidR="003B5BE3" w:rsidRPr="006A74F8" w:rsidRDefault="003B5BE3" w:rsidP="003B5BE3">
      <w:pPr>
        <w:pStyle w:val="Caption"/>
        <w:keepNext/>
      </w:pPr>
      <w:r w:rsidRPr="006A74F8">
        <w:t xml:space="preserve">Table </w:t>
      </w:r>
      <w:r w:rsidR="009853E6" w:rsidRPr="00A02D30">
        <w:rPr>
          <w:noProof/>
        </w:rPr>
        <w:fldChar w:fldCharType="begin"/>
      </w:r>
      <w:r w:rsidR="009853E6" w:rsidRPr="00A02D30">
        <w:rPr>
          <w:noProof/>
        </w:rPr>
        <w:instrText xml:space="preserve"> SEQ Table \* ARABIC </w:instrText>
      </w:r>
      <w:r w:rsidR="009853E6" w:rsidRPr="00A02D30">
        <w:rPr>
          <w:noProof/>
        </w:rPr>
        <w:fldChar w:fldCharType="separate"/>
      </w:r>
      <w:r w:rsidR="0033017F">
        <w:rPr>
          <w:noProof/>
        </w:rPr>
        <w:t>5</w:t>
      </w:r>
      <w:r w:rsidR="009853E6" w:rsidRPr="00A02D30">
        <w:rPr>
          <w:noProof/>
        </w:rPr>
        <w:fldChar w:fldCharType="end"/>
      </w:r>
      <w:r w:rsidRPr="006A74F8">
        <w:t>: High level comparison of options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High level comparison of options"/>
        <w:tblDescription w:val="When read left to right the table notes the three options and then lists the benefits and risks of each one at a high level. "/>
      </w:tblPr>
      <w:tblGrid>
        <w:gridCol w:w="1277"/>
        <w:gridCol w:w="3680"/>
        <w:gridCol w:w="4110"/>
      </w:tblGrid>
      <w:tr w:rsidR="006E137F" w:rsidRPr="006A74F8" w:rsidTr="00517AFF">
        <w:trPr>
          <w:trHeight w:val="526"/>
          <w:tblHeader/>
        </w:trPr>
        <w:tc>
          <w:tcPr>
            <w:tcW w:w="1277" w:type="dxa"/>
            <w:shd w:val="clear" w:color="auto" w:fill="1F3864"/>
          </w:tcPr>
          <w:p w:rsidR="006E137F" w:rsidRPr="006A74F8" w:rsidRDefault="006E137F" w:rsidP="00FD7AC9">
            <w:pPr>
              <w:rPr>
                <w:b/>
                <w:szCs w:val="20"/>
              </w:rPr>
            </w:pPr>
            <w:r w:rsidRPr="006A74F8">
              <w:rPr>
                <w:b/>
                <w:szCs w:val="20"/>
              </w:rPr>
              <w:t>Options</w:t>
            </w:r>
          </w:p>
        </w:tc>
        <w:tc>
          <w:tcPr>
            <w:tcW w:w="3680" w:type="dxa"/>
            <w:shd w:val="clear" w:color="auto" w:fill="1F3864"/>
          </w:tcPr>
          <w:p w:rsidR="006E137F" w:rsidRPr="006A74F8" w:rsidRDefault="005042C6" w:rsidP="00FD7AC9">
            <w:pPr>
              <w:rPr>
                <w:b/>
                <w:szCs w:val="20"/>
              </w:rPr>
            </w:pPr>
            <w:r w:rsidRPr="006A74F8">
              <w:rPr>
                <w:b/>
                <w:szCs w:val="20"/>
              </w:rPr>
              <w:t xml:space="preserve">Benefits and </w:t>
            </w:r>
            <w:r w:rsidR="00BF507E" w:rsidRPr="006A74F8">
              <w:rPr>
                <w:b/>
                <w:szCs w:val="20"/>
              </w:rPr>
              <w:t>o</w:t>
            </w:r>
            <w:r w:rsidR="00BE5017" w:rsidRPr="006A74F8">
              <w:rPr>
                <w:b/>
                <w:szCs w:val="20"/>
              </w:rPr>
              <w:t>pportunities</w:t>
            </w:r>
          </w:p>
        </w:tc>
        <w:tc>
          <w:tcPr>
            <w:tcW w:w="4110" w:type="dxa"/>
            <w:shd w:val="clear" w:color="auto" w:fill="1F3864"/>
          </w:tcPr>
          <w:p w:rsidR="006E137F" w:rsidRPr="006A74F8" w:rsidRDefault="00BE5017" w:rsidP="00FD7AC9">
            <w:pPr>
              <w:rPr>
                <w:b/>
                <w:szCs w:val="20"/>
              </w:rPr>
            </w:pPr>
            <w:r w:rsidRPr="006A74F8">
              <w:rPr>
                <w:b/>
                <w:szCs w:val="20"/>
              </w:rPr>
              <w:t xml:space="preserve">Challenges and </w:t>
            </w:r>
            <w:r w:rsidR="00BF507E" w:rsidRPr="006A74F8">
              <w:rPr>
                <w:b/>
                <w:szCs w:val="20"/>
              </w:rPr>
              <w:t>r</w:t>
            </w:r>
            <w:r w:rsidRPr="006A74F8">
              <w:rPr>
                <w:b/>
                <w:szCs w:val="20"/>
              </w:rPr>
              <w:t>isks</w:t>
            </w:r>
          </w:p>
        </w:tc>
      </w:tr>
      <w:tr w:rsidR="006E137F" w:rsidRPr="006A74F8" w:rsidTr="00517AFF">
        <w:trPr>
          <w:trHeight w:val="438"/>
        </w:trPr>
        <w:tc>
          <w:tcPr>
            <w:tcW w:w="1277" w:type="dxa"/>
          </w:tcPr>
          <w:p w:rsidR="006E137F" w:rsidRPr="006A74F8" w:rsidRDefault="006E137F" w:rsidP="00FD7AC9">
            <w:pPr>
              <w:rPr>
                <w:b/>
                <w:szCs w:val="20"/>
              </w:rPr>
            </w:pPr>
            <w:r w:rsidRPr="006A74F8">
              <w:rPr>
                <w:b/>
                <w:szCs w:val="20"/>
              </w:rPr>
              <w:t xml:space="preserve">Status </w:t>
            </w:r>
            <w:r w:rsidR="00501502" w:rsidRPr="006A74F8">
              <w:rPr>
                <w:b/>
                <w:szCs w:val="20"/>
              </w:rPr>
              <w:t>q</w:t>
            </w:r>
            <w:r w:rsidRPr="006A74F8">
              <w:rPr>
                <w:b/>
                <w:szCs w:val="20"/>
              </w:rPr>
              <w:t>uo</w:t>
            </w:r>
          </w:p>
        </w:tc>
        <w:tc>
          <w:tcPr>
            <w:tcW w:w="3680" w:type="dxa"/>
          </w:tcPr>
          <w:p w:rsidR="006E137F" w:rsidRPr="006A74F8" w:rsidRDefault="00BE5017" w:rsidP="004C54D2">
            <w:pPr>
              <w:pStyle w:val="ListParagraph"/>
              <w:numPr>
                <w:ilvl w:val="0"/>
                <w:numId w:val="5"/>
              </w:numPr>
              <w:spacing w:after="40" w:line="240" w:lineRule="auto"/>
              <w:contextualSpacing w:val="0"/>
            </w:pPr>
            <w:r w:rsidRPr="006A74F8">
              <w:rPr>
                <w:rFonts w:cstheme="minorHAnsi"/>
                <w:b/>
                <w:lang w:val="en-US"/>
              </w:rPr>
              <w:t>Industry</w:t>
            </w:r>
            <w:r w:rsidRPr="006A74F8">
              <w:t xml:space="preserve">: </w:t>
            </w:r>
            <w:r w:rsidR="006E137F" w:rsidRPr="006A74F8">
              <w:t xml:space="preserve">Domestic business and industry continue to operate under a known </w:t>
            </w:r>
            <w:r w:rsidR="007720D5" w:rsidRPr="006A74F8">
              <w:t xml:space="preserve">legislative </w:t>
            </w:r>
            <w:r w:rsidR="006E137F" w:rsidRPr="006A74F8">
              <w:t>framework.</w:t>
            </w:r>
          </w:p>
          <w:p w:rsidR="006E137F" w:rsidRPr="006A74F8" w:rsidRDefault="009E080F" w:rsidP="004C54D2">
            <w:pPr>
              <w:pStyle w:val="ListParagraph"/>
              <w:numPr>
                <w:ilvl w:val="0"/>
                <w:numId w:val="5"/>
              </w:numPr>
              <w:spacing w:after="40" w:line="240" w:lineRule="auto"/>
              <w:contextualSpacing w:val="0"/>
            </w:pPr>
            <w:r w:rsidRPr="006A74F8">
              <w:rPr>
                <w:rFonts w:cstheme="minorHAnsi"/>
                <w:b/>
                <w:lang w:val="en-US"/>
              </w:rPr>
              <w:t>Consumers</w:t>
            </w:r>
            <w:r w:rsidRPr="006A74F8">
              <w:t>: Historically has helped to provide confidence that consumers are getting what they pay for.</w:t>
            </w:r>
          </w:p>
        </w:tc>
        <w:tc>
          <w:tcPr>
            <w:tcW w:w="4110" w:type="dxa"/>
          </w:tcPr>
          <w:p w:rsidR="009E080F" w:rsidRPr="006A74F8" w:rsidRDefault="009E080F" w:rsidP="004C54D2">
            <w:pPr>
              <w:pStyle w:val="ListParagraph"/>
              <w:numPr>
                <w:ilvl w:val="0"/>
                <w:numId w:val="5"/>
              </w:numPr>
              <w:spacing w:after="40" w:line="240" w:lineRule="auto"/>
              <w:contextualSpacing w:val="0"/>
            </w:pPr>
            <w:r w:rsidRPr="006A74F8">
              <w:rPr>
                <w:rFonts w:cstheme="minorHAnsi"/>
                <w:b/>
                <w:lang w:val="en-US"/>
              </w:rPr>
              <w:t>Industry</w:t>
            </w:r>
            <w:r w:rsidRPr="006A74F8">
              <w:t>: Prescriptive legislation applies a one</w:t>
            </w:r>
            <w:r w:rsidR="00D53E2C" w:rsidRPr="006A74F8">
              <w:t xml:space="preserve">-size-fits-all </w:t>
            </w:r>
            <w:r w:rsidRPr="006A74F8">
              <w:t>approach. Known issues remain unaddressed.</w:t>
            </w:r>
          </w:p>
          <w:p w:rsidR="009E080F" w:rsidRPr="006A74F8" w:rsidRDefault="009E080F" w:rsidP="004C54D2">
            <w:pPr>
              <w:pStyle w:val="ListParagraph"/>
              <w:numPr>
                <w:ilvl w:val="0"/>
                <w:numId w:val="5"/>
              </w:numPr>
              <w:spacing w:after="40" w:line="240" w:lineRule="auto"/>
              <w:contextualSpacing w:val="0"/>
            </w:pPr>
            <w:r w:rsidRPr="006A74F8">
              <w:rPr>
                <w:rFonts w:cstheme="minorHAnsi"/>
                <w:b/>
                <w:lang w:val="en-US"/>
              </w:rPr>
              <w:t>Consumers</w:t>
            </w:r>
            <w:r w:rsidRPr="006A74F8">
              <w:t>: Focus on regulating where consumers purchase goods. Does not cover services or consumer sales (</w:t>
            </w:r>
            <w:r w:rsidR="00EE1AE8" w:rsidRPr="006A74F8">
              <w:t>e.g.</w:t>
            </w:r>
            <w:r w:rsidRPr="006A74F8">
              <w:t xml:space="preserve"> bottle recycling)</w:t>
            </w:r>
            <w:r w:rsidR="007242BE" w:rsidRPr="006A74F8">
              <w:t>.</w:t>
            </w:r>
          </w:p>
          <w:p w:rsidR="006E137F" w:rsidRPr="006A74F8" w:rsidRDefault="00BE5017" w:rsidP="004C54D2">
            <w:pPr>
              <w:pStyle w:val="ListParagraph"/>
              <w:numPr>
                <w:ilvl w:val="0"/>
                <w:numId w:val="5"/>
              </w:numPr>
              <w:spacing w:after="40" w:line="240" w:lineRule="auto"/>
              <w:contextualSpacing w:val="0"/>
            </w:pPr>
            <w:r w:rsidRPr="006A74F8">
              <w:rPr>
                <w:rFonts w:cstheme="minorHAnsi"/>
                <w:b/>
                <w:lang w:val="en-US"/>
              </w:rPr>
              <w:t>Innovation</w:t>
            </w:r>
            <w:r w:rsidRPr="006A74F8">
              <w:t xml:space="preserve">: The legislation is not updated and remains disconnected from new technologies. </w:t>
            </w:r>
            <w:r w:rsidR="006E137F" w:rsidRPr="006A74F8">
              <w:t xml:space="preserve">Industry needs for </w:t>
            </w:r>
            <w:r w:rsidR="00330D24" w:rsidRPr="006A74F8">
              <w:t>technological innovation</w:t>
            </w:r>
            <w:r w:rsidR="006E137F" w:rsidRPr="006A74F8">
              <w:t xml:space="preserve"> are not supported.</w:t>
            </w:r>
            <w:r w:rsidRPr="006A74F8">
              <w:t xml:space="preserve">  </w:t>
            </w:r>
          </w:p>
          <w:p w:rsidR="006E137F" w:rsidRPr="006A74F8" w:rsidRDefault="00BE5017" w:rsidP="004C54D2">
            <w:pPr>
              <w:pStyle w:val="ListParagraph"/>
              <w:numPr>
                <w:ilvl w:val="0"/>
                <w:numId w:val="5"/>
              </w:numPr>
              <w:spacing w:after="40" w:line="240" w:lineRule="auto"/>
              <w:contextualSpacing w:val="0"/>
            </w:pPr>
            <w:r w:rsidRPr="006A74F8">
              <w:rPr>
                <w:rFonts w:cstheme="minorHAnsi"/>
                <w:b/>
                <w:lang w:val="en-US"/>
              </w:rPr>
              <w:t>Government</w:t>
            </w:r>
            <w:r w:rsidRPr="006A74F8">
              <w:t xml:space="preserve">: </w:t>
            </w:r>
            <w:r w:rsidR="006E137F" w:rsidRPr="006A74F8">
              <w:t>Limited support for other policy outcomes.</w:t>
            </w:r>
          </w:p>
        </w:tc>
      </w:tr>
      <w:tr w:rsidR="006E137F" w:rsidRPr="006A74F8" w:rsidTr="00517AFF">
        <w:trPr>
          <w:trHeight w:val="438"/>
        </w:trPr>
        <w:tc>
          <w:tcPr>
            <w:tcW w:w="1277" w:type="dxa"/>
          </w:tcPr>
          <w:p w:rsidR="006E137F" w:rsidRPr="006A74F8" w:rsidRDefault="006E137F" w:rsidP="00FD7AC9">
            <w:pPr>
              <w:rPr>
                <w:b/>
                <w:szCs w:val="20"/>
              </w:rPr>
            </w:pPr>
            <w:r w:rsidRPr="006A74F8">
              <w:rPr>
                <w:b/>
                <w:szCs w:val="20"/>
              </w:rPr>
              <w:lastRenderedPageBreak/>
              <w:t>Option 1</w:t>
            </w:r>
          </w:p>
        </w:tc>
        <w:tc>
          <w:tcPr>
            <w:tcW w:w="3680" w:type="dxa"/>
          </w:tcPr>
          <w:p w:rsidR="00BE5017" w:rsidRPr="006A74F8" w:rsidRDefault="00BE5017" w:rsidP="004C54D2">
            <w:pPr>
              <w:pStyle w:val="ListParagraph"/>
              <w:numPr>
                <w:ilvl w:val="0"/>
                <w:numId w:val="5"/>
              </w:numPr>
              <w:spacing w:after="40" w:line="240" w:lineRule="auto"/>
              <w:contextualSpacing w:val="0"/>
              <w:rPr>
                <w:rFonts w:cstheme="minorHAnsi"/>
                <w:lang w:val="en-US"/>
              </w:rPr>
            </w:pPr>
            <w:r w:rsidRPr="006A74F8">
              <w:rPr>
                <w:rFonts w:cstheme="minorHAnsi"/>
                <w:b/>
                <w:lang w:val="en-US"/>
              </w:rPr>
              <w:t>Industry</w:t>
            </w:r>
            <w:r w:rsidRPr="006A74F8">
              <w:rPr>
                <w:rFonts w:cstheme="minorHAnsi"/>
                <w:lang w:val="en-US"/>
              </w:rPr>
              <w:t>: Reduced red tape and regulatory burden through streamlining and simplifying</w:t>
            </w:r>
            <w:r w:rsidR="007D1D8B" w:rsidRPr="006A74F8">
              <w:rPr>
                <w:rFonts w:cstheme="minorHAnsi"/>
                <w:lang w:val="en-US"/>
              </w:rPr>
              <w:t xml:space="preserve"> the legislation</w:t>
            </w:r>
            <w:r w:rsidRPr="006A74F8">
              <w:rPr>
                <w:rFonts w:cstheme="minorHAnsi"/>
                <w:lang w:val="en-US"/>
              </w:rPr>
              <w:t xml:space="preserve">. Provides some flexibility (including packaging) </w:t>
            </w:r>
            <w:r w:rsidRPr="006A74F8">
              <w:rPr>
                <w:rFonts w:cstheme="minorHAnsi"/>
              </w:rPr>
              <w:t>while</w:t>
            </w:r>
            <w:r w:rsidRPr="006A74F8">
              <w:rPr>
                <w:rFonts w:cstheme="minorHAnsi"/>
                <w:lang w:val="en-US"/>
              </w:rPr>
              <w:t xml:space="preserve"> maintaining </w:t>
            </w:r>
            <w:r w:rsidRPr="006A74F8">
              <w:rPr>
                <w:rFonts w:cstheme="minorHAnsi"/>
              </w:rPr>
              <w:t>certainty</w:t>
            </w:r>
            <w:r w:rsidRPr="006A74F8">
              <w:rPr>
                <w:rFonts w:cstheme="minorHAnsi"/>
                <w:lang w:val="en-US"/>
              </w:rPr>
              <w:t xml:space="preserve">. </w:t>
            </w:r>
          </w:p>
          <w:p w:rsidR="00BE5017" w:rsidRPr="006A74F8" w:rsidRDefault="00BE5017" w:rsidP="004C54D2">
            <w:pPr>
              <w:pStyle w:val="ListParagraph"/>
              <w:numPr>
                <w:ilvl w:val="0"/>
                <w:numId w:val="5"/>
              </w:numPr>
              <w:spacing w:after="40" w:line="240" w:lineRule="auto"/>
              <w:contextualSpacing w:val="0"/>
              <w:rPr>
                <w:rFonts w:cstheme="minorHAnsi"/>
              </w:rPr>
            </w:pPr>
            <w:r w:rsidRPr="006A74F8">
              <w:rPr>
                <w:rFonts w:cstheme="minorHAnsi"/>
                <w:b/>
                <w:lang w:val="en-US"/>
              </w:rPr>
              <w:t>Consumers</w:t>
            </w:r>
            <w:r w:rsidRPr="006A74F8">
              <w:rPr>
                <w:rFonts w:cstheme="minorHAnsi"/>
                <w:lang w:val="en-US"/>
              </w:rPr>
              <w:t xml:space="preserve">: </w:t>
            </w:r>
            <w:r w:rsidRPr="006A74F8">
              <w:rPr>
                <w:rFonts w:cstheme="minorHAnsi"/>
              </w:rPr>
              <w:t>Provides confidence for buyers and sellers of goods</w:t>
            </w:r>
            <w:r w:rsidR="004251D1" w:rsidRPr="006A74F8">
              <w:rPr>
                <w:rFonts w:cstheme="minorHAnsi"/>
              </w:rPr>
              <w:t>.</w:t>
            </w:r>
            <w:r w:rsidRPr="006A74F8">
              <w:rPr>
                <w:rFonts w:cstheme="minorHAnsi"/>
              </w:rPr>
              <w:t xml:space="preserve"> </w:t>
            </w:r>
          </w:p>
          <w:p w:rsidR="00BE5017" w:rsidRPr="006A74F8" w:rsidRDefault="00BE5017" w:rsidP="004C54D2">
            <w:pPr>
              <w:pStyle w:val="ListParagraph"/>
              <w:numPr>
                <w:ilvl w:val="0"/>
                <w:numId w:val="5"/>
              </w:numPr>
              <w:spacing w:after="40" w:line="240" w:lineRule="auto"/>
              <w:contextualSpacing w:val="0"/>
              <w:rPr>
                <w:rFonts w:cstheme="minorHAnsi"/>
                <w:lang w:val="en-US"/>
              </w:rPr>
            </w:pPr>
            <w:r w:rsidRPr="006A74F8">
              <w:rPr>
                <w:rFonts w:cstheme="minorHAnsi"/>
                <w:b/>
                <w:lang w:val="en-US"/>
              </w:rPr>
              <w:t>Economy</w:t>
            </w:r>
            <w:r w:rsidRPr="006A74F8">
              <w:rPr>
                <w:rFonts w:cstheme="minorHAnsi"/>
                <w:lang w:val="en-US"/>
              </w:rPr>
              <w:t xml:space="preserve">: Increased consistency across different measurement </w:t>
            </w:r>
            <w:r w:rsidRPr="006A74F8">
              <w:rPr>
                <w:rFonts w:cstheme="minorHAnsi"/>
              </w:rPr>
              <w:t>transactions (including packaging requirements for some products).</w:t>
            </w:r>
          </w:p>
          <w:p w:rsidR="006E137F" w:rsidRPr="006A74F8" w:rsidRDefault="00BE5017" w:rsidP="004C54D2">
            <w:pPr>
              <w:pStyle w:val="ListParagraph"/>
              <w:numPr>
                <w:ilvl w:val="0"/>
                <w:numId w:val="5"/>
              </w:numPr>
            </w:pPr>
            <w:r w:rsidRPr="006A74F8">
              <w:rPr>
                <w:rFonts w:cstheme="minorHAnsi"/>
                <w:b/>
              </w:rPr>
              <w:t>Innovation</w:t>
            </w:r>
            <w:r w:rsidRPr="006A74F8">
              <w:rPr>
                <w:rFonts w:cstheme="minorHAnsi"/>
                <w:lang w:val="en-US"/>
              </w:rPr>
              <w:t xml:space="preserve">: Legislation brought up to current business and technology practice. Increased </w:t>
            </w:r>
            <w:r w:rsidRPr="006A74F8">
              <w:rPr>
                <w:rFonts w:cstheme="minorHAnsi"/>
              </w:rPr>
              <w:t>short</w:t>
            </w:r>
            <w:r w:rsidRPr="006A74F8">
              <w:rPr>
                <w:rFonts w:cstheme="minorHAnsi"/>
                <w:lang w:val="en-US"/>
              </w:rPr>
              <w:t xml:space="preserve"> term support </w:t>
            </w:r>
            <w:r w:rsidRPr="006A74F8">
              <w:rPr>
                <w:rFonts w:cstheme="minorHAnsi"/>
              </w:rPr>
              <w:t>for innovation and business investment. Principles drafted to be technology neutral, ability to grant some exemptions.</w:t>
            </w:r>
          </w:p>
        </w:tc>
        <w:tc>
          <w:tcPr>
            <w:tcW w:w="4110" w:type="dxa"/>
          </w:tcPr>
          <w:p w:rsidR="00BE5017" w:rsidRPr="006A74F8" w:rsidRDefault="00BE5017" w:rsidP="004C54D2">
            <w:pPr>
              <w:pStyle w:val="ListParagraph"/>
              <w:numPr>
                <w:ilvl w:val="0"/>
                <w:numId w:val="5"/>
              </w:numPr>
              <w:spacing w:after="40" w:line="240" w:lineRule="auto"/>
              <w:contextualSpacing w:val="0"/>
            </w:pPr>
            <w:r w:rsidRPr="006A74F8">
              <w:rPr>
                <w:rFonts w:cstheme="minorHAnsi"/>
                <w:b/>
                <w:lang w:val="en-US"/>
              </w:rPr>
              <w:t>Industry</w:t>
            </w:r>
            <w:r w:rsidRPr="006A74F8">
              <w:rPr>
                <w:rFonts w:cstheme="minorHAnsi"/>
              </w:rPr>
              <w:t xml:space="preserve">: Meets current needs but does not support future changes. </w:t>
            </w:r>
          </w:p>
          <w:p w:rsidR="00BE5017" w:rsidRPr="006A74F8" w:rsidRDefault="00BE5017" w:rsidP="004C54D2">
            <w:pPr>
              <w:pStyle w:val="ListParagraph"/>
              <w:numPr>
                <w:ilvl w:val="0"/>
                <w:numId w:val="5"/>
              </w:numPr>
              <w:spacing w:after="40" w:line="240" w:lineRule="auto"/>
              <w:contextualSpacing w:val="0"/>
              <w:rPr>
                <w:rFonts w:cstheme="minorHAnsi"/>
              </w:rPr>
            </w:pPr>
            <w:r w:rsidRPr="006A74F8">
              <w:rPr>
                <w:rFonts w:cstheme="minorHAnsi"/>
                <w:b/>
                <w:lang w:val="en-US"/>
              </w:rPr>
              <w:t>Consumers</w:t>
            </w:r>
            <w:r w:rsidRPr="006A74F8">
              <w:rPr>
                <w:rFonts w:cstheme="minorHAnsi"/>
              </w:rPr>
              <w:t>: Still no coverage of services.</w:t>
            </w:r>
          </w:p>
          <w:p w:rsidR="00BE5017" w:rsidRPr="006A74F8" w:rsidRDefault="00BE5017" w:rsidP="004C54D2">
            <w:pPr>
              <w:pStyle w:val="ListParagraph"/>
              <w:numPr>
                <w:ilvl w:val="0"/>
                <w:numId w:val="5"/>
              </w:numPr>
              <w:spacing w:after="40" w:line="240" w:lineRule="auto"/>
              <w:contextualSpacing w:val="0"/>
              <w:rPr>
                <w:rFonts w:cs="Calibri"/>
              </w:rPr>
            </w:pPr>
            <w:r w:rsidRPr="006A74F8">
              <w:rPr>
                <w:rFonts w:cstheme="minorHAnsi"/>
                <w:b/>
                <w:lang w:val="en-US"/>
              </w:rPr>
              <w:t>Innovation</w:t>
            </w:r>
            <w:r w:rsidRPr="006A74F8">
              <w:rPr>
                <w:rFonts w:cs="Calibri"/>
              </w:rPr>
              <w:t xml:space="preserve">: The framework still does not adjust to full impacts of emerging technologies. Short term support for innovation and business investment, which erodes over medium to long term.  </w:t>
            </w:r>
          </w:p>
          <w:p w:rsidR="006E137F" w:rsidRPr="006A74F8" w:rsidRDefault="00BE5017" w:rsidP="00F10616">
            <w:pPr>
              <w:pStyle w:val="ListParagraph"/>
              <w:numPr>
                <w:ilvl w:val="0"/>
                <w:numId w:val="5"/>
              </w:numPr>
              <w:spacing w:line="240" w:lineRule="auto"/>
            </w:pPr>
            <w:r w:rsidRPr="006A74F8">
              <w:rPr>
                <w:rFonts w:cs="Calibri"/>
                <w:b/>
              </w:rPr>
              <w:t>Government</w:t>
            </w:r>
            <w:r w:rsidRPr="006A74F8">
              <w:rPr>
                <w:rFonts w:cs="Calibri"/>
              </w:rPr>
              <w:t>: NMI has limited flexibility to assist government agencies other than through service based arrangements.</w:t>
            </w:r>
          </w:p>
        </w:tc>
      </w:tr>
      <w:tr w:rsidR="006E137F" w:rsidRPr="006A74F8" w:rsidTr="00517AFF">
        <w:trPr>
          <w:trHeight w:val="438"/>
        </w:trPr>
        <w:tc>
          <w:tcPr>
            <w:tcW w:w="1277" w:type="dxa"/>
          </w:tcPr>
          <w:p w:rsidR="006E137F" w:rsidRPr="006A74F8" w:rsidRDefault="006E137F" w:rsidP="00FD7AC9">
            <w:pPr>
              <w:rPr>
                <w:b/>
                <w:szCs w:val="20"/>
              </w:rPr>
            </w:pPr>
            <w:r w:rsidRPr="006A74F8">
              <w:rPr>
                <w:b/>
                <w:szCs w:val="20"/>
              </w:rPr>
              <w:t>Option 2</w:t>
            </w:r>
          </w:p>
        </w:tc>
        <w:tc>
          <w:tcPr>
            <w:tcW w:w="3680" w:type="dxa"/>
          </w:tcPr>
          <w:p w:rsidR="00BE5017" w:rsidRPr="006A74F8" w:rsidRDefault="00BE5017" w:rsidP="004C54D2">
            <w:pPr>
              <w:pStyle w:val="ListParagraph"/>
              <w:numPr>
                <w:ilvl w:val="0"/>
                <w:numId w:val="5"/>
              </w:numPr>
              <w:spacing w:after="40" w:line="240" w:lineRule="auto"/>
              <w:contextualSpacing w:val="0"/>
              <w:rPr>
                <w:rFonts w:cstheme="minorHAnsi"/>
                <w:lang w:val="en-US"/>
              </w:rPr>
            </w:pPr>
            <w:r w:rsidRPr="006A74F8">
              <w:rPr>
                <w:rFonts w:cstheme="minorHAnsi"/>
                <w:b/>
                <w:lang w:val="en-US"/>
              </w:rPr>
              <w:t>Industry</w:t>
            </w:r>
            <w:r w:rsidRPr="006A74F8">
              <w:rPr>
                <w:rFonts w:cstheme="minorHAnsi"/>
                <w:lang w:val="en-US"/>
              </w:rPr>
              <w:t xml:space="preserve">: </w:t>
            </w:r>
            <w:r w:rsidRPr="006A74F8">
              <w:rPr>
                <w:rFonts w:cstheme="minorHAnsi"/>
              </w:rPr>
              <w:t xml:space="preserve">Increased flexibility for industry supports greater variety of valid measurement practices (including packaging). Regulation more fit for purpose and targeted based on risk. </w:t>
            </w:r>
          </w:p>
          <w:p w:rsidR="00BE5017" w:rsidRPr="006A74F8" w:rsidRDefault="00BE5017" w:rsidP="008846F4">
            <w:pPr>
              <w:pStyle w:val="ListParagraph"/>
              <w:numPr>
                <w:ilvl w:val="1"/>
                <w:numId w:val="5"/>
              </w:numPr>
              <w:spacing w:after="40" w:line="240" w:lineRule="auto"/>
              <w:ind w:left="878" w:hanging="283"/>
              <w:contextualSpacing w:val="0"/>
              <w:rPr>
                <w:rFonts w:cstheme="minorHAnsi"/>
                <w:lang w:val="en-US"/>
              </w:rPr>
            </w:pPr>
            <w:r w:rsidRPr="006A74F8">
              <w:rPr>
                <w:i/>
                <w:lang w:val="en-US"/>
              </w:rPr>
              <w:t>For example, scope to recognise international requirements and approvals.</w:t>
            </w:r>
          </w:p>
          <w:p w:rsidR="00BE5017" w:rsidRPr="006A74F8" w:rsidRDefault="00BE5017" w:rsidP="004C54D2">
            <w:pPr>
              <w:pStyle w:val="ListParagraph"/>
              <w:numPr>
                <w:ilvl w:val="0"/>
                <w:numId w:val="5"/>
              </w:numPr>
              <w:spacing w:after="40" w:line="240" w:lineRule="auto"/>
              <w:contextualSpacing w:val="0"/>
              <w:rPr>
                <w:rFonts w:cstheme="minorHAnsi"/>
              </w:rPr>
            </w:pPr>
            <w:r w:rsidRPr="006A74F8">
              <w:rPr>
                <w:rFonts w:cstheme="minorHAnsi"/>
                <w:b/>
              </w:rPr>
              <w:t>Consumers</w:t>
            </w:r>
            <w:r w:rsidRPr="006A74F8">
              <w:rPr>
                <w:rFonts w:cstheme="minorHAnsi"/>
                <w:lang w:val="en-US"/>
              </w:rPr>
              <w:t>: Provides confidence for buyers and sellers of goods and services where the value relies on measurement</w:t>
            </w:r>
            <w:r w:rsidR="001C1724" w:rsidRPr="006A74F8">
              <w:rPr>
                <w:rFonts w:cstheme="minorHAnsi"/>
                <w:lang w:val="en-US"/>
              </w:rPr>
              <w:t>.</w:t>
            </w:r>
          </w:p>
          <w:p w:rsidR="00BE5017" w:rsidRPr="006A74F8" w:rsidRDefault="00BE5017" w:rsidP="004C54D2">
            <w:pPr>
              <w:pStyle w:val="ListParagraph"/>
              <w:numPr>
                <w:ilvl w:val="0"/>
                <w:numId w:val="5"/>
              </w:numPr>
              <w:spacing w:after="40" w:line="240" w:lineRule="auto"/>
              <w:contextualSpacing w:val="0"/>
              <w:rPr>
                <w:rFonts w:cstheme="minorHAnsi"/>
              </w:rPr>
            </w:pPr>
            <w:r w:rsidRPr="006A74F8">
              <w:rPr>
                <w:rFonts w:cstheme="minorHAnsi"/>
                <w:b/>
              </w:rPr>
              <w:t>Economy</w:t>
            </w:r>
            <w:r w:rsidRPr="006A74F8">
              <w:rPr>
                <w:rFonts w:cstheme="minorHAnsi"/>
              </w:rPr>
              <w:t>: Increased responsiveness to significant economic shifts and practices.</w:t>
            </w:r>
          </w:p>
          <w:p w:rsidR="00BE5017" w:rsidRPr="006A74F8" w:rsidRDefault="00BE5017" w:rsidP="004C54D2">
            <w:pPr>
              <w:pStyle w:val="ListParagraph"/>
              <w:numPr>
                <w:ilvl w:val="0"/>
                <w:numId w:val="5"/>
              </w:numPr>
              <w:spacing w:after="40" w:line="240" w:lineRule="auto"/>
              <w:contextualSpacing w:val="0"/>
              <w:rPr>
                <w:rFonts w:cstheme="minorHAnsi"/>
                <w:lang w:val="en-US"/>
              </w:rPr>
            </w:pPr>
            <w:r w:rsidRPr="006A74F8">
              <w:rPr>
                <w:rFonts w:cstheme="minorHAnsi"/>
                <w:b/>
              </w:rPr>
              <w:t>Innovation</w:t>
            </w:r>
            <w:r w:rsidRPr="006A74F8">
              <w:rPr>
                <w:rFonts w:cstheme="minorHAnsi"/>
              </w:rPr>
              <w:t xml:space="preserve">: </w:t>
            </w:r>
            <w:r w:rsidRPr="006A74F8">
              <w:rPr>
                <w:rFonts w:cstheme="minorHAnsi"/>
                <w:lang w:val="en-US"/>
              </w:rPr>
              <w:t>F</w:t>
            </w:r>
            <w:r w:rsidRPr="006A74F8">
              <w:rPr>
                <w:rFonts w:cstheme="minorHAnsi"/>
              </w:rPr>
              <w:t xml:space="preserve">lexibility to respond to industry </w:t>
            </w:r>
            <w:r w:rsidRPr="006A74F8">
              <w:rPr>
                <w:rFonts w:cstheme="minorHAnsi"/>
                <w:lang w:val="en-US"/>
              </w:rPr>
              <w:t>innovation</w:t>
            </w:r>
            <w:r w:rsidRPr="006A74F8">
              <w:rPr>
                <w:rFonts w:cstheme="minorHAnsi"/>
              </w:rPr>
              <w:t xml:space="preserve"> </w:t>
            </w:r>
            <w:r w:rsidRPr="006A74F8">
              <w:rPr>
                <w:rFonts w:cstheme="minorHAnsi"/>
                <w:lang w:val="en-US"/>
              </w:rPr>
              <w:t>and</w:t>
            </w:r>
            <w:r w:rsidRPr="006A74F8">
              <w:rPr>
                <w:rFonts w:cstheme="minorHAnsi"/>
              </w:rPr>
              <w:t xml:space="preserve"> technology changes. Ongoing support for innovation and investment.</w:t>
            </w:r>
          </w:p>
          <w:p w:rsidR="006E137F" w:rsidRPr="006A74F8" w:rsidRDefault="00BE5017" w:rsidP="00FB48D3">
            <w:pPr>
              <w:pStyle w:val="ListParagraph"/>
              <w:numPr>
                <w:ilvl w:val="0"/>
                <w:numId w:val="5"/>
              </w:numPr>
            </w:pPr>
            <w:r w:rsidRPr="006A74F8">
              <w:rPr>
                <w:rFonts w:cstheme="minorHAnsi"/>
                <w:b/>
                <w:lang w:val="en-US"/>
              </w:rPr>
              <w:t>Government</w:t>
            </w:r>
            <w:r w:rsidRPr="006A74F8">
              <w:rPr>
                <w:rFonts w:cstheme="minorHAnsi"/>
                <w:lang w:val="en-US"/>
              </w:rPr>
              <w:t>: NMI has greater ability to</w:t>
            </w:r>
            <w:r w:rsidR="00FB48D3" w:rsidRPr="006A74F8">
              <w:rPr>
                <w:rFonts w:cstheme="minorHAnsi"/>
                <w:lang w:val="en-US"/>
              </w:rPr>
              <w:t xml:space="preserve"> assist with overseeing the use of accurate and reliable measurement in Australia.</w:t>
            </w:r>
          </w:p>
        </w:tc>
        <w:tc>
          <w:tcPr>
            <w:tcW w:w="4110" w:type="dxa"/>
          </w:tcPr>
          <w:p w:rsidR="00BE5017" w:rsidRPr="006A74F8" w:rsidRDefault="00BE5017" w:rsidP="004C54D2">
            <w:pPr>
              <w:pStyle w:val="ListParagraph"/>
              <w:numPr>
                <w:ilvl w:val="0"/>
                <w:numId w:val="5"/>
              </w:numPr>
              <w:spacing w:after="40" w:line="240" w:lineRule="auto"/>
              <w:contextualSpacing w:val="0"/>
              <w:rPr>
                <w:rFonts w:cstheme="minorHAnsi"/>
              </w:rPr>
            </w:pPr>
            <w:r w:rsidRPr="006A74F8">
              <w:rPr>
                <w:rFonts w:cstheme="minorHAnsi"/>
                <w:b/>
              </w:rPr>
              <w:t>Industry</w:t>
            </w:r>
            <w:r w:rsidRPr="006A74F8">
              <w:rPr>
                <w:rFonts w:cstheme="minorHAnsi"/>
              </w:rPr>
              <w:t>: Increased flexibility may create less certainty for industry regarding future requirements and may affect investment</w:t>
            </w:r>
            <w:r w:rsidR="002E2A84" w:rsidRPr="006A74F8">
              <w:rPr>
                <w:rFonts w:cstheme="minorHAnsi"/>
              </w:rPr>
              <w:t xml:space="preserve"> in the short term</w:t>
            </w:r>
            <w:r w:rsidRPr="006A74F8">
              <w:rPr>
                <w:rFonts w:cstheme="minorHAnsi"/>
              </w:rPr>
              <w:t>. Mitigate through communication and consultation.</w:t>
            </w:r>
          </w:p>
          <w:p w:rsidR="006E137F" w:rsidRPr="006A74F8" w:rsidRDefault="00BE5017" w:rsidP="002E2A84">
            <w:pPr>
              <w:pStyle w:val="ListParagraph"/>
              <w:numPr>
                <w:ilvl w:val="0"/>
                <w:numId w:val="5"/>
              </w:numPr>
              <w:spacing w:line="240" w:lineRule="auto"/>
            </w:pPr>
            <w:r w:rsidRPr="006A74F8">
              <w:rPr>
                <w:rFonts w:cstheme="minorHAnsi"/>
                <w:b/>
              </w:rPr>
              <w:t>Consumers</w:t>
            </w:r>
            <w:r w:rsidRPr="006A74F8">
              <w:rPr>
                <w:rFonts w:cstheme="minorHAnsi"/>
              </w:rPr>
              <w:t xml:space="preserve">: Greater flexibility regarding packaging requirements </w:t>
            </w:r>
            <w:r w:rsidR="002E2A84" w:rsidRPr="006A74F8">
              <w:rPr>
                <w:rFonts w:cstheme="minorHAnsi"/>
              </w:rPr>
              <w:t xml:space="preserve">may </w:t>
            </w:r>
            <w:r w:rsidRPr="006A74F8">
              <w:rPr>
                <w:rFonts w:cstheme="minorHAnsi"/>
              </w:rPr>
              <w:t>increase time to locate the measurement marking.</w:t>
            </w:r>
          </w:p>
        </w:tc>
      </w:tr>
      <w:tr w:rsidR="006E137F" w:rsidRPr="006A74F8" w:rsidTr="00517AFF">
        <w:trPr>
          <w:trHeight w:val="438"/>
        </w:trPr>
        <w:tc>
          <w:tcPr>
            <w:tcW w:w="1277" w:type="dxa"/>
          </w:tcPr>
          <w:p w:rsidR="006E137F" w:rsidRPr="006A74F8" w:rsidRDefault="006E137F" w:rsidP="00FD7AC9">
            <w:pPr>
              <w:rPr>
                <w:b/>
                <w:szCs w:val="20"/>
              </w:rPr>
            </w:pPr>
            <w:r w:rsidRPr="006A74F8">
              <w:rPr>
                <w:b/>
                <w:szCs w:val="20"/>
              </w:rPr>
              <w:lastRenderedPageBreak/>
              <w:t>Option 3</w:t>
            </w:r>
          </w:p>
        </w:tc>
        <w:tc>
          <w:tcPr>
            <w:tcW w:w="3680" w:type="dxa"/>
          </w:tcPr>
          <w:p w:rsidR="00BE5017" w:rsidRPr="006A74F8" w:rsidRDefault="00BE5017" w:rsidP="00BE5017">
            <w:pPr>
              <w:spacing w:after="40" w:line="240" w:lineRule="auto"/>
              <w:rPr>
                <w:lang w:val="en-US"/>
              </w:rPr>
            </w:pPr>
            <w:r w:rsidRPr="006A74F8">
              <w:rPr>
                <w:lang w:val="en-US"/>
              </w:rPr>
              <w:t xml:space="preserve">As for </w:t>
            </w:r>
            <w:r w:rsidR="00DB21CE" w:rsidRPr="006A74F8">
              <w:rPr>
                <w:lang w:val="en-US"/>
              </w:rPr>
              <w:t>o</w:t>
            </w:r>
            <w:r w:rsidRPr="006A74F8">
              <w:rPr>
                <w:lang w:val="en-US"/>
              </w:rPr>
              <w:t>ption 2, plus:</w:t>
            </w:r>
          </w:p>
          <w:p w:rsidR="00BE5017" w:rsidRPr="006A74F8" w:rsidRDefault="00BE5017" w:rsidP="004C54D2">
            <w:pPr>
              <w:pStyle w:val="ListParagraph"/>
              <w:numPr>
                <w:ilvl w:val="0"/>
                <w:numId w:val="5"/>
              </w:numPr>
              <w:spacing w:after="40" w:line="240" w:lineRule="auto"/>
              <w:contextualSpacing w:val="0"/>
              <w:rPr>
                <w:rFonts w:cstheme="minorHAnsi"/>
                <w:lang w:val="en-US"/>
              </w:rPr>
            </w:pPr>
            <w:r w:rsidRPr="006A74F8">
              <w:rPr>
                <w:rFonts w:cstheme="minorHAnsi"/>
                <w:b/>
                <w:lang w:val="en-US"/>
              </w:rPr>
              <w:t>Government</w:t>
            </w:r>
            <w:r w:rsidRPr="006A74F8">
              <w:rPr>
                <w:rFonts w:cstheme="minorHAnsi"/>
                <w:lang w:val="en-US"/>
              </w:rPr>
              <w:t xml:space="preserve">: Power to be a generalist regulator and directly take action to address measurement issues encountered by other government agencies. </w:t>
            </w:r>
          </w:p>
          <w:p w:rsidR="006E137F" w:rsidRPr="006A74F8" w:rsidRDefault="00BE5017" w:rsidP="004C54D2">
            <w:pPr>
              <w:pStyle w:val="ListParagraph"/>
              <w:numPr>
                <w:ilvl w:val="0"/>
                <w:numId w:val="5"/>
              </w:numPr>
            </w:pPr>
            <w:r w:rsidRPr="006A74F8">
              <w:rPr>
                <w:rFonts w:cstheme="minorHAnsi"/>
                <w:b/>
              </w:rPr>
              <w:t>Innovation</w:t>
            </w:r>
            <w:r w:rsidRPr="006A74F8">
              <w:rPr>
                <w:rFonts w:cstheme="minorHAnsi"/>
              </w:rPr>
              <w:t>: Applying NMI expertise supports adoption of new technologies and leverages capability to support government outcomes.</w:t>
            </w:r>
          </w:p>
        </w:tc>
        <w:tc>
          <w:tcPr>
            <w:tcW w:w="4110" w:type="dxa"/>
          </w:tcPr>
          <w:p w:rsidR="00BE5017" w:rsidRPr="006A74F8" w:rsidRDefault="00BE5017" w:rsidP="00BE5017">
            <w:pPr>
              <w:spacing w:after="40" w:line="240" w:lineRule="auto"/>
              <w:rPr>
                <w:lang w:val="en-US"/>
              </w:rPr>
            </w:pPr>
            <w:r w:rsidRPr="006A74F8">
              <w:rPr>
                <w:lang w:val="en-US"/>
              </w:rPr>
              <w:t xml:space="preserve">As for </w:t>
            </w:r>
            <w:r w:rsidR="00DB21CE" w:rsidRPr="006A74F8">
              <w:rPr>
                <w:lang w:val="en-US"/>
              </w:rPr>
              <w:t>o</w:t>
            </w:r>
            <w:r w:rsidRPr="006A74F8">
              <w:rPr>
                <w:lang w:val="en-US"/>
              </w:rPr>
              <w:t>ption 2, plus:</w:t>
            </w:r>
          </w:p>
          <w:p w:rsidR="00BE5017" w:rsidRPr="006A74F8" w:rsidRDefault="00BE5017" w:rsidP="004C54D2">
            <w:pPr>
              <w:pStyle w:val="ListParagraph"/>
              <w:numPr>
                <w:ilvl w:val="0"/>
                <w:numId w:val="5"/>
              </w:numPr>
              <w:spacing w:after="40" w:line="240" w:lineRule="auto"/>
              <w:contextualSpacing w:val="0"/>
              <w:rPr>
                <w:rFonts w:cstheme="minorHAnsi"/>
              </w:rPr>
            </w:pPr>
            <w:r w:rsidRPr="006A74F8">
              <w:rPr>
                <w:rFonts w:cstheme="minorHAnsi"/>
                <w:b/>
              </w:rPr>
              <w:t>Industry</w:t>
            </w:r>
            <w:r w:rsidRPr="006A74F8">
              <w:rPr>
                <w:rFonts w:cstheme="minorHAnsi"/>
              </w:rPr>
              <w:t xml:space="preserve">: Industry may need to deal with multiple regulators for differing requirements for </w:t>
            </w:r>
            <w:r w:rsidR="002E2A84" w:rsidRPr="006A74F8">
              <w:rPr>
                <w:rFonts w:cstheme="minorHAnsi"/>
              </w:rPr>
              <w:t xml:space="preserve">the </w:t>
            </w:r>
            <w:r w:rsidRPr="006A74F8">
              <w:rPr>
                <w:rFonts w:cstheme="minorHAnsi"/>
              </w:rPr>
              <w:t xml:space="preserve">same activity. Perception of increased regulatory burden. Agency cooperation may reduce actual burden. </w:t>
            </w:r>
          </w:p>
          <w:p w:rsidR="006E137F" w:rsidRPr="006A74F8" w:rsidRDefault="00BE5017" w:rsidP="004C54D2">
            <w:pPr>
              <w:pStyle w:val="ListParagraph"/>
              <w:numPr>
                <w:ilvl w:val="0"/>
                <w:numId w:val="5"/>
              </w:numPr>
            </w:pPr>
            <w:r w:rsidRPr="006A74F8">
              <w:rPr>
                <w:rFonts w:cstheme="minorHAnsi"/>
                <w:b/>
              </w:rPr>
              <w:t>Government</w:t>
            </w:r>
            <w:r w:rsidRPr="006A74F8">
              <w:rPr>
                <w:rFonts w:cstheme="minorHAnsi"/>
              </w:rPr>
              <w:t xml:space="preserve">: </w:t>
            </w:r>
            <w:r w:rsidR="00E92423" w:rsidRPr="006A74F8">
              <w:rPr>
                <w:rFonts w:cstheme="minorHAnsi"/>
              </w:rPr>
              <w:t>C</w:t>
            </w:r>
            <w:r w:rsidRPr="006A74F8">
              <w:rPr>
                <w:rFonts w:cstheme="minorHAnsi"/>
              </w:rPr>
              <w:t xml:space="preserve">apacity and resourcing </w:t>
            </w:r>
            <w:r w:rsidR="00E92423" w:rsidRPr="006A74F8">
              <w:rPr>
                <w:rFonts w:cstheme="minorHAnsi"/>
              </w:rPr>
              <w:t>challenges</w:t>
            </w:r>
            <w:r w:rsidRPr="006A74F8">
              <w:rPr>
                <w:rFonts w:cstheme="minorHAnsi"/>
              </w:rPr>
              <w:t>.</w:t>
            </w:r>
          </w:p>
        </w:tc>
      </w:tr>
    </w:tbl>
    <w:p w:rsidR="008857E0" w:rsidRPr="006A74F8" w:rsidRDefault="008857E0" w:rsidP="00FD7AC9">
      <w:bookmarkStart w:id="1363" w:name="_Toc57891537"/>
      <w:bookmarkStart w:id="1364" w:name="_Toc58228985"/>
      <w:bookmarkStart w:id="1365" w:name="_Toc58501221"/>
      <w:bookmarkStart w:id="1366" w:name="_Toc61338678"/>
      <w:bookmarkStart w:id="1367" w:name="_Toc57637407"/>
      <w:bookmarkStart w:id="1368" w:name="_Toc57637474"/>
    </w:p>
    <w:p w:rsidR="006E137F" w:rsidRPr="006A74F8" w:rsidRDefault="007138AB" w:rsidP="00FD7AC9">
      <w:pPr>
        <w:pStyle w:val="Heading2"/>
      </w:pPr>
      <w:bookmarkStart w:id="1369" w:name="_Toc63062590"/>
      <w:bookmarkStart w:id="1370" w:name="_Toc64895631"/>
      <w:bookmarkStart w:id="1371" w:name="_Toc64900838"/>
      <w:bookmarkStart w:id="1372" w:name="_Toc64903104"/>
      <w:bookmarkStart w:id="1373" w:name="_Toc64904043"/>
      <w:bookmarkStart w:id="1374" w:name="_Toc64904265"/>
      <w:bookmarkStart w:id="1375" w:name="_Toc64904708"/>
      <w:bookmarkStart w:id="1376" w:name="_Toc64905222"/>
      <w:bookmarkStart w:id="1377" w:name="_Toc64963999"/>
      <w:bookmarkStart w:id="1378" w:name="_Toc64974597"/>
      <w:bookmarkStart w:id="1379" w:name="_Toc64976298"/>
      <w:bookmarkStart w:id="1380" w:name="_Toc65149672"/>
      <w:bookmarkStart w:id="1381" w:name="_Toc65491082"/>
      <w:bookmarkStart w:id="1382" w:name="_Toc65504818"/>
      <w:bookmarkStart w:id="1383" w:name="_Toc65757901"/>
      <w:bookmarkStart w:id="1384" w:name="_Toc65769496"/>
      <w:bookmarkStart w:id="1385" w:name="_Toc65766864"/>
      <w:bookmarkStart w:id="1386" w:name="_Toc65772638"/>
      <w:bookmarkStart w:id="1387" w:name="_Toc66435696"/>
      <w:bookmarkStart w:id="1388" w:name="_Toc66436485"/>
      <w:bookmarkStart w:id="1389" w:name="_Toc66437696"/>
      <w:bookmarkStart w:id="1390" w:name="_Toc66440035"/>
      <w:bookmarkStart w:id="1391" w:name="_Toc66442238"/>
      <w:bookmarkStart w:id="1392" w:name="_Toc66451907"/>
      <w:bookmarkStart w:id="1393" w:name="_Toc66459184"/>
      <w:bookmarkStart w:id="1394" w:name="_Toc66460238"/>
      <w:bookmarkStart w:id="1395" w:name="_Toc67305388"/>
      <w:bookmarkStart w:id="1396" w:name="_Toc67306301"/>
      <w:bookmarkStart w:id="1397" w:name="_Toc67306753"/>
      <w:bookmarkStart w:id="1398" w:name="_Toc67313603"/>
      <w:bookmarkStart w:id="1399" w:name="_Toc67320796"/>
      <w:bookmarkStart w:id="1400" w:name="_Toc67321949"/>
      <w:bookmarkStart w:id="1401" w:name="_Toc67324414"/>
      <w:bookmarkStart w:id="1402" w:name="_Toc67326575"/>
      <w:bookmarkEnd w:id="1363"/>
      <w:bookmarkEnd w:id="1364"/>
      <w:bookmarkEnd w:id="1365"/>
      <w:bookmarkEnd w:id="1366"/>
      <w:r w:rsidRPr="006A74F8">
        <w:t>C</w:t>
      </w:r>
      <w:r w:rsidR="006E137F" w:rsidRPr="006A74F8">
        <w:t>hanges</w:t>
      </w:r>
      <w:bookmarkEnd w:id="1369"/>
      <w:bookmarkEnd w:id="1370"/>
      <w:r w:rsidR="0074701D" w:rsidRPr="006A74F8">
        <w:t xml:space="preserve"> to the legislation</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r w:rsidR="005D3CBA" w:rsidRPr="006A74F8">
        <w:t xml:space="preserve"> under the options</w:t>
      </w:r>
      <w:r w:rsidR="006E137F" w:rsidRPr="006A74F8">
        <w:t xml:space="preserve"> </w:t>
      </w:r>
      <w:bookmarkEnd w:id="1367"/>
      <w:bookmarkEnd w:id="1368"/>
      <w:bookmarkEnd w:id="1395"/>
      <w:bookmarkEnd w:id="1396"/>
      <w:bookmarkEnd w:id="1397"/>
      <w:bookmarkEnd w:id="1398"/>
      <w:bookmarkEnd w:id="1399"/>
      <w:bookmarkEnd w:id="1400"/>
      <w:bookmarkEnd w:id="1401"/>
      <w:bookmarkEnd w:id="1402"/>
    </w:p>
    <w:p w:rsidR="006E137F" w:rsidRPr="006A74F8" w:rsidRDefault="006E137F" w:rsidP="00FD7AC9">
      <w:r w:rsidRPr="006A74F8">
        <w:t xml:space="preserve">The reform options introduce a number of changes </w:t>
      </w:r>
      <w:r w:rsidR="002541D5" w:rsidRPr="006A74F8">
        <w:t xml:space="preserve">to </w:t>
      </w:r>
      <w:r w:rsidR="00AB10CE" w:rsidRPr="006A74F8">
        <w:t>key legislative elements</w:t>
      </w:r>
      <w:r w:rsidR="002541D5" w:rsidRPr="006A74F8">
        <w:t xml:space="preserve"> </w:t>
      </w:r>
      <w:r w:rsidR="0074701D" w:rsidRPr="006A74F8">
        <w:t>that have broad reaching impacts on</w:t>
      </w:r>
      <w:r w:rsidRPr="006A74F8">
        <w:t xml:space="preserve"> the measurement </w:t>
      </w:r>
      <w:r w:rsidR="007720D5" w:rsidRPr="006A74F8">
        <w:t xml:space="preserve">legislative </w:t>
      </w:r>
      <w:r w:rsidRPr="006A74F8">
        <w:t xml:space="preserve">framework. They introduce flexibility as well as additional opportunities to extend, exempt or expand certain requirements. </w:t>
      </w:r>
      <w:r w:rsidR="002539F5" w:rsidRPr="006A74F8">
        <w:t xml:space="preserve">The changes </w:t>
      </w:r>
      <w:r w:rsidR="008733B8" w:rsidRPr="006A74F8">
        <w:t>are implemented di</w:t>
      </w:r>
      <w:r w:rsidR="008441AB" w:rsidRPr="006A74F8">
        <w:t>fferently across the 3</w:t>
      </w:r>
      <w:r w:rsidR="008733B8" w:rsidRPr="006A74F8">
        <w:t xml:space="preserve"> reform options</w:t>
      </w:r>
      <w:r w:rsidR="00C44EE2" w:rsidRPr="006A74F8">
        <w:t xml:space="preserve">, discussed </w:t>
      </w:r>
      <w:r w:rsidR="006A0223" w:rsidRPr="006A74F8">
        <w:t>in further detail</w:t>
      </w:r>
      <w:r w:rsidR="00C44EE2" w:rsidRPr="006A74F8">
        <w:t xml:space="preserve"> below,</w:t>
      </w:r>
      <w:r w:rsidR="008733B8" w:rsidRPr="006A74F8">
        <w:t xml:space="preserve"> and </w:t>
      </w:r>
      <w:r w:rsidR="002539F5" w:rsidRPr="006A74F8">
        <w:t>include:</w:t>
      </w:r>
    </w:p>
    <w:p w:rsidR="002539F5" w:rsidRPr="006A74F8" w:rsidRDefault="008733B8" w:rsidP="00893CD3">
      <w:pPr>
        <w:pStyle w:val="ListParagraph"/>
        <w:numPr>
          <w:ilvl w:val="0"/>
          <w:numId w:val="86"/>
        </w:numPr>
      </w:pPr>
      <w:r w:rsidRPr="006A74F8">
        <w:t>s</w:t>
      </w:r>
      <w:r w:rsidR="002539F5" w:rsidRPr="006A74F8">
        <w:t>hifting to a principles-based approach in legislation</w:t>
      </w:r>
    </w:p>
    <w:p w:rsidR="005C7C95" w:rsidRPr="006A74F8" w:rsidRDefault="005C7C95" w:rsidP="005C7C95">
      <w:pPr>
        <w:pStyle w:val="ListParagraph"/>
        <w:numPr>
          <w:ilvl w:val="0"/>
          <w:numId w:val="86"/>
        </w:numPr>
      </w:pPr>
      <w:r w:rsidRPr="006A74F8">
        <w:t>clarifying Government’s role to underpin accurate and rel</w:t>
      </w:r>
      <w:r w:rsidR="008C4110" w:rsidRPr="006A74F8">
        <w:t>iable measurement and support</w:t>
      </w:r>
      <w:r w:rsidRPr="006A74F8">
        <w:t xml:space="preserve"> other regulators </w:t>
      </w:r>
    </w:p>
    <w:p w:rsidR="002539F5" w:rsidRPr="006A74F8" w:rsidRDefault="008733B8" w:rsidP="00893CD3">
      <w:pPr>
        <w:pStyle w:val="ListParagraph"/>
        <w:numPr>
          <w:ilvl w:val="0"/>
          <w:numId w:val="86"/>
        </w:numPr>
      </w:pPr>
      <w:r w:rsidRPr="006A74F8">
        <w:t>c</w:t>
      </w:r>
      <w:r w:rsidR="002539F5" w:rsidRPr="006A74F8">
        <w:t>hanges to the traceability framework</w:t>
      </w:r>
    </w:p>
    <w:p w:rsidR="002539F5" w:rsidRPr="006A74F8" w:rsidRDefault="008733B8" w:rsidP="00893CD3">
      <w:pPr>
        <w:pStyle w:val="ListParagraph"/>
        <w:numPr>
          <w:ilvl w:val="0"/>
          <w:numId w:val="86"/>
        </w:numPr>
      </w:pPr>
      <w:r w:rsidRPr="006A74F8">
        <w:t>c</w:t>
      </w:r>
      <w:r w:rsidR="002539F5" w:rsidRPr="006A74F8">
        <w:t>hanging the way measuring instruments are regulated</w:t>
      </w:r>
    </w:p>
    <w:p w:rsidR="005C7C95" w:rsidRPr="006A74F8" w:rsidRDefault="005C7C95" w:rsidP="005C7C95">
      <w:pPr>
        <w:pStyle w:val="ListParagraph"/>
        <w:numPr>
          <w:ilvl w:val="0"/>
          <w:numId w:val="86"/>
        </w:numPr>
      </w:pPr>
      <w:r w:rsidRPr="006A74F8">
        <w:t>changes affecting ATPs</w:t>
      </w:r>
    </w:p>
    <w:p w:rsidR="005C7C95" w:rsidRPr="006A74F8" w:rsidRDefault="00832D10" w:rsidP="00832D10">
      <w:pPr>
        <w:pStyle w:val="ListParagraph"/>
        <w:numPr>
          <w:ilvl w:val="0"/>
          <w:numId w:val="86"/>
        </w:numPr>
      </w:pPr>
      <w:r w:rsidRPr="006A74F8">
        <w:t>expanding scope of coverage from shortfall to false or misleading measurement statements</w:t>
      </w:r>
    </w:p>
    <w:p w:rsidR="002539F5" w:rsidRPr="006A74F8" w:rsidRDefault="008733B8" w:rsidP="00893CD3">
      <w:pPr>
        <w:pStyle w:val="ListParagraph"/>
        <w:numPr>
          <w:ilvl w:val="0"/>
          <w:numId w:val="86"/>
        </w:numPr>
      </w:pPr>
      <w:r w:rsidRPr="006A74F8">
        <w:t>c</w:t>
      </w:r>
      <w:r w:rsidR="002539F5" w:rsidRPr="006A74F8">
        <w:t xml:space="preserve">hanges to </w:t>
      </w:r>
      <w:r w:rsidR="00353509" w:rsidRPr="006A74F8">
        <w:t xml:space="preserve">requirements </w:t>
      </w:r>
      <w:r w:rsidR="00832D10" w:rsidRPr="006A74F8">
        <w:t>for</w:t>
      </w:r>
      <w:r w:rsidR="00353509" w:rsidRPr="006A74F8">
        <w:t xml:space="preserve"> </w:t>
      </w:r>
      <w:r w:rsidR="002539F5" w:rsidRPr="006A74F8">
        <w:t xml:space="preserve">use </w:t>
      </w:r>
      <w:r w:rsidR="00243277" w:rsidRPr="006A74F8">
        <w:t xml:space="preserve">of </w:t>
      </w:r>
      <w:r w:rsidR="002539F5" w:rsidRPr="006A74F8">
        <w:t xml:space="preserve">alternative units of measurement and use of </w:t>
      </w:r>
      <w:r w:rsidR="00353509" w:rsidRPr="006A74F8">
        <w:t xml:space="preserve">measuring </w:t>
      </w:r>
      <w:r w:rsidR="002539F5" w:rsidRPr="006A74F8">
        <w:t>instrument</w:t>
      </w:r>
      <w:r w:rsidR="00353509" w:rsidRPr="006A74F8">
        <w:t>s</w:t>
      </w:r>
    </w:p>
    <w:p w:rsidR="002539F5" w:rsidRPr="006A74F8" w:rsidRDefault="008733B8" w:rsidP="00893CD3">
      <w:pPr>
        <w:pStyle w:val="ListParagraph"/>
        <w:numPr>
          <w:ilvl w:val="0"/>
          <w:numId w:val="86"/>
        </w:numPr>
      </w:pPr>
      <w:r w:rsidRPr="006A74F8">
        <w:t>a</w:t>
      </w:r>
      <w:r w:rsidR="002539F5" w:rsidRPr="006A74F8">
        <w:t xml:space="preserve"> principles-based approach to marking packaged products </w:t>
      </w:r>
    </w:p>
    <w:p w:rsidR="002539F5" w:rsidRPr="006A74F8" w:rsidRDefault="008733B8" w:rsidP="00893CD3">
      <w:pPr>
        <w:pStyle w:val="ListParagraph"/>
        <w:numPr>
          <w:ilvl w:val="0"/>
          <w:numId w:val="86"/>
        </w:numPr>
      </w:pPr>
      <w:r w:rsidRPr="006A74F8">
        <w:t>a</w:t>
      </w:r>
      <w:r w:rsidR="002539F5" w:rsidRPr="006A74F8">
        <w:t>dditional compliance and enforcement arrangements across all options</w:t>
      </w:r>
      <w:r w:rsidRPr="006A74F8">
        <w:t>.</w:t>
      </w:r>
    </w:p>
    <w:p w:rsidR="006E137F" w:rsidRPr="006A74F8" w:rsidRDefault="006E137F" w:rsidP="00FD7AC9">
      <w:r w:rsidRPr="006A74F8">
        <w:t>Some of these changes w</w:t>
      </w:r>
      <w:r w:rsidR="00E03B71" w:rsidRPr="006A74F8">
        <w:t>ould</w:t>
      </w:r>
      <w:r w:rsidRPr="006A74F8">
        <w:t xml:space="preserve"> occur from the introduction of the legislation, but others </w:t>
      </w:r>
      <w:r w:rsidR="00E1072F" w:rsidRPr="006A74F8">
        <w:t xml:space="preserve">would </w:t>
      </w:r>
      <w:r w:rsidRPr="006A74F8">
        <w:t>be introduced following a subsequent process of analysis and consultation with affected stakeholders.</w:t>
      </w:r>
      <w:r w:rsidR="00E9060E" w:rsidRPr="006A74F8">
        <w:t xml:space="preserve"> Where reform options introduce new substantive obligations (e.g. new obligation</w:t>
      </w:r>
      <w:r w:rsidR="001062E6" w:rsidRPr="006A74F8">
        <w:t>s</w:t>
      </w:r>
      <w:r w:rsidR="00E9060E" w:rsidRPr="006A74F8">
        <w:t xml:space="preserve"> that would result in behaviour </w:t>
      </w:r>
      <w:r w:rsidR="00092132" w:rsidRPr="006A74F8">
        <w:t xml:space="preserve">that is currently acceptable </w:t>
      </w:r>
      <w:r w:rsidR="00E9060E" w:rsidRPr="006A74F8">
        <w:t>no longer being permitted) appropriate transition periods would be implemented to provide time to make necessary adjustments.</w:t>
      </w:r>
    </w:p>
    <w:p w:rsidR="006E137F" w:rsidRPr="006A74F8" w:rsidRDefault="006E137F" w:rsidP="00FD7AC9">
      <w:r w:rsidRPr="006A74F8">
        <w:t xml:space="preserve">Changes apply across the reform options in varying ways as outlined below. </w:t>
      </w:r>
      <w:r w:rsidR="009D586A" w:rsidRPr="006A74F8">
        <w:t xml:space="preserve">A summary of day 1 changes is provided in </w:t>
      </w:r>
      <w:hyperlink w:anchor="_Appendix_4:_When" w:history="1">
        <w:r w:rsidR="008E19EA" w:rsidRPr="006A74F8">
          <w:rPr>
            <w:rStyle w:val="Hyperlink"/>
          </w:rPr>
          <w:t xml:space="preserve">Appendix </w:t>
        </w:r>
        <w:r w:rsidR="0011416C" w:rsidRPr="006A74F8">
          <w:rPr>
            <w:rStyle w:val="Hyperlink"/>
          </w:rPr>
          <w:t>3</w:t>
        </w:r>
        <w:r w:rsidR="008E19EA" w:rsidRPr="006A74F8">
          <w:rPr>
            <w:rStyle w:val="Hyperlink"/>
          </w:rPr>
          <w:t>.</w:t>
        </w:r>
      </w:hyperlink>
    </w:p>
    <w:p w:rsidR="00142C5D" w:rsidRPr="006A74F8" w:rsidRDefault="006E137F" w:rsidP="00FD7AC9">
      <w:pPr>
        <w:pStyle w:val="Heading3"/>
      </w:pPr>
      <w:r w:rsidRPr="006A74F8">
        <w:t xml:space="preserve">Shifting to </w:t>
      </w:r>
      <w:r w:rsidR="00846D1A" w:rsidRPr="006A74F8">
        <w:t xml:space="preserve">a </w:t>
      </w:r>
      <w:r w:rsidRPr="006A74F8">
        <w:t xml:space="preserve">principles-based approach in </w:t>
      </w:r>
      <w:r w:rsidR="00846D1A" w:rsidRPr="006A74F8">
        <w:t xml:space="preserve">the </w:t>
      </w:r>
      <w:r w:rsidRPr="006A74F8">
        <w:t>legislation</w:t>
      </w:r>
    </w:p>
    <w:p w:rsidR="00142C5D" w:rsidRPr="006A74F8" w:rsidRDefault="00142C5D" w:rsidP="00816F3F">
      <w:pPr>
        <w:pBdr>
          <w:top w:val="single" w:sz="4" w:space="6" w:color="DFF3F3"/>
          <w:left w:val="single" w:sz="4" w:space="4" w:color="DFF3F3"/>
          <w:bottom w:val="single" w:sz="4" w:space="6" w:color="DFF3F3"/>
          <w:right w:val="single" w:sz="4" w:space="4" w:color="DFF3F3"/>
        </w:pBdr>
        <w:shd w:val="clear" w:color="auto" w:fill="DFF3F3" w:themeFill="accent4" w:themeFillTint="33"/>
        <w:spacing w:before="360" w:after="360"/>
        <w:ind w:right="96"/>
        <w:rPr>
          <w:rFonts w:ascii="Calibri" w:eastAsia="Calibri" w:hAnsi="Calibri" w:cs="Calibri"/>
          <w:i/>
          <w:color w:val="000000"/>
          <w:bdr w:val="none" w:sz="0" w:space="0" w:color="auto" w:frame="1"/>
        </w:rPr>
      </w:pPr>
      <w:r w:rsidRPr="006A74F8">
        <w:rPr>
          <w:rFonts w:ascii="Calibri" w:eastAsia="Calibri" w:hAnsi="Calibri" w:cs="Times New Roman"/>
          <w:i/>
        </w:rPr>
        <w:t>Principles-based legislation s</w:t>
      </w:r>
      <w:r w:rsidRPr="006A74F8">
        <w:rPr>
          <w:rFonts w:ascii="Calibri" w:eastAsia="Calibri" w:hAnsi="Calibri" w:cs="Calibri"/>
          <w:i/>
          <w:color w:val="000000"/>
          <w:bdr w:val="none" w:sz="0" w:space="0" w:color="auto" w:frame="1"/>
        </w:rPr>
        <w:t>tates what the outcome (or principle) is that must be achieved and leaves the m</w:t>
      </w:r>
      <w:r w:rsidR="005B58D9" w:rsidRPr="006A74F8">
        <w:rPr>
          <w:rFonts w:ascii="Calibri" w:eastAsia="Calibri" w:hAnsi="Calibri" w:cs="Calibri"/>
          <w:i/>
          <w:color w:val="000000"/>
          <w:bdr w:val="none" w:sz="0" w:space="0" w:color="auto" w:frame="1"/>
        </w:rPr>
        <w:t>ethod</w:t>
      </w:r>
      <w:r w:rsidRPr="006A74F8">
        <w:rPr>
          <w:rFonts w:ascii="Calibri" w:eastAsia="Calibri" w:hAnsi="Calibri" w:cs="Calibri"/>
          <w:i/>
          <w:color w:val="000000"/>
          <w:bdr w:val="none" w:sz="0" w:space="0" w:color="auto" w:frame="1"/>
        </w:rPr>
        <w:t xml:space="preserve"> of compliance to be determined by the relevant party.</w:t>
      </w:r>
      <w:r w:rsidR="00710578" w:rsidRPr="006A74F8">
        <w:rPr>
          <w:rFonts w:ascii="Calibri" w:eastAsia="Calibri" w:hAnsi="Calibri" w:cs="Calibri"/>
          <w:i/>
          <w:color w:val="000000"/>
          <w:bdr w:val="none" w:sz="0" w:space="0" w:color="auto" w:frame="1"/>
        </w:rPr>
        <w:t xml:space="preserve"> </w:t>
      </w:r>
      <w:r w:rsidR="001010C3" w:rsidRPr="006A74F8">
        <w:rPr>
          <w:rFonts w:ascii="Calibri" w:eastAsia="Calibri" w:hAnsi="Calibri" w:cs="Times New Roman"/>
          <w:i/>
        </w:rPr>
        <w:t xml:space="preserve">This </w:t>
      </w:r>
      <w:r w:rsidR="005B58D9" w:rsidRPr="006A74F8">
        <w:rPr>
          <w:rFonts w:ascii="Calibri" w:eastAsia="Calibri" w:hAnsi="Calibri" w:cs="Times New Roman"/>
          <w:i/>
        </w:rPr>
        <w:t xml:space="preserve">enables multiple </w:t>
      </w:r>
      <w:r w:rsidR="005B58D9" w:rsidRPr="006A74F8">
        <w:rPr>
          <w:rFonts w:ascii="Calibri" w:eastAsia="Calibri" w:hAnsi="Calibri" w:cs="Times New Roman"/>
          <w:i/>
        </w:rPr>
        <w:lastRenderedPageBreak/>
        <w:t xml:space="preserve">possible compliance pathways </w:t>
      </w:r>
      <w:r w:rsidR="001010C3" w:rsidRPr="006A74F8">
        <w:rPr>
          <w:rFonts w:ascii="Calibri" w:eastAsia="Calibri" w:hAnsi="Calibri" w:cs="Times New Roman"/>
          <w:i/>
        </w:rPr>
        <w:t>u</w:t>
      </w:r>
      <w:r w:rsidRPr="006A74F8">
        <w:rPr>
          <w:rFonts w:ascii="Calibri" w:eastAsia="Calibri" w:hAnsi="Calibri" w:cs="Times New Roman"/>
          <w:i/>
        </w:rPr>
        <w:t>nlike prescriptive legislation, which imposes detailed requirements on h</w:t>
      </w:r>
      <w:r w:rsidR="00710578" w:rsidRPr="006A74F8">
        <w:rPr>
          <w:rFonts w:ascii="Calibri" w:eastAsia="Calibri" w:hAnsi="Calibri" w:cs="Times New Roman"/>
          <w:i/>
        </w:rPr>
        <w:t>ow an outcome must be achieved.</w:t>
      </w:r>
    </w:p>
    <w:p w:rsidR="00142C5D" w:rsidRPr="006A74F8" w:rsidRDefault="00142C5D" w:rsidP="00816F3F">
      <w:pPr>
        <w:pBdr>
          <w:top w:val="single" w:sz="4" w:space="6" w:color="DFF3F3"/>
          <w:left w:val="single" w:sz="4" w:space="4" w:color="DFF3F3"/>
          <w:bottom w:val="single" w:sz="4" w:space="6" w:color="DFF3F3"/>
          <w:right w:val="single" w:sz="4" w:space="4" w:color="DFF3F3"/>
        </w:pBdr>
        <w:shd w:val="clear" w:color="auto" w:fill="DFF3F3" w:themeFill="accent4" w:themeFillTint="33"/>
        <w:spacing w:before="360" w:after="360"/>
        <w:ind w:right="96"/>
      </w:pPr>
      <w:r w:rsidRPr="006A74F8">
        <w:rPr>
          <w:rFonts w:ascii="Calibri" w:eastAsia="Calibri" w:hAnsi="Calibri" w:cs="Calibri"/>
          <w:i/>
          <w:color w:val="000000"/>
          <w:bdr w:val="none" w:sz="0" w:space="0" w:color="auto" w:frame="1"/>
        </w:rPr>
        <w:t>The primary benefit of principles-based legislation is that it is flexible in adapting to changing circumstances</w:t>
      </w:r>
      <w:r w:rsidR="00710578" w:rsidRPr="006A74F8">
        <w:rPr>
          <w:rFonts w:ascii="Calibri" w:eastAsia="Calibri" w:hAnsi="Calibri" w:cs="Calibri"/>
          <w:i/>
          <w:color w:val="000000"/>
          <w:bdr w:val="none" w:sz="0" w:space="0" w:color="auto" w:frame="1"/>
        </w:rPr>
        <w:t xml:space="preserve"> and</w:t>
      </w:r>
      <w:r w:rsidRPr="006A74F8">
        <w:rPr>
          <w:rFonts w:ascii="Calibri" w:eastAsia="Calibri" w:hAnsi="Calibri" w:cs="Calibri"/>
          <w:i/>
          <w:color w:val="000000"/>
          <w:bdr w:val="none" w:sz="0" w:space="0" w:color="auto" w:frame="1"/>
        </w:rPr>
        <w:t xml:space="preserve"> scenarios. </w:t>
      </w:r>
    </w:p>
    <w:p w:rsidR="002421D9" w:rsidRPr="006A74F8" w:rsidRDefault="002421D9" w:rsidP="002421D9">
      <w:r w:rsidRPr="006A74F8">
        <w:t xml:space="preserve">Shifting to principles-based legislation typically requires: </w:t>
      </w:r>
    </w:p>
    <w:p w:rsidR="002421D9" w:rsidRPr="006A74F8" w:rsidRDefault="002421D9" w:rsidP="002421D9">
      <w:pPr>
        <w:pStyle w:val="ListParagraph"/>
        <w:numPr>
          <w:ilvl w:val="0"/>
          <w:numId w:val="27"/>
        </w:numPr>
      </w:pPr>
      <w:r w:rsidRPr="006A74F8">
        <w:t>a full redraft of legislation</w:t>
      </w:r>
    </w:p>
    <w:p w:rsidR="002421D9" w:rsidRPr="006A74F8" w:rsidRDefault="002421D9" w:rsidP="002421D9">
      <w:pPr>
        <w:pStyle w:val="ListParagraph"/>
        <w:numPr>
          <w:ilvl w:val="0"/>
          <w:numId w:val="27"/>
        </w:numPr>
      </w:pPr>
      <w:r w:rsidRPr="006A74F8">
        <w:t>significant technical policy capability that can provide detailed guidance documents on how to interpret the legislation</w:t>
      </w:r>
    </w:p>
    <w:p w:rsidR="002421D9" w:rsidRPr="006A74F8" w:rsidRDefault="002421D9" w:rsidP="002421D9">
      <w:pPr>
        <w:pStyle w:val="ListParagraph"/>
        <w:numPr>
          <w:ilvl w:val="0"/>
          <w:numId w:val="27"/>
        </w:numPr>
      </w:pPr>
      <w:r w:rsidRPr="006A74F8">
        <w:t>education programs to ensure understanding of what is required and how to comply with the legislation</w:t>
      </w:r>
    </w:p>
    <w:p w:rsidR="002421D9" w:rsidRPr="006A74F8" w:rsidRDefault="002421D9" w:rsidP="002421D9">
      <w:pPr>
        <w:pStyle w:val="ListParagraph"/>
        <w:numPr>
          <w:ilvl w:val="0"/>
          <w:numId w:val="27"/>
        </w:numPr>
      </w:pPr>
      <w:r w:rsidRPr="006A74F8">
        <w:t>a phased transition of some elements</w:t>
      </w:r>
    </w:p>
    <w:p w:rsidR="002421D9" w:rsidRPr="006A74F8" w:rsidRDefault="002421D9" w:rsidP="002421D9">
      <w:pPr>
        <w:pStyle w:val="ListParagraph"/>
        <w:numPr>
          <w:ilvl w:val="0"/>
          <w:numId w:val="27"/>
        </w:numPr>
      </w:pPr>
      <w:r w:rsidRPr="006A74F8">
        <w:t xml:space="preserve">a sophisticated monitoring capability for compliance. </w:t>
      </w:r>
    </w:p>
    <w:p w:rsidR="00EE7192" w:rsidRPr="006A74F8" w:rsidRDefault="006E137F" w:rsidP="00FD7AC9">
      <w:r w:rsidRPr="006A74F8">
        <w:t xml:space="preserve">The current legislation is highly prescriptive. While some simplification of the legislation is aimed for </w:t>
      </w:r>
      <w:r w:rsidR="001B182C" w:rsidRPr="006A74F8">
        <w:rPr>
          <w:b/>
        </w:rPr>
        <w:t>o</w:t>
      </w:r>
      <w:r w:rsidRPr="006A74F8">
        <w:rPr>
          <w:b/>
        </w:rPr>
        <w:t>ption 1</w:t>
      </w:r>
      <w:r w:rsidRPr="006A74F8">
        <w:t xml:space="preserve">, a </w:t>
      </w:r>
      <w:r w:rsidR="001A462A" w:rsidRPr="006A74F8">
        <w:t xml:space="preserve">holistic </w:t>
      </w:r>
      <w:r w:rsidRPr="006A74F8">
        <w:t xml:space="preserve">principles-based approach is common to </w:t>
      </w:r>
      <w:r w:rsidR="001B182C" w:rsidRPr="006A74F8">
        <w:rPr>
          <w:b/>
        </w:rPr>
        <w:t>o</w:t>
      </w:r>
      <w:r w:rsidRPr="006A74F8">
        <w:rPr>
          <w:b/>
        </w:rPr>
        <w:t>ptions 2 and 3</w:t>
      </w:r>
      <w:r w:rsidRPr="006A74F8">
        <w:t>. This is anticipated to bring the legislation more in li</w:t>
      </w:r>
      <w:r w:rsidR="00C779B8" w:rsidRPr="006A74F8">
        <w:t>ne with best practice regulatory</w:t>
      </w:r>
      <w:r w:rsidRPr="006A74F8">
        <w:t xml:space="preserve"> standards. </w:t>
      </w:r>
    </w:p>
    <w:p w:rsidR="00EE7192" w:rsidRPr="006A74F8" w:rsidRDefault="00EE7192" w:rsidP="00EE7192">
      <w:r w:rsidRPr="006A74F8">
        <w:t>A shift to principles-based legislation does not mean that all detail and prescription will be removed. To aid simplification and streamlining in several areas</w:t>
      </w:r>
      <w:r w:rsidR="00DF681E" w:rsidRPr="006A74F8">
        <w:t>,</w:t>
      </w:r>
      <w:r w:rsidRPr="006A74F8">
        <w:t xml:space="preserve"> prescription will be retained and moved to regulations or other legislative instruments and guidance materials.</w:t>
      </w:r>
    </w:p>
    <w:p w:rsidR="00EE7192" w:rsidRPr="006A74F8" w:rsidRDefault="00EE7192" w:rsidP="00EE7192">
      <w:r w:rsidRPr="006A74F8">
        <w:t xml:space="preserve">For example, the new legislation will simplify the prescriptive requirements for packaged products so that they are easier to understand for business and consumers. More detailed lists and requirements for packaged products may be </w:t>
      </w:r>
      <w:r w:rsidR="00434787" w:rsidRPr="006A74F8">
        <w:t xml:space="preserve">simplified in the regulations or </w:t>
      </w:r>
      <w:r w:rsidRPr="006A74F8">
        <w:t>moved to other legislative instruments</w:t>
      </w:r>
      <w:r w:rsidR="00434787" w:rsidRPr="006A74F8">
        <w:t xml:space="preserve"> and guidance material</w:t>
      </w:r>
      <w:r w:rsidRPr="006A74F8">
        <w:t>.</w:t>
      </w:r>
    </w:p>
    <w:p w:rsidR="00EE7192" w:rsidRPr="006A74F8" w:rsidRDefault="00EE7192" w:rsidP="00EE7192">
      <w:r w:rsidRPr="006A74F8">
        <w:t>Similarly, public weighbridge requirements relating to construction and operation will be simplified and easier to understand and navigate for public weighbridge licensees and operators. Technology neutral wording will enable flexibility to accommodate evolving technology while ensuring that confidence in public weighbridges is maintained. Without negatively impacting the intent of the requirements, some requirements will be combined or removed for simplification</w:t>
      </w:r>
      <w:r w:rsidR="00B1074A" w:rsidRPr="006A74F8">
        <w:t xml:space="preserve"> and substituted with guidance material</w:t>
      </w:r>
      <w:r w:rsidRPr="006A74F8">
        <w:t>.</w:t>
      </w:r>
    </w:p>
    <w:p w:rsidR="00693324" w:rsidRPr="006A74F8" w:rsidRDefault="00693324" w:rsidP="00693324">
      <w:pPr>
        <w:pStyle w:val="Heading3"/>
        <w:spacing w:after="160"/>
      </w:pPr>
      <w:r w:rsidRPr="006A74F8">
        <w:t xml:space="preserve">Clarifying Government’s role to underpin accurate and reliable measurement and </w:t>
      </w:r>
      <w:r w:rsidR="008C4110" w:rsidRPr="006A74F8">
        <w:t>support</w:t>
      </w:r>
      <w:r w:rsidRPr="006A74F8">
        <w:t xml:space="preserve"> other regulators </w:t>
      </w:r>
    </w:p>
    <w:p w:rsidR="00693324" w:rsidRPr="006A74F8" w:rsidRDefault="00693324" w:rsidP="00693324">
      <w:pPr>
        <w:rPr>
          <w:lang w:val="en-US"/>
        </w:rPr>
      </w:pPr>
      <w:r w:rsidRPr="006A74F8">
        <w:rPr>
          <w:lang w:val="en-US"/>
        </w:rPr>
        <w:t xml:space="preserve">NMI currently provides a range of technical capabilities to help support Australian Government agencies and regulation </w:t>
      </w:r>
      <w:r w:rsidRPr="00F20E48">
        <w:rPr>
          <w:lang w:val="en-US"/>
        </w:rPr>
        <w:t>across a range of sectors, including energy, the environment, food, agriculture, health and law enforcement</w:t>
      </w:r>
      <w:r w:rsidR="00F20E48" w:rsidRPr="00F20E48">
        <w:rPr>
          <w:lang w:val="en-US"/>
        </w:rPr>
        <w:t xml:space="preserve"> None of the options would limit NMI’s ability to maintain this support</w:t>
      </w:r>
      <w:r w:rsidRPr="00F20E48">
        <w:rPr>
          <w:lang w:val="en-US"/>
        </w:rPr>
        <w:t xml:space="preserve">. </w:t>
      </w:r>
    </w:p>
    <w:p w:rsidR="00693324" w:rsidRPr="006A74F8" w:rsidRDefault="00693324" w:rsidP="00693324">
      <w:pPr>
        <w:rPr>
          <w:b/>
        </w:rPr>
      </w:pPr>
      <w:r w:rsidRPr="006A74F8">
        <w:rPr>
          <w:lang w:val="en-US"/>
        </w:rPr>
        <w:t xml:space="preserve">Under </w:t>
      </w:r>
      <w:r w:rsidRPr="006A74F8">
        <w:rPr>
          <w:b/>
          <w:lang w:val="en-US"/>
        </w:rPr>
        <w:t>option 1</w:t>
      </w:r>
      <w:r w:rsidRPr="006A74F8">
        <w:rPr>
          <w:lang w:val="en-US"/>
        </w:rPr>
        <w:t xml:space="preserve"> the measurement legislation continues to focus on regulating measurement</w:t>
      </w:r>
      <w:r w:rsidR="00F20E48">
        <w:rPr>
          <w:lang w:val="en-US"/>
        </w:rPr>
        <w:t xml:space="preserve"> for </w:t>
      </w:r>
      <w:r w:rsidR="00F20E48" w:rsidRPr="006A74F8">
        <w:rPr>
          <w:lang w:val="en-US"/>
        </w:rPr>
        <w:t>trade</w:t>
      </w:r>
      <w:r w:rsidR="003A7686" w:rsidRPr="006A74F8">
        <w:rPr>
          <w:lang w:val="en-US"/>
        </w:rPr>
        <w:t>, while continuing to maintain ATP arrangements that provide support for legal measurement purposes outside trade</w:t>
      </w:r>
      <w:r w:rsidR="00CD3802">
        <w:rPr>
          <w:lang w:val="en-US"/>
        </w:rPr>
        <w:t>.</w:t>
      </w:r>
      <w:r w:rsidRPr="006A74F8">
        <w:rPr>
          <w:lang w:val="en-US"/>
        </w:rPr>
        <w:t xml:space="preserve"> While regulators can partially leverage this framework to provide confidence in the measurement</w:t>
      </w:r>
      <w:r w:rsidR="00F20E48">
        <w:rPr>
          <w:lang w:val="en-US"/>
        </w:rPr>
        <w:t>s</w:t>
      </w:r>
      <w:r w:rsidRPr="006A74F8">
        <w:rPr>
          <w:lang w:val="en-US"/>
        </w:rPr>
        <w:t xml:space="preserve"> they rely on, the legislation would still be focused on achieving trade measurement outcomes.</w:t>
      </w:r>
    </w:p>
    <w:p w:rsidR="00693324" w:rsidRPr="006A74F8" w:rsidRDefault="00693324" w:rsidP="00693324">
      <w:r w:rsidRPr="006A74F8">
        <w:rPr>
          <w:b/>
        </w:rPr>
        <w:lastRenderedPageBreak/>
        <w:t xml:space="preserve">Option 2 </w:t>
      </w:r>
      <w:r w:rsidRPr="006A74F8">
        <w:t>establish</w:t>
      </w:r>
      <w:r w:rsidR="00F20E48">
        <w:t xml:space="preserve">es </w:t>
      </w:r>
      <w:r w:rsidRPr="006A74F8">
        <w:t>arrangements regarding measuring instruments that are broadly accessible for use by other regulators (rather than primarily cover</w:t>
      </w:r>
      <w:r w:rsidR="00F20E48">
        <w:t>ing</w:t>
      </w:r>
      <w:r w:rsidRPr="006A74F8">
        <w:t xml:space="preserve"> measuring instruments used in trade). This includes both the controls applied to instruments and the arrangements for ATPs who help to provide assurance that those instruments are sufficiently accurate. Due to increased flexibility of controls for measuring instruments, NMI would be able to tailor mechanisms of control for measuring instrument types used in different regulatory regimes. </w:t>
      </w:r>
      <w:r w:rsidRPr="006A74F8">
        <w:rPr>
          <w:rStyle w:val="normaltextrun1"/>
          <w:rFonts w:ascii="Calibri" w:eastAsiaTheme="majorEastAsia" w:hAnsi="Calibri" w:cs="Calibri"/>
        </w:rPr>
        <w:t>NMI would have a greater ability to assist other regulators and agencies through the provision of appropriate measurement services.</w:t>
      </w:r>
    </w:p>
    <w:p w:rsidR="00693324" w:rsidRPr="006A74F8" w:rsidRDefault="00693324" w:rsidP="00693324">
      <w:r w:rsidRPr="006A74F8">
        <w:t xml:space="preserve">Under </w:t>
      </w:r>
      <w:r w:rsidRPr="006A74F8">
        <w:rPr>
          <w:b/>
        </w:rPr>
        <w:t>option 2</w:t>
      </w:r>
      <w:r w:rsidRPr="006A74F8">
        <w:t xml:space="preserve"> the objectives of the Act will further clarify the Government’s constitutional role to underpin accurate and reliable measurement in Australia. This will enable regulations and other legislative instruments to be made, where necessary, to support greater oversight and coordination of measurement in Australia beyond trade. This could include setting best practice test procedures or measurement methods, or introducing requirements in response to significant measurement issues or crisis.</w:t>
      </w:r>
    </w:p>
    <w:p w:rsidR="00693324" w:rsidRPr="006A74F8" w:rsidRDefault="00693324" w:rsidP="00693324">
      <w:r w:rsidRPr="006A74F8">
        <w:rPr>
          <w:b/>
        </w:rPr>
        <w:t>Option 3</w:t>
      </w:r>
      <w:r w:rsidRPr="006A74F8">
        <w:t xml:space="preserve"> builds on option 2 and provides mechanisms under the measurement legislation to proactively support confidence for other regulatory outcomes that depend on measurement. It introduces a generalist regulator function for NMI and provides additional powers to the Australian Government to strategically deploy NMI’s expertise as Australia’s peak measurement body. This can help give shape to the metrological framework needs of other regulators, and provide metrological solutions where these are required, including in times of crisis. This change would contribute to overall confidence, efficiency and effectiveness of government regulatory policies. NMI’s role as the specialist regulator of trade measurement and expert authority on scientific measurement would sit alongside this general regulator support role. </w:t>
      </w:r>
      <w:r w:rsidRPr="006A74F8">
        <w:rPr>
          <w:lang w:val="en-US"/>
        </w:rPr>
        <w:t xml:space="preserve">NMI would also be able to establish specific ATP appointments to support the needs of specialist regulators. </w:t>
      </w:r>
    </w:p>
    <w:p w:rsidR="00693324" w:rsidRPr="006A74F8" w:rsidRDefault="00693324" w:rsidP="00693324">
      <w:pPr>
        <w:rPr>
          <w:rFonts w:cstheme="minorHAnsi"/>
          <w:b/>
        </w:rPr>
      </w:pPr>
      <w:r w:rsidRPr="006A74F8">
        <w:rPr>
          <w:rFonts w:eastAsia="Calibri"/>
        </w:rPr>
        <w:t xml:space="preserve">The increased flexibility and extended scope </w:t>
      </w:r>
      <w:r w:rsidR="004015A5" w:rsidRPr="006A74F8">
        <w:rPr>
          <w:rFonts w:eastAsia="Calibri"/>
        </w:rPr>
        <w:t xml:space="preserve">under </w:t>
      </w:r>
      <w:r w:rsidR="004015A5" w:rsidRPr="006A74F8">
        <w:rPr>
          <w:rFonts w:eastAsia="Calibri"/>
          <w:b/>
        </w:rPr>
        <w:t>option 3</w:t>
      </w:r>
      <w:r w:rsidR="004015A5" w:rsidRPr="006A74F8">
        <w:rPr>
          <w:rFonts w:eastAsia="Calibri"/>
        </w:rPr>
        <w:t xml:space="preserve"> </w:t>
      </w:r>
      <w:r w:rsidRPr="006A74F8">
        <w:rPr>
          <w:rFonts w:eastAsia="Calibri"/>
        </w:rPr>
        <w:t xml:space="preserve">enables NMI to use its capability and international standing </w:t>
      </w:r>
      <w:r w:rsidRPr="00F20E48">
        <w:rPr>
          <w:rFonts w:eastAsia="Calibri"/>
        </w:rPr>
        <w:t xml:space="preserve">to </w:t>
      </w:r>
      <w:r w:rsidR="00F20E48" w:rsidRPr="00F20E48">
        <w:rPr>
          <w:rFonts w:eastAsia="Calibri"/>
        </w:rPr>
        <w:t xml:space="preserve">provide more direct support for </w:t>
      </w:r>
      <w:r w:rsidRPr="00F20E48">
        <w:rPr>
          <w:rFonts w:eastAsia="Calibri"/>
        </w:rPr>
        <w:t>other regulators</w:t>
      </w:r>
      <w:r w:rsidRPr="006A74F8">
        <w:rPr>
          <w:rFonts w:eastAsia="Calibri"/>
        </w:rPr>
        <w:t xml:space="preserve">. For example, currently NMI adapts international </w:t>
      </w:r>
      <w:r w:rsidR="00F01A9A" w:rsidRPr="006A74F8">
        <w:rPr>
          <w:rFonts w:eastAsia="Calibri"/>
        </w:rPr>
        <w:t>documentary</w:t>
      </w:r>
      <w:r w:rsidRPr="006A74F8">
        <w:rPr>
          <w:rFonts w:eastAsia="Calibri"/>
        </w:rPr>
        <w:t xml:space="preserve"> standards for the purposes of measuring instruments used for trade. </w:t>
      </w:r>
      <w:r w:rsidR="004015A5" w:rsidRPr="006A74F8">
        <w:rPr>
          <w:rFonts w:eastAsia="Calibri"/>
        </w:rPr>
        <w:t xml:space="preserve">Under this option, </w:t>
      </w:r>
      <w:r w:rsidRPr="006A74F8">
        <w:rPr>
          <w:rFonts w:eastAsia="Calibri"/>
        </w:rPr>
        <w:t xml:space="preserve">NMI </w:t>
      </w:r>
      <w:r w:rsidR="004015A5" w:rsidRPr="006A74F8">
        <w:rPr>
          <w:rFonts w:eastAsia="Calibri"/>
        </w:rPr>
        <w:t xml:space="preserve">could </w:t>
      </w:r>
      <w:r w:rsidRPr="006A74F8">
        <w:rPr>
          <w:rFonts w:eastAsia="Calibri"/>
        </w:rPr>
        <w:t xml:space="preserve">also adapt relevant international </w:t>
      </w:r>
      <w:r w:rsidR="00785164" w:rsidRPr="006A74F8">
        <w:rPr>
          <w:rFonts w:eastAsia="Calibri"/>
        </w:rPr>
        <w:t xml:space="preserve">recommendations and documentary </w:t>
      </w:r>
      <w:r w:rsidRPr="006A74F8">
        <w:rPr>
          <w:rFonts w:eastAsia="Calibri"/>
        </w:rPr>
        <w:t xml:space="preserve">standards useful for </w:t>
      </w:r>
      <w:r w:rsidR="004015A5" w:rsidRPr="006A74F8">
        <w:rPr>
          <w:rFonts w:eastAsia="Calibri"/>
        </w:rPr>
        <w:t>other</w:t>
      </w:r>
      <w:r w:rsidRPr="006A74F8">
        <w:rPr>
          <w:rFonts w:eastAsia="Calibri"/>
        </w:rPr>
        <w:t xml:space="preserve"> regulatory purposes. </w:t>
      </w:r>
    </w:p>
    <w:p w:rsidR="007138AB" w:rsidRPr="006A74F8" w:rsidRDefault="007138AB" w:rsidP="007138AB">
      <w:pPr>
        <w:pStyle w:val="Heading3"/>
      </w:pPr>
      <w:r w:rsidRPr="006A74F8">
        <w:t>Changes to the traceability framework</w:t>
      </w:r>
    </w:p>
    <w:p w:rsidR="007138AB" w:rsidRPr="006A74F8" w:rsidRDefault="007138AB" w:rsidP="007138AB">
      <w:r w:rsidRPr="006A74F8">
        <w:t xml:space="preserve">Across </w:t>
      </w:r>
      <w:r w:rsidRPr="006A74F8">
        <w:rPr>
          <w:b/>
        </w:rPr>
        <w:t>all reform options</w:t>
      </w:r>
      <w:r w:rsidRPr="006A74F8">
        <w:t>, legislation will continue to support confidence in measurement, make sure that ALUM</w:t>
      </w:r>
      <w:r w:rsidR="00DC46E6" w:rsidRPr="006A74F8">
        <w:t>s</w:t>
      </w:r>
      <w:r w:rsidRPr="006A74F8">
        <w:t xml:space="preserve"> are used for trade and legal purposes</w:t>
      </w:r>
      <w:r w:rsidRPr="006A74F8">
        <w:rPr>
          <w:sz w:val="18"/>
          <w:vertAlign w:val="superscript"/>
        </w:rPr>
        <w:footnoteReference w:id="26"/>
      </w:r>
      <w:r w:rsidRPr="006A74F8">
        <w:rPr>
          <w:sz w:val="18"/>
          <w:vertAlign w:val="superscript"/>
        </w:rPr>
        <w:t xml:space="preserve"> </w:t>
      </w:r>
      <w:r w:rsidRPr="006A74F8">
        <w:t xml:space="preserve">and that measurements are derived from realised units of primary </w:t>
      </w:r>
      <w:r w:rsidR="006E7AF2" w:rsidRPr="006A74F8">
        <w:t xml:space="preserve">measurement </w:t>
      </w:r>
      <w:r w:rsidRPr="006A74F8">
        <w:t xml:space="preserve">standards traceable to the SI or other </w:t>
      </w:r>
      <w:r w:rsidR="003B1E94" w:rsidRPr="006A74F8">
        <w:t xml:space="preserve">trusted </w:t>
      </w:r>
      <w:r w:rsidRPr="006A74F8">
        <w:t>systems of measurement</w:t>
      </w:r>
      <w:r w:rsidR="005A7976" w:rsidRPr="006A74F8">
        <w:t>.</w:t>
      </w:r>
      <w:r w:rsidRPr="006A74F8">
        <w:t xml:space="preserve"> </w:t>
      </w:r>
    </w:p>
    <w:p w:rsidR="007138AB" w:rsidRPr="006A74F8" w:rsidRDefault="007138AB" w:rsidP="007138AB">
      <w:r w:rsidRPr="006A74F8">
        <w:t>The legislation will continue to provide for pathways for legal traceability</w:t>
      </w:r>
      <w:r w:rsidR="00D80421" w:rsidRPr="006A74F8">
        <w:rPr>
          <w:rStyle w:val="FootnoteReference"/>
        </w:rPr>
        <w:footnoteReference w:id="27"/>
      </w:r>
      <w:r w:rsidRPr="006A74F8">
        <w:t xml:space="preserve"> through the certification of measurement</w:t>
      </w:r>
      <w:r w:rsidR="006E7AF2" w:rsidRPr="006A74F8">
        <w:t xml:space="preserve"> standards</w:t>
      </w:r>
      <w:r w:rsidRPr="006A74F8">
        <w:t xml:space="preserve">, measuring instruments and reference materials. Relevant provisions in the legislation that support traceability will be improved for clarity. The framework will be made more flexible to enable </w:t>
      </w:r>
      <w:r w:rsidR="00210A20" w:rsidRPr="006A74F8">
        <w:t>recognition of</w:t>
      </w:r>
      <w:r w:rsidRPr="006A74F8">
        <w:t xml:space="preserve"> additional traceability pathways and provide infrastructure to support confidence. All changes w</w:t>
      </w:r>
      <w:r w:rsidR="00E03B71" w:rsidRPr="006A74F8">
        <w:t>ould</w:t>
      </w:r>
      <w:r w:rsidRPr="006A74F8">
        <w:t xml:space="preserve"> contribute to reducing technical barriers to trade and regulatory purposes where applicable. </w:t>
      </w:r>
    </w:p>
    <w:p w:rsidR="007138AB" w:rsidRPr="006A74F8" w:rsidRDefault="007138AB" w:rsidP="007138AB">
      <w:r w:rsidRPr="006A74F8">
        <w:lastRenderedPageBreak/>
        <w:t xml:space="preserve">Across </w:t>
      </w:r>
      <w:r w:rsidRPr="006A74F8">
        <w:rPr>
          <w:b/>
        </w:rPr>
        <w:t>all options</w:t>
      </w:r>
      <w:r w:rsidRPr="006A74F8">
        <w:t xml:space="preserve">, the new measurement legislation will provide broader scope of powers for the Chief Metrologist to support traceability of complex measurements used for legal purposes including chemical, biological, </w:t>
      </w:r>
      <w:r w:rsidR="002B4547" w:rsidRPr="006A74F8">
        <w:t>m</w:t>
      </w:r>
      <w:r w:rsidR="00695AEA" w:rsidRPr="006A74F8">
        <w:t>aterial</w:t>
      </w:r>
      <w:r w:rsidR="002B4547" w:rsidRPr="006A74F8">
        <w:t xml:space="preserve"> properties, such as measurements of nanomaterials</w:t>
      </w:r>
      <w:r w:rsidRPr="006A74F8">
        <w:t>, and method-dependent measurements. Th</w:t>
      </w:r>
      <w:r w:rsidR="00CD1D12" w:rsidRPr="006A74F8">
        <w:t>is</w:t>
      </w:r>
      <w:r w:rsidRPr="006A74F8">
        <w:t xml:space="preserve"> will include </w:t>
      </w:r>
      <w:r w:rsidR="00CD1D12" w:rsidRPr="006A74F8">
        <w:t xml:space="preserve">a mechanism to </w:t>
      </w:r>
      <w:r w:rsidRPr="006A74F8">
        <w:t>determin</w:t>
      </w:r>
      <w:r w:rsidR="00CD1D12" w:rsidRPr="006A74F8">
        <w:t>e</w:t>
      </w:r>
      <w:r w:rsidRPr="006A74F8">
        <w:t xml:space="preserve"> appropriate methods to ensure that the measurement framework provides consistent </w:t>
      </w:r>
      <w:r w:rsidR="008E289C" w:rsidRPr="006A74F8">
        <w:t xml:space="preserve">and accurate </w:t>
      </w:r>
      <w:r w:rsidRPr="006A74F8">
        <w:t>results in ALUM</w:t>
      </w:r>
      <w:r w:rsidR="000F5F26" w:rsidRPr="006A74F8">
        <w:t>s</w:t>
      </w:r>
      <w:r w:rsidR="00726021" w:rsidRPr="006A74F8">
        <w:t xml:space="preserve">. It will also include a mechanism to </w:t>
      </w:r>
      <w:r w:rsidRPr="006A74F8">
        <w:t>more easily specif</w:t>
      </w:r>
      <w:r w:rsidR="002449BE" w:rsidRPr="006A74F8">
        <w:t>y</w:t>
      </w:r>
      <w:r w:rsidRPr="006A74F8">
        <w:t xml:space="preserve"> new ALUM</w:t>
      </w:r>
      <w:r w:rsidR="00C20FD4" w:rsidRPr="006A74F8">
        <w:t>s</w:t>
      </w:r>
      <w:r w:rsidRPr="006A74F8">
        <w:t>.</w:t>
      </w:r>
      <w:r w:rsidR="006C3AB8" w:rsidRPr="006A74F8">
        <w:t xml:space="preserve"> </w:t>
      </w:r>
    </w:p>
    <w:p w:rsidR="006C3AB8" w:rsidRPr="006A74F8" w:rsidRDefault="006C3AB8" w:rsidP="006C0733">
      <w:r w:rsidRPr="006A74F8">
        <w:t>The application of specific changes to the traceability framework under each option are outlined below.</w:t>
      </w:r>
    </w:p>
    <w:p w:rsidR="004D01AE" w:rsidRPr="006A74F8" w:rsidRDefault="007138AB">
      <w:pPr>
        <w:spacing w:before="120" w:after="120" w:line="240" w:lineRule="auto"/>
      </w:pPr>
      <w:r w:rsidRPr="006A74F8">
        <w:rPr>
          <w:b/>
        </w:rPr>
        <w:t>Option 1</w:t>
      </w:r>
      <w:r w:rsidR="00B15790" w:rsidRPr="006A74F8">
        <w:t xml:space="preserve"> </w:t>
      </w:r>
      <w:r w:rsidR="00823455" w:rsidRPr="006A74F8">
        <w:t xml:space="preserve">includes </w:t>
      </w:r>
      <w:r w:rsidR="00C5200D" w:rsidRPr="006A74F8">
        <w:t>existing traceability pathways</w:t>
      </w:r>
      <w:r w:rsidR="00823455" w:rsidRPr="006A74F8">
        <w:t xml:space="preserve"> but also </w:t>
      </w:r>
      <w:r w:rsidR="00B15790" w:rsidRPr="006A74F8">
        <w:t>p</w:t>
      </w:r>
      <w:r w:rsidRPr="006A74F8">
        <w:t>rovide</w:t>
      </w:r>
      <w:r w:rsidR="008E133D" w:rsidRPr="006A74F8">
        <w:t>s</w:t>
      </w:r>
      <w:r w:rsidRPr="006A74F8">
        <w:t xml:space="preserve"> </w:t>
      </w:r>
      <w:r w:rsidR="00CD1D12" w:rsidRPr="006A74F8">
        <w:t>mechanisms</w:t>
      </w:r>
      <w:r w:rsidRPr="006A74F8">
        <w:t xml:space="preserve"> for the Chief Metrologist to</w:t>
      </w:r>
      <w:r w:rsidR="00A249F9" w:rsidRPr="006A74F8">
        <w:t xml:space="preserve"> </w:t>
      </w:r>
      <w:r w:rsidRPr="006A74F8">
        <w:t>identify additional trusted measurement reference points (traceability pathways), particularly in the areas of chemical and biological measurements.</w:t>
      </w:r>
      <w:r w:rsidRPr="006A74F8">
        <w:rPr>
          <w:rStyle w:val="FootnoteReference"/>
        </w:rPr>
        <w:footnoteReference w:id="28"/>
      </w:r>
      <w:r w:rsidRPr="006A74F8">
        <w:t xml:space="preserve"> Th</w:t>
      </w:r>
      <w:r w:rsidR="004D01AE" w:rsidRPr="006A74F8">
        <w:t>e</w:t>
      </w:r>
      <w:r w:rsidRPr="006A74F8">
        <w:t>s</w:t>
      </w:r>
      <w:r w:rsidR="004D01AE" w:rsidRPr="006A74F8">
        <w:t>e</w:t>
      </w:r>
      <w:r w:rsidRPr="006A74F8">
        <w:t xml:space="preserve"> expanded </w:t>
      </w:r>
      <w:r w:rsidR="00CD1D12" w:rsidRPr="006A74F8">
        <w:t>mechanisms</w:t>
      </w:r>
      <w:r w:rsidR="004D01AE" w:rsidRPr="006A74F8">
        <w:t xml:space="preserve"> for the Chief Metrologist would include the ability to determine:</w:t>
      </w:r>
    </w:p>
    <w:p w:rsidR="006C3AB8" w:rsidRPr="006A74F8" w:rsidRDefault="007138AB" w:rsidP="007C787D">
      <w:pPr>
        <w:pStyle w:val="ListParagraph"/>
        <w:numPr>
          <w:ilvl w:val="0"/>
          <w:numId w:val="51"/>
        </w:numPr>
        <w:spacing w:before="120" w:after="120" w:line="240" w:lineRule="auto"/>
      </w:pPr>
      <w:r w:rsidRPr="006A74F8">
        <w:t>reference methods for material properties and</w:t>
      </w:r>
      <w:r w:rsidR="00A249F9" w:rsidRPr="006A74F8">
        <w:t xml:space="preserve"> potentially</w:t>
      </w:r>
      <w:r w:rsidRPr="006A74F8">
        <w:t xml:space="preserve"> recognising entries in the </w:t>
      </w:r>
      <w:r w:rsidR="00805E15" w:rsidRPr="006A74F8">
        <w:t>Key Comparison Database (</w:t>
      </w:r>
      <w:r w:rsidRPr="006A74F8">
        <w:t>KCDB</w:t>
      </w:r>
      <w:r w:rsidR="00805E15" w:rsidRPr="006A74F8">
        <w:t>)</w:t>
      </w:r>
      <w:r w:rsidRPr="006A74F8">
        <w:t xml:space="preserve"> in line </w:t>
      </w:r>
      <w:r w:rsidR="009A18AA" w:rsidRPr="006A74F8">
        <w:t>with international commitments</w:t>
      </w:r>
    </w:p>
    <w:p w:rsidR="006C3AB8" w:rsidRPr="006A74F8" w:rsidRDefault="007138AB" w:rsidP="007C787D">
      <w:pPr>
        <w:pStyle w:val="ListParagraph"/>
        <w:numPr>
          <w:ilvl w:val="0"/>
          <w:numId w:val="51"/>
        </w:numPr>
        <w:spacing w:before="120" w:after="120" w:line="240" w:lineRule="auto"/>
      </w:pPr>
      <w:r w:rsidRPr="006A74F8">
        <w:rPr>
          <w:color w:val="000000"/>
          <w:szCs w:val="18"/>
          <w:lang w:val="en-US"/>
        </w:rPr>
        <w:t xml:space="preserve">appropriate methods that would support complex measurements, including method-dependent </w:t>
      </w:r>
      <w:r w:rsidRPr="006A74F8">
        <w:t>measurements that are traceable to the method used, and do not have an independent true value</w:t>
      </w:r>
    </w:p>
    <w:p w:rsidR="004D01AE" w:rsidRPr="006A74F8" w:rsidRDefault="007138AB" w:rsidP="007C787D">
      <w:pPr>
        <w:pStyle w:val="ListParagraph"/>
        <w:numPr>
          <w:ilvl w:val="0"/>
          <w:numId w:val="51"/>
        </w:numPr>
        <w:spacing w:before="120" w:after="120" w:line="240" w:lineRule="auto"/>
      </w:pPr>
      <w:r w:rsidRPr="006A74F8">
        <w:rPr>
          <w:rFonts w:cstheme="minorHAnsi"/>
          <w:color w:val="000000"/>
          <w:lang w:val="en-US"/>
        </w:rPr>
        <w:t xml:space="preserve">additional ALUMs, e.g. to support method-dependent measurements, and make these changes more easily. </w:t>
      </w:r>
    </w:p>
    <w:p w:rsidR="00A249F9" w:rsidRPr="006A74F8" w:rsidRDefault="00A249F9">
      <w:pPr>
        <w:spacing w:before="120" w:after="120" w:line="240" w:lineRule="auto"/>
      </w:pPr>
      <w:r w:rsidRPr="006A74F8">
        <w:rPr>
          <w:rFonts w:cstheme="minorHAnsi"/>
          <w:color w:val="000000"/>
          <w:lang w:val="en-US"/>
        </w:rPr>
        <w:t xml:space="preserve">Other improvements to legislation </w:t>
      </w:r>
      <w:r w:rsidR="004D01AE" w:rsidRPr="006A74F8">
        <w:rPr>
          <w:rFonts w:cstheme="minorHAnsi"/>
          <w:color w:val="000000"/>
          <w:lang w:val="en-US"/>
        </w:rPr>
        <w:t xml:space="preserve">under </w:t>
      </w:r>
      <w:r w:rsidR="004D01AE" w:rsidRPr="006A74F8">
        <w:rPr>
          <w:rFonts w:cstheme="minorHAnsi"/>
          <w:b/>
          <w:color w:val="000000"/>
          <w:lang w:val="en-US"/>
        </w:rPr>
        <w:t>option 1</w:t>
      </w:r>
      <w:r w:rsidR="004D01AE" w:rsidRPr="006A74F8">
        <w:rPr>
          <w:rFonts w:cstheme="minorHAnsi"/>
          <w:color w:val="000000"/>
          <w:lang w:val="en-US"/>
        </w:rPr>
        <w:t xml:space="preserve"> </w:t>
      </w:r>
      <w:r w:rsidRPr="006A74F8">
        <w:rPr>
          <w:rFonts w:cstheme="minorHAnsi"/>
          <w:color w:val="000000"/>
          <w:lang w:val="en-US"/>
        </w:rPr>
        <w:t>include:</w:t>
      </w:r>
    </w:p>
    <w:p w:rsidR="006C3AB8" w:rsidRPr="006A74F8" w:rsidRDefault="004D01AE" w:rsidP="007C787D">
      <w:pPr>
        <w:pStyle w:val="ListParagraph"/>
        <w:numPr>
          <w:ilvl w:val="0"/>
          <w:numId w:val="51"/>
        </w:numPr>
        <w:spacing w:before="120" w:after="120" w:line="240" w:lineRule="auto"/>
      </w:pPr>
      <w:r w:rsidRPr="006A74F8">
        <w:rPr>
          <w:color w:val="000000"/>
          <w:szCs w:val="18"/>
          <w:lang w:val="en-US"/>
        </w:rPr>
        <w:t>drafting it to be technology neutral with improved clarit</w:t>
      </w:r>
      <w:r w:rsidR="006C3AB8" w:rsidRPr="006A74F8">
        <w:rPr>
          <w:color w:val="000000"/>
          <w:szCs w:val="18"/>
          <w:lang w:val="en-US"/>
        </w:rPr>
        <w:t>y</w:t>
      </w:r>
    </w:p>
    <w:p w:rsidR="004D01AE" w:rsidRPr="006A74F8" w:rsidRDefault="004D01AE" w:rsidP="002B4ECA">
      <w:pPr>
        <w:pStyle w:val="ListParagraph"/>
        <w:numPr>
          <w:ilvl w:val="0"/>
          <w:numId w:val="51"/>
        </w:numPr>
        <w:spacing w:before="120" w:line="240" w:lineRule="auto"/>
        <w:ind w:left="714" w:hanging="357"/>
        <w:contextualSpacing w:val="0"/>
      </w:pPr>
      <w:r w:rsidRPr="006A74F8">
        <w:rPr>
          <w:color w:val="000000"/>
          <w:szCs w:val="18"/>
          <w:lang w:val="en-US"/>
        </w:rPr>
        <w:t xml:space="preserve">updating it </w:t>
      </w:r>
      <w:r w:rsidR="007138AB" w:rsidRPr="006A74F8">
        <w:rPr>
          <w:color w:val="000000"/>
          <w:szCs w:val="18"/>
          <w:lang w:val="en-US"/>
        </w:rPr>
        <w:t>to reflect greater international alignment with current</w:t>
      </w:r>
      <w:r w:rsidR="007138AB" w:rsidRPr="006A74F8">
        <w:rPr>
          <w:color w:val="000000"/>
          <w:szCs w:val="20"/>
          <w:lang w:val="en-US"/>
        </w:rPr>
        <w:t xml:space="preserve"> </w:t>
      </w:r>
      <w:r w:rsidR="007138AB" w:rsidRPr="006A74F8">
        <w:rPr>
          <w:szCs w:val="20"/>
        </w:rPr>
        <w:t>practices that are essential in making chemical and biological measurements, such as identity of substance in chemical</w:t>
      </w:r>
      <w:r w:rsidR="003D39D7" w:rsidRPr="006A74F8">
        <w:rPr>
          <w:szCs w:val="20"/>
        </w:rPr>
        <w:t xml:space="preserve"> </w:t>
      </w:r>
      <w:r w:rsidR="007138AB" w:rsidRPr="006A74F8">
        <w:rPr>
          <w:szCs w:val="20"/>
        </w:rPr>
        <w:t>/</w:t>
      </w:r>
      <w:r w:rsidR="003D39D7" w:rsidRPr="006A74F8">
        <w:rPr>
          <w:szCs w:val="20"/>
        </w:rPr>
        <w:t xml:space="preserve"> </w:t>
      </w:r>
      <w:r w:rsidR="007138AB" w:rsidRPr="006A74F8">
        <w:rPr>
          <w:szCs w:val="20"/>
        </w:rPr>
        <w:t>biological measurement, the activity in biological measurements, methods used, and international approaches and standards that apply to chemical and biological measurement.</w:t>
      </w:r>
      <w:r w:rsidR="007138AB" w:rsidRPr="006A74F8">
        <w:rPr>
          <w:rStyle w:val="FootnoteReference"/>
          <w:szCs w:val="20"/>
        </w:rPr>
        <w:footnoteReference w:id="29"/>
      </w:r>
    </w:p>
    <w:p w:rsidR="004D01AE" w:rsidRPr="006A74F8" w:rsidRDefault="007138AB">
      <w:pPr>
        <w:spacing w:before="120" w:after="120" w:line="240" w:lineRule="auto"/>
      </w:pPr>
      <w:r w:rsidRPr="006A74F8">
        <w:rPr>
          <w:b/>
        </w:rPr>
        <w:t>Option 2</w:t>
      </w:r>
      <w:r w:rsidRPr="006A74F8">
        <w:t xml:space="preserve"> will include the changes from </w:t>
      </w:r>
      <w:r w:rsidR="00501502" w:rsidRPr="006A74F8">
        <w:t>o</w:t>
      </w:r>
      <w:r w:rsidRPr="006A74F8">
        <w:t xml:space="preserve">ption 1 and would also enable the legislated traceability framework to keep pace with </w:t>
      </w:r>
      <w:r w:rsidRPr="006A74F8">
        <w:rPr>
          <w:color w:val="000000"/>
          <w:lang w:val="en-US"/>
        </w:rPr>
        <w:t>advances</w:t>
      </w:r>
      <w:r w:rsidRPr="006A74F8">
        <w:t xml:space="preserve"> in measurement technology and techniques used in measuring instruments and applications across sectors involving physical, chemical and biological measurements. The legislation would provide greater support for stakeholders who want to achieve traceability through an overseas or newer type of standard. </w:t>
      </w:r>
    </w:p>
    <w:p w:rsidR="007138AB" w:rsidRPr="006A74F8" w:rsidRDefault="007138AB">
      <w:pPr>
        <w:spacing w:before="120" w:after="120" w:line="240" w:lineRule="auto"/>
      </w:pPr>
      <w:r w:rsidRPr="006A74F8">
        <w:t xml:space="preserve">Under </w:t>
      </w:r>
      <w:r w:rsidR="00501502" w:rsidRPr="006A74F8">
        <w:t>o</w:t>
      </w:r>
      <w:r w:rsidRPr="006A74F8">
        <w:t>ption 2, the NMI will assume a larger role in researching and managing measurement structures within Australia with a stronger role in coordination (scientif</w:t>
      </w:r>
      <w:r w:rsidR="005348A5" w:rsidRPr="006A74F8">
        <w:t>ic, economic, business analysis and</w:t>
      </w:r>
      <w:r w:rsidRPr="006A74F8">
        <w:t xml:space="preserve"> strategic outreach). This would be achieved through greater flexibility and </w:t>
      </w:r>
      <w:r w:rsidR="00BE5017" w:rsidRPr="006A74F8">
        <w:t>mechanisms</w:t>
      </w:r>
      <w:r w:rsidRPr="006A74F8">
        <w:rPr>
          <w:rFonts w:cstheme="minorHAnsi"/>
          <w:color w:val="000000"/>
          <w:lang w:val="en-US"/>
        </w:rPr>
        <w:t xml:space="preserve"> for the Chief Metrologist to:</w:t>
      </w:r>
    </w:p>
    <w:p w:rsidR="007138AB" w:rsidRPr="006A74F8" w:rsidRDefault="004D01AE" w:rsidP="007C787D">
      <w:pPr>
        <w:pStyle w:val="ListParagraph"/>
        <w:numPr>
          <w:ilvl w:val="0"/>
          <w:numId w:val="51"/>
        </w:numPr>
        <w:spacing w:before="120" w:after="120" w:line="240" w:lineRule="auto"/>
        <w:rPr>
          <w:color w:val="000000"/>
          <w:szCs w:val="18"/>
          <w:lang w:val="en-US"/>
        </w:rPr>
      </w:pPr>
      <w:r w:rsidRPr="006A74F8">
        <w:rPr>
          <w:rFonts w:cstheme="minorHAnsi"/>
          <w:color w:val="000000"/>
          <w:lang w:val="en-US"/>
        </w:rPr>
        <w:t>d</w:t>
      </w:r>
      <w:r w:rsidR="007138AB" w:rsidRPr="006A74F8">
        <w:rPr>
          <w:rFonts w:cstheme="minorHAnsi"/>
          <w:color w:val="000000"/>
          <w:lang w:val="en-US"/>
        </w:rPr>
        <w:t xml:space="preserve">etermine additional </w:t>
      </w:r>
      <w:r w:rsidRPr="006A74F8">
        <w:rPr>
          <w:rFonts w:cstheme="minorHAnsi"/>
          <w:color w:val="000000"/>
          <w:lang w:val="en-US"/>
        </w:rPr>
        <w:t xml:space="preserve">appropriate traceability </w:t>
      </w:r>
      <w:r w:rsidR="00785164" w:rsidRPr="006A74F8">
        <w:rPr>
          <w:rFonts w:cstheme="minorHAnsi"/>
          <w:color w:val="000000"/>
          <w:lang w:val="en-US"/>
        </w:rPr>
        <w:t>pathways</w:t>
      </w:r>
      <w:r w:rsidRPr="006A74F8">
        <w:rPr>
          <w:rStyle w:val="FootnoteReference"/>
        </w:rPr>
        <w:footnoteReference w:id="30"/>
      </w:r>
    </w:p>
    <w:p w:rsidR="004D01AE" w:rsidRPr="006A74F8" w:rsidRDefault="00785164" w:rsidP="007C787D">
      <w:pPr>
        <w:pStyle w:val="ListParagraph"/>
        <w:numPr>
          <w:ilvl w:val="0"/>
          <w:numId w:val="51"/>
        </w:numPr>
        <w:spacing w:before="120" w:after="120" w:line="240" w:lineRule="auto"/>
        <w:rPr>
          <w:color w:val="000000"/>
          <w:szCs w:val="18"/>
          <w:lang w:val="en-US"/>
        </w:rPr>
      </w:pPr>
      <w:r w:rsidRPr="006A74F8">
        <w:rPr>
          <w:rFonts w:cstheme="minorHAnsi"/>
          <w:color w:val="000000"/>
          <w:lang w:val="en-US"/>
        </w:rPr>
        <w:t xml:space="preserve">endorse/approve </w:t>
      </w:r>
      <w:r w:rsidR="007138AB" w:rsidRPr="006A74F8">
        <w:rPr>
          <w:rFonts w:cstheme="minorHAnsi"/>
          <w:color w:val="000000"/>
          <w:lang w:val="en-US"/>
        </w:rPr>
        <w:t xml:space="preserve">international arrangements or references, databases, </w:t>
      </w:r>
      <w:r w:rsidR="000F5F26" w:rsidRPr="006A74F8">
        <w:rPr>
          <w:rFonts w:cstheme="minorHAnsi"/>
          <w:color w:val="000000"/>
          <w:lang w:val="en-US"/>
        </w:rPr>
        <w:t xml:space="preserve">and </w:t>
      </w:r>
      <w:r w:rsidR="007138AB" w:rsidRPr="006A74F8">
        <w:rPr>
          <w:rFonts w:cstheme="minorHAnsi"/>
          <w:color w:val="000000"/>
          <w:lang w:val="en-US"/>
        </w:rPr>
        <w:t xml:space="preserve">outputs from other </w:t>
      </w:r>
      <w:r w:rsidR="00A333D7" w:rsidRPr="006A74F8">
        <w:rPr>
          <w:rFonts w:cstheme="minorHAnsi"/>
          <w:color w:val="000000"/>
          <w:lang w:val="en-US"/>
        </w:rPr>
        <w:t>NMIs</w:t>
      </w:r>
      <w:r w:rsidRPr="006A74F8">
        <w:rPr>
          <w:rFonts w:cstheme="minorHAnsi"/>
          <w:color w:val="000000"/>
          <w:lang w:val="en-US"/>
        </w:rPr>
        <w:t xml:space="preserve"> and expert institutes that are internationally recognised</w:t>
      </w:r>
    </w:p>
    <w:p w:rsidR="007138AB" w:rsidRPr="006A74F8" w:rsidRDefault="000F75A6" w:rsidP="007C787D">
      <w:pPr>
        <w:pStyle w:val="ListParagraph"/>
        <w:numPr>
          <w:ilvl w:val="0"/>
          <w:numId w:val="51"/>
        </w:numPr>
        <w:spacing w:before="120" w:after="120" w:line="240" w:lineRule="auto"/>
        <w:rPr>
          <w:color w:val="000000"/>
          <w:szCs w:val="18"/>
          <w:lang w:val="en-US"/>
        </w:rPr>
      </w:pPr>
      <w:r w:rsidRPr="006A74F8">
        <w:rPr>
          <w:rFonts w:cstheme="minorHAnsi"/>
          <w:color w:val="000000"/>
          <w:lang w:val="en-US"/>
        </w:rPr>
        <w:lastRenderedPageBreak/>
        <w:t>recognis</w:t>
      </w:r>
      <w:r w:rsidR="007138AB" w:rsidRPr="006A74F8">
        <w:rPr>
          <w:rFonts w:cstheme="minorHAnsi"/>
          <w:color w:val="000000"/>
          <w:lang w:val="en-US"/>
        </w:rPr>
        <w:t>e instruments as source</w:t>
      </w:r>
      <w:r w:rsidR="00747BD0" w:rsidRPr="006A74F8">
        <w:rPr>
          <w:rFonts w:cstheme="minorHAnsi"/>
          <w:color w:val="000000"/>
          <w:lang w:val="en-US"/>
        </w:rPr>
        <w:t>s</w:t>
      </w:r>
      <w:r w:rsidR="007138AB" w:rsidRPr="006A74F8">
        <w:rPr>
          <w:rFonts w:cstheme="minorHAnsi"/>
          <w:color w:val="000000"/>
          <w:lang w:val="en-US"/>
        </w:rPr>
        <w:t xml:space="preserve"> of traceability with structure expanded to encompass </w:t>
      </w:r>
      <w:r w:rsidR="00695AEA" w:rsidRPr="006A74F8">
        <w:rPr>
          <w:rFonts w:cstheme="minorHAnsi"/>
          <w:color w:val="000000"/>
          <w:lang w:val="en-US"/>
        </w:rPr>
        <w:t xml:space="preserve">Artificial </w:t>
      </w:r>
      <w:r w:rsidR="007138AB" w:rsidRPr="006A74F8">
        <w:rPr>
          <w:rFonts w:cstheme="minorHAnsi"/>
          <w:color w:val="000000"/>
          <w:lang w:val="en-US"/>
        </w:rPr>
        <w:t>I</w:t>
      </w:r>
      <w:r w:rsidR="00695AEA" w:rsidRPr="006A74F8">
        <w:rPr>
          <w:rFonts w:cstheme="minorHAnsi"/>
          <w:color w:val="000000"/>
          <w:lang w:val="en-US"/>
        </w:rPr>
        <w:t>ntelligence (AI)</w:t>
      </w:r>
      <w:r w:rsidR="007138AB" w:rsidRPr="006A74F8">
        <w:rPr>
          <w:rFonts w:cstheme="minorHAnsi"/>
          <w:color w:val="000000"/>
          <w:lang w:val="en-US"/>
        </w:rPr>
        <w:t xml:space="preserve"> systems, self-checking and self-learning instruments</w:t>
      </w:r>
    </w:p>
    <w:p w:rsidR="007138AB" w:rsidRPr="006A74F8" w:rsidRDefault="004D01AE" w:rsidP="007C787D">
      <w:pPr>
        <w:pStyle w:val="ListParagraph"/>
        <w:numPr>
          <w:ilvl w:val="0"/>
          <w:numId w:val="51"/>
        </w:numPr>
        <w:spacing w:before="120" w:after="120" w:line="240" w:lineRule="auto"/>
        <w:rPr>
          <w:color w:val="000000"/>
          <w:szCs w:val="18"/>
          <w:lang w:val="en-US"/>
        </w:rPr>
      </w:pPr>
      <w:r w:rsidRPr="006A74F8">
        <w:rPr>
          <w:rFonts w:cstheme="minorHAnsi"/>
          <w:color w:val="000000"/>
          <w:lang w:val="en-US"/>
        </w:rPr>
        <w:t>r</w:t>
      </w:r>
      <w:r w:rsidR="007138AB" w:rsidRPr="006A74F8">
        <w:rPr>
          <w:rFonts w:cstheme="minorHAnsi"/>
          <w:color w:val="000000"/>
          <w:lang w:val="en-US"/>
        </w:rPr>
        <w:t xml:space="preserve">evoke recognition of traceability </w:t>
      </w:r>
      <w:r w:rsidR="00785164" w:rsidRPr="006A74F8">
        <w:rPr>
          <w:rFonts w:cstheme="minorHAnsi"/>
          <w:color w:val="000000"/>
          <w:lang w:val="en-US"/>
        </w:rPr>
        <w:t xml:space="preserve">pathways </w:t>
      </w:r>
      <w:r w:rsidR="007138AB" w:rsidRPr="006A74F8">
        <w:rPr>
          <w:rFonts w:cstheme="minorHAnsi"/>
          <w:color w:val="000000"/>
          <w:lang w:val="en-US"/>
        </w:rPr>
        <w:t>(e.g. to enable superseded methods to be revoked)</w:t>
      </w:r>
    </w:p>
    <w:p w:rsidR="007138AB" w:rsidRPr="006A74F8" w:rsidRDefault="004D01AE" w:rsidP="007C787D">
      <w:pPr>
        <w:pStyle w:val="ListParagraph"/>
        <w:numPr>
          <w:ilvl w:val="0"/>
          <w:numId w:val="51"/>
        </w:numPr>
        <w:spacing w:before="120" w:after="120" w:line="240" w:lineRule="auto"/>
        <w:rPr>
          <w:color w:val="000000"/>
          <w:szCs w:val="18"/>
          <w:lang w:val="en-US"/>
        </w:rPr>
      </w:pPr>
      <w:r w:rsidRPr="006A74F8">
        <w:rPr>
          <w:rFonts w:cstheme="minorHAnsi"/>
          <w:color w:val="000000"/>
          <w:lang w:val="en-US"/>
        </w:rPr>
        <w:t>r</w:t>
      </w:r>
      <w:r w:rsidR="007138AB" w:rsidRPr="006A74F8">
        <w:rPr>
          <w:rFonts w:cstheme="minorHAnsi"/>
          <w:color w:val="000000"/>
          <w:lang w:val="en-US"/>
        </w:rPr>
        <w:t xml:space="preserve">evalidate approved traceability </w:t>
      </w:r>
      <w:r w:rsidR="00785164" w:rsidRPr="006A74F8">
        <w:rPr>
          <w:rFonts w:cstheme="minorHAnsi"/>
          <w:color w:val="000000"/>
          <w:lang w:val="en-US"/>
        </w:rPr>
        <w:t xml:space="preserve">pathways </w:t>
      </w:r>
      <w:r w:rsidR="007138AB" w:rsidRPr="006A74F8">
        <w:rPr>
          <w:rFonts w:cstheme="minorHAnsi"/>
          <w:color w:val="000000"/>
          <w:lang w:val="en-US"/>
        </w:rPr>
        <w:t>to reflect change in algorithms</w:t>
      </w:r>
    </w:p>
    <w:p w:rsidR="007138AB" w:rsidRPr="006A74F8" w:rsidRDefault="004D01AE" w:rsidP="007C787D">
      <w:pPr>
        <w:pStyle w:val="ListParagraph"/>
        <w:numPr>
          <w:ilvl w:val="0"/>
          <w:numId w:val="51"/>
        </w:numPr>
        <w:spacing w:before="120" w:after="120" w:line="240" w:lineRule="auto"/>
        <w:rPr>
          <w:color w:val="000000"/>
          <w:szCs w:val="18"/>
          <w:lang w:val="en-US"/>
        </w:rPr>
      </w:pPr>
      <w:r w:rsidRPr="006A74F8">
        <w:rPr>
          <w:rFonts w:cstheme="minorHAnsi"/>
          <w:color w:val="000000"/>
          <w:lang w:val="en-US"/>
        </w:rPr>
        <w:t>r</w:t>
      </w:r>
      <w:r w:rsidR="007138AB" w:rsidRPr="006A74F8">
        <w:rPr>
          <w:rFonts w:cstheme="minorHAnsi"/>
          <w:color w:val="000000"/>
          <w:lang w:val="en-US"/>
        </w:rPr>
        <w:t xml:space="preserve">ecognise </w:t>
      </w:r>
      <w:r w:rsidRPr="006A74F8">
        <w:rPr>
          <w:rFonts w:cstheme="minorHAnsi"/>
          <w:color w:val="000000"/>
          <w:lang w:val="en-US"/>
        </w:rPr>
        <w:t xml:space="preserve">additional </w:t>
      </w:r>
      <w:r w:rsidR="007138AB" w:rsidRPr="006A74F8">
        <w:rPr>
          <w:rFonts w:cstheme="minorHAnsi"/>
          <w:color w:val="000000"/>
          <w:lang w:val="en-US"/>
        </w:rPr>
        <w:t>traceability path</w:t>
      </w:r>
      <w:r w:rsidR="00785164" w:rsidRPr="006A74F8">
        <w:rPr>
          <w:rFonts w:cstheme="minorHAnsi"/>
          <w:color w:val="000000"/>
          <w:lang w:val="en-US"/>
        </w:rPr>
        <w:t>way</w:t>
      </w:r>
      <w:r w:rsidR="007138AB" w:rsidRPr="006A74F8">
        <w:rPr>
          <w:rFonts w:cstheme="minorHAnsi"/>
          <w:color w:val="000000"/>
          <w:lang w:val="en-US"/>
        </w:rPr>
        <w:t>s (other than to SI units) particularly for chemical or biological measurement and other complex measurements</w:t>
      </w:r>
    </w:p>
    <w:p w:rsidR="004D01AE" w:rsidRPr="006A74F8" w:rsidRDefault="004D01AE" w:rsidP="002B4ECA">
      <w:pPr>
        <w:pStyle w:val="ListParagraph"/>
        <w:numPr>
          <w:ilvl w:val="0"/>
          <w:numId w:val="51"/>
        </w:numPr>
        <w:spacing w:before="120" w:line="240" w:lineRule="auto"/>
        <w:ind w:left="714" w:hanging="357"/>
        <w:contextualSpacing w:val="0"/>
        <w:rPr>
          <w:color w:val="000000"/>
          <w:szCs w:val="18"/>
          <w:lang w:val="en-US"/>
        </w:rPr>
      </w:pPr>
      <w:r w:rsidRPr="006A74F8">
        <w:rPr>
          <w:rFonts w:cstheme="minorHAnsi"/>
          <w:color w:val="000000"/>
          <w:lang w:val="en-US"/>
        </w:rPr>
        <w:t>d</w:t>
      </w:r>
      <w:r w:rsidR="007138AB" w:rsidRPr="006A74F8">
        <w:rPr>
          <w:rFonts w:cstheme="minorHAnsi"/>
          <w:color w:val="000000"/>
          <w:lang w:val="en-US"/>
        </w:rPr>
        <w:t>etermine additional ALUMs, e.g. to support method-dependent measurements, and make these changes more easily.</w:t>
      </w:r>
    </w:p>
    <w:p w:rsidR="00EA4284" w:rsidRPr="006A74F8" w:rsidRDefault="007138AB">
      <w:pPr>
        <w:spacing w:before="120" w:after="120" w:line="240" w:lineRule="auto"/>
      </w:pPr>
      <w:r w:rsidRPr="006A74F8">
        <w:rPr>
          <w:b/>
        </w:rPr>
        <w:t xml:space="preserve">Option 3 </w:t>
      </w:r>
      <w:r w:rsidRPr="006A74F8">
        <w:t>applies the</w:t>
      </w:r>
      <w:r w:rsidR="004D01AE" w:rsidRPr="006A74F8">
        <w:t xml:space="preserve"> approach and </w:t>
      </w:r>
      <w:r w:rsidRPr="006A74F8">
        <w:t xml:space="preserve">benefits from </w:t>
      </w:r>
      <w:r w:rsidR="00501502" w:rsidRPr="006A74F8">
        <w:t>o</w:t>
      </w:r>
      <w:r w:rsidRPr="006A74F8">
        <w:t xml:space="preserve">ption 2 more broadly to measurement frameworks used for regulatory purposes. NMI would </w:t>
      </w:r>
      <w:r w:rsidR="00955209" w:rsidRPr="006A74F8">
        <w:t xml:space="preserve">have the legal standing </w:t>
      </w:r>
      <w:r w:rsidRPr="006A74F8">
        <w:t xml:space="preserve">to </w:t>
      </w:r>
      <w:r w:rsidR="00955209" w:rsidRPr="006A74F8">
        <w:t xml:space="preserve">directly </w:t>
      </w:r>
      <w:r w:rsidRPr="006A74F8">
        <w:t>help regulate measurement</w:t>
      </w:r>
      <w:r w:rsidR="004D01AE" w:rsidRPr="006A74F8">
        <w:t>s</w:t>
      </w:r>
      <w:r w:rsidRPr="006A74F8">
        <w:t xml:space="preserve"> that other regulators rely on</w:t>
      </w:r>
      <w:r w:rsidR="00955209" w:rsidRPr="006A74F8">
        <w:t xml:space="preserve"> (discussed further below). Option 3</w:t>
      </w:r>
      <w:r w:rsidRPr="006A74F8">
        <w:t xml:space="preserve"> aim</w:t>
      </w:r>
      <w:r w:rsidR="00955209" w:rsidRPr="006A74F8">
        <w:t>s</w:t>
      </w:r>
      <w:r w:rsidRPr="006A74F8">
        <w:t xml:space="preserve"> to support regulators and agencies in establishing appropriate metrological arrangements (in consultation with policy owners), and with separate powers to support the validation of </w:t>
      </w:r>
      <w:r w:rsidR="00A40103" w:rsidRPr="006A74F8">
        <w:t>measurement-</w:t>
      </w:r>
      <w:r w:rsidRPr="006A74F8">
        <w:t xml:space="preserve">based information. </w:t>
      </w:r>
      <w:r w:rsidR="00EA4284" w:rsidRPr="006A74F8">
        <w:t>Examples of the types of requirements that NMI might impose include:</w:t>
      </w:r>
    </w:p>
    <w:p w:rsidR="00EA4284" w:rsidRPr="006A74F8" w:rsidRDefault="00EA4284" w:rsidP="007C787D">
      <w:pPr>
        <w:pStyle w:val="ListParagraph"/>
        <w:numPr>
          <w:ilvl w:val="0"/>
          <w:numId w:val="51"/>
        </w:numPr>
        <w:spacing w:before="120" w:after="120" w:line="240" w:lineRule="auto"/>
        <w:rPr>
          <w:color w:val="000000"/>
          <w:szCs w:val="18"/>
          <w:lang w:val="en-US"/>
        </w:rPr>
      </w:pPr>
      <w:r w:rsidRPr="006A74F8">
        <w:rPr>
          <w:color w:val="000000"/>
          <w:szCs w:val="18"/>
          <w:lang w:val="en-US"/>
        </w:rPr>
        <w:t>determining that a particular test method must be used to calculate a measurement that is important for a regulator</w:t>
      </w:r>
    </w:p>
    <w:p w:rsidR="00EA4284" w:rsidRPr="006A74F8" w:rsidRDefault="00EA4284" w:rsidP="002B4ECA">
      <w:pPr>
        <w:pStyle w:val="ListParagraph"/>
        <w:numPr>
          <w:ilvl w:val="0"/>
          <w:numId w:val="51"/>
        </w:numPr>
        <w:spacing w:before="120" w:line="240" w:lineRule="auto"/>
        <w:ind w:left="714" w:hanging="357"/>
        <w:contextualSpacing w:val="0"/>
        <w:rPr>
          <w:color w:val="000000"/>
          <w:szCs w:val="18"/>
          <w:lang w:val="en-US"/>
        </w:rPr>
      </w:pPr>
      <w:r w:rsidRPr="006A74F8">
        <w:rPr>
          <w:color w:val="000000"/>
          <w:szCs w:val="18"/>
          <w:lang w:val="en-US"/>
        </w:rPr>
        <w:t xml:space="preserve">specifying that instruments used for particular regulatory purposes meet certain requirements, to ensure </w:t>
      </w:r>
      <w:r w:rsidR="00955209" w:rsidRPr="006A74F8">
        <w:rPr>
          <w:color w:val="000000"/>
          <w:szCs w:val="18"/>
          <w:lang w:val="en-US"/>
        </w:rPr>
        <w:t>that the measurements they produce are traceable</w:t>
      </w:r>
      <w:r w:rsidRPr="006A74F8">
        <w:rPr>
          <w:color w:val="000000"/>
          <w:szCs w:val="18"/>
          <w:lang w:val="en-US"/>
        </w:rPr>
        <w:t>.</w:t>
      </w:r>
    </w:p>
    <w:p w:rsidR="00F877AE" w:rsidRPr="006A74F8" w:rsidRDefault="00846D1A" w:rsidP="00F877AE">
      <w:pPr>
        <w:pStyle w:val="Heading3"/>
      </w:pPr>
      <w:r w:rsidRPr="006A74F8">
        <w:t>Changing the way measuring instruments are regulated</w:t>
      </w:r>
    </w:p>
    <w:p w:rsidR="007138AB" w:rsidRPr="006A74F8" w:rsidRDefault="007138AB" w:rsidP="007138AB">
      <w:pPr>
        <w:rPr>
          <w:rStyle w:val="normaltextrun1"/>
          <w:rFonts w:ascii="Calibri" w:eastAsiaTheme="majorEastAsia" w:hAnsi="Calibri" w:cs="Calibri"/>
        </w:rPr>
      </w:pPr>
      <w:r w:rsidRPr="006A74F8">
        <w:rPr>
          <w:rStyle w:val="normaltextrun1"/>
          <w:rFonts w:ascii="Calibri" w:eastAsiaTheme="majorEastAsia" w:hAnsi="Calibri" w:cs="Calibri"/>
        </w:rPr>
        <w:t>The regulation of measuring instruments aims to give confidence in their performance within Australia. The controls on instruments help to ensure they can provide reliable measurement results and are capable of maintaining performance under a range of different environmental and disturbance conditions</w:t>
      </w:r>
      <w:r w:rsidR="00B65CD1" w:rsidRPr="006A74F8">
        <w:rPr>
          <w:rStyle w:val="normaltextrun1"/>
          <w:rFonts w:ascii="Calibri" w:eastAsiaTheme="majorEastAsia" w:hAnsi="Calibri" w:cs="Calibri"/>
        </w:rPr>
        <w:t xml:space="preserve"> that may be encountered across the nation</w:t>
      </w:r>
      <w:r w:rsidRPr="006A74F8">
        <w:rPr>
          <w:rStyle w:val="normaltextrun1"/>
          <w:rFonts w:ascii="Calibri" w:eastAsiaTheme="majorEastAsia" w:hAnsi="Calibri" w:cs="Calibri"/>
        </w:rPr>
        <w:t>.</w:t>
      </w:r>
      <w:r w:rsidRPr="006A74F8">
        <w:rPr>
          <w:rStyle w:val="FootnoteReference"/>
          <w:rFonts w:eastAsiaTheme="majorEastAsia" w:cs="Calibri"/>
        </w:rPr>
        <w:footnoteReference w:id="31"/>
      </w:r>
      <w:r w:rsidRPr="006A74F8">
        <w:rPr>
          <w:rStyle w:val="normaltextrun1"/>
          <w:rFonts w:ascii="Calibri" w:eastAsiaTheme="majorEastAsia" w:hAnsi="Calibri" w:cs="Calibri"/>
        </w:rPr>
        <w:t xml:space="preserve"> This is important as the people owning and operating these instruments may not have an underlying understanding of how to use and maintain these instruments to </w:t>
      </w:r>
      <w:r w:rsidR="00B65CD1" w:rsidRPr="006A74F8">
        <w:rPr>
          <w:rStyle w:val="normaltextrun1"/>
          <w:rFonts w:ascii="Calibri" w:eastAsiaTheme="majorEastAsia" w:hAnsi="Calibri" w:cs="Calibri"/>
        </w:rPr>
        <w:t>ensure</w:t>
      </w:r>
      <w:r w:rsidRPr="006A74F8">
        <w:rPr>
          <w:rStyle w:val="normaltextrun1"/>
          <w:rFonts w:ascii="Calibri" w:eastAsiaTheme="majorEastAsia" w:hAnsi="Calibri" w:cs="Calibri"/>
        </w:rPr>
        <w:t xml:space="preserve"> accurate measurement.</w:t>
      </w:r>
    </w:p>
    <w:p w:rsidR="007138AB" w:rsidRPr="006A74F8" w:rsidRDefault="007138AB" w:rsidP="007138AB">
      <w:pPr>
        <w:pStyle w:val="Heading4"/>
        <w:rPr>
          <w:rStyle w:val="normaltextrun1"/>
        </w:rPr>
      </w:pPr>
      <w:r w:rsidRPr="006A74F8">
        <w:rPr>
          <w:rStyle w:val="normaltextrun1"/>
        </w:rPr>
        <w:t>Current approach</w:t>
      </w:r>
    </w:p>
    <w:p w:rsidR="007138AB" w:rsidRPr="006A74F8" w:rsidRDefault="007138AB" w:rsidP="007138AB">
      <w:pPr>
        <w:rPr>
          <w:rStyle w:val="normaltextrun1"/>
          <w:rFonts w:ascii="Calibri" w:eastAsiaTheme="majorEastAsia" w:hAnsi="Calibri" w:cs="Calibri"/>
        </w:rPr>
      </w:pPr>
      <w:r w:rsidRPr="006A74F8">
        <w:rPr>
          <w:rStyle w:val="normaltextrun1"/>
          <w:rFonts w:ascii="Calibri" w:eastAsiaTheme="majorEastAsia" w:hAnsi="Calibri" w:cs="Calibri"/>
        </w:rPr>
        <w:t xml:space="preserve">The current measurement legislation directly regulates instruments used in trade, and provides </w:t>
      </w:r>
      <w:r w:rsidR="00B65CD1" w:rsidRPr="006A74F8">
        <w:rPr>
          <w:rStyle w:val="normaltextrun1"/>
          <w:rFonts w:ascii="Calibri" w:eastAsiaTheme="majorEastAsia" w:hAnsi="Calibri" w:cs="Calibri"/>
        </w:rPr>
        <w:t xml:space="preserve">a </w:t>
      </w:r>
      <w:r w:rsidRPr="006A74F8">
        <w:rPr>
          <w:rStyle w:val="normaltextrun1"/>
          <w:rFonts w:ascii="Calibri" w:eastAsiaTheme="majorEastAsia" w:hAnsi="Calibri" w:cs="Calibri"/>
        </w:rPr>
        <w:t>supporting framework for instruments used for legal purposes outside trade.</w:t>
      </w:r>
    </w:p>
    <w:p w:rsidR="007138AB" w:rsidRPr="006A74F8" w:rsidRDefault="007138AB" w:rsidP="007138AB">
      <w:pPr>
        <w:rPr>
          <w:rStyle w:val="normaltextrun1"/>
          <w:rFonts w:ascii="Calibri" w:eastAsiaTheme="majorEastAsia" w:hAnsi="Calibri" w:cs="Calibri"/>
        </w:rPr>
      </w:pPr>
      <w:r w:rsidRPr="006A74F8">
        <w:rPr>
          <w:rStyle w:val="normaltextrun1"/>
          <w:rFonts w:ascii="Calibri" w:eastAsiaTheme="majorEastAsia" w:hAnsi="Calibri" w:cs="Calibri"/>
        </w:rPr>
        <w:t xml:space="preserve">The controls on measuring </w:t>
      </w:r>
      <w:r w:rsidRPr="006A74F8">
        <w:rPr>
          <w:rStyle w:val="normaltextrun1"/>
          <w:rFonts w:ascii="Calibri" w:eastAsiaTheme="majorEastAsia" w:hAnsi="Calibri" w:cs="Calibri"/>
          <w:b/>
        </w:rPr>
        <w:t>instruments used in trade</w:t>
      </w:r>
      <w:r w:rsidRPr="006A74F8">
        <w:rPr>
          <w:rStyle w:val="normaltextrun1"/>
          <w:rFonts w:ascii="Calibri" w:eastAsiaTheme="majorEastAsia" w:hAnsi="Calibri" w:cs="Calibri"/>
        </w:rPr>
        <w:t xml:space="preserve"> have broad system-wide benefits that flow to a number of different stakeholder groups, for example:</w:t>
      </w:r>
    </w:p>
    <w:p w:rsidR="007138AB" w:rsidRPr="006A74F8" w:rsidRDefault="007138AB" w:rsidP="007C787D">
      <w:pPr>
        <w:pStyle w:val="paragraph"/>
        <w:numPr>
          <w:ilvl w:val="0"/>
          <w:numId w:val="52"/>
        </w:numPr>
        <w:textAlignment w:val="baseline"/>
        <w:rPr>
          <w:rStyle w:val="normaltextrun1"/>
          <w:rFonts w:ascii="Calibri" w:eastAsiaTheme="majorEastAsia" w:hAnsi="Calibri" w:cs="Calibri"/>
          <w:sz w:val="22"/>
          <w:szCs w:val="22"/>
          <w:lang w:eastAsia="en-US"/>
        </w:rPr>
      </w:pPr>
      <w:r w:rsidRPr="006A74F8">
        <w:rPr>
          <w:rStyle w:val="normaltextrun1"/>
          <w:rFonts w:ascii="Calibri" w:eastAsiaTheme="majorEastAsia" w:hAnsi="Calibri" w:cs="Calibri"/>
          <w:b/>
          <w:sz w:val="22"/>
          <w:szCs w:val="22"/>
        </w:rPr>
        <w:t>consumers</w:t>
      </w:r>
      <w:r w:rsidRPr="006A74F8">
        <w:rPr>
          <w:rStyle w:val="normaltextrun1"/>
          <w:rFonts w:ascii="Calibri" w:eastAsiaTheme="majorEastAsia" w:hAnsi="Calibri" w:cs="Calibri"/>
          <w:sz w:val="22"/>
          <w:szCs w:val="22"/>
        </w:rPr>
        <w:t xml:space="preserve"> purchasing petrol at a fuel </w:t>
      </w:r>
      <w:r w:rsidR="00302F55" w:rsidRPr="006A74F8">
        <w:rPr>
          <w:rStyle w:val="normaltextrun1"/>
          <w:rFonts w:ascii="Calibri" w:eastAsiaTheme="majorEastAsia" w:hAnsi="Calibri" w:cs="Calibri"/>
          <w:sz w:val="22"/>
          <w:szCs w:val="22"/>
        </w:rPr>
        <w:t>dispenser</w:t>
      </w:r>
      <w:r w:rsidRPr="006A74F8">
        <w:rPr>
          <w:rStyle w:val="normaltextrun1"/>
          <w:rFonts w:ascii="Calibri" w:eastAsiaTheme="majorEastAsia" w:hAnsi="Calibri" w:cs="Calibri"/>
          <w:sz w:val="22"/>
          <w:szCs w:val="22"/>
        </w:rPr>
        <w:t xml:space="preserve"> can have confidence that they are getting what they pay for</w:t>
      </w:r>
    </w:p>
    <w:p w:rsidR="007138AB" w:rsidRPr="006A74F8" w:rsidRDefault="007138AB" w:rsidP="007C787D">
      <w:pPr>
        <w:pStyle w:val="paragraph"/>
        <w:numPr>
          <w:ilvl w:val="0"/>
          <w:numId w:val="52"/>
        </w:numPr>
        <w:textAlignment w:val="baseline"/>
        <w:rPr>
          <w:rStyle w:val="normaltextrun1"/>
          <w:rFonts w:ascii="Calibri" w:eastAsiaTheme="majorEastAsia" w:hAnsi="Calibri" w:cs="Calibri"/>
          <w:sz w:val="22"/>
          <w:szCs w:val="22"/>
        </w:rPr>
      </w:pPr>
      <w:r w:rsidRPr="006A74F8">
        <w:rPr>
          <w:rStyle w:val="normaltextrun1"/>
          <w:rFonts w:ascii="Calibri" w:eastAsiaTheme="majorEastAsia" w:hAnsi="Calibri" w:cs="Calibri"/>
          <w:b/>
          <w:sz w:val="22"/>
          <w:szCs w:val="22"/>
        </w:rPr>
        <w:t>farmers</w:t>
      </w:r>
      <w:r w:rsidRPr="006A74F8">
        <w:rPr>
          <w:rStyle w:val="normaltextrun1"/>
          <w:rFonts w:ascii="Calibri" w:eastAsiaTheme="majorEastAsia" w:hAnsi="Calibri" w:cs="Calibri"/>
          <w:sz w:val="22"/>
          <w:szCs w:val="22"/>
        </w:rPr>
        <w:t xml:space="preserve"> selling stock measured using a weighbridge can be confident that they are getting the correct weight for their livestock</w:t>
      </w:r>
    </w:p>
    <w:p w:rsidR="007138AB" w:rsidRPr="006A74F8" w:rsidRDefault="007138AB" w:rsidP="007C787D">
      <w:pPr>
        <w:pStyle w:val="paragraph"/>
        <w:numPr>
          <w:ilvl w:val="0"/>
          <w:numId w:val="52"/>
        </w:numPr>
        <w:textAlignment w:val="baseline"/>
        <w:rPr>
          <w:rStyle w:val="normaltextrun1"/>
          <w:rFonts w:ascii="Calibri" w:eastAsiaTheme="majorEastAsia" w:hAnsi="Calibri" w:cs="Calibri"/>
          <w:sz w:val="22"/>
          <w:szCs w:val="22"/>
        </w:rPr>
      </w:pPr>
      <w:r w:rsidRPr="006A74F8">
        <w:rPr>
          <w:rStyle w:val="normaltextrun1"/>
          <w:rFonts w:ascii="Calibri" w:eastAsiaTheme="majorEastAsia" w:hAnsi="Calibri" w:cs="Calibri"/>
          <w:b/>
          <w:sz w:val="22"/>
          <w:szCs w:val="22"/>
        </w:rPr>
        <w:t>exporters</w:t>
      </w:r>
      <w:r w:rsidRPr="006A74F8">
        <w:rPr>
          <w:rStyle w:val="normaltextrun1"/>
          <w:rFonts w:ascii="Calibri" w:eastAsiaTheme="majorEastAsia" w:hAnsi="Calibri" w:cs="Calibri"/>
          <w:sz w:val="22"/>
          <w:szCs w:val="22"/>
        </w:rPr>
        <w:t xml:space="preserve"> measuring mining shipments via belt-weighers can have confidence in the </w:t>
      </w:r>
      <w:r w:rsidR="00AE08C5" w:rsidRPr="006A74F8">
        <w:rPr>
          <w:rStyle w:val="normaltextrun1"/>
          <w:rFonts w:ascii="Calibri" w:eastAsiaTheme="majorEastAsia" w:hAnsi="Calibri" w:cs="Calibri"/>
          <w:sz w:val="22"/>
          <w:szCs w:val="22"/>
        </w:rPr>
        <w:t>measurement of the product</w:t>
      </w:r>
      <w:r w:rsidRPr="006A74F8">
        <w:rPr>
          <w:rStyle w:val="normaltextrun1"/>
          <w:rFonts w:ascii="Calibri" w:eastAsiaTheme="majorEastAsia" w:hAnsi="Calibri" w:cs="Calibri"/>
          <w:sz w:val="22"/>
          <w:szCs w:val="22"/>
        </w:rPr>
        <w:t xml:space="preserve"> they are shipping out, and recipients can have confidence in the amount received. </w:t>
      </w:r>
    </w:p>
    <w:p w:rsidR="007138AB" w:rsidRPr="006A74F8" w:rsidRDefault="007138AB" w:rsidP="007138AB">
      <w:pPr>
        <w:pStyle w:val="paragraph"/>
        <w:ind w:left="720"/>
        <w:textAlignment w:val="baseline"/>
        <w:rPr>
          <w:rStyle w:val="normaltextrun1"/>
          <w:rFonts w:ascii="Calibri" w:eastAsiaTheme="majorEastAsia" w:hAnsi="Calibri" w:cs="Calibri"/>
          <w:sz w:val="22"/>
          <w:szCs w:val="22"/>
          <w:lang w:eastAsia="en-US"/>
        </w:rPr>
      </w:pPr>
    </w:p>
    <w:p w:rsidR="007138AB" w:rsidRPr="006A74F8" w:rsidRDefault="007138AB" w:rsidP="007138AB">
      <w:pPr>
        <w:rPr>
          <w:rStyle w:val="normaltextrun1"/>
          <w:rFonts w:ascii="Calibri" w:eastAsiaTheme="majorEastAsia" w:hAnsi="Calibri" w:cs="Calibri"/>
        </w:rPr>
      </w:pPr>
      <w:r w:rsidRPr="006A74F8">
        <w:rPr>
          <w:rStyle w:val="normaltextrun1"/>
          <w:rFonts w:ascii="Calibri" w:eastAsiaTheme="majorEastAsia" w:hAnsi="Calibri" w:cs="Calibri"/>
        </w:rPr>
        <w:t xml:space="preserve">The measurement legislation sets up an arrangement which supports confidence in </w:t>
      </w:r>
      <w:r w:rsidRPr="006A74F8">
        <w:rPr>
          <w:rStyle w:val="normaltextrun1"/>
          <w:rFonts w:ascii="Calibri" w:eastAsiaTheme="majorEastAsia" w:hAnsi="Calibri" w:cs="Calibri"/>
          <w:b/>
        </w:rPr>
        <w:t>instruments used for legal purposes outside trade</w:t>
      </w:r>
      <w:r w:rsidRPr="006A74F8">
        <w:rPr>
          <w:rStyle w:val="normaltextrun1"/>
          <w:rFonts w:ascii="Calibri" w:eastAsiaTheme="majorEastAsia" w:hAnsi="Calibri" w:cs="Calibri"/>
        </w:rPr>
        <w:t xml:space="preserve">. </w:t>
      </w:r>
      <w:r w:rsidRPr="006A74F8">
        <w:rPr>
          <w:rFonts w:cstheme="minorHAnsi"/>
        </w:rPr>
        <w:t xml:space="preserve">This confidence is achieved through the use of instruments </w:t>
      </w:r>
      <w:r w:rsidRPr="006A74F8">
        <w:rPr>
          <w:rFonts w:cstheme="minorHAnsi"/>
        </w:rPr>
        <w:lastRenderedPageBreak/>
        <w:t>that are certified</w:t>
      </w:r>
      <w:r w:rsidRPr="006A74F8">
        <w:rPr>
          <w:rStyle w:val="FootnoteReference"/>
          <w:rFonts w:eastAsiaTheme="majorEastAsia" w:cstheme="minorHAnsi"/>
        </w:rPr>
        <w:footnoteReference w:id="32"/>
      </w:r>
      <w:r w:rsidRPr="006A74F8">
        <w:rPr>
          <w:rFonts w:cstheme="minorHAnsi"/>
        </w:rPr>
        <w:t xml:space="preserve"> by a Certifying Authority. This process results in instruments that </w:t>
      </w:r>
      <w:r w:rsidRPr="006A74F8">
        <w:rPr>
          <w:rStyle w:val="normaltextrun1"/>
          <w:rFonts w:ascii="Calibri" w:eastAsiaTheme="majorEastAsia" w:hAnsi="Calibri" w:cs="Calibri"/>
        </w:rPr>
        <w:t>can be directly trusted,</w:t>
      </w:r>
      <w:r w:rsidRPr="006A74F8">
        <w:rPr>
          <w:rStyle w:val="FootnoteReference"/>
          <w:rFonts w:eastAsiaTheme="majorEastAsia" w:cs="Calibri"/>
        </w:rPr>
        <w:footnoteReference w:id="33"/>
      </w:r>
      <w:r w:rsidRPr="006A74F8">
        <w:rPr>
          <w:rStyle w:val="normaltextrun1"/>
          <w:rFonts w:ascii="Calibri" w:eastAsiaTheme="majorEastAsia" w:hAnsi="Calibri" w:cs="Calibri"/>
        </w:rPr>
        <w:t xml:space="preserve"> noting that how an instrument is used will also affect the accuracy of the measurement result. This supportive arrangement benefits regulators who choose to have the increased certainty from measurements made by certified instruments. For example, </w:t>
      </w:r>
      <w:r w:rsidRPr="006A74F8">
        <w:rPr>
          <w:rStyle w:val="normaltextrun1"/>
          <w:rFonts w:ascii="Calibri" w:eastAsiaTheme="majorEastAsia" w:hAnsi="Calibri" w:cs="Calibri"/>
          <w:b/>
        </w:rPr>
        <w:t>law enforcement</w:t>
      </w:r>
      <w:r w:rsidRPr="006A74F8">
        <w:rPr>
          <w:rStyle w:val="normaltextrun1"/>
          <w:rFonts w:ascii="Calibri" w:eastAsiaTheme="majorEastAsia" w:hAnsi="Calibri" w:cs="Calibri"/>
        </w:rPr>
        <w:t xml:space="preserve"> officers use the measurement </w:t>
      </w:r>
      <w:r w:rsidR="00B65CD1" w:rsidRPr="006A74F8">
        <w:rPr>
          <w:rStyle w:val="normaltextrun1"/>
          <w:rFonts w:ascii="Calibri" w:eastAsiaTheme="majorEastAsia" w:hAnsi="Calibri" w:cs="Calibri"/>
        </w:rPr>
        <w:t xml:space="preserve">of the blood alcohol content in a driver </w:t>
      </w:r>
      <w:r w:rsidRPr="006A74F8">
        <w:rPr>
          <w:rStyle w:val="normaltextrun1"/>
          <w:rFonts w:ascii="Calibri" w:eastAsiaTheme="majorEastAsia" w:hAnsi="Calibri" w:cs="Calibri"/>
        </w:rPr>
        <w:t>made by certified evidential breath analysers.</w:t>
      </w:r>
    </w:p>
    <w:p w:rsidR="007138AB" w:rsidRPr="006A74F8" w:rsidRDefault="007138AB" w:rsidP="007138AB">
      <w:pPr>
        <w:pStyle w:val="Heading4"/>
        <w:rPr>
          <w:rStyle w:val="normaltextrun1"/>
        </w:rPr>
      </w:pPr>
      <w:r w:rsidRPr="006A74F8">
        <w:rPr>
          <w:rStyle w:val="normaltextrun1"/>
        </w:rPr>
        <w:t xml:space="preserve">Limitations of </w:t>
      </w:r>
      <w:r w:rsidR="00E72083" w:rsidRPr="006A74F8">
        <w:rPr>
          <w:rStyle w:val="normaltextrun1"/>
        </w:rPr>
        <w:t>current a</w:t>
      </w:r>
      <w:r w:rsidRPr="006A74F8">
        <w:rPr>
          <w:rStyle w:val="normaltextrun1"/>
        </w:rPr>
        <w:t>pproach</w:t>
      </w:r>
    </w:p>
    <w:p w:rsidR="003E6AE1" w:rsidRPr="006A74F8" w:rsidRDefault="007138AB" w:rsidP="00DD30E8">
      <w:pPr>
        <w:rPr>
          <w:lang w:eastAsia="en-AU"/>
        </w:rPr>
      </w:pPr>
      <w:r w:rsidRPr="006A74F8">
        <w:rPr>
          <w:rStyle w:val="normaltextrun1"/>
          <w:rFonts w:ascii="Calibri" w:eastAsiaTheme="majorEastAsia" w:hAnsi="Calibri" w:cs="Calibri"/>
        </w:rPr>
        <w:t>The current arrangements (</w:t>
      </w:r>
      <w:r w:rsidR="00B65CD1" w:rsidRPr="006A74F8">
        <w:rPr>
          <w:rStyle w:val="normaltextrun1"/>
          <w:rFonts w:ascii="Calibri" w:eastAsiaTheme="majorEastAsia" w:hAnsi="Calibri" w:cs="Calibri"/>
          <w:b/>
        </w:rPr>
        <w:t>s</w:t>
      </w:r>
      <w:r w:rsidRPr="006A74F8">
        <w:rPr>
          <w:rStyle w:val="normaltextrun1"/>
          <w:rFonts w:ascii="Calibri" w:eastAsiaTheme="majorEastAsia" w:hAnsi="Calibri" w:cs="Calibri"/>
          <w:b/>
        </w:rPr>
        <w:t>tatus quo</w:t>
      </w:r>
      <w:r w:rsidRPr="006A74F8">
        <w:rPr>
          <w:rStyle w:val="normaltextrun1"/>
          <w:rFonts w:ascii="Calibri" w:eastAsiaTheme="majorEastAsia" w:hAnsi="Calibri" w:cs="Calibri"/>
        </w:rPr>
        <w:t xml:space="preserve">) apply a </w:t>
      </w:r>
      <w:r w:rsidRPr="006A74F8">
        <w:t>one-size</w:t>
      </w:r>
      <w:r w:rsidR="00D53E2C" w:rsidRPr="006A74F8">
        <w:t xml:space="preserve">-fits-all </w:t>
      </w:r>
      <w:r w:rsidRPr="006A74F8">
        <w:rPr>
          <w:rStyle w:val="normaltextrun1"/>
          <w:rFonts w:ascii="Calibri" w:eastAsiaTheme="majorEastAsia" w:hAnsi="Calibri" w:cs="Calibri"/>
        </w:rPr>
        <w:t>approach</w:t>
      </w:r>
      <w:r w:rsidR="009764F1" w:rsidRPr="006A74F8">
        <w:rPr>
          <w:rStyle w:val="normaltextrun1"/>
          <w:rFonts w:ascii="Calibri" w:eastAsiaTheme="majorEastAsia" w:hAnsi="Calibri" w:cs="Calibri"/>
        </w:rPr>
        <w:t xml:space="preserve"> for all instruments when used for trade purposes</w:t>
      </w:r>
      <w:r w:rsidRPr="006A74F8">
        <w:rPr>
          <w:rStyle w:val="normaltextrun1"/>
          <w:rFonts w:ascii="Calibri" w:eastAsiaTheme="majorEastAsia" w:hAnsi="Calibri" w:cs="Calibri"/>
        </w:rPr>
        <w:t xml:space="preserve"> by requiring the approval of </w:t>
      </w:r>
      <w:r w:rsidR="00A12229" w:rsidRPr="006A74F8">
        <w:rPr>
          <w:rStyle w:val="normaltextrun1"/>
          <w:rFonts w:ascii="Calibri" w:eastAsiaTheme="majorEastAsia" w:hAnsi="Calibri" w:cs="Calibri"/>
        </w:rPr>
        <w:t xml:space="preserve">the </w:t>
      </w:r>
      <w:r w:rsidRPr="006A74F8">
        <w:rPr>
          <w:rStyle w:val="normaltextrun1"/>
          <w:rFonts w:ascii="Calibri" w:eastAsiaTheme="majorEastAsia" w:hAnsi="Calibri" w:cs="Calibri"/>
        </w:rPr>
        <w:t>measuring instrument design (pattern</w:t>
      </w:r>
      <w:r w:rsidR="006440FD" w:rsidRPr="006A74F8">
        <w:rPr>
          <w:rStyle w:val="normaltextrun1"/>
          <w:rFonts w:ascii="Calibri" w:eastAsiaTheme="majorEastAsia" w:hAnsi="Calibri" w:cs="Calibri"/>
        </w:rPr>
        <w:t xml:space="preserve"> approval</w:t>
      </w:r>
      <w:r w:rsidRPr="006A74F8">
        <w:rPr>
          <w:rStyle w:val="normaltextrun1"/>
          <w:rFonts w:ascii="Calibri" w:eastAsiaTheme="majorEastAsia" w:hAnsi="Calibri" w:cs="Calibri"/>
        </w:rPr>
        <w:t xml:space="preserve">) and the verification of the instrument prior to first use </w:t>
      </w:r>
      <w:r w:rsidR="00B65CD1" w:rsidRPr="006A74F8">
        <w:rPr>
          <w:rStyle w:val="normaltextrun1"/>
          <w:rFonts w:ascii="Calibri" w:eastAsiaTheme="majorEastAsia" w:hAnsi="Calibri" w:cs="Calibri"/>
        </w:rPr>
        <w:t>in the marketplace</w:t>
      </w:r>
      <w:r w:rsidRPr="006A74F8">
        <w:rPr>
          <w:rStyle w:val="normaltextrun1"/>
          <w:rFonts w:ascii="Calibri" w:eastAsiaTheme="majorEastAsia" w:hAnsi="Calibri" w:cs="Calibri"/>
        </w:rPr>
        <w:t xml:space="preserve">. </w:t>
      </w:r>
      <w:r w:rsidR="00132C32" w:rsidRPr="006A74F8">
        <w:rPr>
          <w:lang w:eastAsia="en-AU"/>
        </w:rPr>
        <w:t xml:space="preserve">Where there is an established framework for the approval and verification of measuring instruments the system functions well to ensure people can have a high degree of confidence in instruments being used for trade, for example weighing instruments. </w:t>
      </w:r>
      <w:r w:rsidR="00B36CDD" w:rsidRPr="006A74F8">
        <w:rPr>
          <w:lang w:eastAsia="en-AU"/>
        </w:rPr>
        <w:t xml:space="preserve">These controls are considered key components of the framework </w:t>
      </w:r>
      <w:r w:rsidR="00B36CDD" w:rsidRPr="006A74F8">
        <w:t xml:space="preserve">and will continue to remain the preferred control mechanisms for </w:t>
      </w:r>
      <w:r w:rsidR="00132C32" w:rsidRPr="006A74F8">
        <w:t>measuring</w:t>
      </w:r>
      <w:r w:rsidR="00B36CDD" w:rsidRPr="006A74F8">
        <w:t xml:space="preserve"> instruments in these circumstances</w:t>
      </w:r>
      <w:r w:rsidR="00B36CDD" w:rsidRPr="006A74F8">
        <w:rPr>
          <w:lang w:eastAsia="en-AU"/>
        </w:rPr>
        <w:t xml:space="preserve">. </w:t>
      </w:r>
    </w:p>
    <w:p w:rsidR="003E6AE1" w:rsidRPr="006A74F8" w:rsidRDefault="003E6AE1" w:rsidP="003E6AE1">
      <w:pPr>
        <w:rPr>
          <w:lang w:eastAsia="en-AU"/>
        </w:rPr>
      </w:pPr>
      <w:r w:rsidRPr="006A74F8">
        <w:rPr>
          <w:lang w:eastAsia="en-AU"/>
        </w:rPr>
        <w:t xml:space="preserve">However, current controls are not fit for purpose for all measuring instruments in all circumstances. In order to accommodate evolving measuring instrument technology in the future and prevent the legislation from acting as a barrier to innovation, the options seek to strike a balance between continuing to support well-established measuring instrument controls and introducing a degree of flexibility. </w:t>
      </w:r>
    </w:p>
    <w:p w:rsidR="007963F2" w:rsidRPr="006A74F8" w:rsidRDefault="007963F2" w:rsidP="007963F2">
      <w:pPr>
        <w:pStyle w:val="Heading5"/>
        <w:rPr>
          <w:rStyle w:val="normaltextrun1"/>
        </w:rPr>
      </w:pPr>
      <w:bookmarkStart w:id="1403" w:name="_New_pattern_approval"/>
      <w:bookmarkEnd w:id="1403"/>
      <w:r w:rsidRPr="006A74F8">
        <w:rPr>
          <w:rStyle w:val="normaltextrun1"/>
        </w:rPr>
        <w:t>New pattern approval pathways take time to build</w:t>
      </w:r>
    </w:p>
    <w:p w:rsidR="000863D1" w:rsidRPr="006A74F8" w:rsidRDefault="00B36CDD" w:rsidP="000863D1">
      <w:pPr>
        <w:rPr>
          <w:rStyle w:val="normaltextrun1"/>
          <w:lang w:eastAsia="en-AU"/>
        </w:rPr>
      </w:pPr>
      <w:r w:rsidRPr="006A74F8">
        <w:rPr>
          <w:lang w:eastAsia="en-AU"/>
        </w:rPr>
        <w:t xml:space="preserve">For some measuring instruments the current framework acts as a technical barrier to trade, limiting innovation. Where a new or novel measuring instrument is seeking to enter the market and there is no existing national or international recommendation to approve the instrument, then one needs to be developed. This process can often take several years, creating a situation where the instrument cannot be sold or used for trade until the appropriate framework is developed. </w:t>
      </w:r>
      <w:r w:rsidR="004006B9" w:rsidRPr="006A74F8">
        <w:rPr>
          <w:lang w:eastAsia="en-AU"/>
        </w:rPr>
        <w:t xml:space="preserve">The following </w:t>
      </w:r>
      <w:r w:rsidR="00631C29" w:rsidRPr="006A74F8">
        <w:rPr>
          <w:lang w:eastAsia="en-AU"/>
        </w:rPr>
        <w:t xml:space="preserve">case study </w:t>
      </w:r>
      <w:r w:rsidR="004006B9" w:rsidRPr="006A74F8">
        <w:rPr>
          <w:lang w:eastAsia="en-AU"/>
        </w:rPr>
        <w:t>provides an example of the current limi</w:t>
      </w:r>
      <w:r w:rsidR="00F03323" w:rsidRPr="006A74F8">
        <w:rPr>
          <w:lang w:eastAsia="en-AU"/>
        </w:rPr>
        <w:t>tations for</w:t>
      </w:r>
      <w:r w:rsidR="004006B9" w:rsidRPr="006A74F8">
        <w:rPr>
          <w:lang w:eastAsia="en-AU"/>
        </w:rPr>
        <w:t xml:space="preserve"> the approval of measuring instruments.</w:t>
      </w:r>
    </w:p>
    <w:p w:rsidR="003123F6" w:rsidRPr="006A74F8" w:rsidRDefault="003123F6" w:rsidP="003123F6">
      <w:pPr>
        <w:shd w:val="clear" w:color="auto" w:fill="C3E8EC" w:themeFill="accent5" w:themeFillTint="99"/>
        <w:rPr>
          <w:rStyle w:val="normaltextrun1"/>
          <w:rFonts w:ascii="Calibri" w:eastAsiaTheme="majorEastAsia" w:hAnsi="Calibri" w:cs="Calibri"/>
          <w:u w:val="single"/>
        </w:rPr>
      </w:pPr>
      <w:r w:rsidRPr="006A74F8">
        <w:rPr>
          <w:rStyle w:val="normaltextrun1"/>
          <w:rFonts w:ascii="Calibri" w:eastAsiaTheme="majorEastAsia" w:hAnsi="Calibri" w:cs="Calibri"/>
          <w:u w:val="single"/>
        </w:rPr>
        <w:t>Electric Vehicle Charger Stations (EVCSs) in Australia</w:t>
      </w:r>
      <w:r w:rsidR="002746E9" w:rsidRPr="006A74F8">
        <w:rPr>
          <w:rStyle w:val="FootnoteReference"/>
          <w:rFonts w:eastAsiaTheme="majorEastAsia" w:cs="Calibri"/>
          <w:u w:val="single"/>
        </w:rPr>
        <w:footnoteReference w:id="34"/>
      </w:r>
    </w:p>
    <w:p w:rsidR="003123F6" w:rsidRPr="006A74F8" w:rsidRDefault="003123F6" w:rsidP="003123F6">
      <w:pPr>
        <w:shd w:val="clear" w:color="auto" w:fill="C3E8EC" w:themeFill="accent5" w:themeFillTint="99"/>
        <w:rPr>
          <w:rStyle w:val="normaltextrun1"/>
          <w:rFonts w:ascii="Calibri" w:eastAsiaTheme="majorEastAsia" w:hAnsi="Calibri" w:cs="Calibri"/>
        </w:rPr>
      </w:pPr>
      <w:r w:rsidRPr="006A74F8">
        <w:rPr>
          <w:rStyle w:val="normaltextrun1"/>
          <w:rFonts w:ascii="Calibri" w:eastAsiaTheme="majorEastAsia" w:hAnsi="Calibri" w:cs="Calibri"/>
        </w:rPr>
        <w:t>In Australia EVCSs have needed to be approved as electricity meters in order to be used in trade. However, existing approval requirements for electricity meters may not be appropriate because the requirements were not developed for EVCSs.</w:t>
      </w:r>
    </w:p>
    <w:p w:rsidR="003123F6" w:rsidRPr="006A74F8" w:rsidRDefault="003123F6" w:rsidP="003123F6">
      <w:pPr>
        <w:shd w:val="clear" w:color="auto" w:fill="C3E8EC" w:themeFill="accent5" w:themeFillTint="99"/>
        <w:rPr>
          <w:rStyle w:val="normaltextrun1"/>
          <w:rFonts w:ascii="Calibri" w:eastAsiaTheme="majorEastAsia" w:hAnsi="Calibri" w:cs="Calibri"/>
        </w:rPr>
      </w:pPr>
      <w:r w:rsidRPr="006A74F8">
        <w:rPr>
          <w:rStyle w:val="normaltextrun1"/>
          <w:rFonts w:ascii="Calibri" w:eastAsiaTheme="majorEastAsia" w:hAnsi="Calibri" w:cs="Calibri"/>
        </w:rPr>
        <w:t>A key difference between EVCSs and traditional electricity meters is that EVCSs are used for discrete transactions whereas traditional electricity meters are used to continuously accumulate energy. Additionally, traditional electricity meters generally operate on alternating current (AC), whereas EVCS may operate on either AC or direct current (DC) (e.g. DC Fast Chargers).</w:t>
      </w:r>
    </w:p>
    <w:p w:rsidR="003123F6" w:rsidRPr="006A74F8" w:rsidRDefault="003123F6" w:rsidP="003123F6">
      <w:pPr>
        <w:shd w:val="clear" w:color="auto" w:fill="C3E8EC" w:themeFill="accent5" w:themeFillTint="99"/>
        <w:rPr>
          <w:rStyle w:val="normaltextrun1"/>
          <w:rFonts w:ascii="Calibri" w:eastAsiaTheme="majorEastAsia" w:hAnsi="Calibri" w:cs="Calibri"/>
        </w:rPr>
      </w:pPr>
      <w:r w:rsidRPr="006A74F8">
        <w:rPr>
          <w:rStyle w:val="normaltextrun1"/>
          <w:rFonts w:ascii="Calibri" w:eastAsiaTheme="majorEastAsia" w:hAnsi="Calibri" w:cs="Calibri"/>
        </w:rPr>
        <w:t>Australia’s electric vehicle industry ha</w:t>
      </w:r>
      <w:r w:rsidR="00DD1965">
        <w:rPr>
          <w:rStyle w:val="normaltextrun1"/>
          <w:rFonts w:ascii="Calibri" w:eastAsiaTheme="majorEastAsia" w:hAnsi="Calibri" w:cs="Calibri"/>
        </w:rPr>
        <w:t>s</w:t>
      </w:r>
      <w:r w:rsidRPr="006A74F8">
        <w:rPr>
          <w:rStyle w:val="normaltextrun1"/>
          <w:rFonts w:ascii="Calibri" w:eastAsiaTheme="majorEastAsia" w:hAnsi="Calibri" w:cs="Calibri"/>
        </w:rPr>
        <w:t xml:space="preserve"> raised concerns about the appropriate requirements for EVCSs. Further, there are </w:t>
      </w:r>
      <w:r w:rsidR="0057330E">
        <w:rPr>
          <w:rStyle w:val="normaltextrun1"/>
          <w:rFonts w:ascii="Calibri" w:eastAsiaTheme="majorEastAsia" w:hAnsi="Calibri" w:cs="Calibri"/>
        </w:rPr>
        <w:t xml:space="preserve">as yet </w:t>
      </w:r>
      <w:r w:rsidRPr="006A74F8">
        <w:rPr>
          <w:rStyle w:val="normaltextrun1"/>
          <w:rFonts w:ascii="Calibri" w:eastAsiaTheme="majorEastAsia" w:hAnsi="Calibri" w:cs="Calibri"/>
        </w:rPr>
        <w:t xml:space="preserve">no recognised international </w:t>
      </w:r>
      <w:r w:rsidR="00874622" w:rsidRPr="006A74F8">
        <w:rPr>
          <w:rStyle w:val="normaltextrun1"/>
          <w:rFonts w:ascii="Calibri" w:eastAsiaTheme="majorEastAsia" w:hAnsi="Calibri" w:cs="Calibri"/>
        </w:rPr>
        <w:t xml:space="preserve">documentary </w:t>
      </w:r>
      <w:r w:rsidRPr="006A74F8">
        <w:rPr>
          <w:rStyle w:val="normaltextrun1"/>
          <w:rFonts w:ascii="Calibri" w:eastAsiaTheme="majorEastAsia" w:hAnsi="Calibri" w:cs="Calibri"/>
        </w:rPr>
        <w:t>standards for the accurate performance of EVCSs</w:t>
      </w:r>
      <w:r w:rsidR="0057330E">
        <w:rPr>
          <w:rStyle w:val="normaltextrun1"/>
          <w:rFonts w:ascii="Calibri" w:eastAsiaTheme="majorEastAsia" w:hAnsi="Calibri" w:cs="Calibri"/>
        </w:rPr>
        <w:t xml:space="preserve">, and </w:t>
      </w:r>
      <w:r w:rsidRPr="006A74F8">
        <w:rPr>
          <w:rStyle w:val="normaltextrun1"/>
          <w:rFonts w:ascii="Calibri" w:eastAsiaTheme="majorEastAsia" w:hAnsi="Calibri" w:cs="Calibri"/>
        </w:rPr>
        <w:t xml:space="preserve">EVCSs on the global market may not comply with current NMI requirements for electricity meters. This </w:t>
      </w:r>
      <w:r w:rsidR="00631C29" w:rsidRPr="006A74F8">
        <w:rPr>
          <w:rStyle w:val="normaltextrun1"/>
          <w:rFonts w:ascii="Calibri" w:eastAsiaTheme="majorEastAsia" w:hAnsi="Calibri" w:cs="Calibri"/>
        </w:rPr>
        <w:t xml:space="preserve">has </w:t>
      </w:r>
      <w:r w:rsidRPr="006A74F8">
        <w:rPr>
          <w:rStyle w:val="normaltextrun1"/>
          <w:rFonts w:ascii="Calibri" w:eastAsiaTheme="majorEastAsia" w:hAnsi="Calibri" w:cs="Calibri"/>
        </w:rPr>
        <w:t>led to consultation to consider the appropriate framework.</w:t>
      </w:r>
    </w:p>
    <w:p w:rsidR="000863D1" w:rsidRPr="006A74F8" w:rsidRDefault="003123F6" w:rsidP="000E4473">
      <w:pPr>
        <w:shd w:val="clear" w:color="auto" w:fill="C3E8EC" w:themeFill="accent5" w:themeFillTint="99"/>
        <w:rPr>
          <w:rStyle w:val="normaltextrun1"/>
          <w:rFonts w:asciiTheme="majorHAnsi" w:eastAsiaTheme="majorEastAsia" w:hAnsiTheme="majorHAnsi" w:cstheme="majorBidi"/>
          <w:sz w:val="24"/>
          <w:szCs w:val="28"/>
        </w:rPr>
      </w:pPr>
      <w:r w:rsidRPr="006A74F8">
        <w:rPr>
          <w:rStyle w:val="normaltextrun1"/>
          <w:rFonts w:ascii="Calibri" w:eastAsiaTheme="majorEastAsia" w:hAnsi="Calibri" w:cs="Calibri"/>
        </w:rPr>
        <w:lastRenderedPageBreak/>
        <w:t>To fully support AC and DC EVCSs, new requirements and infrastructure (e.g. testing capability) will be required, which can take considerable time</w:t>
      </w:r>
      <w:r w:rsidR="008C2593" w:rsidRPr="006A74F8">
        <w:rPr>
          <w:rStyle w:val="normaltextrun1"/>
          <w:rFonts w:ascii="Calibri" w:eastAsiaTheme="majorEastAsia" w:hAnsi="Calibri" w:cs="Calibri"/>
        </w:rPr>
        <w:t xml:space="preserve"> to develop</w:t>
      </w:r>
      <w:r w:rsidRPr="006A74F8">
        <w:rPr>
          <w:rStyle w:val="normaltextrun1"/>
          <w:rFonts w:ascii="Calibri" w:eastAsiaTheme="majorEastAsia" w:hAnsi="Calibri" w:cs="Calibri"/>
        </w:rPr>
        <w:t xml:space="preserve">. Under the current legislation, these new requirements and infrastructure would be </w:t>
      </w:r>
      <w:r w:rsidR="008C2593" w:rsidRPr="006A74F8">
        <w:rPr>
          <w:rStyle w:val="normaltextrun1"/>
          <w:rFonts w:ascii="Calibri" w:eastAsiaTheme="majorEastAsia" w:hAnsi="Calibri" w:cs="Calibri"/>
        </w:rPr>
        <w:t>necessary</w:t>
      </w:r>
      <w:r w:rsidRPr="006A74F8">
        <w:rPr>
          <w:rStyle w:val="normaltextrun1"/>
          <w:rFonts w:ascii="Calibri" w:eastAsiaTheme="majorEastAsia" w:hAnsi="Calibri" w:cs="Calibri"/>
        </w:rPr>
        <w:t xml:space="preserve"> to enable the use of these EVCSs, causing delay to the uptake of this technology.</w:t>
      </w:r>
      <w:r w:rsidR="00712296" w:rsidRPr="006A74F8">
        <w:rPr>
          <w:rStyle w:val="normaltextrun1"/>
          <w:rFonts w:ascii="Calibri" w:eastAsiaTheme="majorEastAsia" w:hAnsi="Calibri" w:cs="Calibri"/>
        </w:rPr>
        <w:t xml:space="preserve"> </w:t>
      </w:r>
    </w:p>
    <w:p w:rsidR="007963F2" w:rsidRPr="006A74F8" w:rsidRDefault="007963F2" w:rsidP="007963F2">
      <w:pPr>
        <w:pStyle w:val="Heading5"/>
        <w:rPr>
          <w:rStyle w:val="normaltextrun1"/>
        </w:rPr>
      </w:pPr>
      <w:bookmarkStart w:id="1404" w:name="_Upfront_pattern_approval"/>
      <w:bookmarkEnd w:id="1404"/>
      <w:r w:rsidRPr="006A74F8">
        <w:rPr>
          <w:rStyle w:val="normaltextrun1"/>
        </w:rPr>
        <w:t>Upfront pattern approval limits market testing</w:t>
      </w:r>
    </w:p>
    <w:p w:rsidR="00636727" w:rsidRPr="006A74F8" w:rsidRDefault="00636727" w:rsidP="007963F2">
      <w:pPr>
        <w:keepNext/>
        <w:keepLines/>
        <w:rPr>
          <w:lang w:eastAsia="en-AU"/>
        </w:rPr>
      </w:pPr>
      <w:r w:rsidRPr="006A74F8">
        <w:rPr>
          <w:lang w:eastAsia="en-AU"/>
        </w:rPr>
        <w:t xml:space="preserve">Pattern approval can also be costly and act as a barrier to businesses trialling new uses for measuring instruments. For example, a business may wish to test the viability of an idea or market demand prior to investing money in pattern approval, however the current system does not allow for this. </w:t>
      </w:r>
    </w:p>
    <w:tbl>
      <w:tblPr>
        <w:tblStyle w:val="TableGrid"/>
        <w:tblW w:w="0" w:type="auto"/>
        <w:tblLook w:val="04A0" w:firstRow="1" w:lastRow="0" w:firstColumn="1" w:lastColumn="0" w:noHBand="0" w:noVBand="1"/>
      </w:tblPr>
      <w:tblGrid>
        <w:gridCol w:w="9017"/>
      </w:tblGrid>
      <w:tr w:rsidR="00A32061" w:rsidRPr="006A74F8" w:rsidTr="00A32061">
        <w:tc>
          <w:tcPr>
            <w:tcW w:w="9017" w:type="dxa"/>
            <w:tcBorders>
              <w:top w:val="nil"/>
              <w:left w:val="nil"/>
              <w:bottom w:val="nil"/>
              <w:right w:val="nil"/>
            </w:tcBorders>
            <w:shd w:val="clear" w:color="auto" w:fill="C3E8EC" w:themeFill="accent5" w:themeFillTint="99"/>
          </w:tcPr>
          <w:p w:rsidR="00A32061" w:rsidRPr="006A74F8" w:rsidRDefault="00A32061" w:rsidP="00A32061">
            <w:pPr>
              <w:shd w:val="clear" w:color="auto" w:fill="C3E8EC" w:themeFill="accent5" w:themeFillTint="99"/>
              <w:spacing w:after="120"/>
              <w:rPr>
                <w:u w:val="single"/>
              </w:rPr>
            </w:pPr>
            <w:r w:rsidRPr="006A74F8">
              <w:rPr>
                <w:u w:val="single"/>
              </w:rPr>
              <w:t>Liquid Laundry Detergent Dispensing Stations</w:t>
            </w:r>
            <w:r w:rsidR="00AF6DFE" w:rsidRPr="006A74F8">
              <w:rPr>
                <w:rStyle w:val="FootnoteReference"/>
                <w:u w:val="single"/>
              </w:rPr>
              <w:footnoteReference w:id="35"/>
            </w:r>
          </w:p>
          <w:p w:rsidR="00A32061" w:rsidRPr="006A74F8" w:rsidRDefault="00A32061" w:rsidP="00A32061">
            <w:pPr>
              <w:shd w:val="clear" w:color="auto" w:fill="C3E8EC" w:themeFill="accent5" w:themeFillTint="99"/>
              <w:spacing w:after="120"/>
            </w:pPr>
            <w:r w:rsidRPr="006A74F8">
              <w:t>Under the current legislation, some new and innovative instruments, or novel applications of measuring instruments, face technical barriers to market entry. An example is liquid laundry detergent dispensing station</w:t>
            </w:r>
            <w:r w:rsidR="007963F2" w:rsidRPr="006A74F8">
              <w:t>s</w:t>
            </w:r>
            <w:r w:rsidRPr="006A74F8">
              <w:t xml:space="preserve"> that measure out an amount of laundry detergent for purchase. Th</w:t>
            </w:r>
            <w:r w:rsidR="007963F2" w:rsidRPr="006A74F8">
              <w:t>e</w:t>
            </w:r>
            <w:r w:rsidRPr="006A74F8">
              <w:t>s</w:t>
            </w:r>
            <w:r w:rsidR="007963F2" w:rsidRPr="006A74F8">
              <w:t>e</w:t>
            </w:r>
            <w:r w:rsidRPr="006A74F8">
              <w:t xml:space="preserve"> dispensing station</w:t>
            </w:r>
            <w:r w:rsidR="007963F2" w:rsidRPr="006A74F8">
              <w:t>s</w:t>
            </w:r>
            <w:r w:rsidRPr="006A74F8">
              <w:t xml:space="preserve"> may be used in-store by customers to refill used, empty laundry bottles, providing an environmentally friendly alternative to traditional options. </w:t>
            </w:r>
          </w:p>
          <w:p w:rsidR="00A32061" w:rsidRPr="006A74F8" w:rsidRDefault="00A32061" w:rsidP="00A32061">
            <w:pPr>
              <w:shd w:val="clear" w:color="auto" w:fill="C3E8EC" w:themeFill="accent5" w:themeFillTint="99"/>
            </w:pPr>
            <w:r w:rsidRPr="006A74F8">
              <w:t>While these dispensing stations are measuring instruments that require pattern approval under the current legislation, and will continue to be subject to requirements under the reforms, the cost of the pattern approval application process can be significant. This can create a barrier to the introduction of new and novel instruments, such as these dispensing stations, as the existing legislation does not provide mechanisms to allow instruments to be tr</w:t>
            </w:r>
            <w:r w:rsidR="00E14046" w:rsidRPr="006A74F8">
              <w:t>ia</w:t>
            </w:r>
            <w:r w:rsidRPr="006A74F8">
              <w:t>l</w:t>
            </w:r>
            <w:r w:rsidR="0003596C" w:rsidRPr="006A74F8">
              <w:t>l</w:t>
            </w:r>
            <w:r w:rsidRPr="006A74F8">
              <w:t xml:space="preserve">ed in the market in order to assess market demand or long term viability, prior to undergoing the pattern approval process. </w:t>
            </w:r>
          </w:p>
        </w:tc>
      </w:tr>
    </w:tbl>
    <w:p w:rsidR="00A32061" w:rsidRPr="006A74F8" w:rsidRDefault="007963F2" w:rsidP="007963F2">
      <w:pPr>
        <w:pStyle w:val="Heading5"/>
        <w:spacing w:before="120"/>
        <w:ind w:left="1009" w:hanging="1009"/>
        <w:rPr>
          <w:rStyle w:val="normaltextrun1"/>
        </w:rPr>
      </w:pPr>
      <w:r w:rsidRPr="006A74F8">
        <w:rPr>
          <w:rStyle w:val="normaltextrun1"/>
        </w:rPr>
        <w:t>Reliance on non-enforcement and administrative solutions</w:t>
      </w:r>
    </w:p>
    <w:p w:rsidR="00B464B0" w:rsidRPr="006A74F8" w:rsidRDefault="00B464B0" w:rsidP="00B464B0">
      <w:pPr>
        <w:rPr>
          <w:rStyle w:val="normaltextrun1"/>
        </w:rPr>
      </w:pPr>
      <w:r w:rsidRPr="006A74F8">
        <w:t>Except for formal exemptions,</w:t>
      </w:r>
      <w:r w:rsidR="00D929DF" w:rsidRPr="006A74F8">
        <w:rPr>
          <w:rStyle w:val="normaltextrun1"/>
          <w:vertAlign w:val="superscript"/>
        </w:rPr>
        <w:footnoteReference w:id="36"/>
      </w:r>
      <w:r w:rsidRPr="006A74F8">
        <w:t xml:space="preserve"> the legislation currently requires all measuring instruments used for trade to be of an approv</w:t>
      </w:r>
      <w:r w:rsidR="0003596C" w:rsidRPr="006A74F8">
        <w:t>ed</w:t>
      </w:r>
      <w:r w:rsidRPr="006A74F8">
        <w:t xml:space="preserve"> pattern and verified. However, ongoing innovation in technology and applications makes this impractical without imposing delays due to the need </w:t>
      </w:r>
      <w:r w:rsidR="0003596C" w:rsidRPr="006A74F8">
        <w:t xml:space="preserve">to </w:t>
      </w:r>
      <w:r w:rsidRPr="006A74F8">
        <w:t>establish the required quality infrastructure.</w:t>
      </w:r>
      <w:r w:rsidR="00D929DF" w:rsidRPr="006A74F8">
        <w:rPr>
          <w:rStyle w:val="normaltextrun1"/>
          <w:vertAlign w:val="superscript"/>
        </w:rPr>
        <w:footnoteReference w:id="37"/>
      </w:r>
      <w:r w:rsidRPr="006A74F8">
        <w:t xml:space="preserve"> This lack of </w:t>
      </w:r>
      <w:r w:rsidRPr="006A74F8">
        <w:rPr>
          <w:rStyle w:val="normaltextrun1"/>
        </w:rPr>
        <w:t>legislative flexibility has resulted in these formal exemptions being supplemented via administrative and operational arrangements for the monitoring activities of in-service inspection and conformity to type (CTT).</w:t>
      </w:r>
      <w:r w:rsidRPr="006A74F8">
        <w:rPr>
          <w:rStyle w:val="normaltextrun1"/>
          <w:vertAlign w:val="superscript"/>
        </w:rPr>
        <w:footnoteReference w:id="38"/>
      </w:r>
    </w:p>
    <w:p w:rsidR="00B464B0" w:rsidRPr="006A74F8" w:rsidRDefault="00B464B0" w:rsidP="00B464B0">
      <w:pPr>
        <w:rPr>
          <w:rStyle w:val="normaltextrun1"/>
        </w:rPr>
      </w:pPr>
      <w:r w:rsidRPr="006A74F8">
        <w:rPr>
          <w:rStyle w:val="normaltextrun1"/>
        </w:rPr>
        <w:t>There are further shortcomings in the current legislation with regards to CTT which have limited the development of CTT programs and frameworks. These shortcomings include a lack of supporting regulatory powers to facilitate the effective implementation and operation of CTT programs as well as very narrow options regarding penalties for non-compliances.</w:t>
      </w:r>
    </w:p>
    <w:p w:rsidR="00B464B0" w:rsidRPr="006A74F8" w:rsidRDefault="00B464B0" w:rsidP="00B464B0">
      <w:pPr>
        <w:rPr>
          <w:rStyle w:val="normaltextrun1"/>
        </w:rPr>
      </w:pPr>
      <w:r w:rsidRPr="006A74F8">
        <w:rPr>
          <w:rStyle w:val="normaltextrun1"/>
        </w:rPr>
        <w:t>Changes across the options provide more legislative flexibility to implement appropriate requirements considering the associated risks with particular instruments and applications, while supporting new technology an</w:t>
      </w:r>
      <w:r w:rsidR="00F30F73" w:rsidRPr="006A74F8">
        <w:rPr>
          <w:rStyle w:val="normaltextrun1"/>
        </w:rPr>
        <w:t>d</w:t>
      </w:r>
      <w:r w:rsidRPr="006A74F8">
        <w:rPr>
          <w:rStyle w:val="normaltextrun1"/>
        </w:rPr>
        <w:t xml:space="preserve"> innovation. This will provide greater certainty for industry.</w:t>
      </w:r>
    </w:p>
    <w:p w:rsidR="007138AB" w:rsidRPr="006A74F8" w:rsidRDefault="007138AB" w:rsidP="00BC4E69">
      <w:pPr>
        <w:pStyle w:val="Heading4"/>
        <w:rPr>
          <w:rStyle w:val="normaltextrun1"/>
          <w:lang w:eastAsia="en-AU"/>
        </w:rPr>
      </w:pPr>
      <w:r w:rsidRPr="006A74F8">
        <w:rPr>
          <w:rStyle w:val="normaltextrun1"/>
        </w:rPr>
        <w:lastRenderedPageBreak/>
        <w:t xml:space="preserve">Reform </w:t>
      </w:r>
      <w:r w:rsidR="00501502" w:rsidRPr="006A74F8">
        <w:rPr>
          <w:rStyle w:val="normaltextrun1"/>
        </w:rPr>
        <w:t>o</w:t>
      </w:r>
      <w:r w:rsidRPr="006A74F8">
        <w:rPr>
          <w:rStyle w:val="normaltextrun1"/>
        </w:rPr>
        <w:t xml:space="preserve">ptions for </w:t>
      </w:r>
      <w:r w:rsidR="00E72083" w:rsidRPr="006A74F8">
        <w:rPr>
          <w:rStyle w:val="normaltextrun1"/>
        </w:rPr>
        <w:t>measuring i</w:t>
      </w:r>
      <w:r w:rsidRPr="006A74F8">
        <w:rPr>
          <w:rStyle w:val="normaltextrun1"/>
        </w:rPr>
        <w:t>nstruments</w:t>
      </w:r>
    </w:p>
    <w:p w:rsidR="007138AB" w:rsidRPr="006A74F8" w:rsidRDefault="007138AB" w:rsidP="007138AB">
      <w:r w:rsidRPr="006A74F8">
        <w:t>The reform options progressively provide greater flexibility and scope for supporting confidence in measuring instruments</w:t>
      </w:r>
      <w:r w:rsidR="006146C2" w:rsidRPr="006A74F8">
        <w:t xml:space="preserve"> and aim to address the identified limitations of the current approach</w:t>
      </w:r>
      <w:r w:rsidRPr="006A74F8">
        <w:t>. Key points</w:t>
      </w:r>
      <w:r w:rsidR="006C3AB8" w:rsidRPr="006A74F8">
        <w:t xml:space="preserve"> include</w:t>
      </w:r>
      <w:r w:rsidRPr="006A74F8">
        <w:t>:</w:t>
      </w:r>
    </w:p>
    <w:p w:rsidR="007138AB" w:rsidRPr="006A74F8" w:rsidRDefault="007138AB" w:rsidP="003C6E1B">
      <w:pPr>
        <w:pStyle w:val="CommentText"/>
        <w:numPr>
          <w:ilvl w:val="0"/>
          <w:numId w:val="53"/>
        </w:numPr>
        <w:spacing w:after="120"/>
        <w:ind w:left="714" w:hanging="357"/>
        <w:rPr>
          <w:sz w:val="22"/>
          <w:szCs w:val="22"/>
        </w:rPr>
      </w:pPr>
      <w:r w:rsidRPr="006A74F8">
        <w:rPr>
          <w:sz w:val="22"/>
          <w:szCs w:val="22"/>
        </w:rPr>
        <w:t xml:space="preserve">Under </w:t>
      </w:r>
      <w:r w:rsidRPr="006A74F8">
        <w:rPr>
          <w:b/>
          <w:sz w:val="22"/>
          <w:szCs w:val="22"/>
        </w:rPr>
        <w:t>all options</w:t>
      </w:r>
      <w:r w:rsidRPr="006A74F8">
        <w:rPr>
          <w:sz w:val="22"/>
          <w:szCs w:val="22"/>
        </w:rPr>
        <w:t xml:space="preserve">, the default </w:t>
      </w:r>
      <w:r w:rsidR="00B73D68" w:rsidRPr="006A74F8">
        <w:rPr>
          <w:sz w:val="22"/>
          <w:szCs w:val="22"/>
        </w:rPr>
        <w:t>control mechanisms for</w:t>
      </w:r>
      <w:r w:rsidRPr="006A74F8">
        <w:rPr>
          <w:sz w:val="22"/>
          <w:szCs w:val="22"/>
        </w:rPr>
        <w:t xml:space="preserve"> measuring instruments used for trade will remain pattern approval and verification.</w:t>
      </w:r>
    </w:p>
    <w:p w:rsidR="007138AB" w:rsidRPr="006A74F8" w:rsidRDefault="007138AB" w:rsidP="003C6E1B">
      <w:pPr>
        <w:pStyle w:val="CommentText"/>
        <w:numPr>
          <w:ilvl w:val="0"/>
          <w:numId w:val="53"/>
        </w:numPr>
        <w:spacing w:after="120"/>
        <w:ind w:left="714" w:hanging="357"/>
        <w:rPr>
          <w:sz w:val="22"/>
          <w:szCs w:val="22"/>
        </w:rPr>
      </w:pPr>
      <w:r w:rsidRPr="006A74F8">
        <w:rPr>
          <w:b/>
          <w:sz w:val="22"/>
          <w:szCs w:val="22"/>
        </w:rPr>
        <w:t>Option 1</w:t>
      </w:r>
      <w:r w:rsidRPr="006A74F8">
        <w:rPr>
          <w:sz w:val="22"/>
          <w:szCs w:val="22"/>
        </w:rPr>
        <w:t xml:space="preserve"> introduces the potential to exempt certain instruments from th</w:t>
      </w:r>
      <w:r w:rsidR="0010600D" w:rsidRPr="006A74F8">
        <w:rPr>
          <w:sz w:val="22"/>
          <w:szCs w:val="22"/>
        </w:rPr>
        <w:t>e</w:t>
      </w:r>
      <w:r w:rsidRPr="006A74F8">
        <w:rPr>
          <w:sz w:val="22"/>
          <w:szCs w:val="22"/>
        </w:rPr>
        <w:t>s</w:t>
      </w:r>
      <w:r w:rsidR="0010600D" w:rsidRPr="006A74F8">
        <w:rPr>
          <w:sz w:val="22"/>
          <w:szCs w:val="22"/>
        </w:rPr>
        <w:t>e</w:t>
      </w:r>
      <w:r w:rsidRPr="006A74F8">
        <w:rPr>
          <w:sz w:val="22"/>
          <w:szCs w:val="22"/>
        </w:rPr>
        <w:t xml:space="preserve"> requirement</w:t>
      </w:r>
      <w:r w:rsidR="0010600D" w:rsidRPr="006A74F8">
        <w:rPr>
          <w:sz w:val="22"/>
          <w:szCs w:val="22"/>
        </w:rPr>
        <w:t>s</w:t>
      </w:r>
      <w:r w:rsidR="00AB50C4" w:rsidRPr="006A74F8">
        <w:rPr>
          <w:sz w:val="22"/>
          <w:szCs w:val="22"/>
        </w:rPr>
        <w:t xml:space="preserve"> where appropriate, particularly where there is no framework in place, or where it is not the most suitable approach</w:t>
      </w:r>
      <w:r w:rsidRPr="006A74F8">
        <w:rPr>
          <w:sz w:val="22"/>
          <w:szCs w:val="22"/>
        </w:rPr>
        <w:t>.</w:t>
      </w:r>
    </w:p>
    <w:p w:rsidR="007138AB" w:rsidRPr="006A74F8" w:rsidRDefault="007138AB" w:rsidP="003C6E1B">
      <w:pPr>
        <w:pStyle w:val="CommentText"/>
        <w:numPr>
          <w:ilvl w:val="0"/>
          <w:numId w:val="53"/>
        </w:numPr>
        <w:spacing w:after="120"/>
        <w:ind w:left="714" w:hanging="357"/>
        <w:rPr>
          <w:sz w:val="22"/>
          <w:szCs w:val="22"/>
        </w:rPr>
      </w:pPr>
      <w:r w:rsidRPr="006A74F8">
        <w:rPr>
          <w:b/>
          <w:sz w:val="22"/>
          <w:szCs w:val="22"/>
        </w:rPr>
        <w:t>Option 2</w:t>
      </w:r>
      <w:r w:rsidRPr="006A74F8">
        <w:rPr>
          <w:sz w:val="22"/>
          <w:szCs w:val="22"/>
        </w:rPr>
        <w:t xml:space="preserve"> provides </w:t>
      </w:r>
      <w:r w:rsidR="00381D6E" w:rsidRPr="006A74F8">
        <w:rPr>
          <w:sz w:val="22"/>
          <w:szCs w:val="22"/>
        </w:rPr>
        <w:t xml:space="preserve">the ability to </w:t>
      </w:r>
      <w:r w:rsidR="00051ED1" w:rsidRPr="006A74F8">
        <w:rPr>
          <w:sz w:val="22"/>
          <w:szCs w:val="22"/>
        </w:rPr>
        <w:t>introduce</w:t>
      </w:r>
      <w:r w:rsidRPr="006A74F8">
        <w:rPr>
          <w:sz w:val="22"/>
          <w:szCs w:val="22"/>
        </w:rPr>
        <w:t xml:space="preserve"> other mechanisms which could be used </w:t>
      </w:r>
      <w:r w:rsidR="00381D6E" w:rsidRPr="006A74F8">
        <w:rPr>
          <w:sz w:val="22"/>
          <w:szCs w:val="22"/>
        </w:rPr>
        <w:t>in place of pattern approval and/or verification</w:t>
      </w:r>
      <w:r w:rsidRPr="006A74F8">
        <w:rPr>
          <w:sz w:val="22"/>
          <w:szCs w:val="22"/>
        </w:rPr>
        <w:t xml:space="preserve"> if more appropriate</w:t>
      </w:r>
      <w:r w:rsidR="00381D6E" w:rsidRPr="006A74F8">
        <w:rPr>
          <w:sz w:val="22"/>
          <w:szCs w:val="22"/>
        </w:rPr>
        <w:t>, particularly where there is no existing approval framework in place</w:t>
      </w:r>
      <w:r w:rsidRPr="006A74F8">
        <w:rPr>
          <w:sz w:val="22"/>
          <w:szCs w:val="22"/>
        </w:rPr>
        <w:t xml:space="preserve"> for the particular instrument type</w:t>
      </w:r>
      <w:r w:rsidR="00381D6E" w:rsidRPr="006A74F8">
        <w:rPr>
          <w:sz w:val="22"/>
          <w:szCs w:val="22"/>
        </w:rPr>
        <w:t xml:space="preserve"> or</w:t>
      </w:r>
      <w:r w:rsidRPr="006A74F8">
        <w:rPr>
          <w:sz w:val="22"/>
          <w:szCs w:val="22"/>
        </w:rPr>
        <w:t xml:space="preserve"> application</w:t>
      </w:r>
      <w:r w:rsidR="00381D6E" w:rsidRPr="006A74F8">
        <w:rPr>
          <w:sz w:val="22"/>
          <w:szCs w:val="22"/>
        </w:rPr>
        <w:t>.</w:t>
      </w:r>
      <w:r w:rsidRPr="006A74F8">
        <w:rPr>
          <w:sz w:val="22"/>
          <w:szCs w:val="22"/>
        </w:rPr>
        <w:t xml:space="preserve"> </w:t>
      </w:r>
      <w:r w:rsidR="00381D6E" w:rsidRPr="006A74F8">
        <w:rPr>
          <w:sz w:val="22"/>
          <w:szCs w:val="22"/>
        </w:rPr>
        <w:t>Use of alternative flexible mechanisms for particular instruments would be subject to further consultation with relevant stakeholders.</w:t>
      </w:r>
      <w:r w:rsidRPr="006A74F8">
        <w:rPr>
          <w:sz w:val="22"/>
          <w:szCs w:val="22"/>
        </w:rPr>
        <w:t xml:space="preserve"> </w:t>
      </w:r>
      <w:r w:rsidR="00051ED1" w:rsidRPr="006A74F8">
        <w:rPr>
          <w:sz w:val="22"/>
          <w:szCs w:val="22"/>
        </w:rPr>
        <w:t xml:space="preserve">It also introduces the ability to issue provisional certificates or permits that allow the use of measuring instruments for trade without pattern approval, subject to certain conditions. </w:t>
      </w:r>
      <w:r w:rsidR="00AB50C4" w:rsidRPr="006A74F8">
        <w:rPr>
          <w:sz w:val="22"/>
          <w:szCs w:val="22"/>
        </w:rPr>
        <w:t>These</w:t>
      </w:r>
      <w:r w:rsidR="00891B39" w:rsidRPr="006A74F8">
        <w:rPr>
          <w:sz w:val="22"/>
          <w:szCs w:val="22"/>
        </w:rPr>
        <w:t xml:space="preserve"> mechanisms could potentially enable measuring instruments to be </w:t>
      </w:r>
      <w:r w:rsidR="00BB16A8" w:rsidRPr="006A74F8">
        <w:rPr>
          <w:sz w:val="22"/>
          <w:szCs w:val="22"/>
        </w:rPr>
        <w:t>trialled</w:t>
      </w:r>
      <w:r w:rsidR="00891B39" w:rsidRPr="006A74F8">
        <w:rPr>
          <w:sz w:val="22"/>
          <w:szCs w:val="22"/>
        </w:rPr>
        <w:t xml:space="preserve"> in the market </w:t>
      </w:r>
      <w:r w:rsidR="00BB16A8" w:rsidRPr="006A74F8">
        <w:rPr>
          <w:sz w:val="22"/>
          <w:szCs w:val="22"/>
        </w:rPr>
        <w:t>to assess economic viability,</w:t>
      </w:r>
      <w:r w:rsidR="00891B39" w:rsidRPr="006A74F8">
        <w:rPr>
          <w:sz w:val="22"/>
          <w:szCs w:val="22"/>
        </w:rPr>
        <w:t xml:space="preserve"> before undergoing a full pattern approval process</w:t>
      </w:r>
      <w:r w:rsidR="00381D6E" w:rsidRPr="006A74F8">
        <w:rPr>
          <w:sz w:val="22"/>
          <w:szCs w:val="22"/>
        </w:rPr>
        <w:t>.</w:t>
      </w:r>
      <w:r w:rsidR="00891B39" w:rsidRPr="006A74F8">
        <w:rPr>
          <w:sz w:val="22"/>
          <w:szCs w:val="22"/>
        </w:rPr>
        <w:t xml:space="preserve"> </w:t>
      </w:r>
    </w:p>
    <w:p w:rsidR="007138AB" w:rsidRPr="006A74F8" w:rsidRDefault="007138AB" w:rsidP="00FF587A">
      <w:pPr>
        <w:pStyle w:val="CommentText"/>
        <w:numPr>
          <w:ilvl w:val="0"/>
          <w:numId w:val="53"/>
        </w:numPr>
        <w:rPr>
          <w:rStyle w:val="normaltextrun1"/>
          <w:sz w:val="22"/>
          <w:szCs w:val="22"/>
        </w:rPr>
      </w:pPr>
      <w:r w:rsidRPr="006A74F8">
        <w:rPr>
          <w:b/>
          <w:sz w:val="22"/>
          <w:szCs w:val="22"/>
        </w:rPr>
        <w:t xml:space="preserve">Option 3 </w:t>
      </w:r>
      <w:r w:rsidRPr="006A74F8">
        <w:rPr>
          <w:sz w:val="22"/>
          <w:szCs w:val="22"/>
        </w:rPr>
        <w:t>builds on option 2 and enables requirements to be imposed on instruments used for legal purposes outside trade as well, where appropriate.</w:t>
      </w:r>
      <w:r w:rsidRPr="006A74F8">
        <w:rPr>
          <w:rStyle w:val="normaltextrun1"/>
        </w:rPr>
        <w:t xml:space="preserve"> </w:t>
      </w:r>
    </w:p>
    <w:p w:rsidR="007138AB" w:rsidRPr="006A74F8" w:rsidRDefault="007138AB" w:rsidP="00FF587A">
      <w:pPr>
        <w:rPr>
          <w:rStyle w:val="normaltextrun1"/>
          <w:rFonts w:ascii="Calibri" w:eastAsia="Calibri" w:hAnsi="Calibri" w:cs="Calibri"/>
        </w:rPr>
      </w:pPr>
      <w:r w:rsidRPr="006A74F8">
        <w:rPr>
          <w:b/>
        </w:rPr>
        <w:t>O</w:t>
      </w:r>
      <w:r w:rsidRPr="006A74F8">
        <w:rPr>
          <w:rStyle w:val="normaltextrun1"/>
          <w:rFonts w:ascii="Calibri" w:hAnsi="Calibri" w:cs="Calibri"/>
          <w:b/>
        </w:rPr>
        <w:t>ption 1</w:t>
      </w:r>
      <w:r w:rsidRPr="006A74F8">
        <w:rPr>
          <w:rStyle w:val="normaltextrun1"/>
          <w:rFonts w:ascii="Calibri" w:hAnsi="Calibri" w:cs="Calibri"/>
        </w:rPr>
        <w:t xml:space="preserve"> retains pattern approval and verification as</w:t>
      </w:r>
      <w:r w:rsidR="009A511C" w:rsidRPr="006A74F8">
        <w:rPr>
          <w:rStyle w:val="normaltextrun1"/>
          <w:rFonts w:ascii="Calibri" w:hAnsi="Calibri" w:cs="Calibri"/>
        </w:rPr>
        <w:t xml:space="preserve"> </w:t>
      </w:r>
      <w:r w:rsidRPr="006A74F8">
        <w:rPr>
          <w:rStyle w:val="normaltextrun1"/>
          <w:rFonts w:ascii="Calibri" w:hAnsi="Calibri" w:cs="Calibri"/>
        </w:rPr>
        <w:t xml:space="preserve">key controls for measuring instruments used in trade, with an additional decision making </w:t>
      </w:r>
      <w:r w:rsidR="0091280F" w:rsidRPr="006A74F8">
        <w:rPr>
          <w:rStyle w:val="normaltextrun1"/>
          <w:rFonts w:ascii="Calibri" w:hAnsi="Calibri" w:cs="Calibri"/>
        </w:rPr>
        <w:t>mechanism</w:t>
      </w:r>
      <w:r w:rsidRPr="006A74F8">
        <w:rPr>
          <w:rStyle w:val="normaltextrun1"/>
          <w:rFonts w:ascii="Calibri" w:hAnsi="Calibri" w:cs="Calibri"/>
        </w:rPr>
        <w:t xml:space="preserve"> to formally exempt instruments. Exemption could occur either under a legislated exemption category or where an administrative decision has been made to </w:t>
      </w:r>
      <w:r w:rsidR="00CB3A74" w:rsidRPr="006A74F8">
        <w:rPr>
          <w:rStyle w:val="normaltextrun1"/>
          <w:rFonts w:ascii="Calibri" w:hAnsi="Calibri" w:cs="Calibri"/>
        </w:rPr>
        <w:t xml:space="preserve">not compel </w:t>
      </w:r>
      <w:r w:rsidR="00812BAE" w:rsidRPr="006A74F8">
        <w:rPr>
          <w:rStyle w:val="normaltextrun1"/>
          <w:rFonts w:ascii="Calibri" w:hAnsi="Calibri" w:cs="Calibri"/>
        </w:rPr>
        <w:t>approval</w:t>
      </w:r>
      <w:r w:rsidR="00CB3A74" w:rsidRPr="006A74F8">
        <w:rPr>
          <w:rStyle w:val="normaltextrun1"/>
          <w:rFonts w:ascii="Calibri" w:hAnsi="Calibri" w:cs="Calibri"/>
        </w:rPr>
        <w:t xml:space="preserve"> for particular instruments</w:t>
      </w:r>
      <w:r w:rsidRPr="006A74F8">
        <w:rPr>
          <w:rStyle w:val="normaltextrun1"/>
          <w:rFonts w:ascii="Calibri" w:hAnsi="Calibri" w:cs="Calibri"/>
        </w:rPr>
        <w:t>.</w:t>
      </w:r>
      <w:r w:rsidRPr="006A74F8">
        <w:rPr>
          <w:rFonts w:ascii="Calibri" w:eastAsia="Calibri" w:hAnsi="Calibri" w:cs="Calibri"/>
        </w:rPr>
        <w:t xml:space="preserve"> </w:t>
      </w:r>
      <w:r w:rsidRPr="006A74F8">
        <w:t>Greater flexibility will be provided to support the approval of measuring systems and parts of measuring instruments, with greater consideration for overseas test results</w:t>
      </w:r>
      <w:r w:rsidRPr="006A74F8">
        <w:rPr>
          <w:rFonts w:ascii="Calibri" w:eastAsia="Calibri" w:hAnsi="Calibri" w:cs="Calibri"/>
        </w:rPr>
        <w:t xml:space="preserve">. Existing </w:t>
      </w:r>
      <w:r w:rsidR="0091280F" w:rsidRPr="006A74F8">
        <w:rPr>
          <w:rFonts w:ascii="Calibri" w:eastAsia="Calibri" w:hAnsi="Calibri" w:cs="Calibri"/>
        </w:rPr>
        <w:t>mechanisms</w:t>
      </w:r>
      <w:r w:rsidRPr="006A74F8">
        <w:rPr>
          <w:rFonts w:ascii="Calibri" w:eastAsia="Calibri" w:hAnsi="Calibri" w:cs="Calibri"/>
        </w:rPr>
        <w:t xml:space="preserve"> to impose requirements regarding verification (including reverification) via regulation </w:t>
      </w:r>
      <w:r w:rsidR="004A083B" w:rsidRPr="006A74F8">
        <w:rPr>
          <w:rFonts w:ascii="Calibri" w:eastAsia="Calibri" w:hAnsi="Calibri" w:cs="Calibri"/>
        </w:rPr>
        <w:t>will</w:t>
      </w:r>
      <w:r w:rsidRPr="006A74F8">
        <w:rPr>
          <w:rFonts w:ascii="Calibri" w:eastAsia="Calibri" w:hAnsi="Calibri" w:cs="Calibri"/>
        </w:rPr>
        <w:t xml:space="preserve"> remain, with any revision of verification arrangements subject to further data collection, consultation and regulation impact analysis. </w:t>
      </w:r>
    </w:p>
    <w:p w:rsidR="007138AB" w:rsidRPr="006A74F8" w:rsidRDefault="0073346E" w:rsidP="007138AB">
      <w:r w:rsidRPr="006A74F8">
        <w:t xml:space="preserve">For </w:t>
      </w:r>
      <w:r w:rsidRPr="006A74F8">
        <w:rPr>
          <w:b/>
        </w:rPr>
        <w:t xml:space="preserve">option 2 </w:t>
      </w:r>
      <w:r w:rsidRPr="006A74F8">
        <w:t>p</w:t>
      </w:r>
      <w:r w:rsidR="009460FF" w:rsidRPr="006A74F8">
        <w:t xml:space="preserve">attern approval and verification remain the </w:t>
      </w:r>
      <w:r w:rsidR="008153CE" w:rsidRPr="006A74F8">
        <w:t>default</w:t>
      </w:r>
      <w:r w:rsidR="009460FF" w:rsidRPr="006A74F8">
        <w:t xml:space="preserve"> pathway</w:t>
      </w:r>
      <w:r w:rsidR="0056563E" w:rsidRPr="006A74F8">
        <w:t>, particularly</w:t>
      </w:r>
      <w:r w:rsidR="008153CE" w:rsidRPr="006A74F8">
        <w:t xml:space="preserve"> where there is a framework to support it and it is working well</w:t>
      </w:r>
      <w:r w:rsidR="003C6E1B" w:rsidRPr="006A74F8">
        <w:t xml:space="preserve">. However, </w:t>
      </w:r>
      <w:r w:rsidR="007138AB" w:rsidRPr="006A74F8">
        <w:t>greater flexibility</w:t>
      </w:r>
      <w:r w:rsidRPr="006A74F8">
        <w:t xml:space="preserve"> is introduced</w:t>
      </w:r>
      <w:r w:rsidR="008153CE" w:rsidRPr="006A74F8">
        <w:t xml:space="preserve"> in areas where there may not be an appropriate framework or whe</w:t>
      </w:r>
      <w:r w:rsidR="0085408F" w:rsidRPr="006A74F8">
        <w:t>r</w:t>
      </w:r>
      <w:r w:rsidR="008153CE" w:rsidRPr="006A74F8">
        <w:t>e greater flexibility is needed</w:t>
      </w:r>
      <w:r w:rsidR="0085408F" w:rsidRPr="006A74F8">
        <w:t xml:space="preserve">. Option 2 will </w:t>
      </w:r>
      <w:r w:rsidR="0056563E" w:rsidRPr="006A74F8">
        <w:t>enable</w:t>
      </w:r>
      <w:r w:rsidR="007138AB" w:rsidRPr="006A74F8">
        <w:t xml:space="preserve"> different kinds of control mechanisms </w:t>
      </w:r>
      <w:r w:rsidR="0056563E" w:rsidRPr="006A74F8">
        <w:t xml:space="preserve">to be introduced </w:t>
      </w:r>
      <w:r w:rsidR="00F54049" w:rsidRPr="006A74F8">
        <w:t xml:space="preserve">in future </w:t>
      </w:r>
      <w:r w:rsidR="007138AB" w:rsidRPr="006A74F8">
        <w:t>depending on measuring instrument types</w:t>
      </w:r>
      <w:r w:rsidR="00B65CD1" w:rsidRPr="006A74F8">
        <w:t>,</w:t>
      </w:r>
      <w:r w:rsidR="007138AB" w:rsidRPr="006A74F8">
        <w:t xml:space="preserve"> application</w:t>
      </w:r>
      <w:r w:rsidR="00B65CD1" w:rsidRPr="006A74F8">
        <w:t xml:space="preserve"> and potential risk and harm</w:t>
      </w:r>
      <w:r w:rsidR="007138AB" w:rsidRPr="006A74F8">
        <w:t xml:space="preserve">, rather than the one-size-fits-all approach. </w:t>
      </w:r>
      <w:r w:rsidR="00F54049" w:rsidRPr="006A74F8">
        <w:t>Key features:</w:t>
      </w:r>
      <w:r w:rsidR="007138AB" w:rsidRPr="006A74F8">
        <w:t xml:space="preserve"> </w:t>
      </w:r>
    </w:p>
    <w:p w:rsidR="007138AB" w:rsidRPr="006A74F8" w:rsidRDefault="007138AB" w:rsidP="00683531">
      <w:pPr>
        <w:pStyle w:val="ListParagraph"/>
        <w:numPr>
          <w:ilvl w:val="0"/>
          <w:numId w:val="54"/>
        </w:numPr>
        <w:spacing w:line="240" w:lineRule="auto"/>
      </w:pPr>
      <w:r w:rsidRPr="006A74F8">
        <w:t>Pattern approval and verification would be retained as the default mechanism of control for instruments used in trade.</w:t>
      </w:r>
    </w:p>
    <w:p w:rsidR="007138AB" w:rsidRPr="006A74F8" w:rsidRDefault="007138AB" w:rsidP="00683531">
      <w:pPr>
        <w:pStyle w:val="ListParagraph"/>
        <w:numPr>
          <w:ilvl w:val="0"/>
          <w:numId w:val="54"/>
        </w:numPr>
        <w:spacing w:line="240" w:lineRule="auto"/>
      </w:pPr>
      <w:r w:rsidRPr="006A74F8">
        <w:rPr>
          <w:rFonts w:ascii="Calibri" w:eastAsia="Calibri" w:hAnsi="Calibri" w:cs="Calibri"/>
        </w:rPr>
        <w:t xml:space="preserve">Current legislated exemptions would initially be preserved in regulations due to their number and complexity and reconsidered over time to better reflect operational practice, including whether new legislated exemption categories should be introduced. </w:t>
      </w:r>
    </w:p>
    <w:p w:rsidR="007138AB" w:rsidRPr="006A74F8" w:rsidRDefault="007E2236" w:rsidP="00683531">
      <w:pPr>
        <w:pStyle w:val="ListParagraph"/>
        <w:numPr>
          <w:ilvl w:val="0"/>
          <w:numId w:val="54"/>
        </w:numPr>
        <w:spacing w:line="240" w:lineRule="auto"/>
      </w:pPr>
      <w:r w:rsidRPr="006A74F8">
        <w:rPr>
          <w:rFonts w:ascii="Calibri" w:eastAsia="Calibri" w:hAnsi="Calibri" w:cs="Calibri"/>
        </w:rPr>
        <w:t>Introduction of alternative instrument controls o</w:t>
      </w:r>
      <w:r w:rsidR="007138AB" w:rsidRPr="006A74F8">
        <w:rPr>
          <w:rFonts w:ascii="Calibri" w:eastAsia="Calibri" w:hAnsi="Calibri" w:cs="Calibri"/>
        </w:rPr>
        <w:t>ver time</w:t>
      </w:r>
      <w:r w:rsidRPr="006A74F8">
        <w:rPr>
          <w:rFonts w:ascii="Calibri" w:eastAsia="Calibri" w:hAnsi="Calibri" w:cs="Calibri"/>
        </w:rPr>
        <w:t xml:space="preserve"> where there is a need for </w:t>
      </w:r>
      <w:r w:rsidR="007138AB" w:rsidRPr="006A74F8">
        <w:rPr>
          <w:rFonts w:ascii="Calibri" w:eastAsia="Calibri" w:hAnsi="Calibri" w:cs="Calibri"/>
        </w:rPr>
        <w:t xml:space="preserve">a more fit for purpose </w:t>
      </w:r>
      <w:r w:rsidRPr="006A74F8">
        <w:rPr>
          <w:rFonts w:ascii="Calibri" w:eastAsia="Calibri" w:hAnsi="Calibri" w:cs="Calibri"/>
        </w:rPr>
        <w:t>approach</w:t>
      </w:r>
      <w:r w:rsidR="00EB63A4" w:rsidRPr="006A74F8">
        <w:rPr>
          <w:rFonts w:ascii="Calibri" w:eastAsia="Calibri" w:hAnsi="Calibri" w:cs="Calibri"/>
        </w:rPr>
        <w:t>,</w:t>
      </w:r>
      <w:r w:rsidR="007138AB" w:rsidRPr="006A74F8">
        <w:rPr>
          <w:rFonts w:ascii="Calibri" w:eastAsia="Calibri" w:hAnsi="Calibri" w:cs="Calibri"/>
        </w:rPr>
        <w:t xml:space="preserve"> commensurate with the risk associated with a particular type of measuring instrument and</w:t>
      </w:r>
      <w:r w:rsidRPr="006A74F8">
        <w:rPr>
          <w:rFonts w:ascii="Calibri" w:eastAsia="Calibri" w:hAnsi="Calibri" w:cs="Calibri"/>
        </w:rPr>
        <w:t>/or</w:t>
      </w:r>
      <w:r w:rsidR="007138AB" w:rsidRPr="006A74F8">
        <w:rPr>
          <w:rFonts w:ascii="Calibri" w:eastAsia="Calibri" w:hAnsi="Calibri" w:cs="Calibri"/>
        </w:rPr>
        <w:t xml:space="preserve"> application.</w:t>
      </w:r>
      <w:r w:rsidR="00EB63A4" w:rsidRPr="006A74F8">
        <w:rPr>
          <w:rFonts w:ascii="Calibri" w:eastAsia="Calibri" w:hAnsi="Calibri" w:cs="Calibri"/>
        </w:rPr>
        <w:t xml:space="preserve"> Alternative instrument controls would be subject to additional data collection, risk assessment and consultation.</w:t>
      </w:r>
    </w:p>
    <w:p w:rsidR="007138AB" w:rsidRPr="006A74F8" w:rsidRDefault="007138AB" w:rsidP="00683531">
      <w:pPr>
        <w:pStyle w:val="ListParagraph"/>
        <w:numPr>
          <w:ilvl w:val="0"/>
          <w:numId w:val="54"/>
        </w:numPr>
        <w:spacing w:line="240" w:lineRule="auto"/>
      </w:pPr>
      <w:r w:rsidRPr="006A74F8">
        <w:rPr>
          <w:rFonts w:ascii="Calibri" w:eastAsia="Calibri" w:hAnsi="Calibri" w:cs="Calibri"/>
        </w:rPr>
        <w:t>Powers would be provided to the Chief Metrologist to establish these alternative instrument controls.</w:t>
      </w:r>
    </w:p>
    <w:p w:rsidR="005D3729" w:rsidRPr="006A74F8" w:rsidRDefault="005D3729" w:rsidP="005D3729">
      <w:pPr>
        <w:pStyle w:val="ListParagraph"/>
        <w:numPr>
          <w:ilvl w:val="0"/>
          <w:numId w:val="54"/>
        </w:numPr>
      </w:pPr>
      <w:r w:rsidRPr="006A74F8">
        <w:rPr>
          <w:lang w:eastAsia="en-AU"/>
        </w:rPr>
        <w:lastRenderedPageBreak/>
        <w:t>Ability to grant permits or issue provisional certificates, allowing instruments to be tria</w:t>
      </w:r>
      <w:r w:rsidR="003E5B49" w:rsidRPr="006A74F8">
        <w:rPr>
          <w:lang w:eastAsia="en-AU"/>
        </w:rPr>
        <w:t>l</w:t>
      </w:r>
      <w:r w:rsidRPr="006A74F8">
        <w:rPr>
          <w:lang w:eastAsia="en-AU"/>
        </w:rPr>
        <w:t>led in the market, subject to imposed conditions.</w:t>
      </w:r>
    </w:p>
    <w:p w:rsidR="007138AB" w:rsidRPr="006A74F8" w:rsidRDefault="005D3729" w:rsidP="007138AB">
      <w:r w:rsidRPr="006A74F8">
        <w:rPr>
          <w:rFonts w:ascii="Calibri" w:eastAsia="Calibri" w:hAnsi="Calibri" w:cs="Calibri"/>
        </w:rPr>
        <w:t>Instrument control mechanisms could include b</w:t>
      </w:r>
      <w:r w:rsidR="007138AB" w:rsidRPr="006A74F8">
        <w:rPr>
          <w:rFonts w:ascii="Calibri" w:eastAsia="Calibri" w:hAnsi="Calibri" w:cs="Calibri"/>
        </w:rPr>
        <w:t xml:space="preserve">oth </w:t>
      </w:r>
      <w:r w:rsidR="007138AB" w:rsidRPr="006A74F8">
        <w:t>pre market</w:t>
      </w:r>
      <w:r w:rsidR="007138AB" w:rsidRPr="006A74F8">
        <w:rPr>
          <w:rStyle w:val="FootnoteReference"/>
        </w:rPr>
        <w:footnoteReference w:id="39"/>
      </w:r>
      <w:r w:rsidR="007138AB" w:rsidRPr="006A74F8">
        <w:t xml:space="preserve"> and post market</w:t>
      </w:r>
      <w:r w:rsidR="007138AB" w:rsidRPr="006A74F8">
        <w:rPr>
          <w:rStyle w:val="FootnoteReference"/>
        </w:rPr>
        <w:footnoteReference w:id="40"/>
      </w:r>
      <w:r w:rsidR="007138AB" w:rsidRPr="006A74F8">
        <w:t xml:space="preserve"> controls</w:t>
      </w:r>
      <w:r w:rsidRPr="006A74F8">
        <w:t>. Introduction of any mechanisms, other than default mechanisms for trade use would be subject to future consultation. R</w:t>
      </w:r>
      <w:r w:rsidR="007138AB" w:rsidRPr="006A74F8">
        <w:t xml:space="preserve">equirements </w:t>
      </w:r>
      <w:r w:rsidRPr="006A74F8">
        <w:t>could include</w:t>
      </w:r>
      <w:r w:rsidR="007138AB" w:rsidRPr="006A74F8">
        <w:t>:</w:t>
      </w:r>
    </w:p>
    <w:p w:rsidR="007138AB" w:rsidRPr="006A74F8" w:rsidRDefault="007138AB" w:rsidP="00683531">
      <w:pPr>
        <w:pStyle w:val="ListParagraph"/>
        <w:numPr>
          <w:ilvl w:val="0"/>
          <w:numId w:val="51"/>
        </w:numPr>
        <w:spacing w:before="120" w:after="120" w:line="240" w:lineRule="auto"/>
      </w:pPr>
      <w:r w:rsidRPr="006A74F8">
        <w:t>Accurate operation</w:t>
      </w:r>
    </w:p>
    <w:p w:rsidR="007138AB" w:rsidRPr="006A74F8" w:rsidRDefault="007138AB" w:rsidP="00683531">
      <w:pPr>
        <w:pStyle w:val="ListParagraph"/>
        <w:numPr>
          <w:ilvl w:val="0"/>
          <w:numId w:val="51"/>
        </w:numPr>
        <w:spacing w:before="120" w:after="120" w:line="240" w:lineRule="auto"/>
      </w:pPr>
      <w:r w:rsidRPr="006A74F8">
        <w:t>Appropriate use</w:t>
      </w:r>
    </w:p>
    <w:p w:rsidR="007138AB" w:rsidRPr="006A74F8" w:rsidRDefault="007138AB" w:rsidP="00683531">
      <w:pPr>
        <w:pStyle w:val="ListParagraph"/>
        <w:numPr>
          <w:ilvl w:val="0"/>
          <w:numId w:val="51"/>
        </w:numPr>
        <w:spacing w:before="120" w:after="120" w:line="240" w:lineRule="auto"/>
      </w:pPr>
      <w:r w:rsidRPr="006A74F8">
        <w:t>Pattern approval</w:t>
      </w:r>
      <w:r w:rsidR="005D3729" w:rsidRPr="006A74F8">
        <w:t xml:space="preserve"> (default)</w:t>
      </w:r>
    </w:p>
    <w:p w:rsidR="007138AB" w:rsidRPr="006A74F8" w:rsidRDefault="007138AB" w:rsidP="00683531">
      <w:pPr>
        <w:pStyle w:val="ListParagraph"/>
        <w:numPr>
          <w:ilvl w:val="0"/>
          <w:numId w:val="51"/>
        </w:numPr>
        <w:spacing w:before="120" w:after="120" w:line="240" w:lineRule="auto"/>
      </w:pPr>
      <w:r w:rsidRPr="006A74F8">
        <w:t>Conformity of an instrument to the pattern approved</w:t>
      </w:r>
      <w:r w:rsidRPr="006A74F8">
        <w:rPr>
          <w:rStyle w:val="FootnoteReference"/>
          <w:rFonts w:eastAsiaTheme="majorEastAsia" w:cs="Calibri"/>
          <w:lang w:eastAsia="en-AU"/>
        </w:rPr>
        <w:footnoteReference w:id="41"/>
      </w:r>
    </w:p>
    <w:p w:rsidR="007138AB" w:rsidRPr="006A74F8" w:rsidRDefault="007138AB" w:rsidP="00683531">
      <w:pPr>
        <w:pStyle w:val="ListParagraph"/>
        <w:numPr>
          <w:ilvl w:val="0"/>
          <w:numId w:val="51"/>
        </w:numPr>
        <w:spacing w:before="120" w:after="120" w:line="240" w:lineRule="auto"/>
      </w:pPr>
      <w:r w:rsidRPr="006A74F8">
        <w:t>Quality</w:t>
      </w:r>
      <w:r w:rsidR="00B65CD1" w:rsidRPr="006A74F8">
        <w:t xml:space="preserve"> system assessment and a</w:t>
      </w:r>
      <w:r w:rsidRPr="006A74F8">
        <w:t>uditing</w:t>
      </w:r>
    </w:p>
    <w:p w:rsidR="007138AB" w:rsidRPr="006A74F8" w:rsidRDefault="007138AB" w:rsidP="00683531">
      <w:pPr>
        <w:pStyle w:val="ListParagraph"/>
        <w:numPr>
          <w:ilvl w:val="0"/>
          <w:numId w:val="51"/>
        </w:numPr>
        <w:spacing w:before="120" w:after="120" w:line="240" w:lineRule="auto"/>
      </w:pPr>
      <w:r w:rsidRPr="006A74F8">
        <w:t>Verification</w:t>
      </w:r>
      <w:r w:rsidR="005D3729" w:rsidRPr="006A74F8">
        <w:t xml:space="preserve"> (default)</w:t>
      </w:r>
    </w:p>
    <w:p w:rsidR="007138AB" w:rsidRPr="006A74F8" w:rsidRDefault="007138AB" w:rsidP="00683531">
      <w:pPr>
        <w:pStyle w:val="ListParagraph"/>
        <w:numPr>
          <w:ilvl w:val="0"/>
          <w:numId w:val="51"/>
        </w:numPr>
        <w:spacing w:before="120" w:after="120" w:line="240" w:lineRule="auto"/>
      </w:pPr>
      <w:r w:rsidRPr="006A74F8">
        <w:t>Re-verification</w:t>
      </w:r>
    </w:p>
    <w:p w:rsidR="007138AB" w:rsidRPr="006A74F8" w:rsidRDefault="007138AB" w:rsidP="00683531">
      <w:pPr>
        <w:pStyle w:val="ListParagraph"/>
        <w:numPr>
          <w:ilvl w:val="0"/>
          <w:numId w:val="51"/>
        </w:numPr>
        <w:spacing w:before="120" w:after="120" w:line="240" w:lineRule="auto"/>
      </w:pPr>
      <w:r w:rsidRPr="006A74F8">
        <w:t>In</w:t>
      </w:r>
      <w:r w:rsidR="00F313A0" w:rsidRPr="006A74F8">
        <w:t>-</w:t>
      </w:r>
      <w:r w:rsidRPr="006A74F8">
        <w:t xml:space="preserve">service inspection </w:t>
      </w:r>
    </w:p>
    <w:p w:rsidR="007138AB" w:rsidRPr="006A74F8" w:rsidRDefault="007138AB" w:rsidP="00683531">
      <w:pPr>
        <w:pStyle w:val="ListParagraph"/>
        <w:numPr>
          <w:ilvl w:val="0"/>
          <w:numId w:val="51"/>
        </w:numPr>
        <w:spacing w:before="120" w:after="120" w:line="240" w:lineRule="auto"/>
      </w:pPr>
      <w:r w:rsidRPr="006A74F8">
        <w:t>Instrument suitability requirements</w:t>
      </w:r>
      <w:r w:rsidR="00EB63A4" w:rsidRPr="006A74F8">
        <w:t xml:space="preserve"> </w:t>
      </w:r>
      <w:r w:rsidRPr="006A74F8">
        <w:t>/</w:t>
      </w:r>
      <w:r w:rsidR="00EB63A4" w:rsidRPr="006A74F8">
        <w:t xml:space="preserve"> </w:t>
      </w:r>
      <w:r w:rsidRPr="006A74F8">
        <w:t>ranges</w:t>
      </w:r>
    </w:p>
    <w:p w:rsidR="007138AB" w:rsidRPr="006A74F8" w:rsidRDefault="007138AB" w:rsidP="00FF587A">
      <w:pPr>
        <w:rPr>
          <w:rStyle w:val="normaltextrun1"/>
        </w:rPr>
      </w:pPr>
      <w:r w:rsidRPr="006A74F8">
        <w:t xml:space="preserve">These control mechanisms would be drafted to be accessible to other regulators who may wish to access them, rather than being specifically limited to </w:t>
      </w:r>
      <w:r w:rsidR="005D3729" w:rsidRPr="006A74F8">
        <w:t xml:space="preserve">introduction for </w:t>
      </w:r>
      <w:r w:rsidRPr="006A74F8">
        <w:t>trade use. This would also enable other regulators to more easily access ATPs to support these controls for their regulatory needs.</w:t>
      </w:r>
    </w:p>
    <w:p w:rsidR="007138AB" w:rsidRPr="006A74F8" w:rsidRDefault="007138AB" w:rsidP="007138AB">
      <w:pPr>
        <w:rPr>
          <w:sz w:val="20"/>
          <w:szCs w:val="20"/>
        </w:rPr>
      </w:pPr>
      <w:r w:rsidRPr="006A74F8">
        <w:t xml:space="preserve">Under </w:t>
      </w:r>
      <w:r w:rsidR="00501502" w:rsidRPr="006A74F8">
        <w:rPr>
          <w:b/>
        </w:rPr>
        <w:t>o</w:t>
      </w:r>
      <w:r w:rsidRPr="006A74F8">
        <w:rPr>
          <w:b/>
        </w:rPr>
        <w:t>ption 3</w:t>
      </w:r>
      <w:r w:rsidRPr="006A74F8">
        <w:t xml:space="preserve">, the measurement legislation would provide the power to extend the control mechanisms available under </w:t>
      </w:r>
      <w:r w:rsidR="00501502" w:rsidRPr="006A74F8">
        <w:t>o</w:t>
      </w:r>
      <w:r w:rsidRPr="006A74F8">
        <w:t xml:space="preserve">ption 2 to apply directly to measuring instruments relied upon by other regulators (rather than needing other regulators to specifically adopt them). When introducing new requirements, there would need to be a demonstrable need to ensure confidence in instrument use, compliance and enforcement. </w:t>
      </w:r>
      <w:r w:rsidR="000148B2" w:rsidRPr="006A74F8">
        <w:t>NMI</w:t>
      </w:r>
      <w:r w:rsidRPr="006A74F8">
        <w:t xml:space="preserve"> would also require </w:t>
      </w:r>
      <w:r w:rsidR="000148B2" w:rsidRPr="006A74F8">
        <w:t xml:space="preserve">an enhanced </w:t>
      </w:r>
      <w:r w:rsidR="00CB3A74" w:rsidRPr="006A74F8">
        <w:t>ability</w:t>
      </w:r>
      <w:r w:rsidR="000148B2" w:rsidRPr="006A74F8">
        <w:t xml:space="preserve"> to </w:t>
      </w:r>
      <w:r w:rsidRPr="006A74F8">
        <w:rPr>
          <w:rFonts w:ascii="Calibri" w:hAnsi="Calibri" w:cs="Calibri"/>
          <w:color w:val="000000" w:themeColor="text1"/>
          <w:lang w:val="en-US"/>
        </w:rPr>
        <w:t>collect</w:t>
      </w:r>
      <w:r w:rsidR="000148B2" w:rsidRPr="006A74F8">
        <w:rPr>
          <w:rFonts w:ascii="Calibri" w:hAnsi="Calibri" w:cs="Calibri"/>
          <w:color w:val="000000" w:themeColor="text1"/>
          <w:lang w:val="en-US"/>
        </w:rPr>
        <w:t xml:space="preserve"> data</w:t>
      </w:r>
      <w:r w:rsidRPr="006A74F8">
        <w:rPr>
          <w:rFonts w:ascii="Calibri" w:hAnsi="Calibri" w:cs="Calibri"/>
          <w:color w:val="000000" w:themeColor="text1"/>
          <w:lang w:val="en-US"/>
        </w:rPr>
        <w:t xml:space="preserve"> to help identify emerging measurement problems and assess the level of </w:t>
      </w:r>
      <w:r w:rsidR="00B65CD1" w:rsidRPr="006A74F8">
        <w:rPr>
          <w:rFonts w:ascii="Calibri" w:hAnsi="Calibri" w:cs="Calibri"/>
          <w:color w:val="000000" w:themeColor="text1"/>
          <w:lang w:val="en-US"/>
        </w:rPr>
        <w:t>risk</w:t>
      </w:r>
      <w:r w:rsidRPr="006A74F8">
        <w:rPr>
          <w:rFonts w:ascii="Calibri" w:hAnsi="Calibri" w:cs="Calibri"/>
          <w:color w:val="000000" w:themeColor="text1"/>
          <w:lang w:val="en-US"/>
        </w:rPr>
        <w:t>.</w:t>
      </w:r>
    </w:p>
    <w:p w:rsidR="007138AB" w:rsidRPr="006A74F8" w:rsidRDefault="007138AB" w:rsidP="007138AB">
      <w:pPr>
        <w:pStyle w:val="Heading4"/>
      </w:pPr>
      <w:bookmarkStart w:id="1405" w:name="_Changes_in_relation"/>
      <w:bookmarkEnd w:id="1405"/>
      <w:r w:rsidRPr="006A74F8">
        <w:t>Changes in relation to the verification of measuring instruments</w:t>
      </w:r>
    </w:p>
    <w:p w:rsidR="007138AB" w:rsidRPr="006A74F8" w:rsidRDefault="00170C41" w:rsidP="007138AB">
      <w:r w:rsidRPr="006A74F8">
        <w:rPr>
          <w:b/>
        </w:rPr>
        <w:t>Across all options</w:t>
      </w:r>
      <w:r w:rsidRPr="006A74F8">
        <w:t>, t</w:t>
      </w:r>
      <w:r w:rsidR="007138AB" w:rsidRPr="006A74F8">
        <w:t xml:space="preserve">he new legislation will continue to require reporting of measuring instrument verification for trade. The use of verification marks will not be removed, but the reforms will introduce alternatives to physical marks. Modern ways of identifying verified measuring instruments, providing the information and reporting to the government (e.g. using digital markers or QR codes) are expected to increase the efficiency of verification and inspection, and provide greater access to this information for </w:t>
      </w:r>
      <w:r w:rsidR="001A70CE" w:rsidRPr="006A74F8">
        <w:t>businesses</w:t>
      </w:r>
      <w:r w:rsidR="007138AB" w:rsidRPr="006A74F8">
        <w:t>.</w:t>
      </w:r>
    </w:p>
    <w:p w:rsidR="007138AB" w:rsidRPr="006A74F8" w:rsidRDefault="007138AB" w:rsidP="007138AB">
      <w:r w:rsidRPr="006A74F8">
        <w:t xml:space="preserve">The ability to introduce mandatory reverification periods for instruments will be retained in the legislation. Any future consideration of adding or removing mandatory reverification for particular types of instruments would be subject to </w:t>
      </w:r>
      <w:r w:rsidR="005B58D9" w:rsidRPr="006A74F8">
        <w:t xml:space="preserve">an analysis of </w:t>
      </w:r>
      <w:r w:rsidR="00D55DD7" w:rsidRPr="006A74F8">
        <w:t xml:space="preserve">any </w:t>
      </w:r>
      <w:r w:rsidR="005B58D9" w:rsidRPr="006A74F8">
        <w:t xml:space="preserve">market failures, </w:t>
      </w:r>
      <w:r w:rsidRPr="006A74F8">
        <w:t>further data collection</w:t>
      </w:r>
      <w:r w:rsidR="005B58D9" w:rsidRPr="006A74F8">
        <w:t xml:space="preserve"> and</w:t>
      </w:r>
      <w:r w:rsidRPr="006A74F8">
        <w:t xml:space="preserve"> consultation</w:t>
      </w:r>
      <w:r w:rsidR="005B58D9" w:rsidRPr="006A74F8">
        <w:t xml:space="preserve">. A further </w:t>
      </w:r>
      <w:r w:rsidRPr="006A74F8">
        <w:t xml:space="preserve">regulatory impact analysis </w:t>
      </w:r>
      <w:r w:rsidR="005B58D9" w:rsidRPr="006A74F8">
        <w:t xml:space="preserve">would also be conducted </w:t>
      </w:r>
      <w:r w:rsidRPr="006A74F8">
        <w:t xml:space="preserve">prior to amending requirements. </w:t>
      </w:r>
    </w:p>
    <w:p w:rsidR="00D52745" w:rsidRPr="006A74F8" w:rsidRDefault="0059599C" w:rsidP="00D52745">
      <w:pPr>
        <w:pStyle w:val="Heading3"/>
      </w:pPr>
      <w:r w:rsidRPr="006A74F8" w:rsidDel="00693324">
        <w:rPr>
          <w:rFonts w:eastAsia="Calibri"/>
        </w:rPr>
        <w:lastRenderedPageBreak/>
        <w:t xml:space="preserve"> </w:t>
      </w:r>
      <w:r w:rsidR="00D52745" w:rsidRPr="006A74F8">
        <w:t>Changes affecting Authorised Third Parties (ATPs)</w:t>
      </w:r>
    </w:p>
    <w:p w:rsidR="00D52745" w:rsidRPr="006A74F8" w:rsidRDefault="00D52745" w:rsidP="00D52745">
      <w:r w:rsidRPr="006A74F8">
        <w:t>The current legislative framework enables appointment of ATPs to perform various measurement services to support legal measurement in Australia. There are currently six kinds of ATPs, who perform the following services:</w:t>
      </w:r>
    </w:p>
    <w:p w:rsidR="00D52745" w:rsidRPr="006A74F8" w:rsidRDefault="00D52745" w:rsidP="00D52745">
      <w:pPr>
        <w:pStyle w:val="ListParagraph"/>
        <w:numPr>
          <w:ilvl w:val="0"/>
          <w:numId w:val="43"/>
        </w:numPr>
      </w:pPr>
      <w:r w:rsidRPr="006A74F8">
        <w:t>verification of measuring instruments for trade (Servicing Licensees)</w:t>
      </w:r>
    </w:p>
    <w:p w:rsidR="00D52745" w:rsidRPr="006A74F8" w:rsidRDefault="00D52745" w:rsidP="00D52745">
      <w:pPr>
        <w:pStyle w:val="ListParagraph"/>
        <w:numPr>
          <w:ilvl w:val="0"/>
          <w:numId w:val="43"/>
        </w:numPr>
      </w:pPr>
      <w:r w:rsidRPr="006A74F8">
        <w:t>verification of utility meters (Utility Meter Verifiers, or UMVs)</w:t>
      </w:r>
    </w:p>
    <w:p w:rsidR="00D52745" w:rsidRPr="006A74F8" w:rsidRDefault="00D52745" w:rsidP="00D52745">
      <w:pPr>
        <w:pStyle w:val="ListParagraph"/>
        <w:numPr>
          <w:ilvl w:val="0"/>
          <w:numId w:val="43"/>
        </w:numPr>
      </w:pPr>
      <w:r w:rsidRPr="006A74F8">
        <w:t>operation of public weighbridges</w:t>
      </w:r>
    </w:p>
    <w:p w:rsidR="00D52745" w:rsidRPr="006A74F8" w:rsidRDefault="00D52745" w:rsidP="00D52745">
      <w:pPr>
        <w:pStyle w:val="ListParagraph"/>
        <w:numPr>
          <w:ilvl w:val="0"/>
          <w:numId w:val="43"/>
        </w:numPr>
      </w:pPr>
      <w:r w:rsidRPr="006A74F8">
        <w:t>certification of reference materials and measuring instruments (Certifying Authorities)</w:t>
      </w:r>
    </w:p>
    <w:p w:rsidR="00D52745" w:rsidRPr="006A74F8" w:rsidRDefault="00D52745" w:rsidP="00D52745">
      <w:pPr>
        <w:pStyle w:val="ListParagraph"/>
        <w:numPr>
          <w:ilvl w:val="0"/>
          <w:numId w:val="43"/>
        </w:numPr>
      </w:pPr>
      <w:r w:rsidRPr="006A74F8">
        <w:t>verification of standards of measurement and artefacts (Verifying Authorities)</w:t>
      </w:r>
    </w:p>
    <w:p w:rsidR="00D52745" w:rsidRPr="006A74F8" w:rsidRDefault="00D52745" w:rsidP="00D52745">
      <w:pPr>
        <w:pStyle w:val="ListParagraph"/>
        <w:numPr>
          <w:ilvl w:val="0"/>
          <w:numId w:val="43"/>
        </w:numPr>
      </w:pPr>
      <w:r w:rsidRPr="006A74F8">
        <w:t>examin</w:t>
      </w:r>
      <w:r w:rsidR="00FF37DA" w:rsidRPr="006A74F8">
        <w:t>ation</w:t>
      </w:r>
      <w:r w:rsidRPr="006A74F8">
        <w:t xml:space="preserve"> </w:t>
      </w:r>
      <w:r w:rsidR="00FF37DA" w:rsidRPr="006A74F8">
        <w:t>of</w:t>
      </w:r>
      <w:r w:rsidRPr="006A74F8">
        <w:t xml:space="preserve"> measuring instruments and measuring instrument designs (Approving Authorities).</w:t>
      </w:r>
    </w:p>
    <w:p w:rsidR="00D52745" w:rsidRPr="006A74F8" w:rsidRDefault="00D52745" w:rsidP="00D52745">
      <w:r w:rsidRPr="006A74F8">
        <w:rPr>
          <w:b/>
        </w:rPr>
        <w:t>Note</w:t>
      </w:r>
      <w:r w:rsidRPr="006A74F8">
        <w:t>: Certifying Authorities, Verifying Authorities and Approving Authorities are known collectively as Legal Metrology Authorities (LMAs).</w:t>
      </w:r>
    </w:p>
    <w:p w:rsidR="00D52745" w:rsidRPr="006A74F8" w:rsidRDefault="00D52745" w:rsidP="00D52745">
      <w:r w:rsidRPr="006A74F8">
        <w:t>Some of these appointments are specific to trade measurement applications, even though they may share common capabilities and methods with those for other legal purposes.</w:t>
      </w:r>
    </w:p>
    <w:p w:rsidR="00D52745" w:rsidRPr="006A74F8" w:rsidRDefault="00D52745" w:rsidP="00D52745">
      <w:pPr>
        <w:shd w:val="clear" w:color="auto" w:fill="DFF3F3" w:themeFill="accent4" w:themeFillTint="33"/>
        <w:spacing w:before="60" w:after="60"/>
      </w:pPr>
      <w:r w:rsidRPr="006A74F8">
        <w:t xml:space="preserve">Requirements to obtain certain measurement services from ATPs for regulated measurement activities are upheld across </w:t>
      </w:r>
      <w:r w:rsidRPr="006A74F8">
        <w:rPr>
          <w:b/>
        </w:rPr>
        <w:t>all options</w:t>
      </w:r>
      <w:r w:rsidRPr="006A74F8">
        <w:t xml:space="preserve"> to ensure continuing confidence in measurement. Changes proposed to the nature of appointments across the different options will potentially enable ATPs to offer services across a wider scope of activities with less administrative overhead, subject to having appropriate skills and being competent to do so.</w:t>
      </w:r>
    </w:p>
    <w:p w:rsidR="00D52745" w:rsidRPr="006A74F8" w:rsidRDefault="00D52745" w:rsidP="00D52745">
      <w:pPr>
        <w:shd w:val="clear" w:color="auto" w:fill="DFF3F3" w:themeFill="accent4" w:themeFillTint="33"/>
        <w:spacing w:before="60" w:after="60"/>
      </w:pPr>
      <w:r w:rsidRPr="006A74F8">
        <w:t>Future changes to the way measuring instruments are regulated for trade will also potentially enable ATPs to offer similar services for other areas of legal measurement.</w:t>
      </w:r>
    </w:p>
    <w:p w:rsidR="00D52745" w:rsidRPr="006A74F8" w:rsidRDefault="00D52745" w:rsidP="00D52745">
      <w:pPr>
        <w:spacing w:before="160"/>
      </w:pPr>
      <w:r w:rsidRPr="006A74F8">
        <w:t xml:space="preserve">ATPs are currently appointed according to specific licence or authority types, with varying degrees of prescriptive conditions and oversight by NMI. This acts as a barrier to enabling flexibility in the scope of appointment types and being able to better tailor appointments according to demonstrated risk. This lack of flexibility also potentially impacts the speed at which innovation can be introduced into markets to address emerging measurement needs. More flexible appointment types may help provide better support for such things as utility meters, electric vehicle charging stations and measuring instruments with remote monitoring and checking functions. </w:t>
      </w:r>
    </w:p>
    <w:p w:rsidR="00D52745" w:rsidRPr="006A74F8" w:rsidRDefault="00D52745" w:rsidP="00D52745">
      <w:r w:rsidRPr="006A74F8">
        <w:t xml:space="preserve">Proposed changes aim to reduce </w:t>
      </w:r>
      <w:r w:rsidR="0044323F" w:rsidRPr="006A74F8">
        <w:t xml:space="preserve">some of </w:t>
      </w:r>
      <w:r w:rsidRPr="006A74F8">
        <w:t xml:space="preserve">the administrative burden associated with licensing and appointments to varying degrees by streamlining administrative requirements: </w:t>
      </w:r>
    </w:p>
    <w:p w:rsidR="00D52745" w:rsidRPr="006A74F8" w:rsidRDefault="00D52745" w:rsidP="00D52745">
      <w:pPr>
        <w:pStyle w:val="ListParagraph"/>
        <w:numPr>
          <w:ilvl w:val="0"/>
          <w:numId w:val="22"/>
        </w:numPr>
        <w:spacing w:before="60" w:after="60" w:line="240" w:lineRule="auto"/>
        <w:ind w:left="709"/>
      </w:pPr>
      <w:r w:rsidRPr="006A74F8">
        <w:t xml:space="preserve">For </w:t>
      </w:r>
      <w:r w:rsidRPr="006A74F8">
        <w:rPr>
          <w:b/>
        </w:rPr>
        <w:t xml:space="preserve">all options </w:t>
      </w:r>
      <w:r w:rsidRPr="006A74F8">
        <w:t>existing categories of appointment functions (e.g. Servicing Licensees, Public Weighbridge Licensees, UMVs, Certifying Authorities, Verifying Authorities and Approving Authorities) will continue to exist, however some of the legislative arrangements may change (e.g. the mechanism used to appoint ATPs).</w:t>
      </w:r>
    </w:p>
    <w:p w:rsidR="00D52745" w:rsidRPr="006A74F8" w:rsidRDefault="00D52745" w:rsidP="00D52745">
      <w:pPr>
        <w:pStyle w:val="ListParagraph"/>
        <w:numPr>
          <w:ilvl w:val="1"/>
          <w:numId w:val="22"/>
        </w:numPr>
        <w:spacing w:before="60" w:after="60" w:line="240" w:lineRule="auto"/>
      </w:pPr>
      <w:r w:rsidRPr="006A74F8">
        <w:t>There will be a greater emphasis on describing some functions by reference to competency categories and test method,</w:t>
      </w:r>
      <w:r w:rsidRPr="006A74F8">
        <w:rPr>
          <w:rStyle w:val="FootnoteReference"/>
        </w:rPr>
        <w:footnoteReference w:id="42"/>
      </w:r>
      <w:r w:rsidRPr="006A74F8">
        <w:t xml:space="preserve"> rather than instrument classes. This will likely involve combining some of the current servicing licence classes and sub-classes</w:t>
      </w:r>
      <w:r w:rsidR="00647607" w:rsidRPr="006A74F8">
        <w:t>,</w:t>
      </w:r>
      <w:r w:rsidRPr="006A74F8">
        <w:rPr>
          <w:rStyle w:val="FootnoteReference"/>
        </w:rPr>
        <w:footnoteReference w:id="43"/>
      </w:r>
      <w:r w:rsidRPr="006A74F8">
        <w:t xml:space="preserve"> where appropriate. </w:t>
      </w:r>
    </w:p>
    <w:p w:rsidR="00D52745" w:rsidRPr="006A74F8" w:rsidRDefault="00D52745" w:rsidP="00D52745">
      <w:pPr>
        <w:pStyle w:val="ListParagraph"/>
        <w:numPr>
          <w:ilvl w:val="0"/>
          <w:numId w:val="22"/>
        </w:numPr>
        <w:spacing w:before="60" w:after="60" w:line="240" w:lineRule="auto"/>
        <w:ind w:left="709"/>
      </w:pPr>
      <w:r w:rsidRPr="006A74F8">
        <w:rPr>
          <w:b/>
        </w:rPr>
        <w:lastRenderedPageBreak/>
        <w:t>Option 1</w:t>
      </w:r>
      <w:r w:rsidRPr="006A74F8">
        <w:t xml:space="preserve"> merges appointment types that perform similar functions to strea</w:t>
      </w:r>
      <w:r w:rsidR="00647607" w:rsidRPr="006A74F8">
        <w:t xml:space="preserve">mline arrangements, reducing </w:t>
      </w:r>
      <w:r w:rsidR="00477A00" w:rsidRPr="006A74F8">
        <w:t>six</w:t>
      </w:r>
      <w:r w:rsidR="00647607" w:rsidRPr="006A74F8">
        <w:t xml:space="preserve"> appointment types to </w:t>
      </w:r>
      <w:r w:rsidR="00477A00" w:rsidRPr="006A74F8">
        <w:t>four</w:t>
      </w:r>
      <w:r w:rsidRPr="006A74F8">
        <w:t>. UMVs are merged with Servicing Licensees</w:t>
      </w:r>
      <w:r w:rsidRPr="006A74F8" w:rsidDel="00693A69">
        <w:t xml:space="preserve"> </w:t>
      </w:r>
      <w:r w:rsidRPr="006A74F8">
        <w:t xml:space="preserve">as they perform similar roles in verifying measuring instruments to establish the accuracy of individual instruments. Certifying Authorities and Verifying Authorities are merged into a single appointment type as they share commonalities as appointed calibration and testing laboratories to support traceability and the accuracy of measurement used for legal purposes. Approving Authorities and Public Weighbridge Licensees remain as separate appointment types, with </w:t>
      </w:r>
      <w:r w:rsidR="00647607" w:rsidRPr="006A74F8">
        <w:t>Public W</w:t>
      </w:r>
      <w:r w:rsidRPr="006A74F8">
        <w:t>eighb</w:t>
      </w:r>
      <w:r w:rsidR="00647607" w:rsidRPr="006A74F8">
        <w:t>ridge L</w:t>
      </w:r>
      <w:r w:rsidRPr="006A74F8">
        <w:t>icensee and operator requirements made more principles-based and streamlined.</w:t>
      </w:r>
    </w:p>
    <w:p w:rsidR="00D52745" w:rsidRPr="006A74F8" w:rsidRDefault="00D52745" w:rsidP="00D52745">
      <w:pPr>
        <w:pStyle w:val="ListParagraph"/>
        <w:numPr>
          <w:ilvl w:val="0"/>
          <w:numId w:val="35"/>
        </w:numPr>
      </w:pPr>
      <w:r w:rsidRPr="006A74F8">
        <w:rPr>
          <w:b/>
        </w:rPr>
        <w:t>Options 2 and 3</w:t>
      </w:r>
      <w:r w:rsidRPr="006A74F8">
        <w:t xml:space="preserve"> would use a single administrative mechanism provided in the legislation to appoint an ATP,</w:t>
      </w:r>
      <w:r w:rsidRPr="006A74F8">
        <w:rPr>
          <w:rStyle w:val="FootnoteReference"/>
        </w:rPr>
        <w:footnoteReference w:id="44"/>
      </w:r>
      <w:r w:rsidRPr="006A74F8">
        <w:t xml:space="preserve"> authorising them </w:t>
      </w:r>
      <w:r w:rsidR="00647607" w:rsidRPr="006A74F8">
        <w:t xml:space="preserve">to </w:t>
      </w:r>
      <w:r w:rsidRPr="006A74F8">
        <w:t xml:space="preserve">perform certain distinct functions outlined in the regulations. These authorised functions will align with existing ATP categories (e.g. Servicing Licensees, Public Weighbridge Licensees, UMVs, </w:t>
      </w:r>
      <w:r w:rsidR="00F35FFF" w:rsidRPr="006A74F8">
        <w:t>V</w:t>
      </w:r>
      <w:r w:rsidRPr="006A74F8">
        <w:t>e</w:t>
      </w:r>
      <w:r w:rsidR="00F35FFF" w:rsidRPr="006A74F8">
        <w:t xml:space="preserve">rifying </w:t>
      </w:r>
      <w:r w:rsidR="00674332" w:rsidRPr="006A74F8">
        <w:t>A</w:t>
      </w:r>
      <w:r w:rsidRPr="006A74F8">
        <w:t>uthorities</w:t>
      </w:r>
      <w:r w:rsidR="00F35FFF" w:rsidRPr="006A74F8">
        <w:t>, C</w:t>
      </w:r>
      <w:r w:rsidRPr="006A74F8">
        <w:t xml:space="preserve">ertifying </w:t>
      </w:r>
      <w:r w:rsidR="002473FE" w:rsidRPr="006A74F8">
        <w:t>A</w:t>
      </w:r>
      <w:r w:rsidRPr="006A74F8">
        <w:t xml:space="preserve">uthorities </w:t>
      </w:r>
      <w:r w:rsidR="00F35FFF" w:rsidRPr="006A74F8">
        <w:t>and Approving A</w:t>
      </w:r>
      <w:r w:rsidRPr="006A74F8">
        <w:t>uthorities). It will also be possible to authorise ATPs to perform functions outside of existing categories to enable performance of “other metrological functions as determined by the Chief Metrologist”</w:t>
      </w:r>
      <w:r w:rsidR="00647607" w:rsidRPr="006A74F8">
        <w:t>.</w:t>
      </w:r>
      <w:r w:rsidRPr="006A74F8">
        <w:t xml:space="preserve"> This will accommodate future functions that may not fit within existing categories.</w:t>
      </w:r>
    </w:p>
    <w:p w:rsidR="00D52745" w:rsidRPr="006A74F8" w:rsidRDefault="00D52745" w:rsidP="00D52745">
      <w:pPr>
        <w:spacing w:after="120"/>
      </w:pPr>
      <w:r w:rsidRPr="006A74F8">
        <w:t xml:space="preserve">Currently the pathways to demonstrate competency vary for different appointment types, despite some appointment types sharing similarities in the roles they perform. Even within individual appointment types, competency must be demonstrated in relation to specific measurement activities. </w:t>
      </w:r>
    </w:p>
    <w:p w:rsidR="00D52745" w:rsidRPr="006A74F8" w:rsidRDefault="00D52745" w:rsidP="00D52745">
      <w:pPr>
        <w:pStyle w:val="ListParagraph"/>
        <w:numPr>
          <w:ilvl w:val="0"/>
          <w:numId w:val="21"/>
        </w:numPr>
        <w:spacing w:after="60" w:line="240" w:lineRule="auto"/>
        <w:ind w:left="709"/>
      </w:pPr>
      <w:r w:rsidRPr="006A74F8">
        <w:t>Servicing Licences are granted on the condition their employees demonstrate competence, in the form of a statement of attainment from a registered training organisation (RTO), to perform measurement-related functions for each class of licence they hold.</w:t>
      </w:r>
    </w:p>
    <w:p w:rsidR="00D52745" w:rsidRPr="006A74F8" w:rsidRDefault="00D52745" w:rsidP="00D52745">
      <w:pPr>
        <w:pStyle w:val="ListParagraph"/>
        <w:numPr>
          <w:ilvl w:val="0"/>
          <w:numId w:val="21"/>
        </w:numPr>
        <w:spacing w:before="60" w:after="120" w:line="240" w:lineRule="auto"/>
      </w:pPr>
      <w:r w:rsidRPr="006A74F8">
        <w:t>UMVs and LMAs are typically required to demonstrate competency through National Association of Testing Authorities (NATA) laboratory accreditation.</w:t>
      </w:r>
    </w:p>
    <w:p w:rsidR="00D52745" w:rsidRPr="006A74F8" w:rsidRDefault="00D52745" w:rsidP="00D52745">
      <w:r w:rsidRPr="006A74F8">
        <w:t xml:space="preserve">Under </w:t>
      </w:r>
      <w:r w:rsidRPr="006A74F8">
        <w:rPr>
          <w:b/>
        </w:rPr>
        <w:t>all options</w:t>
      </w:r>
      <w:r w:rsidRPr="006A74F8">
        <w:t xml:space="preserve"> these current competency pathways will be retained, but some flexibility as to how competency can be demonstrated will be introduced, through limited changes, to be able to accommodate future needs. These changes would maintain, not dilute, current </w:t>
      </w:r>
      <w:r w:rsidR="00874622" w:rsidRPr="006A74F8">
        <w:t xml:space="preserve">industry competency </w:t>
      </w:r>
      <w:r w:rsidR="005744BC" w:rsidRPr="006A74F8">
        <w:t>levels</w:t>
      </w:r>
      <w:r w:rsidRPr="006A74F8">
        <w:t xml:space="preserve"> with NMI releasing guidance material identifying the different acceptable pathways to demonstrate competency where these are introduced in future.</w:t>
      </w:r>
      <w:r w:rsidRPr="006A74F8">
        <w:rPr>
          <w:rStyle w:val="FootnoteReference"/>
        </w:rPr>
        <w:footnoteReference w:id="45"/>
      </w:r>
      <w:r w:rsidRPr="006A74F8">
        <w:t xml:space="preserve"> This flexibility will allow NMI to accommodate future hybrid and emerging roles for ATPs and enable the evolution of competency requirements for existing ATPs to ensure competency frameworks remain suitable for ATP functions in the future. </w:t>
      </w:r>
    </w:p>
    <w:p w:rsidR="00D52745" w:rsidRPr="006A74F8" w:rsidRDefault="00D52745" w:rsidP="00D52745">
      <w:pPr>
        <w:pStyle w:val="Heading4"/>
      </w:pPr>
      <w:r w:rsidRPr="006A74F8">
        <w:t>General Licences</w:t>
      </w:r>
    </w:p>
    <w:p w:rsidR="00D52745" w:rsidRPr="006A74F8" w:rsidRDefault="00D52745" w:rsidP="00D52745">
      <w:r w:rsidRPr="006A74F8">
        <w:t xml:space="preserve">ATPs provide a variety of measurement services, ranging in complexity, to support the use of measurement in trade and other sectors. Under current measurement legislation ATPs must apply for appointment and be approved prior to conducting activities. </w:t>
      </w:r>
      <w:r w:rsidRPr="006A74F8">
        <w:rPr>
          <w:b/>
        </w:rPr>
        <w:t>Options 2 and 3</w:t>
      </w:r>
      <w:r w:rsidRPr="006A74F8">
        <w:t xml:space="preserve"> introduce a legislative mechanism to introduce general licences in future, subject to further consultation, to enable the performance of certain measurement activities and functions that may instead be better suited to a level of regulatory oversight that does not necessarily align with that in place for the appointment of ATPs.</w:t>
      </w:r>
    </w:p>
    <w:p w:rsidR="00D52745" w:rsidRPr="006A74F8" w:rsidRDefault="00D52745" w:rsidP="00D52745">
      <w:pPr>
        <w:shd w:val="clear" w:color="auto" w:fill="DFF3F3" w:themeFill="accent4" w:themeFillTint="33"/>
      </w:pPr>
      <w:r w:rsidRPr="006A74F8">
        <w:lastRenderedPageBreak/>
        <w:t>General licences are permissions to undertake certain types of regulatory activities, subject to meeting particular requirements when performing the activities, but without needing to apply and be granted a licence. In Australia, general licences have been established to help manage some low-risk activities, including use of the radiofrequency spectrum, grazing on public land and for ships engaging in coastal trading.</w:t>
      </w:r>
    </w:p>
    <w:p w:rsidR="00D52745" w:rsidRPr="006A74F8" w:rsidRDefault="00D52745" w:rsidP="00D52745">
      <w:r w:rsidRPr="006A74F8">
        <w:t>General licences could be appropriate to accommodate new types of measurement activities or services in the future. This approach could be used to provide for a lower level of regulatory oversight compared to other types of licences or appointment</w:t>
      </w:r>
      <w:r w:rsidR="0057330E">
        <w:t xml:space="preserve">. There would be </w:t>
      </w:r>
      <w:r w:rsidRPr="006A74F8">
        <w:t>no associated licence fee a</w:t>
      </w:r>
      <w:r w:rsidR="0057330E">
        <w:t>nd reduced administrative costs, but</w:t>
      </w:r>
      <w:r w:rsidRPr="006A74F8">
        <w:t xml:space="preserve"> mandatory requirements would still </w:t>
      </w:r>
      <w:r w:rsidR="0057330E">
        <w:t>apply</w:t>
      </w:r>
      <w:r w:rsidRPr="006A74F8">
        <w:t xml:space="preserve"> </w:t>
      </w:r>
      <w:r w:rsidR="0057330E">
        <w:t xml:space="preserve">to be able </w:t>
      </w:r>
      <w:r w:rsidRPr="006A74F8">
        <w:t xml:space="preserve">to perform functions under a general licence. </w:t>
      </w:r>
    </w:p>
    <w:p w:rsidR="00D52745" w:rsidRPr="006A74F8" w:rsidRDefault="00D52745" w:rsidP="00D52745">
      <w:pPr>
        <w:pStyle w:val="Heading4"/>
      </w:pPr>
      <w:r w:rsidRPr="006A74F8">
        <w:t>Public Weighbridges</w:t>
      </w:r>
    </w:p>
    <w:p w:rsidR="00D52745" w:rsidRPr="006A74F8" w:rsidRDefault="00D52745" w:rsidP="00D52745">
      <w:r w:rsidRPr="006A74F8">
        <w:t xml:space="preserve">Public weighbridges require a licence to operate and are the only measuring instrument under the measurement legislation that currently requires an appropriately qualified operator. During consultations, views were expressed that: </w:t>
      </w:r>
    </w:p>
    <w:p w:rsidR="00D52745" w:rsidRPr="006A74F8" w:rsidRDefault="00D52745" w:rsidP="00D52745">
      <w:pPr>
        <w:pStyle w:val="ListParagraph"/>
        <w:numPr>
          <w:ilvl w:val="0"/>
          <w:numId w:val="55"/>
        </w:numPr>
        <w:spacing w:after="120" w:line="240" w:lineRule="auto"/>
        <w:rPr>
          <w:rFonts w:eastAsia="Arial" w:cs="Arial"/>
          <w:color w:val="222222"/>
        </w:rPr>
      </w:pPr>
      <w:r w:rsidRPr="006A74F8">
        <w:rPr>
          <w:rFonts w:eastAsia="Arial" w:cs="Arial"/>
          <w:color w:val="222222"/>
        </w:rPr>
        <w:t>the legislation for public weighbridges is prescriptive;</w:t>
      </w:r>
    </w:p>
    <w:p w:rsidR="00D52745" w:rsidRPr="006A74F8" w:rsidRDefault="00D52745" w:rsidP="00D52745">
      <w:pPr>
        <w:pStyle w:val="ListParagraph"/>
        <w:numPr>
          <w:ilvl w:val="0"/>
          <w:numId w:val="55"/>
        </w:numPr>
        <w:spacing w:after="120" w:line="240" w:lineRule="auto"/>
        <w:rPr>
          <w:rFonts w:eastAsia="Arial" w:cs="Arial"/>
          <w:color w:val="222222"/>
        </w:rPr>
      </w:pPr>
      <w:r w:rsidRPr="006A74F8">
        <w:rPr>
          <w:rFonts w:eastAsia="Arial" w:cs="Arial"/>
          <w:color w:val="222222"/>
        </w:rPr>
        <w:t xml:space="preserve">public weighbridges need to be subject to continued licensing with strong and transparent obligations to provide confidence in the system, noting the </w:t>
      </w:r>
      <w:r w:rsidRPr="006A74F8">
        <w:t>role that public weighbridges play in relation to road safety, and the waste and recycling trade</w:t>
      </w:r>
      <w:r w:rsidRPr="006A74F8">
        <w:rPr>
          <w:rFonts w:eastAsia="Arial" w:cs="Arial"/>
          <w:color w:val="222222"/>
        </w:rPr>
        <w:t>; and</w:t>
      </w:r>
    </w:p>
    <w:p w:rsidR="00D52745" w:rsidRPr="006A74F8" w:rsidRDefault="00D52745" w:rsidP="00D52745">
      <w:pPr>
        <w:pStyle w:val="ListParagraph"/>
        <w:numPr>
          <w:ilvl w:val="0"/>
          <w:numId w:val="55"/>
        </w:numPr>
        <w:spacing w:after="120" w:line="240" w:lineRule="auto"/>
        <w:rPr>
          <w:rFonts w:eastAsia="Arial" w:cs="Arial"/>
          <w:color w:val="222222"/>
        </w:rPr>
      </w:pPr>
      <w:r w:rsidRPr="006A74F8">
        <w:rPr>
          <w:rFonts w:eastAsia="Arial" w:cs="Arial"/>
          <w:color w:val="222222"/>
        </w:rPr>
        <w:t xml:space="preserve">there is a general perception that the licensing requirements for public weighbridges have created an uneven playing field between public weighbridges and those used for trade. </w:t>
      </w:r>
    </w:p>
    <w:p w:rsidR="00D52745" w:rsidRPr="006A74F8" w:rsidRDefault="00D52745" w:rsidP="00D52745">
      <w:r w:rsidRPr="006A74F8">
        <w:t xml:space="preserve">For </w:t>
      </w:r>
      <w:r w:rsidRPr="006A74F8">
        <w:rPr>
          <w:b/>
        </w:rPr>
        <w:t>all options</w:t>
      </w:r>
      <w:r w:rsidRPr="006A74F8">
        <w:t xml:space="preserve"> the operation of</w:t>
      </w:r>
      <w:r w:rsidRPr="006A74F8">
        <w:rPr>
          <w:b/>
        </w:rPr>
        <w:t xml:space="preserve"> </w:t>
      </w:r>
      <w:r w:rsidRPr="006A74F8">
        <w:t xml:space="preserve">public weighbridges will continue to be subject to a </w:t>
      </w:r>
      <w:r w:rsidR="00E3151F" w:rsidRPr="006A74F8">
        <w:t>public weighbridge licence,</w:t>
      </w:r>
      <w:r w:rsidRPr="006A74F8">
        <w:t xml:space="preserve"> </w:t>
      </w:r>
      <w:r w:rsidR="00246880" w:rsidRPr="006A74F8">
        <w:t>w</w:t>
      </w:r>
      <w:r w:rsidR="00E3151F" w:rsidRPr="006A74F8">
        <w:t>ith appointment and competency requirements remaining largely the same. Regulatory r</w:t>
      </w:r>
      <w:r w:rsidRPr="006A74F8">
        <w:t xml:space="preserve">equirements for public weighbridges and operators </w:t>
      </w:r>
      <w:r w:rsidR="00E3151F" w:rsidRPr="006A74F8">
        <w:t>will</w:t>
      </w:r>
      <w:r w:rsidRPr="006A74F8">
        <w:t xml:space="preserve"> be simplified and made more principles-based, with </w:t>
      </w:r>
      <w:r w:rsidR="00E3151F" w:rsidRPr="006A74F8">
        <w:t>supplementary</w:t>
      </w:r>
      <w:r w:rsidRPr="006A74F8">
        <w:t xml:space="preserve"> guidance </w:t>
      </w:r>
      <w:r w:rsidR="00E3151F" w:rsidRPr="006A74F8">
        <w:t>material</w:t>
      </w:r>
      <w:r w:rsidRPr="006A74F8">
        <w:t xml:space="preserve"> provided by NMI to assist operation. </w:t>
      </w:r>
    </w:p>
    <w:p w:rsidR="00D52745" w:rsidRPr="006A74F8" w:rsidRDefault="00D52745" w:rsidP="00D52745">
      <w:pPr>
        <w:pStyle w:val="Heading4"/>
      </w:pPr>
      <w:r w:rsidRPr="006A74F8">
        <w:t>Reporting requirements for Utility Meter Verifiers and Legal Metrology Authorities (LMAs)</w:t>
      </w:r>
    </w:p>
    <w:p w:rsidR="00D52745" w:rsidRPr="006A74F8" w:rsidRDefault="00D52745" w:rsidP="00D52745">
      <w:r w:rsidRPr="006A74F8">
        <w:t>Currently, UMVs and LMAs report on the activities they perform at the request of the NMI, rather than being subject to routine reporting requirements. A lack of regular reporting impacts NMI’s access to the necessary data and information to help identify ATPs that might not be delivering reliable measurement outcomes. New regular reporting requirements for some ATPs will provide greater transparency of ATP activities.</w:t>
      </w:r>
    </w:p>
    <w:p w:rsidR="00D52745" w:rsidRPr="006A74F8" w:rsidRDefault="00D52745" w:rsidP="00D52745">
      <w:r w:rsidRPr="006A74F8">
        <w:t xml:space="preserve">The changes to reporting requirements would require UMVs (under </w:t>
      </w:r>
      <w:r w:rsidRPr="006A74F8">
        <w:rPr>
          <w:b/>
        </w:rPr>
        <w:t>all options</w:t>
      </w:r>
      <w:r w:rsidRPr="006A74F8">
        <w:t xml:space="preserve">) and LMAs (under </w:t>
      </w:r>
      <w:r w:rsidRPr="006A74F8">
        <w:rPr>
          <w:b/>
        </w:rPr>
        <w:t>options 2 and 3</w:t>
      </w:r>
      <w:r w:rsidRPr="006A74F8">
        <w:t>) to routinely submit data after performing measurement activities (such as meter verification or reference standard certification). This would align reporting requirements to those in place for Servicing Licensees, who are required to report on an ongoing basis after perf</w:t>
      </w:r>
      <w:r w:rsidR="00A56A44" w:rsidRPr="006A74F8">
        <w:t>orming measurement activities.</w:t>
      </w:r>
    </w:p>
    <w:p w:rsidR="009C0C4A" w:rsidRPr="006A74F8" w:rsidRDefault="00D52745" w:rsidP="00A56A44">
      <w:r w:rsidRPr="006A74F8">
        <w:t xml:space="preserve">Proposed changes under the different options would be implemented following a transition period and development of an appropriate reporting framework. Reporting efficiencies will likely depend on the level of sophistication of the reporting framework. During the transition period UMVs (under </w:t>
      </w:r>
      <w:r w:rsidRPr="006A74F8">
        <w:rPr>
          <w:b/>
        </w:rPr>
        <w:t>all options</w:t>
      </w:r>
      <w:r w:rsidRPr="006A74F8">
        <w:t xml:space="preserve">) and LMAs (under </w:t>
      </w:r>
      <w:r w:rsidRPr="006A74F8">
        <w:rPr>
          <w:b/>
        </w:rPr>
        <w:t>options 2 and 3</w:t>
      </w:r>
      <w:r w:rsidRPr="006A74F8">
        <w:t>)</w:t>
      </w:r>
      <w:r w:rsidRPr="006A74F8">
        <w:rPr>
          <w:b/>
        </w:rPr>
        <w:t xml:space="preserve"> </w:t>
      </w:r>
      <w:r w:rsidRPr="006A74F8">
        <w:t>would continue to be required to report ad hoc at NMI’s request.</w:t>
      </w:r>
    </w:p>
    <w:p w:rsidR="00D3740F" w:rsidRPr="006A74F8" w:rsidRDefault="00D3740F" w:rsidP="00A56A44">
      <w:pPr>
        <w:pStyle w:val="Heading3"/>
        <w:spacing w:after="160"/>
      </w:pPr>
      <w:bookmarkStart w:id="1406" w:name="_Expanding_scope_of"/>
      <w:bookmarkEnd w:id="1406"/>
      <w:r w:rsidRPr="006A74F8">
        <w:lastRenderedPageBreak/>
        <w:t xml:space="preserve">Expanding scope of coverage from shortfall to false </w:t>
      </w:r>
      <w:r w:rsidR="00B177BB" w:rsidRPr="006A74F8">
        <w:t xml:space="preserve">or </w:t>
      </w:r>
      <w:r w:rsidRPr="006A74F8">
        <w:t>misleading measurement statements</w:t>
      </w:r>
    </w:p>
    <w:p w:rsidR="00D3740F" w:rsidRPr="006A74F8" w:rsidRDefault="00D3740F" w:rsidP="00FD7AC9">
      <w:r w:rsidRPr="006A74F8">
        <w:t>The scope of coverage for shortfall</w:t>
      </w:r>
      <w:r w:rsidRPr="006A74F8">
        <w:rPr>
          <w:rStyle w:val="FootnoteReference"/>
        </w:rPr>
        <w:footnoteReference w:id="46"/>
      </w:r>
      <w:r w:rsidRPr="006A74F8">
        <w:t xml:space="preserve"> in the sale of goods (e.g. buying laundry powder at the supermarket) will expand across </w:t>
      </w:r>
      <w:r w:rsidRPr="006A74F8">
        <w:rPr>
          <w:b/>
        </w:rPr>
        <w:t>all options</w:t>
      </w:r>
      <w:r w:rsidRPr="006A74F8">
        <w:t xml:space="preserve"> to cover false </w:t>
      </w:r>
      <w:r w:rsidR="00B177BB" w:rsidRPr="006A74F8">
        <w:t xml:space="preserve">or </w:t>
      </w:r>
      <w:r w:rsidRPr="006A74F8">
        <w:t xml:space="preserve">misleading measurement statements. This updates the language used to reflect that used in comparable legislation, such as the </w:t>
      </w:r>
      <w:r w:rsidR="00E77C95" w:rsidRPr="006A74F8">
        <w:rPr>
          <w:i/>
        </w:rPr>
        <w:t xml:space="preserve">Australian Consumer Law </w:t>
      </w:r>
      <w:r w:rsidR="00E77C95" w:rsidRPr="006A74F8">
        <w:t>(ACL)</w:t>
      </w:r>
      <w:r w:rsidR="00E77C95" w:rsidRPr="006A74F8" w:rsidDel="00E77C95">
        <w:t xml:space="preserve"> </w:t>
      </w:r>
      <w:r w:rsidRPr="006A74F8">
        <w:t xml:space="preserve">and Food Standards legislation. While this change represents an expansion of scope of the current measurement legislation it should be noted that false </w:t>
      </w:r>
      <w:r w:rsidR="00B177BB" w:rsidRPr="006A74F8">
        <w:t xml:space="preserve">or </w:t>
      </w:r>
      <w:r w:rsidRPr="006A74F8">
        <w:t xml:space="preserve">misleading statements are generally prohibited under the </w:t>
      </w:r>
      <w:r w:rsidR="00E77C95" w:rsidRPr="006A74F8">
        <w:t>ACL</w:t>
      </w:r>
      <w:r w:rsidRPr="006A74F8">
        <w:t>.</w:t>
      </w:r>
    </w:p>
    <w:p w:rsidR="00D3740F" w:rsidRPr="006A74F8" w:rsidRDefault="00501502" w:rsidP="0055445D">
      <w:pPr>
        <w:pStyle w:val="ListParagraph"/>
        <w:numPr>
          <w:ilvl w:val="0"/>
          <w:numId w:val="42"/>
        </w:numPr>
      </w:pPr>
      <w:r w:rsidRPr="006A74F8">
        <w:rPr>
          <w:b/>
        </w:rPr>
        <w:t>O</w:t>
      </w:r>
      <w:r w:rsidR="00D3740F" w:rsidRPr="006A74F8">
        <w:rPr>
          <w:b/>
        </w:rPr>
        <w:t xml:space="preserve">ption 1 </w:t>
      </w:r>
      <w:r w:rsidR="00D3740F" w:rsidRPr="006A74F8">
        <w:t>expands the scope further to include the sale and purchase (e.g. can and bottle recycling</w:t>
      </w:r>
      <w:r w:rsidR="00C83603" w:rsidRPr="006A74F8">
        <w:t>, gold buying and scrap metal recycling</w:t>
      </w:r>
      <w:r w:rsidR="00D3740F" w:rsidRPr="006A74F8">
        <w:t xml:space="preserve">) of goods. The type of measurements that will be regulated under </w:t>
      </w:r>
      <w:r w:rsidR="00D3740F" w:rsidRPr="006A74F8">
        <w:rPr>
          <w:b/>
        </w:rPr>
        <w:t>option 1</w:t>
      </w:r>
      <w:r w:rsidR="00D3740F" w:rsidRPr="006A74F8">
        <w:t xml:space="preserve"> for the purposes of false </w:t>
      </w:r>
      <w:r w:rsidR="00B177BB" w:rsidRPr="006A74F8">
        <w:t xml:space="preserve">or </w:t>
      </w:r>
      <w:r w:rsidR="00D3740F" w:rsidRPr="006A74F8">
        <w:t>misleading measurement statements remains the same as under the status quo.</w:t>
      </w:r>
    </w:p>
    <w:p w:rsidR="00D3740F" w:rsidRPr="006A74F8" w:rsidRDefault="00D3740F" w:rsidP="0055445D">
      <w:pPr>
        <w:pStyle w:val="ListParagraph"/>
        <w:numPr>
          <w:ilvl w:val="0"/>
          <w:numId w:val="42"/>
        </w:numPr>
      </w:pPr>
      <w:r w:rsidRPr="006A74F8">
        <w:t xml:space="preserve">Under </w:t>
      </w:r>
      <w:r w:rsidRPr="006A74F8">
        <w:rPr>
          <w:b/>
        </w:rPr>
        <w:t xml:space="preserve">option 2 </w:t>
      </w:r>
      <w:r w:rsidRPr="006A74F8">
        <w:t xml:space="preserve">scope is further expanded to include the sale and purchase of both goods and services (e.g. paying a fee for </w:t>
      </w:r>
      <w:r w:rsidR="00C91D1B" w:rsidRPr="006A74F8">
        <w:t>a courier</w:t>
      </w:r>
      <w:r w:rsidRPr="006A74F8">
        <w:t xml:space="preserve"> based on the measurement of a package</w:t>
      </w:r>
      <w:r w:rsidR="0037559A" w:rsidRPr="006A74F8">
        <w:t>, paying for the removal of waste based on the measurement of the waste</w:t>
      </w:r>
      <w:r w:rsidRPr="006A74F8">
        <w:t xml:space="preserve">). </w:t>
      </w:r>
      <w:r w:rsidR="00501502" w:rsidRPr="006A74F8">
        <w:rPr>
          <w:b/>
        </w:rPr>
        <w:t>O</w:t>
      </w:r>
      <w:r w:rsidRPr="006A74F8">
        <w:rPr>
          <w:b/>
        </w:rPr>
        <w:t xml:space="preserve">ption 2 </w:t>
      </w:r>
      <w:r w:rsidR="00303E8E" w:rsidRPr="006A74F8">
        <w:t>also</w:t>
      </w:r>
      <w:r w:rsidRPr="006A74F8">
        <w:t xml:space="preserve"> includes a broader approach to measurement in the overall legislative framework (e.g. to accommodate greater inclusion of chemical and biological measurements for legal purposes). Under this option the application of regulatory requirements, such as those for false </w:t>
      </w:r>
      <w:r w:rsidR="00B177BB" w:rsidRPr="006A74F8">
        <w:t xml:space="preserve">or </w:t>
      </w:r>
      <w:r w:rsidRPr="006A74F8">
        <w:t>misleading measurement statements, will be clearly restricted to trade measurement applications.</w:t>
      </w:r>
    </w:p>
    <w:p w:rsidR="00D3740F" w:rsidRPr="006A74F8" w:rsidRDefault="00501502" w:rsidP="0055445D">
      <w:pPr>
        <w:pStyle w:val="ListParagraph"/>
        <w:numPr>
          <w:ilvl w:val="0"/>
          <w:numId w:val="42"/>
        </w:numPr>
      </w:pPr>
      <w:r w:rsidRPr="006A74F8">
        <w:rPr>
          <w:b/>
        </w:rPr>
        <w:t>O</w:t>
      </w:r>
      <w:r w:rsidR="00D3740F" w:rsidRPr="006A74F8">
        <w:rPr>
          <w:b/>
        </w:rPr>
        <w:t>ption</w:t>
      </w:r>
      <w:r w:rsidR="00D3740F" w:rsidRPr="006A74F8">
        <w:t xml:space="preserve"> </w:t>
      </w:r>
      <w:r w:rsidR="00D3740F" w:rsidRPr="006A74F8">
        <w:rPr>
          <w:b/>
        </w:rPr>
        <w:t>3</w:t>
      </w:r>
      <w:r w:rsidR="00D3740F" w:rsidRPr="006A74F8">
        <w:t xml:space="preserve"> would also cover false </w:t>
      </w:r>
      <w:r w:rsidR="00B177BB" w:rsidRPr="006A74F8">
        <w:t xml:space="preserve">or </w:t>
      </w:r>
      <w:r w:rsidR="00D3740F" w:rsidRPr="006A74F8">
        <w:t xml:space="preserve">misleading statements in the sale and purchase of goods and services. Measurement would be broad enough to cover not only trade measurement applications, but also other measurement applications. Regulation of false </w:t>
      </w:r>
      <w:r w:rsidR="00B177BB" w:rsidRPr="006A74F8">
        <w:t xml:space="preserve">or </w:t>
      </w:r>
      <w:r w:rsidR="00D3740F" w:rsidRPr="006A74F8">
        <w:t>misleading measurement statements would automatically be covered for trade measurement applications. Where needed, a mechanism in the legislation would enable exten</w:t>
      </w:r>
      <w:r w:rsidR="00990CC8" w:rsidRPr="006A74F8">
        <w:t>sion</w:t>
      </w:r>
      <w:r w:rsidR="00D3740F" w:rsidRPr="006A74F8">
        <w:t xml:space="preserve"> </w:t>
      </w:r>
      <w:r w:rsidR="00990CC8" w:rsidRPr="006A74F8">
        <w:t>of</w:t>
      </w:r>
      <w:r w:rsidR="00D3740F" w:rsidRPr="006A74F8">
        <w:t xml:space="preserve"> regulatory coverage to other measurement applications. </w:t>
      </w:r>
    </w:p>
    <w:p w:rsidR="00D52745" w:rsidRPr="006A74F8" w:rsidRDefault="00D52745" w:rsidP="00D52745">
      <w:pPr>
        <w:pStyle w:val="Heading3"/>
      </w:pPr>
      <w:r w:rsidRPr="006A74F8">
        <w:t>Changes to requirements for use of alternative units of measurement and use of measuring instruments</w:t>
      </w:r>
    </w:p>
    <w:p w:rsidR="00D52745" w:rsidRPr="006A74F8" w:rsidRDefault="00D52745" w:rsidP="00D52745">
      <w:r w:rsidRPr="006A74F8">
        <w:t>Where goods are being sold by reference to measurement (e.g. 1 kg of apples, 2 L of milk, 2.5 metres of rope or 4 avocados) there</w:t>
      </w:r>
      <w:r w:rsidR="00101769" w:rsidRPr="006A74F8">
        <w:t xml:space="preserve"> i</w:t>
      </w:r>
      <w:r w:rsidRPr="006A74F8">
        <w:t xml:space="preserve">s a tension that needs to be balanced, between providing consistency in the measurement units used for packaged and non-packaged products, and providing flexibility to enable businesses to adapt to changing industry practices and consumer preferences. </w:t>
      </w:r>
    </w:p>
    <w:p w:rsidR="00D52745" w:rsidRPr="006A74F8" w:rsidRDefault="00D52745" w:rsidP="00D52745">
      <w:r w:rsidRPr="006A74F8">
        <w:t xml:space="preserve">Under </w:t>
      </w:r>
      <w:r w:rsidRPr="006A74F8">
        <w:rPr>
          <w:b/>
        </w:rPr>
        <w:t xml:space="preserve">all reform options </w:t>
      </w:r>
      <w:r w:rsidRPr="006A74F8">
        <w:t xml:space="preserve">a measurement representation must be made available to the purchaser at the time of sale (including online transactions), unless the purchaser is present and able to witness the measurement process. </w:t>
      </w:r>
      <w:r w:rsidR="00303E8E" w:rsidRPr="006A74F8">
        <w:t xml:space="preserve">While this will cover transactions such as online and catalogue sales, it will not extend to advertising products. </w:t>
      </w:r>
      <w:r w:rsidR="00B65BD2" w:rsidRPr="006A74F8">
        <w:t>At this point in time, s</w:t>
      </w:r>
      <w:r w:rsidR="00303E8E" w:rsidRPr="006A74F8">
        <w:t xml:space="preserve">uch an expansion </w:t>
      </w:r>
      <w:r w:rsidR="00B65BD2" w:rsidRPr="006A74F8">
        <w:t>is considered</w:t>
      </w:r>
      <w:r w:rsidR="00303E8E" w:rsidRPr="006A74F8">
        <w:t xml:space="preserve"> an unnecessary increase in scope and associated regulatory burden on industry</w:t>
      </w:r>
      <w:r w:rsidR="00087BE6" w:rsidRPr="006A74F8">
        <w:t>,</w:t>
      </w:r>
      <w:r w:rsidR="00303E8E" w:rsidRPr="006A74F8">
        <w:t xml:space="preserve"> presenting no demonstrated benefit to consumers.</w:t>
      </w:r>
      <w:r w:rsidR="00B65BD2" w:rsidRPr="006A74F8">
        <w:rPr>
          <w:rStyle w:val="FootnoteReference"/>
        </w:rPr>
        <w:footnoteReference w:id="47"/>
      </w:r>
      <w:r w:rsidR="00B65BD2" w:rsidRPr="006A74F8">
        <w:t xml:space="preserve"> </w:t>
      </w:r>
    </w:p>
    <w:p w:rsidR="00D52745" w:rsidRPr="006A74F8" w:rsidRDefault="00D52745" w:rsidP="00D52745">
      <w:pPr>
        <w:pStyle w:val="ListParagraph"/>
        <w:numPr>
          <w:ilvl w:val="0"/>
          <w:numId w:val="147"/>
        </w:numPr>
        <w:spacing w:after="120"/>
        <w:ind w:left="714" w:hanging="357"/>
        <w:contextualSpacing w:val="0"/>
      </w:pPr>
      <w:r w:rsidRPr="006A74F8">
        <w:rPr>
          <w:b/>
        </w:rPr>
        <w:lastRenderedPageBreak/>
        <w:t>Packaged products</w:t>
      </w:r>
      <w:r w:rsidRPr="006A74F8">
        <w:t xml:space="preserve"> will continue to require a net measurement mark on the package. For example, when purchasing a packaged product online it would be sufficient to state the measurement in the title or description of the product. The photo of the product would not necessarily have to show the measurement mark. However the package itself would need to be marked with a measurement. </w:t>
      </w:r>
    </w:p>
    <w:p w:rsidR="00D52745" w:rsidRPr="006A74F8" w:rsidRDefault="00D52745" w:rsidP="00D52745">
      <w:pPr>
        <w:pStyle w:val="ListParagraph"/>
        <w:numPr>
          <w:ilvl w:val="0"/>
          <w:numId w:val="147"/>
        </w:numPr>
      </w:pPr>
      <w:r w:rsidRPr="006A74F8">
        <w:t xml:space="preserve">For </w:t>
      </w:r>
      <w:r w:rsidRPr="006A74F8">
        <w:rPr>
          <w:b/>
        </w:rPr>
        <w:t>non-packaged products</w:t>
      </w:r>
      <w:r w:rsidRPr="006A74F8">
        <w:t xml:space="preserve"> the measurement statement will be acceptable as either a statement of the net measurement, or the unit price and total price (from which the net measurement could be calculated). The principle </w:t>
      </w:r>
      <w:r w:rsidR="00101769" w:rsidRPr="006A74F8">
        <w:t>behind</w:t>
      </w:r>
      <w:r w:rsidRPr="006A74F8">
        <w:t xml:space="preserve"> some existing requirements relating to the use of measurement units will be preserved, but the specific detail may be simplified so that requirements are easier to understand for business and consumers. This includes requirements for products to be sold by a particular unit price (e.g. per kg when sold by mass) and permissible units of measurement.</w:t>
      </w:r>
    </w:p>
    <w:p w:rsidR="00D52745" w:rsidRPr="006A74F8" w:rsidRDefault="00D52745" w:rsidP="00D52745">
      <w:pPr>
        <w:shd w:val="clear" w:color="auto" w:fill="C3E8EC" w:themeFill="accent5" w:themeFillTint="99"/>
        <w:jc w:val="center"/>
        <w:rPr>
          <w:rFonts w:asciiTheme="majorHAnsi" w:eastAsiaTheme="majorEastAsia" w:hAnsiTheme="majorHAnsi" w:cstheme="majorBidi"/>
          <w:sz w:val="24"/>
          <w:szCs w:val="28"/>
        </w:rPr>
      </w:pPr>
      <w:r w:rsidRPr="006A74F8">
        <w:rPr>
          <w:rFonts w:asciiTheme="majorHAnsi" w:eastAsiaTheme="majorEastAsia" w:hAnsiTheme="majorHAnsi" w:cstheme="majorBidi"/>
          <w:sz w:val="24"/>
          <w:szCs w:val="28"/>
        </w:rPr>
        <w:t>Example – Consumer preference</w:t>
      </w:r>
    </w:p>
    <w:p w:rsidR="00D52745" w:rsidRPr="006A74F8" w:rsidRDefault="00D52745" w:rsidP="00D52745">
      <w:pPr>
        <w:shd w:val="clear" w:color="auto" w:fill="C3E8EC" w:themeFill="accent5" w:themeFillTint="99"/>
      </w:pPr>
      <w:r w:rsidRPr="006A74F8">
        <w:t>There are certain products, such as avocados and mangos that consumers would generally prefer to purchase by count rather than per kg when packaged. These are currently permitted to be sold by count through inclusion in the Secretary’s List</w:t>
      </w:r>
      <w:r w:rsidR="00101769" w:rsidRPr="006A74F8">
        <w:t>. H</w:t>
      </w:r>
      <w:r w:rsidRPr="006A74F8">
        <w:t xml:space="preserve">owever in order for businesses to have products added to this list, the </w:t>
      </w:r>
      <w:r w:rsidR="00101769" w:rsidRPr="006A74F8">
        <w:t xml:space="preserve">current legislation requires the </w:t>
      </w:r>
      <w:r w:rsidRPr="006A74F8">
        <w:t xml:space="preserve">majority of businesses </w:t>
      </w:r>
      <w:r w:rsidR="00101769" w:rsidRPr="006A74F8">
        <w:t>to</w:t>
      </w:r>
      <w:r w:rsidRPr="006A74F8">
        <w:t xml:space="preserve"> first be in breach of requirements.</w:t>
      </w:r>
      <w:r w:rsidR="00E619CB" w:rsidRPr="006A74F8">
        <w:t xml:space="preserve"> </w:t>
      </w:r>
      <w:r w:rsidR="00BC5C38" w:rsidRPr="006A74F8">
        <w:t>This limits the flexibility of business to respond to changing purchasing preferences.</w:t>
      </w:r>
    </w:p>
    <w:p w:rsidR="00D52745" w:rsidRPr="006A74F8" w:rsidRDefault="00D52745" w:rsidP="00D52745">
      <w:pPr>
        <w:spacing w:before="120" w:after="120" w:line="240" w:lineRule="auto"/>
      </w:pPr>
      <w:r w:rsidRPr="006A74F8">
        <w:rPr>
          <w:b/>
        </w:rPr>
        <w:t>Option 1</w:t>
      </w:r>
      <w:r w:rsidRPr="006A74F8">
        <w:t xml:space="preserve"> will streamline requirements relating to the unit of measurement used for packaged products and retain current requirements for non-packaged products: </w:t>
      </w:r>
    </w:p>
    <w:p w:rsidR="00D52745" w:rsidRPr="006A74F8" w:rsidRDefault="00D52745" w:rsidP="00D52745">
      <w:pPr>
        <w:pStyle w:val="ListParagraph"/>
        <w:numPr>
          <w:ilvl w:val="0"/>
          <w:numId w:val="148"/>
        </w:numPr>
        <w:spacing w:before="120" w:after="120" w:line="240" w:lineRule="auto"/>
        <w:ind w:left="714" w:hanging="357"/>
        <w:contextualSpacing w:val="0"/>
      </w:pPr>
      <w:r w:rsidRPr="006A74F8">
        <w:rPr>
          <w:b/>
        </w:rPr>
        <w:t>Packaged products</w:t>
      </w:r>
      <w:r w:rsidRPr="006A74F8">
        <w:t>: Simplifying and refinement of the current approach (‘Secretary’s list’) to allow alternative units of measurement to be used (e.g. weight, volume, count, linear measurement, etc.) for packaged products. Additional rules regarding the required use of a particular unit of measurement could also be introduced, where a need is identified.</w:t>
      </w:r>
    </w:p>
    <w:p w:rsidR="00D52745" w:rsidRPr="006A74F8" w:rsidRDefault="00D52745" w:rsidP="00D52745">
      <w:pPr>
        <w:pStyle w:val="ListParagraph"/>
        <w:numPr>
          <w:ilvl w:val="0"/>
          <w:numId w:val="148"/>
        </w:numPr>
        <w:spacing w:before="120" w:after="120" w:line="240" w:lineRule="auto"/>
      </w:pPr>
      <w:r w:rsidRPr="006A74F8">
        <w:rPr>
          <w:b/>
        </w:rPr>
        <w:t>Non-packaged products</w:t>
      </w:r>
      <w:r w:rsidRPr="006A74F8">
        <w:t xml:space="preserve">: Requirements for unit of measurement for non-packaged products would remain as per the </w:t>
      </w:r>
      <w:r w:rsidRPr="006A74F8">
        <w:rPr>
          <w:b/>
        </w:rPr>
        <w:t>status quo</w:t>
      </w:r>
      <w:r w:rsidRPr="006A74F8">
        <w:t xml:space="preserve"> and would include the ability to introduce requirements that certain non-packaged products be sold by a particular unit of measurement, where needed. Introduction of any new requirements for non-packaged products to be sold by a particular unit of measurement would be through a separate process in the future.</w:t>
      </w:r>
    </w:p>
    <w:p w:rsidR="00D52745" w:rsidRPr="006A74F8" w:rsidRDefault="00D52745" w:rsidP="00D52745">
      <w:pPr>
        <w:spacing w:before="120" w:after="120" w:line="240" w:lineRule="auto"/>
      </w:pPr>
      <w:r w:rsidRPr="006A74F8">
        <w:rPr>
          <w:b/>
        </w:rPr>
        <w:t>Options 2 and 3</w:t>
      </w:r>
      <w:r w:rsidRPr="006A74F8">
        <w:t xml:space="preserve"> will shift requirements relating to the unit of measurement used to a principles-based approach:</w:t>
      </w:r>
    </w:p>
    <w:p w:rsidR="00D52745" w:rsidRPr="006A74F8" w:rsidRDefault="00D52745" w:rsidP="00D52745">
      <w:pPr>
        <w:pStyle w:val="ListParagraph"/>
        <w:numPr>
          <w:ilvl w:val="0"/>
          <w:numId w:val="148"/>
        </w:numPr>
        <w:spacing w:before="120" w:after="120" w:line="240" w:lineRule="auto"/>
        <w:ind w:left="714" w:hanging="357"/>
        <w:contextualSpacing w:val="0"/>
      </w:pPr>
      <w:r w:rsidRPr="006A74F8">
        <w:rPr>
          <w:b/>
        </w:rPr>
        <w:t>Packaged products</w:t>
      </w:r>
      <w:r w:rsidRPr="006A74F8">
        <w:t>: Requirements regarding the unit of measurement used will align with those in OIML Recommendation 79.</w:t>
      </w:r>
      <w:r w:rsidRPr="006A74F8">
        <w:rPr>
          <w:vertAlign w:val="superscript"/>
        </w:rPr>
        <w:footnoteReference w:id="48"/>
      </w:r>
      <w:r w:rsidRPr="006A74F8">
        <w:t xml:space="preserve"> This adopts a more principles-based approach to the unit of measurement used for packaged products, rather than relying on an approval process. This would include default units such as volume for liquid and mass for solid, but also allow for “</w:t>
      </w:r>
      <w:r w:rsidRPr="006A74F8">
        <w:rPr>
          <w:i/>
        </w:rPr>
        <w:t>quantities based firmly on established general consumer usage and trade custom if such quantities provide adequate information to the purchaser</w:t>
      </w:r>
      <w:r w:rsidRPr="006A74F8">
        <w:t xml:space="preserve">” (for example, linear measurement, semi-solid or viscous product by volume, or number, may be used where it meets this requirement). NMI would issue guidance material to help explain this requirement. Similar to </w:t>
      </w:r>
      <w:r w:rsidRPr="006A74F8">
        <w:rPr>
          <w:b/>
        </w:rPr>
        <w:t>option 1</w:t>
      </w:r>
      <w:r w:rsidRPr="006A74F8">
        <w:t>, a mechanism would exist to enable introduction of additional rules regarding the required use of a particular unit of measurement, where a need is identified.</w:t>
      </w:r>
    </w:p>
    <w:p w:rsidR="00D52745" w:rsidRPr="006A74F8" w:rsidRDefault="00D52745" w:rsidP="00D52745">
      <w:pPr>
        <w:pStyle w:val="ListParagraph"/>
        <w:numPr>
          <w:ilvl w:val="0"/>
          <w:numId w:val="148"/>
        </w:numPr>
        <w:spacing w:before="120" w:after="120" w:line="240" w:lineRule="auto"/>
      </w:pPr>
      <w:r w:rsidRPr="006A74F8">
        <w:rPr>
          <w:b/>
        </w:rPr>
        <w:lastRenderedPageBreak/>
        <w:t>Non-packaged products</w:t>
      </w:r>
      <w:r w:rsidRPr="006A74F8">
        <w:t xml:space="preserve">: Retains the </w:t>
      </w:r>
      <w:r w:rsidRPr="006A74F8">
        <w:rPr>
          <w:b/>
        </w:rPr>
        <w:t>status quo</w:t>
      </w:r>
      <w:r w:rsidRPr="006A74F8">
        <w:t xml:space="preserve"> for non-packaged products regarding the unit of measurement used (as outlined in </w:t>
      </w:r>
      <w:r w:rsidRPr="006A74F8">
        <w:rPr>
          <w:b/>
        </w:rPr>
        <w:t>option 1</w:t>
      </w:r>
      <w:r w:rsidRPr="006A74F8">
        <w:t xml:space="preserve">) and includes the ability to introduce requirements that certain non-packaged products be sold by a particular method of measurement, where a need is identified. </w:t>
      </w:r>
    </w:p>
    <w:p w:rsidR="00D52745" w:rsidRPr="006A74F8" w:rsidRDefault="00D52745" w:rsidP="00D52745">
      <w:pPr>
        <w:spacing w:before="120" w:after="120" w:line="240" w:lineRule="auto"/>
        <w:rPr>
          <w:b/>
          <w:i/>
        </w:rPr>
      </w:pPr>
      <w:r w:rsidRPr="006A74F8">
        <w:rPr>
          <w:b/>
          <w:i/>
        </w:rPr>
        <w:t>Specific requirements for meat and alcohol</w:t>
      </w:r>
    </w:p>
    <w:p w:rsidR="00D52745" w:rsidRPr="006A74F8" w:rsidRDefault="00D52745" w:rsidP="00D52745">
      <w:pPr>
        <w:spacing w:before="120" w:after="120" w:line="240" w:lineRule="auto"/>
      </w:pPr>
      <w:r w:rsidRPr="006A74F8">
        <w:t xml:space="preserve">Existing requirements to sell meat by weight and certain types of alcohol by volume will be retained but simplified under </w:t>
      </w:r>
      <w:r w:rsidRPr="006A74F8">
        <w:rPr>
          <w:b/>
        </w:rPr>
        <w:t xml:space="preserve">all options </w:t>
      </w:r>
      <w:r w:rsidRPr="006A74F8">
        <w:t>so that they are easier to understand for business and consumers. The power to introduce requirements for certain goods to be sold by reference to measurement will also be retained.</w:t>
      </w:r>
    </w:p>
    <w:tbl>
      <w:tblPr>
        <w:tblStyle w:val="TableGrid"/>
        <w:tblW w:w="0" w:type="auto"/>
        <w:tblLook w:val="04A0" w:firstRow="1" w:lastRow="0" w:firstColumn="1" w:lastColumn="0" w:noHBand="0" w:noVBand="1"/>
      </w:tblPr>
      <w:tblGrid>
        <w:gridCol w:w="9017"/>
      </w:tblGrid>
      <w:tr w:rsidR="00D52745" w:rsidRPr="006A74F8" w:rsidTr="00CE3ECC">
        <w:tc>
          <w:tcPr>
            <w:tcW w:w="9017" w:type="dxa"/>
            <w:tcBorders>
              <w:top w:val="nil"/>
              <w:left w:val="nil"/>
              <w:bottom w:val="nil"/>
              <w:right w:val="nil"/>
            </w:tcBorders>
            <w:shd w:val="clear" w:color="auto" w:fill="C3E8EC" w:themeFill="accent5" w:themeFillTint="99"/>
          </w:tcPr>
          <w:p w:rsidR="00D52745" w:rsidRPr="006A74F8" w:rsidRDefault="00D52745" w:rsidP="00CE3ECC">
            <w:pPr>
              <w:spacing w:before="120" w:after="120"/>
            </w:pPr>
            <w:r w:rsidRPr="006A74F8">
              <w:t>Meat and alcohol requirements are expected to be reviewed in detail in future, following implementation of the Measurement Law Review. Reviewing these requirements will be subject to a separate consultation process and may include things such as:</w:t>
            </w:r>
          </w:p>
          <w:p w:rsidR="00D52745" w:rsidRPr="006A74F8" w:rsidRDefault="00D52745" w:rsidP="00CE3ECC">
            <w:pPr>
              <w:pStyle w:val="ListParagraph"/>
              <w:numPr>
                <w:ilvl w:val="0"/>
                <w:numId w:val="271"/>
              </w:numPr>
              <w:spacing w:before="120" w:after="120"/>
            </w:pPr>
            <w:r w:rsidRPr="006A74F8">
              <w:t>Whether the sale of meat needs to be subject to specific requirements</w:t>
            </w:r>
            <w:r w:rsidR="001337AA">
              <w:t>,</w:t>
            </w:r>
            <w:r w:rsidRPr="006A74F8">
              <w:t xml:space="preserve"> and how </w:t>
            </w:r>
            <w:r w:rsidR="00BC5C38" w:rsidRPr="006A74F8">
              <w:t xml:space="preserve">meat is </w:t>
            </w:r>
            <w:r w:rsidRPr="006A74F8">
              <w:t>defined</w:t>
            </w:r>
          </w:p>
          <w:p w:rsidR="00D52745" w:rsidRPr="006A74F8" w:rsidRDefault="00D52745" w:rsidP="00CE3ECC">
            <w:pPr>
              <w:pStyle w:val="ListParagraph"/>
              <w:numPr>
                <w:ilvl w:val="0"/>
                <w:numId w:val="271"/>
              </w:numPr>
              <w:spacing w:before="120" w:after="120"/>
            </w:pPr>
            <w:r w:rsidRPr="006A74F8">
              <w:t>Whether requirements for the sale of alcohol should be removed or expanded to include additional categories of alcohol</w:t>
            </w:r>
          </w:p>
        </w:tc>
      </w:tr>
    </w:tbl>
    <w:p w:rsidR="00D52745" w:rsidRPr="006A74F8" w:rsidRDefault="00D52745" w:rsidP="00D52745">
      <w:pPr>
        <w:spacing w:before="240" w:after="120"/>
        <w:rPr>
          <w:i/>
        </w:rPr>
      </w:pPr>
      <w:r w:rsidRPr="006A74F8">
        <w:rPr>
          <w:b/>
          <w:i/>
        </w:rPr>
        <w:t>Specific requirements for how measuring instruments are used</w:t>
      </w:r>
    </w:p>
    <w:p w:rsidR="00D52745" w:rsidRPr="006A74F8" w:rsidRDefault="00D52745" w:rsidP="00D52745">
      <w:pPr>
        <w:rPr>
          <w:bCs/>
        </w:rPr>
      </w:pPr>
      <w:r w:rsidRPr="006A74F8">
        <w:t xml:space="preserve">Across </w:t>
      </w:r>
      <w:r w:rsidRPr="006A74F8">
        <w:rPr>
          <w:b/>
        </w:rPr>
        <w:t>all reform options</w:t>
      </w:r>
      <w:r w:rsidRPr="006A74F8">
        <w:t>, requirements relating to the method of use of measuring instruments for trade will become more principles-based with minimal prescription retained as necessary. Also, where measuring instruments are used to pack random measurement packaged products, these instruments will need to comply with the same requirements applicable to measuring instruments used for over the counter transactions (e.g. trade approved and verified</w:t>
      </w:r>
      <w:r w:rsidRPr="006A74F8">
        <w:rPr>
          <w:bCs/>
        </w:rPr>
        <w:t>).</w:t>
      </w:r>
    </w:p>
    <w:p w:rsidR="007138AB" w:rsidRPr="006A74F8" w:rsidRDefault="00D52745" w:rsidP="00D52745">
      <w:pPr>
        <w:pStyle w:val="Heading3"/>
      </w:pPr>
      <w:r w:rsidRPr="006A74F8">
        <w:t xml:space="preserve"> </w:t>
      </w:r>
      <w:r w:rsidR="007138AB" w:rsidRPr="006A74F8">
        <w:t xml:space="preserve">A principles-based approach to marking packaged products </w:t>
      </w:r>
    </w:p>
    <w:p w:rsidR="007138AB" w:rsidRPr="006A74F8" w:rsidRDefault="007138AB" w:rsidP="007138AB">
      <w:r w:rsidRPr="006A74F8">
        <w:t>Where requirements in other economies do not align with those in Australia, this can lead to products being imported into Australia that do not meet domestic requirements. While the majority of products imported into Australia comply with domestic requirements, there are some products that do not have to meet the same prescriptive labelling requirements in the country in which they are packaged. For example, current Australian requirements align with those in international recommendation OIML R 79.</w:t>
      </w:r>
      <w:r w:rsidRPr="006A74F8">
        <w:rPr>
          <w:rStyle w:val="FootnoteReference"/>
        </w:rPr>
        <w:footnoteReference w:id="49"/>
      </w:r>
      <w:r w:rsidRPr="006A74F8">
        <w:t xml:space="preserve"> Despite this, there is sometimes a need to relabel imported products to satisfy Australian requirements as not all economies align with OIML R 79. In particular, cosmetic products imported from the European Union </w:t>
      </w:r>
      <w:r w:rsidR="00BD5E27" w:rsidRPr="006A74F8">
        <w:t>(and the UK)</w:t>
      </w:r>
      <w:r w:rsidRPr="006A74F8">
        <w:t xml:space="preserve"> </w:t>
      </w:r>
      <w:r w:rsidR="00A22B98" w:rsidRPr="006A74F8">
        <w:t>do not</w:t>
      </w:r>
      <w:r w:rsidRPr="006A74F8">
        <w:t xml:space="preserve"> have the measurement mark presented on the principal display panel. </w:t>
      </w:r>
    </w:p>
    <w:p w:rsidR="007138AB" w:rsidRPr="006A74F8" w:rsidRDefault="007138AB" w:rsidP="007138AB">
      <w:r w:rsidRPr="006A74F8">
        <w:t xml:space="preserve">Some industry groups have indicated that Australia’s prescriptive requirements are burdensome and, in the case of some imported goods (particularly </w:t>
      </w:r>
      <w:r w:rsidR="00AD3864" w:rsidRPr="006A74F8">
        <w:t xml:space="preserve">the category of </w:t>
      </w:r>
      <w:r w:rsidRPr="006A74F8">
        <w:t xml:space="preserve">cosmetics), come at an increased cost to relabel products for the Australian market. Because Australia is a small economy relative to other markets, packaging for some products is not always produced with the Australian market in mind. In industries where this is more common, products may have to be repackaged or relabelled in order to meet Australian requirements. </w:t>
      </w:r>
      <w:r w:rsidR="00064C51" w:rsidRPr="006A74F8">
        <w:t xml:space="preserve">Alternatively, </w:t>
      </w:r>
      <w:r w:rsidR="00193663" w:rsidRPr="006A74F8">
        <w:t>these perceived hurdles may mean that some</w:t>
      </w:r>
      <w:r w:rsidR="00064C51" w:rsidRPr="006A74F8">
        <w:t xml:space="preserve"> overseas businesses may choose not to export</w:t>
      </w:r>
      <w:r w:rsidR="00EB3D3A" w:rsidRPr="006A74F8">
        <w:t xml:space="preserve"> products</w:t>
      </w:r>
      <w:r w:rsidR="00064C51" w:rsidRPr="006A74F8">
        <w:t xml:space="preserve"> </w:t>
      </w:r>
      <w:r w:rsidR="00EB3D3A" w:rsidRPr="006A74F8">
        <w:t>to Australia, potentially resulting in reduced access to products for the Australian community.</w:t>
      </w:r>
    </w:p>
    <w:p w:rsidR="007138AB" w:rsidRPr="006A74F8" w:rsidRDefault="007138AB" w:rsidP="007138AB">
      <w:r w:rsidRPr="006A74F8">
        <w:lastRenderedPageBreak/>
        <w:t>Balancing these industry concerns are the concerns of consumers. Consumer associations have contended that the existing prescriptive regulations for the measurement mark allow consumers to easily access measurement information to assess value for money, ensure products are fit for purpose, and protect consumers from manufacturers downsizing products (related to value for money).</w:t>
      </w:r>
    </w:p>
    <w:p w:rsidR="007138AB" w:rsidRPr="006A74F8" w:rsidRDefault="007138AB" w:rsidP="007138AB">
      <w:r w:rsidRPr="006A74F8">
        <w:t>The approach to measurement marking under the reform options followed a consideration of</w:t>
      </w:r>
      <w:r w:rsidR="00BC2D13" w:rsidRPr="006A74F8">
        <w:t xml:space="preserve"> this</w:t>
      </w:r>
      <w:r w:rsidRPr="006A74F8">
        <w:t xml:space="preserve"> stakeholder feedback and submissions made both during the </w:t>
      </w:r>
      <w:r w:rsidR="0093578B" w:rsidRPr="006A74F8">
        <w:t>Measurement Law Review</w:t>
      </w:r>
      <w:r w:rsidRPr="006A74F8">
        <w:t xml:space="preserve"> and the Packaging Review</w:t>
      </w:r>
      <w:r w:rsidR="009F3CDF" w:rsidRPr="006A74F8">
        <w:t>,</w:t>
      </w:r>
      <w:r w:rsidR="009557F2" w:rsidRPr="006A74F8">
        <w:rPr>
          <w:rStyle w:val="FootnoteReference"/>
        </w:rPr>
        <w:footnoteReference w:id="50"/>
      </w:r>
      <w:r w:rsidRPr="006A74F8">
        <w:t xml:space="preserve"> and also a consideration of the impact of the Unit Pricing Code (UPC)</w:t>
      </w:r>
      <w:r w:rsidR="009F3CDF" w:rsidRPr="006A74F8">
        <w:t>.</w:t>
      </w:r>
      <w:r w:rsidR="006C37D1" w:rsidRPr="006A74F8">
        <w:rPr>
          <w:rStyle w:val="FootnoteReference"/>
        </w:rPr>
        <w:footnoteReference w:id="51"/>
      </w:r>
      <w:r w:rsidR="00132A8B" w:rsidRPr="006A74F8">
        <w:t xml:space="preserve"> While the UPC</w:t>
      </w:r>
      <w:r w:rsidRPr="006A74F8">
        <w:t xml:space="preserve"> does not have universal application across all package</w:t>
      </w:r>
      <w:r w:rsidR="0093578B" w:rsidRPr="006A74F8">
        <w:t>d</w:t>
      </w:r>
      <w:r w:rsidRPr="006A74F8">
        <w:t xml:space="preserve"> product purchases, where applicable it does enable consumers to quickly compare products of different sizes and brands in order to calculate which one offers the best value.</w:t>
      </w:r>
    </w:p>
    <w:p w:rsidR="00855191" w:rsidRPr="006A74F8" w:rsidRDefault="00855191" w:rsidP="00855191">
      <w:pPr>
        <w:pStyle w:val="Heading4"/>
      </w:pPr>
      <w:r w:rsidRPr="006A74F8">
        <w:t>How each option applies a principles-based approach</w:t>
      </w:r>
    </w:p>
    <w:p w:rsidR="00D73411" w:rsidRPr="006A74F8" w:rsidRDefault="00D73411" w:rsidP="003B5442">
      <w:pPr>
        <w:shd w:val="clear" w:color="auto" w:fill="D1EEFF" w:themeFill="accent2" w:themeFillTint="1A"/>
      </w:pPr>
      <w:r w:rsidRPr="006A74F8">
        <w:rPr>
          <w:b/>
        </w:rPr>
        <w:t xml:space="preserve">Note: </w:t>
      </w:r>
      <w:r w:rsidRPr="006A74F8">
        <w:t xml:space="preserve">for </w:t>
      </w:r>
      <w:r w:rsidRPr="006A74F8">
        <w:rPr>
          <w:b/>
        </w:rPr>
        <w:t>all options</w:t>
      </w:r>
      <w:r w:rsidRPr="006A74F8">
        <w:t xml:space="preserve"> any package labelling that is compliant with current requirements will continue to be compliant under the new arrangements. </w:t>
      </w:r>
    </w:p>
    <w:p w:rsidR="004450C4" w:rsidRPr="006A74F8" w:rsidRDefault="007138AB" w:rsidP="001B32BC">
      <w:pPr>
        <w:spacing w:after="120"/>
      </w:pPr>
      <w:r w:rsidRPr="006A74F8">
        <w:rPr>
          <w:b/>
        </w:rPr>
        <w:t xml:space="preserve">All </w:t>
      </w:r>
      <w:r w:rsidR="00BB5782" w:rsidRPr="006A74F8">
        <w:rPr>
          <w:b/>
        </w:rPr>
        <w:t xml:space="preserve">reform </w:t>
      </w:r>
      <w:r w:rsidRPr="006A74F8">
        <w:rPr>
          <w:b/>
        </w:rPr>
        <w:t xml:space="preserve">options </w:t>
      </w:r>
      <w:r w:rsidRPr="006A74F8">
        <w:t xml:space="preserve">will introduce a more principles-based approach to the </w:t>
      </w:r>
      <w:r w:rsidR="001073D8" w:rsidRPr="006A74F8">
        <w:t xml:space="preserve">display of the </w:t>
      </w:r>
      <w:r w:rsidRPr="006A74F8">
        <w:t>measurement mar</w:t>
      </w:r>
      <w:r w:rsidR="001073D8" w:rsidRPr="006A74F8">
        <w:t>k</w:t>
      </w:r>
      <w:r w:rsidRPr="006A74F8">
        <w:t xml:space="preserve"> o</w:t>
      </w:r>
      <w:r w:rsidR="001073D8" w:rsidRPr="006A74F8">
        <w:t>n</w:t>
      </w:r>
      <w:r w:rsidRPr="006A74F8">
        <w:t xml:space="preserve"> packaged products</w:t>
      </w:r>
      <w:r w:rsidR="001073D8" w:rsidRPr="006A74F8">
        <w:t xml:space="preserve">. The measurement mark will need to be “prominent and legible” with </w:t>
      </w:r>
      <w:r w:rsidR="004B5544" w:rsidRPr="006A74F8">
        <w:t>minimum font height and colour contrast</w:t>
      </w:r>
      <w:r w:rsidR="00BB5782" w:rsidRPr="006A74F8">
        <w:t xml:space="preserve"> requirements</w:t>
      </w:r>
      <w:r w:rsidR="001073D8" w:rsidRPr="006A74F8">
        <w:t xml:space="preserve"> retained</w:t>
      </w:r>
      <w:r w:rsidR="004B5544" w:rsidRPr="006A74F8">
        <w:t>.</w:t>
      </w:r>
      <w:r w:rsidR="001073D8" w:rsidRPr="006A74F8">
        <w:t xml:space="preserve"> </w:t>
      </w:r>
      <w:r w:rsidR="00FA11C5" w:rsidRPr="006A74F8">
        <w:rPr>
          <w:b/>
        </w:rPr>
        <w:t>Option 1</w:t>
      </w:r>
      <w:r w:rsidR="004D4BB0" w:rsidRPr="006A74F8">
        <w:t xml:space="preserve"> also </w:t>
      </w:r>
      <w:r w:rsidR="00CF1412" w:rsidRPr="006A74F8">
        <w:t>re</w:t>
      </w:r>
      <w:r w:rsidR="008409AE" w:rsidRPr="006A74F8">
        <w:t>ta</w:t>
      </w:r>
      <w:r w:rsidR="004D4BB0" w:rsidRPr="006A74F8">
        <w:t>in</w:t>
      </w:r>
      <w:r w:rsidR="00FA11C5" w:rsidRPr="006A74F8">
        <w:t>s the front of pack requirement</w:t>
      </w:r>
      <w:r w:rsidR="00482E78" w:rsidRPr="006A74F8">
        <w:t>, meaning</w:t>
      </w:r>
      <w:r w:rsidR="00FA11C5" w:rsidRPr="006A74F8">
        <w:t xml:space="preserve"> the measurement mark must be presented on the principal display panel. </w:t>
      </w:r>
      <w:r w:rsidR="00FA11C5" w:rsidRPr="006A74F8">
        <w:rPr>
          <w:b/>
        </w:rPr>
        <w:t>Options 2 and 3</w:t>
      </w:r>
      <w:r w:rsidR="00FA11C5" w:rsidRPr="006A74F8">
        <w:t xml:space="preserve"> provide </w:t>
      </w:r>
      <w:r w:rsidR="00250CBD" w:rsidRPr="006A74F8">
        <w:t xml:space="preserve">more </w:t>
      </w:r>
      <w:r w:rsidR="00FA11C5" w:rsidRPr="006A74F8">
        <w:t xml:space="preserve">flexibility </w:t>
      </w:r>
      <w:r w:rsidR="00482E78" w:rsidRPr="006A74F8">
        <w:t>by removing the</w:t>
      </w:r>
      <w:r w:rsidR="00FA11C5" w:rsidRPr="006A74F8">
        <w:t xml:space="preserve"> front of pack requirement. </w:t>
      </w:r>
    </w:p>
    <w:p w:rsidR="00FA11C5" w:rsidRPr="006A74F8" w:rsidRDefault="00FA11C5" w:rsidP="00FA11C5">
      <w:pPr>
        <w:spacing w:after="120"/>
      </w:pPr>
      <w:r w:rsidRPr="006A74F8">
        <w:t xml:space="preserve">Under </w:t>
      </w:r>
      <w:r w:rsidRPr="006A74F8">
        <w:rPr>
          <w:b/>
        </w:rPr>
        <w:t xml:space="preserve">all reform options </w:t>
      </w:r>
      <w:r w:rsidRPr="006A74F8">
        <w:t xml:space="preserve">other prescriptive requirements will </w:t>
      </w:r>
      <w:r w:rsidR="00921138" w:rsidRPr="006A74F8">
        <w:t>be streamlined and simplified, taking a largely principles-based approach</w:t>
      </w:r>
      <w:r w:rsidRPr="006A74F8">
        <w:t xml:space="preserve">. This includes the following </w:t>
      </w:r>
      <w:r w:rsidR="009B6F2B" w:rsidRPr="006A74F8">
        <w:t>requirements</w:t>
      </w:r>
      <w:r w:rsidRPr="006A74F8">
        <w:t xml:space="preserve"> </w:t>
      </w:r>
      <w:r w:rsidR="009B6F2B" w:rsidRPr="006A74F8">
        <w:t>under the existing legislation</w:t>
      </w:r>
      <w:r w:rsidRPr="006A74F8">
        <w:t xml:space="preserve"> that are replaced with the “prominent and legible” display of the measurement mark:</w:t>
      </w:r>
    </w:p>
    <w:p w:rsidR="00FA11C5" w:rsidRPr="006A74F8" w:rsidRDefault="00FA11C5" w:rsidP="00FA11C5">
      <w:pPr>
        <w:pStyle w:val="ListParagraph"/>
        <w:numPr>
          <w:ilvl w:val="0"/>
          <w:numId w:val="231"/>
        </w:numPr>
      </w:pPr>
      <w:r w:rsidRPr="006A74F8">
        <w:t>the marking must be close to any name or brand of the product</w:t>
      </w:r>
    </w:p>
    <w:p w:rsidR="00FA11C5" w:rsidRPr="006A74F8" w:rsidRDefault="00FA11C5" w:rsidP="00FA11C5">
      <w:pPr>
        <w:pStyle w:val="ListParagraph"/>
        <w:numPr>
          <w:ilvl w:val="0"/>
          <w:numId w:val="231"/>
        </w:numPr>
      </w:pPr>
      <w:r w:rsidRPr="006A74F8">
        <w:t xml:space="preserve">the marking must be read in the same direction to any name or brand of the product </w:t>
      </w:r>
    </w:p>
    <w:p w:rsidR="001265E4" w:rsidRPr="006A74F8" w:rsidRDefault="00FA11C5" w:rsidP="007B53FA">
      <w:pPr>
        <w:pStyle w:val="ListParagraph"/>
        <w:numPr>
          <w:ilvl w:val="0"/>
          <w:numId w:val="231"/>
        </w:numPr>
      </w:pPr>
      <w:r w:rsidRPr="006A74F8">
        <w:t>the marking must be a certain distance from the limits of the package</w:t>
      </w:r>
      <w:r w:rsidR="0050046D" w:rsidRPr="006A74F8">
        <w:t>.</w:t>
      </w:r>
    </w:p>
    <w:p w:rsidR="00FA11C5" w:rsidRPr="006A74F8" w:rsidRDefault="009B6F2B" w:rsidP="001B32BC">
      <w:pPr>
        <w:spacing w:after="120"/>
        <w:rPr>
          <w:b/>
        </w:rPr>
      </w:pPr>
      <w:r w:rsidRPr="006A74F8">
        <w:rPr>
          <w:b/>
        </w:rPr>
        <w:t>A</w:t>
      </w:r>
      <w:r w:rsidR="00370027" w:rsidRPr="006A74F8">
        <w:rPr>
          <w:b/>
        </w:rPr>
        <w:t>ll</w:t>
      </w:r>
      <w:r w:rsidR="00FA11C5" w:rsidRPr="006A74F8">
        <w:rPr>
          <w:b/>
        </w:rPr>
        <w:t xml:space="preserve"> reform options</w:t>
      </w:r>
      <w:r w:rsidRPr="006A74F8">
        <w:t xml:space="preserve"> will also:</w:t>
      </w:r>
    </w:p>
    <w:p w:rsidR="00370027" w:rsidRPr="006A74F8" w:rsidRDefault="00370027" w:rsidP="00370027">
      <w:pPr>
        <w:pStyle w:val="ListParagraph"/>
        <w:numPr>
          <w:ilvl w:val="0"/>
          <w:numId w:val="249"/>
        </w:numPr>
      </w:pPr>
      <w:r w:rsidRPr="006A74F8">
        <w:t>Introduce a power to exempt particular categories of products from some or all marking requirements and include:</w:t>
      </w:r>
    </w:p>
    <w:p w:rsidR="00370027" w:rsidRPr="006A74F8" w:rsidRDefault="00370027" w:rsidP="00370027">
      <w:pPr>
        <w:pStyle w:val="ListParagraph"/>
        <w:numPr>
          <w:ilvl w:val="1"/>
          <w:numId w:val="249"/>
        </w:numPr>
      </w:pPr>
      <w:r w:rsidRPr="006A74F8">
        <w:t>Retaining existing marking exemptions (e.g. for packaged automotive parts,</w:t>
      </w:r>
      <w:r w:rsidRPr="006A74F8">
        <w:rPr>
          <w:rStyle w:val="FootnoteReference"/>
        </w:rPr>
        <w:footnoteReference w:id="52"/>
      </w:r>
      <w:r w:rsidRPr="006A74F8">
        <w:t xml:space="preserve"> wine bottles</w:t>
      </w:r>
      <w:r w:rsidRPr="006A74F8">
        <w:rPr>
          <w:rStyle w:val="FootnoteReference"/>
        </w:rPr>
        <w:footnoteReference w:id="53"/>
      </w:r>
      <w:r w:rsidRPr="006A74F8">
        <w:t xml:space="preserve"> and prescription therapeutic goods</w:t>
      </w:r>
      <w:r w:rsidRPr="006A74F8">
        <w:rPr>
          <w:rStyle w:val="FootnoteReference"/>
        </w:rPr>
        <w:footnoteReference w:id="54"/>
      </w:r>
      <w:r w:rsidRPr="006A74F8">
        <w:t>).</w:t>
      </w:r>
    </w:p>
    <w:p w:rsidR="00370027" w:rsidRPr="006A74F8" w:rsidRDefault="00370027" w:rsidP="00370027">
      <w:pPr>
        <w:pStyle w:val="ListParagraph"/>
        <w:numPr>
          <w:ilvl w:val="1"/>
          <w:numId w:val="249"/>
        </w:numPr>
      </w:pPr>
      <w:r w:rsidRPr="006A74F8">
        <w:t xml:space="preserve">An exemption for imported and domestic cosmetic products. This may leave some other types of imported products non-compliant with the requirements, however additional exemptions may be introduced in future where justified. </w:t>
      </w:r>
    </w:p>
    <w:p w:rsidR="00370027" w:rsidRPr="006A74F8" w:rsidRDefault="009B6F2B" w:rsidP="00370027">
      <w:pPr>
        <w:pStyle w:val="ListParagraph"/>
        <w:numPr>
          <w:ilvl w:val="0"/>
          <w:numId w:val="249"/>
        </w:numPr>
      </w:pPr>
      <w:r w:rsidRPr="006A74F8">
        <w:t>P</w:t>
      </w:r>
      <w:r w:rsidR="00370027" w:rsidRPr="006A74F8">
        <w:t>rovide a mechanism to enable deemed compliance pathways where certain types of packaged products satisfy other specified labelling requirements. For example, non-</w:t>
      </w:r>
      <w:r w:rsidR="00370027" w:rsidRPr="006A74F8">
        <w:lastRenderedPageBreak/>
        <w:t>prescription therapeutic goods would be deemed to comply with the measurement labelling requirements provided they comply with relevant TGA labelling requirements</w:t>
      </w:r>
      <w:r w:rsidR="00370027" w:rsidRPr="006A74F8">
        <w:rPr>
          <w:rStyle w:val="FootnoteReference"/>
        </w:rPr>
        <w:footnoteReference w:id="55"/>
      </w:r>
      <w:r w:rsidR="00370027" w:rsidRPr="006A74F8">
        <w:t>.</w:t>
      </w:r>
    </w:p>
    <w:p w:rsidR="00370027" w:rsidRPr="006A74F8" w:rsidRDefault="00A526F9" w:rsidP="00123E83">
      <w:pPr>
        <w:pStyle w:val="ListParagraph"/>
        <w:numPr>
          <w:ilvl w:val="0"/>
          <w:numId w:val="249"/>
        </w:numPr>
      </w:pPr>
      <w:r w:rsidRPr="006A74F8">
        <w:t>I</w:t>
      </w:r>
      <w:r w:rsidR="00370027" w:rsidRPr="006A74F8">
        <w:t xml:space="preserve">ntroduce a mechanism to add requirements for products where needed (e.g. if there is a preference for </w:t>
      </w:r>
      <w:r w:rsidR="00CD3802">
        <w:t xml:space="preserve">a </w:t>
      </w:r>
      <w:r w:rsidR="00370027" w:rsidRPr="006A74F8">
        <w:t xml:space="preserve">principal display panel requirement for certain types of products under options 2 and 3). In future, </w:t>
      </w:r>
      <w:r w:rsidR="00CD3802">
        <w:t xml:space="preserve">the introduction of </w:t>
      </w:r>
      <w:r w:rsidR="00370027" w:rsidRPr="006A74F8">
        <w:t>additional requirements, exemptions for products or deemed to comply mechanisms</w:t>
      </w:r>
      <w:r w:rsidR="00CD3802">
        <w:t xml:space="preserve"> </w:t>
      </w:r>
      <w:r w:rsidR="00370027" w:rsidRPr="006A74F8">
        <w:t>would be subject to additional consultation processes.</w:t>
      </w:r>
    </w:p>
    <w:p w:rsidR="00A64072" w:rsidRPr="006A74F8" w:rsidRDefault="009C44E2" w:rsidP="00A64072">
      <w:pPr>
        <w:pStyle w:val="Heading4"/>
      </w:pPr>
      <w:bookmarkStart w:id="1407" w:name="_Alignment_with_other"/>
      <w:bookmarkEnd w:id="1407"/>
      <w:r w:rsidRPr="006A74F8">
        <w:t>Alignment</w:t>
      </w:r>
      <w:r w:rsidR="00A64072" w:rsidRPr="006A74F8">
        <w:t xml:space="preserve"> with other legislation</w:t>
      </w:r>
    </w:p>
    <w:p w:rsidR="007138AB" w:rsidRPr="006A74F8" w:rsidRDefault="007138AB" w:rsidP="00F8209A">
      <w:pPr>
        <w:spacing w:before="160"/>
      </w:pPr>
      <w:r w:rsidRPr="006A74F8">
        <w:t>Other domestic regulations refer to principles-based requirements for labelling and use the “prominent” and “legible” display of labelling information. For example:</w:t>
      </w:r>
    </w:p>
    <w:p w:rsidR="007138AB" w:rsidRPr="006A74F8" w:rsidRDefault="007138AB" w:rsidP="00B36513">
      <w:pPr>
        <w:pStyle w:val="ListParagraph"/>
        <w:numPr>
          <w:ilvl w:val="0"/>
          <w:numId w:val="37"/>
        </w:numPr>
      </w:pPr>
      <w:r w:rsidRPr="006A74F8">
        <w:t>the Australia New Zealand Food Standards code</w:t>
      </w:r>
      <w:r w:rsidRPr="006A74F8">
        <w:rPr>
          <w:rStyle w:val="FootnoteReference"/>
        </w:rPr>
        <w:footnoteReference w:id="56"/>
      </w:r>
      <w:r w:rsidRPr="006A74F8">
        <w:t xml:space="preserve"> general legibility requirements for a word, statement, expression or design to be contained, written or set out on a label must</w:t>
      </w:r>
      <w:r w:rsidR="00210A20" w:rsidRPr="006A74F8">
        <w:t xml:space="preserve"> be</w:t>
      </w:r>
      <w:r w:rsidRPr="006A74F8">
        <w:t>:</w:t>
      </w:r>
    </w:p>
    <w:p w:rsidR="007138AB" w:rsidRPr="006A74F8" w:rsidRDefault="007138AB" w:rsidP="004729E2">
      <w:pPr>
        <w:pStyle w:val="ListParagraph"/>
        <w:numPr>
          <w:ilvl w:val="0"/>
          <w:numId w:val="16"/>
        </w:numPr>
        <w:spacing w:after="0" w:line="240" w:lineRule="auto"/>
        <w:ind w:left="1276" w:hanging="425"/>
      </w:pPr>
      <w:r w:rsidRPr="006A74F8">
        <w:t>legible</w:t>
      </w:r>
    </w:p>
    <w:p w:rsidR="007138AB" w:rsidRPr="006A74F8" w:rsidRDefault="007138AB" w:rsidP="004729E2">
      <w:pPr>
        <w:pStyle w:val="ListParagraph"/>
        <w:numPr>
          <w:ilvl w:val="0"/>
          <w:numId w:val="16"/>
        </w:numPr>
        <w:spacing w:before="240" w:after="240" w:line="240" w:lineRule="auto"/>
        <w:ind w:left="1276" w:hanging="425"/>
      </w:pPr>
      <w:r w:rsidRPr="006A74F8">
        <w:t>prominent so as to contrast distinctly with the background of the label (Standard 1.2.2, Division 6, section 1.2.1-24).</w:t>
      </w:r>
    </w:p>
    <w:p w:rsidR="007138AB" w:rsidRPr="006A74F8" w:rsidRDefault="007138AB" w:rsidP="004729E2">
      <w:pPr>
        <w:pStyle w:val="ListParagraph"/>
        <w:numPr>
          <w:ilvl w:val="0"/>
          <w:numId w:val="13"/>
        </w:numPr>
        <w:rPr>
          <w:lang w:eastAsia="en-AU"/>
        </w:rPr>
      </w:pPr>
      <w:r w:rsidRPr="006A74F8">
        <w:rPr>
          <w:lang w:eastAsia="en-AU"/>
        </w:rPr>
        <w:t xml:space="preserve">This is consistent with the language used for legibility requirements for the </w:t>
      </w:r>
      <w:r w:rsidRPr="006A74F8">
        <w:t>Country of Origin Food Labelling Information Standard 2016 [Part 4, 28 (2)].</w:t>
      </w:r>
      <w:r w:rsidRPr="006A74F8">
        <w:rPr>
          <w:rStyle w:val="FootnoteReference"/>
        </w:rPr>
        <w:footnoteReference w:id="57"/>
      </w:r>
    </w:p>
    <w:p w:rsidR="007138AB" w:rsidRPr="006A74F8" w:rsidRDefault="007138AB" w:rsidP="004729E2">
      <w:pPr>
        <w:pStyle w:val="ListParagraph"/>
        <w:numPr>
          <w:ilvl w:val="0"/>
          <w:numId w:val="13"/>
        </w:numPr>
        <w:rPr>
          <w:lang w:eastAsia="en-AU"/>
        </w:rPr>
      </w:pPr>
      <w:r w:rsidRPr="006A74F8">
        <w:rPr>
          <w:lang w:eastAsia="en-AU"/>
        </w:rPr>
        <w:t>Under the Trade Practices (Industry Codes – Unit Pricing) Regulations 2009</w:t>
      </w:r>
      <w:r w:rsidRPr="006A74F8">
        <w:rPr>
          <w:rStyle w:val="FootnoteReference"/>
          <w:lang w:eastAsia="en-AU"/>
        </w:rPr>
        <w:footnoteReference w:id="58"/>
      </w:r>
      <w:r w:rsidRPr="006A74F8">
        <w:rPr>
          <w:lang w:eastAsia="en-AU"/>
        </w:rPr>
        <w:t xml:space="preserve"> the UPC principles define </w:t>
      </w:r>
      <w:r w:rsidR="00210A20" w:rsidRPr="006A74F8">
        <w:rPr>
          <w:lang w:eastAsia="en-AU"/>
        </w:rPr>
        <w:t xml:space="preserve">that </w:t>
      </w:r>
      <w:r w:rsidRPr="006A74F8">
        <w:rPr>
          <w:lang w:eastAsia="en-AU"/>
        </w:rPr>
        <w:t>the display of the unit price for a grocery item [Part 2, 6(2)]</w:t>
      </w:r>
      <w:r w:rsidR="00210A20" w:rsidRPr="006A74F8">
        <w:rPr>
          <w:lang w:eastAsia="en-AU"/>
        </w:rPr>
        <w:t xml:space="preserve"> is</w:t>
      </w:r>
      <w:r w:rsidRPr="006A74F8">
        <w:t>:</w:t>
      </w:r>
    </w:p>
    <w:p w:rsidR="007138AB" w:rsidRPr="006A74F8" w:rsidRDefault="007138AB" w:rsidP="004729E2">
      <w:pPr>
        <w:pStyle w:val="ListParagraph"/>
        <w:numPr>
          <w:ilvl w:val="1"/>
          <w:numId w:val="17"/>
        </w:numPr>
        <w:spacing w:after="240" w:line="240" w:lineRule="auto"/>
        <w:ind w:left="1276" w:hanging="425"/>
      </w:pPr>
      <w:r w:rsidRPr="006A74F8">
        <w:t xml:space="preserve">displayed prominently and in close proximity to the selling price for the grocery item </w:t>
      </w:r>
    </w:p>
    <w:p w:rsidR="007138AB" w:rsidRPr="006A74F8" w:rsidRDefault="007138AB" w:rsidP="004729E2">
      <w:pPr>
        <w:pStyle w:val="ListParagraph"/>
        <w:numPr>
          <w:ilvl w:val="1"/>
          <w:numId w:val="17"/>
        </w:numPr>
        <w:spacing w:before="240" w:after="240" w:line="240" w:lineRule="auto"/>
        <w:ind w:left="1276" w:hanging="425"/>
      </w:pPr>
      <w:r w:rsidRPr="006A74F8">
        <w:t>legible and unambiguous.</w:t>
      </w:r>
    </w:p>
    <w:p w:rsidR="007138AB" w:rsidRPr="006A74F8" w:rsidRDefault="007138AB" w:rsidP="007138AB">
      <w:r w:rsidRPr="006A74F8">
        <w:t xml:space="preserve">Removing the requirement for the measurement mark to be on the “principal display panel” under </w:t>
      </w:r>
      <w:r w:rsidRPr="006A74F8">
        <w:rPr>
          <w:b/>
        </w:rPr>
        <w:t>options 2 and 3</w:t>
      </w:r>
      <w:r w:rsidRPr="006A74F8">
        <w:t xml:space="preserve"> would be a shift away from the international recommendation in OIML R 79. However, </w:t>
      </w:r>
      <w:r w:rsidR="00B0695E" w:rsidRPr="006A74F8">
        <w:t>the approach</w:t>
      </w:r>
      <w:r w:rsidRPr="006A74F8">
        <w:t xml:space="preserve"> adopted </w:t>
      </w:r>
      <w:r w:rsidR="00B0695E" w:rsidRPr="006A74F8">
        <w:t xml:space="preserve">across </w:t>
      </w:r>
      <w:r w:rsidRPr="006A74F8">
        <w:t>other economies</w:t>
      </w:r>
      <w:r w:rsidR="00B0695E" w:rsidRPr="006A74F8">
        <w:t xml:space="preserve"> does not appear to be consistent</w:t>
      </w:r>
      <w:r w:rsidRPr="006A74F8">
        <w:t>. For example:</w:t>
      </w:r>
    </w:p>
    <w:p w:rsidR="00DF600F" w:rsidRPr="006A74F8" w:rsidRDefault="007138AB" w:rsidP="004729E2">
      <w:pPr>
        <w:pStyle w:val="ListParagraph"/>
        <w:numPr>
          <w:ilvl w:val="0"/>
          <w:numId w:val="38"/>
        </w:numPr>
      </w:pPr>
      <w:r w:rsidRPr="006A74F8">
        <w:rPr>
          <w:b/>
        </w:rPr>
        <w:t>No specification for placement of measurement mark</w:t>
      </w:r>
      <w:r w:rsidRPr="006A74F8">
        <w:t xml:space="preserve">: Hong Kong, Japan, Russia and Singapore do not </w:t>
      </w:r>
      <w:r w:rsidR="00564D5F" w:rsidRPr="006A74F8">
        <w:t xml:space="preserve">appear to </w:t>
      </w:r>
      <w:r w:rsidRPr="006A74F8">
        <w:t>specify the location of the measurement mark on packaged products.</w:t>
      </w:r>
    </w:p>
    <w:p w:rsidR="007138AB" w:rsidRPr="006A74F8" w:rsidRDefault="007138AB" w:rsidP="004729E2">
      <w:pPr>
        <w:pStyle w:val="ListParagraph"/>
        <w:numPr>
          <w:ilvl w:val="0"/>
          <w:numId w:val="38"/>
        </w:numPr>
      </w:pPr>
      <w:r w:rsidRPr="006A74F8">
        <w:rPr>
          <w:b/>
        </w:rPr>
        <w:t>General front of pack for products</w:t>
      </w:r>
      <w:r w:rsidRPr="006A74F8">
        <w:t xml:space="preserve">: </w:t>
      </w:r>
      <w:r w:rsidR="00735040" w:rsidRPr="006A74F8">
        <w:t>a</w:t>
      </w:r>
      <w:r w:rsidRPr="006A74F8">
        <w:t xml:space="preserve"> number of economies specify general</w:t>
      </w:r>
      <w:r w:rsidR="00E817A9" w:rsidRPr="006A74F8">
        <w:t xml:space="preserve"> requirements</w:t>
      </w:r>
      <w:r w:rsidRPr="006A74F8">
        <w:t xml:space="preserve"> </w:t>
      </w:r>
      <w:r w:rsidR="00E817A9" w:rsidRPr="006A74F8">
        <w:t>for principal display panel marking, or similar, for packaged products</w:t>
      </w:r>
      <w:r w:rsidR="00FE414C" w:rsidRPr="006A74F8">
        <w:t>. T</w:t>
      </w:r>
      <w:r w:rsidR="00E817A9" w:rsidRPr="006A74F8">
        <w:t xml:space="preserve">ypically </w:t>
      </w:r>
      <w:r w:rsidR="00FE414C" w:rsidRPr="006A74F8">
        <w:t xml:space="preserve">this </w:t>
      </w:r>
      <w:r w:rsidR="00E817A9" w:rsidRPr="006A74F8">
        <w:t>mean</w:t>
      </w:r>
      <w:r w:rsidR="00FE414C" w:rsidRPr="006A74F8">
        <w:t>s</w:t>
      </w:r>
      <w:r w:rsidR="00E817A9" w:rsidRPr="006A74F8">
        <w:t xml:space="preserve"> the</w:t>
      </w:r>
      <w:r w:rsidRPr="006A74F8">
        <w:t xml:space="preserve"> measurement mark</w:t>
      </w:r>
      <w:r w:rsidR="00E817A9" w:rsidRPr="006A74F8">
        <w:t xml:space="preserve"> is located on the front of pack</w:t>
      </w:r>
      <w:r w:rsidR="00FE414C" w:rsidRPr="006A74F8">
        <w:t xml:space="preserve"> for these products</w:t>
      </w:r>
      <w:r w:rsidRPr="006A74F8">
        <w:t>.</w:t>
      </w:r>
    </w:p>
    <w:p w:rsidR="00C95575" w:rsidRPr="006A74F8" w:rsidRDefault="00C95575" w:rsidP="0003119F">
      <w:pPr>
        <w:pStyle w:val="ListParagraph"/>
        <w:numPr>
          <w:ilvl w:val="1"/>
          <w:numId w:val="38"/>
        </w:numPr>
        <w:ind w:left="1134"/>
      </w:pPr>
      <w:r w:rsidRPr="006A74F8">
        <w:t xml:space="preserve">The United States </w:t>
      </w:r>
      <w:r w:rsidR="00CA0A3C" w:rsidRPr="006A74F8">
        <w:t>federal requirements are for</w:t>
      </w:r>
      <w:r w:rsidRPr="006A74F8">
        <w:t xml:space="preserve"> the measurement mark to be on the “principal display panel”</w:t>
      </w:r>
      <w:r w:rsidR="00B132E8" w:rsidRPr="006A74F8">
        <w:t>.</w:t>
      </w:r>
      <w:r w:rsidR="001A4052" w:rsidRPr="006A74F8">
        <w:rPr>
          <w:rStyle w:val="FootnoteReference"/>
        </w:rPr>
        <w:footnoteReference w:id="59"/>
      </w:r>
      <w:r w:rsidR="00B132E8" w:rsidRPr="006A74F8" w:rsidDel="00B132E8">
        <w:t xml:space="preserve"> </w:t>
      </w:r>
    </w:p>
    <w:p w:rsidR="007138AB" w:rsidRPr="006A74F8" w:rsidRDefault="007138AB" w:rsidP="004729E2">
      <w:pPr>
        <w:pStyle w:val="ListParagraph"/>
        <w:numPr>
          <w:ilvl w:val="1"/>
          <w:numId w:val="38"/>
        </w:numPr>
        <w:ind w:left="1134"/>
      </w:pPr>
      <w:r w:rsidRPr="006A74F8">
        <w:t>Canada</w:t>
      </w:r>
      <w:r w:rsidR="003F1024" w:rsidRPr="006A74F8" w:rsidDel="00DF600F">
        <w:rPr>
          <w:rStyle w:val="FootnoteReference"/>
        </w:rPr>
        <w:footnoteReference w:id="60"/>
      </w:r>
      <w:r w:rsidRPr="006A74F8" w:rsidDel="00DF600F">
        <w:t xml:space="preserve"> </w:t>
      </w:r>
      <w:r w:rsidRPr="006A74F8">
        <w:t>and India</w:t>
      </w:r>
      <w:r w:rsidR="0055589B" w:rsidRPr="006A74F8">
        <w:rPr>
          <w:rStyle w:val="FootnoteReference"/>
        </w:rPr>
        <w:footnoteReference w:id="61"/>
      </w:r>
      <w:r w:rsidRPr="006A74F8">
        <w:t xml:space="preserve"> require the measurement mark to be “</w:t>
      </w:r>
      <w:r w:rsidR="003D1BE5" w:rsidRPr="006A74F8">
        <w:t>on the side of the package that is visible to the</w:t>
      </w:r>
      <w:r w:rsidR="003D1BE5" w:rsidRPr="006A74F8" w:rsidDel="00042064">
        <w:t xml:space="preserve"> </w:t>
      </w:r>
      <w:r w:rsidR="003D1BE5" w:rsidRPr="006A74F8">
        <w:t>purchaser</w:t>
      </w:r>
      <w:r w:rsidRPr="006A74F8">
        <w:t>”</w:t>
      </w:r>
      <w:r w:rsidR="00042064" w:rsidRPr="006A74F8">
        <w:t xml:space="preserve"> and “on the principal display panel – part of the package which is likely to be seen by the consumer” respectively</w:t>
      </w:r>
      <w:r w:rsidRPr="006A74F8">
        <w:t xml:space="preserve">. </w:t>
      </w:r>
    </w:p>
    <w:p w:rsidR="00573F07" w:rsidRPr="006A74F8" w:rsidRDefault="00573F07" w:rsidP="0003119F">
      <w:pPr>
        <w:pStyle w:val="ListParagraph"/>
        <w:numPr>
          <w:ilvl w:val="1"/>
          <w:numId w:val="38"/>
        </w:numPr>
        <w:ind w:left="1134"/>
      </w:pPr>
      <w:r w:rsidRPr="006A74F8">
        <w:lastRenderedPageBreak/>
        <w:t xml:space="preserve">The European Union </w:t>
      </w:r>
      <w:r w:rsidR="009E03E1" w:rsidRPr="006A74F8">
        <w:t xml:space="preserve">(EU) </w:t>
      </w:r>
      <w:r w:rsidRPr="006A74F8">
        <w:t>has a general requirement for the marking of weight and volume on certain packaged products that markings are “affixed in such a manner as to be indelible, easily legible and visible on the package in normal conditions of presentation</w:t>
      </w:r>
      <w:r w:rsidR="00C45803" w:rsidRPr="006A74F8">
        <w:t>”.</w:t>
      </w:r>
      <w:r w:rsidRPr="006A74F8">
        <w:rPr>
          <w:rStyle w:val="FootnoteReference"/>
        </w:rPr>
        <w:footnoteReference w:id="62"/>
      </w:r>
    </w:p>
    <w:p w:rsidR="00573F07" w:rsidRPr="006A74F8" w:rsidRDefault="00573F07" w:rsidP="0003119F">
      <w:pPr>
        <w:pStyle w:val="ListParagraph"/>
        <w:numPr>
          <w:ilvl w:val="1"/>
          <w:numId w:val="38"/>
        </w:numPr>
        <w:ind w:left="1134"/>
      </w:pPr>
      <w:r w:rsidRPr="006A74F8">
        <w:t xml:space="preserve">The United Kingdom </w:t>
      </w:r>
      <w:r w:rsidR="009E03E1" w:rsidRPr="006A74F8">
        <w:t xml:space="preserve">(UK) </w:t>
      </w:r>
      <w:r w:rsidRPr="006A74F8">
        <w:t>generally requires the measurement mark to be “indelible, easily legible and visible in normal conditions of presentation”</w:t>
      </w:r>
      <w:r w:rsidR="00C45803" w:rsidRPr="006A74F8">
        <w:t>.</w:t>
      </w:r>
      <w:r w:rsidR="007414F6" w:rsidRPr="006A74F8">
        <w:rPr>
          <w:rStyle w:val="FootnoteReference"/>
        </w:rPr>
        <w:footnoteReference w:id="63"/>
      </w:r>
    </w:p>
    <w:p w:rsidR="004729E2" w:rsidRPr="006A74F8" w:rsidRDefault="004729E2" w:rsidP="004729E2">
      <w:pPr>
        <w:pStyle w:val="ListParagraph"/>
        <w:numPr>
          <w:ilvl w:val="0"/>
          <w:numId w:val="38"/>
        </w:numPr>
      </w:pPr>
      <w:r w:rsidRPr="006A74F8">
        <w:rPr>
          <w:b/>
        </w:rPr>
        <w:t>Prominent but not necessarily front of pack</w:t>
      </w:r>
      <w:r w:rsidRPr="006A74F8">
        <w:t>: New Zealand requires the measurement mark to be “in a prominent position, and, where the goods are marked with their name or description, in close proximity to that marking”.</w:t>
      </w:r>
      <w:r w:rsidRPr="006A74F8">
        <w:rPr>
          <w:rStyle w:val="FootnoteReference"/>
        </w:rPr>
        <w:footnoteReference w:id="64"/>
      </w:r>
    </w:p>
    <w:p w:rsidR="009E03E1" w:rsidRPr="006A74F8" w:rsidRDefault="009E03E1" w:rsidP="004729E2">
      <w:pPr>
        <w:pStyle w:val="ListParagraph"/>
        <w:numPr>
          <w:ilvl w:val="0"/>
          <w:numId w:val="38"/>
        </w:numPr>
      </w:pPr>
      <w:r w:rsidRPr="006A74F8">
        <w:rPr>
          <w:b/>
        </w:rPr>
        <w:t>Front of pack for food</w:t>
      </w:r>
      <w:r w:rsidRPr="006A74F8">
        <w:t>:</w:t>
      </w:r>
      <w:r w:rsidRPr="006A74F8" w:rsidDel="00A72B94">
        <w:t xml:space="preserve"> </w:t>
      </w:r>
      <w:r w:rsidR="00735040" w:rsidRPr="006A74F8">
        <w:t>s</w:t>
      </w:r>
      <w:r w:rsidRPr="006A74F8">
        <w:t>ome economies have specific front of package measurement mark requirements for food products.</w:t>
      </w:r>
    </w:p>
    <w:p w:rsidR="009E03E1" w:rsidRPr="006A74F8" w:rsidRDefault="009E03E1" w:rsidP="004729E2">
      <w:pPr>
        <w:pStyle w:val="ListParagraph"/>
        <w:numPr>
          <w:ilvl w:val="1"/>
          <w:numId w:val="38"/>
        </w:numPr>
        <w:ind w:left="1134" w:hanging="283"/>
      </w:pPr>
      <w:r w:rsidRPr="006A74F8">
        <w:t>China require</w:t>
      </w:r>
      <w:r w:rsidR="004658C4" w:rsidRPr="006A74F8">
        <w:t>s</w:t>
      </w:r>
      <w:r w:rsidRPr="006A74F8">
        <w:t xml:space="preserve"> the net </w:t>
      </w:r>
      <w:r w:rsidR="00A05924" w:rsidRPr="006A74F8">
        <w:t xml:space="preserve">content </w:t>
      </w:r>
      <w:r w:rsidRPr="006A74F8">
        <w:t>to be “</w:t>
      </w:r>
      <w:r w:rsidR="00243783" w:rsidRPr="006A74F8">
        <w:t xml:space="preserve">on the same </w:t>
      </w:r>
      <w:r w:rsidR="00A05924" w:rsidRPr="006A74F8">
        <w:t>display side where the food name is located on the package</w:t>
      </w:r>
      <w:r w:rsidR="00243783" w:rsidRPr="006A74F8">
        <w:t xml:space="preserve"> or container</w:t>
      </w:r>
      <w:r w:rsidRPr="006A74F8">
        <w:t>”</w:t>
      </w:r>
      <w:r w:rsidR="00C45803" w:rsidRPr="006A74F8">
        <w:t>,</w:t>
      </w:r>
      <w:r w:rsidR="00243783" w:rsidRPr="006A74F8">
        <w:rPr>
          <w:rStyle w:val="FootnoteReference"/>
        </w:rPr>
        <w:footnoteReference w:id="65"/>
      </w:r>
      <w:r w:rsidR="00243783" w:rsidRPr="006A74F8">
        <w:t xml:space="preserve"> which </w:t>
      </w:r>
      <w:r w:rsidR="00A05924" w:rsidRPr="006A74F8">
        <w:t xml:space="preserve">must be </w:t>
      </w:r>
      <w:r w:rsidR="00243783" w:rsidRPr="006A74F8">
        <w:t>“in a prominent place</w:t>
      </w:r>
      <w:r w:rsidR="00A05924" w:rsidRPr="006A74F8">
        <w:t>”</w:t>
      </w:r>
      <w:r w:rsidR="00243783" w:rsidRPr="006A74F8">
        <w:t xml:space="preserve"> on the label</w:t>
      </w:r>
      <w:r w:rsidR="00C45803" w:rsidRPr="006A74F8">
        <w:t>.</w:t>
      </w:r>
      <w:r w:rsidR="00243783" w:rsidRPr="006A74F8">
        <w:rPr>
          <w:rStyle w:val="FootnoteReference"/>
        </w:rPr>
        <w:footnoteReference w:id="66"/>
      </w:r>
    </w:p>
    <w:p w:rsidR="002F73F2" w:rsidRPr="006A74F8" w:rsidRDefault="002F73F2" w:rsidP="004729E2">
      <w:pPr>
        <w:pStyle w:val="ListParagraph"/>
        <w:numPr>
          <w:ilvl w:val="1"/>
          <w:numId w:val="38"/>
        </w:numPr>
        <w:ind w:left="1134" w:hanging="283"/>
      </w:pPr>
      <w:r w:rsidRPr="006A74F8">
        <w:t xml:space="preserve">The EU </w:t>
      </w:r>
      <w:r w:rsidR="002C1C81" w:rsidRPr="006A74F8">
        <w:t>requires the net weight to be “marked in a conspicuous place in such a way as to be easily visible, clearly legible and, where appropriate, indelible”</w:t>
      </w:r>
      <w:r w:rsidR="002C1C81" w:rsidRPr="006A74F8">
        <w:rPr>
          <w:rStyle w:val="FootnoteReference"/>
        </w:rPr>
        <w:footnoteReference w:id="67"/>
      </w:r>
      <w:r w:rsidR="002C1C81" w:rsidRPr="006A74F8">
        <w:t xml:space="preserve"> and be in the same field of vision as the name of the food”</w:t>
      </w:r>
      <w:r w:rsidR="00C45803" w:rsidRPr="006A74F8">
        <w:t>.</w:t>
      </w:r>
      <w:r w:rsidR="002C1C81" w:rsidRPr="006A74F8">
        <w:rPr>
          <w:rStyle w:val="FootnoteReference"/>
        </w:rPr>
        <w:footnoteReference w:id="68"/>
      </w:r>
    </w:p>
    <w:p w:rsidR="003B29A7" w:rsidRPr="006A74F8" w:rsidRDefault="00573F07" w:rsidP="004729E2">
      <w:pPr>
        <w:pStyle w:val="ListParagraph"/>
        <w:numPr>
          <w:ilvl w:val="0"/>
          <w:numId w:val="38"/>
        </w:numPr>
      </w:pPr>
      <w:r w:rsidRPr="006A74F8">
        <w:rPr>
          <w:b/>
        </w:rPr>
        <w:t>EU and UK</w:t>
      </w:r>
      <w:r w:rsidR="003B29A7" w:rsidRPr="006A74F8">
        <w:rPr>
          <w:b/>
        </w:rPr>
        <w:t xml:space="preserve"> marking requirements</w:t>
      </w:r>
      <w:r w:rsidRPr="006A74F8">
        <w:rPr>
          <w:b/>
        </w:rPr>
        <w:t xml:space="preserve"> for cosmetics</w:t>
      </w:r>
      <w:r w:rsidR="003B29A7" w:rsidRPr="006A74F8">
        <w:t>:</w:t>
      </w:r>
      <w:r w:rsidRPr="006A74F8">
        <w:t xml:space="preserve"> the EU has specific regulations that apply to cosmetic products</w:t>
      </w:r>
      <w:r w:rsidRPr="006A74F8">
        <w:rPr>
          <w:rStyle w:val="FootnoteReference"/>
        </w:rPr>
        <w:footnoteReference w:id="69"/>
      </w:r>
      <w:r w:rsidRPr="006A74F8">
        <w:t xml:space="preserve"> that are also applicable in EU Member States as well as the UK.</w:t>
      </w:r>
    </w:p>
    <w:p w:rsidR="00F20477" w:rsidRPr="006A74F8" w:rsidRDefault="005A0B7B" w:rsidP="004729E2">
      <w:pPr>
        <w:pStyle w:val="ListParagraph"/>
        <w:numPr>
          <w:ilvl w:val="1"/>
          <w:numId w:val="38"/>
        </w:numPr>
        <w:ind w:left="1134"/>
      </w:pPr>
      <w:r w:rsidRPr="006A74F8">
        <w:t>The requirement for marking the measurement on cosmetic products is more flexible than the general requirement for packaged products, only requiring that it is marked in “indelible, easily legible and visible lettering”</w:t>
      </w:r>
      <w:r w:rsidR="00C45803" w:rsidRPr="006A74F8">
        <w:t>.</w:t>
      </w:r>
      <w:r w:rsidRPr="006A74F8">
        <w:rPr>
          <w:rStyle w:val="FootnoteReference"/>
        </w:rPr>
        <w:footnoteReference w:id="70"/>
      </w:r>
      <w:r w:rsidRPr="006A74F8">
        <w:t xml:space="preserve"> It does not specify placement of the measurement mark.</w:t>
      </w:r>
    </w:p>
    <w:p w:rsidR="008F2C40" w:rsidRPr="006A74F8" w:rsidRDefault="008F2C40" w:rsidP="008F2C40">
      <w:pPr>
        <w:shd w:val="clear" w:color="auto" w:fill="DFF3F3" w:themeFill="accent4" w:themeFillTint="33"/>
        <w:rPr>
          <w:b/>
        </w:rPr>
      </w:pPr>
      <w:r w:rsidRPr="006A74F8">
        <w:rPr>
          <w:b/>
        </w:rPr>
        <w:t>Trans-Tasman Mutual Recognition Arrangement</w:t>
      </w:r>
      <w:r w:rsidR="00F4458B" w:rsidRPr="006A74F8">
        <w:rPr>
          <w:b/>
        </w:rPr>
        <w:t xml:space="preserve"> (TTMRA)</w:t>
      </w:r>
    </w:p>
    <w:p w:rsidR="008F2C40" w:rsidRPr="006A74F8" w:rsidRDefault="008F2C40" w:rsidP="008F2C40">
      <w:pPr>
        <w:shd w:val="clear" w:color="auto" w:fill="DFF3F3" w:themeFill="accent4" w:themeFillTint="33"/>
      </w:pPr>
      <w:r w:rsidRPr="006A74F8">
        <w:t xml:space="preserve">The </w:t>
      </w:r>
      <w:r w:rsidRPr="006A74F8">
        <w:rPr>
          <w:i/>
        </w:rPr>
        <w:t>Trans-Tasman Mutual Recognition Act 1997</w:t>
      </w:r>
      <w:r w:rsidRPr="006A74F8">
        <w:rPr>
          <w:rStyle w:val="FootnoteReference"/>
        </w:rPr>
        <w:footnoteReference w:id="71"/>
      </w:r>
      <w:r w:rsidRPr="006A74F8">
        <w:t xml:space="preserve"> provides for the mutual recognition within Australia and New Zealand of regulatory standards adopted in either country regarding goods and occupations. Where products comply with domestic requirements in Australia they will be accepted in New Zealand, even if New Zealand domestic requirements differ, and vice versa. </w:t>
      </w:r>
    </w:p>
    <w:p w:rsidR="00434E77" w:rsidRPr="006A74F8" w:rsidRDefault="008F2C40" w:rsidP="008F2C40">
      <w:pPr>
        <w:shd w:val="clear" w:color="auto" w:fill="DFF3F3" w:themeFill="accent4" w:themeFillTint="33"/>
      </w:pPr>
      <w:r w:rsidRPr="006A74F8">
        <w:t xml:space="preserve">Australia’s current measurement marking requirements are more prescriptive than those in New Zealand. New Zealand requires the measurement mark to be “in a prominent position, and, where </w:t>
      </w:r>
      <w:r w:rsidRPr="006A74F8">
        <w:lastRenderedPageBreak/>
        <w:t xml:space="preserve">the goods are marked with their name or description, in close proximity to that marking” (minimum font height and colour contrast requirements also apply). </w:t>
      </w:r>
    </w:p>
    <w:p w:rsidR="008F2C40" w:rsidRPr="006A74F8" w:rsidRDefault="00434E77" w:rsidP="008F2C40">
      <w:pPr>
        <w:shd w:val="clear" w:color="auto" w:fill="DFF3F3" w:themeFill="accent4" w:themeFillTint="33"/>
      </w:pPr>
      <w:r w:rsidRPr="006A74F8">
        <w:t>New Zealand</w:t>
      </w:r>
      <w:r w:rsidR="00450628" w:rsidRPr="006A74F8">
        <w:t xml:space="preserve"> was consulted </w:t>
      </w:r>
      <w:r w:rsidRPr="006A74F8">
        <w:t xml:space="preserve">on the proposed reform options, which are not anticipated to impact New Zealand under the TTMRA. </w:t>
      </w:r>
    </w:p>
    <w:p w:rsidR="00542E63" w:rsidRPr="006A74F8" w:rsidRDefault="00542E63" w:rsidP="00542E63">
      <w:pPr>
        <w:spacing w:line="240" w:lineRule="auto"/>
        <w:sectPr w:rsidR="00542E63" w:rsidRPr="006A74F8" w:rsidSect="00EC61D8">
          <w:pgSz w:w="11907" w:h="16840" w:code="9"/>
          <w:pgMar w:top="1440" w:right="1440" w:bottom="1440" w:left="1440" w:header="709" w:footer="0" w:gutter="0"/>
          <w:cols w:space="708"/>
          <w:docGrid w:linePitch="360"/>
        </w:sectPr>
      </w:pPr>
    </w:p>
    <w:p w:rsidR="00044109" w:rsidRPr="006A74F8" w:rsidRDefault="00DE51BA" w:rsidP="007138AB">
      <w:pPr>
        <w:spacing w:line="240" w:lineRule="auto"/>
        <w:ind w:left="720"/>
      </w:pPr>
      <w:r w:rsidRPr="006A74F8">
        <w:rPr>
          <w:noProof/>
          <w:lang w:eastAsia="en-AU"/>
        </w:rPr>
        <w:lastRenderedPageBreak/>
        <w:drawing>
          <wp:inline distT="0" distB="0" distL="0" distR="0" wp14:anchorId="7B85D268" wp14:editId="75F969EB">
            <wp:extent cx="8517437" cy="13604240"/>
            <wp:effectExtent l="0" t="0" r="0" b="0"/>
            <wp:docPr id="1" name="Picture 1" descr="Case Study 1 is an infographic showing options for locating the measurement mark on packaged products. See the accessible version on the next page to read all the details." title="Case stu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2742\AppData\Local\Microsoft\Windows\INetCache\Content.Word\Case Study 1 - Revised and updated 07042021.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517437" cy="13604240"/>
                    </a:xfrm>
                    <a:prstGeom prst="rect">
                      <a:avLst/>
                    </a:prstGeom>
                    <a:noFill/>
                    <a:ln>
                      <a:noFill/>
                    </a:ln>
                  </pic:spPr>
                </pic:pic>
              </a:graphicData>
            </a:graphic>
          </wp:inline>
        </w:drawing>
      </w:r>
    </w:p>
    <w:p w:rsidR="00044109" w:rsidRPr="006A74F8" w:rsidRDefault="00044109" w:rsidP="00181E38">
      <w:pPr>
        <w:rPr>
          <w:color w:val="005677" w:themeColor="text2"/>
          <w:sz w:val="48"/>
          <w:szCs w:val="48"/>
        </w:rPr>
      </w:pPr>
      <w:bookmarkStart w:id="1408" w:name="_Toc81919532"/>
      <w:bookmarkStart w:id="1409" w:name="_Toc81919806"/>
      <w:bookmarkStart w:id="1410" w:name="_Toc81921161"/>
      <w:bookmarkStart w:id="1411" w:name="_Toc81923648"/>
      <w:bookmarkStart w:id="1412" w:name="_Toc81923763"/>
      <w:bookmarkStart w:id="1413" w:name="_Toc81997303"/>
      <w:bookmarkStart w:id="1414" w:name="_Toc81998076"/>
      <w:bookmarkStart w:id="1415" w:name="_Toc82011840"/>
      <w:r w:rsidRPr="006A74F8">
        <w:rPr>
          <w:color w:val="005677" w:themeColor="text2"/>
          <w:sz w:val="48"/>
          <w:szCs w:val="48"/>
        </w:rPr>
        <w:lastRenderedPageBreak/>
        <w:t>Accessible version: Case study 1 - locating the measurement mark on packaged products</w:t>
      </w:r>
      <w:bookmarkEnd w:id="1408"/>
      <w:bookmarkEnd w:id="1409"/>
      <w:bookmarkEnd w:id="1410"/>
      <w:bookmarkEnd w:id="1411"/>
      <w:bookmarkEnd w:id="1412"/>
      <w:bookmarkEnd w:id="1413"/>
      <w:bookmarkEnd w:id="1414"/>
      <w:bookmarkEnd w:id="1415"/>
      <w:r w:rsidRPr="006A74F8">
        <w:rPr>
          <w:color w:val="005677" w:themeColor="text2"/>
          <w:sz w:val="48"/>
          <w:szCs w:val="48"/>
        </w:rPr>
        <w:t xml:space="preserve"> </w:t>
      </w:r>
    </w:p>
    <w:p w:rsidR="00044109" w:rsidRPr="006A74F8" w:rsidRDefault="00044109" w:rsidP="00181E38">
      <w:pPr>
        <w:rPr>
          <w:color w:val="005677" w:themeColor="text2"/>
          <w:sz w:val="40"/>
          <w:szCs w:val="40"/>
        </w:rPr>
      </w:pPr>
      <w:r w:rsidRPr="006A74F8">
        <w:rPr>
          <w:color w:val="005677" w:themeColor="text2"/>
          <w:sz w:val="40"/>
          <w:szCs w:val="40"/>
        </w:rPr>
        <w:t>Background</w:t>
      </w:r>
    </w:p>
    <w:p w:rsidR="00044109" w:rsidRPr="006A74F8" w:rsidRDefault="00044109" w:rsidP="00044109">
      <w:r w:rsidRPr="006A74F8">
        <w:t>Industry have expressed concerns that current labelling requirements are prescriptive and confusing. They have also raised concerns that imported products, such as cosmetics, may need to be relabelled or repackaged so the measurement is on the front. Options 1, 2 and 3 seek to increase consumer confidence and address industry feedback. They provide greater flexibility to industry while still enabling consumers to make informed purchasing decisions.</w:t>
      </w:r>
    </w:p>
    <w:p w:rsidR="00044109" w:rsidRPr="006A74F8" w:rsidRDefault="00044109" w:rsidP="00181E38">
      <w:pPr>
        <w:rPr>
          <w:color w:val="005677" w:themeColor="text2"/>
          <w:sz w:val="40"/>
          <w:szCs w:val="40"/>
        </w:rPr>
      </w:pPr>
      <w:r w:rsidRPr="006A74F8">
        <w:rPr>
          <w:color w:val="005677" w:themeColor="text2"/>
          <w:sz w:val="40"/>
          <w:szCs w:val="40"/>
        </w:rPr>
        <w:t>Scenario: Peter’s shopping trip</w:t>
      </w:r>
    </w:p>
    <w:p w:rsidR="00044109" w:rsidRPr="006A74F8" w:rsidRDefault="00044109" w:rsidP="00181E38">
      <w:pPr>
        <w:rPr>
          <w:sz w:val="32"/>
          <w:szCs w:val="32"/>
        </w:rPr>
      </w:pPr>
      <w:r w:rsidRPr="006A74F8">
        <w:rPr>
          <w:sz w:val="32"/>
          <w:szCs w:val="32"/>
        </w:rPr>
        <w:t>About Peter</w:t>
      </w:r>
    </w:p>
    <w:p w:rsidR="00044109" w:rsidRPr="006A74F8" w:rsidRDefault="00044109" w:rsidP="00044109">
      <w:r w:rsidRPr="006A74F8">
        <w:t>Peter is time poor and he likes product information, including measurement information, to be easily accessible. Peter regularly checks package labels for measurement, nutritional information, ingredients and country of origin.</w:t>
      </w:r>
    </w:p>
    <w:p w:rsidR="00044109" w:rsidRPr="006A74F8" w:rsidRDefault="00044109" w:rsidP="00181E38">
      <w:pPr>
        <w:rPr>
          <w:sz w:val="32"/>
          <w:szCs w:val="32"/>
        </w:rPr>
      </w:pPr>
      <w:r w:rsidRPr="006A74F8">
        <w:rPr>
          <w:sz w:val="32"/>
          <w:szCs w:val="32"/>
        </w:rPr>
        <w:t>Peter’s Purchase</w:t>
      </w:r>
    </w:p>
    <w:p w:rsidR="00044109" w:rsidRPr="006A74F8" w:rsidRDefault="00044109" w:rsidP="00044109">
      <w:r w:rsidRPr="006A74F8">
        <w:t>Peter stops by the supermarket on his way to work. He needs to get milk, cereal, laundry powder and mince. While there, Peter visits the cosmetics aisle to get some moisturiser.</w:t>
      </w:r>
    </w:p>
    <w:p w:rsidR="00044109" w:rsidRPr="006A74F8" w:rsidRDefault="00044109" w:rsidP="00181E38">
      <w:pPr>
        <w:rPr>
          <w:color w:val="005677" w:themeColor="text2"/>
          <w:sz w:val="32"/>
          <w:szCs w:val="32"/>
        </w:rPr>
      </w:pPr>
      <w:r w:rsidRPr="006A74F8">
        <w:rPr>
          <w:color w:val="005677" w:themeColor="text2"/>
          <w:sz w:val="32"/>
          <w:szCs w:val="32"/>
        </w:rPr>
        <w:t>Status Quo: outcome of Peter’s shopping trip</w:t>
      </w:r>
    </w:p>
    <w:p w:rsidR="00044109" w:rsidRPr="006A74F8" w:rsidRDefault="00044109" w:rsidP="00044109">
      <w:r w:rsidRPr="006A74F8">
        <w:t>All packaged products must include the measurement marking on the front of the package (principal display panel). All products are marked with a measurement on the front of the pack. Peter does not usually need to pick up products from the shelf, or use shelf labels, to see the measurement.</w:t>
      </w:r>
    </w:p>
    <w:p w:rsidR="00044109" w:rsidRPr="006A74F8" w:rsidRDefault="00044109" w:rsidP="00181E38">
      <w:pPr>
        <w:rPr>
          <w:sz w:val="32"/>
          <w:szCs w:val="32"/>
        </w:rPr>
      </w:pPr>
      <w:r w:rsidRPr="006A74F8">
        <w:rPr>
          <w:sz w:val="32"/>
          <w:szCs w:val="32"/>
        </w:rPr>
        <w:t>Peter’s shopping trip was successful</w:t>
      </w:r>
    </w:p>
    <w:p w:rsidR="00044109" w:rsidRPr="006A74F8" w:rsidRDefault="00044109" w:rsidP="00044109">
      <w:r w:rsidRPr="006A74F8">
        <w:t>He quickly identified the measurement marking of each product. He easily compared like products. He was able to make an informed purchasing decision regarding the measurement.</w:t>
      </w:r>
    </w:p>
    <w:p w:rsidR="00044109" w:rsidRPr="006A74F8" w:rsidRDefault="00044109" w:rsidP="00181E38">
      <w:pPr>
        <w:rPr>
          <w:color w:val="005677" w:themeColor="text2"/>
          <w:sz w:val="40"/>
          <w:szCs w:val="40"/>
        </w:rPr>
      </w:pPr>
      <w:r w:rsidRPr="006A74F8">
        <w:rPr>
          <w:color w:val="005677" w:themeColor="text2"/>
          <w:sz w:val="40"/>
          <w:szCs w:val="40"/>
        </w:rPr>
        <w:t>Option 1 - Outcome of Peter’s shopping trip</w:t>
      </w:r>
    </w:p>
    <w:p w:rsidR="00044109" w:rsidRPr="006A74F8" w:rsidRDefault="00044109" w:rsidP="00044109">
      <w:pPr>
        <w:spacing w:after="0" w:line="240" w:lineRule="auto"/>
      </w:pPr>
      <w:r w:rsidRPr="006A74F8">
        <w:t xml:space="preserve">Some products could be granted an exemption so that they do not have to have the measurement mark on the front of the package. The majority of products are marked with a measurement on the front of the pack. </w:t>
      </w:r>
    </w:p>
    <w:p w:rsidR="00044109" w:rsidRPr="006A74F8" w:rsidRDefault="00044109" w:rsidP="00044109">
      <w:pPr>
        <w:spacing w:after="0" w:line="240" w:lineRule="auto"/>
      </w:pPr>
    </w:p>
    <w:p w:rsidR="00044109" w:rsidRPr="006A74F8" w:rsidRDefault="00044109" w:rsidP="00044109">
      <w:pPr>
        <w:spacing w:after="0" w:line="240" w:lineRule="auto"/>
      </w:pPr>
      <w:r w:rsidRPr="006A74F8">
        <w:t>In this scenario cosmetics (including moisturiser) have been granted an exemption and are marked on the back, near the ingredients. For products not marked on the front Peter can find the measurement by:</w:t>
      </w:r>
    </w:p>
    <w:p w:rsidR="00044109" w:rsidRPr="006A74F8" w:rsidRDefault="00044109" w:rsidP="00181E38">
      <w:pPr>
        <w:pStyle w:val="ListParagraph"/>
        <w:numPr>
          <w:ilvl w:val="3"/>
          <w:numId w:val="17"/>
        </w:numPr>
        <w:spacing w:before="120" w:after="0" w:line="240" w:lineRule="auto"/>
        <w:ind w:left="1134" w:hanging="420"/>
      </w:pPr>
      <w:r w:rsidRPr="006A74F8">
        <w:t>Picking up the product to locate the measurement, or</w:t>
      </w:r>
    </w:p>
    <w:p w:rsidR="00044109" w:rsidRPr="006A74F8" w:rsidRDefault="00044109" w:rsidP="00181E38">
      <w:pPr>
        <w:pStyle w:val="ListParagraph"/>
        <w:numPr>
          <w:ilvl w:val="3"/>
          <w:numId w:val="17"/>
        </w:numPr>
        <w:spacing w:before="120" w:after="0" w:line="240" w:lineRule="auto"/>
        <w:ind w:left="1134" w:hanging="420"/>
      </w:pPr>
      <w:r w:rsidRPr="006A74F8">
        <w:t>If the store displays a unit price, using the unit price and total price on the supermarket shelf.</w:t>
      </w:r>
    </w:p>
    <w:p w:rsidR="00044109" w:rsidRPr="006A74F8" w:rsidRDefault="00044109" w:rsidP="00044109">
      <w:pPr>
        <w:pStyle w:val="ListParagraph"/>
        <w:spacing w:after="0" w:line="240" w:lineRule="auto"/>
        <w:ind w:left="900" w:firstLine="0"/>
      </w:pPr>
    </w:p>
    <w:p w:rsidR="00044109" w:rsidRPr="006A74F8" w:rsidRDefault="00044109" w:rsidP="00181E38">
      <w:pPr>
        <w:rPr>
          <w:sz w:val="32"/>
          <w:szCs w:val="32"/>
        </w:rPr>
      </w:pPr>
      <w:r w:rsidRPr="006A74F8">
        <w:rPr>
          <w:sz w:val="32"/>
          <w:szCs w:val="32"/>
        </w:rPr>
        <w:t xml:space="preserve">+20 seconds </w:t>
      </w:r>
    </w:p>
    <w:p w:rsidR="00044109" w:rsidRPr="006A74F8" w:rsidRDefault="00044109" w:rsidP="00044109">
      <w:pPr>
        <w:spacing w:line="240" w:lineRule="auto"/>
      </w:pPr>
      <w:r w:rsidRPr="006A74F8">
        <w:t>Additional time burden is minimal. Peter usually picks up packages to check ingredients and can see the measurement mark at the same time.</w:t>
      </w:r>
    </w:p>
    <w:p w:rsidR="00044109" w:rsidRPr="006A74F8" w:rsidRDefault="00044109" w:rsidP="00181E38">
      <w:pPr>
        <w:rPr>
          <w:sz w:val="32"/>
          <w:szCs w:val="32"/>
        </w:rPr>
      </w:pPr>
      <w:r w:rsidRPr="006A74F8">
        <w:rPr>
          <w:sz w:val="32"/>
          <w:szCs w:val="32"/>
        </w:rPr>
        <w:t>Peter’s shopping trip was still successful</w:t>
      </w:r>
    </w:p>
    <w:p w:rsidR="00044109" w:rsidRPr="006A74F8" w:rsidRDefault="00044109" w:rsidP="00044109">
      <w:pPr>
        <w:spacing w:line="240" w:lineRule="auto"/>
      </w:pPr>
      <w:r w:rsidRPr="006A74F8">
        <w:t>He easily identified measurement markings on products, but had to pick up the moisturiser to find the marking. He was still able to compare like products and make informed purchasing decisions.</w:t>
      </w:r>
    </w:p>
    <w:p w:rsidR="00044109" w:rsidRPr="006A74F8" w:rsidRDefault="00044109" w:rsidP="00181E38">
      <w:pPr>
        <w:rPr>
          <w:color w:val="005677" w:themeColor="text2"/>
          <w:sz w:val="40"/>
          <w:szCs w:val="40"/>
        </w:rPr>
      </w:pPr>
      <w:r w:rsidRPr="006A74F8">
        <w:rPr>
          <w:color w:val="005677" w:themeColor="text2"/>
          <w:sz w:val="40"/>
          <w:szCs w:val="40"/>
        </w:rPr>
        <w:t>Options 2 and 3 - Outcome of Peter’s shopping trip</w:t>
      </w:r>
    </w:p>
    <w:p w:rsidR="00044109" w:rsidRPr="006A74F8" w:rsidRDefault="00044109" w:rsidP="00044109">
      <w:pPr>
        <w:spacing w:line="240" w:lineRule="auto"/>
      </w:pPr>
      <w:r w:rsidRPr="006A74F8">
        <w:t>Requirement for the measurement mark to be on the front of the package has been removed. Instead the measurement mark must be prominent and legible. NMI retains the power to require front of pack marking for certain products, where market issues are identified.</w:t>
      </w:r>
    </w:p>
    <w:p w:rsidR="00044109" w:rsidRPr="006A74F8" w:rsidRDefault="00044109" w:rsidP="00044109">
      <w:pPr>
        <w:spacing w:line="240" w:lineRule="auto"/>
      </w:pPr>
      <w:r w:rsidRPr="006A74F8">
        <w:t xml:space="preserve">Peter may find that many products still have a measurement mark on the front. </w:t>
      </w:r>
    </w:p>
    <w:p w:rsidR="00044109" w:rsidRPr="006A74F8" w:rsidRDefault="00044109" w:rsidP="00044109">
      <w:pPr>
        <w:spacing w:line="240" w:lineRule="auto"/>
      </w:pPr>
      <w:r w:rsidRPr="006A74F8">
        <w:t>He notices that the laundry powder and moisturiser no longer have a measurement mark on the front of pack.</w:t>
      </w:r>
    </w:p>
    <w:p w:rsidR="00044109" w:rsidRPr="006A74F8" w:rsidRDefault="00044109" w:rsidP="00044109">
      <w:pPr>
        <w:spacing w:line="240" w:lineRule="auto"/>
      </w:pPr>
      <w:r w:rsidRPr="006A74F8">
        <w:t>For products not marked on the front Peter can find the measurement by:</w:t>
      </w:r>
    </w:p>
    <w:p w:rsidR="00044109" w:rsidRPr="006A74F8" w:rsidRDefault="00044109" w:rsidP="00181E38">
      <w:pPr>
        <w:pStyle w:val="ListParagraph"/>
        <w:numPr>
          <w:ilvl w:val="0"/>
          <w:numId w:val="149"/>
        </w:numPr>
        <w:spacing w:before="120" w:after="0" w:line="240" w:lineRule="auto"/>
        <w:ind w:left="1276"/>
      </w:pPr>
      <w:r w:rsidRPr="006A74F8">
        <w:t>Picking up the product to locate the measurement, or</w:t>
      </w:r>
    </w:p>
    <w:p w:rsidR="00044109" w:rsidRPr="006A74F8" w:rsidRDefault="00044109" w:rsidP="00181E38">
      <w:pPr>
        <w:pStyle w:val="ListParagraph"/>
        <w:numPr>
          <w:ilvl w:val="0"/>
          <w:numId w:val="149"/>
        </w:numPr>
        <w:spacing w:before="120" w:after="0" w:line="240" w:lineRule="auto"/>
        <w:ind w:left="1276"/>
      </w:pPr>
      <w:r w:rsidRPr="006A74F8">
        <w:t>If the store displays a unit price, using the unit price and total price on the supermarket shelf.</w:t>
      </w:r>
    </w:p>
    <w:p w:rsidR="00044109" w:rsidRPr="006A74F8" w:rsidRDefault="00044109" w:rsidP="00181E38">
      <w:pPr>
        <w:rPr>
          <w:sz w:val="32"/>
        </w:rPr>
      </w:pPr>
      <w:r w:rsidRPr="006A74F8">
        <w:rPr>
          <w:sz w:val="32"/>
        </w:rPr>
        <w:t xml:space="preserve">+40 seconds </w:t>
      </w:r>
    </w:p>
    <w:p w:rsidR="00044109" w:rsidRPr="006A74F8" w:rsidRDefault="00044109" w:rsidP="00044109">
      <w:pPr>
        <w:spacing w:line="240" w:lineRule="auto"/>
      </w:pPr>
      <w:r w:rsidRPr="006A74F8">
        <w:t>Additional time burden is greater than Option 1 – As in Option 1, Peter usually picks up packages to check ingredients anyway.</w:t>
      </w:r>
    </w:p>
    <w:p w:rsidR="00044109" w:rsidRPr="006A74F8" w:rsidRDefault="00044109" w:rsidP="00181E38">
      <w:pPr>
        <w:rPr>
          <w:color w:val="005677" w:themeColor="text2"/>
          <w:sz w:val="32"/>
          <w:szCs w:val="32"/>
        </w:rPr>
      </w:pPr>
      <w:r w:rsidRPr="006A74F8">
        <w:rPr>
          <w:sz w:val="32"/>
          <w:szCs w:val="32"/>
        </w:rPr>
        <w:t>Peter’s shopping trip was still successful but took more time to compare products</w:t>
      </w:r>
    </w:p>
    <w:p w:rsidR="00044109" w:rsidRPr="006A74F8" w:rsidRDefault="00044109" w:rsidP="00044109">
      <w:pPr>
        <w:spacing w:line="240" w:lineRule="auto"/>
      </w:pPr>
      <w:r w:rsidRPr="006A74F8">
        <w:t>He easily identified the measurement marking on each product as all were prominent and legible, but had to pick up the moisturiser and laundry powder.</w:t>
      </w:r>
    </w:p>
    <w:p w:rsidR="00934F80" w:rsidRPr="006A74F8" w:rsidRDefault="00044109" w:rsidP="00044109">
      <w:pPr>
        <w:spacing w:line="240" w:lineRule="auto"/>
        <w:sectPr w:rsidR="00934F80" w:rsidRPr="006A74F8" w:rsidSect="00EC61D8">
          <w:pgSz w:w="16839" w:h="23814" w:code="8"/>
          <w:pgMar w:top="1440" w:right="1440" w:bottom="1440" w:left="1440" w:header="709" w:footer="0" w:gutter="0"/>
          <w:cols w:space="708"/>
          <w:docGrid w:linePitch="360"/>
        </w:sectPr>
      </w:pPr>
      <w:r w:rsidRPr="006A74F8">
        <w:t>He was still able to compare like products and make informed purchases.</w:t>
      </w:r>
      <w:r w:rsidR="00DE51BA" w:rsidRPr="006A74F8">
        <w:t xml:space="preserve"> </w:t>
      </w:r>
    </w:p>
    <w:p w:rsidR="00811521" w:rsidRPr="006A74F8" w:rsidRDefault="00811521" w:rsidP="00811521">
      <w:pPr>
        <w:pStyle w:val="Heading3"/>
      </w:pPr>
      <w:bookmarkStart w:id="1416" w:name="_Option_2"/>
      <w:bookmarkStart w:id="1417" w:name="_RIS_Question_4:"/>
      <w:bookmarkStart w:id="1418" w:name="_Toc64558453"/>
      <w:bookmarkStart w:id="1419" w:name="_Toc64557473"/>
      <w:bookmarkStart w:id="1420" w:name="_Toc64562198"/>
      <w:bookmarkStart w:id="1421" w:name="_Toc64562454"/>
      <w:bookmarkStart w:id="1422" w:name="_Toc64640240"/>
      <w:bookmarkStart w:id="1423" w:name="_Toc64641216"/>
      <w:bookmarkStart w:id="1424" w:name="_Toc64647158"/>
      <w:bookmarkStart w:id="1425" w:name="_Toc64888324"/>
      <w:bookmarkStart w:id="1426" w:name="_Toc64888704"/>
      <w:bookmarkStart w:id="1427" w:name="_Toc64892979"/>
      <w:bookmarkStart w:id="1428" w:name="_Toc64895633"/>
      <w:bookmarkStart w:id="1429" w:name="_Toc64900840"/>
      <w:bookmarkStart w:id="1430" w:name="_Toc64903106"/>
      <w:bookmarkStart w:id="1431" w:name="_Toc64904045"/>
      <w:bookmarkStart w:id="1432" w:name="_Toc64904267"/>
      <w:bookmarkStart w:id="1433" w:name="_Toc64904710"/>
      <w:bookmarkStart w:id="1434" w:name="_Toc64905224"/>
      <w:bookmarkStart w:id="1435" w:name="_Toc64964001"/>
      <w:bookmarkStart w:id="1436" w:name="_Toc64974599"/>
      <w:bookmarkStart w:id="1437" w:name="_Toc64976300"/>
      <w:bookmarkStart w:id="1438" w:name="_Toc65149674"/>
      <w:bookmarkStart w:id="1439" w:name="_Toc65163443"/>
      <w:bookmarkStart w:id="1440" w:name="_Toc65491083"/>
      <w:bookmarkStart w:id="1441" w:name="_Toc65504819"/>
      <w:bookmarkStart w:id="1442" w:name="_Toc65757902"/>
      <w:bookmarkStart w:id="1443" w:name="_Toc65769497"/>
      <w:bookmarkStart w:id="1444" w:name="_Toc65766865"/>
      <w:bookmarkStart w:id="1445" w:name="_Toc65772639"/>
      <w:bookmarkStart w:id="1446" w:name="_Toc66435697"/>
      <w:bookmarkStart w:id="1447" w:name="_Toc66436486"/>
      <w:bookmarkStart w:id="1448" w:name="_Toc66437697"/>
      <w:bookmarkStart w:id="1449" w:name="_Toc66440036"/>
      <w:bookmarkStart w:id="1450" w:name="_Toc66442239"/>
      <w:bookmarkStart w:id="1451" w:name="_Toc66451908"/>
      <w:bookmarkStart w:id="1452" w:name="_Toc66459185"/>
      <w:bookmarkStart w:id="1453" w:name="_Toc66460239"/>
      <w:bookmarkStart w:id="1454" w:name="_Toc57821597"/>
      <w:bookmarkStart w:id="1455" w:name="_Toc57826739"/>
      <w:bookmarkStart w:id="1456" w:name="_Toc58228988"/>
      <w:bookmarkStart w:id="1457" w:name="_Toc58501224"/>
      <w:bookmarkEnd w:id="1416"/>
      <w:bookmarkEnd w:id="1417"/>
      <w:r w:rsidRPr="006A74F8">
        <w:lastRenderedPageBreak/>
        <w:t>Additional compliance and enforcement arrangements across all options</w:t>
      </w:r>
    </w:p>
    <w:p w:rsidR="00811521" w:rsidRPr="006A74F8" w:rsidRDefault="00811521" w:rsidP="00811521">
      <w:pPr>
        <w:rPr>
          <w:rFonts w:cstheme="minorHAnsi"/>
        </w:rPr>
      </w:pPr>
      <w:r w:rsidRPr="006A74F8">
        <w:rPr>
          <w:rFonts w:cstheme="minorHAnsi"/>
        </w:rPr>
        <w:t>In addition to existing monitoring, compliance and enforcement tools, the proposed options will introduce a number of contemporary and flexible tools. This will provide for a range of monitoring, compliance, and enforcement arrangements that can be utilised to more appropriately target different levels of the escalating enforcement model.</w:t>
      </w:r>
    </w:p>
    <w:p w:rsidR="00811521" w:rsidRPr="006A74F8" w:rsidRDefault="00811521" w:rsidP="00811521">
      <w:pPr>
        <w:rPr>
          <w:rFonts w:cstheme="minorHAnsi"/>
        </w:rPr>
      </w:pPr>
      <w:r w:rsidRPr="006A74F8">
        <w:rPr>
          <w:rFonts w:cstheme="minorHAnsi"/>
        </w:rPr>
        <w:t xml:space="preserve">Under </w:t>
      </w:r>
      <w:r w:rsidRPr="006A74F8">
        <w:rPr>
          <w:rFonts w:cstheme="minorHAnsi"/>
          <w:b/>
        </w:rPr>
        <w:t>all options</w:t>
      </w:r>
      <w:r w:rsidRPr="006A74F8">
        <w:rPr>
          <w:rFonts w:cstheme="minorHAnsi"/>
        </w:rPr>
        <w:t xml:space="preserve">: </w:t>
      </w:r>
    </w:p>
    <w:p w:rsidR="00811521" w:rsidRPr="006A74F8" w:rsidRDefault="00811521" w:rsidP="002E3E8D">
      <w:pPr>
        <w:pStyle w:val="ListParagraph"/>
        <w:numPr>
          <w:ilvl w:val="0"/>
          <w:numId w:val="39"/>
        </w:numPr>
        <w:rPr>
          <w:rFonts w:cstheme="minorHAnsi"/>
        </w:rPr>
      </w:pPr>
      <w:r w:rsidRPr="006A74F8">
        <w:rPr>
          <w:rFonts w:cstheme="minorHAnsi"/>
        </w:rPr>
        <w:t xml:space="preserve">Introduction of additional </w:t>
      </w:r>
      <w:r w:rsidRPr="006A74F8">
        <w:rPr>
          <w:rFonts w:cstheme="minorHAnsi"/>
          <w:b/>
        </w:rPr>
        <w:t>permits</w:t>
      </w:r>
      <w:r w:rsidR="006270B7" w:rsidRPr="006A74F8">
        <w:rPr>
          <w:rStyle w:val="FootnoteReference"/>
          <w:rFonts w:cstheme="minorHAnsi"/>
        </w:rPr>
        <w:footnoteReference w:id="72"/>
      </w:r>
      <w:r w:rsidRPr="006A74F8">
        <w:rPr>
          <w:rFonts w:cstheme="minorHAnsi"/>
        </w:rPr>
        <w:t xml:space="preserve"> and </w:t>
      </w:r>
      <w:r w:rsidRPr="006A74F8">
        <w:rPr>
          <w:rFonts w:cstheme="minorHAnsi"/>
          <w:b/>
        </w:rPr>
        <w:t>corrective notices</w:t>
      </w:r>
      <w:r w:rsidRPr="006A74F8">
        <w:rPr>
          <w:rFonts w:cstheme="minorHAnsi"/>
        </w:rPr>
        <w:t xml:space="preserve"> (e.g. improvement notices and prohibition notices) will provide increased flexibility to tailor the compliance approach in order to achieve desired outcomes, without having to resort to penalties.</w:t>
      </w:r>
    </w:p>
    <w:p w:rsidR="00811521" w:rsidRPr="006A74F8" w:rsidRDefault="00811521" w:rsidP="002E3E8D">
      <w:pPr>
        <w:pStyle w:val="ListParagraph"/>
        <w:numPr>
          <w:ilvl w:val="0"/>
          <w:numId w:val="39"/>
        </w:numPr>
        <w:rPr>
          <w:rFonts w:cstheme="minorHAnsi"/>
        </w:rPr>
      </w:pPr>
      <w:r w:rsidRPr="006A74F8">
        <w:rPr>
          <w:rFonts w:cstheme="minorHAnsi"/>
        </w:rPr>
        <w:t xml:space="preserve">Tailored </w:t>
      </w:r>
      <w:r w:rsidRPr="006A74F8">
        <w:rPr>
          <w:rFonts w:cstheme="minorHAnsi"/>
          <w:b/>
        </w:rPr>
        <w:t>infringement notices</w:t>
      </w:r>
      <w:r w:rsidR="00706680" w:rsidRPr="006A74F8">
        <w:rPr>
          <w:rFonts w:cstheme="minorHAnsi"/>
        </w:rPr>
        <w:t>:</w:t>
      </w:r>
      <w:r w:rsidRPr="006A74F8">
        <w:rPr>
          <w:rFonts w:cstheme="minorHAnsi"/>
        </w:rPr>
        <w:t xml:space="preserve"> penalty units for infringement notices will align better with the nature of the contravention and approaches adopted by other government regulators (i.e. higher for a body corporate than an individual</w:t>
      </w:r>
      <w:r w:rsidR="00D64E91" w:rsidRPr="006A74F8">
        <w:rPr>
          <w:rFonts w:cstheme="minorHAnsi"/>
        </w:rPr>
        <w:t xml:space="preserve">, </w:t>
      </w:r>
      <w:r w:rsidR="008615DA" w:rsidRPr="006A74F8">
        <w:rPr>
          <w:rFonts w:cstheme="minorHAnsi"/>
        </w:rPr>
        <w:t>lo</w:t>
      </w:r>
      <w:r w:rsidR="00136204" w:rsidRPr="006A74F8">
        <w:rPr>
          <w:rFonts w:cstheme="minorHAnsi"/>
        </w:rPr>
        <w:t>wer penalties</w:t>
      </w:r>
      <w:r w:rsidR="008615DA" w:rsidRPr="006A74F8">
        <w:rPr>
          <w:rFonts w:cstheme="minorHAnsi"/>
        </w:rPr>
        <w:t xml:space="preserve"> for </w:t>
      </w:r>
      <w:r w:rsidR="00136204" w:rsidRPr="006A74F8">
        <w:rPr>
          <w:rFonts w:cstheme="minorHAnsi"/>
        </w:rPr>
        <w:t xml:space="preserve">contravention of </w:t>
      </w:r>
      <w:r w:rsidR="008615DA" w:rsidRPr="006A74F8">
        <w:rPr>
          <w:rFonts w:cstheme="minorHAnsi"/>
        </w:rPr>
        <w:t xml:space="preserve">some </w:t>
      </w:r>
      <w:r w:rsidR="00136204" w:rsidRPr="006A74F8">
        <w:rPr>
          <w:rFonts w:cstheme="minorHAnsi"/>
        </w:rPr>
        <w:t>provisions</w:t>
      </w:r>
      <w:r w:rsidR="008615DA" w:rsidRPr="006A74F8">
        <w:rPr>
          <w:rFonts w:cstheme="minorHAnsi"/>
        </w:rPr>
        <w:t xml:space="preserve"> and higher for</w:t>
      </w:r>
      <w:r w:rsidR="00136204" w:rsidRPr="006A74F8">
        <w:rPr>
          <w:rFonts w:cstheme="minorHAnsi"/>
        </w:rPr>
        <w:t xml:space="preserve"> </w:t>
      </w:r>
      <w:r w:rsidR="00E827F2" w:rsidRPr="006A74F8">
        <w:rPr>
          <w:rFonts w:cstheme="minorHAnsi"/>
        </w:rPr>
        <w:t xml:space="preserve">provisions of a more </w:t>
      </w:r>
      <w:r w:rsidR="00136204" w:rsidRPr="006A74F8">
        <w:rPr>
          <w:rFonts w:cstheme="minorHAnsi"/>
        </w:rPr>
        <w:t xml:space="preserve">serious </w:t>
      </w:r>
      <w:r w:rsidR="00E827F2" w:rsidRPr="006A74F8">
        <w:rPr>
          <w:rFonts w:cstheme="minorHAnsi"/>
        </w:rPr>
        <w:t>nature</w:t>
      </w:r>
      <w:r w:rsidRPr="006A74F8">
        <w:rPr>
          <w:rFonts w:cstheme="minorHAnsi"/>
        </w:rPr>
        <w:t xml:space="preserve">). </w:t>
      </w:r>
    </w:p>
    <w:p w:rsidR="00811521" w:rsidRPr="006A74F8" w:rsidRDefault="00811521" w:rsidP="002E3E8D">
      <w:pPr>
        <w:pStyle w:val="ListParagraph"/>
        <w:numPr>
          <w:ilvl w:val="0"/>
          <w:numId w:val="39"/>
        </w:numPr>
        <w:rPr>
          <w:rFonts w:cstheme="minorHAnsi"/>
        </w:rPr>
      </w:pPr>
      <w:r w:rsidRPr="006A74F8">
        <w:rPr>
          <w:rFonts w:cstheme="minorHAnsi"/>
        </w:rPr>
        <w:t xml:space="preserve">Ability to publish details regarding non-compliance, which may include the introduction of an infringement notice register, similar to that utilised by the </w:t>
      </w:r>
      <w:r w:rsidR="004851F8" w:rsidRPr="006A74F8">
        <w:rPr>
          <w:rFonts w:cstheme="minorHAnsi"/>
        </w:rPr>
        <w:t>Australian Competition and Consumer Commission (</w:t>
      </w:r>
      <w:r w:rsidRPr="006A74F8">
        <w:rPr>
          <w:rFonts w:cstheme="minorHAnsi"/>
        </w:rPr>
        <w:t>ACCC</w:t>
      </w:r>
      <w:r w:rsidR="004851F8" w:rsidRPr="006A74F8">
        <w:rPr>
          <w:rFonts w:cstheme="minorHAnsi"/>
        </w:rPr>
        <w:t>)</w:t>
      </w:r>
      <w:r w:rsidRPr="006A74F8">
        <w:rPr>
          <w:rFonts w:cstheme="minorHAnsi"/>
        </w:rPr>
        <w:t>.</w:t>
      </w:r>
      <w:r w:rsidRPr="006A74F8">
        <w:rPr>
          <w:rStyle w:val="FootnoteReference"/>
          <w:rFonts w:cstheme="minorHAnsi"/>
        </w:rPr>
        <w:footnoteReference w:id="73"/>
      </w:r>
      <w:r w:rsidRPr="006A74F8">
        <w:rPr>
          <w:rFonts w:cstheme="minorHAnsi"/>
        </w:rPr>
        <w:t xml:space="preserve"> </w:t>
      </w:r>
    </w:p>
    <w:p w:rsidR="00811521" w:rsidRPr="006A74F8" w:rsidRDefault="00811521" w:rsidP="002E3E8D">
      <w:pPr>
        <w:pStyle w:val="ListParagraph"/>
        <w:numPr>
          <w:ilvl w:val="0"/>
          <w:numId w:val="39"/>
        </w:numPr>
        <w:rPr>
          <w:rFonts w:cstheme="minorHAnsi"/>
        </w:rPr>
      </w:pPr>
      <w:r w:rsidRPr="006A74F8">
        <w:rPr>
          <w:rFonts w:cstheme="minorHAnsi"/>
          <w:b/>
        </w:rPr>
        <w:t>Civil penalties</w:t>
      </w:r>
      <w:r w:rsidR="00C25E74" w:rsidRPr="006A74F8">
        <w:rPr>
          <w:rFonts w:cstheme="minorHAnsi"/>
        </w:rPr>
        <w:t>:</w:t>
      </w:r>
      <w:r w:rsidRPr="006A74F8">
        <w:rPr>
          <w:rFonts w:cstheme="minorHAnsi"/>
        </w:rPr>
        <w:t xml:space="preserve"> there are no civil penalties in the current legislative framework but they are becoming standard in most government regulatory frameworks. NMI has completed 6 prosecutions in the past 10 years and would be unlikely </w:t>
      </w:r>
      <w:r w:rsidR="00210A20" w:rsidRPr="006A74F8">
        <w:rPr>
          <w:rFonts w:cstheme="minorHAnsi"/>
        </w:rPr>
        <w:t xml:space="preserve">to </w:t>
      </w:r>
      <w:r w:rsidRPr="006A74F8">
        <w:rPr>
          <w:rFonts w:cstheme="minorHAnsi"/>
        </w:rPr>
        <w:t>see a considerable increase in cases taken to court with the introduction of civil penalties. However, fines under civil penalty provisions are likely to be significantly higher, particularly for large corporations.</w:t>
      </w:r>
    </w:p>
    <w:p w:rsidR="00811521" w:rsidRPr="006A74F8" w:rsidRDefault="00811521" w:rsidP="002E3E8D">
      <w:pPr>
        <w:pStyle w:val="ListParagraph"/>
        <w:numPr>
          <w:ilvl w:val="0"/>
          <w:numId w:val="39"/>
        </w:numPr>
        <w:rPr>
          <w:rFonts w:cstheme="minorHAnsi"/>
        </w:rPr>
      </w:pPr>
      <w:r w:rsidRPr="006A74F8">
        <w:rPr>
          <w:rFonts w:cstheme="minorHAnsi"/>
        </w:rPr>
        <w:t xml:space="preserve">Other </w:t>
      </w:r>
      <w:r w:rsidRPr="006A74F8">
        <w:rPr>
          <w:rFonts w:cstheme="minorHAnsi"/>
          <w:b/>
        </w:rPr>
        <w:t>court orders</w:t>
      </w:r>
      <w:r w:rsidR="00C25E74" w:rsidRPr="006A74F8">
        <w:rPr>
          <w:rFonts w:cstheme="minorHAnsi"/>
        </w:rPr>
        <w:t>:</w:t>
      </w:r>
      <w:r w:rsidRPr="006A74F8">
        <w:rPr>
          <w:rFonts w:cstheme="minorHAnsi"/>
        </w:rPr>
        <w:t xml:space="preserve"> including ability for courts to make additional orders, such as adverse publicity orders and non-punitive orders, will mean businesses </w:t>
      </w:r>
      <w:r w:rsidR="00A51FE9" w:rsidRPr="006A74F8">
        <w:rPr>
          <w:rFonts w:cstheme="minorHAnsi"/>
        </w:rPr>
        <w:t xml:space="preserve">that </w:t>
      </w:r>
      <w:r w:rsidRPr="006A74F8">
        <w:rPr>
          <w:rFonts w:cstheme="minorHAnsi"/>
        </w:rPr>
        <w:t>NMI does take court action against may be subject to such orders in addition to a monetary fine.</w:t>
      </w:r>
    </w:p>
    <w:p w:rsidR="00811521" w:rsidRPr="006A74F8" w:rsidRDefault="00811521" w:rsidP="002E3E8D">
      <w:pPr>
        <w:pStyle w:val="ListParagraph"/>
        <w:numPr>
          <w:ilvl w:val="0"/>
          <w:numId w:val="39"/>
        </w:numPr>
        <w:rPr>
          <w:rFonts w:cstheme="minorHAnsi"/>
        </w:rPr>
      </w:pPr>
      <w:r w:rsidRPr="006A74F8">
        <w:rPr>
          <w:rFonts w:cstheme="minorHAnsi"/>
          <w:b/>
        </w:rPr>
        <w:t>Due diligence defence</w:t>
      </w:r>
      <w:r w:rsidR="00C25E74" w:rsidRPr="006A74F8">
        <w:rPr>
          <w:rFonts w:cstheme="minorHAnsi"/>
        </w:rPr>
        <w:t>:</w:t>
      </w:r>
      <w:r w:rsidRPr="006A74F8">
        <w:rPr>
          <w:rFonts w:cstheme="minorHAnsi"/>
        </w:rPr>
        <w:t xml:space="preserve"> inclusion of a defence for businesses where it can be demonstrated that they exercised due diligence to prevent the contravention.</w:t>
      </w:r>
    </w:p>
    <w:p w:rsidR="00684031" w:rsidRPr="006A74F8" w:rsidRDefault="00811521">
      <w:r w:rsidRPr="006A74F8">
        <w:t xml:space="preserve">In addition to the introduction of the tools outlined above, </w:t>
      </w:r>
      <w:r w:rsidR="000E1261" w:rsidRPr="006A74F8">
        <w:rPr>
          <w:b/>
        </w:rPr>
        <w:t>o</w:t>
      </w:r>
      <w:r w:rsidRPr="006A74F8">
        <w:rPr>
          <w:b/>
        </w:rPr>
        <w:t>ption</w:t>
      </w:r>
      <w:r w:rsidR="00B62AF5" w:rsidRPr="006A74F8">
        <w:rPr>
          <w:b/>
        </w:rPr>
        <w:t>s</w:t>
      </w:r>
      <w:r w:rsidRPr="006A74F8">
        <w:rPr>
          <w:b/>
        </w:rPr>
        <w:t xml:space="preserve"> 2</w:t>
      </w:r>
      <w:r w:rsidR="00B62AF5" w:rsidRPr="006A74F8">
        <w:rPr>
          <w:b/>
        </w:rPr>
        <w:t xml:space="preserve"> and 3</w:t>
      </w:r>
      <w:r w:rsidRPr="006A74F8">
        <w:t xml:space="preserve"> would include additional mechanisms to support industry based solutions through enforceable industry codes of conduct. It will also enable the recall of measuring instruments and packaged products to provide added confidence for the introduction of more flexible instrument assurance pathways.</w:t>
      </w:r>
    </w:p>
    <w:p w:rsidR="009E3EDF" w:rsidRPr="006A74F8" w:rsidRDefault="005D3CBA" w:rsidP="005D3CBA">
      <w:pPr>
        <w:pStyle w:val="Heading2"/>
      </w:pPr>
      <w:bookmarkStart w:id="1458" w:name="_Understanding_how_the"/>
      <w:bookmarkStart w:id="1459" w:name="_Toc67313604"/>
      <w:bookmarkStart w:id="1460" w:name="_Toc67320797"/>
      <w:bookmarkStart w:id="1461" w:name="_Toc67321950"/>
      <w:bookmarkStart w:id="1462" w:name="_Toc67324415"/>
      <w:bookmarkStart w:id="1463" w:name="_Toc67326576"/>
      <w:bookmarkEnd w:id="1458"/>
      <w:r w:rsidRPr="006A74F8">
        <w:t>Understanding how the options deliver m</w:t>
      </w:r>
      <w:r w:rsidR="009E3EDF" w:rsidRPr="006A74F8">
        <w:t xml:space="preserve">easurement </w:t>
      </w:r>
      <w:r w:rsidRPr="006A74F8">
        <w:t>policy objectives</w:t>
      </w:r>
      <w:bookmarkEnd w:id="1459"/>
      <w:bookmarkEnd w:id="1460"/>
      <w:bookmarkEnd w:id="1461"/>
      <w:bookmarkEnd w:id="1462"/>
      <w:bookmarkEnd w:id="1463"/>
    </w:p>
    <w:p w:rsidR="00517022" w:rsidRPr="006A74F8" w:rsidRDefault="009E3EDF" w:rsidP="002345B4">
      <w:r w:rsidRPr="006A74F8">
        <w:t xml:space="preserve">The Australian Government’s primary policy objective is to provide a strong and effective national measurement system that is trusted, recognised and accepted both domestically and internationally. The review identified ten principles that together provide confidence in the measurement system, ensure adaptability of the legislation, and outcomes for stakeholders. </w:t>
      </w:r>
    </w:p>
    <w:p w:rsidR="003B5BE3" w:rsidRPr="006A74F8" w:rsidRDefault="003B5BE3" w:rsidP="003B5BE3">
      <w:pPr>
        <w:pStyle w:val="Caption"/>
        <w:keepNext/>
      </w:pPr>
      <w:r w:rsidRPr="006A74F8">
        <w:lastRenderedPageBreak/>
        <w:t xml:space="preserve">Table </w:t>
      </w:r>
      <w:r w:rsidR="00480B0E">
        <w:fldChar w:fldCharType="begin"/>
      </w:r>
      <w:r w:rsidR="00480B0E">
        <w:instrText xml:space="preserve"> SEQ Table \* ARABIC </w:instrText>
      </w:r>
      <w:r w:rsidR="00480B0E">
        <w:fldChar w:fldCharType="separate"/>
      </w:r>
      <w:r w:rsidR="0033017F">
        <w:rPr>
          <w:noProof/>
        </w:rPr>
        <w:t>6</w:t>
      </w:r>
      <w:r w:rsidR="00480B0E">
        <w:fldChar w:fldCharType="end"/>
      </w:r>
      <w:r w:rsidRPr="006A74F8">
        <w:t>: Key policy principles</w:t>
      </w:r>
    </w:p>
    <w:tbl>
      <w:tblPr>
        <w:tblStyle w:val="TableGrid"/>
        <w:tblW w:w="0" w:type="auto"/>
        <w:tblLook w:val="04A0" w:firstRow="1" w:lastRow="0" w:firstColumn="1" w:lastColumn="0" w:noHBand="0" w:noVBand="1"/>
        <w:tblCaption w:val="List of policy principles"/>
        <w:tblDescription w:val="1. Industry efficiency &#10;2. Community trust &#10;3. Government reliance&#10;4. International recognition &#10;5. Enables innovation &#10;6. Fit for purpose &#10;7. Future flexibility &#10;8. Industry investment &#10;9. Balancing market costs and benefits &#10;10. Balancing cost to government &#10;"/>
      </w:tblPr>
      <w:tblGrid>
        <w:gridCol w:w="2972"/>
        <w:gridCol w:w="6045"/>
      </w:tblGrid>
      <w:tr w:rsidR="008D03A9" w:rsidRPr="006A74F8" w:rsidTr="001946E7">
        <w:trPr>
          <w:tblHeader/>
        </w:trPr>
        <w:tc>
          <w:tcPr>
            <w:tcW w:w="2972" w:type="dxa"/>
            <w:shd w:val="clear" w:color="auto" w:fill="1F3864"/>
          </w:tcPr>
          <w:p w:rsidR="008D03A9" w:rsidRPr="006A74F8" w:rsidRDefault="008D03A9" w:rsidP="00CA7DE9">
            <w:pPr>
              <w:keepNext/>
              <w:autoSpaceDE w:val="0"/>
              <w:autoSpaceDN w:val="0"/>
              <w:adjustRightInd w:val="0"/>
              <w:rPr>
                <w:b/>
                <w:color w:val="FFFFFF" w:themeColor="background1"/>
              </w:rPr>
            </w:pPr>
            <w:r w:rsidRPr="006A74F8">
              <w:rPr>
                <w:b/>
                <w:color w:val="FFFFFF" w:themeColor="background1"/>
              </w:rPr>
              <w:t>Policy objective</w:t>
            </w:r>
          </w:p>
        </w:tc>
        <w:tc>
          <w:tcPr>
            <w:tcW w:w="6045" w:type="dxa"/>
            <w:shd w:val="clear" w:color="auto" w:fill="1F3864"/>
          </w:tcPr>
          <w:p w:rsidR="008D03A9" w:rsidRPr="006A74F8" w:rsidRDefault="008D03A9" w:rsidP="00CA7DE9">
            <w:pPr>
              <w:keepNext/>
              <w:autoSpaceDE w:val="0"/>
              <w:autoSpaceDN w:val="0"/>
              <w:adjustRightInd w:val="0"/>
              <w:rPr>
                <w:rFonts w:eastAsia="Calibri" w:cstheme="minorHAnsi"/>
                <w:b/>
                <w:color w:val="FFFFFF" w:themeColor="background1"/>
              </w:rPr>
            </w:pPr>
            <w:r w:rsidRPr="006A74F8">
              <w:rPr>
                <w:rFonts w:eastAsia="Calibri" w:cstheme="minorHAnsi"/>
                <w:b/>
                <w:color w:val="FFFFFF" w:themeColor="background1"/>
              </w:rPr>
              <w:t>Policy principle</w:t>
            </w:r>
          </w:p>
        </w:tc>
      </w:tr>
      <w:tr w:rsidR="00315E0F" w:rsidRPr="006A74F8" w:rsidTr="00315E0F">
        <w:tc>
          <w:tcPr>
            <w:tcW w:w="2972" w:type="dxa"/>
            <w:vMerge w:val="restart"/>
          </w:tcPr>
          <w:p w:rsidR="00315E0F" w:rsidRPr="006A74F8" w:rsidRDefault="00315E0F" w:rsidP="00315E0F">
            <w:pPr>
              <w:autoSpaceDE w:val="0"/>
              <w:autoSpaceDN w:val="0"/>
              <w:adjustRightInd w:val="0"/>
            </w:pPr>
            <w:r w:rsidRPr="006A74F8">
              <w:t>Measurement confidence</w:t>
            </w:r>
          </w:p>
          <w:p w:rsidR="00315E0F" w:rsidRPr="006A74F8" w:rsidRDefault="00315E0F" w:rsidP="00517022">
            <w:pPr>
              <w:autoSpaceDE w:val="0"/>
              <w:autoSpaceDN w:val="0"/>
              <w:adjustRightInd w:val="0"/>
            </w:pPr>
          </w:p>
        </w:tc>
        <w:tc>
          <w:tcPr>
            <w:tcW w:w="6045" w:type="dxa"/>
          </w:tcPr>
          <w:p w:rsidR="00315E0F" w:rsidRPr="006A74F8" w:rsidRDefault="00315E0F" w:rsidP="007E20E1">
            <w:pPr>
              <w:pStyle w:val="ListParagraph"/>
              <w:numPr>
                <w:ilvl w:val="0"/>
                <w:numId w:val="85"/>
              </w:numPr>
              <w:autoSpaceDE w:val="0"/>
              <w:autoSpaceDN w:val="0"/>
              <w:adjustRightInd w:val="0"/>
              <w:rPr>
                <w:rFonts w:eastAsia="Calibri" w:cstheme="minorHAnsi"/>
                <w:color w:val="000000"/>
              </w:rPr>
            </w:pPr>
            <w:r w:rsidRPr="006A74F8">
              <w:rPr>
                <w:rFonts w:eastAsia="Calibri" w:cstheme="minorHAnsi"/>
                <w:color w:val="000000"/>
              </w:rPr>
              <w:t xml:space="preserve">Industry efficiency </w:t>
            </w:r>
          </w:p>
        </w:tc>
      </w:tr>
      <w:tr w:rsidR="00315E0F" w:rsidRPr="006A74F8" w:rsidTr="00315E0F">
        <w:tc>
          <w:tcPr>
            <w:tcW w:w="2972" w:type="dxa"/>
            <w:vMerge/>
          </w:tcPr>
          <w:p w:rsidR="00315E0F" w:rsidRPr="006A74F8" w:rsidRDefault="00315E0F" w:rsidP="00517022">
            <w:pPr>
              <w:autoSpaceDE w:val="0"/>
              <w:autoSpaceDN w:val="0"/>
              <w:adjustRightInd w:val="0"/>
            </w:pPr>
          </w:p>
        </w:tc>
        <w:tc>
          <w:tcPr>
            <w:tcW w:w="6045" w:type="dxa"/>
          </w:tcPr>
          <w:p w:rsidR="00315E0F" w:rsidRPr="006A74F8" w:rsidRDefault="00315E0F" w:rsidP="007E20E1">
            <w:pPr>
              <w:pStyle w:val="ListParagraph"/>
              <w:numPr>
                <w:ilvl w:val="0"/>
                <w:numId w:val="85"/>
              </w:numPr>
              <w:autoSpaceDE w:val="0"/>
              <w:autoSpaceDN w:val="0"/>
              <w:adjustRightInd w:val="0"/>
              <w:rPr>
                <w:rFonts w:eastAsia="Calibri" w:cstheme="minorHAnsi"/>
              </w:rPr>
            </w:pPr>
            <w:r w:rsidRPr="006A74F8">
              <w:rPr>
                <w:rFonts w:eastAsia="Calibri" w:cstheme="minorHAnsi"/>
                <w:color w:val="000000"/>
              </w:rPr>
              <w:t xml:space="preserve">Community trust </w:t>
            </w:r>
          </w:p>
        </w:tc>
      </w:tr>
      <w:tr w:rsidR="00315E0F" w:rsidRPr="006A74F8" w:rsidTr="00315E0F">
        <w:tc>
          <w:tcPr>
            <w:tcW w:w="2972" w:type="dxa"/>
            <w:vMerge/>
          </w:tcPr>
          <w:p w:rsidR="00315E0F" w:rsidRPr="006A74F8" w:rsidRDefault="00315E0F" w:rsidP="00517022">
            <w:pPr>
              <w:autoSpaceDE w:val="0"/>
              <w:autoSpaceDN w:val="0"/>
              <w:adjustRightInd w:val="0"/>
            </w:pPr>
          </w:p>
        </w:tc>
        <w:tc>
          <w:tcPr>
            <w:tcW w:w="6045" w:type="dxa"/>
          </w:tcPr>
          <w:p w:rsidR="00315E0F" w:rsidRPr="006A74F8" w:rsidRDefault="00315E0F" w:rsidP="007E20E1">
            <w:pPr>
              <w:pStyle w:val="ListParagraph"/>
              <w:numPr>
                <w:ilvl w:val="0"/>
                <w:numId w:val="85"/>
              </w:numPr>
              <w:autoSpaceDE w:val="0"/>
              <w:autoSpaceDN w:val="0"/>
              <w:adjustRightInd w:val="0"/>
              <w:rPr>
                <w:rFonts w:eastAsia="Calibri" w:cstheme="minorHAnsi"/>
                <w:color w:val="000000"/>
              </w:rPr>
            </w:pPr>
            <w:r w:rsidRPr="006A74F8">
              <w:rPr>
                <w:rFonts w:eastAsia="Calibri" w:cstheme="minorHAnsi"/>
                <w:color w:val="000000"/>
              </w:rPr>
              <w:t>Government reliance</w:t>
            </w:r>
          </w:p>
        </w:tc>
      </w:tr>
      <w:tr w:rsidR="00315E0F" w:rsidRPr="006A74F8" w:rsidTr="00315E0F">
        <w:tc>
          <w:tcPr>
            <w:tcW w:w="2972" w:type="dxa"/>
            <w:vMerge/>
          </w:tcPr>
          <w:p w:rsidR="00315E0F" w:rsidRPr="006A74F8" w:rsidRDefault="00315E0F" w:rsidP="00517022">
            <w:pPr>
              <w:autoSpaceDE w:val="0"/>
              <w:autoSpaceDN w:val="0"/>
              <w:adjustRightInd w:val="0"/>
            </w:pPr>
          </w:p>
        </w:tc>
        <w:tc>
          <w:tcPr>
            <w:tcW w:w="6045" w:type="dxa"/>
          </w:tcPr>
          <w:p w:rsidR="00315E0F" w:rsidRPr="006A74F8" w:rsidRDefault="00315E0F" w:rsidP="007E20E1">
            <w:pPr>
              <w:pStyle w:val="ListParagraph"/>
              <w:numPr>
                <w:ilvl w:val="0"/>
                <w:numId w:val="85"/>
              </w:numPr>
              <w:autoSpaceDE w:val="0"/>
              <w:autoSpaceDN w:val="0"/>
              <w:adjustRightInd w:val="0"/>
              <w:rPr>
                <w:rFonts w:eastAsia="Calibri" w:cstheme="minorHAnsi"/>
                <w:color w:val="000000"/>
              </w:rPr>
            </w:pPr>
            <w:r w:rsidRPr="006A74F8">
              <w:rPr>
                <w:rFonts w:eastAsia="Calibri" w:cstheme="minorHAnsi"/>
                <w:color w:val="000000"/>
              </w:rPr>
              <w:t xml:space="preserve">International recognition </w:t>
            </w:r>
          </w:p>
        </w:tc>
      </w:tr>
      <w:tr w:rsidR="00315E0F" w:rsidRPr="006A74F8" w:rsidTr="00315E0F">
        <w:tc>
          <w:tcPr>
            <w:tcW w:w="2972" w:type="dxa"/>
            <w:vMerge w:val="restart"/>
          </w:tcPr>
          <w:p w:rsidR="00315E0F" w:rsidRPr="006A74F8" w:rsidRDefault="00315E0F" w:rsidP="00315E0F">
            <w:pPr>
              <w:autoSpaceDE w:val="0"/>
              <w:autoSpaceDN w:val="0"/>
              <w:adjustRightInd w:val="0"/>
              <w:rPr>
                <w:rFonts w:eastAsia="Calibri" w:cstheme="minorHAnsi"/>
              </w:rPr>
            </w:pPr>
            <w:r w:rsidRPr="006A74F8">
              <w:t>Adaptability of the legislation</w:t>
            </w:r>
          </w:p>
          <w:p w:rsidR="00315E0F" w:rsidRPr="006A74F8" w:rsidRDefault="00315E0F" w:rsidP="00517022">
            <w:pPr>
              <w:autoSpaceDE w:val="0"/>
              <w:autoSpaceDN w:val="0"/>
              <w:adjustRightInd w:val="0"/>
            </w:pPr>
          </w:p>
        </w:tc>
        <w:tc>
          <w:tcPr>
            <w:tcW w:w="6045" w:type="dxa"/>
          </w:tcPr>
          <w:p w:rsidR="00315E0F" w:rsidRPr="006A74F8" w:rsidRDefault="00315E0F" w:rsidP="007E20E1">
            <w:pPr>
              <w:pStyle w:val="ListParagraph"/>
              <w:numPr>
                <w:ilvl w:val="0"/>
                <w:numId w:val="85"/>
              </w:numPr>
              <w:autoSpaceDE w:val="0"/>
              <w:autoSpaceDN w:val="0"/>
              <w:adjustRightInd w:val="0"/>
              <w:rPr>
                <w:rFonts w:eastAsia="Calibri" w:cstheme="minorHAnsi"/>
                <w:color w:val="000000"/>
              </w:rPr>
            </w:pPr>
            <w:r w:rsidRPr="006A74F8">
              <w:rPr>
                <w:rFonts w:eastAsia="Calibri" w:cstheme="minorHAnsi"/>
                <w:color w:val="000000"/>
              </w:rPr>
              <w:t xml:space="preserve">Enables innovation </w:t>
            </w:r>
          </w:p>
        </w:tc>
      </w:tr>
      <w:tr w:rsidR="00315E0F" w:rsidRPr="006A74F8" w:rsidTr="00315E0F">
        <w:tc>
          <w:tcPr>
            <w:tcW w:w="2972" w:type="dxa"/>
            <w:vMerge/>
          </w:tcPr>
          <w:p w:rsidR="00315E0F" w:rsidRPr="006A74F8" w:rsidRDefault="00315E0F" w:rsidP="00517022">
            <w:pPr>
              <w:autoSpaceDE w:val="0"/>
              <w:autoSpaceDN w:val="0"/>
              <w:adjustRightInd w:val="0"/>
            </w:pPr>
          </w:p>
        </w:tc>
        <w:tc>
          <w:tcPr>
            <w:tcW w:w="6045" w:type="dxa"/>
          </w:tcPr>
          <w:p w:rsidR="00315E0F" w:rsidRPr="006A74F8" w:rsidRDefault="00315E0F" w:rsidP="007E20E1">
            <w:pPr>
              <w:pStyle w:val="ListParagraph"/>
              <w:numPr>
                <w:ilvl w:val="0"/>
                <w:numId w:val="85"/>
              </w:numPr>
              <w:autoSpaceDE w:val="0"/>
              <w:autoSpaceDN w:val="0"/>
              <w:adjustRightInd w:val="0"/>
              <w:rPr>
                <w:rFonts w:eastAsia="Calibri" w:cstheme="minorHAnsi"/>
                <w:color w:val="000000"/>
              </w:rPr>
            </w:pPr>
            <w:r w:rsidRPr="006A74F8">
              <w:rPr>
                <w:rFonts w:eastAsia="Calibri" w:cstheme="minorHAnsi"/>
                <w:color w:val="000000"/>
              </w:rPr>
              <w:t xml:space="preserve">Fit for purpose </w:t>
            </w:r>
          </w:p>
        </w:tc>
      </w:tr>
      <w:tr w:rsidR="00315E0F" w:rsidRPr="006A74F8" w:rsidTr="00315E0F">
        <w:tc>
          <w:tcPr>
            <w:tcW w:w="2972" w:type="dxa"/>
            <w:vMerge/>
          </w:tcPr>
          <w:p w:rsidR="00315E0F" w:rsidRPr="006A74F8" w:rsidRDefault="00315E0F" w:rsidP="00517022">
            <w:pPr>
              <w:autoSpaceDE w:val="0"/>
              <w:autoSpaceDN w:val="0"/>
              <w:adjustRightInd w:val="0"/>
            </w:pPr>
          </w:p>
        </w:tc>
        <w:tc>
          <w:tcPr>
            <w:tcW w:w="6045" w:type="dxa"/>
          </w:tcPr>
          <w:p w:rsidR="00315E0F" w:rsidRPr="006A74F8" w:rsidRDefault="00315E0F" w:rsidP="007E20E1">
            <w:pPr>
              <w:pStyle w:val="ListParagraph"/>
              <w:numPr>
                <w:ilvl w:val="0"/>
                <w:numId w:val="85"/>
              </w:numPr>
              <w:autoSpaceDE w:val="0"/>
              <w:autoSpaceDN w:val="0"/>
              <w:adjustRightInd w:val="0"/>
              <w:rPr>
                <w:rFonts w:eastAsia="Calibri" w:cstheme="minorHAnsi"/>
                <w:color w:val="000000"/>
              </w:rPr>
            </w:pPr>
            <w:r w:rsidRPr="006A74F8">
              <w:rPr>
                <w:rFonts w:eastAsia="Calibri" w:cstheme="minorHAnsi"/>
                <w:color w:val="000000"/>
              </w:rPr>
              <w:t xml:space="preserve">Future flexibility </w:t>
            </w:r>
          </w:p>
        </w:tc>
      </w:tr>
      <w:tr w:rsidR="00315E0F" w:rsidRPr="006A74F8" w:rsidTr="00315E0F">
        <w:tc>
          <w:tcPr>
            <w:tcW w:w="2972" w:type="dxa"/>
            <w:vMerge w:val="restart"/>
          </w:tcPr>
          <w:p w:rsidR="00315E0F" w:rsidRPr="006A74F8" w:rsidRDefault="00315E0F" w:rsidP="00315E0F">
            <w:pPr>
              <w:autoSpaceDE w:val="0"/>
              <w:autoSpaceDN w:val="0"/>
              <w:adjustRightInd w:val="0"/>
              <w:spacing w:after="120"/>
              <w:rPr>
                <w:rFonts w:eastAsia="Calibri" w:cstheme="minorHAnsi"/>
                <w:b/>
                <w:color w:val="000000"/>
              </w:rPr>
            </w:pPr>
            <w:r w:rsidRPr="006A74F8">
              <w:t>Outcomes for stakeholders</w:t>
            </w:r>
          </w:p>
          <w:p w:rsidR="00315E0F" w:rsidRPr="006A74F8" w:rsidRDefault="00315E0F" w:rsidP="00517022">
            <w:pPr>
              <w:autoSpaceDE w:val="0"/>
              <w:autoSpaceDN w:val="0"/>
              <w:adjustRightInd w:val="0"/>
            </w:pPr>
          </w:p>
        </w:tc>
        <w:tc>
          <w:tcPr>
            <w:tcW w:w="6045" w:type="dxa"/>
          </w:tcPr>
          <w:p w:rsidR="00315E0F" w:rsidRPr="006A74F8" w:rsidRDefault="00315E0F" w:rsidP="007E20E1">
            <w:pPr>
              <w:pStyle w:val="ListParagraph"/>
              <w:numPr>
                <w:ilvl w:val="0"/>
                <w:numId w:val="85"/>
              </w:numPr>
              <w:autoSpaceDE w:val="0"/>
              <w:autoSpaceDN w:val="0"/>
              <w:adjustRightInd w:val="0"/>
              <w:rPr>
                <w:rFonts w:eastAsia="Calibri" w:cstheme="minorHAnsi"/>
                <w:color w:val="000000"/>
              </w:rPr>
            </w:pPr>
            <w:r w:rsidRPr="006A74F8">
              <w:rPr>
                <w:rFonts w:eastAsia="Calibri" w:cstheme="minorHAnsi"/>
                <w:color w:val="000000"/>
              </w:rPr>
              <w:t xml:space="preserve">Industry investment </w:t>
            </w:r>
          </w:p>
        </w:tc>
      </w:tr>
      <w:tr w:rsidR="00315E0F" w:rsidRPr="006A74F8" w:rsidTr="00315E0F">
        <w:tc>
          <w:tcPr>
            <w:tcW w:w="2972" w:type="dxa"/>
            <w:vMerge/>
          </w:tcPr>
          <w:p w:rsidR="00315E0F" w:rsidRPr="006A74F8" w:rsidRDefault="00315E0F" w:rsidP="00517022">
            <w:pPr>
              <w:autoSpaceDE w:val="0"/>
              <w:autoSpaceDN w:val="0"/>
              <w:adjustRightInd w:val="0"/>
            </w:pPr>
          </w:p>
        </w:tc>
        <w:tc>
          <w:tcPr>
            <w:tcW w:w="6045" w:type="dxa"/>
          </w:tcPr>
          <w:p w:rsidR="00315E0F" w:rsidRPr="006A74F8" w:rsidRDefault="00315E0F" w:rsidP="007E20E1">
            <w:pPr>
              <w:pStyle w:val="ListParagraph"/>
              <w:numPr>
                <w:ilvl w:val="0"/>
                <w:numId w:val="85"/>
              </w:numPr>
              <w:autoSpaceDE w:val="0"/>
              <w:autoSpaceDN w:val="0"/>
              <w:adjustRightInd w:val="0"/>
              <w:rPr>
                <w:rFonts w:eastAsia="Calibri" w:cstheme="minorHAnsi"/>
                <w:color w:val="000000"/>
              </w:rPr>
            </w:pPr>
            <w:r w:rsidRPr="006A74F8">
              <w:rPr>
                <w:rFonts w:eastAsia="Calibri" w:cstheme="minorHAnsi"/>
                <w:color w:val="000000"/>
              </w:rPr>
              <w:t xml:space="preserve">Balancing market costs and benefits </w:t>
            </w:r>
          </w:p>
        </w:tc>
      </w:tr>
      <w:tr w:rsidR="00315E0F" w:rsidRPr="006A74F8" w:rsidTr="00315E0F">
        <w:tc>
          <w:tcPr>
            <w:tcW w:w="2972" w:type="dxa"/>
            <w:vMerge/>
          </w:tcPr>
          <w:p w:rsidR="00315E0F" w:rsidRPr="006A74F8" w:rsidRDefault="00315E0F" w:rsidP="00517022">
            <w:pPr>
              <w:autoSpaceDE w:val="0"/>
              <w:autoSpaceDN w:val="0"/>
              <w:adjustRightInd w:val="0"/>
            </w:pPr>
          </w:p>
        </w:tc>
        <w:tc>
          <w:tcPr>
            <w:tcW w:w="6045" w:type="dxa"/>
          </w:tcPr>
          <w:p w:rsidR="00315E0F" w:rsidRPr="006A74F8" w:rsidRDefault="00315E0F" w:rsidP="007E20E1">
            <w:pPr>
              <w:pStyle w:val="ListParagraph"/>
              <w:numPr>
                <w:ilvl w:val="0"/>
                <w:numId w:val="85"/>
              </w:numPr>
              <w:autoSpaceDE w:val="0"/>
              <w:autoSpaceDN w:val="0"/>
              <w:adjustRightInd w:val="0"/>
              <w:rPr>
                <w:rFonts w:eastAsia="Calibri" w:cstheme="minorHAnsi"/>
                <w:color w:val="000000"/>
              </w:rPr>
            </w:pPr>
            <w:r w:rsidRPr="006A74F8">
              <w:rPr>
                <w:rFonts w:eastAsia="Calibri" w:cstheme="minorHAnsi"/>
                <w:color w:val="000000"/>
              </w:rPr>
              <w:t xml:space="preserve">Balancing cost to government </w:t>
            </w:r>
          </w:p>
        </w:tc>
      </w:tr>
    </w:tbl>
    <w:p w:rsidR="00D6645A" w:rsidRPr="006A74F8" w:rsidRDefault="00517022" w:rsidP="00A93482">
      <w:pPr>
        <w:autoSpaceDE w:val="0"/>
        <w:autoSpaceDN w:val="0"/>
        <w:adjustRightInd w:val="0"/>
        <w:spacing w:before="240" w:after="120"/>
      </w:pPr>
      <w:r w:rsidRPr="006A74F8">
        <w:t>A summary of the</w:t>
      </w:r>
      <w:r w:rsidR="009E3EDF" w:rsidRPr="006A74F8">
        <w:t xml:space="preserve"> </w:t>
      </w:r>
      <w:r w:rsidRPr="006A74F8">
        <w:t xml:space="preserve">assessment </w:t>
      </w:r>
      <w:r w:rsidR="002345B4" w:rsidRPr="006A74F8">
        <w:t xml:space="preserve">provided below </w:t>
      </w:r>
      <w:r w:rsidRPr="006A74F8">
        <w:t>is in</w:t>
      </w:r>
      <w:r w:rsidRPr="006A74F8">
        <w:rPr>
          <w:i/>
        </w:rPr>
        <w:t xml:space="preserve"> Table 2 – Alignment of proposed options with </w:t>
      </w:r>
      <w:r w:rsidR="00A804B0" w:rsidRPr="006A74F8">
        <w:rPr>
          <w:i/>
        </w:rPr>
        <w:t xml:space="preserve">the </w:t>
      </w:r>
      <w:r w:rsidRPr="006A74F8">
        <w:rPr>
          <w:i/>
        </w:rPr>
        <w:t>key policy principles</w:t>
      </w:r>
      <w:r w:rsidR="00D6645A" w:rsidRPr="006A74F8">
        <w:rPr>
          <w:i/>
        </w:rPr>
        <w:t xml:space="preserve"> </w:t>
      </w:r>
      <w:r w:rsidR="00D6645A" w:rsidRPr="006A74F8">
        <w:t>in the Executive Summary</w:t>
      </w:r>
      <w:r w:rsidRPr="006A74F8">
        <w:t xml:space="preserve">. </w:t>
      </w:r>
    </w:p>
    <w:p w:rsidR="00C17260" w:rsidRPr="006A74F8" w:rsidRDefault="00C17260" w:rsidP="00C17260">
      <w:pPr>
        <w:spacing w:before="240"/>
      </w:pPr>
      <w:r w:rsidRPr="006A74F8">
        <w:t xml:space="preserve">Overall this assessment concluded that: </w:t>
      </w:r>
    </w:p>
    <w:p w:rsidR="00C17260" w:rsidRPr="006A74F8" w:rsidRDefault="00C17260" w:rsidP="004C54D2">
      <w:pPr>
        <w:pStyle w:val="ListParagraph"/>
        <w:numPr>
          <w:ilvl w:val="0"/>
          <w:numId w:val="1"/>
        </w:numPr>
      </w:pPr>
      <w:r w:rsidRPr="006A74F8">
        <w:rPr>
          <w:b/>
        </w:rPr>
        <w:t>Status quo</w:t>
      </w:r>
      <w:r w:rsidR="008D03A9" w:rsidRPr="006A74F8">
        <w:t xml:space="preserve"> </w:t>
      </w:r>
      <w:r w:rsidRPr="006A74F8">
        <w:rPr>
          <w:rFonts w:cstheme="minorHAnsi"/>
        </w:rPr>
        <w:t xml:space="preserve">meets the policy principles to a low </w:t>
      </w:r>
      <w:r w:rsidR="000A2BEA" w:rsidRPr="006A74F8">
        <w:rPr>
          <w:rFonts w:cstheme="minorHAnsi"/>
        </w:rPr>
        <w:t xml:space="preserve">to moderate </w:t>
      </w:r>
      <w:r w:rsidRPr="006A74F8">
        <w:rPr>
          <w:rFonts w:cstheme="minorHAnsi"/>
        </w:rPr>
        <w:t>degree.</w:t>
      </w:r>
    </w:p>
    <w:p w:rsidR="00C17260" w:rsidRPr="006A74F8" w:rsidRDefault="00C17260" w:rsidP="004C54D2">
      <w:pPr>
        <w:pStyle w:val="ListParagraph"/>
        <w:numPr>
          <w:ilvl w:val="0"/>
          <w:numId w:val="1"/>
        </w:numPr>
      </w:pPr>
      <w:r w:rsidRPr="006A74F8">
        <w:rPr>
          <w:b/>
        </w:rPr>
        <w:t>Option 1</w:t>
      </w:r>
      <w:r w:rsidRPr="006A74F8">
        <w:t xml:space="preserve"> meets the policy principles to a moderate degree.</w:t>
      </w:r>
    </w:p>
    <w:p w:rsidR="00C17260" w:rsidRPr="006A74F8" w:rsidRDefault="00C17260" w:rsidP="004C54D2">
      <w:pPr>
        <w:pStyle w:val="ListParagraph"/>
        <w:numPr>
          <w:ilvl w:val="0"/>
          <w:numId w:val="1"/>
        </w:numPr>
      </w:pPr>
      <w:r w:rsidRPr="006A74F8">
        <w:rPr>
          <w:b/>
        </w:rPr>
        <w:t>Option 2</w:t>
      </w:r>
      <w:r w:rsidRPr="006A74F8">
        <w:t xml:space="preserve"> meets the </w:t>
      </w:r>
      <w:r w:rsidR="000E7CAD" w:rsidRPr="006A74F8">
        <w:t xml:space="preserve">policy principles </w:t>
      </w:r>
      <w:r w:rsidRPr="006A74F8">
        <w:t>to a high degree.</w:t>
      </w:r>
    </w:p>
    <w:p w:rsidR="00C17260" w:rsidRPr="006A74F8" w:rsidRDefault="00C17260" w:rsidP="004C54D2">
      <w:pPr>
        <w:pStyle w:val="ListParagraph"/>
        <w:numPr>
          <w:ilvl w:val="0"/>
          <w:numId w:val="1"/>
        </w:numPr>
      </w:pPr>
      <w:r w:rsidRPr="006A74F8">
        <w:rPr>
          <w:b/>
        </w:rPr>
        <w:t>Option 3</w:t>
      </w:r>
      <w:r w:rsidRPr="006A74F8">
        <w:t xml:space="preserve"> meets the p</w:t>
      </w:r>
      <w:r w:rsidR="000E7CAD" w:rsidRPr="006A74F8">
        <w:t xml:space="preserve">olicy principles </w:t>
      </w:r>
      <w:r w:rsidRPr="006A74F8">
        <w:t>to a high degree.</w:t>
      </w:r>
    </w:p>
    <w:p w:rsidR="009E3EDF" w:rsidRPr="006A74F8" w:rsidRDefault="005D3CBA" w:rsidP="009E3EDF">
      <w:pPr>
        <w:pStyle w:val="Heading3"/>
        <w:rPr>
          <w:rFonts w:eastAsia="Calibri"/>
        </w:rPr>
      </w:pPr>
      <w:r w:rsidRPr="006A74F8">
        <w:t>How the options were assessed</w:t>
      </w:r>
    </w:p>
    <w:p w:rsidR="009E3EDF" w:rsidRPr="006A74F8" w:rsidRDefault="009E3EDF" w:rsidP="009E3EDF">
      <w:r w:rsidRPr="006A74F8">
        <w:t xml:space="preserve">The options were assessed against the </w:t>
      </w:r>
      <w:r w:rsidRPr="006A74F8">
        <w:rPr>
          <w:rFonts w:cstheme="minorHAnsi"/>
          <w:szCs w:val="24"/>
        </w:rPr>
        <w:t>key policy principles</w:t>
      </w:r>
      <w:r w:rsidRPr="006A74F8">
        <w:rPr>
          <w:rFonts w:cstheme="minorHAnsi"/>
          <w:b/>
          <w:szCs w:val="24"/>
        </w:rPr>
        <w:t xml:space="preserve"> </w:t>
      </w:r>
      <w:r w:rsidRPr="006A74F8">
        <w:t>to determine how they would meet the requirements for the measurement framework. This included:</w:t>
      </w:r>
    </w:p>
    <w:p w:rsidR="009E3EDF" w:rsidRPr="006A74F8" w:rsidRDefault="008D03A9" w:rsidP="007E20E1">
      <w:pPr>
        <w:pStyle w:val="ListParagraph"/>
        <w:numPr>
          <w:ilvl w:val="1"/>
          <w:numId w:val="7"/>
        </w:numPr>
        <w:tabs>
          <w:tab w:val="clear" w:pos="1440"/>
          <w:tab w:val="num" w:pos="1080"/>
        </w:tabs>
        <w:ind w:left="1080"/>
      </w:pPr>
      <w:r w:rsidRPr="006A74F8">
        <w:t>i</w:t>
      </w:r>
      <w:r w:rsidR="009E3EDF" w:rsidRPr="006A74F8">
        <w:t>dentifying the benefits and costs of each reform option</w:t>
      </w:r>
    </w:p>
    <w:p w:rsidR="009E3EDF" w:rsidRPr="006A74F8" w:rsidRDefault="008D03A9" w:rsidP="007E20E1">
      <w:pPr>
        <w:pStyle w:val="ListParagraph"/>
        <w:numPr>
          <w:ilvl w:val="1"/>
          <w:numId w:val="7"/>
        </w:numPr>
        <w:tabs>
          <w:tab w:val="clear" w:pos="1440"/>
          <w:tab w:val="num" w:pos="1080"/>
        </w:tabs>
        <w:ind w:left="1080"/>
      </w:pPr>
      <w:r w:rsidRPr="006A74F8">
        <w:t>c</w:t>
      </w:r>
      <w:r w:rsidR="009E3EDF" w:rsidRPr="006A74F8">
        <w:t xml:space="preserve">onsidering interdependencies and reliance by stakeholders (i.e. business, government, trade) </w:t>
      </w:r>
    </w:p>
    <w:p w:rsidR="009E3EDF" w:rsidRPr="006A74F8" w:rsidRDefault="008D03A9" w:rsidP="007E20E1">
      <w:pPr>
        <w:pStyle w:val="ListParagraph"/>
        <w:numPr>
          <w:ilvl w:val="1"/>
          <w:numId w:val="7"/>
        </w:numPr>
        <w:tabs>
          <w:tab w:val="clear" w:pos="1440"/>
          <w:tab w:val="num" w:pos="1080"/>
        </w:tabs>
        <w:ind w:left="1080"/>
      </w:pPr>
      <w:r w:rsidRPr="006A74F8">
        <w:t>d</w:t>
      </w:r>
      <w:r w:rsidR="009E3EDF" w:rsidRPr="006A74F8">
        <w:t xml:space="preserve">etailed analysis by </w:t>
      </w:r>
      <w:r w:rsidR="002951EC" w:rsidRPr="006A74F8">
        <w:t xml:space="preserve">key elements </w:t>
      </w:r>
      <w:r w:rsidR="001314F9" w:rsidRPr="006A74F8">
        <w:t xml:space="preserve">of </w:t>
      </w:r>
      <w:r w:rsidR="009E3EDF" w:rsidRPr="006A74F8">
        <w:t>the measurement law</w:t>
      </w:r>
      <w:r w:rsidR="009E3EDF" w:rsidRPr="006A74F8">
        <w:rPr>
          <w:rStyle w:val="FootnoteReference"/>
        </w:rPr>
        <w:footnoteReference w:id="74"/>
      </w:r>
    </w:p>
    <w:p w:rsidR="009E3EDF" w:rsidRPr="006A74F8" w:rsidRDefault="008D03A9" w:rsidP="007E20E1">
      <w:pPr>
        <w:pStyle w:val="ListParagraph"/>
        <w:numPr>
          <w:ilvl w:val="1"/>
          <w:numId w:val="7"/>
        </w:numPr>
        <w:tabs>
          <w:tab w:val="clear" w:pos="1440"/>
          <w:tab w:val="num" w:pos="1080"/>
        </w:tabs>
        <w:ind w:left="1080"/>
      </w:pPr>
      <w:r w:rsidRPr="006A74F8">
        <w:t>a</w:t>
      </w:r>
      <w:r w:rsidR="009E3EDF" w:rsidRPr="006A74F8">
        <w:t>nalysis of impact on the broader measurement framework as a whole</w:t>
      </w:r>
    </w:p>
    <w:p w:rsidR="009E3EDF" w:rsidRPr="006A74F8" w:rsidRDefault="008D03A9" w:rsidP="007E20E1">
      <w:pPr>
        <w:pStyle w:val="ListParagraph"/>
        <w:numPr>
          <w:ilvl w:val="1"/>
          <w:numId w:val="7"/>
        </w:numPr>
        <w:tabs>
          <w:tab w:val="clear" w:pos="1440"/>
          <w:tab w:val="num" w:pos="1080"/>
        </w:tabs>
        <w:ind w:left="1080"/>
      </w:pPr>
      <w:r w:rsidRPr="006A74F8">
        <w:t>c</w:t>
      </w:r>
      <w:r w:rsidR="009E3EDF" w:rsidRPr="006A74F8">
        <w:t xml:space="preserve">onsideration of evidence from stakeholder consultation </w:t>
      </w:r>
    </w:p>
    <w:p w:rsidR="009E3EDF" w:rsidRPr="006A74F8" w:rsidRDefault="008D03A9" w:rsidP="007E20E1">
      <w:pPr>
        <w:pStyle w:val="ListParagraph"/>
        <w:numPr>
          <w:ilvl w:val="1"/>
          <w:numId w:val="7"/>
        </w:numPr>
        <w:tabs>
          <w:tab w:val="clear" w:pos="1440"/>
          <w:tab w:val="num" w:pos="1080"/>
        </w:tabs>
        <w:ind w:left="1080"/>
      </w:pPr>
      <w:r w:rsidRPr="006A74F8">
        <w:t>j</w:t>
      </w:r>
      <w:r w:rsidR="009E3EDF" w:rsidRPr="006A74F8">
        <w:t>urisdictional analysis and international comparison</w:t>
      </w:r>
      <w:r w:rsidRPr="006A74F8">
        <w:t>.</w:t>
      </w:r>
    </w:p>
    <w:p w:rsidR="009E3EDF" w:rsidRPr="006A74F8" w:rsidRDefault="009E3EDF" w:rsidP="009E3EDF">
      <w:r w:rsidRPr="006A74F8">
        <w:t xml:space="preserve">Each reform was then rated against the policy objective and principles as: low, medium or high. This rating scale is intentionally distinct from the rating scale used to assess the impacts of the options on stakeholders in the next </w:t>
      </w:r>
      <w:r w:rsidR="005730FB" w:rsidRPr="006A74F8">
        <w:t>chapter</w:t>
      </w:r>
      <w:r w:rsidRPr="006A74F8">
        <w:t>.</w:t>
      </w:r>
    </w:p>
    <w:p w:rsidR="009E3EDF" w:rsidRPr="006A74F8" w:rsidRDefault="009E3EDF" w:rsidP="009E3EDF">
      <w:pPr>
        <w:pStyle w:val="Heading3"/>
        <w:rPr>
          <w:rFonts w:eastAsia="Calibri"/>
        </w:rPr>
      </w:pPr>
      <w:r w:rsidRPr="006A74F8">
        <w:rPr>
          <w:rFonts w:eastAsia="Calibri"/>
        </w:rPr>
        <w:t xml:space="preserve">How each reform option </w:t>
      </w:r>
      <w:r w:rsidRPr="006A74F8">
        <w:t>meets</w:t>
      </w:r>
      <w:r w:rsidRPr="006A74F8">
        <w:rPr>
          <w:rFonts w:eastAsia="Calibri"/>
        </w:rPr>
        <w:t xml:space="preserve"> the policy principles</w:t>
      </w:r>
    </w:p>
    <w:p w:rsidR="009E3EDF" w:rsidRPr="006A74F8" w:rsidRDefault="009E3EDF" w:rsidP="009E3EDF">
      <w:r w:rsidRPr="006A74F8">
        <w:t xml:space="preserve">The reform options have been designed to address the limitations of the existing legislation in meeting the current and future measurement needs of Australia. The below section provides an analysis of how the proposed changes meet the policy principles for the review. </w:t>
      </w:r>
    </w:p>
    <w:p w:rsidR="009E3EDF" w:rsidRPr="006A74F8" w:rsidRDefault="009E3EDF" w:rsidP="009E3EDF">
      <w:pPr>
        <w:pStyle w:val="Heading4"/>
        <w:rPr>
          <w:rFonts w:eastAsia="Calibri"/>
          <w:lang w:eastAsia="en-AU"/>
        </w:rPr>
      </w:pPr>
      <w:r w:rsidRPr="006A74F8">
        <w:rPr>
          <w:rFonts w:eastAsia="Calibri"/>
          <w:lang w:eastAsia="en-AU"/>
        </w:rPr>
        <w:lastRenderedPageBreak/>
        <w:t xml:space="preserve">Measurement </w:t>
      </w:r>
      <w:r w:rsidRPr="006A74F8">
        <w:t>Confidence</w:t>
      </w:r>
      <w:r w:rsidRPr="006A74F8">
        <w:rPr>
          <w:rFonts w:eastAsia="Calibri"/>
          <w:lang w:eastAsia="en-AU"/>
        </w:rPr>
        <w:t>:</w:t>
      </w:r>
    </w:p>
    <w:p w:rsidR="009E3EDF" w:rsidRPr="006A74F8" w:rsidRDefault="009E3EDF" w:rsidP="009E3EDF">
      <w:pPr>
        <w:pStyle w:val="Heading5"/>
      </w:pPr>
      <w:r w:rsidRPr="006A74F8">
        <w:t xml:space="preserve">Industry efficiency </w:t>
      </w:r>
    </w:p>
    <w:p w:rsidR="009E3EDF" w:rsidRPr="006A74F8" w:rsidRDefault="009E3EDF" w:rsidP="009E3EDF">
      <w:pPr>
        <w:rPr>
          <w:lang w:eastAsia="en-AU"/>
        </w:rPr>
      </w:pPr>
      <w:r w:rsidRPr="006A74F8">
        <w:rPr>
          <w:lang w:eastAsia="en-AU"/>
        </w:rPr>
        <w:t>Definition: Creates a level playing field for industry to be able to trade with confidence, reducing transaction costs and enabling competition.</w:t>
      </w:r>
    </w:p>
    <w:p w:rsidR="004C65BA" w:rsidRPr="006A74F8" w:rsidRDefault="004C65BA" w:rsidP="009E3EDF">
      <w:pPr>
        <w:rPr>
          <w:rFonts w:ascii="Calibri" w:eastAsia="Calibri" w:hAnsi="Calibri" w:cs="Calibri"/>
          <w:color w:val="000000"/>
          <w:lang w:eastAsia="en-AU"/>
        </w:rPr>
      </w:pPr>
      <w:r w:rsidRPr="006A74F8">
        <w:rPr>
          <w:rFonts w:ascii="Calibri" w:eastAsia="Calibri" w:hAnsi="Calibri" w:cs="Calibri"/>
          <w:color w:val="000000"/>
          <w:lang w:eastAsia="en-AU"/>
        </w:rPr>
        <w:t xml:space="preserve">The </w:t>
      </w:r>
      <w:r w:rsidR="00D95E1D" w:rsidRPr="006A74F8">
        <w:rPr>
          <w:rFonts w:ascii="Calibri" w:eastAsia="Calibri" w:hAnsi="Calibri" w:cs="Calibri"/>
          <w:color w:val="000000"/>
          <w:lang w:eastAsia="en-AU"/>
        </w:rPr>
        <w:t xml:space="preserve">proposed </w:t>
      </w:r>
      <w:r w:rsidRPr="006A74F8">
        <w:rPr>
          <w:rFonts w:ascii="Calibri" w:eastAsia="Calibri" w:hAnsi="Calibri" w:cs="Calibri"/>
          <w:color w:val="000000"/>
          <w:lang w:eastAsia="en-AU"/>
        </w:rPr>
        <w:t>changes that contribute to this principle include:</w:t>
      </w:r>
    </w:p>
    <w:p w:rsidR="009E3EDF" w:rsidRPr="006A74F8" w:rsidRDefault="00FD2AD4" w:rsidP="00E53CD0">
      <w:pPr>
        <w:pStyle w:val="ListParagraph"/>
        <w:numPr>
          <w:ilvl w:val="0"/>
          <w:numId w:val="75"/>
        </w:numPr>
      </w:pPr>
      <w:r w:rsidRPr="006A74F8">
        <w:rPr>
          <w:b/>
        </w:rPr>
        <w:t>A b</w:t>
      </w:r>
      <w:r w:rsidR="009E3EDF" w:rsidRPr="006A74F8">
        <w:rPr>
          <w:b/>
        </w:rPr>
        <w:t>roader suite of compliance and enforcement tools: All options</w:t>
      </w:r>
      <w:r w:rsidR="009E3EDF" w:rsidRPr="006A74F8">
        <w:t xml:space="preserve"> enable</w:t>
      </w:r>
      <w:r w:rsidR="009E3EDF" w:rsidRPr="006A74F8" w:rsidDel="000C6F01">
        <w:t xml:space="preserve"> </w:t>
      </w:r>
      <w:r w:rsidR="009E3EDF" w:rsidRPr="006A74F8">
        <w:t xml:space="preserve">government to better target non-compliant behaviour with appropriate compliance and enforcement tools. This supports competition and enables industry to trade with greater confidence knowing they are operating on a level playing </w:t>
      </w:r>
      <w:r w:rsidR="009E3EDF" w:rsidRPr="006A74F8" w:rsidDel="001A2091">
        <w:t>field</w:t>
      </w:r>
      <w:r w:rsidR="009E3EDF" w:rsidRPr="006A74F8">
        <w:t xml:space="preserve">. </w:t>
      </w:r>
      <w:r w:rsidR="009E3EDF" w:rsidRPr="006A74F8">
        <w:rPr>
          <w:b/>
        </w:rPr>
        <w:t>Options 2 and 3</w:t>
      </w:r>
      <w:r w:rsidR="009E3EDF" w:rsidRPr="006A74F8">
        <w:t xml:space="preserve"> also introduce enforceable codes of conduct to support a more targeted, collaborative approach with industry</w:t>
      </w:r>
      <w:r w:rsidR="00E27923" w:rsidRPr="006A74F8">
        <w:t xml:space="preserve"> that </w:t>
      </w:r>
      <w:r w:rsidR="00D55DD7" w:rsidRPr="006A74F8">
        <w:t>appropriately targets both</w:t>
      </w:r>
      <w:r w:rsidR="00E27923" w:rsidRPr="006A74F8">
        <w:t xml:space="preserve"> small business and large enterprises</w:t>
      </w:r>
      <w:r w:rsidR="009E3EDF" w:rsidRPr="006A74F8">
        <w:t>.</w:t>
      </w:r>
    </w:p>
    <w:p w:rsidR="009E3EDF" w:rsidRPr="006A74F8" w:rsidRDefault="009E3EDF" w:rsidP="00E53CD0">
      <w:pPr>
        <w:pStyle w:val="ListParagraph"/>
        <w:numPr>
          <w:ilvl w:val="0"/>
          <w:numId w:val="56"/>
        </w:numPr>
      </w:pPr>
      <w:r w:rsidRPr="006A74F8">
        <w:rPr>
          <w:b/>
        </w:rPr>
        <w:t xml:space="preserve">Expanding scope of </w:t>
      </w:r>
      <w:r w:rsidRPr="006A74F8" w:rsidDel="009B1533">
        <w:rPr>
          <w:b/>
        </w:rPr>
        <w:t xml:space="preserve">coverage </w:t>
      </w:r>
      <w:r w:rsidRPr="006A74F8">
        <w:rPr>
          <w:b/>
        </w:rPr>
        <w:t>from shortfall to</w:t>
      </w:r>
      <w:r w:rsidRPr="006A74F8" w:rsidDel="009B1533">
        <w:rPr>
          <w:b/>
        </w:rPr>
        <w:t xml:space="preserve"> false </w:t>
      </w:r>
      <w:r w:rsidR="00B177BB" w:rsidRPr="006A74F8">
        <w:rPr>
          <w:b/>
        </w:rPr>
        <w:t>or</w:t>
      </w:r>
      <w:r w:rsidR="00B177BB" w:rsidRPr="006A74F8" w:rsidDel="009B1533">
        <w:rPr>
          <w:b/>
        </w:rPr>
        <w:t xml:space="preserve"> </w:t>
      </w:r>
      <w:r w:rsidRPr="006A74F8" w:rsidDel="009B1533">
        <w:rPr>
          <w:b/>
        </w:rPr>
        <w:t>misleading measurement</w:t>
      </w:r>
      <w:r w:rsidRPr="006A74F8">
        <w:t xml:space="preserve">: </w:t>
      </w:r>
      <w:r w:rsidRPr="006A74F8">
        <w:rPr>
          <w:b/>
        </w:rPr>
        <w:t>Option 1</w:t>
      </w:r>
      <w:r w:rsidRPr="006A74F8">
        <w:t xml:space="preserve"> partially addresses current gaps through inclusion of purchase of goods (currently only </w:t>
      </w:r>
      <w:r w:rsidRPr="006A74F8">
        <w:rPr>
          <w:u w:val="single"/>
        </w:rPr>
        <w:t>sale</w:t>
      </w:r>
      <w:r w:rsidRPr="006A74F8">
        <w:t xml:space="preserve"> of goods is covered), partially addressing current gaps and further reinforces a level playing field. </w:t>
      </w:r>
      <w:r w:rsidRPr="006A74F8">
        <w:rPr>
          <w:b/>
        </w:rPr>
        <w:t xml:space="preserve">Options 2 and 3 </w:t>
      </w:r>
      <w:r w:rsidRPr="006A74F8">
        <w:t>provide coverage for all types of transactions (i.e. sale and purchase of goods and services), strongly reinforcing a level playing field for industry,</w:t>
      </w:r>
      <w:r w:rsidRPr="006A74F8" w:rsidDel="00DF630C">
        <w:t xml:space="preserve"> </w:t>
      </w:r>
      <w:r w:rsidRPr="006A74F8">
        <w:t>enabling industry to trade with greater confidence.</w:t>
      </w:r>
    </w:p>
    <w:p w:rsidR="009E3EDF" w:rsidRPr="006A74F8" w:rsidRDefault="009E3EDF" w:rsidP="00E53CD0">
      <w:pPr>
        <w:pStyle w:val="ListParagraph"/>
        <w:numPr>
          <w:ilvl w:val="0"/>
          <w:numId w:val="56"/>
        </w:numPr>
      </w:pPr>
      <w:r w:rsidRPr="006A74F8">
        <w:rPr>
          <w:b/>
        </w:rPr>
        <w:t>Efficient access to measurement services</w:t>
      </w:r>
      <w:r w:rsidRPr="006A74F8">
        <w:t xml:space="preserve">: </w:t>
      </w:r>
      <w:r w:rsidRPr="006A74F8">
        <w:rPr>
          <w:b/>
        </w:rPr>
        <w:t>All options</w:t>
      </w:r>
      <w:r w:rsidRPr="006A74F8">
        <w:t xml:space="preserve"> streamline</w:t>
      </w:r>
      <w:r w:rsidR="0015570E" w:rsidRPr="006A74F8">
        <w:t>, to some extent,</w:t>
      </w:r>
      <w:r w:rsidRPr="006A74F8">
        <w:t xml:space="preserve"> requirements for administration of ATPs, </w:t>
      </w:r>
      <w:r w:rsidR="0015570E" w:rsidRPr="006A74F8">
        <w:t xml:space="preserve">resulting in </w:t>
      </w:r>
      <w:r w:rsidR="00610F9D" w:rsidRPr="006A74F8">
        <w:t>some</w:t>
      </w:r>
      <w:r w:rsidRPr="006A74F8">
        <w:t xml:space="preserve"> administrative cost </w:t>
      </w:r>
      <w:r w:rsidR="0015570E" w:rsidRPr="006A74F8">
        <w:t xml:space="preserve">savings </w:t>
      </w:r>
      <w:r w:rsidRPr="006A74F8">
        <w:t xml:space="preserve">for measurement services industry. </w:t>
      </w:r>
      <w:r w:rsidRPr="006A74F8">
        <w:rPr>
          <w:b/>
        </w:rPr>
        <w:t xml:space="preserve">Options 2 and 3 </w:t>
      </w:r>
      <w:r w:rsidRPr="006A74F8">
        <w:t xml:space="preserve">provide </w:t>
      </w:r>
      <w:r w:rsidR="0015570E" w:rsidRPr="006A74F8">
        <w:t xml:space="preserve">future </w:t>
      </w:r>
      <w:r w:rsidRPr="006A74F8">
        <w:t xml:space="preserve">flexibility through a single </w:t>
      </w:r>
      <w:r w:rsidR="0015570E" w:rsidRPr="006A74F8">
        <w:t>legislative appointment mechanism</w:t>
      </w:r>
      <w:r w:rsidRPr="006A74F8">
        <w:t xml:space="preserve">, </w:t>
      </w:r>
      <w:r w:rsidR="0015570E" w:rsidRPr="006A74F8">
        <w:t>accommodating future</w:t>
      </w:r>
      <w:r w:rsidRPr="006A74F8">
        <w:t xml:space="preserve"> ATP</w:t>
      </w:r>
      <w:r w:rsidR="0015570E" w:rsidRPr="006A74F8">
        <w:t xml:space="preserve"> functions</w:t>
      </w:r>
      <w:r w:rsidRPr="006A74F8">
        <w:t xml:space="preserve"> to better support emerging measurement needs. </w:t>
      </w:r>
      <w:r w:rsidRPr="006A74F8">
        <w:rPr>
          <w:b/>
        </w:rPr>
        <w:t xml:space="preserve">Option 3 </w:t>
      </w:r>
      <w:r w:rsidRPr="006A74F8">
        <w:t xml:space="preserve">would involve greater scope for regulators to seek measurement services from ATPs to support regulatory measurements, </w:t>
      </w:r>
      <w:r w:rsidR="00282928" w:rsidRPr="006A74F8">
        <w:t xml:space="preserve">potentially </w:t>
      </w:r>
      <w:r w:rsidRPr="006A74F8">
        <w:t>resulting in greater demand for services and driving more efficient access to measurement services.</w:t>
      </w:r>
    </w:p>
    <w:p w:rsidR="009E3EDF" w:rsidRPr="006A74F8" w:rsidRDefault="009E3EDF" w:rsidP="00E53CD0">
      <w:pPr>
        <w:pStyle w:val="ListParagraph"/>
        <w:numPr>
          <w:ilvl w:val="0"/>
          <w:numId w:val="56"/>
        </w:numPr>
      </w:pPr>
      <w:r w:rsidRPr="006A74F8">
        <w:rPr>
          <w:b/>
        </w:rPr>
        <w:t>Instrument marks</w:t>
      </w:r>
      <w:r w:rsidRPr="006A74F8">
        <w:t xml:space="preserve">: </w:t>
      </w:r>
      <w:r w:rsidRPr="006A74F8">
        <w:rPr>
          <w:b/>
        </w:rPr>
        <w:t>All options</w:t>
      </w:r>
      <w:r w:rsidRPr="006A74F8">
        <w:t xml:space="preserve"> enable digital marks as an alternative to current physical marks, making the process of conducting verification more efficient for some ATPs who are able to remotely verify. Enables future reporting efficiency gains for ATPs where combined with other technology, such as QR codes or another scannable mark. Benefits to ATPs in relation to operational efficiency and reduced travel time. Benefits to industry more broadly regarding easier access to verification, particularly for regional and rural business. </w:t>
      </w:r>
    </w:p>
    <w:p w:rsidR="009E3EDF" w:rsidRPr="006A74F8" w:rsidRDefault="009E3EDF" w:rsidP="00E53CD0">
      <w:pPr>
        <w:pStyle w:val="ListParagraph"/>
        <w:numPr>
          <w:ilvl w:val="0"/>
          <w:numId w:val="56"/>
        </w:numPr>
        <w:rPr>
          <w:rFonts w:cstheme="minorHAnsi"/>
        </w:rPr>
      </w:pPr>
      <w:r w:rsidRPr="006A74F8">
        <w:rPr>
          <w:rFonts w:cstheme="minorHAnsi"/>
          <w:b/>
        </w:rPr>
        <w:t>A framework for new and innovative measuring instruments:</w:t>
      </w:r>
      <w:r w:rsidRPr="006A74F8">
        <w:rPr>
          <w:rFonts w:cstheme="minorHAnsi"/>
        </w:rPr>
        <w:t xml:space="preserve"> In </w:t>
      </w:r>
      <w:r w:rsidRPr="006A74F8">
        <w:rPr>
          <w:rFonts w:cstheme="minorHAnsi"/>
          <w:b/>
        </w:rPr>
        <w:t>options 2 and 3</w:t>
      </w:r>
      <w:r w:rsidRPr="006A74F8">
        <w:rPr>
          <w:rFonts w:cstheme="minorHAnsi"/>
        </w:rPr>
        <w:t xml:space="preserve"> a level playing field can be maintained as new and innovative measuring instruments enter the market because the legislation can accommodate these technologies. Prescriptive elements of the measurement framework are retained where needed to maintain benefits from standardisation. In contrast, the </w:t>
      </w:r>
      <w:r w:rsidRPr="006A74F8">
        <w:rPr>
          <w:rFonts w:cstheme="minorHAnsi"/>
          <w:b/>
        </w:rPr>
        <w:t>status quo and option 1</w:t>
      </w:r>
      <w:r w:rsidRPr="006A74F8">
        <w:rPr>
          <w:rFonts w:cstheme="minorHAnsi"/>
        </w:rPr>
        <w:t xml:space="preserve"> provide a low level of support for new and innovative measuring instruments due to applying a </w:t>
      </w:r>
      <w:r w:rsidRPr="006A74F8">
        <w:t>one</w:t>
      </w:r>
      <w:r w:rsidR="00D53E2C" w:rsidRPr="006A74F8">
        <w:t xml:space="preserve">-size-fits-all </w:t>
      </w:r>
      <w:r w:rsidRPr="006A74F8">
        <w:rPr>
          <w:rFonts w:cstheme="minorHAnsi"/>
        </w:rPr>
        <w:t>approach.</w:t>
      </w:r>
    </w:p>
    <w:p w:rsidR="009E3EDF" w:rsidRPr="006A74F8" w:rsidRDefault="009E3EDF" w:rsidP="00E53CD0">
      <w:pPr>
        <w:pStyle w:val="ListParagraph"/>
        <w:numPr>
          <w:ilvl w:val="0"/>
          <w:numId w:val="56"/>
        </w:numPr>
        <w:rPr>
          <w:rFonts w:cstheme="minorHAnsi"/>
        </w:rPr>
      </w:pPr>
      <w:r w:rsidRPr="006A74F8">
        <w:rPr>
          <w:b/>
        </w:rPr>
        <w:t>Enhanced ATP reporting and compliance increases confidence in quality of measurement services:</w:t>
      </w:r>
      <w:r w:rsidRPr="006A74F8">
        <w:t xml:space="preserve"> </w:t>
      </w:r>
      <w:r w:rsidRPr="006A74F8">
        <w:rPr>
          <w:b/>
        </w:rPr>
        <w:t xml:space="preserve">Option 1 </w:t>
      </w:r>
      <w:r w:rsidRPr="006A74F8">
        <w:t xml:space="preserve">involves increased reporting and oversight for UMVs, providing greater support for confidence in the measurements they make. </w:t>
      </w:r>
      <w:r w:rsidRPr="006A74F8">
        <w:rPr>
          <w:b/>
        </w:rPr>
        <w:t>Options 2 and 3</w:t>
      </w:r>
      <w:r w:rsidRPr="006A74F8">
        <w:t xml:space="preserve"> extend this approach to LMAs, providing greater support for measurement confidence across all measurement services.</w:t>
      </w:r>
    </w:p>
    <w:p w:rsidR="009E3EDF" w:rsidRPr="006A74F8" w:rsidRDefault="009E3EDF" w:rsidP="009E3EDF">
      <w:r w:rsidRPr="006A74F8">
        <w:rPr>
          <w:b/>
        </w:rPr>
        <w:t>Overall alignment of options with policy principle</w:t>
      </w:r>
      <w:r w:rsidRPr="006A74F8">
        <w:t xml:space="preserve">: </w:t>
      </w:r>
    </w:p>
    <w:p w:rsidR="009E3EDF" w:rsidRPr="006A74F8" w:rsidRDefault="009E3EDF" w:rsidP="00B958B9">
      <w:pPr>
        <w:pStyle w:val="ListParagraph"/>
        <w:numPr>
          <w:ilvl w:val="0"/>
          <w:numId w:val="56"/>
        </w:numPr>
      </w:pPr>
      <w:r w:rsidRPr="006A74F8">
        <w:rPr>
          <w:b/>
        </w:rPr>
        <w:t>Status quo</w:t>
      </w:r>
      <w:r w:rsidRPr="006A74F8">
        <w:t xml:space="preserve">: </w:t>
      </w:r>
      <w:r w:rsidRPr="006A74F8">
        <w:rPr>
          <w:rFonts w:cstheme="minorHAnsi"/>
        </w:rPr>
        <w:t>medium</w:t>
      </w:r>
      <w:r w:rsidRPr="006A74F8">
        <w:t xml:space="preserve"> alignment as prescriptive framework provides confidence as to a level playing field</w:t>
      </w:r>
      <w:r w:rsidR="00B958B9" w:rsidRPr="006A74F8">
        <w:t>.</w:t>
      </w:r>
    </w:p>
    <w:p w:rsidR="009E3EDF" w:rsidRPr="006A74F8" w:rsidRDefault="009E3EDF" w:rsidP="00B958B9">
      <w:pPr>
        <w:pStyle w:val="ListParagraph"/>
        <w:numPr>
          <w:ilvl w:val="0"/>
          <w:numId w:val="56"/>
        </w:numPr>
      </w:pPr>
      <w:r w:rsidRPr="006A74F8">
        <w:rPr>
          <w:b/>
        </w:rPr>
        <w:lastRenderedPageBreak/>
        <w:t>Option 1</w:t>
      </w:r>
      <w:r w:rsidRPr="006A74F8">
        <w:t xml:space="preserve">: </w:t>
      </w:r>
      <w:r w:rsidRPr="006A74F8">
        <w:rPr>
          <w:rFonts w:cstheme="minorHAnsi"/>
        </w:rPr>
        <w:t>medium</w:t>
      </w:r>
      <w:r w:rsidRPr="006A74F8">
        <w:t xml:space="preserve"> alignment through marginal improvement which provides some limited flexibility</w:t>
      </w:r>
      <w:r w:rsidR="00B958B9" w:rsidRPr="006A74F8">
        <w:t>.</w:t>
      </w:r>
    </w:p>
    <w:p w:rsidR="009E3EDF" w:rsidRPr="006A74F8" w:rsidRDefault="009E3EDF" w:rsidP="00B958B9">
      <w:pPr>
        <w:pStyle w:val="ListParagraph"/>
        <w:numPr>
          <w:ilvl w:val="0"/>
          <w:numId w:val="56"/>
        </w:numPr>
      </w:pPr>
      <w:r w:rsidRPr="006A74F8">
        <w:rPr>
          <w:b/>
        </w:rPr>
        <w:t>Option 2</w:t>
      </w:r>
      <w:r w:rsidRPr="006A74F8">
        <w:t>: high alignment through streamlined and flexible requirements that support a level playing field in trade</w:t>
      </w:r>
      <w:r w:rsidR="00B958B9" w:rsidRPr="006A74F8">
        <w:t>.</w:t>
      </w:r>
    </w:p>
    <w:p w:rsidR="009E3EDF" w:rsidRPr="006A74F8" w:rsidRDefault="009E3EDF" w:rsidP="00B958B9">
      <w:pPr>
        <w:pStyle w:val="ListParagraph"/>
        <w:numPr>
          <w:ilvl w:val="0"/>
          <w:numId w:val="56"/>
        </w:numPr>
      </w:pPr>
      <w:r w:rsidRPr="006A74F8">
        <w:rPr>
          <w:b/>
        </w:rPr>
        <w:t>Option 3</w:t>
      </w:r>
      <w:r w:rsidRPr="006A74F8">
        <w:t>: high alignment through streamlined and flexible requirements that support a level playing field in trade and beyond</w:t>
      </w:r>
      <w:r w:rsidR="00B958B9" w:rsidRPr="006A74F8">
        <w:t>.</w:t>
      </w:r>
    </w:p>
    <w:p w:rsidR="009E3EDF" w:rsidRPr="006A74F8" w:rsidRDefault="009E3EDF" w:rsidP="009E3EDF">
      <w:pPr>
        <w:pStyle w:val="Heading5"/>
        <w:rPr>
          <w:rFonts w:eastAsiaTheme="minorHAnsi"/>
        </w:rPr>
      </w:pPr>
      <w:r w:rsidRPr="006A74F8">
        <w:rPr>
          <w:rFonts w:eastAsiaTheme="minorHAnsi"/>
        </w:rPr>
        <w:t xml:space="preserve">Community trust </w:t>
      </w:r>
    </w:p>
    <w:p w:rsidR="009E3EDF" w:rsidRPr="006A74F8" w:rsidRDefault="009E3EDF" w:rsidP="009E3EDF">
      <w:r w:rsidRPr="006A74F8">
        <w:t>Definition: Provides confidence in measurement, ensuring everyone gets what they pay for and limiting market failures including from information asymmetry.</w:t>
      </w:r>
      <w:r w:rsidR="004C65BA" w:rsidRPr="006A74F8">
        <w:t xml:space="preserve"> </w:t>
      </w:r>
    </w:p>
    <w:p w:rsidR="004C65BA" w:rsidRPr="006A74F8" w:rsidRDefault="004C65BA" w:rsidP="004C65BA">
      <w:pPr>
        <w:rPr>
          <w:rFonts w:ascii="Calibri" w:eastAsia="Calibri" w:hAnsi="Calibri" w:cs="Calibri"/>
          <w:color w:val="000000"/>
          <w:lang w:eastAsia="en-AU"/>
        </w:rPr>
      </w:pPr>
      <w:r w:rsidRPr="006A74F8">
        <w:rPr>
          <w:rFonts w:ascii="Calibri" w:eastAsia="Calibri" w:hAnsi="Calibri" w:cs="Calibri"/>
          <w:color w:val="000000"/>
          <w:lang w:eastAsia="en-AU"/>
        </w:rPr>
        <w:t xml:space="preserve">The </w:t>
      </w:r>
      <w:r w:rsidR="00D95E1D" w:rsidRPr="006A74F8">
        <w:rPr>
          <w:rFonts w:ascii="Calibri" w:eastAsia="Calibri" w:hAnsi="Calibri" w:cs="Calibri"/>
          <w:color w:val="000000"/>
          <w:lang w:eastAsia="en-AU"/>
        </w:rPr>
        <w:t xml:space="preserve">proposed </w:t>
      </w:r>
      <w:r w:rsidRPr="006A74F8">
        <w:rPr>
          <w:rFonts w:ascii="Calibri" w:eastAsia="Calibri" w:hAnsi="Calibri" w:cs="Calibri"/>
          <w:color w:val="000000"/>
          <w:lang w:eastAsia="en-AU"/>
        </w:rPr>
        <w:t>changes that contribute to this principle include:</w:t>
      </w:r>
    </w:p>
    <w:p w:rsidR="009E3EDF" w:rsidRPr="006A74F8" w:rsidRDefault="00FD2AD4" w:rsidP="00B958B9">
      <w:pPr>
        <w:pStyle w:val="ListParagraph"/>
        <w:numPr>
          <w:ilvl w:val="0"/>
          <w:numId w:val="57"/>
        </w:numPr>
      </w:pPr>
      <w:r w:rsidRPr="006A74F8">
        <w:rPr>
          <w:b/>
        </w:rPr>
        <w:t>A b</w:t>
      </w:r>
      <w:r w:rsidR="009E3EDF" w:rsidRPr="006A74F8">
        <w:rPr>
          <w:b/>
        </w:rPr>
        <w:t>roader suite of compliance and enforcement tools</w:t>
      </w:r>
      <w:r w:rsidR="009E3EDF" w:rsidRPr="006A74F8">
        <w:t xml:space="preserve">: </w:t>
      </w:r>
      <w:r w:rsidR="009E3EDF" w:rsidRPr="006A74F8">
        <w:rPr>
          <w:b/>
        </w:rPr>
        <w:t>All options</w:t>
      </w:r>
      <w:r w:rsidR="009E3EDF" w:rsidRPr="006A74F8">
        <w:t xml:space="preserve"> enable government to provide appropriately target and address issues identified in the market. Strengthened tools supports fair and effective compliance outcomes for the Australian community, further building community confidence and trust in trade measurement. </w:t>
      </w:r>
    </w:p>
    <w:p w:rsidR="009E3EDF" w:rsidRPr="006A74F8" w:rsidRDefault="009E3EDF" w:rsidP="00B958B9">
      <w:pPr>
        <w:pStyle w:val="ListParagraph"/>
        <w:numPr>
          <w:ilvl w:val="0"/>
          <w:numId w:val="57"/>
        </w:numPr>
      </w:pPr>
      <w:r w:rsidRPr="006A74F8">
        <w:rPr>
          <w:b/>
        </w:rPr>
        <w:t xml:space="preserve">Expanding scope of coverage from shortfall to false </w:t>
      </w:r>
      <w:r w:rsidR="00B177BB" w:rsidRPr="006A74F8">
        <w:rPr>
          <w:b/>
        </w:rPr>
        <w:t xml:space="preserve">or </w:t>
      </w:r>
      <w:r w:rsidRPr="006A74F8">
        <w:rPr>
          <w:b/>
        </w:rPr>
        <w:t>misleading measurement</w:t>
      </w:r>
      <w:r w:rsidRPr="006A74F8">
        <w:t xml:space="preserve">: </w:t>
      </w:r>
      <w:r w:rsidRPr="006A74F8">
        <w:rPr>
          <w:b/>
        </w:rPr>
        <w:t>Option 1</w:t>
      </w:r>
      <w:r w:rsidRPr="006A74F8">
        <w:t xml:space="preserve"> partially addresses current</w:t>
      </w:r>
      <w:r w:rsidR="00631B0D" w:rsidRPr="006A74F8">
        <w:t xml:space="preserve"> </w:t>
      </w:r>
      <w:r w:rsidRPr="006A74F8">
        <w:t xml:space="preserve">gaps through inclusion of purchase of goods (currently only </w:t>
      </w:r>
      <w:r w:rsidRPr="006A74F8">
        <w:rPr>
          <w:u w:val="single"/>
        </w:rPr>
        <w:t>sale</w:t>
      </w:r>
      <w:r w:rsidRPr="006A74F8">
        <w:t xml:space="preserve"> of goods covered), reinforcing community confidence in measurements for the goods they both buy and sell. </w:t>
      </w:r>
      <w:r w:rsidRPr="006A74F8">
        <w:rPr>
          <w:b/>
        </w:rPr>
        <w:t xml:space="preserve">Options 2 and 3 </w:t>
      </w:r>
      <w:r w:rsidRPr="006A74F8">
        <w:t xml:space="preserve">provide coverage for measurements used in all types of transactions (i.e. sale and purchase of goods and services), strongly reinforcing community confidence in these transactions. </w:t>
      </w:r>
      <w:r w:rsidRPr="006A74F8">
        <w:rPr>
          <w:b/>
        </w:rPr>
        <w:t xml:space="preserve">Option 3 </w:t>
      </w:r>
      <w:r w:rsidRPr="006A74F8">
        <w:t xml:space="preserve">also includes the ability to cover false </w:t>
      </w:r>
      <w:r w:rsidR="00B177BB" w:rsidRPr="006A74F8">
        <w:t xml:space="preserve">or </w:t>
      </w:r>
      <w:r w:rsidRPr="006A74F8">
        <w:t>misleading measurement statements, where needed, for non-trade measurement applications (minor beneficial increase compared with option 2).</w:t>
      </w:r>
    </w:p>
    <w:p w:rsidR="009E3EDF" w:rsidRPr="006A74F8" w:rsidRDefault="009E3EDF" w:rsidP="00B958B9">
      <w:pPr>
        <w:pStyle w:val="ListParagraph"/>
        <w:numPr>
          <w:ilvl w:val="0"/>
          <w:numId w:val="57"/>
        </w:numPr>
      </w:pPr>
      <w:r w:rsidRPr="006A74F8">
        <w:rPr>
          <w:b/>
        </w:rPr>
        <w:t>A principles-based approach to marking packaged products:</w:t>
      </w:r>
      <w:r w:rsidRPr="006A74F8">
        <w:t xml:space="preserve"> </w:t>
      </w:r>
      <w:r w:rsidRPr="006A74F8">
        <w:rPr>
          <w:b/>
        </w:rPr>
        <w:t>Option 1</w:t>
      </w:r>
      <w:r w:rsidRPr="006A74F8">
        <w:t xml:space="preserve"> would result in a slight time increase for consumers to locate measurement marking for exempt products (including some cosmetic products), but continues to ensure consumers have easily accessible measurement information for the majority of packaged products. Under </w:t>
      </w:r>
      <w:r w:rsidRPr="006A74F8">
        <w:rPr>
          <w:b/>
        </w:rPr>
        <w:t>Options 2 and 3</w:t>
      </w:r>
      <w:r w:rsidRPr="006A74F8">
        <w:t xml:space="preserve"> there is increased flexibility </w:t>
      </w:r>
      <w:r w:rsidR="00D13DC7" w:rsidRPr="006A74F8">
        <w:t xml:space="preserve">for </w:t>
      </w:r>
      <w:r w:rsidRPr="006A74F8">
        <w:t xml:space="preserve">how </w:t>
      </w:r>
      <w:r w:rsidR="00FF6F2A" w:rsidRPr="006A74F8">
        <w:t xml:space="preserve">the </w:t>
      </w:r>
      <w:r w:rsidRPr="006A74F8">
        <w:t>measurement mark must be presented. This may result in additional time increase for consumers to locate measurement marking where mark is not on the front of the package. Ease of access to measurement information may be adversely impacted for more products, as compared with option 1 and status quo.  Consumers can still have confidence in the measurement marking, but may need to invest time in finding it, which may potentially introduce some information asymmetry.</w:t>
      </w:r>
    </w:p>
    <w:p w:rsidR="009E3EDF" w:rsidRPr="006A74F8" w:rsidRDefault="009E3EDF" w:rsidP="00B958B9">
      <w:pPr>
        <w:pStyle w:val="ListParagraph"/>
        <w:numPr>
          <w:ilvl w:val="0"/>
          <w:numId w:val="57"/>
        </w:numPr>
      </w:pPr>
      <w:r w:rsidRPr="006A74F8">
        <w:rPr>
          <w:b/>
        </w:rPr>
        <w:t xml:space="preserve">Supporting trust in performance of </w:t>
      </w:r>
      <w:r w:rsidRPr="006A74F8">
        <w:rPr>
          <w:rFonts w:cstheme="minorHAnsi"/>
          <w:b/>
        </w:rPr>
        <w:t>new and innovative measuring instruments</w:t>
      </w:r>
      <w:r w:rsidRPr="006A74F8">
        <w:t>:</w:t>
      </w:r>
      <w:r w:rsidRPr="006A74F8">
        <w:rPr>
          <w:rFonts w:cstheme="minorHAnsi"/>
        </w:rPr>
        <w:t xml:space="preserve"> </w:t>
      </w:r>
      <w:r w:rsidRPr="006A74F8">
        <w:rPr>
          <w:rFonts w:cstheme="minorHAnsi"/>
          <w:b/>
        </w:rPr>
        <w:t>Options 2 and 3</w:t>
      </w:r>
      <w:r w:rsidRPr="006A74F8">
        <w:rPr>
          <w:rFonts w:cstheme="minorHAnsi"/>
        </w:rPr>
        <w:t xml:space="preserve"> provide </w:t>
      </w:r>
      <w:r w:rsidRPr="006A74F8">
        <w:t>a pathway to integrate innovative measuring instruments into the framework and supports high level of trust in their measurement results</w:t>
      </w:r>
      <w:r w:rsidRPr="006A74F8">
        <w:rPr>
          <w:rFonts w:cstheme="minorHAnsi"/>
        </w:rPr>
        <w:t xml:space="preserve">. In contrast, the </w:t>
      </w:r>
      <w:r w:rsidRPr="006A74F8">
        <w:rPr>
          <w:rFonts w:cstheme="minorHAnsi"/>
          <w:b/>
        </w:rPr>
        <w:t>status quo and option 1</w:t>
      </w:r>
      <w:r w:rsidRPr="006A74F8">
        <w:rPr>
          <w:rFonts w:cstheme="minorHAnsi"/>
        </w:rPr>
        <w:t xml:space="preserve"> provide a low level of support for new and innovative measuring instruments due to applying a </w:t>
      </w:r>
      <w:r w:rsidRPr="006A74F8">
        <w:t>one</w:t>
      </w:r>
      <w:r w:rsidR="00D53E2C" w:rsidRPr="006A74F8">
        <w:t xml:space="preserve">-size-fits-all </w:t>
      </w:r>
      <w:r w:rsidRPr="006A74F8">
        <w:rPr>
          <w:rFonts w:cstheme="minorHAnsi"/>
        </w:rPr>
        <w:t>approach.</w:t>
      </w:r>
    </w:p>
    <w:p w:rsidR="009E3EDF" w:rsidRPr="006A74F8" w:rsidRDefault="009E3EDF" w:rsidP="00B958B9">
      <w:pPr>
        <w:pStyle w:val="ListParagraph"/>
        <w:numPr>
          <w:ilvl w:val="0"/>
          <w:numId w:val="57"/>
        </w:numPr>
        <w:rPr>
          <w:rFonts w:eastAsia="Calibri" w:cs="Times New Roman"/>
        </w:rPr>
      </w:pPr>
      <w:r w:rsidRPr="006A74F8">
        <w:rPr>
          <w:rFonts w:eastAsia="Calibri" w:cs="Times New Roman"/>
          <w:b/>
        </w:rPr>
        <w:t xml:space="preserve">Enhanced trustworthiness in complex measurement: </w:t>
      </w:r>
      <w:r w:rsidRPr="006A74F8">
        <w:rPr>
          <w:rFonts w:eastAsia="Calibri" w:cs="Times New Roman"/>
        </w:rPr>
        <w:t xml:space="preserve">Improvements to the use of chemical, biological, complex measurements and use of primary </w:t>
      </w:r>
      <w:r w:rsidR="00C5367D" w:rsidRPr="006A74F8">
        <w:rPr>
          <w:rFonts w:eastAsia="Calibri" w:cs="Times New Roman"/>
        </w:rPr>
        <w:t xml:space="preserve">measurement </w:t>
      </w:r>
      <w:r w:rsidRPr="006A74F8">
        <w:rPr>
          <w:rFonts w:eastAsia="Calibri" w:cs="Times New Roman"/>
        </w:rPr>
        <w:t xml:space="preserve">standards in </w:t>
      </w:r>
      <w:r w:rsidRPr="006A74F8">
        <w:rPr>
          <w:rFonts w:eastAsia="Calibri" w:cs="Times New Roman"/>
          <w:b/>
        </w:rPr>
        <w:t>options 1 through 3</w:t>
      </w:r>
      <w:r w:rsidRPr="006A74F8">
        <w:rPr>
          <w:rFonts w:eastAsia="Calibri" w:cs="Times New Roman"/>
        </w:rPr>
        <w:t xml:space="preserve"> strengthens the basis to trust these kinds of measurements used for products,</w:t>
      </w:r>
      <w:r w:rsidRPr="006A74F8" w:rsidDel="00056CBD">
        <w:rPr>
          <w:rFonts w:eastAsia="Calibri" w:cs="Times New Roman"/>
        </w:rPr>
        <w:t xml:space="preserve"> </w:t>
      </w:r>
      <w:r w:rsidRPr="006A74F8">
        <w:rPr>
          <w:rFonts w:eastAsia="Calibri" w:cs="Times New Roman"/>
        </w:rPr>
        <w:t xml:space="preserve">services and regulatory activities. The </w:t>
      </w:r>
      <w:r w:rsidRPr="006A74F8">
        <w:rPr>
          <w:rFonts w:eastAsia="Calibri" w:cs="Times New Roman"/>
          <w:b/>
        </w:rPr>
        <w:t>status quo</w:t>
      </w:r>
      <w:r w:rsidRPr="006A74F8">
        <w:rPr>
          <w:rFonts w:eastAsia="Calibri" w:cs="Times New Roman"/>
        </w:rPr>
        <w:t xml:space="preserve"> currently provides limited coverage of these kinds of measurements.</w:t>
      </w:r>
    </w:p>
    <w:p w:rsidR="009E3EDF" w:rsidRPr="006A74F8" w:rsidRDefault="009E3EDF" w:rsidP="009E3EDF">
      <w:r w:rsidRPr="006A74F8">
        <w:rPr>
          <w:b/>
        </w:rPr>
        <w:t>Overall alignment of options with policy principle</w:t>
      </w:r>
      <w:r w:rsidRPr="006A74F8">
        <w:t xml:space="preserve">: </w:t>
      </w:r>
    </w:p>
    <w:p w:rsidR="009E3EDF" w:rsidRPr="006A74F8" w:rsidRDefault="009E3EDF" w:rsidP="00273255">
      <w:pPr>
        <w:pStyle w:val="ListParagraph"/>
        <w:numPr>
          <w:ilvl w:val="0"/>
          <w:numId w:val="56"/>
        </w:numPr>
      </w:pPr>
      <w:r w:rsidRPr="006A74F8">
        <w:rPr>
          <w:b/>
        </w:rPr>
        <w:lastRenderedPageBreak/>
        <w:t>Status quo</w:t>
      </w:r>
      <w:r w:rsidRPr="006A74F8">
        <w:t>: supports medium level community trust, but with some known gaps.</w:t>
      </w:r>
    </w:p>
    <w:p w:rsidR="009E3EDF" w:rsidRPr="006A74F8" w:rsidRDefault="009E3EDF" w:rsidP="00273255">
      <w:pPr>
        <w:pStyle w:val="ListParagraph"/>
        <w:numPr>
          <w:ilvl w:val="0"/>
          <w:numId w:val="56"/>
        </w:numPr>
      </w:pPr>
      <w:r w:rsidRPr="006A74F8">
        <w:rPr>
          <w:b/>
        </w:rPr>
        <w:t>Option 1</w:t>
      </w:r>
      <w:r w:rsidRPr="006A74F8">
        <w:t>: supports medium level community trust, through partially reducing prescription and addressing known gaps</w:t>
      </w:r>
      <w:r w:rsidR="00272554" w:rsidRPr="006A74F8">
        <w:t>.</w:t>
      </w:r>
    </w:p>
    <w:p w:rsidR="009E3EDF" w:rsidRPr="006A74F8" w:rsidRDefault="009E3EDF">
      <w:pPr>
        <w:pStyle w:val="ListParagraph"/>
        <w:numPr>
          <w:ilvl w:val="0"/>
          <w:numId w:val="56"/>
        </w:numPr>
      </w:pPr>
      <w:r w:rsidRPr="006A74F8">
        <w:rPr>
          <w:b/>
        </w:rPr>
        <w:t>Option 2</w:t>
      </w:r>
      <w:r w:rsidRPr="006A74F8">
        <w:t>: high alignment through significantly less prescription, addressing gaps and providing broader coverage of goods and services.</w:t>
      </w:r>
    </w:p>
    <w:p w:rsidR="009E3EDF" w:rsidRPr="006A74F8" w:rsidRDefault="009E3EDF">
      <w:pPr>
        <w:pStyle w:val="ListParagraph"/>
        <w:numPr>
          <w:ilvl w:val="0"/>
          <w:numId w:val="56"/>
        </w:numPr>
      </w:pPr>
      <w:r w:rsidRPr="006A74F8">
        <w:rPr>
          <w:b/>
        </w:rPr>
        <w:t>Option 3</w:t>
      </w:r>
      <w:r w:rsidRPr="006A74F8">
        <w:t>: high alignment through ability to support trust in all measurements relied on by society</w:t>
      </w:r>
      <w:r w:rsidR="00272554" w:rsidRPr="006A74F8">
        <w:t>.</w:t>
      </w:r>
    </w:p>
    <w:p w:rsidR="009E3EDF" w:rsidRPr="006A74F8" w:rsidRDefault="009E3EDF" w:rsidP="009E3EDF">
      <w:pPr>
        <w:pStyle w:val="Heading5"/>
        <w:rPr>
          <w:rFonts w:eastAsiaTheme="minorHAnsi"/>
        </w:rPr>
      </w:pPr>
      <w:r w:rsidRPr="006A74F8">
        <w:rPr>
          <w:rFonts w:eastAsiaTheme="minorHAnsi"/>
        </w:rPr>
        <w:t xml:space="preserve">Government reliance </w:t>
      </w:r>
    </w:p>
    <w:p w:rsidR="009E3EDF" w:rsidRPr="006A74F8" w:rsidRDefault="009E3EDF" w:rsidP="009E3EDF">
      <w:r w:rsidRPr="006A74F8">
        <w:t xml:space="preserve">Definition: Enables key government outcomes needing accurate and reliable measurement (for example, agriculture, </w:t>
      </w:r>
      <w:r w:rsidR="00166B8E" w:rsidRPr="006A74F8">
        <w:t xml:space="preserve">energy, </w:t>
      </w:r>
      <w:r w:rsidRPr="006A74F8">
        <w:t>the environment, law enforcement and safety).</w:t>
      </w:r>
    </w:p>
    <w:p w:rsidR="004C65BA" w:rsidRPr="006A74F8" w:rsidRDefault="004C65BA" w:rsidP="004C65BA">
      <w:pPr>
        <w:rPr>
          <w:rFonts w:ascii="Calibri" w:eastAsia="Calibri" w:hAnsi="Calibri" w:cs="Calibri"/>
          <w:color w:val="000000"/>
          <w:lang w:eastAsia="en-AU"/>
        </w:rPr>
      </w:pPr>
      <w:r w:rsidRPr="006A74F8">
        <w:rPr>
          <w:rFonts w:ascii="Calibri" w:eastAsia="Calibri" w:hAnsi="Calibri" w:cs="Calibri"/>
          <w:color w:val="000000"/>
          <w:lang w:eastAsia="en-AU"/>
        </w:rPr>
        <w:t xml:space="preserve">The </w:t>
      </w:r>
      <w:r w:rsidR="00D95E1D" w:rsidRPr="006A74F8">
        <w:rPr>
          <w:rFonts w:ascii="Calibri" w:eastAsia="Calibri" w:hAnsi="Calibri" w:cs="Calibri"/>
          <w:color w:val="000000"/>
          <w:lang w:eastAsia="en-AU"/>
        </w:rPr>
        <w:t xml:space="preserve">proposed </w:t>
      </w:r>
      <w:r w:rsidRPr="006A74F8">
        <w:rPr>
          <w:rFonts w:ascii="Calibri" w:eastAsia="Calibri" w:hAnsi="Calibri" w:cs="Calibri"/>
          <w:color w:val="000000"/>
          <w:lang w:eastAsia="en-AU"/>
        </w:rPr>
        <w:t>changes that contribute to this principle include:</w:t>
      </w:r>
    </w:p>
    <w:p w:rsidR="009E3EDF" w:rsidRPr="006A74F8" w:rsidRDefault="009E3EDF" w:rsidP="00F63599">
      <w:pPr>
        <w:pStyle w:val="ListParagraph"/>
        <w:numPr>
          <w:ilvl w:val="0"/>
          <w:numId w:val="56"/>
        </w:numPr>
      </w:pPr>
      <w:r w:rsidRPr="006A74F8">
        <w:rPr>
          <w:b/>
        </w:rPr>
        <w:t>Greater ability to share information with other regulators:</w:t>
      </w:r>
      <w:r w:rsidRPr="006A74F8">
        <w:t xml:space="preserve"> </w:t>
      </w:r>
      <w:r w:rsidRPr="006A74F8">
        <w:rPr>
          <w:b/>
        </w:rPr>
        <w:t xml:space="preserve">All options </w:t>
      </w:r>
      <w:r w:rsidRPr="006A74F8">
        <w:t>remove current secrecy provisions which prevent NMI sharing protected information, except in very limited circumstances. This change helps to support the outcomes of other regulators.</w:t>
      </w:r>
    </w:p>
    <w:p w:rsidR="009E3EDF" w:rsidRPr="006A74F8" w:rsidRDefault="009E3EDF">
      <w:pPr>
        <w:pStyle w:val="ListParagraph"/>
        <w:numPr>
          <w:ilvl w:val="0"/>
          <w:numId w:val="56"/>
        </w:numPr>
        <w:rPr>
          <w:b/>
        </w:rPr>
      </w:pPr>
      <w:r w:rsidRPr="006A74F8">
        <w:rPr>
          <w:b/>
        </w:rPr>
        <w:t xml:space="preserve">Better regulatory collaboration and support for government on measurement issues: </w:t>
      </w:r>
      <w:r w:rsidRPr="006A74F8">
        <w:t>Across</w:t>
      </w:r>
      <w:r w:rsidRPr="006A74F8">
        <w:rPr>
          <w:b/>
        </w:rPr>
        <w:t xml:space="preserve"> all options, </w:t>
      </w:r>
      <w:r w:rsidRPr="006A74F8">
        <w:t>regulators would have</w:t>
      </w:r>
      <w:r w:rsidRPr="006A74F8">
        <w:rPr>
          <w:b/>
        </w:rPr>
        <w:t xml:space="preserve"> </w:t>
      </w:r>
      <w:r w:rsidRPr="006A74F8">
        <w:t xml:space="preserve">greater access to ATPs who currently may only provide </w:t>
      </w:r>
      <w:r w:rsidR="00F95608" w:rsidRPr="006A74F8">
        <w:t xml:space="preserve">some </w:t>
      </w:r>
      <w:r w:rsidRPr="006A74F8">
        <w:t xml:space="preserve">measurement services for trade purposes. There is potential in </w:t>
      </w:r>
      <w:r w:rsidRPr="006A74F8">
        <w:rPr>
          <w:b/>
        </w:rPr>
        <w:t>option 2</w:t>
      </w:r>
      <w:r w:rsidRPr="006A74F8">
        <w:t xml:space="preserve"> to make ATP arrangements more available to support other regulators. Under </w:t>
      </w:r>
      <w:r w:rsidRPr="006A74F8">
        <w:rPr>
          <w:b/>
        </w:rPr>
        <w:t xml:space="preserve">option 3, </w:t>
      </w:r>
      <w:r w:rsidRPr="006A74F8">
        <w:t xml:space="preserve">NMI can more directly support and help address the measurement issues </w:t>
      </w:r>
      <w:r w:rsidR="00E27923" w:rsidRPr="006A74F8">
        <w:t>or market failures</w:t>
      </w:r>
      <w:r w:rsidRPr="006A74F8">
        <w:t xml:space="preserve"> faced by other regulators.</w:t>
      </w:r>
    </w:p>
    <w:p w:rsidR="009E3EDF" w:rsidRPr="006A74F8" w:rsidRDefault="009E3EDF">
      <w:pPr>
        <w:pStyle w:val="ListParagraph"/>
        <w:numPr>
          <w:ilvl w:val="0"/>
          <w:numId w:val="56"/>
        </w:numPr>
        <w:rPr>
          <w:rFonts w:eastAsia="Calibri" w:cs="Times New Roman"/>
        </w:rPr>
      </w:pPr>
      <w:r w:rsidRPr="006A74F8">
        <w:rPr>
          <w:b/>
        </w:rPr>
        <w:t>Improved measuring instrument framework and traceability for legal purposes:</w:t>
      </w:r>
      <w:r w:rsidRPr="006A74F8">
        <w:rPr>
          <w:sz w:val="20"/>
          <w:szCs w:val="20"/>
        </w:rPr>
        <w:t xml:space="preserve"> </w:t>
      </w:r>
      <w:r w:rsidRPr="006A74F8">
        <w:rPr>
          <w:color w:val="000000" w:themeColor="text1"/>
          <w:lang w:val="en-US"/>
        </w:rPr>
        <w:t xml:space="preserve">Changes to how measuring instruments are controlled in </w:t>
      </w:r>
      <w:r w:rsidR="000E1261" w:rsidRPr="006A74F8">
        <w:rPr>
          <w:b/>
          <w:color w:val="000000" w:themeColor="text1"/>
          <w:lang w:val="en-US"/>
        </w:rPr>
        <w:t>o</w:t>
      </w:r>
      <w:r w:rsidRPr="006A74F8">
        <w:rPr>
          <w:b/>
          <w:color w:val="000000" w:themeColor="text1"/>
          <w:lang w:val="en-US"/>
        </w:rPr>
        <w:t>ption 2</w:t>
      </w:r>
      <w:r w:rsidRPr="006A74F8">
        <w:rPr>
          <w:color w:val="000000" w:themeColor="text1"/>
          <w:lang w:val="en-US"/>
        </w:rPr>
        <w:t xml:space="preserve"> and improvements to </w:t>
      </w:r>
      <w:r w:rsidRPr="006A74F8">
        <w:t>traceability</w:t>
      </w:r>
      <w:r w:rsidRPr="006A74F8">
        <w:rPr>
          <w:color w:val="000000" w:themeColor="text1"/>
          <w:lang w:val="en-US"/>
        </w:rPr>
        <w:t xml:space="preserve"> </w:t>
      </w:r>
      <w:r w:rsidRPr="006A74F8">
        <w:rPr>
          <w:b/>
          <w:color w:val="000000" w:themeColor="text1"/>
          <w:lang w:val="en-US"/>
        </w:rPr>
        <w:t>across all options</w:t>
      </w:r>
      <w:r w:rsidRPr="006A74F8">
        <w:rPr>
          <w:color w:val="000000" w:themeColor="text1"/>
          <w:lang w:val="en-US"/>
        </w:rPr>
        <w:t xml:space="preserve"> provide greater support for the accuracy and reliability of measurements that government outcomes rely on</w:t>
      </w:r>
      <w:r w:rsidRPr="006A74F8">
        <w:t xml:space="preserve">. Under </w:t>
      </w:r>
      <w:r w:rsidR="000E1261" w:rsidRPr="006A74F8">
        <w:rPr>
          <w:b/>
        </w:rPr>
        <w:t>o</w:t>
      </w:r>
      <w:r w:rsidRPr="006A74F8">
        <w:rPr>
          <w:b/>
        </w:rPr>
        <w:t>ption 3</w:t>
      </w:r>
      <w:r w:rsidRPr="006A74F8">
        <w:t>, the NMI could help specify requirements that must be met for the measurements and instruments that other regulators relied on for legal purposes.</w:t>
      </w:r>
    </w:p>
    <w:p w:rsidR="00505921" w:rsidRPr="006A74F8" w:rsidRDefault="00505921" w:rsidP="00B61494">
      <w:pPr>
        <w:pStyle w:val="ListParagraph"/>
        <w:numPr>
          <w:ilvl w:val="0"/>
          <w:numId w:val="35"/>
        </w:numPr>
        <w:rPr>
          <w:lang w:val="en"/>
        </w:rPr>
      </w:pPr>
      <w:r w:rsidRPr="006A74F8">
        <w:rPr>
          <w:rFonts w:eastAsia="Calibri" w:cs="Times New Roman"/>
          <w:b/>
        </w:rPr>
        <w:t>Greater oversight and coordination of measurement in Australia:</w:t>
      </w:r>
      <w:r w:rsidRPr="006A74F8">
        <w:rPr>
          <w:rFonts w:eastAsia="Calibri" w:cs="Times New Roman"/>
        </w:rPr>
        <w:t xml:space="preserve"> </w:t>
      </w:r>
      <w:r w:rsidR="0003177F" w:rsidRPr="006A74F8">
        <w:t>Greater oversight and coordination of measurement issues enabled through c</w:t>
      </w:r>
      <w:r w:rsidR="00B15198" w:rsidRPr="006A74F8">
        <w:t>lear</w:t>
      </w:r>
      <w:r w:rsidR="00F30487" w:rsidRPr="006A74F8">
        <w:t xml:space="preserve"> </w:t>
      </w:r>
      <w:r w:rsidRPr="006A74F8">
        <w:t xml:space="preserve">role </w:t>
      </w:r>
      <w:r w:rsidR="004D61A3" w:rsidRPr="006A74F8">
        <w:t>for</w:t>
      </w:r>
      <w:r w:rsidRPr="006A74F8">
        <w:t xml:space="preserve"> Government in </w:t>
      </w:r>
      <w:r w:rsidR="004D61A3" w:rsidRPr="006A74F8">
        <w:rPr>
          <w:b/>
        </w:rPr>
        <w:t>option 2</w:t>
      </w:r>
      <w:r w:rsidR="004D61A3" w:rsidRPr="006A74F8">
        <w:t xml:space="preserve"> to</w:t>
      </w:r>
      <w:r w:rsidR="0003177F" w:rsidRPr="006A74F8">
        <w:t xml:space="preserve"> underpin</w:t>
      </w:r>
      <w:r w:rsidRPr="006A74F8">
        <w:t xml:space="preserve"> accurate and reliable measurement</w:t>
      </w:r>
      <w:r w:rsidR="00F30487" w:rsidRPr="006A74F8">
        <w:t>,</w:t>
      </w:r>
      <w:r w:rsidRPr="006A74F8">
        <w:t xml:space="preserve"> and broader regulatory scope in </w:t>
      </w:r>
      <w:r w:rsidRPr="006A74F8">
        <w:rPr>
          <w:b/>
        </w:rPr>
        <w:t>option 3</w:t>
      </w:r>
      <w:r w:rsidRPr="006A74F8">
        <w:t xml:space="preserve">. Provides greater support for the accuracy and reliability of measurements relied on by government and better </w:t>
      </w:r>
      <w:r w:rsidR="00DB5593" w:rsidRPr="006A74F8">
        <w:t>facilitates</w:t>
      </w:r>
      <w:r w:rsidRPr="006A74F8">
        <w:t xml:space="preserve"> a coordinated government response to significant measurement issues or crisis.</w:t>
      </w:r>
    </w:p>
    <w:p w:rsidR="009E3EDF" w:rsidRPr="006A74F8" w:rsidRDefault="009E3EDF" w:rsidP="009E3EDF">
      <w:r w:rsidRPr="006A74F8">
        <w:rPr>
          <w:b/>
        </w:rPr>
        <w:t>Overall alignment of options with policy principle</w:t>
      </w:r>
      <w:r w:rsidRPr="006A74F8">
        <w:t xml:space="preserve">: </w:t>
      </w:r>
    </w:p>
    <w:p w:rsidR="009E3EDF" w:rsidRPr="006A74F8" w:rsidRDefault="009E3EDF" w:rsidP="00F809F7">
      <w:pPr>
        <w:pStyle w:val="ListParagraph"/>
        <w:numPr>
          <w:ilvl w:val="0"/>
          <w:numId w:val="56"/>
        </w:numPr>
      </w:pPr>
      <w:r w:rsidRPr="006A74F8">
        <w:rPr>
          <w:b/>
        </w:rPr>
        <w:t>Status quo</w:t>
      </w:r>
      <w:r w:rsidRPr="006A74F8">
        <w:t xml:space="preserve">: support for other government regulators provided under NMI’s service delivery function, but limited specific legislative support for matters outside trade. </w:t>
      </w:r>
    </w:p>
    <w:p w:rsidR="009E3EDF" w:rsidRPr="006A74F8" w:rsidRDefault="009E3EDF" w:rsidP="00F809F7">
      <w:pPr>
        <w:pStyle w:val="ListParagraph"/>
        <w:numPr>
          <w:ilvl w:val="0"/>
          <w:numId w:val="56"/>
        </w:numPr>
      </w:pPr>
      <w:r w:rsidRPr="006A74F8">
        <w:rPr>
          <w:b/>
        </w:rPr>
        <w:t>Option 1</w:t>
      </w:r>
      <w:r w:rsidRPr="006A74F8">
        <w:t>: provides a medium level of support for government outcomes, through increased confidence in measurement, however has limited flexibility to directly assist government agencies other than services agreements.</w:t>
      </w:r>
    </w:p>
    <w:p w:rsidR="009E3EDF" w:rsidRPr="006A74F8" w:rsidRDefault="009E3EDF" w:rsidP="00F809F7">
      <w:pPr>
        <w:pStyle w:val="ListParagraph"/>
        <w:numPr>
          <w:ilvl w:val="0"/>
          <w:numId w:val="56"/>
        </w:numPr>
      </w:pPr>
      <w:r w:rsidRPr="006A74F8">
        <w:rPr>
          <w:b/>
        </w:rPr>
        <w:t>Option 2</w:t>
      </w:r>
      <w:r w:rsidRPr="006A74F8">
        <w:t>: high alignment as agencies able to link to a more accessible and flexible legislative framework.</w:t>
      </w:r>
    </w:p>
    <w:p w:rsidR="009E3EDF" w:rsidRPr="006A74F8" w:rsidRDefault="009E3EDF" w:rsidP="00F809F7">
      <w:pPr>
        <w:pStyle w:val="ListParagraph"/>
        <w:numPr>
          <w:ilvl w:val="0"/>
          <w:numId w:val="56"/>
        </w:numPr>
      </w:pPr>
      <w:r w:rsidRPr="006A74F8">
        <w:rPr>
          <w:b/>
        </w:rPr>
        <w:t>Option 3</w:t>
      </w:r>
      <w:r w:rsidRPr="006A74F8">
        <w:t xml:space="preserve">: high alignment as both able to link to a more accessible and flexible legislative framework and NMI is able to provide more direct </w:t>
      </w:r>
      <w:r w:rsidR="00B9450D" w:rsidRPr="006A74F8">
        <w:t xml:space="preserve">regulatory </w:t>
      </w:r>
      <w:r w:rsidRPr="006A74F8">
        <w:t xml:space="preserve">support for the measurements they rely on. </w:t>
      </w:r>
    </w:p>
    <w:p w:rsidR="009E3EDF" w:rsidRPr="006A74F8" w:rsidRDefault="009E3EDF" w:rsidP="009E3EDF">
      <w:pPr>
        <w:pStyle w:val="Heading5"/>
        <w:rPr>
          <w:rFonts w:eastAsiaTheme="minorHAnsi"/>
        </w:rPr>
      </w:pPr>
      <w:r w:rsidRPr="006A74F8">
        <w:rPr>
          <w:rFonts w:eastAsiaTheme="minorHAnsi"/>
        </w:rPr>
        <w:lastRenderedPageBreak/>
        <w:t xml:space="preserve">International </w:t>
      </w:r>
      <w:r w:rsidRPr="006A74F8">
        <w:t>recognition</w:t>
      </w:r>
    </w:p>
    <w:p w:rsidR="009E3EDF" w:rsidRPr="006A74F8" w:rsidRDefault="009E3EDF" w:rsidP="009E3EDF">
      <w:r w:rsidRPr="006A74F8">
        <w:t>Definition: Ensures Australia’s measurement system is globally recognised and accepted</w:t>
      </w:r>
      <w:r w:rsidR="00D47ADB" w:rsidRPr="006A74F8">
        <w:t xml:space="preserve">, </w:t>
      </w:r>
      <w:r w:rsidRPr="006A74F8">
        <w:t>supports international trade</w:t>
      </w:r>
      <w:r w:rsidR="00D47ADB" w:rsidRPr="006A74F8">
        <w:t xml:space="preserve"> and meets treaty obligations</w:t>
      </w:r>
      <w:r w:rsidRPr="006A74F8">
        <w:t>.</w:t>
      </w:r>
    </w:p>
    <w:p w:rsidR="004C65BA" w:rsidRPr="006A74F8" w:rsidRDefault="004C65BA" w:rsidP="004C65BA">
      <w:pPr>
        <w:rPr>
          <w:rFonts w:ascii="Calibri" w:eastAsia="Calibri" w:hAnsi="Calibri" w:cs="Calibri"/>
          <w:color w:val="000000"/>
          <w:lang w:eastAsia="en-AU"/>
        </w:rPr>
      </w:pPr>
      <w:r w:rsidRPr="006A74F8">
        <w:rPr>
          <w:rFonts w:ascii="Calibri" w:eastAsia="Calibri" w:hAnsi="Calibri" w:cs="Calibri"/>
          <w:color w:val="000000"/>
          <w:lang w:eastAsia="en-AU"/>
        </w:rPr>
        <w:t xml:space="preserve">The </w:t>
      </w:r>
      <w:r w:rsidR="00D95E1D" w:rsidRPr="006A74F8">
        <w:rPr>
          <w:rFonts w:ascii="Calibri" w:eastAsia="Calibri" w:hAnsi="Calibri" w:cs="Calibri"/>
          <w:color w:val="000000"/>
          <w:lang w:eastAsia="en-AU"/>
        </w:rPr>
        <w:t xml:space="preserve">proposed </w:t>
      </w:r>
      <w:r w:rsidRPr="006A74F8">
        <w:rPr>
          <w:rFonts w:ascii="Calibri" w:eastAsia="Calibri" w:hAnsi="Calibri" w:cs="Calibri"/>
          <w:color w:val="000000"/>
          <w:lang w:eastAsia="en-AU"/>
        </w:rPr>
        <w:t>changes that contribute to this principle include:</w:t>
      </w:r>
    </w:p>
    <w:p w:rsidR="009E3EDF" w:rsidRPr="006A74F8" w:rsidRDefault="009E3EDF" w:rsidP="00F809F7">
      <w:pPr>
        <w:pStyle w:val="ListParagraph"/>
        <w:numPr>
          <w:ilvl w:val="0"/>
          <w:numId w:val="69"/>
        </w:numPr>
      </w:pPr>
      <w:r w:rsidRPr="006A74F8">
        <w:rPr>
          <w:b/>
        </w:rPr>
        <w:t>Maintaining international alignment of trade measurement requirements</w:t>
      </w:r>
      <w:r w:rsidRPr="006A74F8">
        <w:t xml:space="preserve">: </w:t>
      </w:r>
      <w:r w:rsidRPr="006A74F8">
        <w:rPr>
          <w:b/>
        </w:rPr>
        <w:t>All reform options</w:t>
      </w:r>
      <w:r w:rsidRPr="006A74F8">
        <w:t xml:space="preserve"> ensure Australia continues to align with international expectations for trade measurement.</w:t>
      </w:r>
    </w:p>
    <w:p w:rsidR="009E3EDF" w:rsidRPr="006A74F8" w:rsidRDefault="009E3EDF" w:rsidP="00F809F7">
      <w:pPr>
        <w:pStyle w:val="ListParagraph"/>
        <w:numPr>
          <w:ilvl w:val="0"/>
          <w:numId w:val="69"/>
        </w:numPr>
      </w:pPr>
      <w:r w:rsidRPr="006A74F8">
        <w:rPr>
          <w:b/>
        </w:rPr>
        <w:t>Maintaining confidence in Australia’s trade measurements</w:t>
      </w:r>
      <w:r w:rsidRPr="006A74F8">
        <w:t xml:space="preserve">: Across </w:t>
      </w:r>
      <w:r w:rsidRPr="006A74F8">
        <w:rPr>
          <w:b/>
        </w:rPr>
        <w:t>all reform options</w:t>
      </w:r>
      <w:r w:rsidRPr="006A74F8">
        <w:t>, a tailored and strong compliance and enforcement framework helps ensure international trading partners can have confidence in the measurements being used, supporting acceptance of Australia</w:t>
      </w:r>
      <w:r w:rsidR="00886EAE" w:rsidRPr="006A74F8">
        <w:t>’s</w:t>
      </w:r>
      <w:r w:rsidRPr="006A74F8">
        <w:t xml:space="preserve"> measurement </w:t>
      </w:r>
      <w:r w:rsidR="00886EAE" w:rsidRPr="006A74F8">
        <w:t xml:space="preserve">system </w:t>
      </w:r>
      <w:r w:rsidRPr="006A74F8">
        <w:t>and Australia’s positive international trade reputation.</w:t>
      </w:r>
    </w:p>
    <w:p w:rsidR="009E3EDF" w:rsidRPr="006A74F8" w:rsidRDefault="009E3EDF" w:rsidP="00F809F7">
      <w:pPr>
        <w:pStyle w:val="ListParagraph"/>
        <w:numPr>
          <w:ilvl w:val="0"/>
          <w:numId w:val="69"/>
        </w:numPr>
      </w:pPr>
      <w:r w:rsidRPr="006A74F8">
        <w:rPr>
          <w:b/>
        </w:rPr>
        <w:t>Reduced barriers for imported packaged products:</w:t>
      </w:r>
      <w:r w:rsidRPr="006A74F8">
        <w:t xml:space="preserve"> Under </w:t>
      </w:r>
      <w:r w:rsidRPr="006A74F8">
        <w:rPr>
          <w:b/>
        </w:rPr>
        <w:t>all reform options</w:t>
      </w:r>
      <w:r w:rsidRPr="006A74F8">
        <w:t xml:space="preserve">, less prescriptive measurement marking presentation requirements provides greater flexibility to accept imported products while maintaining alignment with international expectations. Supports emerging trade requirements for imported and exported products. </w:t>
      </w:r>
    </w:p>
    <w:p w:rsidR="009E3EDF" w:rsidRPr="006A74F8" w:rsidRDefault="009E3EDF" w:rsidP="00F809F7">
      <w:pPr>
        <w:pStyle w:val="ListParagraph"/>
        <w:numPr>
          <w:ilvl w:val="0"/>
          <w:numId w:val="69"/>
        </w:numPr>
      </w:pPr>
      <w:r w:rsidRPr="006A74F8">
        <w:rPr>
          <w:b/>
        </w:rPr>
        <w:t>Greater recognition of international test results and assessments</w:t>
      </w:r>
      <w:r w:rsidRPr="006A74F8">
        <w:t xml:space="preserve">. </w:t>
      </w:r>
      <w:r w:rsidRPr="006A74F8">
        <w:rPr>
          <w:b/>
        </w:rPr>
        <w:t>All reform options</w:t>
      </w:r>
      <w:r w:rsidRPr="006A74F8">
        <w:t xml:space="preserve"> provide greater ability to accept and adopt international approvals, test results regarding instruments (e</w:t>
      </w:r>
      <w:r w:rsidR="003911B1" w:rsidRPr="006A74F8">
        <w:t>.</w:t>
      </w:r>
      <w:r w:rsidRPr="006A74F8">
        <w:t>g</w:t>
      </w:r>
      <w:r w:rsidR="003911B1" w:rsidRPr="006A74F8">
        <w:t>.</w:t>
      </w:r>
      <w:r w:rsidRPr="006A74F8">
        <w:t xml:space="preserve"> MID approvals or OIML CS</w:t>
      </w:r>
      <w:r w:rsidRPr="006A74F8">
        <w:rPr>
          <w:rStyle w:val="FootnoteReference"/>
        </w:rPr>
        <w:footnoteReference w:id="75"/>
      </w:r>
      <w:r w:rsidRPr="006A74F8">
        <w:t xml:space="preserve"> certificates) and references (</w:t>
      </w:r>
      <w:r w:rsidR="00886EAE" w:rsidRPr="006A74F8">
        <w:t>e.g.</w:t>
      </w:r>
      <w:r w:rsidRPr="006A74F8">
        <w:t xml:space="preserve"> </w:t>
      </w:r>
      <w:r w:rsidR="00886EAE" w:rsidRPr="006A74F8">
        <w:t xml:space="preserve">calibration and measurement capabilities published </w:t>
      </w:r>
      <w:r w:rsidRPr="006A74F8">
        <w:t>in the CIPM</w:t>
      </w:r>
      <w:r w:rsidR="00886EAE" w:rsidRPr="006A74F8">
        <w:t xml:space="preserve"> </w:t>
      </w:r>
      <w:r w:rsidRPr="006A74F8">
        <w:t xml:space="preserve">MRA </w:t>
      </w:r>
      <w:r w:rsidR="00886EAE" w:rsidRPr="006A74F8">
        <w:t xml:space="preserve">Key Comparison </w:t>
      </w:r>
      <w:r w:rsidRPr="006A74F8">
        <w:t xml:space="preserve">database). </w:t>
      </w:r>
    </w:p>
    <w:p w:rsidR="009E3EDF" w:rsidRPr="006A74F8" w:rsidRDefault="009E3EDF" w:rsidP="00F809F7">
      <w:pPr>
        <w:pStyle w:val="ListParagraph"/>
        <w:numPr>
          <w:ilvl w:val="0"/>
          <w:numId w:val="69"/>
        </w:numPr>
      </w:pPr>
      <w:r w:rsidRPr="006A74F8">
        <w:rPr>
          <w:b/>
        </w:rPr>
        <w:t>Reduced technical barriers to trade through improved traceability</w:t>
      </w:r>
      <w:r w:rsidRPr="006A74F8">
        <w:t xml:space="preserve">: </w:t>
      </w:r>
      <w:r w:rsidRPr="006A74F8">
        <w:rPr>
          <w:b/>
        </w:rPr>
        <w:t>All reform options</w:t>
      </w:r>
      <w:r w:rsidRPr="006A74F8">
        <w:t xml:space="preserve"> support confidence for chemical, biological and other complex measurements. This will ensure measurement law is reflective of current scientific practices and can adjust to future scientific developments. In addition, under </w:t>
      </w:r>
      <w:r w:rsidRPr="006A74F8">
        <w:rPr>
          <w:b/>
        </w:rPr>
        <w:t>options 2 and 3</w:t>
      </w:r>
      <w:r w:rsidRPr="006A74F8">
        <w:t xml:space="preserve"> Australia has a framework to provide greater acceptance of international traceability pathways.</w:t>
      </w:r>
    </w:p>
    <w:p w:rsidR="009E3EDF" w:rsidRPr="006A74F8" w:rsidRDefault="009E3EDF" w:rsidP="00F809F7">
      <w:pPr>
        <w:pStyle w:val="ListParagraph"/>
        <w:numPr>
          <w:ilvl w:val="0"/>
          <w:numId w:val="69"/>
        </w:numPr>
        <w:tabs>
          <w:tab w:val="left" w:pos="4253"/>
        </w:tabs>
        <w:rPr>
          <w:rFonts w:cstheme="minorHAnsi"/>
        </w:rPr>
      </w:pPr>
      <w:r w:rsidRPr="006A74F8">
        <w:rPr>
          <w:b/>
        </w:rPr>
        <w:t>Supporting adoption of new and innovative measuring instruments</w:t>
      </w:r>
      <w:r w:rsidRPr="006A74F8">
        <w:t xml:space="preserve">: Under </w:t>
      </w:r>
      <w:r w:rsidRPr="006A74F8">
        <w:rPr>
          <w:b/>
        </w:rPr>
        <w:t>options 2 and 3</w:t>
      </w:r>
      <w:r w:rsidRPr="006A74F8">
        <w:t xml:space="preserve">, approval pathways for innovative measuring instruments will support domestic use and also the global trade in these instruments. </w:t>
      </w:r>
      <w:r w:rsidRPr="006A74F8">
        <w:rPr>
          <w:rFonts w:cstheme="minorHAnsi"/>
        </w:rPr>
        <w:t xml:space="preserve">In contrast, the </w:t>
      </w:r>
      <w:r w:rsidRPr="006A74F8">
        <w:rPr>
          <w:rFonts w:cstheme="minorHAnsi"/>
          <w:b/>
        </w:rPr>
        <w:t>status quo and option 1</w:t>
      </w:r>
      <w:r w:rsidRPr="006A74F8">
        <w:rPr>
          <w:rFonts w:cstheme="minorHAnsi"/>
        </w:rPr>
        <w:t xml:space="preserve"> do not provide the same level of support for innovative measuring instruments due to applying a </w:t>
      </w:r>
      <w:r w:rsidRPr="006A74F8">
        <w:t>one</w:t>
      </w:r>
      <w:r w:rsidR="00D53E2C" w:rsidRPr="006A74F8">
        <w:t xml:space="preserve">-size-fits-all </w:t>
      </w:r>
      <w:r w:rsidRPr="006A74F8">
        <w:rPr>
          <w:rFonts w:cstheme="minorHAnsi"/>
        </w:rPr>
        <w:t>approach.</w:t>
      </w:r>
    </w:p>
    <w:p w:rsidR="009E3EDF" w:rsidRPr="006A74F8" w:rsidRDefault="009E3EDF" w:rsidP="009E3EDF">
      <w:r w:rsidRPr="006A74F8">
        <w:rPr>
          <w:b/>
        </w:rPr>
        <w:t>Overall alignment of options with policy principle</w:t>
      </w:r>
      <w:r w:rsidRPr="006A74F8">
        <w:t xml:space="preserve">: </w:t>
      </w:r>
    </w:p>
    <w:p w:rsidR="009E3EDF" w:rsidRPr="006A74F8" w:rsidRDefault="009E3EDF" w:rsidP="00895842">
      <w:pPr>
        <w:pStyle w:val="ListParagraph"/>
        <w:numPr>
          <w:ilvl w:val="0"/>
          <w:numId w:val="56"/>
        </w:numPr>
      </w:pPr>
      <w:r w:rsidRPr="006A74F8">
        <w:rPr>
          <w:b/>
        </w:rPr>
        <w:t>Status quo</w:t>
      </w:r>
      <w:r w:rsidRPr="006A74F8">
        <w:t>: medium level of international alignment through continuation of existing globally recognised processes.</w:t>
      </w:r>
    </w:p>
    <w:p w:rsidR="009E3EDF" w:rsidRPr="006A74F8" w:rsidRDefault="009E3EDF" w:rsidP="00895842">
      <w:pPr>
        <w:pStyle w:val="ListParagraph"/>
        <w:numPr>
          <w:ilvl w:val="0"/>
          <w:numId w:val="56"/>
        </w:numPr>
      </w:pPr>
      <w:r w:rsidRPr="006A74F8">
        <w:rPr>
          <w:b/>
        </w:rPr>
        <w:t>Option 1</w:t>
      </w:r>
      <w:r w:rsidRPr="006A74F8">
        <w:t>: provides a medium level of support for international recognition, through enhanced acceptance of international chemical and biological references and measurements.</w:t>
      </w:r>
    </w:p>
    <w:p w:rsidR="009E3EDF" w:rsidRPr="006A74F8" w:rsidRDefault="009E3EDF" w:rsidP="00895842">
      <w:pPr>
        <w:pStyle w:val="ListParagraph"/>
        <w:numPr>
          <w:ilvl w:val="0"/>
          <w:numId w:val="56"/>
        </w:numPr>
      </w:pPr>
      <w:r w:rsidRPr="006A74F8">
        <w:rPr>
          <w:b/>
        </w:rPr>
        <w:t>Option 2</w:t>
      </w:r>
      <w:r w:rsidRPr="006A74F8">
        <w:t xml:space="preserve">: high alignment through reduced technical barriers to trade from improved traceability and greater support for trade in innovative instruments. </w:t>
      </w:r>
    </w:p>
    <w:p w:rsidR="009E3EDF" w:rsidRPr="006A74F8" w:rsidRDefault="009E3EDF" w:rsidP="00895842">
      <w:pPr>
        <w:pStyle w:val="ListParagraph"/>
        <w:numPr>
          <w:ilvl w:val="0"/>
          <w:numId w:val="56"/>
        </w:numPr>
      </w:pPr>
      <w:r w:rsidRPr="006A74F8">
        <w:rPr>
          <w:b/>
        </w:rPr>
        <w:t>Option 3</w:t>
      </w:r>
      <w:r w:rsidRPr="006A74F8">
        <w:t xml:space="preserve">: high alignment as for option 2, with broader application beyond trade. </w:t>
      </w:r>
    </w:p>
    <w:p w:rsidR="009E3EDF" w:rsidRPr="006A74F8" w:rsidRDefault="009E3EDF" w:rsidP="009E3EDF">
      <w:pPr>
        <w:pStyle w:val="Heading4"/>
        <w:rPr>
          <w:rFonts w:eastAsiaTheme="minorHAnsi"/>
        </w:rPr>
      </w:pPr>
      <w:r w:rsidRPr="006A74F8">
        <w:lastRenderedPageBreak/>
        <w:t>Adaptability</w:t>
      </w:r>
      <w:r w:rsidR="004840AE" w:rsidRPr="006A74F8">
        <w:t xml:space="preserve"> of the Legislation</w:t>
      </w:r>
      <w:r w:rsidRPr="006A74F8">
        <w:rPr>
          <w:rFonts w:eastAsiaTheme="minorHAnsi"/>
        </w:rPr>
        <w:t xml:space="preserve">: </w:t>
      </w:r>
    </w:p>
    <w:p w:rsidR="009E3EDF" w:rsidRPr="006A74F8" w:rsidRDefault="009E3EDF" w:rsidP="009E3EDF">
      <w:pPr>
        <w:pStyle w:val="Heading5"/>
      </w:pPr>
      <w:r w:rsidRPr="006A74F8">
        <w:t xml:space="preserve">Enables innovation </w:t>
      </w:r>
    </w:p>
    <w:p w:rsidR="009E3EDF" w:rsidRPr="006A74F8" w:rsidRDefault="009E3EDF" w:rsidP="009E3EDF">
      <w:r w:rsidRPr="006A74F8">
        <w:t xml:space="preserve">Definition: Facilitates innovation by </w:t>
      </w:r>
      <w:r w:rsidR="00EA03EB" w:rsidRPr="006A74F8">
        <w:t>adjusting</w:t>
      </w:r>
      <w:r w:rsidRPr="006A74F8">
        <w:t xml:space="preserve"> to, adopting and developing emerging measurement technologies and practices.</w:t>
      </w:r>
    </w:p>
    <w:p w:rsidR="004C65BA" w:rsidRPr="006A74F8" w:rsidRDefault="004C65BA" w:rsidP="004C65BA">
      <w:pPr>
        <w:rPr>
          <w:rFonts w:ascii="Calibri" w:eastAsia="Calibri" w:hAnsi="Calibri" w:cs="Calibri"/>
          <w:color w:val="000000"/>
          <w:lang w:eastAsia="en-AU"/>
        </w:rPr>
      </w:pPr>
      <w:r w:rsidRPr="006A74F8">
        <w:rPr>
          <w:rFonts w:ascii="Calibri" w:eastAsia="Calibri" w:hAnsi="Calibri" w:cs="Calibri"/>
          <w:color w:val="000000"/>
          <w:lang w:eastAsia="en-AU"/>
        </w:rPr>
        <w:t xml:space="preserve">The </w:t>
      </w:r>
      <w:r w:rsidR="00D95E1D" w:rsidRPr="006A74F8">
        <w:rPr>
          <w:rFonts w:ascii="Calibri" w:eastAsia="Calibri" w:hAnsi="Calibri" w:cs="Calibri"/>
          <w:color w:val="000000"/>
          <w:lang w:eastAsia="en-AU"/>
        </w:rPr>
        <w:t xml:space="preserve">proposed </w:t>
      </w:r>
      <w:r w:rsidRPr="006A74F8">
        <w:rPr>
          <w:rFonts w:ascii="Calibri" w:eastAsia="Calibri" w:hAnsi="Calibri" w:cs="Calibri"/>
          <w:color w:val="000000"/>
          <w:lang w:eastAsia="en-AU"/>
        </w:rPr>
        <w:t>changes that contribute to this principle include:</w:t>
      </w:r>
    </w:p>
    <w:p w:rsidR="009E3EDF" w:rsidRPr="006A74F8" w:rsidRDefault="009E3EDF" w:rsidP="00DE1EB2">
      <w:pPr>
        <w:pStyle w:val="ListParagraph"/>
        <w:numPr>
          <w:ilvl w:val="0"/>
          <w:numId w:val="70"/>
        </w:numPr>
      </w:pPr>
      <w:r w:rsidRPr="006A74F8">
        <w:rPr>
          <w:rFonts w:cstheme="minorHAnsi"/>
          <w:b/>
        </w:rPr>
        <w:t xml:space="preserve">Supporting new and innovative measuring instruments: </w:t>
      </w:r>
      <w:r w:rsidRPr="006A74F8">
        <w:rPr>
          <w:rFonts w:cstheme="minorHAnsi"/>
        </w:rPr>
        <w:t xml:space="preserve">Changes to the measuring instrument framework under </w:t>
      </w:r>
      <w:r w:rsidRPr="006A74F8">
        <w:rPr>
          <w:rFonts w:cstheme="minorHAnsi"/>
          <w:b/>
        </w:rPr>
        <w:t>options</w:t>
      </w:r>
      <w:r w:rsidRPr="006A74F8">
        <w:rPr>
          <w:rFonts w:cstheme="minorHAnsi"/>
        </w:rPr>
        <w:t xml:space="preserve"> </w:t>
      </w:r>
      <w:r w:rsidRPr="006A74F8">
        <w:rPr>
          <w:rFonts w:cstheme="minorHAnsi"/>
          <w:b/>
        </w:rPr>
        <w:t>2 and 3</w:t>
      </w:r>
      <w:r w:rsidRPr="006A74F8">
        <w:rPr>
          <w:rFonts w:cstheme="minorHAnsi"/>
        </w:rPr>
        <w:t xml:space="preserve"> encourages innovation, the uptake of innovative instruments and reduces technical barriers to trade arising from new measurement technology or techniques. In contrast, the </w:t>
      </w:r>
      <w:r w:rsidRPr="006A74F8">
        <w:rPr>
          <w:rFonts w:cstheme="minorHAnsi"/>
          <w:b/>
        </w:rPr>
        <w:t>status quo and option 1</w:t>
      </w:r>
      <w:r w:rsidRPr="006A74F8">
        <w:rPr>
          <w:rFonts w:cstheme="minorHAnsi"/>
        </w:rPr>
        <w:t xml:space="preserve"> do not provide the same level of support for innovative measuring instruments due to applying a </w:t>
      </w:r>
      <w:r w:rsidRPr="006A74F8">
        <w:t>one</w:t>
      </w:r>
      <w:r w:rsidR="00D53E2C" w:rsidRPr="006A74F8">
        <w:t>-size-fits-all</w:t>
      </w:r>
      <w:r w:rsidRPr="006A74F8">
        <w:rPr>
          <w:rFonts w:cstheme="minorHAnsi"/>
        </w:rPr>
        <w:t xml:space="preserve"> approach.</w:t>
      </w:r>
    </w:p>
    <w:p w:rsidR="009E3EDF" w:rsidRPr="006A74F8" w:rsidRDefault="009E3EDF" w:rsidP="00DE1EB2">
      <w:pPr>
        <w:pStyle w:val="ListParagraph"/>
        <w:numPr>
          <w:ilvl w:val="0"/>
          <w:numId w:val="70"/>
        </w:numPr>
      </w:pPr>
      <w:r w:rsidRPr="006A74F8">
        <w:rPr>
          <w:rFonts w:cstheme="minorHAnsi"/>
          <w:b/>
        </w:rPr>
        <w:t>Support for innovations in chemical, biological and complex measurements:</w:t>
      </w:r>
      <w:r w:rsidRPr="006A74F8">
        <w:rPr>
          <w:rFonts w:cstheme="minorHAnsi"/>
        </w:rPr>
        <w:t xml:space="preserve"> In </w:t>
      </w:r>
      <w:r w:rsidR="000E1261" w:rsidRPr="006A74F8">
        <w:rPr>
          <w:rFonts w:cstheme="minorHAnsi"/>
          <w:b/>
        </w:rPr>
        <w:t>o</w:t>
      </w:r>
      <w:r w:rsidRPr="006A74F8">
        <w:rPr>
          <w:rFonts w:cstheme="minorHAnsi"/>
          <w:b/>
        </w:rPr>
        <w:t>ption 1,</w:t>
      </w:r>
      <w:r w:rsidRPr="006A74F8">
        <w:rPr>
          <w:rFonts w:cstheme="minorHAnsi"/>
        </w:rPr>
        <w:t xml:space="preserve"> the traceability framework is brought up to date with current international chemical and biological practice, with </w:t>
      </w:r>
      <w:r w:rsidR="000E1261" w:rsidRPr="006A74F8">
        <w:rPr>
          <w:rFonts w:cstheme="minorHAnsi"/>
          <w:b/>
        </w:rPr>
        <w:t>o</w:t>
      </w:r>
      <w:r w:rsidRPr="006A74F8">
        <w:rPr>
          <w:rFonts w:cstheme="minorHAnsi"/>
          <w:b/>
        </w:rPr>
        <w:t>ptions 2 and 3</w:t>
      </w:r>
      <w:r w:rsidRPr="006A74F8">
        <w:rPr>
          <w:rFonts w:cstheme="minorHAnsi"/>
        </w:rPr>
        <w:t xml:space="preserve"> introducing powers to enable other traceability pathways, references, methods and units of measurement. </w:t>
      </w:r>
      <w:r w:rsidRPr="006A74F8">
        <w:rPr>
          <w:rFonts w:cstheme="minorHAnsi"/>
          <w:b/>
        </w:rPr>
        <w:t>Across all reform options</w:t>
      </w:r>
      <w:r w:rsidRPr="006A74F8">
        <w:rPr>
          <w:rFonts w:cstheme="minorHAnsi"/>
        </w:rPr>
        <w:t xml:space="preserve">, there would be increased confidence in and adaptation of chemical, biological and complex measurements. </w:t>
      </w:r>
    </w:p>
    <w:p w:rsidR="009E3EDF" w:rsidRPr="006A74F8" w:rsidRDefault="003039D9" w:rsidP="00DE1EB2">
      <w:pPr>
        <w:pStyle w:val="ListParagraph"/>
        <w:numPr>
          <w:ilvl w:val="0"/>
          <w:numId w:val="70"/>
        </w:numPr>
        <w:rPr>
          <w:sz w:val="20"/>
          <w:szCs w:val="20"/>
        </w:rPr>
      </w:pPr>
      <w:r w:rsidRPr="006A74F8">
        <w:rPr>
          <w:rFonts w:cstheme="minorHAnsi"/>
          <w:b/>
        </w:rPr>
        <w:t>Future f</w:t>
      </w:r>
      <w:r w:rsidR="009E3EDF" w:rsidRPr="006A74F8">
        <w:rPr>
          <w:rFonts w:cstheme="minorHAnsi"/>
          <w:b/>
        </w:rPr>
        <w:t>lexib</w:t>
      </w:r>
      <w:r w:rsidRPr="006A74F8">
        <w:rPr>
          <w:rFonts w:cstheme="minorHAnsi"/>
          <w:b/>
        </w:rPr>
        <w:t>ility</w:t>
      </w:r>
      <w:r w:rsidR="009E3EDF" w:rsidRPr="006A74F8">
        <w:rPr>
          <w:rFonts w:cstheme="minorHAnsi"/>
          <w:b/>
        </w:rPr>
        <w:t xml:space="preserve"> </w:t>
      </w:r>
      <w:r w:rsidRPr="006A74F8">
        <w:rPr>
          <w:rFonts w:cstheme="minorHAnsi"/>
          <w:b/>
        </w:rPr>
        <w:t xml:space="preserve">for </w:t>
      </w:r>
      <w:r w:rsidR="009E3EDF" w:rsidRPr="006A74F8">
        <w:rPr>
          <w:rFonts w:cstheme="minorHAnsi"/>
          <w:b/>
        </w:rPr>
        <w:t xml:space="preserve">ATP arrangements </w:t>
      </w:r>
      <w:r w:rsidR="00D91562" w:rsidRPr="006A74F8">
        <w:rPr>
          <w:rFonts w:cstheme="minorHAnsi"/>
          <w:b/>
        </w:rPr>
        <w:t>is</w:t>
      </w:r>
      <w:r w:rsidR="009E3EDF" w:rsidRPr="006A74F8">
        <w:rPr>
          <w:rFonts w:cstheme="minorHAnsi"/>
          <w:b/>
        </w:rPr>
        <w:t xml:space="preserve"> better able to support emerging measurement technologies and applications:</w:t>
      </w:r>
      <w:r w:rsidR="009E3EDF" w:rsidRPr="006A74F8">
        <w:t xml:space="preserve"> ATPs create a critical role in providing support to industry underpinning the adoption of emerging technologies and practices. Under the </w:t>
      </w:r>
      <w:r w:rsidR="009E3EDF" w:rsidRPr="006A74F8">
        <w:rPr>
          <w:b/>
        </w:rPr>
        <w:t>status quo</w:t>
      </w:r>
      <w:r w:rsidR="009E3EDF" w:rsidRPr="006A74F8">
        <w:t xml:space="preserve">, ATPs have tightly defined scope under their appointment classes. Under </w:t>
      </w:r>
      <w:r w:rsidR="009E3EDF" w:rsidRPr="006A74F8">
        <w:rPr>
          <w:b/>
        </w:rPr>
        <w:t>option 1</w:t>
      </w:r>
      <w:r w:rsidR="009E3EDF" w:rsidRPr="006A74F8">
        <w:t>,</w:t>
      </w:r>
      <w:r w:rsidR="009E3EDF" w:rsidRPr="006A74F8" w:rsidDel="0060291B">
        <w:t xml:space="preserve"> </w:t>
      </w:r>
      <w:r w:rsidR="0060291B" w:rsidRPr="006A74F8">
        <w:t>arrangements</w:t>
      </w:r>
      <w:r w:rsidR="009E3EDF" w:rsidRPr="006A74F8">
        <w:t xml:space="preserve"> are streamlined to expand service provision opportunities for ATPs outside trade measurement. </w:t>
      </w:r>
      <w:r w:rsidR="009E3EDF" w:rsidRPr="006A74F8">
        <w:rPr>
          <w:b/>
        </w:rPr>
        <w:t xml:space="preserve">Options 2 and 3 </w:t>
      </w:r>
      <w:r w:rsidR="009E3EDF" w:rsidRPr="006A74F8">
        <w:t xml:space="preserve">enable </w:t>
      </w:r>
      <w:r w:rsidR="0060291B" w:rsidRPr="006A74F8">
        <w:t xml:space="preserve">future </w:t>
      </w:r>
      <w:r w:rsidR="009E3EDF" w:rsidRPr="006A74F8">
        <w:t>flexib</w:t>
      </w:r>
      <w:r w:rsidR="0060291B" w:rsidRPr="006A74F8">
        <w:t>ility</w:t>
      </w:r>
      <w:r w:rsidR="009E3EDF" w:rsidRPr="006A74F8">
        <w:t xml:space="preserve"> </w:t>
      </w:r>
      <w:r w:rsidRPr="006A74F8">
        <w:t>to accommodate new and hybrid</w:t>
      </w:r>
      <w:r w:rsidR="0060291B" w:rsidRPr="006A74F8">
        <w:t xml:space="preserve"> ATP functions</w:t>
      </w:r>
      <w:r w:rsidR="009E3EDF" w:rsidRPr="006A74F8">
        <w:t>, allowing ATPs to adopt and develop new measurement technologies, as well as providing greater support for industry uptake of new techniques and technologies.</w:t>
      </w:r>
    </w:p>
    <w:p w:rsidR="009E3EDF" w:rsidRPr="006A74F8" w:rsidRDefault="009E3EDF" w:rsidP="009E3EDF">
      <w:r w:rsidRPr="006A74F8">
        <w:rPr>
          <w:b/>
        </w:rPr>
        <w:t>Overall alignment of options with policy principle</w:t>
      </w:r>
      <w:r w:rsidRPr="006A74F8">
        <w:t xml:space="preserve">: </w:t>
      </w:r>
    </w:p>
    <w:p w:rsidR="009E3EDF" w:rsidRPr="006A74F8" w:rsidRDefault="009E3EDF" w:rsidP="00F17430">
      <w:pPr>
        <w:pStyle w:val="ListParagraph"/>
        <w:numPr>
          <w:ilvl w:val="0"/>
          <w:numId w:val="56"/>
        </w:numPr>
      </w:pPr>
      <w:r w:rsidRPr="006A74F8">
        <w:rPr>
          <w:b/>
        </w:rPr>
        <w:t>Status quo</w:t>
      </w:r>
      <w:r w:rsidRPr="006A74F8">
        <w:t xml:space="preserve">: </w:t>
      </w:r>
      <w:r w:rsidRPr="006A74F8">
        <w:rPr>
          <w:rFonts w:cstheme="minorHAnsi"/>
        </w:rPr>
        <w:t>low</w:t>
      </w:r>
      <w:r w:rsidRPr="006A74F8">
        <w:t xml:space="preserve"> alignment as prescriptive framework create barriers and technology assumptions</w:t>
      </w:r>
      <w:r w:rsidR="00DA55CF" w:rsidRPr="006A74F8">
        <w:t>.</w:t>
      </w:r>
    </w:p>
    <w:p w:rsidR="009E3EDF" w:rsidRPr="006A74F8" w:rsidRDefault="009E3EDF" w:rsidP="00F17430">
      <w:pPr>
        <w:pStyle w:val="ListParagraph"/>
        <w:numPr>
          <w:ilvl w:val="0"/>
          <w:numId w:val="56"/>
        </w:numPr>
      </w:pPr>
      <w:r w:rsidRPr="006A74F8">
        <w:rPr>
          <w:b/>
        </w:rPr>
        <w:t>Option 1</w:t>
      </w:r>
      <w:r w:rsidRPr="006A74F8">
        <w:t xml:space="preserve">: </w:t>
      </w:r>
      <w:r w:rsidRPr="006A74F8">
        <w:rPr>
          <w:rFonts w:cstheme="minorHAnsi"/>
        </w:rPr>
        <w:t>medium</w:t>
      </w:r>
      <w:r w:rsidRPr="006A74F8">
        <w:t xml:space="preserve"> alignment through marginal improvement which provides some limited flexibility to support technology and practice which emerges over time</w:t>
      </w:r>
      <w:r w:rsidR="00DA55CF" w:rsidRPr="006A74F8">
        <w:t>.</w:t>
      </w:r>
    </w:p>
    <w:p w:rsidR="009E3EDF" w:rsidRPr="006A74F8" w:rsidRDefault="009E3EDF" w:rsidP="00F17430">
      <w:pPr>
        <w:pStyle w:val="ListParagraph"/>
        <w:numPr>
          <w:ilvl w:val="0"/>
          <w:numId w:val="56"/>
        </w:numPr>
      </w:pPr>
      <w:r w:rsidRPr="006A74F8">
        <w:rPr>
          <w:b/>
        </w:rPr>
        <w:t>Option 2</w:t>
      </w:r>
      <w:r w:rsidRPr="006A74F8">
        <w:t>: high alignment through streamlined and flexible requirements that can respond to and drive innovation and technology changes for trade and legal purposes</w:t>
      </w:r>
      <w:r w:rsidR="00DA55CF" w:rsidRPr="006A74F8">
        <w:t>.</w:t>
      </w:r>
    </w:p>
    <w:p w:rsidR="009E3EDF" w:rsidRPr="006A74F8" w:rsidRDefault="009E3EDF" w:rsidP="00F17430">
      <w:pPr>
        <w:pStyle w:val="ListParagraph"/>
        <w:numPr>
          <w:ilvl w:val="0"/>
          <w:numId w:val="56"/>
        </w:numPr>
      </w:pPr>
      <w:r w:rsidRPr="006A74F8">
        <w:rPr>
          <w:b/>
        </w:rPr>
        <w:t>Option 3</w:t>
      </w:r>
      <w:r w:rsidRPr="006A74F8">
        <w:t>: high alignment through streamlined and flexible requirements that can respond to and drive innovation and technology changes for all measurement</w:t>
      </w:r>
      <w:r w:rsidR="00DA55CF" w:rsidRPr="006A74F8">
        <w:t>.</w:t>
      </w:r>
    </w:p>
    <w:p w:rsidR="009E3EDF" w:rsidRPr="006A74F8" w:rsidRDefault="009E3EDF" w:rsidP="009E3EDF">
      <w:pPr>
        <w:pStyle w:val="ListParagraph"/>
        <w:ind w:left="1080" w:firstLine="0"/>
        <w:rPr>
          <w:sz w:val="20"/>
          <w:szCs w:val="20"/>
        </w:rPr>
      </w:pPr>
    </w:p>
    <w:p w:rsidR="009E3EDF" w:rsidRPr="006A74F8" w:rsidRDefault="009E3EDF" w:rsidP="009E3EDF">
      <w:pPr>
        <w:pStyle w:val="Heading5"/>
      </w:pPr>
      <w:r w:rsidRPr="006A74F8">
        <w:t xml:space="preserve">Fit for purpose </w:t>
      </w:r>
    </w:p>
    <w:p w:rsidR="009E3EDF" w:rsidRPr="006A74F8" w:rsidRDefault="009E3EDF" w:rsidP="009E3EDF">
      <w:r w:rsidRPr="006A74F8">
        <w:t>Definition: Ensures regulation is appropriate and proportionate to measurement risk and usage.</w:t>
      </w:r>
    </w:p>
    <w:p w:rsidR="004C65BA" w:rsidRPr="006A74F8" w:rsidRDefault="004C65BA" w:rsidP="004C65BA">
      <w:pPr>
        <w:rPr>
          <w:rFonts w:ascii="Calibri" w:eastAsia="Calibri" w:hAnsi="Calibri" w:cs="Calibri"/>
          <w:color w:val="000000"/>
          <w:lang w:eastAsia="en-AU"/>
        </w:rPr>
      </w:pPr>
      <w:r w:rsidRPr="006A74F8">
        <w:rPr>
          <w:rFonts w:ascii="Calibri" w:eastAsia="Calibri" w:hAnsi="Calibri" w:cs="Calibri"/>
          <w:color w:val="000000"/>
          <w:lang w:eastAsia="en-AU"/>
        </w:rPr>
        <w:t xml:space="preserve">The </w:t>
      </w:r>
      <w:r w:rsidR="00D95E1D" w:rsidRPr="006A74F8">
        <w:rPr>
          <w:rFonts w:ascii="Calibri" w:eastAsia="Calibri" w:hAnsi="Calibri" w:cs="Calibri"/>
          <w:color w:val="000000"/>
          <w:lang w:eastAsia="en-AU"/>
        </w:rPr>
        <w:t xml:space="preserve">proposed </w:t>
      </w:r>
      <w:r w:rsidRPr="006A74F8">
        <w:rPr>
          <w:rFonts w:ascii="Calibri" w:eastAsia="Calibri" w:hAnsi="Calibri" w:cs="Calibri"/>
          <w:color w:val="000000"/>
          <w:lang w:eastAsia="en-AU"/>
        </w:rPr>
        <w:t>changes that contribute to this principle include:</w:t>
      </w:r>
    </w:p>
    <w:p w:rsidR="009E3EDF" w:rsidRPr="006A74F8" w:rsidRDefault="009E3EDF" w:rsidP="00F17430">
      <w:pPr>
        <w:pStyle w:val="ListParagraph"/>
        <w:numPr>
          <w:ilvl w:val="0"/>
          <w:numId w:val="71"/>
        </w:numPr>
        <w:rPr>
          <w:rFonts w:ascii="Calibri" w:eastAsia="Calibri" w:hAnsi="Calibri" w:cs="Calibri"/>
          <w:b/>
          <w:color w:val="000000"/>
          <w:lang w:eastAsia="en-AU"/>
        </w:rPr>
      </w:pPr>
      <w:r w:rsidRPr="006A74F8">
        <w:rPr>
          <w:rFonts w:ascii="Calibri" w:eastAsia="Calibri" w:hAnsi="Calibri" w:cs="Calibri"/>
          <w:b/>
          <w:color w:val="000000"/>
          <w:lang w:eastAsia="en-AU"/>
        </w:rPr>
        <w:t>Principles-based regulation</w:t>
      </w:r>
      <w:r w:rsidRPr="006A74F8">
        <w:rPr>
          <w:rFonts w:ascii="Calibri" w:eastAsia="Calibri" w:hAnsi="Calibri" w:cs="Calibri"/>
          <w:color w:val="000000"/>
          <w:lang w:eastAsia="en-AU"/>
        </w:rPr>
        <w:t xml:space="preserve">: Across </w:t>
      </w:r>
      <w:r w:rsidRPr="006A74F8">
        <w:rPr>
          <w:rFonts w:ascii="Calibri" w:eastAsia="Calibri" w:hAnsi="Calibri" w:cs="Calibri"/>
          <w:b/>
          <w:color w:val="000000"/>
          <w:lang w:eastAsia="en-AU"/>
        </w:rPr>
        <w:t xml:space="preserve">all reform options </w:t>
      </w:r>
      <w:r w:rsidRPr="006A74F8">
        <w:rPr>
          <w:rFonts w:ascii="Calibri" w:eastAsia="Calibri" w:hAnsi="Calibri" w:cs="Calibri"/>
          <w:color w:val="000000"/>
          <w:lang w:eastAsia="en-AU"/>
        </w:rPr>
        <w:t xml:space="preserve">a broader risk-based regulatory approach to trade measurement requirements is enabled. Increased flexibility creates benefits for business, while enabling NMI to better focus resources on high-risk areas. Industry benefits are likely to be slightly higher for </w:t>
      </w:r>
      <w:r w:rsidRPr="006A74F8">
        <w:rPr>
          <w:rFonts w:ascii="Calibri" w:eastAsia="Calibri" w:hAnsi="Calibri" w:cs="Calibri"/>
          <w:b/>
          <w:color w:val="000000"/>
          <w:lang w:eastAsia="en-AU"/>
        </w:rPr>
        <w:t>options 2 and 3</w:t>
      </w:r>
      <w:r w:rsidRPr="006A74F8">
        <w:rPr>
          <w:rFonts w:ascii="Calibri" w:eastAsia="Calibri" w:hAnsi="Calibri" w:cs="Calibri"/>
          <w:color w:val="000000"/>
          <w:lang w:eastAsia="en-AU"/>
        </w:rPr>
        <w:t xml:space="preserve">, compared with </w:t>
      </w:r>
      <w:r w:rsidRPr="006A74F8">
        <w:rPr>
          <w:rFonts w:ascii="Calibri" w:eastAsia="Calibri" w:hAnsi="Calibri" w:cs="Calibri"/>
          <w:b/>
          <w:color w:val="000000"/>
          <w:lang w:eastAsia="en-AU"/>
        </w:rPr>
        <w:t>option 1</w:t>
      </w:r>
      <w:r w:rsidRPr="006A74F8">
        <w:rPr>
          <w:rFonts w:ascii="Calibri" w:eastAsia="Calibri" w:hAnsi="Calibri" w:cs="Calibri"/>
          <w:color w:val="000000"/>
          <w:lang w:eastAsia="en-AU"/>
        </w:rPr>
        <w:t xml:space="preserve">, as some prescription is kept for a small number of requirements under </w:t>
      </w:r>
      <w:r w:rsidRPr="006A74F8">
        <w:rPr>
          <w:rFonts w:ascii="Calibri" w:eastAsia="Calibri" w:hAnsi="Calibri" w:cs="Calibri"/>
          <w:b/>
          <w:color w:val="000000"/>
          <w:lang w:eastAsia="en-AU"/>
        </w:rPr>
        <w:t>option 1</w:t>
      </w:r>
      <w:r w:rsidRPr="006A74F8">
        <w:rPr>
          <w:rFonts w:ascii="Calibri" w:eastAsia="Calibri" w:hAnsi="Calibri" w:cs="Calibri"/>
          <w:color w:val="000000"/>
          <w:lang w:eastAsia="en-AU"/>
        </w:rPr>
        <w:t>.</w:t>
      </w:r>
    </w:p>
    <w:p w:rsidR="009E3EDF" w:rsidRPr="006A74F8" w:rsidRDefault="009E3EDF" w:rsidP="00F17430">
      <w:pPr>
        <w:pStyle w:val="ListParagraph"/>
        <w:numPr>
          <w:ilvl w:val="0"/>
          <w:numId w:val="71"/>
        </w:numPr>
        <w:rPr>
          <w:rFonts w:ascii="Calibri" w:eastAsia="Calibri" w:hAnsi="Calibri" w:cs="Calibri"/>
          <w:color w:val="000000"/>
          <w:lang w:eastAsia="en-AU"/>
        </w:rPr>
      </w:pPr>
      <w:r w:rsidRPr="006A74F8">
        <w:rPr>
          <w:b/>
        </w:rPr>
        <w:lastRenderedPageBreak/>
        <w:t>A principles-based approach to marking packaged products:</w:t>
      </w:r>
      <w:r w:rsidRPr="006A74F8">
        <w:t xml:space="preserve"> The current requirements for measurement marks on packaged products </w:t>
      </w:r>
      <w:r w:rsidR="00C27FB0" w:rsidRPr="006A74F8">
        <w:t>are</w:t>
      </w:r>
      <w:r w:rsidRPr="006A74F8">
        <w:t xml:space="preserve"> overly prescriptive and inconsistent with other related domestic and international regulations. </w:t>
      </w:r>
      <w:r w:rsidRPr="006A74F8">
        <w:rPr>
          <w:b/>
        </w:rPr>
        <w:t>Option 1</w:t>
      </w:r>
      <w:r w:rsidRPr="006A74F8">
        <w:t xml:space="preserve"> provides a medium level of alignment by applying a more principles-based approach to products including by consolidating and reducing prescription. </w:t>
      </w:r>
      <w:r w:rsidRPr="006A74F8">
        <w:rPr>
          <w:b/>
        </w:rPr>
        <w:t xml:space="preserve">Options 2 and 3 </w:t>
      </w:r>
      <w:r w:rsidRPr="006A74F8">
        <w:t>provide</w:t>
      </w:r>
      <w:r w:rsidRPr="006A74F8">
        <w:rPr>
          <w:b/>
        </w:rPr>
        <w:t xml:space="preserve"> </w:t>
      </w:r>
      <w:r w:rsidRPr="006A74F8">
        <w:t>a high level of alignment through reducing requirements regarding the placement of measurement markings, commensurate with risk.</w:t>
      </w:r>
    </w:p>
    <w:p w:rsidR="009E3EDF" w:rsidRPr="006A74F8" w:rsidRDefault="009E3EDF" w:rsidP="00F17430">
      <w:pPr>
        <w:pStyle w:val="ListParagraph"/>
        <w:numPr>
          <w:ilvl w:val="0"/>
          <w:numId w:val="71"/>
        </w:numPr>
      </w:pPr>
      <w:r w:rsidRPr="006A74F8">
        <w:rPr>
          <w:b/>
        </w:rPr>
        <w:t>Enhanced suite of compliance and enforcement tools</w:t>
      </w:r>
      <w:r w:rsidRPr="006A74F8">
        <w:t>: Current compliance and enforcement tools are heavily focussed on individual deterrence and punishment and are not w</w:t>
      </w:r>
      <w:r w:rsidR="00A40103" w:rsidRPr="006A74F8">
        <w:t>ell suited to a modern and risk-</w:t>
      </w:r>
      <w:r w:rsidRPr="006A74F8">
        <w:t xml:space="preserve">based regulatory framework. </w:t>
      </w:r>
      <w:r w:rsidRPr="006A74F8">
        <w:rPr>
          <w:b/>
        </w:rPr>
        <w:t>All reform options</w:t>
      </w:r>
      <w:r w:rsidRPr="006A74F8">
        <w:t xml:space="preserve"> provide a range of </w:t>
      </w:r>
      <w:r w:rsidRPr="006A74F8">
        <w:rPr>
          <w:rFonts w:cstheme="minorHAnsi"/>
        </w:rPr>
        <w:t>contemporary and flexible compliance tools</w:t>
      </w:r>
      <w:r w:rsidRPr="006A74F8">
        <w:t xml:space="preserve"> which can more appropriately target</w:t>
      </w:r>
      <w:r w:rsidRPr="006A74F8">
        <w:rPr>
          <w:rFonts w:cstheme="minorHAnsi"/>
        </w:rPr>
        <w:t xml:space="preserve"> different levels of the escalating enforcement model</w:t>
      </w:r>
      <w:r w:rsidR="00E27923" w:rsidRPr="006A74F8">
        <w:rPr>
          <w:rFonts w:cstheme="minorHAnsi"/>
        </w:rPr>
        <w:t xml:space="preserve"> and respond appropriately (i</w:t>
      </w:r>
      <w:r w:rsidR="00BA1C3D" w:rsidRPr="006A74F8">
        <w:rPr>
          <w:rFonts w:cstheme="minorHAnsi"/>
        </w:rPr>
        <w:t>.</w:t>
      </w:r>
      <w:r w:rsidR="00E27923" w:rsidRPr="006A74F8">
        <w:rPr>
          <w:rFonts w:cstheme="minorHAnsi"/>
        </w:rPr>
        <w:t>e</w:t>
      </w:r>
      <w:r w:rsidR="00BA1C3D" w:rsidRPr="006A74F8">
        <w:rPr>
          <w:rFonts w:cstheme="minorHAnsi"/>
        </w:rPr>
        <w:t>.</w:t>
      </w:r>
      <w:r w:rsidR="00E27923" w:rsidRPr="006A74F8">
        <w:rPr>
          <w:rFonts w:cstheme="minorHAnsi"/>
        </w:rPr>
        <w:t xml:space="preserve"> tailored to consider small businesses or large enterprises)</w:t>
      </w:r>
      <w:r w:rsidRPr="006A74F8">
        <w:rPr>
          <w:rFonts w:cstheme="minorHAnsi"/>
        </w:rPr>
        <w:t>.</w:t>
      </w:r>
    </w:p>
    <w:p w:rsidR="009E3EDF" w:rsidRPr="006A74F8" w:rsidRDefault="009E3EDF" w:rsidP="00F17430">
      <w:pPr>
        <w:pStyle w:val="ListParagraph"/>
        <w:numPr>
          <w:ilvl w:val="0"/>
          <w:numId w:val="71"/>
        </w:numPr>
        <w:rPr>
          <w:lang w:eastAsia="en-AU"/>
        </w:rPr>
      </w:pPr>
      <w:r w:rsidRPr="006A74F8">
        <w:rPr>
          <w:rFonts w:ascii="Calibri" w:eastAsia="Calibri" w:hAnsi="Calibri" w:cs="Calibri"/>
          <w:b/>
          <w:color w:val="000000"/>
          <w:lang w:eastAsia="en-AU"/>
        </w:rPr>
        <w:t xml:space="preserve">Streamlined </w:t>
      </w:r>
      <w:r w:rsidRPr="006A74F8">
        <w:rPr>
          <w:b/>
          <w:lang w:eastAsia="en-AU"/>
        </w:rPr>
        <w:t xml:space="preserve">appointment arrangements </w:t>
      </w:r>
      <w:r w:rsidR="0097090D" w:rsidRPr="006A74F8">
        <w:rPr>
          <w:b/>
          <w:lang w:eastAsia="en-AU"/>
        </w:rPr>
        <w:t>with future flexibility</w:t>
      </w:r>
      <w:r w:rsidRPr="006A74F8">
        <w:rPr>
          <w:b/>
          <w:lang w:eastAsia="en-AU"/>
        </w:rPr>
        <w:t xml:space="preserve"> for ATPs</w:t>
      </w:r>
      <w:r w:rsidRPr="006A74F8">
        <w:rPr>
          <w:lang w:eastAsia="en-AU"/>
        </w:rPr>
        <w:t xml:space="preserve">: Under the </w:t>
      </w:r>
      <w:r w:rsidRPr="006A74F8">
        <w:rPr>
          <w:b/>
          <w:lang w:eastAsia="en-AU"/>
        </w:rPr>
        <w:t>status quo and option 1</w:t>
      </w:r>
      <w:r w:rsidRPr="006A74F8">
        <w:rPr>
          <w:lang w:eastAsia="en-AU"/>
        </w:rPr>
        <w:t xml:space="preserve">, ATPs have tightly defined classes and requirements which </w:t>
      </w:r>
      <w:r w:rsidR="00E908EF" w:rsidRPr="006A74F8">
        <w:rPr>
          <w:lang w:eastAsia="en-AU"/>
        </w:rPr>
        <w:t>limits the ability to accommodate evolving measurement needs</w:t>
      </w:r>
      <w:r w:rsidRPr="006A74F8">
        <w:rPr>
          <w:lang w:eastAsia="en-AU"/>
        </w:rPr>
        <w:t xml:space="preserve">. Under </w:t>
      </w:r>
      <w:r w:rsidRPr="006A74F8">
        <w:rPr>
          <w:b/>
          <w:lang w:eastAsia="en-AU"/>
        </w:rPr>
        <w:t>options 2 and 3</w:t>
      </w:r>
      <w:r w:rsidRPr="006A74F8">
        <w:rPr>
          <w:lang w:eastAsia="en-AU"/>
        </w:rPr>
        <w:t xml:space="preserve">, a single </w:t>
      </w:r>
      <w:r w:rsidR="00E908EF" w:rsidRPr="006A74F8">
        <w:rPr>
          <w:lang w:eastAsia="en-AU"/>
        </w:rPr>
        <w:t xml:space="preserve">legislative </w:t>
      </w:r>
      <w:r w:rsidRPr="006A74F8">
        <w:rPr>
          <w:lang w:eastAsia="en-AU"/>
        </w:rPr>
        <w:t>appointment mechanism</w:t>
      </w:r>
      <w:r w:rsidR="00E908EF" w:rsidRPr="006A74F8">
        <w:rPr>
          <w:lang w:eastAsia="en-AU"/>
        </w:rPr>
        <w:t xml:space="preserve"> for ATP functions</w:t>
      </w:r>
      <w:r w:rsidR="00FB0F62" w:rsidRPr="006A74F8">
        <w:rPr>
          <w:lang w:eastAsia="en-AU"/>
        </w:rPr>
        <w:t xml:space="preserve"> may reduce some administrative burden</w:t>
      </w:r>
      <w:r w:rsidR="00E908EF" w:rsidRPr="006A74F8">
        <w:rPr>
          <w:lang w:eastAsia="en-AU"/>
        </w:rPr>
        <w:t xml:space="preserve"> and the ability to appoint ATPs to perform new types of functions is </w:t>
      </w:r>
      <w:r w:rsidRPr="006A74F8">
        <w:rPr>
          <w:lang w:eastAsia="en-AU"/>
        </w:rPr>
        <w:t xml:space="preserve">better </w:t>
      </w:r>
      <w:r w:rsidR="00E908EF" w:rsidRPr="006A74F8">
        <w:rPr>
          <w:lang w:eastAsia="en-AU"/>
        </w:rPr>
        <w:t>able to accommodate new and hybrid ATP functions in the future</w:t>
      </w:r>
      <w:r w:rsidRPr="006A74F8">
        <w:rPr>
          <w:lang w:eastAsia="en-AU"/>
        </w:rPr>
        <w:t xml:space="preserve">. </w:t>
      </w:r>
    </w:p>
    <w:p w:rsidR="009E3EDF" w:rsidRPr="006A74F8" w:rsidRDefault="00731FE3" w:rsidP="00F17430">
      <w:pPr>
        <w:pStyle w:val="ListParagraph"/>
        <w:numPr>
          <w:ilvl w:val="0"/>
          <w:numId w:val="71"/>
        </w:numPr>
        <w:rPr>
          <w:rFonts w:ascii="Calibri" w:eastAsia="Calibri" w:hAnsi="Calibri" w:cs="Calibri"/>
          <w:color w:val="000000"/>
          <w:lang w:eastAsia="en-AU"/>
        </w:rPr>
      </w:pPr>
      <w:r w:rsidRPr="006A74F8">
        <w:rPr>
          <w:rFonts w:ascii="Calibri" w:eastAsia="Calibri" w:hAnsi="Calibri" w:cs="Calibri"/>
          <w:b/>
          <w:color w:val="000000"/>
          <w:lang w:eastAsia="en-AU"/>
        </w:rPr>
        <w:t>Future i</w:t>
      </w:r>
      <w:r w:rsidR="009E3EDF" w:rsidRPr="006A74F8">
        <w:rPr>
          <w:rFonts w:ascii="Calibri" w:eastAsia="Calibri" w:hAnsi="Calibri" w:cs="Calibri"/>
          <w:b/>
          <w:color w:val="000000"/>
          <w:lang w:eastAsia="en-AU"/>
        </w:rPr>
        <w:t xml:space="preserve">ntroduction of general licences for </w:t>
      </w:r>
      <w:r w:rsidR="00C6533A" w:rsidRPr="006A74F8">
        <w:rPr>
          <w:rFonts w:ascii="Calibri" w:eastAsia="Calibri" w:hAnsi="Calibri" w:cs="Calibri"/>
          <w:b/>
          <w:color w:val="000000"/>
          <w:lang w:eastAsia="en-AU"/>
        </w:rPr>
        <w:t>certain measurement functions and</w:t>
      </w:r>
      <w:r w:rsidR="009E3EDF" w:rsidRPr="006A74F8">
        <w:rPr>
          <w:rFonts w:ascii="Calibri" w:eastAsia="Calibri" w:hAnsi="Calibri" w:cs="Calibri"/>
          <w:b/>
          <w:color w:val="000000"/>
          <w:lang w:eastAsia="en-AU"/>
        </w:rPr>
        <w:t xml:space="preserve"> activities: </w:t>
      </w:r>
      <w:r w:rsidR="009E3EDF" w:rsidRPr="006A74F8">
        <w:rPr>
          <w:rFonts w:ascii="Calibri" w:eastAsia="Calibri" w:hAnsi="Calibri" w:cs="Calibri"/>
          <w:color w:val="000000"/>
          <w:lang w:eastAsia="en-AU"/>
        </w:rPr>
        <w:t xml:space="preserve">the possible use of general licences is introduced under </w:t>
      </w:r>
      <w:r w:rsidR="009E3EDF" w:rsidRPr="006A74F8">
        <w:rPr>
          <w:rFonts w:ascii="Calibri" w:eastAsia="Calibri" w:hAnsi="Calibri" w:cs="Calibri"/>
          <w:b/>
          <w:color w:val="000000"/>
          <w:lang w:eastAsia="en-AU"/>
        </w:rPr>
        <w:t>options 2 and 3</w:t>
      </w:r>
      <w:r w:rsidR="009E3EDF" w:rsidRPr="006A74F8">
        <w:rPr>
          <w:rFonts w:ascii="Calibri" w:eastAsia="Calibri" w:hAnsi="Calibri" w:cs="Calibri"/>
          <w:color w:val="000000"/>
          <w:lang w:eastAsia="en-AU"/>
        </w:rPr>
        <w:t xml:space="preserve">. This would enable </w:t>
      </w:r>
      <w:r w:rsidR="00C6533A" w:rsidRPr="006A74F8">
        <w:rPr>
          <w:rFonts w:ascii="Calibri" w:eastAsia="Calibri" w:hAnsi="Calibri" w:cs="Calibri"/>
          <w:color w:val="000000"/>
          <w:lang w:eastAsia="en-AU"/>
        </w:rPr>
        <w:t>certain measurement functions and activities</w:t>
      </w:r>
      <w:r w:rsidR="009E3EDF" w:rsidRPr="006A74F8">
        <w:rPr>
          <w:rFonts w:ascii="Calibri" w:eastAsia="Calibri" w:hAnsi="Calibri" w:cs="Calibri"/>
          <w:color w:val="000000"/>
          <w:lang w:eastAsia="en-AU"/>
        </w:rPr>
        <w:t xml:space="preserve"> to be performed, subject to certain conditions being met, without the need to apply for an appointment. The introduction of general licences </w:t>
      </w:r>
      <w:r w:rsidRPr="006A74F8">
        <w:rPr>
          <w:rFonts w:ascii="Calibri" w:eastAsia="Calibri" w:hAnsi="Calibri" w:cs="Calibri"/>
          <w:color w:val="000000"/>
          <w:lang w:eastAsia="en-AU"/>
        </w:rPr>
        <w:t xml:space="preserve">in future </w:t>
      </w:r>
      <w:r w:rsidR="009E3EDF" w:rsidRPr="006A74F8">
        <w:rPr>
          <w:rFonts w:ascii="Calibri" w:eastAsia="Calibri" w:hAnsi="Calibri" w:cs="Calibri"/>
          <w:color w:val="000000"/>
          <w:lang w:eastAsia="en-AU"/>
        </w:rPr>
        <w:t xml:space="preserve">would enable the regulatory burden associated with the provision of </w:t>
      </w:r>
      <w:r w:rsidR="00C6533A" w:rsidRPr="006A74F8">
        <w:rPr>
          <w:rFonts w:ascii="Calibri" w:eastAsia="Calibri" w:hAnsi="Calibri" w:cs="Calibri"/>
          <w:color w:val="000000"/>
          <w:lang w:eastAsia="en-AU"/>
        </w:rPr>
        <w:t xml:space="preserve">certain </w:t>
      </w:r>
      <w:r w:rsidR="009E3EDF" w:rsidRPr="006A74F8">
        <w:rPr>
          <w:rFonts w:ascii="Calibri" w:eastAsia="Calibri" w:hAnsi="Calibri" w:cs="Calibri"/>
          <w:color w:val="000000"/>
          <w:lang w:eastAsia="en-AU"/>
        </w:rPr>
        <w:t xml:space="preserve">measurement </w:t>
      </w:r>
      <w:r w:rsidR="00C6533A" w:rsidRPr="006A74F8">
        <w:rPr>
          <w:rFonts w:ascii="Calibri" w:eastAsia="Calibri" w:hAnsi="Calibri" w:cs="Calibri"/>
          <w:color w:val="000000"/>
          <w:lang w:eastAsia="en-AU"/>
        </w:rPr>
        <w:t>functions and activities</w:t>
      </w:r>
      <w:r w:rsidR="009E3EDF" w:rsidRPr="006A74F8">
        <w:rPr>
          <w:rFonts w:ascii="Calibri" w:eastAsia="Calibri" w:hAnsi="Calibri" w:cs="Calibri"/>
          <w:color w:val="000000"/>
          <w:lang w:eastAsia="en-AU"/>
        </w:rPr>
        <w:t xml:space="preserve"> to be more appropriately aligned with the</w:t>
      </w:r>
      <w:r w:rsidR="00C6533A" w:rsidRPr="006A74F8">
        <w:rPr>
          <w:rFonts w:ascii="Calibri" w:eastAsia="Calibri" w:hAnsi="Calibri" w:cs="Calibri"/>
          <w:color w:val="000000"/>
          <w:lang w:eastAsia="en-AU"/>
        </w:rPr>
        <w:t xml:space="preserve"> necessary level of regulatory oversight</w:t>
      </w:r>
      <w:r w:rsidR="009E3EDF" w:rsidRPr="006A74F8">
        <w:rPr>
          <w:rFonts w:ascii="Calibri" w:eastAsia="Calibri" w:hAnsi="Calibri" w:cs="Calibri"/>
          <w:color w:val="000000"/>
          <w:lang w:eastAsia="en-AU"/>
        </w:rPr>
        <w:t>.</w:t>
      </w:r>
    </w:p>
    <w:p w:rsidR="009E3EDF" w:rsidRPr="006A74F8" w:rsidRDefault="009E3EDF" w:rsidP="00F17430">
      <w:pPr>
        <w:pStyle w:val="ListParagraph"/>
        <w:numPr>
          <w:ilvl w:val="0"/>
          <w:numId w:val="71"/>
        </w:numPr>
        <w:rPr>
          <w:rFonts w:ascii="Calibri" w:eastAsia="Calibri" w:hAnsi="Calibri" w:cs="Calibri"/>
          <w:color w:val="000000"/>
          <w:sz w:val="20"/>
          <w:szCs w:val="21"/>
          <w:lang w:eastAsia="en-AU"/>
        </w:rPr>
      </w:pPr>
      <w:r w:rsidRPr="006A74F8">
        <w:rPr>
          <w:rFonts w:ascii="Calibri" w:eastAsia="Calibri" w:hAnsi="Calibri" w:cs="Calibri"/>
          <w:b/>
          <w:color w:val="000000"/>
          <w:lang w:eastAsia="en-AU"/>
        </w:rPr>
        <w:t xml:space="preserve">The regulation of measuring instruments is proportionate to risk and usage: </w:t>
      </w:r>
      <w:r w:rsidRPr="006A74F8">
        <w:rPr>
          <w:rFonts w:ascii="Calibri" w:eastAsia="Calibri" w:hAnsi="Calibri" w:cs="Calibri"/>
          <w:color w:val="000000"/>
          <w:lang w:eastAsia="en-AU"/>
        </w:rPr>
        <w:t xml:space="preserve">Pattern approval and verification remain default controls across </w:t>
      </w:r>
      <w:r w:rsidRPr="006A74F8">
        <w:rPr>
          <w:rFonts w:ascii="Calibri" w:eastAsia="Calibri" w:hAnsi="Calibri" w:cs="Calibri"/>
          <w:b/>
          <w:color w:val="000000"/>
          <w:lang w:eastAsia="en-AU"/>
        </w:rPr>
        <w:t>all reform options</w:t>
      </w:r>
      <w:r w:rsidRPr="006A74F8">
        <w:rPr>
          <w:rFonts w:ascii="Calibri" w:eastAsia="Calibri" w:hAnsi="Calibri" w:cs="Calibri"/>
          <w:color w:val="000000"/>
          <w:lang w:eastAsia="en-AU"/>
        </w:rPr>
        <w:t>. Under the status quo they are an inflexible mandatory pathway for market entry on all trade measuring instruments.</w:t>
      </w:r>
      <w:r w:rsidRPr="006A74F8">
        <w:rPr>
          <w:rFonts w:ascii="Calibri" w:eastAsia="Calibri" w:hAnsi="Calibri" w:cs="Calibri"/>
          <w:b/>
          <w:color w:val="000000"/>
          <w:lang w:eastAsia="en-AU"/>
        </w:rPr>
        <w:t xml:space="preserve"> Option 1 </w:t>
      </w:r>
      <w:r w:rsidRPr="006A74F8">
        <w:rPr>
          <w:rFonts w:ascii="Calibri" w:eastAsia="Calibri" w:hAnsi="Calibri" w:cs="Calibri"/>
          <w:color w:val="000000"/>
          <w:lang w:eastAsia="en-AU"/>
        </w:rPr>
        <w:t xml:space="preserve">retains the current single path for instrument regulation, but introduces some flexibility via a legislated power to determine if certain instruments may be allowed to enter the market without prior approval, or grant a provisional approval. </w:t>
      </w:r>
      <w:r w:rsidRPr="006A74F8">
        <w:rPr>
          <w:rFonts w:ascii="Calibri" w:eastAsia="Calibri" w:hAnsi="Calibri" w:cs="Calibri"/>
          <w:b/>
          <w:color w:val="000000"/>
          <w:lang w:eastAsia="en-AU"/>
        </w:rPr>
        <w:t xml:space="preserve">Option 2 </w:t>
      </w:r>
      <w:r w:rsidR="002B5B68" w:rsidRPr="006A74F8">
        <w:rPr>
          <w:rFonts w:ascii="Calibri" w:eastAsia="Calibri" w:hAnsi="Calibri" w:cs="Calibri"/>
          <w:color w:val="000000"/>
          <w:lang w:eastAsia="en-AU"/>
        </w:rPr>
        <w:t>allows a</w:t>
      </w:r>
      <w:r w:rsidRPr="006A74F8">
        <w:rPr>
          <w:rFonts w:ascii="Calibri" w:eastAsia="Calibri" w:hAnsi="Calibri" w:cs="Calibri"/>
          <w:color w:val="000000"/>
          <w:lang w:eastAsia="en-AU"/>
        </w:rPr>
        <w:t xml:space="preserve"> fit for purpose </w:t>
      </w:r>
      <w:r w:rsidR="002B5B68" w:rsidRPr="006A74F8">
        <w:rPr>
          <w:rFonts w:ascii="Calibri" w:eastAsia="Calibri" w:hAnsi="Calibri" w:cs="Calibri"/>
          <w:color w:val="000000"/>
          <w:lang w:eastAsia="en-AU"/>
        </w:rPr>
        <w:t xml:space="preserve">approach to the </w:t>
      </w:r>
      <w:r w:rsidRPr="006A74F8">
        <w:rPr>
          <w:rFonts w:ascii="Calibri" w:eastAsia="Calibri" w:hAnsi="Calibri" w:cs="Calibri"/>
          <w:color w:val="000000"/>
          <w:lang w:eastAsia="en-AU"/>
        </w:rPr>
        <w:t xml:space="preserve">regulation of instruments by </w:t>
      </w:r>
      <w:r w:rsidR="002B5B68" w:rsidRPr="006A74F8">
        <w:rPr>
          <w:rFonts w:ascii="Calibri" w:eastAsia="Calibri" w:hAnsi="Calibri" w:cs="Calibri"/>
          <w:color w:val="000000"/>
          <w:lang w:eastAsia="en-AU"/>
        </w:rPr>
        <w:t xml:space="preserve">introducing </w:t>
      </w:r>
      <w:r w:rsidRPr="006A74F8">
        <w:rPr>
          <w:rFonts w:ascii="Calibri" w:eastAsia="Calibri" w:hAnsi="Calibri" w:cs="Calibri"/>
          <w:color w:val="000000"/>
          <w:lang w:eastAsia="en-AU"/>
        </w:rPr>
        <w:t xml:space="preserve">a range of control mechanisms that </w:t>
      </w:r>
      <w:r w:rsidR="002B5B68" w:rsidRPr="006A74F8">
        <w:rPr>
          <w:rFonts w:ascii="Calibri" w:eastAsia="Calibri" w:hAnsi="Calibri" w:cs="Calibri"/>
          <w:color w:val="000000"/>
          <w:lang w:eastAsia="en-AU"/>
        </w:rPr>
        <w:t>will</w:t>
      </w:r>
      <w:r w:rsidRPr="006A74F8">
        <w:rPr>
          <w:rFonts w:ascii="Calibri" w:eastAsia="Calibri" w:hAnsi="Calibri" w:cs="Calibri"/>
          <w:color w:val="000000"/>
          <w:lang w:eastAsia="en-AU"/>
        </w:rPr>
        <w:t xml:space="preserve"> </w:t>
      </w:r>
      <w:r w:rsidR="002B5B68" w:rsidRPr="006A74F8">
        <w:rPr>
          <w:rFonts w:ascii="Calibri" w:eastAsia="Calibri" w:hAnsi="Calibri" w:cs="Calibri"/>
          <w:color w:val="000000"/>
          <w:lang w:eastAsia="en-AU"/>
        </w:rPr>
        <w:t>provide flexibility to accommodate new and emerging technology.</w:t>
      </w:r>
      <w:r w:rsidRPr="006A74F8">
        <w:rPr>
          <w:rFonts w:ascii="Calibri" w:eastAsia="Calibri" w:hAnsi="Calibri" w:cs="Calibri"/>
          <w:color w:val="000000"/>
          <w:lang w:eastAsia="en-AU"/>
        </w:rPr>
        <w:t xml:space="preserve"> </w:t>
      </w:r>
      <w:r w:rsidRPr="006A74F8">
        <w:rPr>
          <w:rFonts w:ascii="Calibri" w:eastAsia="Calibri" w:hAnsi="Calibri" w:cs="Calibri"/>
          <w:b/>
          <w:color w:val="000000"/>
          <w:lang w:eastAsia="en-AU"/>
        </w:rPr>
        <w:t>Option 3</w:t>
      </w:r>
      <w:r w:rsidRPr="006A74F8">
        <w:rPr>
          <w:rFonts w:ascii="Calibri" w:eastAsia="Calibri" w:hAnsi="Calibri" w:cs="Calibri"/>
          <w:color w:val="000000"/>
          <w:lang w:eastAsia="en-AU"/>
        </w:rPr>
        <w:t xml:space="preserve"> will enable the application of appropriate controls on measuring instruments used by regulators.</w:t>
      </w:r>
    </w:p>
    <w:p w:rsidR="009E3EDF" w:rsidRPr="006A74F8" w:rsidRDefault="009E3EDF" w:rsidP="009E3EDF">
      <w:r w:rsidRPr="006A74F8">
        <w:rPr>
          <w:b/>
        </w:rPr>
        <w:t>Overall alignment of options with policy principle</w:t>
      </w:r>
      <w:r w:rsidRPr="006A74F8">
        <w:t xml:space="preserve">: </w:t>
      </w:r>
    </w:p>
    <w:p w:rsidR="009E3EDF" w:rsidRPr="006A74F8" w:rsidRDefault="009E3EDF" w:rsidP="00074B2D">
      <w:pPr>
        <w:pStyle w:val="ListParagraph"/>
        <w:numPr>
          <w:ilvl w:val="0"/>
          <w:numId w:val="56"/>
        </w:numPr>
      </w:pPr>
      <w:r w:rsidRPr="006A74F8">
        <w:rPr>
          <w:b/>
        </w:rPr>
        <w:t>Status quo</w:t>
      </w:r>
      <w:r w:rsidRPr="006A74F8">
        <w:t xml:space="preserve">: </w:t>
      </w:r>
      <w:r w:rsidRPr="006A74F8">
        <w:rPr>
          <w:rFonts w:cstheme="minorHAnsi"/>
        </w:rPr>
        <w:t>low</w:t>
      </w:r>
      <w:r w:rsidRPr="006A74F8">
        <w:t xml:space="preserve"> level of alignment as legislation is inflexible and adopts a one-size-fits-all approach in some areas. </w:t>
      </w:r>
    </w:p>
    <w:p w:rsidR="009E3EDF" w:rsidRPr="006A74F8" w:rsidRDefault="009E3EDF" w:rsidP="00074B2D">
      <w:pPr>
        <w:pStyle w:val="ListParagraph"/>
        <w:numPr>
          <w:ilvl w:val="0"/>
          <w:numId w:val="56"/>
        </w:numPr>
      </w:pPr>
      <w:r w:rsidRPr="006A74F8">
        <w:rPr>
          <w:b/>
        </w:rPr>
        <w:t>Option 1</w:t>
      </w:r>
      <w:r w:rsidRPr="006A74F8">
        <w:t xml:space="preserve">: </w:t>
      </w:r>
      <w:r w:rsidRPr="006A74F8">
        <w:rPr>
          <w:rFonts w:cstheme="minorHAnsi"/>
        </w:rPr>
        <w:t>medium</w:t>
      </w:r>
      <w:r w:rsidRPr="006A74F8">
        <w:t xml:space="preserve"> level of alignment due to less prescriptive requirements. </w:t>
      </w:r>
    </w:p>
    <w:p w:rsidR="009E3EDF" w:rsidRPr="006A74F8" w:rsidRDefault="009E3EDF" w:rsidP="00074B2D">
      <w:pPr>
        <w:pStyle w:val="ListParagraph"/>
        <w:numPr>
          <w:ilvl w:val="0"/>
          <w:numId w:val="56"/>
        </w:numPr>
      </w:pPr>
      <w:r w:rsidRPr="006A74F8">
        <w:rPr>
          <w:b/>
        </w:rPr>
        <w:t>Option 2</w:t>
      </w:r>
      <w:r w:rsidRPr="006A74F8">
        <w:t>: high level of alignment that regulation is appropriate and proportionate to measurement risk and usage in trade.</w:t>
      </w:r>
    </w:p>
    <w:p w:rsidR="009E3EDF" w:rsidRPr="006A74F8" w:rsidRDefault="009E3EDF" w:rsidP="00074B2D">
      <w:pPr>
        <w:pStyle w:val="ListParagraph"/>
        <w:numPr>
          <w:ilvl w:val="0"/>
          <w:numId w:val="56"/>
        </w:numPr>
      </w:pPr>
      <w:r w:rsidRPr="006A74F8">
        <w:rPr>
          <w:b/>
        </w:rPr>
        <w:t>Option 3</w:t>
      </w:r>
      <w:r w:rsidRPr="006A74F8">
        <w:t>: high level of assurance that regulation is appropriate and proportionate to measurement risk and usage including beyond trade.</w:t>
      </w:r>
    </w:p>
    <w:p w:rsidR="009E3EDF" w:rsidRPr="006A74F8" w:rsidRDefault="009E3EDF" w:rsidP="009E3EDF">
      <w:pPr>
        <w:pStyle w:val="Heading5"/>
        <w:rPr>
          <w:rFonts w:eastAsia="Calibri"/>
          <w:lang w:eastAsia="en-AU"/>
        </w:rPr>
      </w:pPr>
      <w:r w:rsidRPr="006A74F8">
        <w:rPr>
          <w:rFonts w:eastAsia="Calibri"/>
          <w:lang w:eastAsia="en-AU"/>
        </w:rPr>
        <w:lastRenderedPageBreak/>
        <w:t xml:space="preserve">Future </w:t>
      </w:r>
      <w:r w:rsidRPr="006A74F8">
        <w:t>flexibility</w:t>
      </w:r>
      <w:r w:rsidRPr="006A74F8">
        <w:rPr>
          <w:rFonts w:eastAsia="Calibri"/>
          <w:lang w:eastAsia="en-AU"/>
        </w:rPr>
        <w:t xml:space="preserve"> </w:t>
      </w:r>
    </w:p>
    <w:p w:rsidR="009E3EDF" w:rsidRPr="006A74F8" w:rsidRDefault="009E3EDF" w:rsidP="009E3EDF">
      <w:r w:rsidRPr="006A74F8">
        <w:rPr>
          <w:lang w:eastAsia="en-AU"/>
        </w:rPr>
        <w:t xml:space="preserve">Definition: </w:t>
      </w:r>
      <w:r w:rsidRPr="006A74F8">
        <w:t>Provides regulation that can accommodate changing business practices and evolving measurement needs.</w:t>
      </w:r>
    </w:p>
    <w:p w:rsidR="004C65BA" w:rsidRPr="006A74F8" w:rsidRDefault="004C65BA" w:rsidP="004C65BA">
      <w:pPr>
        <w:rPr>
          <w:rFonts w:ascii="Calibri" w:eastAsia="Calibri" w:hAnsi="Calibri" w:cs="Calibri"/>
          <w:color w:val="000000"/>
          <w:lang w:eastAsia="en-AU"/>
        </w:rPr>
      </w:pPr>
      <w:r w:rsidRPr="006A74F8">
        <w:rPr>
          <w:rFonts w:ascii="Calibri" w:eastAsia="Calibri" w:hAnsi="Calibri" w:cs="Calibri"/>
          <w:color w:val="000000"/>
          <w:lang w:eastAsia="en-AU"/>
        </w:rPr>
        <w:t xml:space="preserve">The </w:t>
      </w:r>
      <w:r w:rsidR="00D95E1D" w:rsidRPr="006A74F8">
        <w:rPr>
          <w:rFonts w:ascii="Calibri" w:eastAsia="Calibri" w:hAnsi="Calibri" w:cs="Calibri"/>
          <w:color w:val="000000"/>
          <w:lang w:eastAsia="en-AU"/>
        </w:rPr>
        <w:t xml:space="preserve">proposed </w:t>
      </w:r>
      <w:r w:rsidRPr="006A74F8">
        <w:rPr>
          <w:rFonts w:ascii="Calibri" w:eastAsia="Calibri" w:hAnsi="Calibri" w:cs="Calibri"/>
          <w:color w:val="000000"/>
          <w:lang w:eastAsia="en-AU"/>
        </w:rPr>
        <w:t>changes that contribute to this principle include:</w:t>
      </w:r>
    </w:p>
    <w:p w:rsidR="00B23EE9" w:rsidRPr="006A74F8" w:rsidRDefault="009E3EDF" w:rsidP="00F8591F">
      <w:pPr>
        <w:pStyle w:val="ListParagraph"/>
        <w:numPr>
          <w:ilvl w:val="0"/>
          <w:numId w:val="72"/>
        </w:numPr>
        <w:rPr>
          <w:rFonts w:ascii="Calibri" w:eastAsia="Calibri" w:hAnsi="Calibri" w:cs="Calibri"/>
          <w:color w:val="000000"/>
          <w:lang w:eastAsia="en-AU"/>
        </w:rPr>
      </w:pPr>
      <w:r w:rsidRPr="006A74F8">
        <w:rPr>
          <w:rFonts w:ascii="Calibri" w:eastAsia="Calibri" w:hAnsi="Calibri" w:cs="Calibri"/>
          <w:b/>
          <w:color w:val="000000"/>
          <w:lang w:eastAsia="en-AU"/>
        </w:rPr>
        <w:t xml:space="preserve">Shift to principles-based regulation: All options </w:t>
      </w:r>
      <w:r w:rsidRPr="006A74F8">
        <w:rPr>
          <w:rFonts w:ascii="Calibri" w:eastAsia="Calibri" w:hAnsi="Calibri" w:cs="Calibri"/>
          <w:color w:val="000000"/>
          <w:lang w:eastAsia="en-AU"/>
        </w:rPr>
        <w:t xml:space="preserve">introduce the use of principles-based regulation as appropriate, providing greater flexibility for the legislation to remain relevant despite industry growth and technological advances. </w:t>
      </w:r>
      <w:r w:rsidR="00B23EE9" w:rsidRPr="006A74F8">
        <w:rPr>
          <w:rFonts w:ascii="Calibri" w:eastAsia="Calibri" w:hAnsi="Calibri" w:cs="Calibri"/>
          <w:b/>
          <w:color w:val="000000"/>
          <w:lang w:eastAsia="en-AU"/>
        </w:rPr>
        <w:t>Options 2 and 3</w:t>
      </w:r>
      <w:r w:rsidR="00A24267" w:rsidRPr="006A74F8">
        <w:rPr>
          <w:rFonts w:ascii="Calibri" w:eastAsia="Calibri" w:hAnsi="Calibri" w:cs="Calibri"/>
          <w:color w:val="000000"/>
          <w:lang w:eastAsia="en-AU"/>
        </w:rPr>
        <w:t xml:space="preserve"> do</w:t>
      </w:r>
      <w:r w:rsidR="00B23EE9" w:rsidRPr="006A74F8">
        <w:rPr>
          <w:rFonts w:ascii="Calibri" w:eastAsia="Calibri" w:hAnsi="Calibri" w:cs="Calibri"/>
          <w:color w:val="000000"/>
          <w:lang w:eastAsia="en-AU"/>
        </w:rPr>
        <w:t xml:space="preserve"> this to a greater extent than </w:t>
      </w:r>
      <w:r w:rsidR="00B23EE9" w:rsidRPr="006A74F8">
        <w:rPr>
          <w:rFonts w:ascii="Calibri" w:eastAsia="Calibri" w:hAnsi="Calibri" w:cs="Calibri"/>
          <w:b/>
          <w:color w:val="000000"/>
          <w:lang w:eastAsia="en-AU"/>
        </w:rPr>
        <w:t>option 1</w:t>
      </w:r>
      <w:r w:rsidR="00B23EE9" w:rsidRPr="006A74F8">
        <w:rPr>
          <w:rFonts w:ascii="Calibri" w:eastAsia="Calibri" w:hAnsi="Calibri" w:cs="Calibri"/>
          <w:color w:val="000000"/>
          <w:lang w:eastAsia="en-AU"/>
        </w:rPr>
        <w:t>. Particular areas where a principles</w:t>
      </w:r>
      <w:r w:rsidR="00995E46" w:rsidRPr="006A74F8">
        <w:rPr>
          <w:rFonts w:ascii="Calibri" w:eastAsia="Calibri" w:hAnsi="Calibri" w:cs="Calibri"/>
          <w:color w:val="000000"/>
          <w:lang w:eastAsia="en-AU"/>
        </w:rPr>
        <w:t>-</w:t>
      </w:r>
      <w:r w:rsidR="00B23EE9" w:rsidRPr="006A74F8">
        <w:rPr>
          <w:rFonts w:ascii="Calibri" w:eastAsia="Calibri" w:hAnsi="Calibri" w:cs="Calibri"/>
          <w:color w:val="000000"/>
          <w:lang w:eastAsia="en-AU"/>
        </w:rPr>
        <w:t>based approach enhances future flexibility include:</w:t>
      </w:r>
    </w:p>
    <w:p w:rsidR="00B23EE9" w:rsidRPr="006A74F8" w:rsidRDefault="00B23EE9" w:rsidP="003F1733">
      <w:pPr>
        <w:pStyle w:val="ListParagraph"/>
        <w:numPr>
          <w:ilvl w:val="1"/>
          <w:numId w:val="72"/>
        </w:numPr>
        <w:rPr>
          <w:rFonts w:ascii="Calibri" w:eastAsia="Calibri" w:hAnsi="Calibri" w:cs="Calibri"/>
          <w:color w:val="000000"/>
          <w:lang w:eastAsia="en-AU"/>
        </w:rPr>
      </w:pPr>
      <w:r w:rsidRPr="006A74F8">
        <w:rPr>
          <w:rFonts w:ascii="Calibri" w:eastAsia="Calibri" w:hAnsi="Calibri" w:cs="Calibri"/>
          <w:color w:val="000000"/>
          <w:lang w:eastAsia="en-AU"/>
        </w:rPr>
        <w:t>marking and unit requirements for packaged products</w:t>
      </w:r>
    </w:p>
    <w:p w:rsidR="00B23EE9" w:rsidRPr="006A74F8" w:rsidRDefault="00B23EE9" w:rsidP="003F1733">
      <w:pPr>
        <w:pStyle w:val="ListParagraph"/>
        <w:numPr>
          <w:ilvl w:val="1"/>
          <w:numId w:val="72"/>
        </w:numPr>
        <w:rPr>
          <w:rFonts w:ascii="Calibri" w:eastAsia="Calibri" w:hAnsi="Calibri" w:cs="Calibri"/>
          <w:color w:val="000000"/>
          <w:lang w:eastAsia="en-AU"/>
        </w:rPr>
      </w:pPr>
      <w:r w:rsidRPr="006A74F8">
        <w:rPr>
          <w:rFonts w:ascii="Calibri" w:eastAsia="Calibri" w:hAnsi="Calibri" w:cs="Calibri"/>
          <w:color w:val="000000"/>
          <w:lang w:eastAsia="en-AU"/>
        </w:rPr>
        <w:t>arrangements regarding correct use of measuring instruments for trade</w:t>
      </w:r>
    </w:p>
    <w:p w:rsidR="00B23EE9" w:rsidRPr="006A74F8" w:rsidRDefault="00B23EE9" w:rsidP="003F1733">
      <w:pPr>
        <w:pStyle w:val="ListParagraph"/>
        <w:numPr>
          <w:ilvl w:val="1"/>
          <w:numId w:val="72"/>
        </w:numPr>
        <w:rPr>
          <w:rFonts w:ascii="Calibri" w:eastAsia="Calibri" w:hAnsi="Calibri" w:cs="Calibri"/>
          <w:color w:val="000000"/>
          <w:lang w:eastAsia="en-AU"/>
        </w:rPr>
      </w:pPr>
      <w:r w:rsidRPr="006A74F8">
        <w:rPr>
          <w:rFonts w:ascii="Calibri" w:eastAsia="Calibri" w:hAnsi="Calibri" w:cs="Calibri"/>
          <w:color w:val="000000"/>
          <w:lang w:eastAsia="en-AU"/>
        </w:rPr>
        <w:t xml:space="preserve">requirements to avoid false </w:t>
      </w:r>
      <w:r w:rsidR="00B177BB" w:rsidRPr="006A74F8">
        <w:rPr>
          <w:rFonts w:ascii="Calibri" w:eastAsia="Calibri" w:hAnsi="Calibri" w:cs="Calibri"/>
          <w:color w:val="000000"/>
          <w:lang w:eastAsia="en-AU"/>
        </w:rPr>
        <w:t xml:space="preserve">or </w:t>
      </w:r>
      <w:r w:rsidRPr="006A74F8">
        <w:rPr>
          <w:rFonts w:ascii="Calibri" w:eastAsia="Calibri" w:hAnsi="Calibri" w:cs="Calibri"/>
          <w:color w:val="000000"/>
          <w:lang w:eastAsia="en-AU"/>
        </w:rPr>
        <w:t>misleading measurement statements.</w:t>
      </w:r>
    </w:p>
    <w:p w:rsidR="009E3EDF" w:rsidRPr="006A74F8" w:rsidRDefault="009E3EDF" w:rsidP="003F1733">
      <w:pPr>
        <w:pStyle w:val="ListParagraph"/>
        <w:numPr>
          <w:ilvl w:val="0"/>
          <w:numId w:val="72"/>
        </w:numPr>
        <w:rPr>
          <w:rFonts w:ascii="Calibri" w:eastAsia="Calibri" w:hAnsi="Calibri" w:cs="Calibri"/>
          <w:b/>
          <w:color w:val="000000"/>
          <w:lang w:eastAsia="en-AU"/>
        </w:rPr>
      </w:pPr>
      <w:r w:rsidRPr="006A74F8">
        <w:rPr>
          <w:rFonts w:ascii="Calibri" w:eastAsia="Calibri" w:hAnsi="Calibri" w:cs="Calibri"/>
          <w:b/>
          <w:color w:val="000000"/>
          <w:lang w:eastAsia="en-AU"/>
        </w:rPr>
        <w:t>Streamlined and flexible appointment</w:t>
      </w:r>
      <w:r w:rsidR="00B23EE9" w:rsidRPr="006A74F8">
        <w:rPr>
          <w:rFonts w:ascii="Calibri" w:eastAsia="Calibri" w:hAnsi="Calibri" w:cs="Calibri"/>
          <w:b/>
          <w:color w:val="000000"/>
          <w:lang w:eastAsia="en-AU"/>
        </w:rPr>
        <w:t>s</w:t>
      </w:r>
      <w:r w:rsidRPr="006A74F8">
        <w:rPr>
          <w:rFonts w:ascii="Calibri" w:eastAsia="Calibri" w:hAnsi="Calibri" w:cs="Calibri"/>
          <w:b/>
          <w:color w:val="000000"/>
          <w:lang w:eastAsia="en-AU"/>
        </w:rPr>
        <w:t xml:space="preserve"> for ATPs</w:t>
      </w:r>
      <w:r w:rsidRPr="006A74F8">
        <w:rPr>
          <w:rFonts w:ascii="Calibri" w:eastAsia="Calibri" w:hAnsi="Calibri" w:cs="Calibri"/>
          <w:color w:val="000000"/>
          <w:lang w:eastAsia="en-AU"/>
        </w:rPr>
        <w:t>: Streamlining and merging some appointment types under</w:t>
      </w:r>
      <w:r w:rsidRPr="006A74F8">
        <w:rPr>
          <w:rFonts w:ascii="Calibri" w:eastAsia="Calibri" w:hAnsi="Calibri" w:cs="Calibri"/>
          <w:b/>
          <w:color w:val="000000"/>
          <w:lang w:eastAsia="en-AU"/>
        </w:rPr>
        <w:t xml:space="preserve"> option 1</w:t>
      </w:r>
      <w:r w:rsidRPr="006A74F8">
        <w:rPr>
          <w:rFonts w:ascii="Calibri" w:eastAsia="Calibri" w:hAnsi="Calibri" w:cs="Calibri"/>
          <w:color w:val="000000"/>
          <w:lang w:eastAsia="en-AU"/>
        </w:rPr>
        <w:t xml:space="preserve"> provides some flexibility to better accommodate changing measurement needs, however offers limited ability to evolve to future needs. Flexibility introduced in</w:t>
      </w:r>
      <w:r w:rsidRPr="006A74F8">
        <w:rPr>
          <w:rFonts w:ascii="Calibri" w:eastAsia="Calibri" w:hAnsi="Calibri" w:cs="Calibri"/>
          <w:b/>
          <w:color w:val="000000"/>
          <w:lang w:eastAsia="en-AU"/>
        </w:rPr>
        <w:t xml:space="preserve"> options 2 and 3</w:t>
      </w:r>
      <w:r w:rsidRPr="006A74F8">
        <w:rPr>
          <w:rFonts w:ascii="Calibri" w:eastAsia="Calibri" w:hAnsi="Calibri" w:cs="Calibri"/>
          <w:color w:val="000000"/>
          <w:lang w:eastAsia="en-AU"/>
        </w:rPr>
        <w:t>, including enabling the possibility of hybrid and novel appointment types</w:t>
      </w:r>
      <w:r w:rsidR="00436E1A" w:rsidRPr="006A74F8">
        <w:rPr>
          <w:rFonts w:ascii="Calibri" w:eastAsia="Calibri" w:hAnsi="Calibri" w:cs="Calibri"/>
          <w:color w:val="000000"/>
          <w:lang w:eastAsia="en-AU"/>
        </w:rPr>
        <w:t xml:space="preserve"> in future</w:t>
      </w:r>
      <w:r w:rsidRPr="006A74F8">
        <w:rPr>
          <w:rFonts w:ascii="Calibri" w:eastAsia="Calibri" w:hAnsi="Calibri" w:cs="Calibri"/>
          <w:color w:val="000000"/>
          <w:lang w:eastAsia="en-AU"/>
        </w:rPr>
        <w:t xml:space="preserve">, provide ATPs with greater flexibility to respond to changing industry practices and measurement needs. </w:t>
      </w:r>
      <w:r w:rsidRPr="006A74F8">
        <w:rPr>
          <w:rFonts w:ascii="Calibri" w:eastAsia="Calibri" w:hAnsi="Calibri" w:cs="Calibri"/>
          <w:b/>
          <w:color w:val="000000"/>
          <w:lang w:eastAsia="en-AU"/>
        </w:rPr>
        <w:t xml:space="preserve">All </w:t>
      </w:r>
      <w:r w:rsidR="00B23EE9" w:rsidRPr="006A74F8">
        <w:rPr>
          <w:rFonts w:ascii="Calibri" w:eastAsia="Calibri" w:hAnsi="Calibri" w:cs="Calibri"/>
          <w:b/>
          <w:color w:val="000000"/>
          <w:lang w:eastAsia="en-AU"/>
        </w:rPr>
        <w:t>reform</w:t>
      </w:r>
      <w:r w:rsidRPr="006A74F8">
        <w:rPr>
          <w:rFonts w:ascii="Calibri" w:eastAsia="Calibri" w:hAnsi="Calibri" w:cs="Calibri"/>
          <w:b/>
          <w:color w:val="000000"/>
          <w:lang w:eastAsia="en-AU"/>
        </w:rPr>
        <w:t xml:space="preserve"> options </w:t>
      </w:r>
      <w:r w:rsidR="00A60FAD" w:rsidRPr="006A74F8">
        <w:rPr>
          <w:rFonts w:ascii="Calibri" w:eastAsia="Calibri" w:hAnsi="Calibri" w:cs="Calibri"/>
          <w:color w:val="000000"/>
          <w:lang w:eastAsia="en-AU"/>
        </w:rPr>
        <w:t xml:space="preserve">seek to </w:t>
      </w:r>
      <w:r w:rsidRPr="006A74F8">
        <w:rPr>
          <w:rFonts w:ascii="Calibri" w:eastAsia="Calibri" w:hAnsi="Calibri" w:cs="Calibri"/>
          <w:color w:val="000000"/>
          <w:lang w:eastAsia="en-AU"/>
        </w:rPr>
        <w:t xml:space="preserve">better </w:t>
      </w:r>
      <w:r w:rsidR="00436E1A" w:rsidRPr="006A74F8">
        <w:rPr>
          <w:rFonts w:ascii="Calibri" w:eastAsia="Calibri" w:hAnsi="Calibri" w:cs="Calibri"/>
          <w:color w:val="000000"/>
          <w:lang w:eastAsia="en-AU"/>
        </w:rPr>
        <w:t xml:space="preserve">align </w:t>
      </w:r>
      <w:r w:rsidRPr="006A74F8">
        <w:rPr>
          <w:rFonts w:ascii="Calibri" w:eastAsia="Calibri" w:hAnsi="Calibri" w:cs="Calibri"/>
          <w:color w:val="000000"/>
          <w:lang w:eastAsia="en-AU"/>
        </w:rPr>
        <w:t>competency requirements with test methods and ATP activities, rather than particular types of instruments</w:t>
      </w:r>
      <w:r w:rsidR="00436E1A" w:rsidRPr="006A74F8">
        <w:rPr>
          <w:rFonts w:ascii="Calibri" w:eastAsia="Calibri" w:hAnsi="Calibri" w:cs="Calibri"/>
          <w:color w:val="000000"/>
          <w:lang w:eastAsia="en-AU"/>
        </w:rPr>
        <w:t>.</w:t>
      </w:r>
      <w:r w:rsidRPr="006A74F8">
        <w:rPr>
          <w:rFonts w:ascii="Calibri" w:eastAsia="Calibri" w:hAnsi="Calibri" w:cs="Calibri"/>
          <w:color w:val="000000"/>
          <w:lang w:eastAsia="en-AU"/>
        </w:rPr>
        <w:t xml:space="preserve"> </w:t>
      </w:r>
      <w:r w:rsidR="00436E1A" w:rsidRPr="006A74F8">
        <w:rPr>
          <w:rFonts w:ascii="Calibri" w:eastAsia="Calibri" w:hAnsi="Calibri" w:cs="Calibri"/>
          <w:color w:val="000000"/>
          <w:lang w:eastAsia="en-AU"/>
        </w:rPr>
        <w:t>This</w:t>
      </w:r>
      <w:r w:rsidRPr="006A74F8">
        <w:rPr>
          <w:rFonts w:ascii="Calibri" w:eastAsia="Calibri" w:hAnsi="Calibri" w:cs="Calibri"/>
          <w:color w:val="000000"/>
          <w:lang w:eastAsia="en-AU"/>
        </w:rPr>
        <w:t xml:space="preserve"> will enable greater flexibility for ATPs to provide measurement services to meet evolving measurement needs</w:t>
      </w:r>
      <w:r w:rsidR="00DC3806" w:rsidRPr="006A74F8">
        <w:rPr>
          <w:rFonts w:ascii="Calibri" w:eastAsia="Calibri" w:hAnsi="Calibri" w:cs="Calibri"/>
          <w:color w:val="000000"/>
          <w:lang w:eastAsia="en-AU"/>
        </w:rPr>
        <w:t>, without diluting current competency standards</w:t>
      </w:r>
      <w:r w:rsidRPr="006A74F8">
        <w:rPr>
          <w:rFonts w:ascii="Calibri" w:eastAsia="Calibri" w:hAnsi="Calibri" w:cs="Calibri"/>
          <w:color w:val="000000"/>
          <w:lang w:eastAsia="en-AU"/>
        </w:rPr>
        <w:t>.</w:t>
      </w:r>
    </w:p>
    <w:p w:rsidR="009E3EDF" w:rsidRPr="006A74F8" w:rsidRDefault="00B938D8" w:rsidP="003F1733">
      <w:pPr>
        <w:pStyle w:val="ListParagraph"/>
        <w:numPr>
          <w:ilvl w:val="0"/>
          <w:numId w:val="72"/>
        </w:numPr>
        <w:rPr>
          <w:rFonts w:ascii="Calibri" w:eastAsia="Calibri" w:hAnsi="Calibri" w:cs="Calibri"/>
          <w:color w:val="000000"/>
          <w:lang w:eastAsia="en-AU"/>
        </w:rPr>
      </w:pPr>
      <w:r w:rsidRPr="006A74F8">
        <w:rPr>
          <w:rFonts w:ascii="Calibri" w:eastAsia="Calibri" w:hAnsi="Calibri" w:cs="Calibri"/>
          <w:b/>
          <w:color w:val="000000"/>
          <w:lang w:eastAsia="en-AU"/>
        </w:rPr>
        <w:t xml:space="preserve">Changes to the traceability framework: </w:t>
      </w:r>
      <w:r w:rsidRPr="006A74F8">
        <w:rPr>
          <w:rFonts w:ascii="Calibri" w:eastAsia="Calibri" w:hAnsi="Calibri" w:cs="Calibri"/>
          <w:color w:val="000000"/>
          <w:lang w:eastAsia="en-AU"/>
        </w:rPr>
        <w:t xml:space="preserve">Updating the traceability framework allows the legislation to keep up with scientific developments. Key traceability provisions are improved in </w:t>
      </w:r>
      <w:r w:rsidR="000E1261" w:rsidRPr="006A74F8">
        <w:rPr>
          <w:rFonts w:ascii="Calibri" w:eastAsia="Calibri" w:hAnsi="Calibri" w:cs="Calibri"/>
          <w:b/>
          <w:color w:val="000000"/>
          <w:lang w:eastAsia="en-AU"/>
        </w:rPr>
        <w:t>o</w:t>
      </w:r>
      <w:r w:rsidRPr="006A74F8">
        <w:rPr>
          <w:rFonts w:ascii="Calibri" w:eastAsia="Calibri" w:hAnsi="Calibri" w:cs="Calibri"/>
          <w:b/>
          <w:color w:val="000000"/>
          <w:lang w:eastAsia="en-AU"/>
        </w:rPr>
        <w:t>ption 1</w:t>
      </w:r>
      <w:r w:rsidRPr="006A74F8">
        <w:rPr>
          <w:rFonts w:ascii="Calibri" w:eastAsia="Calibri" w:hAnsi="Calibri" w:cs="Calibri"/>
          <w:color w:val="000000"/>
          <w:lang w:eastAsia="en-AU"/>
        </w:rPr>
        <w:t xml:space="preserve"> to align them with current needs. </w:t>
      </w:r>
      <w:r w:rsidRPr="006A74F8">
        <w:rPr>
          <w:rFonts w:ascii="Calibri" w:eastAsia="Calibri" w:hAnsi="Calibri" w:cs="Calibri"/>
          <w:b/>
          <w:color w:val="000000"/>
          <w:lang w:eastAsia="en-AU"/>
        </w:rPr>
        <w:t>Option 2</w:t>
      </w:r>
      <w:r w:rsidRPr="006A74F8">
        <w:rPr>
          <w:rFonts w:ascii="Calibri" w:eastAsia="Calibri" w:hAnsi="Calibri" w:cs="Calibri"/>
          <w:color w:val="000000"/>
          <w:lang w:eastAsia="en-AU"/>
        </w:rPr>
        <w:t xml:space="preserve"> future</w:t>
      </w:r>
      <w:r w:rsidR="00524C3F" w:rsidRPr="006A74F8">
        <w:rPr>
          <w:rFonts w:ascii="Calibri" w:eastAsia="Calibri" w:hAnsi="Calibri" w:cs="Calibri"/>
          <w:color w:val="000000"/>
          <w:lang w:eastAsia="en-AU"/>
        </w:rPr>
        <w:t xml:space="preserve"> </w:t>
      </w:r>
      <w:r w:rsidRPr="006A74F8">
        <w:rPr>
          <w:rFonts w:ascii="Calibri" w:eastAsia="Calibri" w:hAnsi="Calibri" w:cs="Calibri"/>
          <w:color w:val="000000"/>
          <w:lang w:eastAsia="en-AU"/>
        </w:rPr>
        <w:t xml:space="preserve">proofs the traceability framework through improvements that provide additional traceability </w:t>
      </w:r>
      <w:r w:rsidR="00F67364" w:rsidRPr="006A74F8">
        <w:rPr>
          <w:rFonts w:ascii="Calibri" w:eastAsia="Calibri" w:hAnsi="Calibri" w:cs="Calibri"/>
          <w:color w:val="000000"/>
          <w:lang w:eastAsia="en-AU"/>
        </w:rPr>
        <w:t xml:space="preserve">pathways </w:t>
      </w:r>
      <w:r w:rsidRPr="006A74F8">
        <w:rPr>
          <w:rFonts w:ascii="Calibri" w:eastAsia="Calibri" w:hAnsi="Calibri" w:cs="Calibri"/>
          <w:color w:val="000000"/>
          <w:lang w:eastAsia="en-AU"/>
        </w:rPr>
        <w:t>and ensures new and emerging measurement technologies and techniques provide confidence and traceable measurement</w:t>
      </w:r>
      <w:r w:rsidRPr="006A74F8">
        <w:rPr>
          <w:rFonts w:ascii="Calibri" w:eastAsia="Calibri" w:hAnsi="Calibri" w:cs="Calibri"/>
          <w:b/>
          <w:color w:val="000000"/>
          <w:lang w:eastAsia="en-AU"/>
        </w:rPr>
        <w:t>. Option 3</w:t>
      </w:r>
      <w:r w:rsidRPr="006A74F8">
        <w:rPr>
          <w:rFonts w:ascii="Calibri" w:eastAsia="Calibri" w:hAnsi="Calibri" w:cs="Calibri"/>
          <w:color w:val="000000"/>
          <w:lang w:eastAsia="en-AU"/>
        </w:rPr>
        <w:t xml:space="preserve"> builds on </w:t>
      </w:r>
      <w:r w:rsidRPr="006A74F8">
        <w:rPr>
          <w:rFonts w:ascii="Calibri" w:eastAsia="Calibri" w:hAnsi="Calibri" w:cs="Calibri"/>
          <w:b/>
          <w:color w:val="000000"/>
          <w:lang w:eastAsia="en-AU"/>
        </w:rPr>
        <w:t>option 2</w:t>
      </w:r>
      <w:r w:rsidRPr="006A74F8">
        <w:rPr>
          <w:rFonts w:ascii="Calibri" w:eastAsia="Calibri" w:hAnsi="Calibri" w:cs="Calibri"/>
          <w:color w:val="000000"/>
          <w:lang w:eastAsia="en-AU"/>
        </w:rPr>
        <w:t xml:space="preserve"> and will also provide government with powers to support the validation of m</w:t>
      </w:r>
      <w:r w:rsidR="00A40103" w:rsidRPr="006A74F8">
        <w:rPr>
          <w:rFonts w:ascii="Calibri" w:eastAsia="Calibri" w:hAnsi="Calibri" w:cs="Calibri"/>
          <w:color w:val="000000"/>
          <w:lang w:eastAsia="en-AU"/>
        </w:rPr>
        <w:t>easurement-</w:t>
      </w:r>
      <w:r w:rsidR="002C2183" w:rsidRPr="006A74F8">
        <w:rPr>
          <w:rFonts w:ascii="Calibri" w:eastAsia="Calibri" w:hAnsi="Calibri" w:cs="Calibri"/>
          <w:color w:val="000000"/>
          <w:lang w:eastAsia="en-AU"/>
        </w:rPr>
        <w:t xml:space="preserve">based regulations. </w:t>
      </w:r>
      <w:r w:rsidR="009E3EDF" w:rsidRPr="006A74F8">
        <w:rPr>
          <w:rFonts w:ascii="Calibri" w:eastAsia="Calibri" w:hAnsi="Calibri" w:cs="Calibri"/>
          <w:b/>
          <w:color w:val="000000"/>
          <w:lang w:eastAsia="en-AU"/>
        </w:rPr>
        <w:t xml:space="preserve">All </w:t>
      </w:r>
      <w:r w:rsidRPr="006A74F8">
        <w:rPr>
          <w:rFonts w:ascii="Calibri" w:eastAsia="Calibri" w:hAnsi="Calibri" w:cs="Calibri"/>
          <w:b/>
          <w:color w:val="000000"/>
          <w:lang w:eastAsia="en-AU"/>
        </w:rPr>
        <w:t xml:space="preserve">reform </w:t>
      </w:r>
      <w:r w:rsidR="009E3EDF" w:rsidRPr="006A74F8">
        <w:rPr>
          <w:rFonts w:ascii="Calibri" w:eastAsia="Calibri" w:hAnsi="Calibri" w:cs="Calibri"/>
          <w:b/>
          <w:color w:val="000000"/>
          <w:lang w:eastAsia="en-AU"/>
        </w:rPr>
        <w:t>options</w:t>
      </w:r>
      <w:r w:rsidR="009E3EDF" w:rsidRPr="006A74F8">
        <w:rPr>
          <w:rFonts w:ascii="Calibri" w:eastAsia="Calibri" w:hAnsi="Calibri" w:cs="Calibri"/>
          <w:color w:val="000000"/>
          <w:lang w:eastAsia="en-AU"/>
        </w:rPr>
        <w:t xml:space="preserve"> enable greater uptake of international </w:t>
      </w:r>
      <w:r w:rsidR="00F67364" w:rsidRPr="006A74F8">
        <w:rPr>
          <w:rFonts w:ascii="Calibri" w:eastAsia="Calibri" w:hAnsi="Calibri" w:cs="Calibri"/>
          <w:color w:val="000000"/>
          <w:lang w:eastAsia="en-AU"/>
        </w:rPr>
        <w:t xml:space="preserve">measurement </w:t>
      </w:r>
      <w:r w:rsidRPr="006A74F8">
        <w:rPr>
          <w:rFonts w:ascii="Calibri" w:eastAsia="Calibri" w:hAnsi="Calibri" w:cs="Calibri"/>
          <w:color w:val="000000"/>
          <w:lang w:eastAsia="en-AU"/>
        </w:rPr>
        <w:t xml:space="preserve">standards and </w:t>
      </w:r>
      <w:r w:rsidR="009E3EDF" w:rsidRPr="006A74F8">
        <w:rPr>
          <w:rFonts w:ascii="Calibri" w:eastAsia="Calibri" w:hAnsi="Calibri" w:cs="Calibri"/>
          <w:color w:val="000000"/>
          <w:lang w:eastAsia="en-AU"/>
        </w:rPr>
        <w:t>reference</w:t>
      </w:r>
      <w:r w:rsidRPr="006A74F8">
        <w:rPr>
          <w:rFonts w:ascii="Calibri" w:eastAsia="Calibri" w:hAnsi="Calibri" w:cs="Calibri"/>
          <w:color w:val="000000"/>
          <w:lang w:eastAsia="en-AU"/>
        </w:rPr>
        <w:t xml:space="preserve"> material</w:t>
      </w:r>
      <w:r w:rsidR="009E3EDF" w:rsidRPr="006A74F8">
        <w:rPr>
          <w:rFonts w:ascii="Calibri" w:eastAsia="Calibri" w:hAnsi="Calibri" w:cs="Calibri"/>
          <w:color w:val="000000"/>
          <w:lang w:eastAsia="en-AU"/>
        </w:rPr>
        <w:t xml:space="preserve">s (e.g. </w:t>
      </w:r>
      <w:r w:rsidR="00F67364" w:rsidRPr="006A74F8">
        <w:rPr>
          <w:rFonts w:ascii="Calibri" w:eastAsia="Calibri" w:hAnsi="Calibri" w:cs="Calibri"/>
          <w:color w:val="000000"/>
          <w:lang w:eastAsia="en-AU"/>
        </w:rPr>
        <w:t xml:space="preserve">as recognised </w:t>
      </w:r>
      <w:r w:rsidR="009E3EDF" w:rsidRPr="006A74F8">
        <w:rPr>
          <w:rFonts w:ascii="Calibri" w:eastAsia="Calibri" w:hAnsi="Calibri" w:cs="Calibri"/>
          <w:color w:val="000000"/>
          <w:lang w:eastAsia="en-AU"/>
        </w:rPr>
        <w:t>under the CIPM</w:t>
      </w:r>
      <w:r w:rsidR="005744BC" w:rsidRPr="006A74F8">
        <w:rPr>
          <w:rFonts w:ascii="Calibri" w:eastAsia="Calibri" w:hAnsi="Calibri" w:cs="Calibri"/>
          <w:color w:val="000000"/>
          <w:lang w:eastAsia="en-AU"/>
        </w:rPr>
        <w:t xml:space="preserve"> </w:t>
      </w:r>
      <w:r w:rsidR="009E3EDF" w:rsidRPr="006A74F8">
        <w:rPr>
          <w:rFonts w:ascii="Calibri" w:eastAsia="Calibri" w:hAnsi="Calibri" w:cs="Calibri"/>
          <w:color w:val="000000"/>
          <w:lang w:eastAsia="en-AU"/>
        </w:rPr>
        <w:t>MRA)</w:t>
      </w:r>
      <w:r w:rsidRPr="006A74F8">
        <w:rPr>
          <w:rFonts w:ascii="Calibri" w:eastAsia="Calibri" w:hAnsi="Calibri" w:cs="Calibri"/>
          <w:color w:val="000000"/>
          <w:lang w:eastAsia="en-AU"/>
        </w:rPr>
        <w:t>.</w:t>
      </w:r>
    </w:p>
    <w:p w:rsidR="009E3EDF" w:rsidRPr="006A74F8" w:rsidRDefault="009E3EDF" w:rsidP="003F1733">
      <w:pPr>
        <w:pStyle w:val="ListParagraph"/>
        <w:numPr>
          <w:ilvl w:val="0"/>
          <w:numId w:val="72"/>
        </w:numPr>
        <w:rPr>
          <w:rFonts w:ascii="Calibri" w:eastAsia="Calibri" w:hAnsi="Calibri" w:cs="Calibri"/>
          <w:color w:val="000000"/>
          <w:lang w:eastAsia="en-AU"/>
        </w:rPr>
      </w:pPr>
      <w:r w:rsidRPr="006A74F8">
        <w:rPr>
          <w:rFonts w:ascii="Calibri" w:eastAsia="Calibri" w:hAnsi="Calibri" w:cs="Calibri"/>
          <w:b/>
          <w:color w:val="000000"/>
          <w:lang w:eastAsia="en-AU"/>
        </w:rPr>
        <w:t>Increased flexibility for controls over measuring instruments: Option 1</w:t>
      </w:r>
      <w:r w:rsidRPr="006A74F8">
        <w:rPr>
          <w:rFonts w:ascii="Calibri" w:eastAsia="Calibri" w:hAnsi="Calibri" w:cs="Calibri"/>
          <w:color w:val="000000"/>
          <w:lang w:eastAsia="en-AU"/>
        </w:rPr>
        <w:t xml:space="preserve"> provides </w:t>
      </w:r>
      <w:r w:rsidR="00B938D8" w:rsidRPr="006A74F8">
        <w:rPr>
          <w:rFonts w:ascii="Calibri" w:eastAsia="Calibri" w:hAnsi="Calibri" w:cs="Calibri"/>
          <w:color w:val="000000"/>
          <w:lang w:eastAsia="en-AU"/>
        </w:rPr>
        <w:t>the</w:t>
      </w:r>
      <w:r w:rsidRPr="006A74F8">
        <w:rPr>
          <w:rFonts w:ascii="Calibri" w:eastAsia="Calibri" w:hAnsi="Calibri" w:cs="Calibri"/>
          <w:color w:val="000000"/>
          <w:lang w:eastAsia="en-AU"/>
        </w:rPr>
        <w:t xml:space="preserve"> ability to be flexible in regulating instruments via exemptions or determinations from the Chief Metrologist. The range of controls in </w:t>
      </w:r>
      <w:r w:rsidRPr="006A74F8">
        <w:rPr>
          <w:rFonts w:ascii="Calibri" w:eastAsia="Calibri" w:hAnsi="Calibri" w:cs="Calibri"/>
          <w:b/>
          <w:color w:val="000000"/>
          <w:lang w:eastAsia="en-AU"/>
        </w:rPr>
        <w:t>option 2</w:t>
      </w:r>
      <w:r w:rsidRPr="006A74F8">
        <w:rPr>
          <w:rFonts w:ascii="Calibri" w:eastAsia="Calibri" w:hAnsi="Calibri" w:cs="Calibri"/>
          <w:color w:val="000000"/>
          <w:lang w:eastAsia="en-AU"/>
        </w:rPr>
        <w:t xml:space="preserve"> </w:t>
      </w:r>
      <w:r w:rsidR="00310463" w:rsidRPr="006A74F8">
        <w:rPr>
          <w:rFonts w:ascii="Calibri" w:eastAsia="Calibri" w:hAnsi="Calibri" w:cs="Calibri"/>
          <w:color w:val="000000"/>
          <w:lang w:eastAsia="en-AU"/>
        </w:rPr>
        <w:t xml:space="preserve">could </w:t>
      </w:r>
      <w:r w:rsidRPr="006A74F8">
        <w:rPr>
          <w:rFonts w:ascii="Calibri" w:eastAsia="Calibri" w:hAnsi="Calibri" w:cs="Calibri"/>
          <w:color w:val="000000"/>
          <w:lang w:eastAsia="en-AU"/>
        </w:rPr>
        <w:t xml:space="preserve">be </w:t>
      </w:r>
      <w:r w:rsidR="00310463" w:rsidRPr="006A74F8">
        <w:rPr>
          <w:rFonts w:ascii="Calibri" w:eastAsia="Calibri" w:hAnsi="Calibri" w:cs="Calibri"/>
          <w:color w:val="000000"/>
          <w:lang w:eastAsia="en-AU"/>
        </w:rPr>
        <w:t>applied</w:t>
      </w:r>
      <w:r w:rsidRPr="006A74F8">
        <w:rPr>
          <w:rFonts w:ascii="Calibri" w:eastAsia="Calibri" w:hAnsi="Calibri" w:cs="Calibri"/>
          <w:color w:val="000000"/>
          <w:lang w:eastAsia="en-AU"/>
        </w:rPr>
        <w:t xml:space="preserve"> before or after entry to market but would be</w:t>
      </w:r>
      <w:r w:rsidR="00310463" w:rsidRPr="006A74F8">
        <w:rPr>
          <w:rFonts w:ascii="Calibri" w:eastAsia="Calibri" w:hAnsi="Calibri" w:cs="Calibri"/>
          <w:color w:val="000000"/>
          <w:lang w:eastAsia="en-AU"/>
        </w:rPr>
        <w:t xml:space="preserve"> subject to </w:t>
      </w:r>
      <w:r w:rsidR="00036C51" w:rsidRPr="006A74F8">
        <w:rPr>
          <w:rFonts w:ascii="Calibri" w:eastAsia="Calibri" w:hAnsi="Calibri" w:cs="Calibri"/>
          <w:color w:val="000000"/>
          <w:lang w:eastAsia="en-AU"/>
        </w:rPr>
        <w:t xml:space="preserve">suitability and </w:t>
      </w:r>
      <w:r w:rsidR="00310463" w:rsidRPr="006A74F8">
        <w:rPr>
          <w:rFonts w:ascii="Calibri" w:eastAsia="Calibri" w:hAnsi="Calibri" w:cs="Calibri"/>
          <w:color w:val="000000"/>
          <w:lang w:eastAsia="en-AU"/>
        </w:rPr>
        <w:t>consultation.</w:t>
      </w:r>
      <w:r w:rsidRPr="006A74F8">
        <w:rPr>
          <w:rFonts w:ascii="Calibri" w:eastAsia="Calibri" w:hAnsi="Calibri" w:cs="Calibri"/>
          <w:color w:val="000000"/>
          <w:lang w:eastAsia="en-AU"/>
        </w:rPr>
        <w:t xml:space="preserve"> </w:t>
      </w:r>
      <w:r w:rsidR="00036C51" w:rsidRPr="006A74F8">
        <w:rPr>
          <w:rFonts w:ascii="Calibri" w:eastAsia="Calibri" w:hAnsi="Calibri" w:cs="Calibri"/>
          <w:color w:val="000000"/>
          <w:lang w:eastAsia="en-AU"/>
        </w:rPr>
        <w:t>This</w:t>
      </w:r>
      <w:r w:rsidRPr="006A74F8">
        <w:t xml:space="preserve"> approach </w:t>
      </w:r>
      <w:r w:rsidR="00036C51" w:rsidRPr="006A74F8">
        <w:t xml:space="preserve">offers flexibility </w:t>
      </w:r>
      <w:r w:rsidRPr="006A74F8" w:rsidDel="00036C51">
        <w:t>to</w:t>
      </w:r>
      <w:r w:rsidRPr="006A74F8">
        <w:t xml:space="preserve"> determine appropriate</w:t>
      </w:r>
      <w:r w:rsidR="00036C51" w:rsidRPr="006A74F8">
        <w:t xml:space="preserve"> controls for measuring instruments where default controls are not suitable.</w:t>
      </w:r>
      <w:r w:rsidRPr="006A74F8">
        <w:t xml:space="preserve"> </w:t>
      </w:r>
      <w:r w:rsidRPr="006A74F8">
        <w:rPr>
          <w:b/>
        </w:rPr>
        <w:t>Option 3</w:t>
      </w:r>
      <w:r w:rsidRPr="006A74F8">
        <w:t xml:space="preserve"> provides the flexibility of </w:t>
      </w:r>
      <w:r w:rsidRPr="006A74F8">
        <w:rPr>
          <w:b/>
        </w:rPr>
        <w:t>option 2</w:t>
      </w:r>
      <w:r w:rsidRPr="006A74F8">
        <w:t xml:space="preserve"> but with increased scope to support other regulators. </w:t>
      </w:r>
      <w:r w:rsidR="00B938D8" w:rsidRPr="006A74F8">
        <w:rPr>
          <w:rFonts w:ascii="Calibri" w:eastAsia="Calibri" w:hAnsi="Calibri" w:cs="Calibri"/>
          <w:b/>
          <w:color w:val="000000"/>
          <w:lang w:eastAsia="en-AU"/>
        </w:rPr>
        <w:t>All reform options</w:t>
      </w:r>
      <w:r w:rsidR="00B938D8" w:rsidRPr="006A74F8">
        <w:rPr>
          <w:rFonts w:ascii="Calibri" w:eastAsia="Calibri" w:hAnsi="Calibri" w:cs="Calibri"/>
          <w:color w:val="000000"/>
          <w:lang w:eastAsia="en-AU"/>
        </w:rPr>
        <w:t xml:space="preserve"> provide greater acceptance of overseas test results or instrument approvals to be recognised where </w:t>
      </w:r>
      <w:r w:rsidR="00036C51" w:rsidRPr="006A74F8">
        <w:rPr>
          <w:rFonts w:ascii="Calibri" w:eastAsia="Calibri" w:hAnsi="Calibri" w:cs="Calibri"/>
          <w:color w:val="000000"/>
          <w:lang w:eastAsia="en-AU"/>
        </w:rPr>
        <w:t xml:space="preserve">appropriate </w:t>
      </w:r>
      <w:r w:rsidR="00B938D8" w:rsidRPr="006A74F8">
        <w:rPr>
          <w:rFonts w:ascii="Calibri" w:eastAsia="Calibri" w:hAnsi="Calibri" w:cs="Calibri"/>
          <w:color w:val="000000"/>
          <w:lang w:eastAsia="en-AU"/>
        </w:rPr>
        <w:t>(e.g. under the OIML</w:t>
      </w:r>
      <w:r w:rsidR="00036C51" w:rsidRPr="006A74F8">
        <w:rPr>
          <w:rFonts w:ascii="Calibri" w:eastAsia="Calibri" w:hAnsi="Calibri" w:cs="Calibri"/>
          <w:color w:val="000000"/>
          <w:lang w:eastAsia="en-AU"/>
        </w:rPr>
        <w:t>-</w:t>
      </w:r>
      <w:r w:rsidR="00B938D8" w:rsidRPr="006A74F8">
        <w:rPr>
          <w:rFonts w:ascii="Calibri" w:eastAsia="Calibri" w:hAnsi="Calibri" w:cs="Calibri"/>
          <w:color w:val="000000"/>
          <w:lang w:eastAsia="en-AU"/>
        </w:rPr>
        <w:t>CS), providing greater ability to accommodate and adjust to international developments in measuring instruments.</w:t>
      </w:r>
    </w:p>
    <w:p w:rsidR="009E3EDF" w:rsidRPr="006A74F8" w:rsidRDefault="009E3EDF" w:rsidP="009E3EDF">
      <w:r w:rsidRPr="006A74F8">
        <w:rPr>
          <w:b/>
        </w:rPr>
        <w:t>Overall alignment of options with policy principle</w:t>
      </w:r>
      <w:r w:rsidRPr="006A74F8">
        <w:t>: Provides regulation that can accommodate changing business practices and evolving measurement needs.</w:t>
      </w:r>
    </w:p>
    <w:p w:rsidR="009E3EDF" w:rsidRPr="006A74F8" w:rsidRDefault="009E3EDF" w:rsidP="00272F26">
      <w:pPr>
        <w:pStyle w:val="ListParagraph"/>
        <w:numPr>
          <w:ilvl w:val="0"/>
          <w:numId w:val="80"/>
        </w:numPr>
      </w:pPr>
      <w:r w:rsidRPr="006A74F8">
        <w:rPr>
          <w:b/>
        </w:rPr>
        <w:t>Status quo</w:t>
      </w:r>
      <w:r w:rsidRPr="006A74F8">
        <w:t xml:space="preserve">: </w:t>
      </w:r>
      <w:r w:rsidR="00B938D8" w:rsidRPr="006A74F8">
        <w:t>is highly prescriptive and</w:t>
      </w:r>
      <w:r w:rsidRPr="006A74F8">
        <w:t xml:space="preserve"> provides low level ability to accommodate changing business practices and evolving measurement needs because of limited flexibility.</w:t>
      </w:r>
    </w:p>
    <w:p w:rsidR="009E3EDF" w:rsidRPr="006A74F8" w:rsidRDefault="009E3EDF" w:rsidP="001E4EB0">
      <w:pPr>
        <w:pStyle w:val="ListParagraph"/>
        <w:numPr>
          <w:ilvl w:val="0"/>
          <w:numId w:val="80"/>
        </w:numPr>
      </w:pPr>
      <w:r w:rsidRPr="006A74F8">
        <w:rPr>
          <w:b/>
        </w:rPr>
        <w:lastRenderedPageBreak/>
        <w:t>Option 1</w:t>
      </w:r>
      <w:r w:rsidRPr="006A74F8">
        <w:t xml:space="preserve">: provides </w:t>
      </w:r>
      <w:r w:rsidRPr="006A74F8">
        <w:rPr>
          <w:rFonts w:cstheme="minorHAnsi"/>
        </w:rPr>
        <w:t>medium</w:t>
      </w:r>
      <w:r w:rsidRPr="006A74F8">
        <w:t xml:space="preserve"> level ability to accommodate changing business practices </w:t>
      </w:r>
      <w:r w:rsidR="00B938D8" w:rsidRPr="006A74F8">
        <w:t>though alignment to current business</w:t>
      </w:r>
      <w:r w:rsidRPr="006A74F8">
        <w:t xml:space="preserve"> needs </w:t>
      </w:r>
      <w:r w:rsidR="00B938D8" w:rsidRPr="006A74F8">
        <w:t xml:space="preserve">and </w:t>
      </w:r>
      <w:r w:rsidRPr="006A74F8">
        <w:t xml:space="preserve">some </w:t>
      </w:r>
      <w:r w:rsidR="00B938D8" w:rsidRPr="006A74F8">
        <w:t>ability to make determinations</w:t>
      </w:r>
      <w:r w:rsidRPr="006A74F8">
        <w:t xml:space="preserve"> </w:t>
      </w:r>
      <w:r w:rsidR="00B938D8" w:rsidRPr="006A74F8">
        <w:t>to support future business needs</w:t>
      </w:r>
      <w:r w:rsidRPr="006A74F8">
        <w:t>.</w:t>
      </w:r>
    </w:p>
    <w:p w:rsidR="009E3EDF" w:rsidRPr="006A74F8" w:rsidRDefault="009E3EDF" w:rsidP="001E4EB0">
      <w:pPr>
        <w:pStyle w:val="ListParagraph"/>
        <w:numPr>
          <w:ilvl w:val="0"/>
          <w:numId w:val="80"/>
        </w:numPr>
      </w:pPr>
      <w:r w:rsidRPr="006A74F8">
        <w:rPr>
          <w:b/>
        </w:rPr>
        <w:t>Option 2</w:t>
      </w:r>
      <w:r w:rsidRPr="006A74F8">
        <w:t xml:space="preserve">: provides high level ability to accommodate evolving measurement needs </w:t>
      </w:r>
      <w:r w:rsidR="00B938D8" w:rsidRPr="006A74F8">
        <w:t>an</w:t>
      </w:r>
      <w:r w:rsidR="00B53D6E" w:rsidRPr="006A74F8">
        <w:t>d</w:t>
      </w:r>
      <w:r w:rsidR="00B938D8" w:rsidRPr="006A74F8">
        <w:t xml:space="preserve"> applications, </w:t>
      </w:r>
      <w:r w:rsidR="00B53D6E" w:rsidRPr="006A74F8">
        <w:t>including</w:t>
      </w:r>
      <w:r w:rsidR="00B938D8" w:rsidRPr="006A74F8">
        <w:t xml:space="preserve"> </w:t>
      </w:r>
      <w:r w:rsidR="00B53D6E" w:rsidRPr="006A74F8">
        <w:t xml:space="preserve">innovative </w:t>
      </w:r>
      <w:r w:rsidR="00B938D8" w:rsidRPr="006A74F8">
        <w:t>measuring instruments</w:t>
      </w:r>
      <w:r w:rsidR="007C74B6" w:rsidRPr="006A74F8">
        <w:t>,</w:t>
      </w:r>
      <w:r w:rsidR="00B53D6E" w:rsidRPr="006A74F8">
        <w:t xml:space="preserve"> with</w:t>
      </w:r>
      <w:r w:rsidRPr="006A74F8">
        <w:t xml:space="preserve"> greater flexibility to support emerging trading practices.</w:t>
      </w:r>
    </w:p>
    <w:p w:rsidR="009E3EDF" w:rsidRPr="006A74F8" w:rsidRDefault="009E3EDF" w:rsidP="0023059D">
      <w:pPr>
        <w:pStyle w:val="ListParagraph"/>
        <w:numPr>
          <w:ilvl w:val="0"/>
          <w:numId w:val="80"/>
        </w:numPr>
      </w:pPr>
      <w:r w:rsidRPr="006A74F8">
        <w:rPr>
          <w:b/>
        </w:rPr>
        <w:t>Option 3</w:t>
      </w:r>
      <w:r w:rsidRPr="006A74F8">
        <w:t>: provides high level ability to accommodate changing business practices and evolving measurement needs</w:t>
      </w:r>
      <w:r w:rsidR="000B3222" w:rsidRPr="006A74F8">
        <w:t>,</w:t>
      </w:r>
      <w:r w:rsidRPr="006A74F8">
        <w:t xml:space="preserve"> </w:t>
      </w:r>
      <w:r w:rsidR="00B53D6E" w:rsidRPr="006A74F8">
        <w:t>including</w:t>
      </w:r>
      <w:r w:rsidRPr="006A74F8">
        <w:t xml:space="preserve"> measurement outcomes</w:t>
      </w:r>
      <w:r w:rsidR="00B53D6E" w:rsidRPr="006A74F8">
        <w:t xml:space="preserve"> outside trade</w:t>
      </w:r>
      <w:r w:rsidRPr="006A74F8">
        <w:t>.</w:t>
      </w:r>
    </w:p>
    <w:p w:rsidR="009E3EDF" w:rsidRPr="006A74F8" w:rsidRDefault="009E3EDF" w:rsidP="009E3EDF">
      <w:pPr>
        <w:pStyle w:val="Heading4"/>
        <w:rPr>
          <w:rFonts w:eastAsia="Calibri"/>
          <w:lang w:eastAsia="en-AU"/>
        </w:rPr>
      </w:pPr>
      <w:r w:rsidRPr="006A74F8">
        <w:t>Outcomes</w:t>
      </w:r>
      <w:r w:rsidR="004840AE" w:rsidRPr="006A74F8">
        <w:t xml:space="preserve"> for Stakeholders</w:t>
      </w:r>
      <w:r w:rsidRPr="006A74F8">
        <w:rPr>
          <w:rFonts w:eastAsia="Calibri"/>
          <w:lang w:eastAsia="en-AU"/>
        </w:rPr>
        <w:t xml:space="preserve">: </w:t>
      </w:r>
    </w:p>
    <w:p w:rsidR="009E3EDF" w:rsidRPr="006A74F8" w:rsidRDefault="009E3EDF" w:rsidP="009E3EDF">
      <w:pPr>
        <w:pStyle w:val="Heading5"/>
        <w:rPr>
          <w:rFonts w:eastAsia="Calibri"/>
          <w:lang w:eastAsia="en-AU"/>
        </w:rPr>
      </w:pPr>
      <w:r w:rsidRPr="006A74F8">
        <w:rPr>
          <w:rFonts w:eastAsia="Calibri"/>
          <w:lang w:eastAsia="en-AU"/>
        </w:rPr>
        <w:t xml:space="preserve">Industry </w:t>
      </w:r>
      <w:r w:rsidRPr="006A74F8">
        <w:t>investment</w:t>
      </w:r>
    </w:p>
    <w:p w:rsidR="009E3EDF" w:rsidRPr="006A74F8" w:rsidRDefault="009E3EDF" w:rsidP="009E3EDF">
      <w:r w:rsidRPr="006A74F8">
        <w:rPr>
          <w:lang w:eastAsia="en-AU"/>
        </w:rPr>
        <w:t xml:space="preserve">Definition: </w:t>
      </w:r>
      <w:r w:rsidRPr="006A74F8">
        <w:t xml:space="preserve">Encourages industry to invest in building and maintaining capability reliant on measurement.  </w:t>
      </w:r>
    </w:p>
    <w:p w:rsidR="004C65BA" w:rsidRPr="006A74F8" w:rsidRDefault="004C65BA" w:rsidP="004C65BA">
      <w:pPr>
        <w:rPr>
          <w:rFonts w:ascii="Calibri" w:eastAsia="Calibri" w:hAnsi="Calibri" w:cs="Calibri"/>
          <w:color w:val="000000"/>
          <w:lang w:eastAsia="en-AU"/>
        </w:rPr>
      </w:pPr>
      <w:r w:rsidRPr="006A74F8">
        <w:rPr>
          <w:rFonts w:ascii="Calibri" w:eastAsia="Calibri" w:hAnsi="Calibri" w:cs="Calibri"/>
          <w:color w:val="000000"/>
          <w:lang w:eastAsia="en-AU"/>
        </w:rPr>
        <w:t xml:space="preserve">The </w:t>
      </w:r>
      <w:r w:rsidR="00D95E1D" w:rsidRPr="006A74F8">
        <w:rPr>
          <w:rFonts w:ascii="Calibri" w:eastAsia="Calibri" w:hAnsi="Calibri" w:cs="Calibri"/>
          <w:color w:val="000000"/>
          <w:lang w:eastAsia="en-AU"/>
        </w:rPr>
        <w:t xml:space="preserve">proposed </w:t>
      </w:r>
      <w:r w:rsidRPr="006A74F8">
        <w:rPr>
          <w:rFonts w:ascii="Calibri" w:eastAsia="Calibri" w:hAnsi="Calibri" w:cs="Calibri"/>
          <w:color w:val="000000"/>
          <w:lang w:eastAsia="en-AU"/>
        </w:rPr>
        <w:t>changes that contribute to this principle include:</w:t>
      </w:r>
    </w:p>
    <w:p w:rsidR="009E3EDF" w:rsidRPr="006A74F8" w:rsidRDefault="004840AE" w:rsidP="005573DE">
      <w:pPr>
        <w:pStyle w:val="ListParagraph"/>
        <w:numPr>
          <w:ilvl w:val="0"/>
          <w:numId w:val="73"/>
        </w:numPr>
        <w:spacing w:after="0" w:line="240" w:lineRule="auto"/>
        <w:textAlignment w:val="center"/>
      </w:pPr>
      <w:r w:rsidRPr="006A74F8">
        <w:rPr>
          <w:b/>
        </w:rPr>
        <w:t xml:space="preserve">Supporting investment by </w:t>
      </w:r>
      <w:r w:rsidR="009E3EDF" w:rsidRPr="006A74F8">
        <w:rPr>
          <w:b/>
        </w:rPr>
        <w:t>ATP</w:t>
      </w:r>
      <w:r w:rsidRPr="006A74F8">
        <w:rPr>
          <w:b/>
        </w:rPr>
        <w:t>s</w:t>
      </w:r>
      <w:r w:rsidR="009E3EDF" w:rsidRPr="006A74F8">
        <w:rPr>
          <w:b/>
        </w:rPr>
        <w:t xml:space="preserve"> </w:t>
      </w:r>
      <w:r w:rsidR="005C0C90" w:rsidRPr="006A74F8">
        <w:rPr>
          <w:b/>
        </w:rPr>
        <w:t xml:space="preserve">via changes to </w:t>
      </w:r>
      <w:r w:rsidR="009E3EDF" w:rsidRPr="006A74F8">
        <w:rPr>
          <w:b/>
        </w:rPr>
        <w:t>appointments</w:t>
      </w:r>
      <w:r w:rsidR="005C0C90" w:rsidRPr="006A74F8">
        <w:rPr>
          <w:b/>
        </w:rPr>
        <w:t xml:space="preserve"> and </w:t>
      </w:r>
      <w:r w:rsidR="009E3EDF" w:rsidRPr="006A74F8">
        <w:rPr>
          <w:b/>
        </w:rPr>
        <w:t>competency</w:t>
      </w:r>
      <w:r w:rsidR="009E3EDF" w:rsidRPr="006A74F8">
        <w:t xml:space="preserve">: </w:t>
      </w:r>
      <w:r w:rsidR="00700A6D" w:rsidRPr="006A74F8">
        <w:t xml:space="preserve">Changes to competency requirements will be limited and will be designed to ensure they are fit for purpose for future measurement activities while maintaining current standards. </w:t>
      </w:r>
      <w:r w:rsidR="0040363A" w:rsidRPr="006A74F8">
        <w:t xml:space="preserve">Under </w:t>
      </w:r>
      <w:r w:rsidR="0040363A" w:rsidRPr="006A74F8">
        <w:rPr>
          <w:b/>
        </w:rPr>
        <w:t>option 1</w:t>
      </w:r>
      <w:r w:rsidR="0040363A" w:rsidRPr="006A74F8">
        <w:t>, similar appointment types are merged, resulting in some administrative savings.</w:t>
      </w:r>
      <w:r w:rsidR="009E3EDF" w:rsidRPr="006A74F8">
        <w:t xml:space="preserve"> For </w:t>
      </w:r>
      <w:r w:rsidR="009E3EDF" w:rsidRPr="006A74F8">
        <w:rPr>
          <w:b/>
        </w:rPr>
        <w:t>options</w:t>
      </w:r>
      <w:r w:rsidR="0040363A" w:rsidRPr="006A74F8">
        <w:rPr>
          <w:b/>
        </w:rPr>
        <w:t xml:space="preserve"> 2 and 3</w:t>
      </w:r>
      <w:r w:rsidR="009E3EDF" w:rsidRPr="006A74F8">
        <w:t>,</w:t>
      </w:r>
      <w:r w:rsidR="009E3EDF" w:rsidRPr="006A74F8">
        <w:rPr>
          <w:b/>
        </w:rPr>
        <w:t xml:space="preserve"> </w:t>
      </w:r>
      <w:r w:rsidR="00391EC4" w:rsidRPr="006A74F8">
        <w:t>the ability to authorise</w:t>
      </w:r>
      <w:r w:rsidR="005573DE" w:rsidRPr="006A74F8">
        <w:t xml:space="preserve"> </w:t>
      </w:r>
      <w:r w:rsidR="009E3EDF" w:rsidRPr="006A74F8">
        <w:t>ATP</w:t>
      </w:r>
      <w:r w:rsidR="00391EC4" w:rsidRPr="006A74F8">
        <w:t>s to perform new functions outside existing categories</w:t>
      </w:r>
      <w:r w:rsidR="009E3EDF" w:rsidRPr="006A74F8" w:rsidDel="00391EC4">
        <w:t xml:space="preserve"> </w:t>
      </w:r>
      <w:r w:rsidR="005573DE" w:rsidRPr="006A74F8">
        <w:t>is introduced in addition to existing functions</w:t>
      </w:r>
      <w:r w:rsidR="00D6125E" w:rsidRPr="006A74F8">
        <w:t>,</w:t>
      </w:r>
      <w:r w:rsidR="009E3EDF" w:rsidRPr="006A74F8">
        <w:t xml:space="preserve"> to accommodate a </w:t>
      </w:r>
      <w:r w:rsidRPr="006A74F8">
        <w:t>greater</w:t>
      </w:r>
      <w:r w:rsidR="009E3EDF" w:rsidRPr="006A74F8">
        <w:t xml:space="preserve"> range of instrument types </w:t>
      </w:r>
      <w:r w:rsidRPr="006A74F8">
        <w:t>and</w:t>
      </w:r>
      <w:r w:rsidR="009E3EDF" w:rsidRPr="006A74F8">
        <w:t xml:space="preserve"> measurement services</w:t>
      </w:r>
      <w:r w:rsidR="005573DE" w:rsidRPr="006A74F8">
        <w:t xml:space="preserve"> in the future</w:t>
      </w:r>
      <w:r w:rsidR="009E3EDF" w:rsidRPr="006A74F8">
        <w:t xml:space="preserve">. </w:t>
      </w:r>
      <w:r w:rsidR="005573DE" w:rsidRPr="006A74F8">
        <w:t xml:space="preserve">Maintaining clear functions for </w:t>
      </w:r>
      <w:r w:rsidR="0080428E" w:rsidRPr="006A74F8">
        <w:t xml:space="preserve">existing </w:t>
      </w:r>
      <w:r w:rsidR="005573DE" w:rsidRPr="006A74F8">
        <w:t>ATP</w:t>
      </w:r>
      <w:r w:rsidR="0080428E" w:rsidRPr="006A74F8">
        <w:t xml:space="preserve"> categories in the regulations</w:t>
      </w:r>
      <w:r w:rsidR="005573DE" w:rsidRPr="006A74F8">
        <w:t xml:space="preserve">, while accommodating future flexibility, provides certainty to ATPs so they can </w:t>
      </w:r>
      <w:r w:rsidR="0080428E" w:rsidRPr="006A74F8">
        <w:t xml:space="preserve">continue to </w:t>
      </w:r>
      <w:r w:rsidR="005573DE" w:rsidRPr="006A74F8">
        <w:t>invest in their business.</w:t>
      </w:r>
    </w:p>
    <w:p w:rsidR="009E3EDF" w:rsidRPr="006A74F8" w:rsidRDefault="009E3EDF" w:rsidP="005573DE">
      <w:pPr>
        <w:pStyle w:val="ListParagraph"/>
        <w:numPr>
          <w:ilvl w:val="0"/>
          <w:numId w:val="73"/>
        </w:numPr>
        <w:spacing w:after="0" w:line="240" w:lineRule="auto"/>
        <w:textAlignment w:val="center"/>
      </w:pPr>
      <w:r w:rsidRPr="006A74F8">
        <w:rPr>
          <w:b/>
        </w:rPr>
        <w:t>Integrating new and innovative measuring instruments</w:t>
      </w:r>
      <w:r w:rsidRPr="006A74F8">
        <w:t xml:space="preserve">: </w:t>
      </w:r>
      <w:r w:rsidR="00334271" w:rsidRPr="006A74F8">
        <w:t>Ability to i</w:t>
      </w:r>
      <w:r w:rsidRPr="006A74F8">
        <w:t>ntegrat</w:t>
      </w:r>
      <w:r w:rsidR="00334271" w:rsidRPr="006A74F8">
        <w:t>e</w:t>
      </w:r>
      <w:r w:rsidRPr="006A74F8" w:rsidDel="00334271">
        <w:t xml:space="preserve"> </w:t>
      </w:r>
      <w:r w:rsidRPr="006A74F8">
        <w:t xml:space="preserve">new and innovative measuring instruments into the measurement framework </w:t>
      </w:r>
      <w:r w:rsidR="005C6927" w:rsidRPr="006A74F8">
        <w:t xml:space="preserve">under </w:t>
      </w:r>
      <w:r w:rsidR="005C6927" w:rsidRPr="006A74F8">
        <w:rPr>
          <w:b/>
        </w:rPr>
        <w:t xml:space="preserve">options 2 and 3 </w:t>
      </w:r>
      <w:r w:rsidRPr="006A74F8">
        <w:t>provides certainty to markets as to their acceptability and reliability. This further encourages investing in new and innovative measuring instruments and using them with confidence for trade or regulatory purposes.</w:t>
      </w:r>
    </w:p>
    <w:p w:rsidR="009E3EDF" w:rsidRPr="006A74F8" w:rsidRDefault="009E3EDF" w:rsidP="005573DE">
      <w:pPr>
        <w:pStyle w:val="ListParagraph"/>
        <w:numPr>
          <w:ilvl w:val="0"/>
          <w:numId w:val="73"/>
        </w:numPr>
        <w:spacing w:after="0" w:line="240" w:lineRule="auto"/>
        <w:textAlignment w:val="center"/>
      </w:pPr>
      <w:r w:rsidRPr="006A74F8">
        <w:rPr>
          <w:b/>
        </w:rPr>
        <w:t xml:space="preserve">Recognition of </w:t>
      </w:r>
      <w:r w:rsidR="00FA7416" w:rsidRPr="006A74F8">
        <w:rPr>
          <w:b/>
        </w:rPr>
        <w:t xml:space="preserve">primary </w:t>
      </w:r>
      <w:r w:rsidR="00F67364" w:rsidRPr="006A74F8">
        <w:rPr>
          <w:b/>
        </w:rPr>
        <w:t xml:space="preserve">measurement </w:t>
      </w:r>
      <w:r w:rsidRPr="006A74F8">
        <w:rPr>
          <w:b/>
        </w:rPr>
        <w:t>standards:</w:t>
      </w:r>
      <w:r w:rsidRPr="006A74F8">
        <w:t xml:space="preserve"> Across </w:t>
      </w:r>
      <w:r w:rsidRPr="006A74F8">
        <w:rPr>
          <w:b/>
        </w:rPr>
        <w:t>all options</w:t>
      </w:r>
      <w:r w:rsidRPr="006A74F8">
        <w:t xml:space="preserve">, </w:t>
      </w:r>
      <w:r w:rsidR="00356E35" w:rsidRPr="006A74F8">
        <w:t xml:space="preserve">legal </w:t>
      </w:r>
      <w:r w:rsidRPr="006A74F8">
        <w:t xml:space="preserve">recognition of </w:t>
      </w:r>
      <w:r w:rsidR="00356E35" w:rsidRPr="006A74F8">
        <w:t xml:space="preserve">appropriate and internationally aligned </w:t>
      </w:r>
      <w:r w:rsidRPr="006A74F8">
        <w:t xml:space="preserve">primary measurement </w:t>
      </w:r>
      <w:r w:rsidR="00356E35" w:rsidRPr="006A74F8">
        <w:t>standards</w:t>
      </w:r>
      <w:r w:rsidRPr="006A74F8">
        <w:t xml:space="preserve"> will </w:t>
      </w:r>
      <w:r w:rsidR="005C6927" w:rsidRPr="006A74F8">
        <w:t>provide a path for</w:t>
      </w:r>
      <w:r w:rsidRPr="006A74F8">
        <w:t xml:space="preserve"> private sector investments in metrological capabilities </w:t>
      </w:r>
      <w:r w:rsidR="005C6927" w:rsidRPr="006A74F8">
        <w:t>which</w:t>
      </w:r>
      <w:r w:rsidRPr="006A74F8">
        <w:t xml:space="preserve"> can </w:t>
      </w:r>
      <w:r w:rsidR="005C6927" w:rsidRPr="006A74F8">
        <w:t xml:space="preserve">then </w:t>
      </w:r>
      <w:r w:rsidRPr="006A74F8">
        <w:t>be used with confidence in the economy.</w:t>
      </w:r>
    </w:p>
    <w:p w:rsidR="009E3EDF" w:rsidRPr="006A74F8" w:rsidRDefault="009E3EDF" w:rsidP="009E3EDF">
      <w:pPr>
        <w:spacing w:after="0" w:line="240" w:lineRule="auto"/>
        <w:ind w:left="1080"/>
        <w:textAlignment w:val="center"/>
      </w:pPr>
    </w:p>
    <w:p w:rsidR="009E3EDF" w:rsidRPr="006A74F8" w:rsidRDefault="009E3EDF" w:rsidP="009E3EDF">
      <w:r w:rsidRPr="006A74F8">
        <w:rPr>
          <w:b/>
        </w:rPr>
        <w:t>Overall alignment of options with policy principle</w:t>
      </w:r>
      <w:r w:rsidRPr="006A74F8">
        <w:t xml:space="preserve">: </w:t>
      </w:r>
    </w:p>
    <w:p w:rsidR="009E3EDF" w:rsidRPr="006A74F8" w:rsidRDefault="009E3EDF" w:rsidP="00EE0C7E">
      <w:pPr>
        <w:pStyle w:val="ListParagraph"/>
        <w:numPr>
          <w:ilvl w:val="0"/>
          <w:numId w:val="56"/>
        </w:numPr>
      </w:pPr>
      <w:r w:rsidRPr="006A74F8">
        <w:rPr>
          <w:b/>
        </w:rPr>
        <w:t>Status quo</w:t>
      </w:r>
      <w:r w:rsidRPr="006A74F8">
        <w:t xml:space="preserve">: </w:t>
      </w:r>
      <w:r w:rsidR="005C6927" w:rsidRPr="006A74F8">
        <w:t>Current</w:t>
      </w:r>
      <w:r w:rsidRPr="006A74F8">
        <w:t xml:space="preserve"> prescriptive framework provides </w:t>
      </w:r>
      <w:r w:rsidR="005C6927" w:rsidRPr="006A74F8">
        <w:t xml:space="preserve">industry with </w:t>
      </w:r>
      <w:r w:rsidRPr="006A74F8">
        <w:t xml:space="preserve">confidence </w:t>
      </w:r>
      <w:r w:rsidR="005C6927" w:rsidRPr="006A74F8">
        <w:t>they are operating on</w:t>
      </w:r>
      <w:r w:rsidRPr="006A74F8">
        <w:t xml:space="preserve"> a level playing field</w:t>
      </w:r>
      <w:r w:rsidR="005C6927" w:rsidRPr="006A74F8">
        <w:t xml:space="preserve"> and justifying investment in capability. Medium level of policy alignment. </w:t>
      </w:r>
    </w:p>
    <w:p w:rsidR="009E3EDF" w:rsidRPr="006A74F8" w:rsidRDefault="009E3EDF" w:rsidP="00EE0C7E">
      <w:pPr>
        <w:pStyle w:val="ListParagraph"/>
        <w:numPr>
          <w:ilvl w:val="0"/>
          <w:numId w:val="56"/>
        </w:numPr>
      </w:pPr>
      <w:r w:rsidRPr="006A74F8">
        <w:rPr>
          <w:b/>
        </w:rPr>
        <w:t>Option 1</w:t>
      </w:r>
      <w:r w:rsidRPr="006A74F8">
        <w:t xml:space="preserve">: </w:t>
      </w:r>
      <w:r w:rsidR="005C6927" w:rsidRPr="006A74F8">
        <w:t>Measurement services roles simplified, with additional capability pathways.</w:t>
      </w:r>
      <w:r w:rsidR="005C6927" w:rsidRPr="006A74F8">
        <w:rPr>
          <w:rFonts w:cstheme="minorHAnsi"/>
        </w:rPr>
        <w:t xml:space="preserve"> Fixes issues with status quo, but keeps operating environment largely known, maintaining business certainty. High level of </w:t>
      </w:r>
      <w:r w:rsidR="005C6927" w:rsidRPr="006A74F8">
        <w:t>policy alignment.</w:t>
      </w:r>
    </w:p>
    <w:p w:rsidR="009E3EDF" w:rsidRPr="006A74F8" w:rsidRDefault="009E3EDF" w:rsidP="00EE0C7E">
      <w:pPr>
        <w:pStyle w:val="ListParagraph"/>
        <w:numPr>
          <w:ilvl w:val="0"/>
          <w:numId w:val="56"/>
        </w:numPr>
      </w:pPr>
      <w:r w:rsidRPr="006A74F8">
        <w:rPr>
          <w:b/>
        </w:rPr>
        <w:t>Option 2</w:t>
      </w:r>
      <w:r w:rsidRPr="006A74F8">
        <w:t xml:space="preserve">: </w:t>
      </w:r>
      <w:r w:rsidR="005C6927" w:rsidRPr="006A74F8">
        <w:rPr>
          <w:rFonts w:cstheme="minorHAnsi"/>
        </w:rPr>
        <w:t xml:space="preserve">Flexibility to support evolving and innovative measurement services aids industry development and capability investment. High level of </w:t>
      </w:r>
      <w:r w:rsidR="005C6927" w:rsidRPr="006A74F8">
        <w:t>policy alignment.</w:t>
      </w:r>
    </w:p>
    <w:p w:rsidR="009E3EDF" w:rsidRPr="006A74F8" w:rsidRDefault="009E3EDF" w:rsidP="00EE0C7E">
      <w:pPr>
        <w:pStyle w:val="ListParagraph"/>
        <w:numPr>
          <w:ilvl w:val="0"/>
          <w:numId w:val="56"/>
        </w:numPr>
      </w:pPr>
      <w:r w:rsidRPr="006A74F8">
        <w:rPr>
          <w:b/>
        </w:rPr>
        <w:t>Option 3</w:t>
      </w:r>
      <w:r w:rsidRPr="006A74F8">
        <w:t xml:space="preserve">: </w:t>
      </w:r>
      <w:r w:rsidR="00322803" w:rsidRPr="006A74F8">
        <w:t xml:space="preserve">Expansion of measurement activities beyond trade creates opportunities for industry. </w:t>
      </w:r>
      <w:r w:rsidR="00322803" w:rsidRPr="006A74F8">
        <w:rPr>
          <w:rFonts w:cstheme="minorHAnsi"/>
        </w:rPr>
        <w:t xml:space="preserve">High level of </w:t>
      </w:r>
      <w:r w:rsidR="00322803" w:rsidRPr="006A74F8">
        <w:t>policy alignment.</w:t>
      </w:r>
    </w:p>
    <w:p w:rsidR="009E3EDF" w:rsidRPr="006A74F8" w:rsidRDefault="009E3EDF" w:rsidP="009E3EDF">
      <w:pPr>
        <w:pStyle w:val="Heading5"/>
        <w:rPr>
          <w:lang w:eastAsia="en-AU"/>
        </w:rPr>
      </w:pPr>
      <w:r w:rsidRPr="006A74F8">
        <w:lastRenderedPageBreak/>
        <w:t>Balancing</w:t>
      </w:r>
      <w:r w:rsidRPr="006A74F8">
        <w:rPr>
          <w:lang w:eastAsia="en-AU"/>
        </w:rPr>
        <w:t xml:space="preserve"> market costs and benefits </w:t>
      </w:r>
    </w:p>
    <w:p w:rsidR="009E3EDF" w:rsidRPr="006A74F8" w:rsidRDefault="009E3EDF" w:rsidP="009E3EDF">
      <w:r w:rsidRPr="006A74F8">
        <w:rPr>
          <w:lang w:eastAsia="en-AU"/>
        </w:rPr>
        <w:t xml:space="preserve">Definition: </w:t>
      </w:r>
      <w:r w:rsidRPr="006A74F8">
        <w:t>Minimises unnecessary regulatory burden and cost for industry while maintaining confidence in the measurement system.</w:t>
      </w:r>
    </w:p>
    <w:p w:rsidR="004C65BA" w:rsidRPr="006A74F8" w:rsidRDefault="004C65BA" w:rsidP="004C65BA">
      <w:pPr>
        <w:rPr>
          <w:rFonts w:ascii="Calibri" w:eastAsia="Calibri" w:hAnsi="Calibri" w:cs="Calibri"/>
          <w:color w:val="000000"/>
          <w:lang w:eastAsia="en-AU"/>
        </w:rPr>
      </w:pPr>
      <w:r w:rsidRPr="006A74F8">
        <w:rPr>
          <w:rFonts w:ascii="Calibri" w:eastAsia="Calibri" w:hAnsi="Calibri" w:cs="Calibri"/>
          <w:color w:val="000000"/>
          <w:lang w:eastAsia="en-AU"/>
        </w:rPr>
        <w:t xml:space="preserve">The </w:t>
      </w:r>
      <w:r w:rsidR="00D95E1D" w:rsidRPr="006A74F8">
        <w:rPr>
          <w:rFonts w:ascii="Calibri" w:eastAsia="Calibri" w:hAnsi="Calibri" w:cs="Calibri"/>
          <w:color w:val="000000"/>
          <w:lang w:eastAsia="en-AU"/>
        </w:rPr>
        <w:t xml:space="preserve">proposed </w:t>
      </w:r>
      <w:r w:rsidRPr="006A74F8">
        <w:rPr>
          <w:rFonts w:ascii="Calibri" w:eastAsia="Calibri" w:hAnsi="Calibri" w:cs="Calibri"/>
          <w:color w:val="000000"/>
          <w:lang w:eastAsia="en-AU"/>
        </w:rPr>
        <w:t>changes that contribute to this principle include:</w:t>
      </w:r>
    </w:p>
    <w:p w:rsidR="00E80C9E" w:rsidRPr="006A74F8" w:rsidRDefault="00E80C9E" w:rsidP="00751C01">
      <w:pPr>
        <w:pStyle w:val="ListParagraph"/>
        <w:numPr>
          <w:ilvl w:val="0"/>
          <w:numId w:val="77"/>
        </w:numPr>
        <w:rPr>
          <w:rFonts w:ascii="Calibri" w:eastAsia="Calibri" w:hAnsi="Calibri" w:cs="Calibri"/>
          <w:color w:val="000000"/>
          <w:lang w:eastAsia="en-AU"/>
        </w:rPr>
      </w:pPr>
      <w:r w:rsidRPr="006A74F8">
        <w:rPr>
          <w:rFonts w:ascii="Calibri" w:eastAsia="Calibri" w:hAnsi="Calibri" w:cs="Calibri"/>
          <w:b/>
          <w:color w:val="000000"/>
          <w:lang w:eastAsia="en-AU"/>
        </w:rPr>
        <w:t>Shift</w:t>
      </w:r>
      <w:r w:rsidR="00FD2AD4" w:rsidRPr="006A74F8">
        <w:rPr>
          <w:rFonts w:ascii="Calibri" w:eastAsia="Calibri" w:hAnsi="Calibri" w:cs="Calibri"/>
          <w:b/>
          <w:color w:val="000000"/>
          <w:lang w:eastAsia="en-AU"/>
        </w:rPr>
        <w:t>ing</w:t>
      </w:r>
      <w:r w:rsidRPr="006A74F8">
        <w:rPr>
          <w:rFonts w:ascii="Calibri" w:eastAsia="Calibri" w:hAnsi="Calibri" w:cs="Calibri"/>
          <w:b/>
          <w:color w:val="000000"/>
          <w:lang w:eastAsia="en-AU"/>
        </w:rPr>
        <w:t xml:space="preserve"> to principles-based regulation reduces costs</w:t>
      </w:r>
      <w:r w:rsidR="00030E78" w:rsidRPr="006A74F8">
        <w:rPr>
          <w:rFonts w:ascii="Calibri" w:eastAsia="Calibri" w:hAnsi="Calibri" w:cs="Calibri"/>
          <w:b/>
          <w:color w:val="000000"/>
          <w:lang w:eastAsia="en-AU"/>
        </w:rPr>
        <w:t xml:space="preserve"> for industry</w:t>
      </w:r>
      <w:r w:rsidRPr="006A74F8">
        <w:rPr>
          <w:rFonts w:ascii="Calibri" w:eastAsia="Calibri" w:hAnsi="Calibri" w:cs="Calibri"/>
          <w:b/>
          <w:color w:val="000000"/>
          <w:lang w:eastAsia="en-AU"/>
        </w:rPr>
        <w:t xml:space="preserve">: All options </w:t>
      </w:r>
      <w:r w:rsidRPr="006A74F8">
        <w:rPr>
          <w:rFonts w:ascii="Calibri" w:eastAsia="Calibri" w:hAnsi="Calibri" w:cs="Calibri"/>
          <w:color w:val="000000"/>
          <w:lang w:eastAsia="en-AU"/>
        </w:rPr>
        <w:t>introduce the use of principles-based regulation as appropriate, providing greater flexibility for businesses to reduce costs through al</w:t>
      </w:r>
      <w:r w:rsidR="000F4142" w:rsidRPr="006A74F8">
        <w:rPr>
          <w:rFonts w:ascii="Calibri" w:eastAsia="Calibri" w:hAnsi="Calibri" w:cs="Calibri"/>
          <w:color w:val="000000"/>
          <w:lang w:eastAsia="en-AU"/>
        </w:rPr>
        <w:t xml:space="preserve">ternative compliance pathways. </w:t>
      </w:r>
      <w:r w:rsidRPr="006A74F8">
        <w:rPr>
          <w:rFonts w:ascii="Calibri" w:eastAsia="Calibri" w:hAnsi="Calibri" w:cs="Calibri"/>
          <w:b/>
          <w:color w:val="000000"/>
          <w:lang w:eastAsia="en-AU"/>
        </w:rPr>
        <w:t>Options 2 and 3</w:t>
      </w:r>
      <w:r w:rsidR="000F4142" w:rsidRPr="006A74F8">
        <w:rPr>
          <w:rFonts w:ascii="Calibri" w:eastAsia="Calibri" w:hAnsi="Calibri" w:cs="Calibri"/>
          <w:color w:val="000000"/>
          <w:lang w:eastAsia="en-AU"/>
        </w:rPr>
        <w:t xml:space="preserve"> do</w:t>
      </w:r>
      <w:r w:rsidRPr="006A74F8">
        <w:rPr>
          <w:rFonts w:ascii="Calibri" w:eastAsia="Calibri" w:hAnsi="Calibri" w:cs="Calibri"/>
          <w:color w:val="000000"/>
          <w:lang w:eastAsia="en-AU"/>
        </w:rPr>
        <w:t xml:space="preserve"> this to a greater extent than </w:t>
      </w:r>
      <w:r w:rsidRPr="006A74F8">
        <w:rPr>
          <w:rFonts w:ascii="Calibri" w:eastAsia="Calibri" w:hAnsi="Calibri" w:cs="Calibri"/>
          <w:b/>
          <w:color w:val="000000"/>
          <w:lang w:eastAsia="en-AU"/>
        </w:rPr>
        <w:t>option 1</w:t>
      </w:r>
      <w:r w:rsidR="000F4142" w:rsidRPr="006A74F8">
        <w:rPr>
          <w:rFonts w:ascii="Calibri" w:eastAsia="Calibri" w:hAnsi="Calibri" w:cs="Calibri"/>
          <w:color w:val="000000"/>
          <w:lang w:eastAsia="en-AU"/>
        </w:rPr>
        <w:t xml:space="preserve">. </w:t>
      </w:r>
      <w:r w:rsidRPr="006A74F8">
        <w:rPr>
          <w:rFonts w:ascii="Calibri" w:eastAsia="Calibri" w:hAnsi="Calibri" w:cs="Calibri"/>
          <w:color w:val="000000"/>
          <w:lang w:eastAsia="en-AU"/>
        </w:rPr>
        <w:t>Particular areas where a principles</w:t>
      </w:r>
      <w:r w:rsidR="00995E46" w:rsidRPr="006A74F8">
        <w:rPr>
          <w:rFonts w:ascii="Calibri" w:eastAsia="Calibri" w:hAnsi="Calibri" w:cs="Calibri"/>
          <w:color w:val="000000"/>
          <w:lang w:eastAsia="en-AU"/>
        </w:rPr>
        <w:t>-</w:t>
      </w:r>
      <w:r w:rsidRPr="006A74F8">
        <w:rPr>
          <w:rFonts w:ascii="Calibri" w:eastAsia="Calibri" w:hAnsi="Calibri" w:cs="Calibri"/>
          <w:color w:val="000000"/>
          <w:lang w:eastAsia="en-AU"/>
        </w:rPr>
        <w:t>based approach enables this includes:</w:t>
      </w:r>
    </w:p>
    <w:p w:rsidR="00E80C9E" w:rsidRPr="006A74F8" w:rsidRDefault="00E80C9E" w:rsidP="00751C01">
      <w:pPr>
        <w:pStyle w:val="ListParagraph"/>
        <w:numPr>
          <w:ilvl w:val="1"/>
          <w:numId w:val="77"/>
        </w:numPr>
        <w:rPr>
          <w:rFonts w:ascii="Calibri" w:eastAsia="Calibri" w:hAnsi="Calibri" w:cs="Calibri"/>
          <w:color w:val="000000"/>
          <w:lang w:eastAsia="en-AU"/>
        </w:rPr>
      </w:pPr>
      <w:r w:rsidRPr="006A74F8">
        <w:rPr>
          <w:rFonts w:ascii="Calibri" w:eastAsia="Calibri" w:hAnsi="Calibri" w:cs="Calibri"/>
          <w:color w:val="000000"/>
          <w:lang w:eastAsia="en-AU"/>
        </w:rPr>
        <w:t>marking and unit requirements for packaged products</w:t>
      </w:r>
    </w:p>
    <w:p w:rsidR="00E80C9E" w:rsidRPr="006A74F8" w:rsidRDefault="00E80C9E" w:rsidP="00751C01">
      <w:pPr>
        <w:pStyle w:val="ListParagraph"/>
        <w:numPr>
          <w:ilvl w:val="1"/>
          <w:numId w:val="77"/>
        </w:numPr>
        <w:rPr>
          <w:rFonts w:ascii="Calibri" w:eastAsia="Calibri" w:hAnsi="Calibri" w:cs="Calibri"/>
          <w:color w:val="000000"/>
          <w:lang w:eastAsia="en-AU"/>
        </w:rPr>
      </w:pPr>
      <w:r w:rsidRPr="006A74F8">
        <w:rPr>
          <w:rFonts w:ascii="Calibri" w:eastAsia="Calibri" w:hAnsi="Calibri" w:cs="Calibri"/>
          <w:color w:val="000000"/>
          <w:lang w:eastAsia="en-AU"/>
        </w:rPr>
        <w:t>arrangements regarding correct use of measuring instruments for trade</w:t>
      </w:r>
      <w:r w:rsidR="00D95E1D" w:rsidRPr="006A74F8">
        <w:rPr>
          <w:rFonts w:ascii="Calibri" w:eastAsia="Calibri" w:hAnsi="Calibri" w:cs="Calibri"/>
          <w:color w:val="000000"/>
          <w:lang w:eastAsia="en-AU"/>
        </w:rPr>
        <w:t>.</w:t>
      </w:r>
    </w:p>
    <w:p w:rsidR="009E3EDF" w:rsidRPr="006A74F8" w:rsidRDefault="009E3EDF" w:rsidP="00751C01">
      <w:pPr>
        <w:pStyle w:val="ListParagraph"/>
        <w:numPr>
          <w:ilvl w:val="0"/>
          <w:numId w:val="76"/>
        </w:numPr>
        <w:rPr>
          <w:color w:val="000000"/>
          <w:lang w:eastAsia="en-AU"/>
        </w:rPr>
      </w:pPr>
      <w:r w:rsidRPr="006A74F8">
        <w:rPr>
          <w:rFonts w:ascii="Calibri" w:eastAsia="Calibri" w:hAnsi="Calibri" w:cs="Calibri"/>
          <w:b/>
          <w:color w:val="000000"/>
          <w:lang w:eastAsia="en-AU"/>
        </w:rPr>
        <w:t>Enhanced suite of compliance and enforcement tools:</w:t>
      </w:r>
      <w:r w:rsidRPr="006A74F8">
        <w:t xml:space="preserve"> </w:t>
      </w:r>
      <w:r w:rsidR="00E80C9E" w:rsidRPr="006A74F8">
        <w:t xml:space="preserve">Across </w:t>
      </w:r>
      <w:r w:rsidR="00E80C9E" w:rsidRPr="006A74F8">
        <w:rPr>
          <w:b/>
        </w:rPr>
        <w:t>all options</w:t>
      </w:r>
      <w:r w:rsidR="00E80C9E" w:rsidRPr="006A74F8">
        <w:t>, a g</w:t>
      </w:r>
      <w:r w:rsidRPr="006A74F8">
        <w:t xml:space="preserve">reater selection of tailored compliance and enforcement tools supports minimising unnecessary regulatory burden and cost for industry, while maintaining confidence in the measurement system. Recall powers under </w:t>
      </w:r>
      <w:r w:rsidRPr="006A74F8">
        <w:rPr>
          <w:b/>
        </w:rPr>
        <w:t xml:space="preserve">options 2 and 3 </w:t>
      </w:r>
      <w:r w:rsidRPr="006A74F8">
        <w:t>provide additional confidence in the system to support the inclusion of greater flexibility. May result in some potential cost to industry where a recall needs to be issued.</w:t>
      </w:r>
    </w:p>
    <w:p w:rsidR="00680DE7" w:rsidRPr="006A74F8" w:rsidRDefault="00680DE7" w:rsidP="00751C01">
      <w:pPr>
        <w:pStyle w:val="ListParagraph"/>
        <w:numPr>
          <w:ilvl w:val="0"/>
          <w:numId w:val="76"/>
        </w:numPr>
        <w:rPr>
          <w:color w:val="000000"/>
          <w:lang w:eastAsia="en-AU"/>
        </w:rPr>
      </w:pPr>
      <w:r w:rsidRPr="006A74F8">
        <w:rPr>
          <w:b/>
        </w:rPr>
        <w:t>Fit for purpose controls for measuring instruments:</w:t>
      </w:r>
      <w:r w:rsidRPr="006A74F8">
        <w:t xml:space="preserve"> Increasing flexibility </w:t>
      </w:r>
      <w:r w:rsidRPr="006A74F8">
        <w:rPr>
          <w:b/>
        </w:rPr>
        <w:t>across all options</w:t>
      </w:r>
      <w:r w:rsidRPr="006A74F8">
        <w:t xml:space="preserve"> allows for a reduction in regulatory burden. Under </w:t>
      </w:r>
      <w:r w:rsidRPr="006A74F8">
        <w:rPr>
          <w:b/>
        </w:rPr>
        <w:t>all reform options</w:t>
      </w:r>
      <w:r w:rsidRPr="006A74F8">
        <w:t xml:space="preserve">, pattern approval and verification remains the default requirements for instruments used in trade. Under </w:t>
      </w:r>
      <w:r w:rsidRPr="006A74F8">
        <w:rPr>
          <w:b/>
        </w:rPr>
        <w:t>option</w:t>
      </w:r>
      <w:r w:rsidR="00FD2AD4" w:rsidRPr="006A74F8">
        <w:rPr>
          <w:b/>
        </w:rPr>
        <w:t> </w:t>
      </w:r>
      <w:r w:rsidRPr="006A74F8">
        <w:rPr>
          <w:b/>
        </w:rPr>
        <w:t>1</w:t>
      </w:r>
      <w:r w:rsidRPr="006A74F8">
        <w:t xml:space="preserve">, </w:t>
      </w:r>
      <w:r w:rsidR="00E574CB" w:rsidRPr="006A74F8">
        <w:t xml:space="preserve">exemptions can be introduced for particular </w:t>
      </w:r>
      <w:r w:rsidRPr="006A74F8">
        <w:t>instruments from pattern approval</w:t>
      </w:r>
      <w:r w:rsidR="002D360E" w:rsidRPr="006A74F8">
        <w:t xml:space="preserve"> or verification requirements. </w:t>
      </w:r>
      <w:r w:rsidRPr="006A74F8">
        <w:t xml:space="preserve">Under </w:t>
      </w:r>
      <w:r w:rsidRPr="006A74F8">
        <w:rPr>
          <w:b/>
        </w:rPr>
        <w:t>options 2 and 3</w:t>
      </w:r>
      <w:r w:rsidRPr="006A74F8">
        <w:t xml:space="preserve">, there is greater flexibility to accommodate alternative </w:t>
      </w:r>
      <w:r w:rsidR="00E574CB" w:rsidRPr="006A74F8">
        <w:t>measuring instrument control mechanisms</w:t>
      </w:r>
      <w:r w:rsidRPr="006A74F8" w:rsidDel="00E574CB">
        <w:t xml:space="preserve"> </w:t>
      </w:r>
      <w:r w:rsidR="00E574CB" w:rsidRPr="006A74F8">
        <w:t xml:space="preserve">where default controls are not </w:t>
      </w:r>
      <w:r w:rsidR="00535784" w:rsidRPr="006A74F8">
        <w:t xml:space="preserve">appropriate or </w:t>
      </w:r>
      <w:r w:rsidR="00E574CB" w:rsidRPr="006A74F8">
        <w:t>suitable</w:t>
      </w:r>
      <w:r w:rsidRPr="006A74F8">
        <w:t xml:space="preserve">. </w:t>
      </w:r>
    </w:p>
    <w:p w:rsidR="009E3EDF" w:rsidRPr="006A74F8" w:rsidRDefault="009E3EDF" w:rsidP="00751C01">
      <w:pPr>
        <w:pStyle w:val="ListParagraph"/>
        <w:numPr>
          <w:ilvl w:val="0"/>
          <w:numId w:val="76"/>
        </w:numPr>
        <w:rPr>
          <w:color w:val="000000"/>
          <w:lang w:eastAsia="en-AU"/>
        </w:rPr>
      </w:pPr>
      <w:r w:rsidRPr="006A74F8">
        <w:rPr>
          <w:b/>
        </w:rPr>
        <w:t xml:space="preserve">Additional reporting requirements for some ATPs: </w:t>
      </w:r>
      <w:r w:rsidRPr="006A74F8">
        <w:t xml:space="preserve">Comprehensive ATP reporting enables improved NMI data analysis to ensure ATPs are delivering trustworthy measurement outcomes, supporting confidence in the measurement system. </w:t>
      </w:r>
      <w:r w:rsidR="00482B5E" w:rsidRPr="006A74F8">
        <w:t>R</w:t>
      </w:r>
      <w:r w:rsidRPr="006A74F8">
        <w:t>egulatory burden for ATPs with existing routine reporting requirements</w:t>
      </w:r>
      <w:r w:rsidR="00482B5E" w:rsidRPr="006A74F8">
        <w:t xml:space="preserve"> is reduced through improved reporting systems. Routine reporting requirements</w:t>
      </w:r>
      <w:r w:rsidRPr="006A74F8" w:rsidDel="00482B5E">
        <w:t xml:space="preserve"> </w:t>
      </w:r>
      <w:r w:rsidRPr="006A74F8">
        <w:t xml:space="preserve">extended to UMVs under </w:t>
      </w:r>
      <w:r w:rsidRPr="006A74F8">
        <w:rPr>
          <w:b/>
        </w:rPr>
        <w:t>option 1</w:t>
      </w:r>
      <w:r w:rsidR="00482B5E" w:rsidRPr="006A74F8">
        <w:rPr>
          <w:b/>
        </w:rPr>
        <w:t xml:space="preserve"> </w:t>
      </w:r>
      <w:r w:rsidR="00482B5E" w:rsidRPr="006A74F8">
        <w:t xml:space="preserve">and LMAs under </w:t>
      </w:r>
      <w:r w:rsidR="00482B5E" w:rsidRPr="006A74F8">
        <w:rPr>
          <w:b/>
        </w:rPr>
        <w:t>options 2 and 3</w:t>
      </w:r>
      <w:r w:rsidR="00482B5E" w:rsidRPr="006A74F8">
        <w:t>, resulting in minimal additional regulatory burden</w:t>
      </w:r>
      <w:r w:rsidR="00D8486C" w:rsidRPr="006A74F8">
        <w:t xml:space="preserve"> for these ATPs</w:t>
      </w:r>
      <w:r w:rsidRPr="006A74F8">
        <w:t xml:space="preserve">. </w:t>
      </w:r>
    </w:p>
    <w:p w:rsidR="004051AD" w:rsidRPr="006A74F8" w:rsidRDefault="004051AD" w:rsidP="00751C01">
      <w:pPr>
        <w:pStyle w:val="ListParagraph"/>
        <w:numPr>
          <w:ilvl w:val="0"/>
          <w:numId w:val="76"/>
        </w:numPr>
        <w:rPr>
          <w:color w:val="000000"/>
          <w:lang w:eastAsia="en-AU"/>
        </w:rPr>
      </w:pPr>
      <w:r w:rsidRPr="006A74F8">
        <w:rPr>
          <w:b/>
          <w:color w:val="000000"/>
          <w:lang w:eastAsia="en-AU"/>
        </w:rPr>
        <w:t>Measurement controls supporting government regulators</w:t>
      </w:r>
      <w:r w:rsidRPr="006A74F8">
        <w:rPr>
          <w:color w:val="000000"/>
          <w:lang w:eastAsia="en-AU"/>
        </w:rPr>
        <w:t xml:space="preserve">: Under the status quo and </w:t>
      </w:r>
      <w:r w:rsidRPr="006A74F8">
        <w:rPr>
          <w:b/>
          <w:color w:val="000000"/>
          <w:lang w:eastAsia="en-AU"/>
        </w:rPr>
        <w:t>options 1 and 2</w:t>
      </w:r>
      <w:r w:rsidRPr="006A74F8">
        <w:rPr>
          <w:color w:val="000000"/>
          <w:lang w:eastAsia="en-AU"/>
        </w:rPr>
        <w:t xml:space="preserve">, the legislation regulates trade measurement </w:t>
      </w:r>
      <w:r w:rsidR="004F4166" w:rsidRPr="006A74F8">
        <w:rPr>
          <w:color w:val="000000"/>
          <w:lang w:eastAsia="en-AU"/>
        </w:rPr>
        <w:t xml:space="preserve">and </w:t>
      </w:r>
      <w:r w:rsidRPr="006A74F8">
        <w:rPr>
          <w:color w:val="000000"/>
          <w:lang w:eastAsia="en-AU"/>
        </w:rPr>
        <w:t xml:space="preserve">provides a supportive framework that other regulators can access. Under </w:t>
      </w:r>
      <w:r w:rsidRPr="006A74F8">
        <w:rPr>
          <w:b/>
          <w:color w:val="000000"/>
          <w:lang w:eastAsia="en-AU"/>
        </w:rPr>
        <w:t>option 3</w:t>
      </w:r>
      <w:r w:rsidRPr="006A74F8">
        <w:rPr>
          <w:color w:val="000000"/>
          <w:lang w:eastAsia="en-AU"/>
        </w:rPr>
        <w:t xml:space="preserve">, the legislation would enable NMI to impose legal requirements regarding the measurements </w:t>
      </w:r>
      <w:r w:rsidR="004F4166" w:rsidRPr="006A74F8">
        <w:rPr>
          <w:color w:val="000000"/>
          <w:lang w:eastAsia="en-AU"/>
        </w:rPr>
        <w:t xml:space="preserve">that other regulators rely on. </w:t>
      </w:r>
      <w:r w:rsidRPr="006A74F8">
        <w:rPr>
          <w:color w:val="000000"/>
          <w:lang w:eastAsia="en-AU"/>
        </w:rPr>
        <w:t>Examples include requiring that a specified method be used to make a particular measurement or that instruments relied</w:t>
      </w:r>
      <w:r w:rsidR="004F4166" w:rsidRPr="006A74F8">
        <w:rPr>
          <w:color w:val="000000"/>
          <w:lang w:eastAsia="en-AU"/>
        </w:rPr>
        <w:t xml:space="preserve"> on meet certain requirements. </w:t>
      </w:r>
      <w:r w:rsidRPr="006A74F8">
        <w:rPr>
          <w:color w:val="000000"/>
          <w:lang w:eastAsia="en-AU"/>
        </w:rPr>
        <w:t xml:space="preserve">This may result in both NMI and another regulator operating in a particular area, increasing risk of perceived regulatory duplication. </w:t>
      </w:r>
    </w:p>
    <w:p w:rsidR="009E3EDF" w:rsidRPr="006A74F8" w:rsidRDefault="009E3EDF" w:rsidP="009E3EDF">
      <w:r w:rsidRPr="006A74F8">
        <w:rPr>
          <w:b/>
        </w:rPr>
        <w:t>Overall alignment of options with policy principle</w:t>
      </w:r>
      <w:r w:rsidRPr="006A74F8">
        <w:t xml:space="preserve">: </w:t>
      </w:r>
    </w:p>
    <w:p w:rsidR="00843964" w:rsidRPr="006A74F8" w:rsidRDefault="009E3EDF" w:rsidP="006D6CB0">
      <w:pPr>
        <w:pStyle w:val="ListParagraph"/>
        <w:numPr>
          <w:ilvl w:val="0"/>
          <w:numId w:val="56"/>
        </w:numPr>
      </w:pPr>
      <w:r w:rsidRPr="006A74F8">
        <w:rPr>
          <w:b/>
        </w:rPr>
        <w:t>Status quo</w:t>
      </w:r>
      <w:r w:rsidRPr="006A74F8">
        <w:t xml:space="preserve">: </w:t>
      </w:r>
      <w:r w:rsidR="00843964" w:rsidRPr="006A74F8">
        <w:rPr>
          <w:rFonts w:cstheme="minorHAnsi"/>
        </w:rPr>
        <w:t>low</w:t>
      </w:r>
      <w:r w:rsidR="00843964" w:rsidRPr="006A74F8">
        <w:t xml:space="preserve"> level of alignment as legislation is inflexible and adopts a one-size-fits-all approach in some areas. </w:t>
      </w:r>
    </w:p>
    <w:p w:rsidR="009E3EDF" w:rsidRPr="006A74F8" w:rsidRDefault="009E3EDF" w:rsidP="006D6CB0">
      <w:pPr>
        <w:pStyle w:val="ListParagraph"/>
        <w:numPr>
          <w:ilvl w:val="0"/>
          <w:numId w:val="56"/>
        </w:numPr>
      </w:pPr>
      <w:r w:rsidRPr="006A74F8">
        <w:rPr>
          <w:b/>
        </w:rPr>
        <w:t>Option 1</w:t>
      </w:r>
      <w:r w:rsidRPr="006A74F8">
        <w:t xml:space="preserve">: </w:t>
      </w:r>
      <w:r w:rsidRPr="006A74F8">
        <w:rPr>
          <w:rFonts w:cstheme="minorHAnsi"/>
        </w:rPr>
        <w:t>medium</w:t>
      </w:r>
      <w:r w:rsidRPr="006A74F8">
        <w:t xml:space="preserve"> alignment </w:t>
      </w:r>
      <w:r w:rsidR="004051AD" w:rsidRPr="006A74F8">
        <w:t>as principles-based approach reduces regulatory burden.</w:t>
      </w:r>
    </w:p>
    <w:p w:rsidR="009E3EDF" w:rsidRPr="006A74F8" w:rsidRDefault="009E3EDF" w:rsidP="006D6CB0">
      <w:pPr>
        <w:pStyle w:val="ListParagraph"/>
        <w:numPr>
          <w:ilvl w:val="0"/>
          <w:numId w:val="56"/>
        </w:numPr>
      </w:pPr>
      <w:r w:rsidRPr="006A74F8">
        <w:rPr>
          <w:b/>
        </w:rPr>
        <w:t>Option 2</w:t>
      </w:r>
      <w:r w:rsidRPr="006A74F8">
        <w:t xml:space="preserve">: high alignment </w:t>
      </w:r>
      <w:r w:rsidR="004051AD" w:rsidRPr="006A74F8">
        <w:t>as</w:t>
      </w:r>
      <w:r w:rsidRPr="006A74F8">
        <w:t xml:space="preserve"> streamlined and flexible requirements </w:t>
      </w:r>
      <w:r w:rsidR="004051AD" w:rsidRPr="006A74F8">
        <w:t>enable targeted arrangements</w:t>
      </w:r>
      <w:r w:rsidR="0026042A" w:rsidRPr="006A74F8">
        <w:t xml:space="preserve"> for trade</w:t>
      </w:r>
      <w:r w:rsidR="004051AD" w:rsidRPr="006A74F8">
        <w:t>, aligning burden with risk.</w:t>
      </w:r>
      <w:r w:rsidRPr="006A74F8">
        <w:t xml:space="preserve"> </w:t>
      </w:r>
    </w:p>
    <w:p w:rsidR="009E3EDF" w:rsidRPr="006A74F8" w:rsidRDefault="009E3EDF" w:rsidP="006D6CB0">
      <w:pPr>
        <w:pStyle w:val="ListParagraph"/>
        <w:numPr>
          <w:ilvl w:val="0"/>
          <w:numId w:val="56"/>
        </w:numPr>
      </w:pPr>
      <w:r w:rsidRPr="006A74F8">
        <w:rPr>
          <w:b/>
        </w:rPr>
        <w:lastRenderedPageBreak/>
        <w:t>Option 3</w:t>
      </w:r>
      <w:r w:rsidRPr="006A74F8">
        <w:t xml:space="preserve">: </w:t>
      </w:r>
      <w:r w:rsidR="004051AD" w:rsidRPr="006A74F8">
        <w:t>medium</w:t>
      </w:r>
      <w:r w:rsidRPr="006A74F8">
        <w:t xml:space="preserve"> alignment </w:t>
      </w:r>
      <w:r w:rsidR="004051AD" w:rsidRPr="006A74F8">
        <w:t xml:space="preserve">as targeted arrangements for trade </w:t>
      </w:r>
      <w:r w:rsidR="0026042A" w:rsidRPr="006A74F8">
        <w:t>partially offset</w:t>
      </w:r>
      <w:r w:rsidR="004051AD" w:rsidRPr="006A74F8">
        <w:t xml:space="preserve"> by potential for perceived regulatory duplication outside trade.</w:t>
      </w:r>
    </w:p>
    <w:p w:rsidR="009E3EDF" w:rsidRPr="006A74F8" w:rsidRDefault="009E3EDF" w:rsidP="009E3EDF">
      <w:pPr>
        <w:pStyle w:val="Heading5"/>
      </w:pPr>
      <w:r w:rsidRPr="006A74F8">
        <w:t xml:space="preserve">Balancing cost to government </w:t>
      </w:r>
    </w:p>
    <w:p w:rsidR="009E3EDF" w:rsidRPr="006A74F8" w:rsidRDefault="009E3EDF" w:rsidP="009E3EDF">
      <w:r w:rsidRPr="006A74F8">
        <w:t>Definition: Ensures costs to deliver are reasonable, and key capabilities and services are delivered to the benefit of Australian industry and the community.</w:t>
      </w:r>
    </w:p>
    <w:p w:rsidR="004C65BA" w:rsidRPr="006A74F8" w:rsidRDefault="004C65BA" w:rsidP="004C65BA">
      <w:pPr>
        <w:rPr>
          <w:rFonts w:ascii="Calibri" w:eastAsia="Calibri" w:hAnsi="Calibri" w:cs="Calibri"/>
          <w:color w:val="000000"/>
          <w:lang w:eastAsia="en-AU"/>
        </w:rPr>
      </w:pPr>
      <w:r w:rsidRPr="006A74F8">
        <w:rPr>
          <w:rFonts w:ascii="Calibri" w:eastAsia="Calibri" w:hAnsi="Calibri" w:cs="Calibri"/>
          <w:color w:val="000000"/>
          <w:lang w:eastAsia="en-AU"/>
        </w:rPr>
        <w:t xml:space="preserve">The </w:t>
      </w:r>
      <w:r w:rsidR="00D95E1D" w:rsidRPr="006A74F8">
        <w:rPr>
          <w:rFonts w:ascii="Calibri" w:eastAsia="Calibri" w:hAnsi="Calibri" w:cs="Calibri"/>
          <w:color w:val="000000"/>
          <w:lang w:eastAsia="en-AU"/>
        </w:rPr>
        <w:t xml:space="preserve">proposed </w:t>
      </w:r>
      <w:r w:rsidRPr="006A74F8">
        <w:rPr>
          <w:rFonts w:ascii="Calibri" w:eastAsia="Calibri" w:hAnsi="Calibri" w:cs="Calibri"/>
          <w:color w:val="000000"/>
          <w:lang w:eastAsia="en-AU"/>
        </w:rPr>
        <w:t>changes that contribute to this principle include:</w:t>
      </w:r>
    </w:p>
    <w:p w:rsidR="002202D9" w:rsidRPr="006A74F8" w:rsidRDefault="009E3EDF" w:rsidP="00285FB7">
      <w:pPr>
        <w:pStyle w:val="ListParagraph"/>
        <w:numPr>
          <w:ilvl w:val="0"/>
          <w:numId w:val="78"/>
        </w:numPr>
        <w:spacing w:after="0"/>
        <w:textAlignment w:val="center"/>
      </w:pPr>
      <w:r w:rsidRPr="006A74F8">
        <w:rPr>
          <w:b/>
        </w:rPr>
        <w:t xml:space="preserve">Principles-based approach to regulation: </w:t>
      </w:r>
      <w:r w:rsidR="00A40103" w:rsidRPr="006A74F8">
        <w:t>Whilst a principle</w:t>
      </w:r>
      <w:r w:rsidR="00726D0D" w:rsidRPr="006A74F8">
        <w:t>s</w:t>
      </w:r>
      <w:r w:rsidR="00A40103" w:rsidRPr="006A74F8">
        <w:t>-</w:t>
      </w:r>
      <w:r w:rsidR="002202D9" w:rsidRPr="006A74F8">
        <w:t xml:space="preserve">based approach reduces cost to industry under </w:t>
      </w:r>
      <w:r w:rsidR="002202D9" w:rsidRPr="006A74F8">
        <w:rPr>
          <w:b/>
        </w:rPr>
        <w:t>all options</w:t>
      </w:r>
      <w:r w:rsidR="002202D9" w:rsidRPr="006A74F8">
        <w:t>, it is more expensive for government to deliver and requires more detailed guidance material to be provided to industry and the inspectorate. Operating in a less prescriptive environment will require the development of additional guidance material to outline regulatory focus and provide further detail to principles-based requirements. Additional resources will be needed to develop and maintain this material, as well as costs associated with testing principles in court.</w:t>
      </w:r>
    </w:p>
    <w:p w:rsidR="002202D9" w:rsidRPr="006A74F8" w:rsidRDefault="009E3EDF" w:rsidP="00285FB7">
      <w:pPr>
        <w:pStyle w:val="ListParagraph"/>
        <w:numPr>
          <w:ilvl w:val="0"/>
          <w:numId w:val="74"/>
        </w:numPr>
        <w:spacing w:after="0"/>
        <w:textAlignment w:val="center"/>
      </w:pPr>
      <w:r w:rsidRPr="006A74F8">
        <w:rPr>
          <w:b/>
        </w:rPr>
        <w:t>Expanded</w:t>
      </w:r>
      <w:r w:rsidRPr="006A74F8">
        <w:t xml:space="preserve"> </w:t>
      </w:r>
      <w:r w:rsidRPr="006A74F8">
        <w:rPr>
          <w:b/>
        </w:rPr>
        <w:t>suite of compliance and enforcement tools:</w:t>
      </w:r>
      <w:r w:rsidRPr="006A74F8">
        <w:t xml:space="preserve"> </w:t>
      </w:r>
      <w:r w:rsidR="002202D9" w:rsidRPr="006A74F8">
        <w:t xml:space="preserve">The compliance and enforcement tools available under </w:t>
      </w:r>
      <w:r w:rsidR="002202D9" w:rsidRPr="006A74F8">
        <w:rPr>
          <w:b/>
        </w:rPr>
        <w:t>all options</w:t>
      </w:r>
      <w:r w:rsidR="002202D9" w:rsidRPr="006A74F8">
        <w:t xml:space="preserve"> enable </w:t>
      </w:r>
      <w:r w:rsidRPr="006A74F8">
        <w:t>NMI to direct resources towards the most effective regulatory approach</w:t>
      </w:r>
      <w:r w:rsidR="00C879D7" w:rsidRPr="006A74F8">
        <w:t xml:space="preserve">. </w:t>
      </w:r>
      <w:r w:rsidR="002202D9" w:rsidRPr="006A74F8">
        <w:t xml:space="preserve">However, it requires </w:t>
      </w:r>
      <w:r w:rsidR="00161525" w:rsidRPr="006A74F8">
        <w:t xml:space="preserve">government investment to establish </w:t>
      </w:r>
      <w:r w:rsidR="002202D9" w:rsidRPr="006A74F8">
        <w:t>a litigation fund</w:t>
      </w:r>
      <w:r w:rsidR="00161525" w:rsidRPr="006A74F8">
        <w:t xml:space="preserve">, retrain the </w:t>
      </w:r>
      <w:r w:rsidR="002202D9" w:rsidRPr="006A74F8">
        <w:t xml:space="preserve">inspectorate and </w:t>
      </w:r>
      <w:r w:rsidR="00161525" w:rsidRPr="006A74F8">
        <w:t xml:space="preserve">develop </w:t>
      </w:r>
      <w:r w:rsidR="002202D9" w:rsidRPr="006A74F8">
        <w:t xml:space="preserve">supporting </w:t>
      </w:r>
      <w:r w:rsidR="00161525" w:rsidRPr="006A74F8">
        <w:t xml:space="preserve">infrastructure (including IT </w:t>
      </w:r>
      <w:r w:rsidR="002202D9" w:rsidRPr="006A74F8">
        <w:t>system</w:t>
      </w:r>
      <w:r w:rsidR="00161525" w:rsidRPr="006A74F8">
        <w:t>s)</w:t>
      </w:r>
      <w:r w:rsidR="002202D9" w:rsidRPr="006A74F8">
        <w:t xml:space="preserve">. </w:t>
      </w:r>
    </w:p>
    <w:p w:rsidR="00A10B41" w:rsidRPr="006A74F8" w:rsidRDefault="00A10B41" w:rsidP="00285FB7">
      <w:pPr>
        <w:pStyle w:val="ListParagraph"/>
        <w:numPr>
          <w:ilvl w:val="0"/>
          <w:numId w:val="74"/>
        </w:numPr>
        <w:spacing w:after="0"/>
        <w:textAlignment w:val="center"/>
        <w:rPr>
          <w:b/>
        </w:rPr>
      </w:pPr>
      <w:r w:rsidRPr="006A74F8">
        <w:rPr>
          <w:b/>
        </w:rPr>
        <w:t>Supporting measurements other regulators rely on:</w:t>
      </w:r>
      <w:r w:rsidRPr="006A74F8">
        <w:t xml:space="preserve"> Under </w:t>
      </w:r>
      <w:r w:rsidRPr="006A74F8">
        <w:rPr>
          <w:b/>
        </w:rPr>
        <w:t>all options</w:t>
      </w:r>
      <w:r w:rsidRPr="006A74F8">
        <w:t xml:space="preserve"> NMI helps to provide support to other regulators through a</w:t>
      </w:r>
      <w:r w:rsidR="00C879D7" w:rsidRPr="006A74F8">
        <w:t xml:space="preserve">dvice and services agreements. </w:t>
      </w:r>
      <w:r w:rsidRPr="006A74F8">
        <w:t xml:space="preserve">Under </w:t>
      </w:r>
      <w:r w:rsidR="000E1261" w:rsidRPr="006A74F8">
        <w:rPr>
          <w:b/>
        </w:rPr>
        <w:t>o</w:t>
      </w:r>
      <w:r w:rsidRPr="006A74F8">
        <w:rPr>
          <w:b/>
        </w:rPr>
        <w:t>ption 3</w:t>
      </w:r>
      <w:r w:rsidRPr="006A74F8">
        <w:t xml:space="preserve"> NMI can take a more direct role to impose legal requirements where critical to support these measurement</w:t>
      </w:r>
      <w:r w:rsidR="00C879D7" w:rsidRPr="006A74F8">
        <w:t xml:space="preserve">s. </w:t>
      </w:r>
      <w:r w:rsidRPr="006A74F8">
        <w:t>As scientific and regulatory capability is expensive to develop</w:t>
      </w:r>
      <w:r w:rsidR="006D02AB" w:rsidRPr="006A74F8">
        <w:t xml:space="preserve">/source, </w:t>
      </w:r>
      <w:r w:rsidRPr="006A74F8">
        <w:t xml:space="preserve">and maintain, this would </w:t>
      </w:r>
      <w:r w:rsidR="00C879D7" w:rsidRPr="006A74F8">
        <w:t xml:space="preserve">require </w:t>
      </w:r>
      <w:r w:rsidRPr="006A74F8">
        <w:t>dedicated fundi</w:t>
      </w:r>
      <w:r w:rsidR="00C879D7" w:rsidRPr="006A74F8">
        <w:t>ng to achieve without compromising</w:t>
      </w:r>
      <w:r w:rsidRPr="006A74F8">
        <w:t xml:space="preserve"> NMI’s core functions.</w:t>
      </w:r>
    </w:p>
    <w:p w:rsidR="009E3EDF" w:rsidRPr="006A74F8" w:rsidRDefault="00525875" w:rsidP="00285FB7">
      <w:pPr>
        <w:pStyle w:val="ListParagraph"/>
        <w:numPr>
          <w:ilvl w:val="0"/>
          <w:numId w:val="74"/>
        </w:numPr>
        <w:spacing w:after="0"/>
        <w:textAlignment w:val="center"/>
      </w:pPr>
      <w:r w:rsidRPr="006A74F8">
        <w:rPr>
          <w:b/>
        </w:rPr>
        <w:t xml:space="preserve">Provision of </w:t>
      </w:r>
      <w:r w:rsidR="009E3EDF" w:rsidRPr="006A74F8">
        <w:rPr>
          <w:b/>
        </w:rPr>
        <w:t xml:space="preserve">measurement services </w:t>
      </w:r>
      <w:r w:rsidRPr="006A74F8">
        <w:rPr>
          <w:b/>
        </w:rPr>
        <w:t>by ATPs</w:t>
      </w:r>
      <w:r w:rsidR="009E3EDF" w:rsidRPr="006A74F8">
        <w:rPr>
          <w:b/>
        </w:rPr>
        <w:t xml:space="preserve">: </w:t>
      </w:r>
      <w:r w:rsidR="009E3EDF" w:rsidRPr="006A74F8">
        <w:t xml:space="preserve">Under </w:t>
      </w:r>
      <w:r w:rsidR="009E3EDF" w:rsidRPr="006A74F8">
        <w:rPr>
          <w:b/>
        </w:rPr>
        <w:t xml:space="preserve">all options </w:t>
      </w:r>
      <w:r w:rsidRPr="006A74F8">
        <w:t>certain</w:t>
      </w:r>
      <w:r w:rsidRPr="006A74F8">
        <w:rPr>
          <w:b/>
        </w:rPr>
        <w:t xml:space="preserve"> </w:t>
      </w:r>
      <w:r w:rsidR="009E3EDF" w:rsidRPr="006A74F8">
        <w:t xml:space="preserve">measurement services </w:t>
      </w:r>
      <w:r w:rsidRPr="006A74F8">
        <w:t xml:space="preserve">are </w:t>
      </w:r>
      <w:r w:rsidR="009E3EDF" w:rsidRPr="006A74F8">
        <w:t xml:space="preserve">provided by ATPs </w:t>
      </w:r>
      <w:r w:rsidR="00C879D7" w:rsidRPr="006A74F8">
        <w:t xml:space="preserve">rather than government. </w:t>
      </w:r>
      <w:r w:rsidRPr="006A74F8">
        <w:t xml:space="preserve">Under </w:t>
      </w:r>
      <w:r w:rsidRPr="006A74F8">
        <w:rPr>
          <w:b/>
        </w:rPr>
        <w:t>options 2 and 3</w:t>
      </w:r>
      <w:r w:rsidRPr="006A74F8">
        <w:t>, ATP arrangements</w:t>
      </w:r>
      <w:r w:rsidR="009E3EDF" w:rsidRPr="006A74F8">
        <w:t xml:space="preserve"> are made more accessible to other regulators and their regulated communities (e.g. services previously only available for instruments used for trade could be utilised by other sectors).</w:t>
      </w:r>
      <w:r w:rsidR="00C879D7" w:rsidRPr="006A74F8">
        <w:rPr>
          <w:b/>
        </w:rPr>
        <w:t xml:space="preserve"> </w:t>
      </w:r>
      <w:r w:rsidR="009E3EDF" w:rsidRPr="006A74F8">
        <w:t xml:space="preserve">This </w:t>
      </w:r>
      <w:r w:rsidR="006D6CB0" w:rsidRPr="006A74F8">
        <w:t xml:space="preserve">potentially </w:t>
      </w:r>
      <w:r w:rsidR="009E3EDF" w:rsidRPr="006A74F8">
        <w:t>enables greater support of other government measurement needs through ATPs, rather than direct involvement from NMI</w:t>
      </w:r>
      <w:r w:rsidR="00671657" w:rsidRPr="006A74F8">
        <w:t>.</w:t>
      </w:r>
      <w:r w:rsidR="009E3EDF" w:rsidRPr="006A74F8">
        <w:t xml:space="preserve"> </w:t>
      </w:r>
      <w:r w:rsidR="00671657" w:rsidRPr="006A74F8">
        <w:t>H</w:t>
      </w:r>
      <w:r w:rsidR="009E3EDF" w:rsidRPr="006A74F8">
        <w:t>owever</w:t>
      </w:r>
      <w:r w:rsidR="00671657" w:rsidRPr="006A74F8">
        <w:t>,</w:t>
      </w:r>
      <w:r w:rsidR="009E3EDF" w:rsidRPr="006A74F8">
        <w:t xml:space="preserve"> it requires increased NMI oversight of ATPs performing these functions in addition to the current scope of ATP </w:t>
      </w:r>
      <w:r w:rsidRPr="006A74F8">
        <w:t>appointments</w:t>
      </w:r>
      <w:r w:rsidR="009E3EDF" w:rsidRPr="006A74F8">
        <w:t xml:space="preserve">. </w:t>
      </w:r>
    </w:p>
    <w:p w:rsidR="00525875" w:rsidRPr="006A74F8" w:rsidRDefault="00525875" w:rsidP="00285FB7">
      <w:pPr>
        <w:pStyle w:val="ListParagraph"/>
        <w:numPr>
          <w:ilvl w:val="0"/>
          <w:numId w:val="74"/>
        </w:numPr>
        <w:spacing w:after="0"/>
        <w:textAlignment w:val="center"/>
      </w:pPr>
      <w:r w:rsidRPr="006A74F8">
        <w:rPr>
          <w:b/>
        </w:rPr>
        <w:t xml:space="preserve">Increased government access to </w:t>
      </w:r>
      <w:r w:rsidR="00A77295" w:rsidRPr="006A74F8">
        <w:rPr>
          <w:b/>
        </w:rPr>
        <w:t xml:space="preserve">reference materials, </w:t>
      </w:r>
      <w:r w:rsidR="00D05F3F" w:rsidRPr="006A74F8">
        <w:rPr>
          <w:b/>
        </w:rPr>
        <w:t xml:space="preserve">measurement </w:t>
      </w:r>
      <w:r w:rsidRPr="006A74F8">
        <w:rPr>
          <w:b/>
        </w:rPr>
        <w:t>standards</w:t>
      </w:r>
      <w:r w:rsidR="00A77295" w:rsidRPr="006A74F8">
        <w:rPr>
          <w:b/>
        </w:rPr>
        <w:t xml:space="preserve"> and instruments</w:t>
      </w:r>
      <w:r w:rsidR="00C879D7" w:rsidRPr="006A74F8">
        <w:rPr>
          <w:b/>
        </w:rPr>
        <w:t xml:space="preserve"> for legal purposes: </w:t>
      </w:r>
      <w:r w:rsidRPr="006A74F8">
        <w:t xml:space="preserve">Under </w:t>
      </w:r>
      <w:r w:rsidRPr="006A74F8">
        <w:rPr>
          <w:b/>
        </w:rPr>
        <w:t>all reform options</w:t>
      </w:r>
      <w:r w:rsidRPr="006A74F8">
        <w:t xml:space="preserve"> the new measurement legislation will provide a broader scope of powers for the Chief Metrologist to support </w:t>
      </w:r>
      <w:r w:rsidR="00693A5B" w:rsidRPr="006A74F8">
        <w:t xml:space="preserve">the use of </w:t>
      </w:r>
      <w:r w:rsidRPr="006A74F8">
        <w:t xml:space="preserve">complex measurements for legal purposes including chemical, biological, materials properties, nano-measurements, and method-dependent measurements. Under </w:t>
      </w:r>
      <w:r w:rsidRPr="006A74F8">
        <w:rPr>
          <w:b/>
        </w:rPr>
        <w:t>all options</w:t>
      </w:r>
      <w:r w:rsidRPr="006A74F8">
        <w:t xml:space="preserve"> there is also enhanced </w:t>
      </w:r>
      <w:r w:rsidR="00D05F3F" w:rsidRPr="006A74F8">
        <w:t xml:space="preserve">opportunity for </w:t>
      </w:r>
      <w:r w:rsidRPr="006A74F8">
        <w:t>recognition of overseas reference</w:t>
      </w:r>
      <w:r w:rsidR="00693A5B" w:rsidRPr="006A74F8">
        <w:t xml:space="preserve"> materials,</w:t>
      </w:r>
      <w:r w:rsidRPr="006A74F8">
        <w:t xml:space="preserve"> </w:t>
      </w:r>
      <w:r w:rsidR="00D05F3F" w:rsidRPr="006A74F8">
        <w:t xml:space="preserve">measurement </w:t>
      </w:r>
      <w:r w:rsidRPr="006A74F8">
        <w:t>standards</w:t>
      </w:r>
      <w:r w:rsidR="00693A5B" w:rsidRPr="006A74F8">
        <w:t>,</w:t>
      </w:r>
      <w:r w:rsidRPr="006A74F8">
        <w:t xml:space="preserve"> </w:t>
      </w:r>
      <w:r w:rsidR="00693A5B" w:rsidRPr="006A74F8">
        <w:t xml:space="preserve">instruments and data sources. </w:t>
      </w:r>
      <w:r w:rsidRPr="006A74F8">
        <w:t xml:space="preserve">This will provide increased assurance for agencies who need </w:t>
      </w:r>
      <w:r w:rsidR="00693A5B" w:rsidRPr="006A74F8">
        <w:t>reliable and accurate measurement to support their policy outcomes.</w:t>
      </w:r>
      <w:r w:rsidRPr="006A74F8">
        <w:t xml:space="preserve"> </w:t>
      </w:r>
    </w:p>
    <w:p w:rsidR="00525875" w:rsidRPr="006A74F8" w:rsidRDefault="00525875" w:rsidP="00285FB7">
      <w:pPr>
        <w:spacing w:after="0"/>
        <w:ind w:left="1146"/>
        <w:textAlignment w:val="center"/>
      </w:pPr>
    </w:p>
    <w:p w:rsidR="009E3EDF" w:rsidRPr="006A74F8" w:rsidRDefault="009E3EDF" w:rsidP="009E3EDF">
      <w:r w:rsidRPr="006A74F8">
        <w:rPr>
          <w:b/>
        </w:rPr>
        <w:t>Overall alignment of options with policy principle</w:t>
      </w:r>
      <w:r w:rsidRPr="006A74F8">
        <w:t xml:space="preserve">: </w:t>
      </w:r>
    </w:p>
    <w:p w:rsidR="009E3EDF" w:rsidRPr="006A74F8" w:rsidRDefault="009E3EDF" w:rsidP="00671657">
      <w:pPr>
        <w:pStyle w:val="ListParagraph"/>
        <w:numPr>
          <w:ilvl w:val="0"/>
          <w:numId w:val="56"/>
        </w:numPr>
      </w:pPr>
      <w:r w:rsidRPr="006A74F8">
        <w:rPr>
          <w:b/>
        </w:rPr>
        <w:t>Status quo</w:t>
      </w:r>
      <w:r w:rsidRPr="006A74F8">
        <w:t xml:space="preserve">: </w:t>
      </w:r>
      <w:r w:rsidR="00693A5B" w:rsidRPr="006A74F8">
        <w:t>low alignment due to cost for maintaining a functioning, but ageing framework</w:t>
      </w:r>
      <w:r w:rsidR="00DA55CF" w:rsidRPr="006A74F8">
        <w:t>.</w:t>
      </w:r>
    </w:p>
    <w:p w:rsidR="009E3EDF" w:rsidRPr="006A74F8" w:rsidRDefault="009E3EDF" w:rsidP="00671657">
      <w:pPr>
        <w:pStyle w:val="ListParagraph"/>
        <w:numPr>
          <w:ilvl w:val="0"/>
          <w:numId w:val="56"/>
        </w:numPr>
        <w:rPr>
          <w:rFonts w:cstheme="minorHAnsi"/>
        </w:rPr>
      </w:pPr>
      <w:r w:rsidRPr="006A74F8">
        <w:rPr>
          <w:b/>
        </w:rPr>
        <w:t>Option 1</w:t>
      </w:r>
      <w:r w:rsidRPr="006A74F8">
        <w:t xml:space="preserve">: </w:t>
      </w:r>
      <w:r w:rsidRPr="006A74F8">
        <w:rPr>
          <w:rFonts w:cstheme="minorHAnsi"/>
        </w:rPr>
        <w:t xml:space="preserve">medium alignment through </w:t>
      </w:r>
      <w:r w:rsidR="00693A5B" w:rsidRPr="006A74F8">
        <w:rPr>
          <w:rFonts w:cstheme="minorHAnsi"/>
        </w:rPr>
        <w:t>potential increase in enforcement costs, but reduced administration costs, and more effective framework</w:t>
      </w:r>
      <w:r w:rsidR="00A77295" w:rsidRPr="006A74F8">
        <w:rPr>
          <w:rFonts w:cstheme="minorHAnsi"/>
        </w:rPr>
        <w:t xml:space="preserve"> in the short term. Government able to </w:t>
      </w:r>
      <w:r w:rsidR="00A77295" w:rsidRPr="006A74F8">
        <w:rPr>
          <w:rFonts w:cstheme="minorHAnsi"/>
        </w:rPr>
        <w:lastRenderedPageBreak/>
        <w:t xml:space="preserve">have easier access to and greater reliance on reference materials, </w:t>
      </w:r>
      <w:r w:rsidR="00D75E92" w:rsidRPr="006A74F8">
        <w:rPr>
          <w:rFonts w:cstheme="minorHAnsi"/>
        </w:rPr>
        <w:t xml:space="preserve">measurement </w:t>
      </w:r>
      <w:r w:rsidR="00A77295" w:rsidRPr="006A74F8">
        <w:rPr>
          <w:rFonts w:cstheme="minorHAnsi"/>
        </w:rPr>
        <w:t>standards and instruments for legal purposes.</w:t>
      </w:r>
    </w:p>
    <w:p w:rsidR="009E3EDF" w:rsidRPr="006A74F8" w:rsidRDefault="009E3EDF" w:rsidP="00671657">
      <w:pPr>
        <w:pStyle w:val="ListParagraph"/>
        <w:numPr>
          <w:ilvl w:val="0"/>
          <w:numId w:val="56"/>
        </w:numPr>
      </w:pPr>
      <w:r w:rsidRPr="006A74F8">
        <w:rPr>
          <w:b/>
        </w:rPr>
        <w:t>Option 2</w:t>
      </w:r>
      <w:r w:rsidRPr="006A74F8">
        <w:t xml:space="preserve">: </w:t>
      </w:r>
      <w:r w:rsidR="00693A5B" w:rsidRPr="006A74F8">
        <w:rPr>
          <w:rFonts w:cstheme="minorHAnsi"/>
        </w:rPr>
        <w:t xml:space="preserve">medium </w:t>
      </w:r>
      <w:r w:rsidRPr="006A74F8">
        <w:rPr>
          <w:rFonts w:cstheme="minorHAnsi"/>
        </w:rPr>
        <w:t>alignment</w:t>
      </w:r>
      <w:r w:rsidR="00693A5B" w:rsidRPr="006A74F8">
        <w:rPr>
          <w:rFonts w:cstheme="minorHAnsi"/>
        </w:rPr>
        <w:t xml:space="preserve">, with enforcement costs and costs to manage flexible </w:t>
      </w:r>
      <w:r w:rsidR="00A77295" w:rsidRPr="006A74F8">
        <w:rPr>
          <w:rFonts w:cstheme="minorHAnsi"/>
        </w:rPr>
        <w:t>arrangements</w:t>
      </w:r>
      <w:r w:rsidR="00693A5B" w:rsidRPr="006A74F8">
        <w:rPr>
          <w:rFonts w:cstheme="minorHAnsi"/>
        </w:rPr>
        <w:t xml:space="preserve"> resulting in </w:t>
      </w:r>
      <w:r w:rsidR="009C33AF" w:rsidRPr="006A74F8">
        <w:rPr>
          <w:rFonts w:cstheme="minorHAnsi"/>
        </w:rPr>
        <w:t xml:space="preserve">a </w:t>
      </w:r>
      <w:r w:rsidR="00693A5B" w:rsidRPr="006A74F8">
        <w:rPr>
          <w:rFonts w:cstheme="minorHAnsi"/>
        </w:rPr>
        <w:t>more effective framework</w:t>
      </w:r>
      <w:r w:rsidR="00A77295" w:rsidRPr="006A74F8">
        <w:rPr>
          <w:rFonts w:cstheme="minorHAnsi"/>
        </w:rPr>
        <w:t xml:space="preserve"> that can evolve to meet changing future needs. Government able to have easier access to and greater reliance on reference materials, </w:t>
      </w:r>
      <w:r w:rsidR="00D75E92" w:rsidRPr="006A74F8">
        <w:rPr>
          <w:rFonts w:cstheme="minorHAnsi"/>
        </w:rPr>
        <w:t xml:space="preserve">measurement </w:t>
      </w:r>
      <w:r w:rsidR="00A77295" w:rsidRPr="006A74F8">
        <w:rPr>
          <w:rFonts w:cstheme="minorHAnsi"/>
        </w:rPr>
        <w:t>standards and instruments for legal purposes.</w:t>
      </w:r>
    </w:p>
    <w:p w:rsidR="009E3EDF" w:rsidRPr="006A74F8" w:rsidRDefault="009E3EDF" w:rsidP="00671657">
      <w:pPr>
        <w:pStyle w:val="ListParagraph"/>
        <w:numPr>
          <w:ilvl w:val="0"/>
          <w:numId w:val="56"/>
        </w:numPr>
        <w:rPr>
          <w:rStyle w:val="Hyperlink"/>
          <w:color w:val="auto"/>
          <w:u w:val="none"/>
        </w:rPr>
        <w:sectPr w:rsidR="009E3EDF" w:rsidRPr="006A74F8" w:rsidSect="00EC61D8">
          <w:pgSz w:w="11907" w:h="16840" w:code="9"/>
          <w:pgMar w:top="1440" w:right="1440" w:bottom="1440" w:left="1440" w:header="709" w:footer="0" w:gutter="0"/>
          <w:cols w:space="708"/>
          <w:docGrid w:linePitch="360"/>
        </w:sectPr>
      </w:pPr>
      <w:r w:rsidRPr="006A74F8">
        <w:rPr>
          <w:b/>
        </w:rPr>
        <w:t>Option 3</w:t>
      </w:r>
      <w:r w:rsidRPr="006A74F8">
        <w:t xml:space="preserve">: </w:t>
      </w:r>
      <w:r w:rsidR="00A77295" w:rsidRPr="006A74F8">
        <w:t xml:space="preserve">low alignment, as supporting agencies via infrequently used capability is expensive. </w:t>
      </w:r>
    </w:p>
    <w:p w:rsidR="00B10707" w:rsidRPr="006A74F8" w:rsidRDefault="003A7AD5" w:rsidP="00566FD0">
      <w:pPr>
        <w:pStyle w:val="Heading1"/>
        <w:rPr>
          <w:rStyle w:val="Hyperlink"/>
          <w:rFonts w:ascii="Times New Roman" w:eastAsiaTheme="minorHAnsi" w:hAnsi="Times New Roman" w:cs="Times New Roman"/>
          <w:color w:val="005677" w:themeColor="text2"/>
          <w:sz w:val="24"/>
          <w:szCs w:val="24"/>
          <w:u w:val="none"/>
          <w:lang w:eastAsia="en-AU"/>
        </w:rPr>
      </w:pPr>
      <w:bookmarkStart w:id="1464" w:name="_RIS_Question_4:_1"/>
      <w:bookmarkStart w:id="1465" w:name="_Toc67305389"/>
      <w:bookmarkStart w:id="1466" w:name="_Toc67306302"/>
      <w:bookmarkStart w:id="1467" w:name="_Toc67306754"/>
      <w:bookmarkStart w:id="1468" w:name="_Toc67313605"/>
      <w:bookmarkStart w:id="1469" w:name="_Toc67320798"/>
      <w:bookmarkStart w:id="1470" w:name="_Toc67321951"/>
      <w:bookmarkStart w:id="1471" w:name="_Toc67324416"/>
      <w:bookmarkStart w:id="1472" w:name="_Toc67326577"/>
      <w:bookmarkStart w:id="1473" w:name="_Toc67649118"/>
      <w:bookmarkStart w:id="1474" w:name="_Toc67650102"/>
      <w:bookmarkStart w:id="1475" w:name="_Toc67650357"/>
      <w:bookmarkStart w:id="1476" w:name="_Toc67650649"/>
      <w:bookmarkStart w:id="1477" w:name="_Toc67652969"/>
      <w:bookmarkStart w:id="1478" w:name="_Toc67653054"/>
      <w:bookmarkStart w:id="1479" w:name="_Toc67653486"/>
      <w:bookmarkStart w:id="1480" w:name="_Toc67653549"/>
      <w:bookmarkStart w:id="1481" w:name="_Toc67649966"/>
      <w:bookmarkStart w:id="1482" w:name="_Toc67654052"/>
      <w:bookmarkStart w:id="1483" w:name="_Toc67654359"/>
      <w:bookmarkStart w:id="1484" w:name="_Toc67654576"/>
      <w:bookmarkStart w:id="1485" w:name="_Toc67656183"/>
      <w:bookmarkStart w:id="1486" w:name="_Toc67656945"/>
      <w:bookmarkStart w:id="1487" w:name="_Toc67659244"/>
      <w:bookmarkStart w:id="1488" w:name="_Toc67659745"/>
      <w:bookmarkStart w:id="1489" w:name="_Toc67661712"/>
      <w:bookmarkStart w:id="1490" w:name="_Toc67662803"/>
      <w:bookmarkStart w:id="1491" w:name="_Toc67662944"/>
      <w:bookmarkStart w:id="1492" w:name="_Toc67663710"/>
      <w:bookmarkStart w:id="1493" w:name="_Toc67664131"/>
      <w:bookmarkStart w:id="1494" w:name="_Toc67664450"/>
      <w:bookmarkStart w:id="1495" w:name="_Toc67665427"/>
      <w:bookmarkStart w:id="1496" w:name="_Toc67667177"/>
      <w:bookmarkStart w:id="1497" w:name="_Toc67668250"/>
      <w:bookmarkStart w:id="1498" w:name="_Toc67669157"/>
      <w:bookmarkStart w:id="1499" w:name="_Toc67665768"/>
      <w:bookmarkStart w:id="1500" w:name="_Toc67912157"/>
      <w:bookmarkStart w:id="1501" w:name="_Toc67922238"/>
      <w:bookmarkStart w:id="1502" w:name="_Toc67929097"/>
      <w:bookmarkStart w:id="1503" w:name="_Toc67929391"/>
      <w:bookmarkStart w:id="1504" w:name="_Toc67929616"/>
      <w:bookmarkStart w:id="1505" w:name="_Toc67927093"/>
      <w:bookmarkStart w:id="1506" w:name="_Toc68011258"/>
      <w:bookmarkStart w:id="1507" w:name="_Toc68011316"/>
      <w:bookmarkStart w:id="1508" w:name="_Toc81919533"/>
      <w:bookmarkStart w:id="1509" w:name="_Toc81919807"/>
      <w:bookmarkStart w:id="1510" w:name="_Toc81921162"/>
      <w:bookmarkStart w:id="1511" w:name="_Toc81923649"/>
      <w:bookmarkStart w:id="1512" w:name="_Toc81923764"/>
      <w:bookmarkStart w:id="1513" w:name="_Toc81997304"/>
      <w:bookmarkStart w:id="1514" w:name="_Toc81998077"/>
      <w:bookmarkStart w:id="1515" w:name="_Toc82011841"/>
      <w:bookmarkStart w:id="1516" w:name="_Toc82512687"/>
      <w:bookmarkStart w:id="1517" w:name="_Toc82516155"/>
      <w:bookmarkStart w:id="1518" w:name="_Toc82519106"/>
      <w:bookmarkStart w:id="1519" w:name="_Toc82706644"/>
      <w:bookmarkStart w:id="1520" w:name="_Toc82790533"/>
      <w:bookmarkStart w:id="1521" w:name="_Toc82791052"/>
      <w:bookmarkStart w:id="1522" w:name="_Toc82792363"/>
      <w:bookmarkStart w:id="1523" w:name="_Toc83290745"/>
      <w:bookmarkStart w:id="1524" w:name="_Toc83292754"/>
      <w:bookmarkStart w:id="1525" w:name="_Toc83293525"/>
      <w:bookmarkEnd w:id="1464"/>
      <w:r w:rsidRPr="006A74F8">
        <w:lastRenderedPageBreak/>
        <w:t xml:space="preserve">RIS Question 4: </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65"/>
      <w:bookmarkEnd w:id="1466"/>
      <w:bookmarkEnd w:id="1467"/>
      <w:bookmarkEnd w:id="1468"/>
      <w:bookmarkEnd w:id="1469"/>
      <w:bookmarkEnd w:id="1470"/>
      <w:bookmarkEnd w:id="1471"/>
      <w:bookmarkEnd w:id="1472"/>
      <w:r w:rsidR="003647F6" w:rsidRPr="006A74F8">
        <w:t>What is the likely net benefit of each option?</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rsidR="006048D8" w:rsidRPr="006A74F8" w:rsidRDefault="006048D8" w:rsidP="006048D8">
      <w:pPr>
        <w:pStyle w:val="Heading2"/>
        <w:rPr>
          <w:rStyle w:val="Hyperlink"/>
          <w:color w:val="005677" w:themeColor="text2"/>
          <w:u w:val="none"/>
        </w:rPr>
      </w:pPr>
      <w:r w:rsidRPr="006A74F8">
        <w:rPr>
          <w:rStyle w:val="Hyperlink"/>
          <w:color w:val="005677" w:themeColor="text2"/>
          <w:u w:val="none"/>
        </w:rPr>
        <w:t>O</w:t>
      </w:r>
      <w:r w:rsidRPr="006A74F8">
        <w:rPr>
          <w:rStyle w:val="Heading2Char"/>
        </w:rPr>
        <w:t>v</w:t>
      </w:r>
      <w:r w:rsidRPr="006A74F8">
        <w:rPr>
          <w:rStyle w:val="Hyperlink"/>
          <w:color w:val="005677" w:themeColor="text2"/>
          <w:u w:val="none"/>
        </w:rPr>
        <w:t>erview</w:t>
      </w:r>
    </w:p>
    <w:p w:rsidR="004A2817" w:rsidRPr="006A74F8" w:rsidRDefault="00C4686C" w:rsidP="00FD7AC9">
      <w:pPr>
        <w:rPr>
          <w:rStyle w:val="Hyperlink"/>
          <w:color w:val="auto"/>
          <w:u w:val="none"/>
        </w:rPr>
      </w:pPr>
      <w:r w:rsidRPr="006A74F8">
        <w:rPr>
          <w:rStyle w:val="Hyperlink"/>
          <w:color w:val="auto"/>
          <w:u w:val="none"/>
        </w:rPr>
        <w:t xml:space="preserve">This </w:t>
      </w:r>
      <w:r w:rsidR="00C538B3" w:rsidRPr="006A74F8">
        <w:rPr>
          <w:rStyle w:val="Hyperlink"/>
          <w:color w:val="auto"/>
          <w:u w:val="none"/>
        </w:rPr>
        <w:t>section</w:t>
      </w:r>
      <w:r w:rsidR="007F461F" w:rsidRPr="006A74F8">
        <w:rPr>
          <w:rStyle w:val="Hyperlink"/>
          <w:color w:val="auto"/>
          <w:u w:val="none"/>
        </w:rPr>
        <w:t xml:space="preserve"> identifies the net </w:t>
      </w:r>
      <w:r w:rsidRPr="006A74F8">
        <w:rPr>
          <w:rStyle w:val="Hyperlink"/>
          <w:color w:val="auto"/>
          <w:u w:val="none"/>
        </w:rPr>
        <w:t>benefit</w:t>
      </w:r>
      <w:r w:rsidR="007F461F" w:rsidRPr="006A74F8">
        <w:rPr>
          <w:rStyle w:val="Hyperlink"/>
          <w:color w:val="auto"/>
          <w:u w:val="none"/>
        </w:rPr>
        <w:t>s</w:t>
      </w:r>
      <w:r w:rsidRPr="006A74F8">
        <w:rPr>
          <w:rStyle w:val="Hyperlink"/>
          <w:color w:val="auto"/>
          <w:u w:val="none"/>
        </w:rPr>
        <w:t xml:space="preserve"> of each reform option and </w:t>
      </w:r>
      <w:r w:rsidR="007F461F" w:rsidRPr="006A74F8">
        <w:rPr>
          <w:rStyle w:val="Hyperlink"/>
          <w:color w:val="auto"/>
          <w:u w:val="none"/>
        </w:rPr>
        <w:t>seeks</w:t>
      </w:r>
      <w:r w:rsidRPr="006A74F8">
        <w:rPr>
          <w:rStyle w:val="Hyperlink"/>
          <w:color w:val="auto"/>
          <w:u w:val="none"/>
        </w:rPr>
        <w:t xml:space="preserve"> stakeholders’ views on the assessment presented. </w:t>
      </w:r>
      <w:r w:rsidR="007F461F" w:rsidRPr="006A74F8">
        <w:rPr>
          <w:rStyle w:val="Hyperlink"/>
          <w:color w:val="auto"/>
          <w:u w:val="none"/>
        </w:rPr>
        <w:t xml:space="preserve">In doing so, this </w:t>
      </w:r>
      <w:r w:rsidR="0055702B" w:rsidRPr="006A74F8">
        <w:rPr>
          <w:rStyle w:val="Hyperlink"/>
          <w:color w:val="auto"/>
          <w:u w:val="none"/>
        </w:rPr>
        <w:t>section</w:t>
      </w:r>
      <w:r w:rsidR="001F3719" w:rsidRPr="006A74F8">
        <w:rPr>
          <w:rStyle w:val="Hyperlink"/>
          <w:color w:val="auto"/>
          <w:u w:val="none"/>
        </w:rPr>
        <w:t xml:space="preserve"> provides</w:t>
      </w:r>
      <w:r w:rsidR="004A2817" w:rsidRPr="006A74F8">
        <w:rPr>
          <w:rStyle w:val="Hyperlink"/>
          <w:color w:val="auto"/>
          <w:u w:val="none"/>
        </w:rPr>
        <w:t>:</w:t>
      </w:r>
    </w:p>
    <w:p w:rsidR="008111C4" w:rsidRPr="006A74F8" w:rsidRDefault="008111C4" w:rsidP="00E62BC5">
      <w:pPr>
        <w:pStyle w:val="ListParagraph"/>
        <w:numPr>
          <w:ilvl w:val="0"/>
          <w:numId w:val="44"/>
        </w:numPr>
        <w:rPr>
          <w:rStyle w:val="Hyperlink"/>
          <w:color w:val="auto"/>
          <w:u w:val="none"/>
        </w:rPr>
      </w:pPr>
      <w:r w:rsidRPr="006A74F8">
        <w:rPr>
          <w:rStyle w:val="Hyperlink"/>
          <w:color w:val="auto"/>
          <w:u w:val="none"/>
        </w:rPr>
        <w:t xml:space="preserve">an estimate or description of regulatory burden based on options of reform </w:t>
      </w:r>
    </w:p>
    <w:p w:rsidR="001F3719" w:rsidRPr="006A74F8" w:rsidRDefault="001F3719" w:rsidP="00D1402A">
      <w:pPr>
        <w:pStyle w:val="ListParagraph"/>
        <w:numPr>
          <w:ilvl w:val="0"/>
          <w:numId w:val="44"/>
        </w:numPr>
        <w:rPr>
          <w:rStyle w:val="Hyperlink"/>
          <w:color w:val="auto"/>
          <w:u w:val="none"/>
        </w:rPr>
      </w:pPr>
      <w:r w:rsidRPr="006A74F8">
        <w:rPr>
          <w:rStyle w:val="Hyperlink"/>
          <w:color w:val="auto"/>
          <w:u w:val="none"/>
        </w:rPr>
        <w:t xml:space="preserve">an </w:t>
      </w:r>
      <w:hyperlink w:anchor="_Effects_on_stakeholders" w:history="1">
        <w:r w:rsidRPr="006A74F8">
          <w:rPr>
            <w:rStyle w:val="Hyperlink"/>
            <w:color w:val="auto"/>
            <w:u w:val="none"/>
          </w:rPr>
          <w:t>impact analysis on key stakeholders</w:t>
        </w:r>
      </w:hyperlink>
    </w:p>
    <w:p w:rsidR="008111C4" w:rsidRPr="006A74F8" w:rsidRDefault="008111C4">
      <w:pPr>
        <w:pStyle w:val="ListParagraph"/>
        <w:numPr>
          <w:ilvl w:val="0"/>
          <w:numId w:val="44"/>
        </w:numPr>
        <w:rPr>
          <w:rStyle w:val="Hyperlink"/>
          <w:color w:val="auto"/>
          <w:u w:val="none"/>
        </w:rPr>
      </w:pPr>
      <w:r w:rsidRPr="006A74F8">
        <w:rPr>
          <w:rStyle w:val="Hyperlink"/>
          <w:color w:val="auto"/>
          <w:u w:val="none"/>
        </w:rPr>
        <w:t>a</w:t>
      </w:r>
      <w:r w:rsidR="001F3719" w:rsidRPr="006A74F8">
        <w:rPr>
          <w:rStyle w:val="Hyperlink"/>
          <w:color w:val="auto"/>
          <w:u w:val="none"/>
        </w:rPr>
        <w:t xml:space="preserve"> </w:t>
      </w:r>
      <w:r w:rsidRPr="006A74F8">
        <w:rPr>
          <w:rStyle w:val="Hyperlink"/>
          <w:color w:val="auto"/>
          <w:u w:val="none"/>
        </w:rPr>
        <w:t xml:space="preserve">preliminary net benefit assessment of each option. </w:t>
      </w:r>
    </w:p>
    <w:p w:rsidR="001F3719" w:rsidRPr="006A74F8" w:rsidRDefault="008111C4" w:rsidP="001F3719">
      <w:pPr>
        <w:rPr>
          <w:rStyle w:val="Hyperlink"/>
          <w:color w:val="auto"/>
          <w:u w:val="none"/>
        </w:rPr>
      </w:pPr>
      <w:r w:rsidRPr="006A74F8">
        <w:rPr>
          <w:rStyle w:val="Hyperlink"/>
          <w:color w:val="auto"/>
          <w:u w:val="none"/>
        </w:rPr>
        <w:t xml:space="preserve">This analysis indicates that </w:t>
      </w:r>
      <w:r w:rsidR="001F3719" w:rsidRPr="006A74F8">
        <w:rPr>
          <w:rStyle w:val="Hyperlink"/>
          <w:color w:val="auto"/>
          <w:u w:val="none"/>
        </w:rPr>
        <w:t xml:space="preserve">option 2 </w:t>
      </w:r>
      <w:r w:rsidRPr="006A74F8">
        <w:rPr>
          <w:rStyle w:val="Hyperlink"/>
          <w:color w:val="auto"/>
          <w:u w:val="none"/>
        </w:rPr>
        <w:t>provides the greatest net benefit for stakeholders</w:t>
      </w:r>
      <w:r w:rsidR="001132E4" w:rsidRPr="006A74F8">
        <w:rPr>
          <w:rStyle w:val="Hyperlink"/>
          <w:color w:val="auto"/>
          <w:u w:val="none"/>
        </w:rPr>
        <w:t>.</w:t>
      </w:r>
      <w:r w:rsidR="009544DB" w:rsidRPr="006A74F8">
        <w:rPr>
          <w:rStyle w:val="Hyperlink"/>
          <w:color w:val="auto"/>
          <w:u w:val="none"/>
        </w:rPr>
        <w:t xml:space="preserve"> </w:t>
      </w:r>
      <w:r w:rsidR="001F3719" w:rsidRPr="006A74F8">
        <w:rPr>
          <w:rStyle w:val="Hyperlink"/>
          <w:color w:val="auto"/>
          <w:u w:val="none"/>
        </w:rPr>
        <w:t>More detailed analysis of the impacts for each stakeholder group is provided in the appendices:</w:t>
      </w:r>
    </w:p>
    <w:p w:rsidR="008E19EA" w:rsidRPr="00CD3802" w:rsidRDefault="00480B0E" w:rsidP="00E62BC5">
      <w:pPr>
        <w:pStyle w:val="ListParagraph"/>
        <w:numPr>
          <w:ilvl w:val="0"/>
          <w:numId w:val="45"/>
        </w:numPr>
        <w:rPr>
          <w:rStyle w:val="Hyperlink"/>
        </w:rPr>
      </w:pPr>
      <w:hyperlink w:anchor="_Appendix_4:_Impacts" w:history="1">
        <w:r w:rsidR="008E19EA" w:rsidRPr="00CD3802">
          <w:rPr>
            <w:rStyle w:val="Hyperlink"/>
          </w:rPr>
          <w:t xml:space="preserve">Appendix </w:t>
        </w:r>
        <w:r w:rsidR="00302288" w:rsidRPr="00CD3802">
          <w:rPr>
            <w:rStyle w:val="Hyperlink"/>
          </w:rPr>
          <w:t>4</w:t>
        </w:r>
        <w:r w:rsidR="008E19EA" w:rsidRPr="00CD3802">
          <w:rPr>
            <w:rStyle w:val="Hyperlink"/>
          </w:rPr>
          <w:t>: Impacts on consumers</w:t>
        </w:r>
      </w:hyperlink>
    </w:p>
    <w:p w:rsidR="008E19EA" w:rsidRPr="006A74F8" w:rsidRDefault="009663AA" w:rsidP="00D1402A">
      <w:pPr>
        <w:pStyle w:val="ListParagraph"/>
        <w:numPr>
          <w:ilvl w:val="0"/>
          <w:numId w:val="45"/>
        </w:numPr>
        <w:rPr>
          <w:rStyle w:val="Hyperlink"/>
        </w:rPr>
      </w:pPr>
      <w:r w:rsidRPr="006A74F8">
        <w:rPr>
          <w:rStyle w:val="Hyperlink"/>
        </w:rPr>
        <w:fldChar w:fldCharType="begin"/>
      </w:r>
      <w:r w:rsidRPr="006A74F8">
        <w:rPr>
          <w:rStyle w:val="Hyperlink"/>
        </w:rPr>
        <w:instrText xml:space="preserve"> HYPERLINK  \l "_Appendix_6:_Impacts" </w:instrText>
      </w:r>
      <w:r w:rsidRPr="006A74F8">
        <w:rPr>
          <w:rStyle w:val="Hyperlink"/>
        </w:rPr>
        <w:fldChar w:fldCharType="separate"/>
      </w:r>
      <w:r w:rsidR="008E19EA" w:rsidRPr="006A74F8">
        <w:rPr>
          <w:rStyle w:val="Hyperlink"/>
        </w:rPr>
        <w:t xml:space="preserve">Appendix </w:t>
      </w:r>
      <w:r w:rsidR="00302288" w:rsidRPr="006A74F8">
        <w:rPr>
          <w:rStyle w:val="Hyperlink"/>
        </w:rPr>
        <w:t>5</w:t>
      </w:r>
      <w:r w:rsidR="008E19EA" w:rsidRPr="006A74F8">
        <w:rPr>
          <w:rStyle w:val="Hyperlink"/>
        </w:rPr>
        <w:t xml:space="preserve">: Impacts on </w:t>
      </w:r>
      <w:r w:rsidR="00847BFB" w:rsidRPr="006A74F8">
        <w:rPr>
          <w:rStyle w:val="Hyperlink"/>
        </w:rPr>
        <w:t>measuring instrument manufacturers, importers and distributors</w:t>
      </w:r>
    </w:p>
    <w:p w:rsidR="008E19EA" w:rsidRPr="006A74F8" w:rsidRDefault="009663AA">
      <w:pPr>
        <w:pStyle w:val="ListParagraph"/>
        <w:numPr>
          <w:ilvl w:val="0"/>
          <w:numId w:val="45"/>
        </w:numPr>
        <w:rPr>
          <w:rStyle w:val="Hyperlink"/>
        </w:rPr>
      </w:pPr>
      <w:r w:rsidRPr="006A74F8">
        <w:rPr>
          <w:rStyle w:val="Hyperlink"/>
        </w:rPr>
        <w:fldChar w:fldCharType="end"/>
      </w:r>
      <w:r w:rsidRPr="006A74F8">
        <w:rPr>
          <w:rStyle w:val="Hyperlink"/>
        </w:rPr>
        <w:fldChar w:fldCharType="begin"/>
      </w:r>
      <w:r w:rsidRPr="006A74F8">
        <w:rPr>
          <w:rStyle w:val="Hyperlink"/>
        </w:rPr>
        <w:instrText xml:space="preserve"> HYPERLINK  \l "_Appendix_7:_Impacts" </w:instrText>
      </w:r>
      <w:r w:rsidRPr="006A74F8">
        <w:rPr>
          <w:rStyle w:val="Hyperlink"/>
        </w:rPr>
        <w:fldChar w:fldCharType="separate"/>
      </w:r>
      <w:r w:rsidR="008E19EA" w:rsidRPr="006A74F8">
        <w:rPr>
          <w:rStyle w:val="Hyperlink"/>
        </w:rPr>
        <w:t xml:space="preserve">Appendix </w:t>
      </w:r>
      <w:r w:rsidR="00302288" w:rsidRPr="006A74F8">
        <w:rPr>
          <w:rStyle w:val="Hyperlink"/>
        </w:rPr>
        <w:t>6</w:t>
      </w:r>
      <w:r w:rsidR="008E19EA" w:rsidRPr="006A74F8">
        <w:rPr>
          <w:rStyle w:val="Hyperlink"/>
        </w:rPr>
        <w:t xml:space="preserve">: Impact on </w:t>
      </w:r>
      <w:r w:rsidR="005D0F22" w:rsidRPr="006A74F8">
        <w:rPr>
          <w:rStyle w:val="Hyperlink"/>
        </w:rPr>
        <w:t>authorised third p</w:t>
      </w:r>
      <w:r w:rsidR="008E19EA" w:rsidRPr="006A74F8">
        <w:rPr>
          <w:rStyle w:val="Hyperlink"/>
        </w:rPr>
        <w:t>arties</w:t>
      </w:r>
    </w:p>
    <w:p w:rsidR="001F3719" w:rsidRPr="006A74F8" w:rsidRDefault="009663AA">
      <w:pPr>
        <w:pStyle w:val="ListParagraph"/>
        <w:numPr>
          <w:ilvl w:val="0"/>
          <w:numId w:val="45"/>
        </w:numPr>
        <w:rPr>
          <w:rStyle w:val="Hyperlink"/>
        </w:rPr>
      </w:pPr>
      <w:r w:rsidRPr="006A74F8">
        <w:rPr>
          <w:rStyle w:val="Hyperlink"/>
        </w:rPr>
        <w:fldChar w:fldCharType="end"/>
      </w:r>
      <w:r w:rsidRPr="006A74F8">
        <w:rPr>
          <w:rStyle w:val="Hyperlink"/>
        </w:rPr>
        <w:fldChar w:fldCharType="begin"/>
      </w:r>
      <w:r w:rsidRPr="006A74F8">
        <w:rPr>
          <w:rStyle w:val="Hyperlink"/>
        </w:rPr>
        <w:instrText xml:space="preserve"> HYPERLINK  \l "_Appendix_8:_Impacts" </w:instrText>
      </w:r>
      <w:r w:rsidRPr="006A74F8">
        <w:rPr>
          <w:rStyle w:val="Hyperlink"/>
        </w:rPr>
        <w:fldChar w:fldCharType="separate"/>
      </w:r>
      <w:r w:rsidR="008E19EA" w:rsidRPr="006A74F8">
        <w:rPr>
          <w:rStyle w:val="Hyperlink"/>
        </w:rPr>
        <w:t xml:space="preserve">Appendix </w:t>
      </w:r>
      <w:r w:rsidR="00302288" w:rsidRPr="006A74F8">
        <w:rPr>
          <w:rStyle w:val="Hyperlink"/>
        </w:rPr>
        <w:t>7</w:t>
      </w:r>
      <w:r w:rsidR="008E19EA" w:rsidRPr="006A74F8">
        <w:rPr>
          <w:rStyle w:val="Hyperlink"/>
        </w:rPr>
        <w:t>: Impacts on wholesalers, retailer</w:t>
      </w:r>
      <w:r w:rsidR="00A36B95" w:rsidRPr="006A74F8">
        <w:rPr>
          <w:rStyle w:val="Hyperlink"/>
        </w:rPr>
        <w:t>s</w:t>
      </w:r>
      <w:r w:rsidR="008E19EA" w:rsidRPr="006A74F8">
        <w:rPr>
          <w:rStyle w:val="Hyperlink"/>
        </w:rPr>
        <w:t>, importers and packers</w:t>
      </w:r>
    </w:p>
    <w:p w:rsidR="008E19EA" w:rsidRPr="006A74F8" w:rsidRDefault="009663AA">
      <w:pPr>
        <w:pStyle w:val="ListParagraph"/>
        <w:numPr>
          <w:ilvl w:val="0"/>
          <w:numId w:val="45"/>
        </w:numPr>
        <w:rPr>
          <w:rStyle w:val="Hyperlink"/>
        </w:rPr>
      </w:pPr>
      <w:r w:rsidRPr="006A74F8">
        <w:rPr>
          <w:rStyle w:val="Hyperlink"/>
        </w:rPr>
        <w:fldChar w:fldCharType="end"/>
      </w:r>
      <w:r w:rsidRPr="006A74F8">
        <w:rPr>
          <w:rStyle w:val="Hyperlink"/>
        </w:rPr>
        <w:fldChar w:fldCharType="begin"/>
      </w:r>
      <w:r w:rsidRPr="006A74F8">
        <w:rPr>
          <w:rStyle w:val="Hyperlink"/>
        </w:rPr>
        <w:instrText xml:space="preserve"> HYPERLINK  \l "_Appendix_9:_Impacts" </w:instrText>
      </w:r>
      <w:r w:rsidRPr="006A74F8">
        <w:rPr>
          <w:rStyle w:val="Hyperlink"/>
        </w:rPr>
        <w:fldChar w:fldCharType="separate"/>
      </w:r>
      <w:r w:rsidR="008E19EA" w:rsidRPr="006A74F8">
        <w:rPr>
          <w:rStyle w:val="Hyperlink"/>
        </w:rPr>
        <w:t xml:space="preserve">Appendix </w:t>
      </w:r>
      <w:r w:rsidR="00302288" w:rsidRPr="006A74F8">
        <w:rPr>
          <w:rStyle w:val="Hyperlink"/>
        </w:rPr>
        <w:t>8</w:t>
      </w:r>
      <w:r w:rsidR="008E19EA" w:rsidRPr="006A74F8">
        <w:rPr>
          <w:rStyle w:val="Hyperlink"/>
        </w:rPr>
        <w:t>: Impacts on government regulators</w:t>
      </w:r>
    </w:p>
    <w:p w:rsidR="001F3719" w:rsidRPr="006A74F8" w:rsidRDefault="009663AA" w:rsidP="001F3719">
      <w:r w:rsidRPr="006A74F8">
        <w:rPr>
          <w:rStyle w:val="Hyperlink"/>
        </w:rPr>
        <w:fldChar w:fldCharType="end"/>
      </w:r>
      <w:r w:rsidR="001F3719" w:rsidRPr="006A74F8">
        <w:t>Detailed regulatory burden costing</w:t>
      </w:r>
      <w:r w:rsidR="00A36B95" w:rsidRPr="006A74F8">
        <w:t>s</w:t>
      </w:r>
      <w:r w:rsidR="001F3719" w:rsidRPr="006A74F8">
        <w:t xml:space="preserve"> are included in the following appendices:</w:t>
      </w:r>
    </w:p>
    <w:p w:rsidR="008E19EA" w:rsidRPr="00CD3802" w:rsidRDefault="00480B0E" w:rsidP="00E62BC5">
      <w:pPr>
        <w:pStyle w:val="ListParagraph"/>
        <w:numPr>
          <w:ilvl w:val="0"/>
          <w:numId w:val="126"/>
        </w:numPr>
        <w:rPr>
          <w:rStyle w:val="Hyperlink"/>
        </w:rPr>
      </w:pPr>
      <w:hyperlink w:anchor="_Appendix_9:_Costing" w:history="1">
        <w:r w:rsidR="008E19EA" w:rsidRPr="00CD3802">
          <w:rPr>
            <w:rStyle w:val="Hyperlink"/>
          </w:rPr>
          <w:t xml:space="preserve">Appendix </w:t>
        </w:r>
        <w:r w:rsidR="00302288" w:rsidRPr="00CD3802">
          <w:rPr>
            <w:rStyle w:val="Hyperlink"/>
          </w:rPr>
          <w:t>9</w:t>
        </w:r>
        <w:r w:rsidR="008E19EA" w:rsidRPr="00CD3802">
          <w:rPr>
            <w:rStyle w:val="Hyperlink"/>
          </w:rPr>
          <w:t>: Costing the regulatory burden of changes to measurement marking requirements on packaged products</w:t>
        </w:r>
      </w:hyperlink>
    </w:p>
    <w:p w:rsidR="008E19EA" w:rsidRPr="006A74F8" w:rsidRDefault="00480B0E" w:rsidP="00D1402A">
      <w:pPr>
        <w:pStyle w:val="ListParagraph"/>
        <w:numPr>
          <w:ilvl w:val="0"/>
          <w:numId w:val="126"/>
        </w:numPr>
        <w:rPr>
          <w:color w:val="005677" w:themeColor="text2"/>
        </w:rPr>
      </w:pPr>
      <w:hyperlink w:anchor="_Appendix_11:_Costing" w:history="1">
        <w:r w:rsidR="008E19EA" w:rsidRPr="006A74F8">
          <w:rPr>
            <w:rStyle w:val="Hyperlink"/>
          </w:rPr>
          <w:t xml:space="preserve">Appendix </w:t>
        </w:r>
        <w:r w:rsidR="00302288" w:rsidRPr="006A74F8">
          <w:rPr>
            <w:rStyle w:val="Hyperlink"/>
          </w:rPr>
          <w:t>10</w:t>
        </w:r>
        <w:r w:rsidR="008E19EA" w:rsidRPr="006A74F8">
          <w:rPr>
            <w:rStyle w:val="Hyperlink"/>
          </w:rPr>
          <w:t>: Costing the regulatory burden</w:t>
        </w:r>
        <w:r w:rsidR="006A1C14" w:rsidRPr="006A74F8">
          <w:rPr>
            <w:rStyle w:val="Hyperlink"/>
          </w:rPr>
          <w:t xml:space="preserve"> for businesses</w:t>
        </w:r>
        <w:r w:rsidR="008E19EA" w:rsidRPr="006A74F8">
          <w:rPr>
            <w:rStyle w:val="Hyperlink"/>
          </w:rPr>
          <w:t xml:space="preserve"> </w:t>
        </w:r>
        <w:r w:rsidR="0046281E" w:rsidRPr="006A74F8">
          <w:rPr>
            <w:rStyle w:val="Hyperlink"/>
          </w:rPr>
          <w:t>to understand requirements for</w:t>
        </w:r>
        <w:r w:rsidR="008E19EA" w:rsidRPr="006A74F8">
          <w:rPr>
            <w:rStyle w:val="Hyperlink"/>
          </w:rPr>
          <w:t xml:space="preserve"> packaged products</w:t>
        </w:r>
      </w:hyperlink>
    </w:p>
    <w:p w:rsidR="008E19EA" w:rsidRPr="006A74F8" w:rsidRDefault="00480B0E">
      <w:pPr>
        <w:pStyle w:val="ListParagraph"/>
        <w:numPr>
          <w:ilvl w:val="0"/>
          <w:numId w:val="126"/>
        </w:numPr>
        <w:rPr>
          <w:color w:val="005677" w:themeColor="text2"/>
        </w:rPr>
      </w:pPr>
      <w:hyperlink w:anchor="_Appendix_12:_Costing" w:history="1">
        <w:r w:rsidR="0046281E" w:rsidRPr="006A74F8">
          <w:rPr>
            <w:rStyle w:val="Hyperlink"/>
          </w:rPr>
          <w:t>Appendix 1</w:t>
        </w:r>
        <w:r w:rsidR="00302288" w:rsidRPr="006A74F8">
          <w:rPr>
            <w:rStyle w:val="Hyperlink"/>
          </w:rPr>
          <w:t>1</w:t>
        </w:r>
        <w:r w:rsidR="0046281E" w:rsidRPr="006A74F8">
          <w:rPr>
            <w:rStyle w:val="Hyperlink"/>
          </w:rPr>
          <w:t>: C</w:t>
        </w:r>
        <w:r w:rsidR="008E19EA" w:rsidRPr="006A74F8">
          <w:rPr>
            <w:rStyle w:val="Hyperlink"/>
          </w:rPr>
          <w:t xml:space="preserve">osting the regulatory burden from </w:t>
        </w:r>
        <w:r w:rsidR="009866E2" w:rsidRPr="006A74F8">
          <w:rPr>
            <w:rStyle w:val="Hyperlink"/>
          </w:rPr>
          <w:t>pattern approval</w:t>
        </w:r>
      </w:hyperlink>
    </w:p>
    <w:p w:rsidR="009866E2" w:rsidRPr="006A74F8" w:rsidRDefault="00480B0E">
      <w:pPr>
        <w:pStyle w:val="ListParagraph"/>
        <w:numPr>
          <w:ilvl w:val="0"/>
          <w:numId w:val="126"/>
        </w:numPr>
        <w:rPr>
          <w:rStyle w:val="Hyperlink"/>
          <w:color w:val="005677" w:themeColor="text2"/>
          <w:u w:val="none"/>
        </w:rPr>
      </w:pPr>
      <w:hyperlink w:anchor="_Appendix_13:_Costing" w:history="1">
        <w:r w:rsidR="0046281E" w:rsidRPr="006A74F8">
          <w:rPr>
            <w:rStyle w:val="Hyperlink"/>
          </w:rPr>
          <w:t>Appendix 1</w:t>
        </w:r>
        <w:r w:rsidR="00302288" w:rsidRPr="006A74F8">
          <w:rPr>
            <w:rStyle w:val="Hyperlink"/>
          </w:rPr>
          <w:t>2</w:t>
        </w:r>
        <w:r w:rsidR="008E19EA" w:rsidRPr="006A74F8">
          <w:rPr>
            <w:rStyle w:val="Hyperlink"/>
          </w:rPr>
          <w:t xml:space="preserve">: Costing the regulatory burden on </w:t>
        </w:r>
        <w:r w:rsidR="005D0F22" w:rsidRPr="006A74F8">
          <w:rPr>
            <w:rStyle w:val="Hyperlink"/>
          </w:rPr>
          <w:t>a</w:t>
        </w:r>
        <w:r w:rsidR="009B5E35" w:rsidRPr="006A74F8">
          <w:rPr>
            <w:rStyle w:val="Hyperlink"/>
          </w:rPr>
          <w:t xml:space="preserve">uthorised </w:t>
        </w:r>
        <w:r w:rsidR="005D0F22" w:rsidRPr="006A74F8">
          <w:rPr>
            <w:rStyle w:val="Hyperlink"/>
          </w:rPr>
          <w:t>t</w:t>
        </w:r>
        <w:r w:rsidR="009B5E35" w:rsidRPr="006A74F8">
          <w:rPr>
            <w:rStyle w:val="Hyperlink"/>
          </w:rPr>
          <w:t xml:space="preserve">hird </w:t>
        </w:r>
        <w:r w:rsidR="005D0F22" w:rsidRPr="006A74F8">
          <w:rPr>
            <w:rStyle w:val="Hyperlink"/>
          </w:rPr>
          <w:t>p</w:t>
        </w:r>
        <w:r w:rsidR="009B5E35" w:rsidRPr="006A74F8">
          <w:rPr>
            <w:rStyle w:val="Hyperlink"/>
          </w:rPr>
          <w:t>artie</w:t>
        </w:r>
        <w:r w:rsidR="008E19EA" w:rsidRPr="006A74F8">
          <w:rPr>
            <w:rStyle w:val="Hyperlink"/>
          </w:rPr>
          <w:t xml:space="preserve">s  </w:t>
        </w:r>
      </w:hyperlink>
      <w:r w:rsidR="00D85C1B" w:rsidRPr="006A74F8">
        <w:rPr>
          <w:rStyle w:val="Hyperlink"/>
          <w:sz w:val="16"/>
          <w:szCs w:val="16"/>
        </w:rPr>
        <w:t xml:space="preserve"> </w:t>
      </w:r>
    </w:p>
    <w:p w:rsidR="002913CB" w:rsidRPr="006A74F8" w:rsidRDefault="00480B0E">
      <w:pPr>
        <w:pStyle w:val="ListParagraph"/>
        <w:numPr>
          <w:ilvl w:val="0"/>
          <w:numId w:val="126"/>
        </w:numPr>
        <w:rPr>
          <w:rStyle w:val="Hyperlink"/>
          <w:color w:val="005677" w:themeColor="text2"/>
          <w:u w:val="none"/>
        </w:rPr>
      </w:pPr>
      <w:hyperlink w:anchor="_Appendix_14:_Costing" w:history="1">
        <w:r w:rsidR="009866E2" w:rsidRPr="006A74F8">
          <w:rPr>
            <w:rStyle w:val="Hyperlink"/>
          </w:rPr>
          <w:t>Appendix 1</w:t>
        </w:r>
        <w:r w:rsidR="00302288" w:rsidRPr="006A74F8">
          <w:rPr>
            <w:rStyle w:val="Hyperlink"/>
          </w:rPr>
          <w:t>3</w:t>
        </w:r>
        <w:r w:rsidR="009866E2" w:rsidRPr="006A74F8">
          <w:rPr>
            <w:rStyle w:val="Hyperlink"/>
          </w:rPr>
          <w:t>: Costing the regulatory burden from verification by servicing licensees</w:t>
        </w:r>
      </w:hyperlink>
      <w:r w:rsidR="009866E2" w:rsidRPr="006A74F8">
        <w:rPr>
          <w:color w:val="005677" w:themeColor="text2"/>
        </w:rPr>
        <w:t xml:space="preserve"> </w:t>
      </w:r>
    </w:p>
    <w:p w:rsidR="00880D46" w:rsidRPr="006A74F8" w:rsidRDefault="00880D46" w:rsidP="005D3CBA">
      <w:pPr>
        <w:pStyle w:val="Heading2"/>
      </w:pPr>
      <w:bookmarkStart w:id="1526" w:name="_Toc67313606"/>
      <w:bookmarkStart w:id="1527" w:name="_Toc67320799"/>
      <w:bookmarkStart w:id="1528" w:name="_Toc67321952"/>
      <w:bookmarkStart w:id="1529" w:name="_Toc67324417"/>
      <w:bookmarkStart w:id="1530" w:name="_Toc67326578"/>
      <w:r w:rsidRPr="006A74F8">
        <w:t xml:space="preserve">Regulatory </w:t>
      </w:r>
      <w:r w:rsidR="003E6087" w:rsidRPr="006A74F8">
        <w:t>burden e</w:t>
      </w:r>
      <w:r w:rsidRPr="006A74F8">
        <w:t>stimates</w:t>
      </w:r>
      <w:bookmarkEnd w:id="1526"/>
      <w:bookmarkEnd w:id="1527"/>
      <w:bookmarkEnd w:id="1528"/>
      <w:bookmarkEnd w:id="1529"/>
      <w:bookmarkEnd w:id="1530"/>
      <w:r w:rsidRPr="006A74F8">
        <w:t xml:space="preserve"> </w:t>
      </w:r>
    </w:p>
    <w:p w:rsidR="00756C6B" w:rsidRPr="006A74F8" w:rsidRDefault="003851BD" w:rsidP="00FD7AC9">
      <w:pPr>
        <w:rPr>
          <w:szCs w:val="24"/>
        </w:rPr>
      </w:pPr>
      <w:r w:rsidRPr="006A74F8">
        <w:t>Where possible this</w:t>
      </w:r>
      <w:r w:rsidR="00AE0CAC" w:rsidRPr="006A74F8">
        <w:t xml:space="preserve"> RIS </w:t>
      </w:r>
      <w:r w:rsidRPr="006A74F8">
        <w:t>adopts the</w:t>
      </w:r>
      <w:r w:rsidR="004D5E68">
        <w:t xml:space="preserve"> Australian Government’s</w:t>
      </w:r>
      <w:r w:rsidRPr="006A74F8">
        <w:t xml:space="preserve"> </w:t>
      </w:r>
      <w:hyperlink r:id="rId26" w:history="1">
        <w:r w:rsidR="00CD3802" w:rsidRPr="00CD3802">
          <w:rPr>
            <w:rStyle w:val="Hyperlink"/>
          </w:rPr>
          <w:t>Regulatory Burden Measurement Framework</w:t>
        </w:r>
      </w:hyperlink>
      <w:r w:rsidR="00CD3802">
        <w:t xml:space="preserve"> </w:t>
      </w:r>
      <w:r w:rsidRPr="006A74F8">
        <w:rPr>
          <w:szCs w:val="24"/>
        </w:rPr>
        <w:t xml:space="preserve">or alternative </w:t>
      </w:r>
      <w:r w:rsidR="00756C6B" w:rsidRPr="006A74F8">
        <w:rPr>
          <w:szCs w:val="24"/>
        </w:rPr>
        <w:t xml:space="preserve">costing </w:t>
      </w:r>
      <w:r w:rsidRPr="006A74F8">
        <w:rPr>
          <w:szCs w:val="24"/>
        </w:rPr>
        <w:t>methods tested with the Office of Best Practice Regulation</w:t>
      </w:r>
      <w:r w:rsidR="00756C6B" w:rsidRPr="006A74F8">
        <w:rPr>
          <w:szCs w:val="24"/>
        </w:rPr>
        <w:t xml:space="preserve"> in order to cost the impacts of the options.</w:t>
      </w:r>
      <w:r w:rsidR="000C6089" w:rsidRPr="006A74F8">
        <w:rPr>
          <w:rStyle w:val="FootnoteReference"/>
          <w:szCs w:val="24"/>
        </w:rPr>
        <w:footnoteReference w:id="76"/>
      </w:r>
      <w:r w:rsidR="00756C6B" w:rsidRPr="006A74F8">
        <w:rPr>
          <w:szCs w:val="24"/>
        </w:rPr>
        <w:t xml:space="preserve">  </w:t>
      </w:r>
    </w:p>
    <w:p w:rsidR="00C17164" w:rsidRPr="006A74F8" w:rsidRDefault="00C17164" w:rsidP="00C17164">
      <w:r w:rsidRPr="006A74F8">
        <w:rPr>
          <w:szCs w:val="24"/>
        </w:rPr>
        <w:t>T</w:t>
      </w:r>
      <w:r w:rsidRPr="006A74F8">
        <w:t xml:space="preserve">he way in which some of the options will be implemented will depend on future data collection, analysis and consultation. This means that it is not possible to completely cost the change in regulatory burden that would flow from each reform option.  </w:t>
      </w:r>
    </w:p>
    <w:p w:rsidR="00C17164" w:rsidRPr="006A74F8" w:rsidRDefault="00C17164" w:rsidP="00C17164">
      <w:r w:rsidRPr="006A74F8">
        <w:t>Where it is not possible to accurately cost the changes associated with a particular option, this RIS uses a descriptive approach to indicate the potential changes.</w:t>
      </w:r>
    </w:p>
    <w:p w:rsidR="00756C6B" w:rsidRPr="006A74F8" w:rsidRDefault="00C17164" w:rsidP="00C0702A">
      <w:pPr>
        <w:spacing w:before="240"/>
        <w:rPr>
          <w:szCs w:val="24"/>
        </w:rPr>
      </w:pPr>
      <w:r w:rsidRPr="006A74F8">
        <w:rPr>
          <w:szCs w:val="24"/>
        </w:rPr>
        <w:lastRenderedPageBreak/>
        <w:t>This RIS presents costings for changes in t</w:t>
      </w:r>
      <w:r w:rsidR="00756C6B" w:rsidRPr="006A74F8">
        <w:rPr>
          <w:szCs w:val="24"/>
        </w:rPr>
        <w:t xml:space="preserve">he </w:t>
      </w:r>
      <w:r w:rsidR="00A0167D" w:rsidRPr="006A74F8">
        <w:rPr>
          <w:szCs w:val="24"/>
        </w:rPr>
        <w:t xml:space="preserve">following </w:t>
      </w:r>
      <w:r w:rsidRPr="006A74F8">
        <w:rPr>
          <w:szCs w:val="24"/>
        </w:rPr>
        <w:t xml:space="preserve">regulatory </w:t>
      </w:r>
      <w:r w:rsidR="00756C6B" w:rsidRPr="006A74F8">
        <w:rPr>
          <w:szCs w:val="24"/>
        </w:rPr>
        <w:t>areas</w:t>
      </w:r>
      <w:r w:rsidR="00A0167D" w:rsidRPr="006A74F8">
        <w:rPr>
          <w:szCs w:val="24"/>
        </w:rPr>
        <w:t>:</w:t>
      </w:r>
    </w:p>
    <w:p w:rsidR="00756C6B" w:rsidRPr="006A74F8" w:rsidRDefault="00756C6B" w:rsidP="00E62BC5">
      <w:pPr>
        <w:pStyle w:val="ListParagraph"/>
        <w:numPr>
          <w:ilvl w:val="0"/>
          <w:numId w:val="8"/>
        </w:numPr>
      </w:pPr>
      <w:r w:rsidRPr="006A74F8">
        <w:rPr>
          <w:b/>
        </w:rPr>
        <w:t>Cost of relabelling packaged products</w:t>
      </w:r>
      <w:r w:rsidRPr="006A74F8">
        <w:t xml:space="preserve"> – arising from regulations that impose requirements for the </w:t>
      </w:r>
      <w:r w:rsidR="002754BE" w:rsidRPr="006A74F8">
        <w:t>presentation</w:t>
      </w:r>
      <w:r w:rsidRPr="006A74F8">
        <w:t xml:space="preserve"> of a measurement mark on packaged products.</w:t>
      </w:r>
    </w:p>
    <w:p w:rsidR="003A4B60" w:rsidRPr="006A74F8" w:rsidRDefault="003A4B60" w:rsidP="00E62BC5">
      <w:pPr>
        <w:pStyle w:val="ListParagraph"/>
        <w:numPr>
          <w:ilvl w:val="0"/>
          <w:numId w:val="8"/>
        </w:numPr>
      </w:pPr>
      <w:r w:rsidRPr="006A74F8">
        <w:rPr>
          <w:b/>
        </w:rPr>
        <w:t xml:space="preserve">Cost of understanding requirements for packaged products </w:t>
      </w:r>
      <w:r w:rsidRPr="006A74F8">
        <w:t>– arising from regulations that impose requirements on manufacturers and importers of packaged products.</w:t>
      </w:r>
    </w:p>
    <w:p w:rsidR="00756C6B" w:rsidRPr="006A74F8" w:rsidRDefault="00756C6B" w:rsidP="00D1402A">
      <w:pPr>
        <w:pStyle w:val="ListParagraph"/>
        <w:numPr>
          <w:ilvl w:val="0"/>
          <w:numId w:val="8"/>
        </w:numPr>
      </w:pPr>
      <w:r w:rsidRPr="006A74F8">
        <w:rPr>
          <w:b/>
        </w:rPr>
        <w:t>Cost of pattern approval</w:t>
      </w:r>
      <w:r w:rsidRPr="006A74F8">
        <w:t xml:space="preserve"> – arising from regulations on measuring instruments that impose requirements for pattern approval on manufacturers of measuring instruments. </w:t>
      </w:r>
    </w:p>
    <w:p w:rsidR="003A4B60" w:rsidRPr="006A74F8" w:rsidRDefault="003A4B60">
      <w:pPr>
        <w:pStyle w:val="ListParagraph"/>
        <w:numPr>
          <w:ilvl w:val="0"/>
          <w:numId w:val="8"/>
        </w:numPr>
        <w:spacing w:after="0" w:line="240" w:lineRule="auto"/>
        <w:contextualSpacing w:val="0"/>
      </w:pPr>
      <w:r w:rsidRPr="006A74F8">
        <w:rPr>
          <w:b/>
        </w:rPr>
        <w:t>Cost of appointment and cost of reporting as an ATP under measurement law</w:t>
      </w:r>
      <w:r w:rsidRPr="006A74F8">
        <w:t xml:space="preserve"> – arising from regulations that impose application, renewal and reporting requirements on ATPs providing measurement services under measurement law. </w:t>
      </w:r>
    </w:p>
    <w:p w:rsidR="00ED2229" w:rsidRPr="006A74F8" w:rsidRDefault="00ED2229">
      <w:pPr>
        <w:pStyle w:val="ListParagraph"/>
        <w:numPr>
          <w:ilvl w:val="0"/>
          <w:numId w:val="8"/>
        </w:numPr>
        <w:spacing w:line="240" w:lineRule="auto"/>
        <w:ind w:left="782" w:hanging="357"/>
        <w:contextualSpacing w:val="0"/>
      </w:pPr>
      <w:r w:rsidRPr="006A74F8">
        <w:rPr>
          <w:b/>
        </w:rPr>
        <w:t>Cost of verification and reverification</w:t>
      </w:r>
      <w:r w:rsidRPr="006A74F8">
        <w:t xml:space="preserve"> – arising from regulations on measuring instruments that impose requirements to verify a pattern approved measuring instrument used for trade purposes</w:t>
      </w:r>
      <w:r w:rsidR="00A0167D" w:rsidRPr="006A74F8">
        <w:t>.</w:t>
      </w:r>
    </w:p>
    <w:p w:rsidR="00141E23" w:rsidRPr="006A74F8" w:rsidRDefault="00141E23" w:rsidP="00245CC9">
      <w:pPr>
        <w:pStyle w:val="Heading3"/>
        <w:rPr>
          <w:rStyle w:val="Hyperlink"/>
          <w:color w:val="005677" w:themeColor="text2"/>
          <w:u w:val="none"/>
        </w:rPr>
      </w:pPr>
      <w:bookmarkStart w:id="1531" w:name="_Toc64558090"/>
      <w:bookmarkStart w:id="1532" w:name="_Toc64559289"/>
      <w:bookmarkStart w:id="1533" w:name="_Toc64559720"/>
      <w:bookmarkStart w:id="1534" w:name="_Toc64560002"/>
      <w:bookmarkStart w:id="1535" w:name="_Toc64631196"/>
      <w:bookmarkStart w:id="1536" w:name="_Toc64631396"/>
      <w:bookmarkStart w:id="1537" w:name="_Toc64633940"/>
      <w:bookmarkStart w:id="1538" w:name="_Toc64638140"/>
      <w:bookmarkStart w:id="1539" w:name="_Toc64635049"/>
      <w:bookmarkStart w:id="1540" w:name="_Toc64639268"/>
      <w:bookmarkStart w:id="1541" w:name="_Toc64640242"/>
      <w:bookmarkStart w:id="1542" w:name="_Toc64638168"/>
      <w:bookmarkStart w:id="1543" w:name="_Toc64642043"/>
      <w:bookmarkStart w:id="1544" w:name="_Toc64653159"/>
      <w:bookmarkStart w:id="1545" w:name="_Toc64884145"/>
      <w:bookmarkStart w:id="1546" w:name="_Toc64884200"/>
      <w:bookmarkStart w:id="1547" w:name="_Toc64884252"/>
      <w:bookmarkStart w:id="1548" w:name="_Toc64887810"/>
      <w:bookmarkStart w:id="1549" w:name="_Toc64887862"/>
      <w:bookmarkStart w:id="1550" w:name="_Toc64884304"/>
      <w:bookmarkStart w:id="1551" w:name="_Toc64888274"/>
      <w:bookmarkStart w:id="1552" w:name="_Toc64888326"/>
      <w:bookmarkStart w:id="1553" w:name="_Toc64884985"/>
      <w:bookmarkStart w:id="1554" w:name="_Toc64888476"/>
      <w:bookmarkStart w:id="1555" w:name="_Toc64899941"/>
      <w:bookmarkStart w:id="1556" w:name="_Toc64900857"/>
      <w:bookmarkStart w:id="1557" w:name="_Toc64900932"/>
      <w:bookmarkStart w:id="1558" w:name="_Toc64901041"/>
      <w:bookmarkStart w:id="1559" w:name="_Toc64899879"/>
      <w:bookmarkStart w:id="1560" w:name="_Toc64904062"/>
      <w:bookmarkStart w:id="1561" w:name="_Toc64900987"/>
      <w:bookmarkStart w:id="1562" w:name="_Toc64904727"/>
      <w:bookmarkStart w:id="1563" w:name="_Toc64905241"/>
      <w:bookmarkStart w:id="1564" w:name="_Toc64963237"/>
      <w:bookmarkStart w:id="1565" w:name="_Toc64963372"/>
      <w:bookmarkStart w:id="1566" w:name="_Toc64964510"/>
      <w:bookmarkStart w:id="1567" w:name="_Toc64968493"/>
      <w:bookmarkStart w:id="1568" w:name="_Toc64969211"/>
      <w:bookmarkStart w:id="1569" w:name="_Toc64970103"/>
      <w:bookmarkStart w:id="1570" w:name="_Toc64972287"/>
      <w:bookmarkStart w:id="1571" w:name="_Toc64968748"/>
      <w:bookmarkStart w:id="1572" w:name="_Toc64972995"/>
      <w:bookmarkStart w:id="1573" w:name="_Toc64973087"/>
      <w:bookmarkStart w:id="1574" w:name="_Toc64969546"/>
      <w:bookmarkStart w:id="1575" w:name="_Toc64969638"/>
      <w:bookmarkStart w:id="1576" w:name="_Toc64970258"/>
      <w:bookmarkStart w:id="1577" w:name="_Toc64970398"/>
      <w:bookmarkStart w:id="1578" w:name="_Toc64970738"/>
      <w:bookmarkStart w:id="1579" w:name="_Toc64970830"/>
      <w:bookmarkStart w:id="1580" w:name="_Toc64974616"/>
      <w:bookmarkStart w:id="1581" w:name="_Toc64974885"/>
      <w:bookmarkStart w:id="1582" w:name="_Toc64971656"/>
      <w:bookmarkStart w:id="1583" w:name="_Toc65149678"/>
      <w:bookmarkStart w:id="1584" w:name="_Toc65164618"/>
      <w:bookmarkStart w:id="1585" w:name="_Toc65496137"/>
      <w:bookmarkStart w:id="1586" w:name="_Toc65752982"/>
      <w:bookmarkStart w:id="1587" w:name="_Toc65749445"/>
      <w:bookmarkStart w:id="1588" w:name="_Toc65754369"/>
      <w:bookmarkStart w:id="1589" w:name="_Effects_on_stakeholders"/>
      <w:bookmarkStart w:id="1590" w:name="_Toc63062596"/>
      <w:bookmarkStart w:id="1591" w:name="_Toc64558455"/>
      <w:bookmarkStart w:id="1592" w:name="_Toc64557475"/>
      <w:bookmarkStart w:id="1593" w:name="_Toc64562200"/>
      <w:bookmarkStart w:id="1594" w:name="_Toc64562456"/>
      <w:bookmarkStart w:id="1595" w:name="_Toc64640243"/>
      <w:bookmarkStart w:id="1596" w:name="_Toc64641218"/>
      <w:bookmarkStart w:id="1597" w:name="_Toc64647160"/>
      <w:bookmarkStart w:id="1598" w:name="_Toc64888327"/>
      <w:bookmarkStart w:id="1599" w:name="_Toc64888706"/>
      <w:bookmarkStart w:id="1600" w:name="_Toc64892981"/>
      <w:bookmarkStart w:id="1601" w:name="_Toc64895637"/>
      <w:bookmarkStart w:id="1602" w:name="_Toc64900858"/>
      <w:bookmarkStart w:id="1603" w:name="_Toc64903110"/>
      <w:bookmarkStart w:id="1604" w:name="_Toc64904063"/>
      <w:bookmarkStart w:id="1605" w:name="_Toc64904271"/>
      <w:bookmarkStart w:id="1606" w:name="_Toc64904728"/>
      <w:bookmarkStart w:id="1607" w:name="_Toc64905242"/>
      <w:bookmarkStart w:id="1608" w:name="_Toc64964005"/>
      <w:bookmarkStart w:id="1609" w:name="_Toc64974617"/>
      <w:bookmarkStart w:id="1610" w:name="_Toc64976304"/>
      <w:bookmarkStart w:id="1611" w:name="_Toc65149679"/>
      <w:bookmarkStart w:id="1612" w:name="_Toc65163445"/>
      <w:bookmarkStart w:id="1613" w:name="_Toc65491085"/>
      <w:bookmarkStart w:id="1614" w:name="_Toc65504821"/>
      <w:bookmarkStart w:id="1615" w:name="_Toc65757904"/>
      <w:bookmarkStart w:id="1616" w:name="_Toc65769499"/>
      <w:bookmarkStart w:id="1617" w:name="_Toc65766867"/>
      <w:bookmarkStart w:id="1618" w:name="_Toc65772641"/>
      <w:bookmarkStart w:id="1619" w:name="_Toc66435698"/>
      <w:bookmarkStart w:id="1620" w:name="_Toc66436487"/>
      <w:bookmarkStart w:id="1621" w:name="_Toc66437698"/>
      <w:bookmarkStart w:id="1622" w:name="_Toc66440037"/>
      <w:bookmarkStart w:id="1623" w:name="_Toc66442240"/>
      <w:bookmarkStart w:id="1624" w:name="_Toc66451909"/>
      <w:bookmarkStart w:id="1625" w:name="_Toc66459186"/>
      <w:bookmarkStart w:id="1626" w:name="_Toc66460240"/>
      <w:bookmarkStart w:id="1627" w:name="_Toc67305390"/>
      <w:bookmarkStart w:id="1628" w:name="_Toc67306303"/>
      <w:bookmarkStart w:id="1629" w:name="_Toc67306755"/>
      <w:bookmarkStart w:id="1630" w:name="_Toc67313607"/>
      <w:bookmarkStart w:id="1631" w:name="_Toc67320800"/>
      <w:bookmarkStart w:id="1632" w:name="_Toc67321953"/>
      <w:bookmarkStart w:id="1633" w:name="_Toc67324418"/>
      <w:bookmarkStart w:id="1634" w:name="_Toc67326579"/>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r w:rsidRPr="006A74F8">
        <w:rPr>
          <w:rStyle w:val="Hyperlink"/>
          <w:color w:val="005677" w:themeColor="text2"/>
          <w:u w:val="none"/>
        </w:rPr>
        <w:t xml:space="preserve">Summary </w:t>
      </w:r>
      <w:r w:rsidR="00C17164" w:rsidRPr="006A74F8">
        <w:rPr>
          <w:rStyle w:val="Hyperlink"/>
          <w:color w:val="005677" w:themeColor="text2"/>
          <w:u w:val="none"/>
        </w:rPr>
        <w:t xml:space="preserve">of </w:t>
      </w:r>
      <w:r w:rsidRPr="006A74F8">
        <w:rPr>
          <w:rStyle w:val="Hyperlink"/>
          <w:color w:val="005677" w:themeColor="text2"/>
          <w:u w:val="none"/>
        </w:rPr>
        <w:t>regulatory burden changes</w:t>
      </w:r>
    </w:p>
    <w:p w:rsidR="009D11B4" w:rsidRPr="006A74F8" w:rsidRDefault="009D11B4" w:rsidP="00290CFC">
      <w:pPr>
        <w:pStyle w:val="Heading4"/>
        <w:rPr>
          <w:rStyle w:val="Hyperlink"/>
          <w:color w:val="005677" w:themeColor="text2"/>
          <w:u w:val="none"/>
        </w:rPr>
      </w:pPr>
      <w:r w:rsidRPr="006A74F8">
        <w:rPr>
          <w:rStyle w:val="Hyperlink"/>
          <w:color w:val="005677" w:themeColor="text2"/>
          <w:u w:val="none"/>
        </w:rPr>
        <w:t>Labelling costs of packaged products</w:t>
      </w:r>
    </w:p>
    <w:p w:rsidR="003B5BE3" w:rsidRPr="006A74F8" w:rsidRDefault="003B5BE3" w:rsidP="003B5BE3">
      <w:pPr>
        <w:pStyle w:val="Caption"/>
        <w:keepNext/>
      </w:pPr>
      <w:r w:rsidRPr="006A74F8">
        <w:t xml:space="preserve">Table </w:t>
      </w:r>
      <w:r w:rsidR="009853E6" w:rsidRPr="006A74F8">
        <w:rPr>
          <w:noProof/>
        </w:rPr>
        <w:fldChar w:fldCharType="begin"/>
      </w:r>
      <w:r w:rsidR="009853E6" w:rsidRPr="006A74F8">
        <w:rPr>
          <w:noProof/>
        </w:rPr>
        <w:instrText xml:space="preserve"> SEQ Table \* ARABIC </w:instrText>
      </w:r>
      <w:r w:rsidR="009853E6" w:rsidRPr="006A74F8">
        <w:rPr>
          <w:noProof/>
        </w:rPr>
        <w:fldChar w:fldCharType="separate"/>
      </w:r>
      <w:r w:rsidR="0033017F">
        <w:rPr>
          <w:noProof/>
        </w:rPr>
        <w:t>7</w:t>
      </w:r>
      <w:r w:rsidR="009853E6" w:rsidRPr="006A74F8">
        <w:rPr>
          <w:noProof/>
        </w:rPr>
        <w:fldChar w:fldCharType="end"/>
      </w:r>
      <w:r w:rsidRPr="006A74F8">
        <w:t>: Regulatory burden costing summary for labelling of packaged products</w:t>
      </w:r>
    </w:p>
    <w:tbl>
      <w:tblPr>
        <w:tblStyle w:val="TableGrid"/>
        <w:tblW w:w="8926" w:type="dxa"/>
        <w:tblLook w:val="04A0" w:firstRow="1" w:lastRow="0" w:firstColumn="1" w:lastColumn="0" w:noHBand="0" w:noVBand="1"/>
        <w:tblCaption w:val="Table 7: Regulatory burden costing summary for labelling of pre-packaged products"/>
        <w:tblDescription w:val="Net impact of changes to measurement marking requirement on packaged products. Industry, option 1 is -$5.7 million, option 2 is -$6.4 m, option 3 is -$6.4 m. For Consumers option 1 is $0.1m, option 2 and 3 are $0.9m. The overall change for option 1 is -$5.6m, for option 2 is -$5.5m, for optiuon 3 is -$5.5m.&#10;"/>
      </w:tblPr>
      <w:tblGrid>
        <w:gridCol w:w="2122"/>
        <w:gridCol w:w="1876"/>
        <w:gridCol w:w="1667"/>
        <w:gridCol w:w="1560"/>
        <w:gridCol w:w="1701"/>
      </w:tblGrid>
      <w:tr w:rsidR="006D4B98" w:rsidRPr="006A74F8" w:rsidTr="001946E7">
        <w:trPr>
          <w:trHeight w:val="448"/>
          <w:tblHeader/>
        </w:trPr>
        <w:tc>
          <w:tcPr>
            <w:tcW w:w="2122" w:type="dxa"/>
            <w:shd w:val="clear" w:color="auto" w:fill="1F3864"/>
          </w:tcPr>
          <w:p w:rsidR="006D4B98" w:rsidRPr="006A74F8" w:rsidRDefault="006D4B98" w:rsidP="001F3719">
            <w:pPr>
              <w:rPr>
                <w:rStyle w:val="Hyperlink"/>
                <w:b/>
                <w:color w:val="auto"/>
                <w:u w:val="none"/>
              </w:rPr>
            </w:pPr>
            <w:r w:rsidRPr="006A74F8">
              <w:rPr>
                <w:rStyle w:val="Hyperlink"/>
                <w:b/>
                <w:color w:val="auto"/>
                <w:u w:val="none"/>
              </w:rPr>
              <w:t>Area of regulatory burden</w:t>
            </w:r>
          </w:p>
        </w:tc>
        <w:tc>
          <w:tcPr>
            <w:tcW w:w="1876" w:type="dxa"/>
            <w:tcBorders>
              <w:left w:val="nil"/>
            </w:tcBorders>
            <w:shd w:val="clear" w:color="auto" w:fill="1F3864"/>
          </w:tcPr>
          <w:p w:rsidR="006D4B98" w:rsidRPr="006A74F8" w:rsidRDefault="00E14B4D">
            <w:pPr>
              <w:rPr>
                <w:rStyle w:val="Hyperlink"/>
                <w:b/>
                <w:color w:val="auto"/>
                <w:u w:val="none"/>
              </w:rPr>
            </w:pPr>
            <w:r w:rsidRPr="006A74F8">
              <w:rPr>
                <w:rStyle w:val="Hyperlink"/>
                <w:b/>
                <w:color w:val="auto"/>
                <w:u w:val="none"/>
              </w:rPr>
              <w:t xml:space="preserve">Stakeholders </w:t>
            </w:r>
          </w:p>
        </w:tc>
        <w:tc>
          <w:tcPr>
            <w:tcW w:w="1667" w:type="dxa"/>
            <w:shd w:val="clear" w:color="auto" w:fill="1F3864"/>
          </w:tcPr>
          <w:p w:rsidR="006D4B98" w:rsidRPr="006A74F8" w:rsidRDefault="006D4B98">
            <w:pPr>
              <w:rPr>
                <w:rStyle w:val="Hyperlink"/>
                <w:b/>
                <w:color w:val="auto"/>
                <w:u w:val="none"/>
              </w:rPr>
            </w:pPr>
            <w:r w:rsidRPr="006A74F8">
              <w:rPr>
                <w:rStyle w:val="Hyperlink"/>
                <w:b/>
                <w:color w:val="auto"/>
                <w:u w:val="none"/>
              </w:rPr>
              <w:t>Option 1</w:t>
            </w:r>
          </w:p>
        </w:tc>
        <w:tc>
          <w:tcPr>
            <w:tcW w:w="1560" w:type="dxa"/>
            <w:shd w:val="clear" w:color="auto" w:fill="1F3864"/>
          </w:tcPr>
          <w:p w:rsidR="006D4B98" w:rsidRPr="006A74F8" w:rsidRDefault="006D4B98">
            <w:pPr>
              <w:rPr>
                <w:rStyle w:val="Hyperlink"/>
                <w:b/>
                <w:color w:val="auto"/>
                <w:u w:val="none"/>
              </w:rPr>
            </w:pPr>
            <w:r w:rsidRPr="006A74F8">
              <w:rPr>
                <w:rStyle w:val="Hyperlink"/>
                <w:b/>
                <w:color w:val="auto"/>
                <w:u w:val="none"/>
              </w:rPr>
              <w:t>Option 2</w:t>
            </w:r>
          </w:p>
        </w:tc>
        <w:tc>
          <w:tcPr>
            <w:tcW w:w="1701" w:type="dxa"/>
            <w:shd w:val="clear" w:color="auto" w:fill="1F3864"/>
          </w:tcPr>
          <w:p w:rsidR="006D4B98" w:rsidRPr="006A74F8" w:rsidRDefault="006D4B98">
            <w:pPr>
              <w:rPr>
                <w:rStyle w:val="Hyperlink"/>
                <w:b/>
                <w:color w:val="auto"/>
                <w:u w:val="none"/>
              </w:rPr>
            </w:pPr>
            <w:r w:rsidRPr="006A74F8">
              <w:rPr>
                <w:rStyle w:val="Hyperlink"/>
                <w:b/>
                <w:color w:val="auto"/>
                <w:u w:val="none"/>
              </w:rPr>
              <w:t>Option 3</w:t>
            </w:r>
          </w:p>
        </w:tc>
      </w:tr>
      <w:tr w:rsidR="0033700D" w:rsidRPr="006A74F8" w:rsidTr="004B1B97">
        <w:trPr>
          <w:trHeight w:val="319"/>
        </w:trPr>
        <w:tc>
          <w:tcPr>
            <w:tcW w:w="2122" w:type="dxa"/>
            <w:vMerge w:val="restart"/>
          </w:tcPr>
          <w:p w:rsidR="0033700D" w:rsidRPr="006A74F8" w:rsidRDefault="0033700D" w:rsidP="006D4B98">
            <w:pPr>
              <w:rPr>
                <w:rStyle w:val="Hyperlink"/>
                <w:b/>
                <w:color w:val="auto"/>
                <w:u w:val="none"/>
              </w:rPr>
            </w:pPr>
            <w:r w:rsidRPr="006A74F8">
              <w:rPr>
                <w:b/>
              </w:rPr>
              <w:t xml:space="preserve">Net impact of changes to measurement marking requirement on packaged products </w:t>
            </w:r>
          </w:p>
        </w:tc>
        <w:tc>
          <w:tcPr>
            <w:tcW w:w="1876" w:type="dxa"/>
          </w:tcPr>
          <w:p w:rsidR="0033700D" w:rsidRPr="006A74F8" w:rsidRDefault="0033700D">
            <w:pPr>
              <w:rPr>
                <w:rFonts w:ascii="Calibri" w:hAnsi="Calibri" w:cs="Calibri"/>
              </w:rPr>
            </w:pPr>
            <w:r w:rsidRPr="006A74F8">
              <w:rPr>
                <w:rFonts w:ascii="Calibri" w:hAnsi="Calibri" w:cs="Calibri"/>
              </w:rPr>
              <w:t>Industry</w:t>
            </w:r>
          </w:p>
        </w:tc>
        <w:tc>
          <w:tcPr>
            <w:tcW w:w="1667" w:type="dxa"/>
          </w:tcPr>
          <w:p w:rsidR="0033700D" w:rsidRPr="006A74F8" w:rsidRDefault="0033700D" w:rsidP="006D4B98">
            <w:pPr>
              <w:rPr>
                <w:rStyle w:val="Hyperlink"/>
                <w:color w:val="auto"/>
                <w:u w:val="none"/>
              </w:rPr>
            </w:pPr>
            <w:r w:rsidRPr="006A74F8">
              <w:rPr>
                <w:rFonts w:ascii="Calibri" w:hAnsi="Calibri" w:cs="Calibri"/>
              </w:rPr>
              <w:t xml:space="preserve">-$5.7 m </w:t>
            </w:r>
          </w:p>
        </w:tc>
        <w:tc>
          <w:tcPr>
            <w:tcW w:w="1560" w:type="dxa"/>
          </w:tcPr>
          <w:p w:rsidR="0033700D" w:rsidRPr="006A74F8" w:rsidRDefault="0033700D" w:rsidP="006D4B98">
            <w:pPr>
              <w:rPr>
                <w:rStyle w:val="Hyperlink"/>
                <w:color w:val="auto"/>
                <w:u w:val="none"/>
              </w:rPr>
            </w:pPr>
            <w:r w:rsidRPr="006A74F8">
              <w:rPr>
                <w:rFonts w:ascii="Calibri" w:hAnsi="Calibri" w:cs="Calibri"/>
              </w:rPr>
              <w:t xml:space="preserve">-$6.4 m </w:t>
            </w:r>
          </w:p>
        </w:tc>
        <w:tc>
          <w:tcPr>
            <w:tcW w:w="1701" w:type="dxa"/>
          </w:tcPr>
          <w:p w:rsidR="0033700D" w:rsidRPr="006A74F8" w:rsidRDefault="0033700D" w:rsidP="006D4B98">
            <w:pPr>
              <w:rPr>
                <w:rStyle w:val="Hyperlink"/>
                <w:color w:val="auto"/>
                <w:u w:val="none"/>
              </w:rPr>
            </w:pPr>
            <w:r w:rsidRPr="006A74F8">
              <w:rPr>
                <w:rFonts w:ascii="Calibri" w:hAnsi="Calibri" w:cs="Calibri"/>
              </w:rPr>
              <w:t xml:space="preserve">-$6.4 m </w:t>
            </w:r>
          </w:p>
        </w:tc>
      </w:tr>
      <w:tr w:rsidR="0033700D" w:rsidRPr="006A74F8" w:rsidTr="004B1B97">
        <w:trPr>
          <w:trHeight w:val="279"/>
        </w:trPr>
        <w:tc>
          <w:tcPr>
            <w:tcW w:w="2122" w:type="dxa"/>
            <w:vMerge/>
          </w:tcPr>
          <w:p w:rsidR="0033700D" w:rsidRPr="006A74F8" w:rsidRDefault="0033700D" w:rsidP="00674185">
            <w:pPr>
              <w:rPr>
                <w:rStyle w:val="Hyperlink"/>
                <w:color w:val="auto"/>
                <w:u w:val="none"/>
              </w:rPr>
            </w:pPr>
          </w:p>
        </w:tc>
        <w:tc>
          <w:tcPr>
            <w:tcW w:w="1876" w:type="dxa"/>
          </w:tcPr>
          <w:p w:rsidR="0033700D" w:rsidRPr="006A74F8" w:rsidRDefault="0033700D" w:rsidP="00674185">
            <w:pPr>
              <w:rPr>
                <w:rStyle w:val="Hyperlink"/>
                <w:color w:val="auto"/>
                <w:u w:val="none"/>
              </w:rPr>
            </w:pPr>
            <w:r w:rsidRPr="006A74F8">
              <w:rPr>
                <w:rStyle w:val="Hyperlink"/>
                <w:color w:val="auto"/>
                <w:u w:val="none"/>
              </w:rPr>
              <w:t>Consumers</w:t>
            </w:r>
          </w:p>
        </w:tc>
        <w:tc>
          <w:tcPr>
            <w:tcW w:w="1667" w:type="dxa"/>
          </w:tcPr>
          <w:p w:rsidR="0033700D" w:rsidRPr="006A74F8" w:rsidRDefault="0033700D" w:rsidP="006D4B98">
            <w:pPr>
              <w:rPr>
                <w:rStyle w:val="Hyperlink"/>
                <w:color w:val="auto"/>
                <w:u w:val="none"/>
              </w:rPr>
            </w:pPr>
            <w:r w:rsidRPr="006A74F8">
              <w:rPr>
                <w:rStyle w:val="Hyperlink"/>
                <w:color w:val="auto"/>
                <w:u w:val="none"/>
              </w:rPr>
              <w:t xml:space="preserve"> $0.1m </w:t>
            </w:r>
          </w:p>
        </w:tc>
        <w:tc>
          <w:tcPr>
            <w:tcW w:w="1560" w:type="dxa"/>
          </w:tcPr>
          <w:p w:rsidR="0033700D" w:rsidRPr="006A74F8" w:rsidRDefault="0033700D" w:rsidP="00674185">
            <w:pPr>
              <w:rPr>
                <w:rStyle w:val="Hyperlink"/>
                <w:color w:val="auto"/>
                <w:u w:val="none"/>
              </w:rPr>
            </w:pPr>
            <w:r w:rsidRPr="006A74F8">
              <w:rPr>
                <w:rStyle w:val="Hyperlink"/>
                <w:color w:val="auto"/>
                <w:u w:val="none"/>
              </w:rPr>
              <w:t>$0.9m</w:t>
            </w:r>
          </w:p>
        </w:tc>
        <w:tc>
          <w:tcPr>
            <w:tcW w:w="1701" w:type="dxa"/>
          </w:tcPr>
          <w:p w:rsidR="0033700D" w:rsidRPr="006A74F8" w:rsidRDefault="0033700D" w:rsidP="00674185">
            <w:pPr>
              <w:rPr>
                <w:rStyle w:val="Hyperlink"/>
                <w:color w:val="auto"/>
                <w:u w:val="none"/>
              </w:rPr>
            </w:pPr>
            <w:r w:rsidRPr="006A74F8">
              <w:rPr>
                <w:rStyle w:val="Hyperlink"/>
                <w:color w:val="auto"/>
                <w:u w:val="none"/>
              </w:rPr>
              <w:t>$0.9m</w:t>
            </w:r>
          </w:p>
        </w:tc>
      </w:tr>
      <w:tr w:rsidR="0033700D" w:rsidRPr="006A74F8" w:rsidTr="004B1B97">
        <w:trPr>
          <w:trHeight w:val="300"/>
        </w:trPr>
        <w:tc>
          <w:tcPr>
            <w:tcW w:w="2122" w:type="dxa"/>
            <w:vMerge/>
          </w:tcPr>
          <w:p w:rsidR="0033700D" w:rsidRPr="006A74F8" w:rsidRDefault="0033700D" w:rsidP="00674185">
            <w:pPr>
              <w:rPr>
                <w:rStyle w:val="Hyperlink"/>
                <w:color w:val="auto"/>
                <w:u w:val="none"/>
              </w:rPr>
            </w:pPr>
          </w:p>
        </w:tc>
        <w:tc>
          <w:tcPr>
            <w:tcW w:w="1876" w:type="dxa"/>
          </w:tcPr>
          <w:p w:rsidR="0033700D" w:rsidRPr="006A74F8" w:rsidRDefault="0033700D" w:rsidP="00674185">
            <w:pPr>
              <w:rPr>
                <w:rStyle w:val="Hyperlink"/>
                <w:b/>
                <w:color w:val="auto"/>
                <w:u w:val="none"/>
              </w:rPr>
            </w:pPr>
            <w:r w:rsidRPr="006A74F8">
              <w:rPr>
                <w:rStyle w:val="Hyperlink"/>
                <w:b/>
                <w:color w:val="auto"/>
                <w:u w:val="none"/>
              </w:rPr>
              <w:t xml:space="preserve">Overall </w:t>
            </w:r>
            <w:r w:rsidR="0079748B" w:rsidRPr="006A74F8">
              <w:rPr>
                <w:rStyle w:val="Hyperlink"/>
                <w:b/>
                <w:color w:val="auto"/>
                <w:u w:val="none"/>
              </w:rPr>
              <w:t>Change</w:t>
            </w:r>
          </w:p>
        </w:tc>
        <w:tc>
          <w:tcPr>
            <w:tcW w:w="1667" w:type="dxa"/>
          </w:tcPr>
          <w:p w:rsidR="0033700D" w:rsidRPr="006A74F8" w:rsidRDefault="0033700D" w:rsidP="00674185">
            <w:pPr>
              <w:rPr>
                <w:rStyle w:val="Hyperlink"/>
                <w:b/>
                <w:color w:val="auto"/>
                <w:u w:val="none"/>
              </w:rPr>
            </w:pPr>
            <w:r w:rsidRPr="006A74F8">
              <w:rPr>
                <w:rStyle w:val="Hyperlink"/>
                <w:b/>
                <w:color w:val="auto"/>
                <w:u w:val="none"/>
              </w:rPr>
              <w:t>-$5.6m</w:t>
            </w:r>
          </w:p>
        </w:tc>
        <w:tc>
          <w:tcPr>
            <w:tcW w:w="1560" w:type="dxa"/>
          </w:tcPr>
          <w:p w:rsidR="0033700D" w:rsidRPr="006A74F8" w:rsidRDefault="0033700D" w:rsidP="00674185">
            <w:pPr>
              <w:rPr>
                <w:rStyle w:val="Hyperlink"/>
                <w:b/>
                <w:color w:val="auto"/>
                <w:u w:val="none"/>
              </w:rPr>
            </w:pPr>
            <w:r w:rsidRPr="006A74F8">
              <w:rPr>
                <w:rStyle w:val="Hyperlink"/>
                <w:b/>
                <w:color w:val="auto"/>
                <w:u w:val="none"/>
              </w:rPr>
              <w:t>-</w:t>
            </w:r>
            <w:r w:rsidR="00290CFC" w:rsidRPr="006A74F8">
              <w:rPr>
                <w:rStyle w:val="Hyperlink"/>
                <w:b/>
                <w:color w:val="auto"/>
                <w:u w:val="none"/>
              </w:rPr>
              <w:t>$</w:t>
            </w:r>
            <w:r w:rsidRPr="006A74F8">
              <w:rPr>
                <w:rStyle w:val="Hyperlink"/>
                <w:b/>
                <w:color w:val="auto"/>
                <w:u w:val="none"/>
              </w:rPr>
              <w:t>5.5m</w:t>
            </w:r>
          </w:p>
        </w:tc>
        <w:tc>
          <w:tcPr>
            <w:tcW w:w="1701" w:type="dxa"/>
          </w:tcPr>
          <w:p w:rsidR="0033700D" w:rsidRPr="006A74F8" w:rsidRDefault="0033700D" w:rsidP="00674185">
            <w:pPr>
              <w:rPr>
                <w:rStyle w:val="Hyperlink"/>
                <w:b/>
                <w:color w:val="auto"/>
                <w:u w:val="none"/>
              </w:rPr>
            </w:pPr>
            <w:r w:rsidRPr="006A74F8">
              <w:rPr>
                <w:rStyle w:val="Hyperlink"/>
                <w:b/>
                <w:color w:val="auto"/>
                <w:u w:val="none"/>
              </w:rPr>
              <w:t>-</w:t>
            </w:r>
            <w:r w:rsidR="00290CFC" w:rsidRPr="006A74F8">
              <w:rPr>
                <w:rStyle w:val="Hyperlink"/>
                <w:b/>
                <w:color w:val="auto"/>
                <w:u w:val="none"/>
              </w:rPr>
              <w:t>$</w:t>
            </w:r>
            <w:r w:rsidRPr="006A74F8">
              <w:rPr>
                <w:rStyle w:val="Hyperlink"/>
                <w:b/>
                <w:color w:val="auto"/>
                <w:u w:val="none"/>
              </w:rPr>
              <w:t>5.5m</w:t>
            </w:r>
          </w:p>
        </w:tc>
      </w:tr>
    </w:tbl>
    <w:p w:rsidR="00674185" w:rsidRPr="006A74F8" w:rsidRDefault="0006343F" w:rsidP="00566FD0">
      <w:pPr>
        <w:spacing w:before="240"/>
      </w:pPr>
      <w:r w:rsidRPr="006A74F8">
        <w:t xml:space="preserve">Under the </w:t>
      </w:r>
      <w:r w:rsidRPr="006A74F8">
        <w:rPr>
          <w:b/>
        </w:rPr>
        <w:t>status quo</w:t>
      </w:r>
      <w:r w:rsidRPr="006A74F8">
        <w:t xml:space="preserve">, products imported into Australia </w:t>
      </w:r>
      <w:r w:rsidR="00CF69AA" w:rsidRPr="006A74F8">
        <w:t>that</w:t>
      </w:r>
      <w:r w:rsidRPr="006A74F8">
        <w:t xml:space="preserve"> do not have the measurement marking on the principal display panel need to be relabelled or repackaged. </w:t>
      </w:r>
      <w:r w:rsidR="00F65BFB" w:rsidRPr="006A74F8">
        <w:t xml:space="preserve">Under </w:t>
      </w:r>
      <w:r w:rsidR="00F65BFB" w:rsidRPr="006A74F8">
        <w:rPr>
          <w:b/>
        </w:rPr>
        <w:t>option 1,</w:t>
      </w:r>
      <w:r w:rsidR="00F65BFB" w:rsidRPr="006A74F8">
        <w:t xml:space="preserve"> the marking would still need to be on the principal display panel but a power to exempt products would be used to exempt cosmetics</w:t>
      </w:r>
      <w:r w:rsidR="0038088E" w:rsidRPr="006A74F8">
        <w:t xml:space="preserve"> (domestic and imported)</w:t>
      </w:r>
      <w:r w:rsidR="00F65BFB" w:rsidRPr="006A74F8">
        <w:t xml:space="preserve">, resulting in a net regulatory saving of $5.6m per annum. Under </w:t>
      </w:r>
      <w:r w:rsidR="00F65BFB" w:rsidRPr="006A74F8">
        <w:rPr>
          <w:b/>
        </w:rPr>
        <w:t>options 2 and 3</w:t>
      </w:r>
      <w:r w:rsidR="00F65BFB" w:rsidRPr="006A74F8">
        <w:t>, the marking would</w:t>
      </w:r>
      <w:r w:rsidR="005B36F5" w:rsidRPr="006A74F8">
        <w:t xml:space="preserve"> not be limited to the princip</w:t>
      </w:r>
      <w:r w:rsidR="00EC2274" w:rsidRPr="006A74F8">
        <w:t>al</w:t>
      </w:r>
      <w:r w:rsidR="005B36F5" w:rsidRPr="006A74F8">
        <w:t xml:space="preserve"> display panel</w:t>
      </w:r>
      <w:r w:rsidR="00F65BFB" w:rsidRPr="006A74F8">
        <w:t>, further increasing the savings to business ($6.4m), but introducing a</w:t>
      </w:r>
      <w:r w:rsidR="0026042A" w:rsidRPr="006A74F8">
        <w:t>n</w:t>
      </w:r>
      <w:r w:rsidR="00F65BFB" w:rsidRPr="006A74F8">
        <w:t xml:space="preserve"> increase in time burden for consumers to locate the measurement mark ($0.9m) and resulting in a net regulatory saving of $5.5m.</w:t>
      </w:r>
    </w:p>
    <w:p w:rsidR="004E530F" w:rsidRPr="006A74F8" w:rsidRDefault="004E530F" w:rsidP="004E530F">
      <w:pPr>
        <w:pStyle w:val="Heading4"/>
      </w:pPr>
      <w:r w:rsidRPr="006A74F8">
        <w:t>Understanding packaging requirements for manufacturers and importers of packaged products</w:t>
      </w:r>
    </w:p>
    <w:p w:rsidR="003B5BE3" w:rsidRPr="006A74F8" w:rsidRDefault="003B5BE3" w:rsidP="003B5BE3">
      <w:pPr>
        <w:pStyle w:val="Caption"/>
        <w:keepNext/>
      </w:pPr>
      <w:r w:rsidRPr="006A74F8">
        <w:t xml:space="preserve">Table </w:t>
      </w:r>
      <w:r w:rsidR="009853E6" w:rsidRPr="006A74F8">
        <w:rPr>
          <w:noProof/>
        </w:rPr>
        <w:fldChar w:fldCharType="begin"/>
      </w:r>
      <w:r w:rsidR="009853E6" w:rsidRPr="006A74F8">
        <w:rPr>
          <w:noProof/>
        </w:rPr>
        <w:instrText xml:space="preserve"> SEQ Table \* ARABIC </w:instrText>
      </w:r>
      <w:r w:rsidR="009853E6" w:rsidRPr="006A74F8">
        <w:rPr>
          <w:noProof/>
        </w:rPr>
        <w:fldChar w:fldCharType="separate"/>
      </w:r>
      <w:r w:rsidR="0033017F">
        <w:rPr>
          <w:noProof/>
        </w:rPr>
        <w:t>8</w:t>
      </w:r>
      <w:r w:rsidR="009853E6" w:rsidRPr="006A74F8">
        <w:rPr>
          <w:noProof/>
        </w:rPr>
        <w:fldChar w:fldCharType="end"/>
      </w:r>
      <w:r w:rsidRPr="006A74F8">
        <w:t>: Regulatory burden costing summary for manufacturers and importers of packaged products</w:t>
      </w:r>
    </w:p>
    <w:tbl>
      <w:tblPr>
        <w:tblStyle w:val="TableGrid"/>
        <w:tblW w:w="8790" w:type="dxa"/>
        <w:tblLook w:val="04A0" w:firstRow="1" w:lastRow="0" w:firstColumn="1" w:lastColumn="0" w:noHBand="0" w:noVBand="1"/>
        <w:tblCaption w:val="Table 8: Regulatory burden costing summary for manufacturers and importers of packaged products"/>
        <w:tblDescription w:val="Understanding packaging requirements of Manufacturers and Importers of Packaged Products. option 1 change -$2.7m, Option 2 change is -$2.7m. Option three change is -$2.7m."/>
      </w:tblPr>
      <w:tblGrid>
        <w:gridCol w:w="1696"/>
        <w:gridCol w:w="1843"/>
        <w:gridCol w:w="1134"/>
        <w:gridCol w:w="1276"/>
        <w:gridCol w:w="2841"/>
      </w:tblGrid>
      <w:tr w:rsidR="004E530F" w:rsidRPr="006A74F8" w:rsidTr="001946E7">
        <w:trPr>
          <w:trHeight w:val="448"/>
          <w:tblHeader/>
        </w:trPr>
        <w:tc>
          <w:tcPr>
            <w:tcW w:w="1696" w:type="dxa"/>
            <w:shd w:val="clear" w:color="auto" w:fill="1F3864"/>
          </w:tcPr>
          <w:p w:rsidR="004E530F" w:rsidRPr="006A74F8" w:rsidRDefault="004E530F" w:rsidP="00DB7451">
            <w:pPr>
              <w:keepNext/>
              <w:rPr>
                <w:rStyle w:val="Hyperlink"/>
                <w:b/>
                <w:color w:val="auto"/>
                <w:szCs w:val="18"/>
                <w:u w:val="none"/>
              </w:rPr>
            </w:pPr>
            <w:r w:rsidRPr="006A74F8">
              <w:rPr>
                <w:rStyle w:val="Hyperlink"/>
                <w:b/>
                <w:color w:val="auto"/>
                <w:szCs w:val="18"/>
                <w:u w:val="none"/>
              </w:rPr>
              <w:t>Area of regulatory burden</w:t>
            </w:r>
          </w:p>
        </w:tc>
        <w:tc>
          <w:tcPr>
            <w:tcW w:w="1843" w:type="dxa"/>
            <w:shd w:val="clear" w:color="auto" w:fill="1F3864"/>
          </w:tcPr>
          <w:p w:rsidR="004E530F" w:rsidRPr="006A74F8" w:rsidRDefault="004E530F" w:rsidP="00DB7451">
            <w:pPr>
              <w:keepNext/>
              <w:rPr>
                <w:rStyle w:val="Hyperlink"/>
                <w:b/>
                <w:color w:val="auto"/>
                <w:szCs w:val="18"/>
                <w:u w:val="none"/>
              </w:rPr>
            </w:pPr>
            <w:r w:rsidRPr="006A74F8">
              <w:rPr>
                <w:rStyle w:val="Hyperlink"/>
                <w:b/>
                <w:color w:val="auto"/>
                <w:szCs w:val="18"/>
                <w:u w:val="none"/>
              </w:rPr>
              <w:t>Stakeholder</w:t>
            </w:r>
          </w:p>
        </w:tc>
        <w:tc>
          <w:tcPr>
            <w:tcW w:w="1134" w:type="dxa"/>
            <w:shd w:val="clear" w:color="auto" w:fill="1F3864"/>
          </w:tcPr>
          <w:p w:rsidR="004E530F" w:rsidRPr="006A74F8" w:rsidRDefault="004E530F" w:rsidP="00DB7451">
            <w:pPr>
              <w:keepNext/>
              <w:rPr>
                <w:rStyle w:val="Hyperlink"/>
                <w:b/>
                <w:color w:val="auto"/>
                <w:szCs w:val="18"/>
                <w:u w:val="none"/>
              </w:rPr>
            </w:pPr>
            <w:r w:rsidRPr="006A74F8">
              <w:rPr>
                <w:rStyle w:val="Hyperlink"/>
                <w:b/>
                <w:color w:val="auto"/>
                <w:szCs w:val="18"/>
                <w:u w:val="none"/>
              </w:rPr>
              <w:t>Option 1</w:t>
            </w:r>
          </w:p>
        </w:tc>
        <w:tc>
          <w:tcPr>
            <w:tcW w:w="1276" w:type="dxa"/>
            <w:shd w:val="clear" w:color="auto" w:fill="1F3864"/>
          </w:tcPr>
          <w:p w:rsidR="004E530F" w:rsidRPr="006A74F8" w:rsidRDefault="004E530F" w:rsidP="00DB7451">
            <w:pPr>
              <w:keepNext/>
              <w:rPr>
                <w:rStyle w:val="Hyperlink"/>
                <w:b/>
                <w:color w:val="auto"/>
                <w:szCs w:val="18"/>
                <w:u w:val="none"/>
              </w:rPr>
            </w:pPr>
            <w:r w:rsidRPr="006A74F8">
              <w:rPr>
                <w:rStyle w:val="Hyperlink"/>
                <w:b/>
                <w:color w:val="auto"/>
                <w:szCs w:val="18"/>
                <w:u w:val="none"/>
              </w:rPr>
              <w:t>Option 2</w:t>
            </w:r>
          </w:p>
        </w:tc>
        <w:tc>
          <w:tcPr>
            <w:tcW w:w="2841" w:type="dxa"/>
            <w:shd w:val="clear" w:color="auto" w:fill="1F3864"/>
          </w:tcPr>
          <w:p w:rsidR="004E530F" w:rsidRPr="006A74F8" w:rsidRDefault="004E530F" w:rsidP="00DB7451">
            <w:pPr>
              <w:keepNext/>
              <w:rPr>
                <w:rStyle w:val="Hyperlink"/>
                <w:b/>
                <w:color w:val="auto"/>
                <w:szCs w:val="18"/>
                <w:u w:val="none"/>
              </w:rPr>
            </w:pPr>
            <w:r w:rsidRPr="006A74F8">
              <w:rPr>
                <w:rStyle w:val="Hyperlink"/>
                <w:b/>
                <w:color w:val="auto"/>
                <w:szCs w:val="18"/>
                <w:u w:val="none"/>
              </w:rPr>
              <w:t>Option 3</w:t>
            </w:r>
          </w:p>
        </w:tc>
      </w:tr>
      <w:tr w:rsidR="004E530F" w:rsidRPr="006A74F8" w:rsidTr="00DB7451">
        <w:trPr>
          <w:trHeight w:val="516"/>
        </w:trPr>
        <w:tc>
          <w:tcPr>
            <w:tcW w:w="1696" w:type="dxa"/>
          </w:tcPr>
          <w:p w:rsidR="004E530F" w:rsidRPr="006A74F8" w:rsidRDefault="004E530F" w:rsidP="00DB7451">
            <w:pPr>
              <w:rPr>
                <w:rStyle w:val="Hyperlink"/>
                <w:color w:val="auto"/>
                <w:szCs w:val="18"/>
                <w:u w:val="none"/>
              </w:rPr>
            </w:pPr>
            <w:r w:rsidRPr="006A74F8">
              <w:rPr>
                <w:szCs w:val="18"/>
              </w:rPr>
              <w:t>Understanding packaging requirements</w:t>
            </w:r>
          </w:p>
        </w:tc>
        <w:tc>
          <w:tcPr>
            <w:tcW w:w="1843" w:type="dxa"/>
          </w:tcPr>
          <w:p w:rsidR="004E530F" w:rsidRPr="006A74F8" w:rsidRDefault="004E530F" w:rsidP="00DB7451">
            <w:pPr>
              <w:rPr>
                <w:szCs w:val="18"/>
              </w:rPr>
            </w:pPr>
            <w:r w:rsidRPr="006A74F8">
              <w:rPr>
                <w:szCs w:val="18"/>
              </w:rPr>
              <w:t>Manufacturers and Importers of Packaged Products</w:t>
            </w:r>
          </w:p>
        </w:tc>
        <w:tc>
          <w:tcPr>
            <w:tcW w:w="1134" w:type="dxa"/>
          </w:tcPr>
          <w:p w:rsidR="004E530F" w:rsidRPr="006A74F8" w:rsidRDefault="004E530F" w:rsidP="00DB7451">
            <w:pPr>
              <w:rPr>
                <w:szCs w:val="18"/>
              </w:rPr>
            </w:pPr>
            <w:r w:rsidRPr="006A74F8">
              <w:rPr>
                <w:szCs w:val="18"/>
              </w:rPr>
              <w:t>-$2.7m</w:t>
            </w:r>
          </w:p>
        </w:tc>
        <w:tc>
          <w:tcPr>
            <w:tcW w:w="1276" w:type="dxa"/>
          </w:tcPr>
          <w:p w:rsidR="004E530F" w:rsidRPr="006A74F8" w:rsidRDefault="004E530F" w:rsidP="00DB7451">
            <w:pPr>
              <w:rPr>
                <w:szCs w:val="18"/>
              </w:rPr>
            </w:pPr>
            <w:r w:rsidRPr="006A74F8">
              <w:rPr>
                <w:szCs w:val="18"/>
              </w:rPr>
              <w:t>-$</w:t>
            </w:r>
            <w:r w:rsidR="00D23363" w:rsidRPr="006A74F8">
              <w:rPr>
                <w:szCs w:val="18"/>
              </w:rPr>
              <w:t>2.7m</w:t>
            </w:r>
          </w:p>
        </w:tc>
        <w:tc>
          <w:tcPr>
            <w:tcW w:w="2841" w:type="dxa"/>
          </w:tcPr>
          <w:p w:rsidR="004E530F" w:rsidRPr="006A74F8" w:rsidRDefault="004E530F" w:rsidP="00DB7451">
            <w:pPr>
              <w:rPr>
                <w:rStyle w:val="Hyperlink"/>
                <w:color w:val="auto"/>
                <w:szCs w:val="18"/>
                <w:u w:val="none"/>
              </w:rPr>
            </w:pPr>
            <w:r w:rsidRPr="006A74F8">
              <w:rPr>
                <w:szCs w:val="18"/>
              </w:rPr>
              <w:t>-$</w:t>
            </w:r>
            <w:r w:rsidR="00D23363" w:rsidRPr="006A74F8">
              <w:rPr>
                <w:szCs w:val="18"/>
              </w:rPr>
              <w:t>2.7m</w:t>
            </w:r>
          </w:p>
        </w:tc>
      </w:tr>
    </w:tbl>
    <w:p w:rsidR="004E530F" w:rsidRPr="006A74F8" w:rsidRDefault="004E530F" w:rsidP="00566FD0">
      <w:pPr>
        <w:spacing w:before="240"/>
        <w:rPr>
          <w:rStyle w:val="Hyperlink"/>
          <w:rFonts w:asciiTheme="majorHAnsi" w:eastAsiaTheme="majorEastAsia" w:hAnsiTheme="majorHAnsi" w:cstheme="majorBidi"/>
          <w:color w:val="auto"/>
          <w:u w:val="none"/>
        </w:rPr>
      </w:pPr>
      <w:r w:rsidRPr="006A74F8">
        <w:rPr>
          <w:rStyle w:val="Hyperlink"/>
          <w:rFonts w:asciiTheme="majorHAnsi" w:eastAsiaTheme="majorEastAsia" w:hAnsiTheme="majorHAnsi" w:cstheme="majorBidi"/>
          <w:color w:val="auto"/>
          <w:u w:val="none"/>
        </w:rPr>
        <w:lastRenderedPageBreak/>
        <w:t xml:space="preserve">Under the </w:t>
      </w:r>
      <w:r w:rsidRPr="006A74F8">
        <w:rPr>
          <w:rStyle w:val="Hyperlink"/>
          <w:rFonts w:asciiTheme="majorHAnsi" w:eastAsiaTheme="majorEastAsia" w:hAnsiTheme="majorHAnsi" w:cstheme="majorBidi"/>
          <w:b/>
          <w:color w:val="auto"/>
          <w:u w:val="none"/>
        </w:rPr>
        <w:t>status quo</w:t>
      </w:r>
      <w:r w:rsidRPr="006A74F8">
        <w:rPr>
          <w:rStyle w:val="Hyperlink"/>
          <w:rFonts w:asciiTheme="majorHAnsi" w:eastAsiaTheme="majorEastAsia" w:hAnsiTheme="majorHAnsi" w:cstheme="majorBidi"/>
          <w:color w:val="auto"/>
          <w:u w:val="none"/>
        </w:rPr>
        <w:t xml:space="preserve">, </w:t>
      </w:r>
      <w:r w:rsidRPr="006A74F8">
        <w:t>manufacturers and importers are collectively estimated to have an annual labour cost</w:t>
      </w:r>
      <w:r w:rsidRPr="006A74F8">
        <w:rPr>
          <w:rStyle w:val="Hyperlink"/>
          <w:rFonts w:asciiTheme="majorHAnsi" w:eastAsiaTheme="majorEastAsia" w:hAnsiTheme="majorHAnsi" w:cstheme="majorBidi"/>
          <w:color w:val="auto"/>
          <w:u w:val="none"/>
        </w:rPr>
        <w:t xml:space="preserve"> of $8.1m</w:t>
      </w:r>
      <w:r w:rsidRPr="006A74F8">
        <w:rPr>
          <w:rStyle w:val="Hyperlink"/>
          <w:rFonts w:asciiTheme="majorHAnsi" w:eastAsiaTheme="majorEastAsia" w:hAnsiTheme="majorHAnsi" w:cstheme="majorBidi"/>
          <w:b/>
          <w:color w:val="auto"/>
          <w:u w:val="none"/>
        </w:rPr>
        <w:t>,</w:t>
      </w:r>
      <w:r w:rsidRPr="006A74F8">
        <w:rPr>
          <w:rStyle w:val="Hyperlink"/>
          <w:rFonts w:asciiTheme="majorHAnsi" w:eastAsiaTheme="majorEastAsia" w:hAnsiTheme="majorHAnsi" w:cstheme="majorBidi"/>
          <w:color w:val="auto"/>
          <w:u w:val="none"/>
        </w:rPr>
        <w:t xml:space="preserve"> based on spending 1.5 hours of staff time per business to understand</w:t>
      </w:r>
      <w:r w:rsidRPr="006A74F8">
        <w:t xml:space="preserve"> complex marking requirements in order to ensure packaging is compliant</w:t>
      </w:r>
      <w:r w:rsidRPr="006A74F8">
        <w:rPr>
          <w:rStyle w:val="Hyperlink"/>
          <w:rFonts w:asciiTheme="majorHAnsi" w:eastAsiaTheme="majorEastAsia" w:hAnsiTheme="majorHAnsi" w:cstheme="majorBidi"/>
          <w:color w:val="auto"/>
          <w:u w:val="none"/>
        </w:rPr>
        <w:t xml:space="preserve">. Under </w:t>
      </w:r>
      <w:r w:rsidR="00D23363" w:rsidRPr="006A74F8">
        <w:rPr>
          <w:rStyle w:val="Hyperlink"/>
          <w:rFonts w:asciiTheme="majorHAnsi" w:eastAsiaTheme="majorEastAsia" w:hAnsiTheme="majorHAnsi" w:cstheme="majorBidi"/>
          <w:color w:val="auto"/>
          <w:u w:val="none"/>
        </w:rPr>
        <w:t>all options</w:t>
      </w:r>
      <w:r w:rsidRPr="006A74F8">
        <w:rPr>
          <w:rStyle w:val="Hyperlink"/>
          <w:rFonts w:asciiTheme="majorHAnsi" w:eastAsiaTheme="majorEastAsia" w:hAnsiTheme="majorHAnsi" w:cstheme="majorBidi"/>
          <w:color w:val="auto"/>
          <w:u w:val="none"/>
        </w:rPr>
        <w:t xml:space="preserve">, this time cost is expected to be reduced to </w:t>
      </w:r>
      <w:r w:rsidR="000C4913" w:rsidRPr="006A74F8">
        <w:rPr>
          <w:rStyle w:val="Hyperlink"/>
          <w:rFonts w:asciiTheme="majorHAnsi" w:eastAsiaTheme="majorEastAsia" w:hAnsiTheme="majorHAnsi" w:cstheme="majorBidi"/>
          <w:color w:val="auto"/>
          <w:u w:val="none"/>
        </w:rPr>
        <w:t>one</w:t>
      </w:r>
      <w:r w:rsidRPr="006A74F8">
        <w:rPr>
          <w:rStyle w:val="Hyperlink"/>
          <w:rFonts w:asciiTheme="majorHAnsi" w:eastAsiaTheme="majorEastAsia" w:hAnsiTheme="majorHAnsi" w:cstheme="majorBidi"/>
          <w:color w:val="auto"/>
          <w:u w:val="none"/>
        </w:rPr>
        <w:t xml:space="preserve"> hour</w:t>
      </w:r>
      <w:r w:rsidR="00D23363" w:rsidRPr="006A74F8">
        <w:rPr>
          <w:rStyle w:val="Hyperlink"/>
          <w:rFonts w:asciiTheme="majorHAnsi" w:eastAsiaTheme="majorEastAsia" w:hAnsiTheme="majorHAnsi" w:cstheme="majorBidi"/>
          <w:color w:val="auto"/>
          <w:u w:val="none"/>
        </w:rPr>
        <w:t xml:space="preserve"> or less</w:t>
      </w:r>
      <w:r w:rsidRPr="006A74F8">
        <w:rPr>
          <w:rStyle w:val="Hyperlink"/>
          <w:rFonts w:asciiTheme="majorHAnsi" w:eastAsiaTheme="majorEastAsia" w:hAnsiTheme="majorHAnsi" w:cstheme="majorBidi"/>
          <w:color w:val="auto"/>
          <w:u w:val="none"/>
        </w:rPr>
        <w:t xml:space="preserve"> saving </w:t>
      </w:r>
      <w:r w:rsidR="00D23363" w:rsidRPr="006A74F8">
        <w:rPr>
          <w:rStyle w:val="Hyperlink"/>
          <w:rFonts w:asciiTheme="majorHAnsi" w:eastAsiaTheme="majorEastAsia" w:hAnsiTheme="majorHAnsi" w:cstheme="majorBidi"/>
          <w:color w:val="auto"/>
          <w:u w:val="none"/>
        </w:rPr>
        <w:t>at least</w:t>
      </w:r>
      <w:r w:rsidRPr="006A74F8">
        <w:rPr>
          <w:rStyle w:val="Hyperlink"/>
          <w:rFonts w:asciiTheme="majorHAnsi" w:eastAsiaTheme="majorEastAsia" w:hAnsiTheme="majorHAnsi" w:cstheme="majorBidi"/>
          <w:color w:val="auto"/>
          <w:u w:val="none"/>
        </w:rPr>
        <w:t xml:space="preserve"> $2.7m</w:t>
      </w:r>
      <w:r w:rsidR="00D23363" w:rsidRPr="006A74F8">
        <w:rPr>
          <w:rStyle w:val="Hyperlink"/>
          <w:rFonts w:asciiTheme="majorHAnsi" w:eastAsiaTheme="majorEastAsia" w:hAnsiTheme="majorHAnsi" w:cstheme="majorBidi"/>
          <w:color w:val="auto"/>
          <w:u w:val="none"/>
        </w:rPr>
        <w:t xml:space="preserve"> annually</w:t>
      </w:r>
      <w:r w:rsidRPr="006A74F8">
        <w:rPr>
          <w:rStyle w:val="Hyperlink"/>
          <w:rFonts w:asciiTheme="majorHAnsi" w:eastAsiaTheme="majorEastAsia" w:hAnsiTheme="majorHAnsi" w:cstheme="majorBidi"/>
          <w:color w:val="auto"/>
          <w:u w:val="none"/>
        </w:rPr>
        <w:t xml:space="preserve">.  </w:t>
      </w:r>
    </w:p>
    <w:p w:rsidR="009D11B4" w:rsidRPr="006A74F8" w:rsidRDefault="00EB19FE" w:rsidP="00F65BFB">
      <w:pPr>
        <w:pStyle w:val="Heading4"/>
      </w:pPr>
      <w:r w:rsidRPr="006A74F8">
        <w:t>Regulations</w:t>
      </w:r>
      <w:r w:rsidR="009D11B4" w:rsidRPr="006A74F8">
        <w:t xml:space="preserve"> over measuring instruments</w:t>
      </w:r>
    </w:p>
    <w:p w:rsidR="003B5BE3" w:rsidRPr="006A74F8" w:rsidRDefault="003B5BE3" w:rsidP="003B5BE3">
      <w:pPr>
        <w:pStyle w:val="Caption"/>
        <w:keepNext/>
      </w:pPr>
      <w:r w:rsidRPr="006A74F8">
        <w:t xml:space="preserve">Table </w:t>
      </w:r>
      <w:r w:rsidR="009853E6" w:rsidRPr="006A74F8">
        <w:rPr>
          <w:noProof/>
        </w:rPr>
        <w:fldChar w:fldCharType="begin"/>
      </w:r>
      <w:r w:rsidR="009853E6" w:rsidRPr="006A74F8">
        <w:rPr>
          <w:noProof/>
        </w:rPr>
        <w:instrText xml:space="preserve"> SEQ Table \* ARABIC </w:instrText>
      </w:r>
      <w:r w:rsidR="009853E6" w:rsidRPr="006A74F8">
        <w:rPr>
          <w:noProof/>
        </w:rPr>
        <w:fldChar w:fldCharType="separate"/>
      </w:r>
      <w:r w:rsidR="0033017F">
        <w:rPr>
          <w:noProof/>
        </w:rPr>
        <w:t>9</w:t>
      </w:r>
      <w:r w:rsidR="009853E6" w:rsidRPr="006A74F8">
        <w:rPr>
          <w:noProof/>
        </w:rPr>
        <w:fldChar w:fldCharType="end"/>
      </w:r>
      <w:r w:rsidRPr="006A74F8">
        <w:t>: Regulatory burden costing summary for changes to measuring instruments</w:t>
      </w:r>
    </w:p>
    <w:tbl>
      <w:tblPr>
        <w:tblStyle w:val="TableGrid"/>
        <w:tblW w:w="9067" w:type="dxa"/>
        <w:tblLayout w:type="fixed"/>
        <w:tblLook w:val="04A0" w:firstRow="1" w:lastRow="0" w:firstColumn="1" w:lastColumn="0" w:noHBand="0" w:noVBand="1"/>
        <w:tblCaption w:val="Table 9: Regulatory burden costing summary for changes to measuring instruments"/>
        <w:tblDescription w:val="Option 1 provides: Potential  savings from reduced volume of instruments to approve -$0.01m. and savings from improved efficiencies is -$0.14m. Option 2 provides: Greater savings from reduced volume of instruments to approve -$0.04m and Savings from improved efficiencies is -$0.28m. Option 3 provides Greater savings from reduced volume of instruments to approve -$0.04m. Plus an unquantifiable contingent increase in regulatory burden on measuring instruments for regulatory purposes. Savings from improved efficiencies- $0.28m. Plus an unquantifiable contingent increase in regulatory burden on measuring instruments for regulatory purposes. also provides Unquantifiable increase in regulatory burden on measuring instruments for regulatory purposes&#10;&#10;&#10;&#10;"/>
      </w:tblPr>
      <w:tblGrid>
        <w:gridCol w:w="1413"/>
        <w:gridCol w:w="1559"/>
        <w:gridCol w:w="1559"/>
        <w:gridCol w:w="1843"/>
        <w:gridCol w:w="2693"/>
      </w:tblGrid>
      <w:tr w:rsidR="001468FD" w:rsidRPr="006A74F8" w:rsidTr="001946E7">
        <w:trPr>
          <w:trHeight w:val="329"/>
          <w:tblHeader/>
        </w:trPr>
        <w:tc>
          <w:tcPr>
            <w:tcW w:w="1413" w:type="dxa"/>
            <w:shd w:val="clear" w:color="auto" w:fill="1F3864"/>
          </w:tcPr>
          <w:p w:rsidR="001468FD" w:rsidRPr="006A74F8" w:rsidRDefault="001468FD" w:rsidP="006D4B98">
            <w:pPr>
              <w:rPr>
                <w:rStyle w:val="Hyperlink"/>
                <w:b/>
                <w:color w:val="auto"/>
                <w:u w:val="none"/>
              </w:rPr>
            </w:pPr>
            <w:r w:rsidRPr="006A74F8">
              <w:rPr>
                <w:rStyle w:val="Hyperlink"/>
                <w:b/>
                <w:color w:val="auto"/>
                <w:u w:val="none"/>
              </w:rPr>
              <w:t>Area of regulatory burden</w:t>
            </w:r>
          </w:p>
        </w:tc>
        <w:tc>
          <w:tcPr>
            <w:tcW w:w="1559" w:type="dxa"/>
            <w:shd w:val="clear" w:color="auto" w:fill="1F3864"/>
          </w:tcPr>
          <w:p w:rsidR="00126D41" w:rsidRPr="006A74F8" w:rsidRDefault="00126D41" w:rsidP="00126D41">
            <w:pPr>
              <w:rPr>
                <w:rStyle w:val="Hyperlink"/>
                <w:b/>
                <w:color w:val="auto"/>
                <w:u w:val="none"/>
              </w:rPr>
            </w:pPr>
            <w:r w:rsidRPr="006A74F8">
              <w:rPr>
                <w:rStyle w:val="Hyperlink"/>
                <w:b/>
                <w:color w:val="auto"/>
                <w:u w:val="none"/>
              </w:rPr>
              <w:t>Stakeholder</w:t>
            </w:r>
          </w:p>
        </w:tc>
        <w:tc>
          <w:tcPr>
            <w:tcW w:w="1559" w:type="dxa"/>
            <w:shd w:val="clear" w:color="auto" w:fill="1F3864"/>
          </w:tcPr>
          <w:p w:rsidR="001468FD" w:rsidRPr="006A74F8" w:rsidRDefault="001468FD" w:rsidP="006D4B98">
            <w:pPr>
              <w:rPr>
                <w:rStyle w:val="Hyperlink"/>
                <w:b/>
                <w:color w:val="auto"/>
                <w:u w:val="none"/>
              </w:rPr>
            </w:pPr>
            <w:r w:rsidRPr="006A74F8">
              <w:rPr>
                <w:rStyle w:val="Hyperlink"/>
                <w:b/>
                <w:color w:val="auto"/>
                <w:u w:val="none"/>
              </w:rPr>
              <w:t>Option 1</w:t>
            </w:r>
          </w:p>
        </w:tc>
        <w:tc>
          <w:tcPr>
            <w:tcW w:w="1843" w:type="dxa"/>
            <w:shd w:val="clear" w:color="auto" w:fill="1F3864"/>
          </w:tcPr>
          <w:p w:rsidR="001468FD" w:rsidRPr="006A74F8" w:rsidRDefault="001468FD" w:rsidP="006D4B98">
            <w:pPr>
              <w:rPr>
                <w:rStyle w:val="Hyperlink"/>
                <w:b/>
                <w:color w:val="auto"/>
                <w:u w:val="none"/>
              </w:rPr>
            </w:pPr>
            <w:r w:rsidRPr="006A74F8">
              <w:rPr>
                <w:rStyle w:val="Hyperlink"/>
                <w:b/>
                <w:color w:val="auto"/>
                <w:u w:val="none"/>
              </w:rPr>
              <w:t>Option 2</w:t>
            </w:r>
          </w:p>
        </w:tc>
        <w:tc>
          <w:tcPr>
            <w:tcW w:w="2693" w:type="dxa"/>
            <w:shd w:val="clear" w:color="auto" w:fill="1F3864"/>
          </w:tcPr>
          <w:p w:rsidR="001468FD" w:rsidRPr="006A74F8" w:rsidRDefault="001468FD" w:rsidP="006D4B98">
            <w:pPr>
              <w:rPr>
                <w:rStyle w:val="Hyperlink"/>
                <w:b/>
                <w:color w:val="auto"/>
                <w:u w:val="none"/>
              </w:rPr>
            </w:pPr>
            <w:r w:rsidRPr="006A74F8">
              <w:rPr>
                <w:rStyle w:val="Hyperlink"/>
                <w:b/>
                <w:color w:val="auto"/>
                <w:u w:val="none"/>
              </w:rPr>
              <w:t>Option 3</w:t>
            </w:r>
          </w:p>
        </w:tc>
      </w:tr>
      <w:tr w:rsidR="001468FD" w:rsidRPr="006A74F8" w:rsidTr="0003299F">
        <w:trPr>
          <w:trHeight w:val="437"/>
        </w:trPr>
        <w:tc>
          <w:tcPr>
            <w:tcW w:w="1413" w:type="dxa"/>
          </w:tcPr>
          <w:p w:rsidR="001468FD" w:rsidRPr="006A74F8" w:rsidRDefault="001468FD" w:rsidP="009A47CA">
            <w:pPr>
              <w:rPr>
                <w:rStyle w:val="Hyperlink"/>
                <w:rFonts w:cstheme="minorHAnsi"/>
                <w:color w:val="auto"/>
                <w:u w:val="none"/>
              </w:rPr>
            </w:pPr>
            <w:r w:rsidRPr="006A74F8">
              <w:rPr>
                <w:rFonts w:cstheme="minorHAnsi"/>
              </w:rPr>
              <w:t>Pattern approval (PA)</w:t>
            </w:r>
          </w:p>
        </w:tc>
        <w:tc>
          <w:tcPr>
            <w:tcW w:w="1559" w:type="dxa"/>
          </w:tcPr>
          <w:p w:rsidR="00126D41" w:rsidRPr="006A74F8" w:rsidRDefault="00126D41" w:rsidP="008F5EEA">
            <w:pPr>
              <w:rPr>
                <w:rFonts w:cstheme="minorHAnsi"/>
              </w:rPr>
            </w:pPr>
            <w:r w:rsidRPr="006A74F8">
              <w:rPr>
                <w:rFonts w:cstheme="minorHAnsi"/>
              </w:rPr>
              <w:t>Instrument Manufacturers</w:t>
            </w:r>
          </w:p>
        </w:tc>
        <w:tc>
          <w:tcPr>
            <w:tcW w:w="1559" w:type="dxa"/>
          </w:tcPr>
          <w:p w:rsidR="00752C83" w:rsidRPr="006A74F8" w:rsidRDefault="00EB19FE" w:rsidP="008F5EEA">
            <w:pPr>
              <w:rPr>
                <w:rFonts w:cstheme="minorHAnsi"/>
              </w:rPr>
            </w:pPr>
            <w:r w:rsidRPr="006A74F8">
              <w:rPr>
                <w:rFonts w:cstheme="minorHAnsi"/>
                <w:b/>
              </w:rPr>
              <w:t>P</w:t>
            </w:r>
            <w:r w:rsidR="004617F8" w:rsidRPr="006A74F8">
              <w:rPr>
                <w:rFonts w:cstheme="minorHAnsi"/>
                <w:b/>
              </w:rPr>
              <w:t>otential  savings</w:t>
            </w:r>
            <w:r w:rsidR="004617F8" w:rsidRPr="006A74F8">
              <w:rPr>
                <w:rFonts w:cstheme="minorHAnsi"/>
              </w:rPr>
              <w:t xml:space="preserve"> from reduced volume of instruments to approve</w:t>
            </w:r>
          </w:p>
          <w:p w:rsidR="001468FD" w:rsidRPr="006A74F8" w:rsidRDefault="00126D41" w:rsidP="008F5EEA">
            <w:pPr>
              <w:rPr>
                <w:rFonts w:cstheme="minorHAnsi"/>
              </w:rPr>
            </w:pPr>
            <w:r w:rsidRPr="006A74F8" w:rsidDel="004617F8">
              <w:rPr>
                <w:rFonts w:cstheme="minorHAnsi"/>
                <w:b/>
              </w:rPr>
              <w:t>-$</w:t>
            </w:r>
            <w:r w:rsidR="00286D9D" w:rsidRPr="006A74F8">
              <w:rPr>
                <w:rFonts w:cstheme="minorHAnsi"/>
                <w:b/>
              </w:rPr>
              <w:t>0.01m</w:t>
            </w:r>
            <w:r w:rsidR="001468FD" w:rsidRPr="006A74F8" w:rsidDel="004617F8">
              <w:rPr>
                <w:rFonts w:cstheme="minorHAnsi"/>
              </w:rPr>
              <w:t xml:space="preserve"> </w:t>
            </w:r>
          </w:p>
          <w:p w:rsidR="001468FD" w:rsidRPr="006A74F8" w:rsidRDefault="001468FD" w:rsidP="008F5EEA">
            <w:pPr>
              <w:rPr>
                <w:rStyle w:val="Hyperlink"/>
                <w:rFonts w:cstheme="minorHAnsi"/>
                <w:color w:val="auto"/>
                <w:u w:val="none"/>
              </w:rPr>
            </w:pPr>
          </w:p>
        </w:tc>
        <w:tc>
          <w:tcPr>
            <w:tcW w:w="1559" w:type="dxa"/>
          </w:tcPr>
          <w:p w:rsidR="00752C83" w:rsidRPr="006A74F8" w:rsidRDefault="00EB19FE" w:rsidP="00960C75">
            <w:pPr>
              <w:rPr>
                <w:rFonts w:cstheme="minorHAnsi"/>
              </w:rPr>
            </w:pPr>
            <w:r w:rsidRPr="006A74F8">
              <w:rPr>
                <w:rFonts w:cstheme="minorHAnsi"/>
                <w:b/>
              </w:rPr>
              <w:t>Greater</w:t>
            </w:r>
            <w:r w:rsidR="004617F8" w:rsidRPr="006A74F8">
              <w:rPr>
                <w:rFonts w:cstheme="minorHAnsi"/>
                <w:b/>
              </w:rPr>
              <w:t xml:space="preserve"> savings</w:t>
            </w:r>
            <w:r w:rsidR="004617F8" w:rsidRPr="006A74F8">
              <w:rPr>
                <w:rFonts w:cstheme="minorHAnsi"/>
              </w:rPr>
              <w:t xml:space="preserve"> from reduced volume of instruments to approve</w:t>
            </w:r>
          </w:p>
          <w:p w:rsidR="001468FD" w:rsidRPr="006A74F8" w:rsidRDefault="001468FD" w:rsidP="00960C75">
            <w:pPr>
              <w:rPr>
                <w:rFonts w:cstheme="minorHAnsi"/>
              </w:rPr>
            </w:pPr>
            <w:r w:rsidRPr="006A74F8" w:rsidDel="004617F8">
              <w:rPr>
                <w:rFonts w:cstheme="minorHAnsi"/>
                <w:b/>
              </w:rPr>
              <w:t>-$</w:t>
            </w:r>
            <w:r w:rsidR="00286D9D" w:rsidRPr="006A74F8">
              <w:rPr>
                <w:rFonts w:cstheme="minorHAnsi"/>
                <w:b/>
              </w:rPr>
              <w:t>0.04m</w:t>
            </w:r>
            <w:r w:rsidRPr="006A74F8" w:rsidDel="004617F8">
              <w:rPr>
                <w:rFonts w:cstheme="minorHAnsi"/>
                <w:b/>
              </w:rPr>
              <w:t xml:space="preserve"> </w:t>
            </w:r>
          </w:p>
          <w:p w:rsidR="001468FD" w:rsidRPr="006A74F8" w:rsidRDefault="001468FD" w:rsidP="008F5EEA">
            <w:pPr>
              <w:rPr>
                <w:rStyle w:val="Hyperlink"/>
                <w:rFonts w:cstheme="minorHAnsi"/>
                <w:color w:val="auto"/>
                <w:u w:val="none"/>
              </w:rPr>
            </w:pPr>
          </w:p>
          <w:p w:rsidR="00017965" w:rsidRPr="006A74F8" w:rsidRDefault="00017965" w:rsidP="008F5EEA">
            <w:pPr>
              <w:rPr>
                <w:rStyle w:val="Hyperlink"/>
                <w:rFonts w:cstheme="minorHAnsi"/>
                <w:color w:val="auto"/>
                <w:u w:val="none"/>
              </w:rPr>
            </w:pPr>
          </w:p>
          <w:p w:rsidR="00EB19FE" w:rsidRPr="006A74F8" w:rsidRDefault="00EB19FE" w:rsidP="00960C75">
            <w:pPr>
              <w:rPr>
                <w:rFonts w:cstheme="minorHAnsi"/>
                <w:b/>
              </w:rPr>
            </w:pPr>
          </w:p>
        </w:tc>
        <w:tc>
          <w:tcPr>
            <w:tcW w:w="2693" w:type="dxa"/>
          </w:tcPr>
          <w:p w:rsidR="00431FFA" w:rsidRPr="006A74F8" w:rsidRDefault="006D5B87" w:rsidP="006D5B87">
            <w:pPr>
              <w:rPr>
                <w:rFonts w:cstheme="minorHAnsi"/>
              </w:rPr>
            </w:pPr>
            <w:r w:rsidRPr="006A74F8">
              <w:rPr>
                <w:rFonts w:cstheme="minorHAnsi"/>
                <w:b/>
              </w:rPr>
              <w:t>Greater savings</w:t>
            </w:r>
            <w:r w:rsidRPr="006A74F8">
              <w:rPr>
                <w:rFonts w:cstheme="minorHAnsi"/>
              </w:rPr>
              <w:t xml:space="preserve"> from reduced volume of instruments </w:t>
            </w:r>
            <w:r w:rsidR="001468FD" w:rsidRPr="006A74F8">
              <w:rPr>
                <w:rFonts w:cstheme="minorHAnsi"/>
              </w:rPr>
              <w:t xml:space="preserve">to </w:t>
            </w:r>
            <w:r w:rsidRPr="006A74F8">
              <w:rPr>
                <w:rFonts w:cstheme="minorHAnsi"/>
              </w:rPr>
              <w:t>approve</w:t>
            </w:r>
            <w:r w:rsidRPr="006A74F8" w:rsidDel="004617F8">
              <w:rPr>
                <w:rFonts w:cstheme="minorHAnsi"/>
              </w:rPr>
              <w:t>-</w:t>
            </w:r>
          </w:p>
          <w:p w:rsidR="006D5B87" w:rsidRPr="006A74F8" w:rsidRDefault="006D5B87" w:rsidP="006D5B87">
            <w:pPr>
              <w:rPr>
                <w:rFonts w:cstheme="minorHAnsi"/>
              </w:rPr>
            </w:pPr>
            <w:r w:rsidRPr="006A74F8" w:rsidDel="004617F8">
              <w:rPr>
                <w:rFonts w:cstheme="minorHAnsi"/>
                <w:b/>
              </w:rPr>
              <w:t>-$</w:t>
            </w:r>
            <w:r w:rsidR="00286D9D" w:rsidRPr="006A74F8">
              <w:rPr>
                <w:rFonts w:cstheme="minorHAnsi"/>
                <w:b/>
              </w:rPr>
              <w:t>0.04m</w:t>
            </w:r>
          </w:p>
          <w:p w:rsidR="006D5B87" w:rsidRPr="006A74F8" w:rsidRDefault="006D5B87" w:rsidP="006D5B87">
            <w:pPr>
              <w:rPr>
                <w:rStyle w:val="Hyperlink"/>
                <w:rFonts w:cstheme="minorHAnsi"/>
                <w:color w:val="auto"/>
                <w:u w:val="none"/>
              </w:rPr>
            </w:pPr>
          </w:p>
          <w:p w:rsidR="001468FD" w:rsidRPr="006A74F8" w:rsidRDefault="00431FFA" w:rsidP="00960C75">
            <w:pPr>
              <w:rPr>
                <w:rStyle w:val="Hyperlink"/>
                <w:rFonts w:cstheme="minorHAnsi"/>
                <w:color w:val="auto"/>
                <w:u w:val="none"/>
              </w:rPr>
            </w:pPr>
            <w:r w:rsidRPr="006A74F8">
              <w:rPr>
                <w:rStyle w:val="Hyperlink"/>
                <w:rFonts w:cstheme="minorHAnsi"/>
                <w:color w:val="auto"/>
                <w:u w:val="none"/>
              </w:rPr>
              <w:t>Plus</w:t>
            </w:r>
            <w:r w:rsidR="006D5B87" w:rsidRPr="006A74F8">
              <w:rPr>
                <w:rStyle w:val="Hyperlink"/>
                <w:rFonts w:cstheme="minorHAnsi"/>
                <w:color w:val="auto"/>
                <w:u w:val="none"/>
              </w:rPr>
              <w:t xml:space="preserve"> an unquantifiable contingent increase</w:t>
            </w:r>
            <w:r w:rsidR="006D5B87" w:rsidRPr="006A74F8">
              <w:rPr>
                <w:rStyle w:val="Hyperlink"/>
                <w:rFonts w:cstheme="minorHAnsi"/>
                <w:b/>
                <w:color w:val="auto"/>
                <w:u w:val="none"/>
              </w:rPr>
              <w:t xml:space="preserve"> </w:t>
            </w:r>
            <w:r w:rsidR="006D5B87" w:rsidRPr="006A74F8">
              <w:rPr>
                <w:rStyle w:val="Hyperlink"/>
                <w:rFonts w:cstheme="minorHAnsi"/>
                <w:color w:val="auto"/>
                <w:u w:val="none"/>
              </w:rPr>
              <w:t xml:space="preserve">in </w:t>
            </w:r>
            <w:r w:rsidR="001468FD" w:rsidRPr="006A74F8">
              <w:rPr>
                <w:rStyle w:val="Hyperlink"/>
                <w:rFonts w:cstheme="minorHAnsi"/>
                <w:color w:val="auto"/>
                <w:u w:val="none"/>
              </w:rPr>
              <w:t xml:space="preserve">regulatory </w:t>
            </w:r>
            <w:r w:rsidR="006D5B87" w:rsidRPr="006A74F8">
              <w:rPr>
                <w:rStyle w:val="Hyperlink"/>
                <w:rFonts w:cstheme="minorHAnsi"/>
                <w:color w:val="auto"/>
                <w:u w:val="none"/>
              </w:rPr>
              <w:t xml:space="preserve">burden on </w:t>
            </w:r>
            <w:r w:rsidR="001468FD" w:rsidRPr="006A74F8">
              <w:rPr>
                <w:rStyle w:val="Hyperlink"/>
                <w:rFonts w:cstheme="minorHAnsi"/>
                <w:color w:val="auto"/>
                <w:u w:val="none"/>
              </w:rPr>
              <w:t xml:space="preserve">measuring instruments </w:t>
            </w:r>
            <w:r w:rsidR="006D5B87" w:rsidRPr="006A74F8">
              <w:rPr>
                <w:rStyle w:val="Hyperlink"/>
                <w:rFonts w:cstheme="minorHAnsi"/>
                <w:color w:val="auto"/>
                <w:u w:val="none"/>
              </w:rPr>
              <w:t>for regulatory purposes</w:t>
            </w:r>
          </w:p>
        </w:tc>
      </w:tr>
      <w:tr w:rsidR="00EB19FE" w:rsidRPr="006A74F8" w:rsidTr="0003299F">
        <w:trPr>
          <w:trHeight w:val="437"/>
        </w:trPr>
        <w:tc>
          <w:tcPr>
            <w:tcW w:w="1413" w:type="dxa"/>
          </w:tcPr>
          <w:p w:rsidR="00EB19FE" w:rsidRPr="006A74F8" w:rsidRDefault="00EB19FE" w:rsidP="008F5EEA">
            <w:pPr>
              <w:rPr>
                <w:rFonts w:cstheme="minorHAnsi"/>
              </w:rPr>
            </w:pPr>
            <w:r w:rsidRPr="006A74F8">
              <w:rPr>
                <w:rFonts w:cstheme="minorHAnsi"/>
              </w:rPr>
              <w:t>Verification</w:t>
            </w:r>
          </w:p>
        </w:tc>
        <w:tc>
          <w:tcPr>
            <w:tcW w:w="1559" w:type="dxa"/>
          </w:tcPr>
          <w:p w:rsidR="00EB19FE" w:rsidRPr="006A74F8" w:rsidRDefault="00EB19FE" w:rsidP="00EB19FE">
            <w:pPr>
              <w:rPr>
                <w:rFonts w:cstheme="minorHAnsi"/>
              </w:rPr>
            </w:pPr>
            <w:r w:rsidRPr="006A74F8">
              <w:rPr>
                <w:rFonts w:cstheme="minorHAnsi"/>
              </w:rPr>
              <w:t>ATP</w:t>
            </w:r>
          </w:p>
          <w:p w:rsidR="00EB19FE" w:rsidRPr="006A74F8" w:rsidRDefault="00EB19FE" w:rsidP="00EB19FE">
            <w:pPr>
              <w:rPr>
                <w:rFonts w:cstheme="minorHAnsi"/>
              </w:rPr>
            </w:pPr>
            <w:r w:rsidRPr="006A74F8">
              <w:rPr>
                <w:rFonts w:cstheme="minorHAnsi"/>
              </w:rPr>
              <w:t>Business traders</w:t>
            </w:r>
          </w:p>
        </w:tc>
        <w:tc>
          <w:tcPr>
            <w:tcW w:w="1559" w:type="dxa"/>
          </w:tcPr>
          <w:p w:rsidR="00546C04" w:rsidRPr="006A74F8" w:rsidRDefault="00A16C61" w:rsidP="0018227A">
            <w:pPr>
              <w:rPr>
                <w:rFonts w:cstheme="minorHAnsi"/>
              </w:rPr>
            </w:pPr>
            <w:r w:rsidRPr="006A74F8">
              <w:rPr>
                <w:rFonts w:cstheme="minorHAnsi"/>
                <w:b/>
              </w:rPr>
              <w:t>S</w:t>
            </w:r>
            <w:r w:rsidR="0018227A" w:rsidRPr="006A74F8">
              <w:rPr>
                <w:rFonts w:cstheme="minorHAnsi"/>
                <w:b/>
              </w:rPr>
              <w:t>avings</w:t>
            </w:r>
            <w:r w:rsidR="0018227A" w:rsidRPr="006A74F8">
              <w:rPr>
                <w:rFonts w:cstheme="minorHAnsi"/>
              </w:rPr>
              <w:t xml:space="preserve"> </w:t>
            </w:r>
            <w:r w:rsidR="009B28F8" w:rsidRPr="006A74F8">
              <w:rPr>
                <w:rFonts w:cstheme="minorHAnsi"/>
              </w:rPr>
              <w:t xml:space="preserve">from </w:t>
            </w:r>
            <w:r w:rsidR="00431FFA" w:rsidRPr="006A74F8">
              <w:rPr>
                <w:rFonts w:cstheme="minorHAnsi"/>
              </w:rPr>
              <w:t>improved efficiencies</w:t>
            </w:r>
            <w:r w:rsidR="009B28F8" w:rsidRPr="006A74F8">
              <w:rPr>
                <w:rFonts w:cstheme="minorHAnsi"/>
              </w:rPr>
              <w:t xml:space="preserve">: </w:t>
            </w:r>
          </w:p>
          <w:p w:rsidR="0018227A" w:rsidRPr="006A74F8" w:rsidRDefault="009B28F8" w:rsidP="0018227A">
            <w:pPr>
              <w:rPr>
                <w:rFonts w:cstheme="minorHAnsi"/>
              </w:rPr>
            </w:pPr>
            <w:r w:rsidRPr="006A74F8">
              <w:rPr>
                <w:rFonts w:cstheme="minorHAnsi"/>
                <w:b/>
              </w:rPr>
              <w:t>-$</w:t>
            </w:r>
            <w:r w:rsidR="001F60F3" w:rsidRPr="006A74F8">
              <w:rPr>
                <w:rFonts w:cstheme="minorHAnsi"/>
                <w:b/>
              </w:rPr>
              <w:t>0.</w:t>
            </w:r>
            <w:r w:rsidR="00224689" w:rsidRPr="006A74F8">
              <w:rPr>
                <w:rFonts w:cstheme="minorHAnsi"/>
                <w:b/>
              </w:rPr>
              <w:t>1</w:t>
            </w:r>
            <w:r w:rsidR="00431FFA" w:rsidRPr="006A74F8">
              <w:rPr>
                <w:rFonts w:cstheme="minorHAnsi"/>
                <w:b/>
              </w:rPr>
              <w:t>4</w:t>
            </w:r>
            <w:r w:rsidR="001F60F3" w:rsidRPr="006A74F8">
              <w:rPr>
                <w:rFonts w:cstheme="minorHAnsi"/>
                <w:b/>
              </w:rPr>
              <w:t>m</w:t>
            </w:r>
          </w:p>
          <w:p w:rsidR="00EB19FE" w:rsidRPr="006A74F8" w:rsidRDefault="00EB19FE" w:rsidP="008F5EEA">
            <w:pPr>
              <w:rPr>
                <w:rFonts w:cstheme="minorHAnsi"/>
              </w:rPr>
            </w:pPr>
          </w:p>
        </w:tc>
        <w:tc>
          <w:tcPr>
            <w:tcW w:w="1843" w:type="dxa"/>
          </w:tcPr>
          <w:p w:rsidR="00431FFA" w:rsidRPr="006A74F8" w:rsidRDefault="00A16C61" w:rsidP="0018227A">
            <w:pPr>
              <w:rPr>
                <w:rFonts w:cstheme="minorHAnsi"/>
              </w:rPr>
            </w:pPr>
            <w:r w:rsidRPr="006A74F8">
              <w:rPr>
                <w:rFonts w:cstheme="minorHAnsi"/>
                <w:b/>
              </w:rPr>
              <w:t>S</w:t>
            </w:r>
            <w:r w:rsidR="0018227A" w:rsidRPr="006A74F8">
              <w:rPr>
                <w:rFonts w:cstheme="minorHAnsi"/>
                <w:b/>
              </w:rPr>
              <w:t>avings</w:t>
            </w:r>
            <w:r w:rsidR="0018227A" w:rsidRPr="006A74F8">
              <w:rPr>
                <w:rFonts w:cstheme="minorHAnsi"/>
              </w:rPr>
              <w:t xml:space="preserve"> </w:t>
            </w:r>
            <w:r w:rsidR="009B28F8" w:rsidRPr="006A74F8">
              <w:rPr>
                <w:rFonts w:cstheme="minorHAnsi"/>
              </w:rPr>
              <w:t>from</w:t>
            </w:r>
            <w:r w:rsidR="0018227A" w:rsidRPr="006A74F8">
              <w:rPr>
                <w:rFonts w:cstheme="minorHAnsi"/>
              </w:rPr>
              <w:t xml:space="preserve"> </w:t>
            </w:r>
            <w:r w:rsidR="00431FFA" w:rsidRPr="006A74F8">
              <w:rPr>
                <w:rFonts w:cstheme="minorHAnsi"/>
              </w:rPr>
              <w:t>improved efficiencies:</w:t>
            </w:r>
            <w:r w:rsidR="009B28F8" w:rsidRPr="006A74F8">
              <w:rPr>
                <w:rFonts w:cstheme="minorHAnsi"/>
              </w:rPr>
              <w:t xml:space="preserve"> </w:t>
            </w:r>
          </w:p>
          <w:p w:rsidR="0018227A" w:rsidRPr="006A74F8" w:rsidRDefault="009B28F8" w:rsidP="0018227A">
            <w:pPr>
              <w:rPr>
                <w:rFonts w:cstheme="minorHAnsi"/>
              </w:rPr>
            </w:pPr>
            <w:r w:rsidRPr="006A74F8">
              <w:rPr>
                <w:rFonts w:cstheme="minorHAnsi"/>
                <w:b/>
              </w:rPr>
              <w:t>-$</w:t>
            </w:r>
            <w:r w:rsidR="00224689" w:rsidRPr="006A74F8">
              <w:rPr>
                <w:rFonts w:cstheme="minorHAnsi"/>
                <w:b/>
              </w:rPr>
              <w:t>0.</w:t>
            </w:r>
            <w:r w:rsidRPr="006A74F8">
              <w:rPr>
                <w:rFonts w:cstheme="minorHAnsi"/>
                <w:b/>
              </w:rPr>
              <w:t>2</w:t>
            </w:r>
            <w:r w:rsidR="00431FFA" w:rsidRPr="006A74F8">
              <w:rPr>
                <w:rFonts w:cstheme="minorHAnsi"/>
                <w:b/>
              </w:rPr>
              <w:t>8</w:t>
            </w:r>
            <w:r w:rsidRPr="006A74F8">
              <w:rPr>
                <w:rFonts w:cstheme="minorHAnsi"/>
                <w:b/>
              </w:rPr>
              <w:t>m</w:t>
            </w:r>
          </w:p>
          <w:p w:rsidR="00EB19FE" w:rsidRPr="006A74F8" w:rsidRDefault="00EB19FE" w:rsidP="0018227A">
            <w:pPr>
              <w:rPr>
                <w:rFonts w:cstheme="minorHAnsi"/>
              </w:rPr>
            </w:pPr>
          </w:p>
        </w:tc>
        <w:tc>
          <w:tcPr>
            <w:tcW w:w="2693" w:type="dxa"/>
          </w:tcPr>
          <w:p w:rsidR="00431FFA" w:rsidRPr="006A74F8" w:rsidRDefault="00431FFA" w:rsidP="00431FFA">
            <w:pPr>
              <w:rPr>
                <w:rFonts w:cstheme="minorHAnsi"/>
              </w:rPr>
            </w:pPr>
            <w:r w:rsidRPr="006A74F8">
              <w:rPr>
                <w:rFonts w:cstheme="minorHAnsi"/>
                <w:b/>
              </w:rPr>
              <w:t>Savings</w:t>
            </w:r>
            <w:r w:rsidRPr="006A74F8">
              <w:rPr>
                <w:rFonts w:cstheme="minorHAnsi"/>
              </w:rPr>
              <w:t xml:space="preserve"> from improved efficiencies: </w:t>
            </w:r>
          </w:p>
          <w:p w:rsidR="00431FFA" w:rsidRPr="006A74F8" w:rsidRDefault="00431FFA" w:rsidP="00431FFA">
            <w:pPr>
              <w:rPr>
                <w:rFonts w:cstheme="minorHAnsi"/>
              </w:rPr>
            </w:pPr>
            <w:r w:rsidRPr="006A74F8">
              <w:rPr>
                <w:rFonts w:cstheme="minorHAnsi"/>
                <w:b/>
              </w:rPr>
              <w:t>-$0.28m</w:t>
            </w:r>
          </w:p>
          <w:p w:rsidR="006D5B87" w:rsidRPr="006A74F8" w:rsidRDefault="006D5B87" w:rsidP="006D5B87">
            <w:pPr>
              <w:rPr>
                <w:rFonts w:cstheme="minorHAnsi"/>
                <w:b/>
              </w:rPr>
            </w:pPr>
          </w:p>
          <w:p w:rsidR="00EB19FE" w:rsidRPr="006A74F8" w:rsidRDefault="00431FFA" w:rsidP="0018227A">
            <w:pPr>
              <w:rPr>
                <w:rStyle w:val="Hyperlink"/>
                <w:rFonts w:cstheme="minorHAnsi"/>
                <w:b/>
                <w:color w:val="auto"/>
                <w:u w:val="none"/>
              </w:rPr>
            </w:pPr>
            <w:r w:rsidRPr="006A74F8">
              <w:rPr>
                <w:rStyle w:val="Hyperlink"/>
                <w:rFonts w:cstheme="minorHAnsi"/>
                <w:color w:val="auto"/>
                <w:u w:val="none"/>
              </w:rPr>
              <w:t>Plus</w:t>
            </w:r>
            <w:r w:rsidR="006D5B87" w:rsidRPr="006A74F8">
              <w:rPr>
                <w:rStyle w:val="Hyperlink"/>
                <w:rFonts w:cstheme="minorHAnsi"/>
                <w:color w:val="auto"/>
                <w:u w:val="none"/>
              </w:rPr>
              <w:t xml:space="preserve"> an unquantifiable contingent increase</w:t>
            </w:r>
            <w:r w:rsidR="006D5B87" w:rsidRPr="006A74F8">
              <w:rPr>
                <w:rStyle w:val="Hyperlink"/>
                <w:rFonts w:cstheme="minorHAnsi"/>
                <w:b/>
                <w:color w:val="auto"/>
                <w:u w:val="none"/>
              </w:rPr>
              <w:t xml:space="preserve"> </w:t>
            </w:r>
            <w:r w:rsidR="006D5B87" w:rsidRPr="006A74F8">
              <w:rPr>
                <w:rStyle w:val="Hyperlink"/>
                <w:rFonts w:cstheme="minorHAnsi"/>
                <w:color w:val="auto"/>
                <w:u w:val="none"/>
              </w:rPr>
              <w:t xml:space="preserve">in </w:t>
            </w:r>
            <w:r w:rsidR="0018227A" w:rsidRPr="006A74F8">
              <w:rPr>
                <w:rStyle w:val="Hyperlink"/>
                <w:rFonts w:cstheme="minorHAnsi"/>
                <w:color w:val="auto"/>
                <w:u w:val="none"/>
              </w:rPr>
              <w:t xml:space="preserve">regulatory </w:t>
            </w:r>
            <w:r w:rsidR="006D5B87" w:rsidRPr="006A74F8">
              <w:rPr>
                <w:rStyle w:val="Hyperlink"/>
                <w:rFonts w:cstheme="minorHAnsi"/>
                <w:color w:val="auto"/>
                <w:u w:val="none"/>
              </w:rPr>
              <w:t xml:space="preserve">burden on </w:t>
            </w:r>
            <w:r w:rsidR="0018227A" w:rsidRPr="006A74F8">
              <w:rPr>
                <w:rStyle w:val="Hyperlink"/>
                <w:rFonts w:cstheme="minorHAnsi"/>
                <w:color w:val="auto"/>
                <w:u w:val="none"/>
              </w:rPr>
              <w:t>measuring instruments</w:t>
            </w:r>
            <w:r w:rsidR="006D5B87" w:rsidRPr="006A74F8">
              <w:rPr>
                <w:rStyle w:val="Hyperlink"/>
                <w:rFonts w:cstheme="minorHAnsi"/>
                <w:color w:val="auto"/>
                <w:u w:val="none"/>
              </w:rPr>
              <w:t xml:space="preserve"> for regulatory purposes</w:t>
            </w:r>
          </w:p>
        </w:tc>
      </w:tr>
      <w:tr w:rsidR="001468FD" w:rsidRPr="006A74F8" w:rsidTr="0003299F">
        <w:trPr>
          <w:trHeight w:val="437"/>
        </w:trPr>
        <w:tc>
          <w:tcPr>
            <w:tcW w:w="1413" w:type="dxa"/>
          </w:tcPr>
          <w:p w:rsidR="001468FD" w:rsidRPr="006A74F8" w:rsidRDefault="0018227A" w:rsidP="008F5EEA">
            <w:pPr>
              <w:rPr>
                <w:rFonts w:cstheme="minorHAnsi"/>
              </w:rPr>
            </w:pPr>
            <w:r w:rsidRPr="006A74F8">
              <w:rPr>
                <w:rFonts w:cstheme="minorHAnsi"/>
              </w:rPr>
              <w:t>Other</w:t>
            </w:r>
            <w:r w:rsidR="001468FD" w:rsidRPr="006A74F8">
              <w:rPr>
                <w:rFonts w:cstheme="minorHAnsi"/>
              </w:rPr>
              <w:t xml:space="preserve"> control mechanisms</w:t>
            </w:r>
          </w:p>
        </w:tc>
        <w:tc>
          <w:tcPr>
            <w:tcW w:w="1559" w:type="dxa"/>
          </w:tcPr>
          <w:p w:rsidR="00126D41" w:rsidRPr="006A74F8" w:rsidRDefault="00126D41" w:rsidP="008F5EEA">
            <w:pPr>
              <w:rPr>
                <w:rFonts w:cstheme="minorHAnsi"/>
              </w:rPr>
            </w:pPr>
            <w:r w:rsidRPr="006A74F8">
              <w:rPr>
                <w:rFonts w:cstheme="minorHAnsi"/>
              </w:rPr>
              <w:t>Instrument Manufacturers</w:t>
            </w:r>
          </w:p>
        </w:tc>
        <w:tc>
          <w:tcPr>
            <w:tcW w:w="1559" w:type="dxa"/>
          </w:tcPr>
          <w:p w:rsidR="001468FD" w:rsidRPr="006A74F8" w:rsidRDefault="00647DAC" w:rsidP="008F5EEA">
            <w:pPr>
              <w:rPr>
                <w:rFonts w:cstheme="minorHAnsi"/>
              </w:rPr>
            </w:pPr>
            <w:r w:rsidRPr="006A74F8">
              <w:rPr>
                <w:rFonts w:cstheme="minorHAnsi"/>
              </w:rPr>
              <w:t>N/A</w:t>
            </w:r>
          </w:p>
        </w:tc>
        <w:tc>
          <w:tcPr>
            <w:tcW w:w="1843" w:type="dxa"/>
          </w:tcPr>
          <w:p w:rsidR="001468FD" w:rsidRPr="006A74F8" w:rsidRDefault="001468FD" w:rsidP="00960C75">
            <w:pPr>
              <w:rPr>
                <w:rFonts w:cstheme="minorHAnsi"/>
              </w:rPr>
            </w:pPr>
            <w:r w:rsidRPr="006A74F8">
              <w:rPr>
                <w:rFonts w:cstheme="minorHAnsi"/>
                <w:b/>
              </w:rPr>
              <w:t>Unquantifiable</w:t>
            </w:r>
            <w:r w:rsidRPr="006A74F8">
              <w:rPr>
                <w:rFonts w:cstheme="minorHAnsi"/>
              </w:rPr>
              <w:t xml:space="preserve"> – burden to be determined in future</w:t>
            </w:r>
          </w:p>
        </w:tc>
        <w:tc>
          <w:tcPr>
            <w:tcW w:w="2693" w:type="dxa"/>
          </w:tcPr>
          <w:p w:rsidR="001468FD" w:rsidRPr="006A74F8" w:rsidRDefault="001468FD" w:rsidP="001468FD">
            <w:pPr>
              <w:rPr>
                <w:rStyle w:val="Hyperlink"/>
                <w:rFonts w:cstheme="minorHAnsi"/>
                <w:color w:val="auto"/>
                <w:u w:val="none"/>
              </w:rPr>
            </w:pPr>
            <w:r w:rsidRPr="006A74F8">
              <w:rPr>
                <w:rStyle w:val="Hyperlink"/>
                <w:rFonts w:cstheme="minorHAnsi"/>
                <w:b/>
                <w:color w:val="auto"/>
                <w:u w:val="none"/>
              </w:rPr>
              <w:t>Unquantifiable increase</w:t>
            </w:r>
            <w:r w:rsidRPr="006A74F8">
              <w:rPr>
                <w:rStyle w:val="Hyperlink"/>
                <w:rFonts w:cstheme="minorHAnsi"/>
                <w:color w:val="auto"/>
                <w:u w:val="none"/>
              </w:rPr>
              <w:t xml:space="preserve"> in regulatory burden on measuring instruments for regulatory purposes</w:t>
            </w:r>
          </w:p>
        </w:tc>
      </w:tr>
    </w:tbl>
    <w:p w:rsidR="00BD448C" w:rsidRPr="006A74F8" w:rsidRDefault="00647DAC" w:rsidP="00566FD0">
      <w:pPr>
        <w:spacing w:before="240"/>
      </w:pPr>
      <w:r w:rsidRPr="006A74F8">
        <w:t xml:space="preserve">Under the </w:t>
      </w:r>
      <w:r w:rsidRPr="006A74F8">
        <w:rPr>
          <w:b/>
        </w:rPr>
        <w:t xml:space="preserve">status quo </w:t>
      </w:r>
      <w:r w:rsidRPr="006A74F8">
        <w:t xml:space="preserve">there is an annual regulatory burden associated with pattern approval cost for </w:t>
      </w:r>
      <w:r w:rsidR="00757AF0" w:rsidRPr="006A74F8">
        <w:t xml:space="preserve">all </w:t>
      </w:r>
      <w:r w:rsidRPr="006A74F8">
        <w:t>instruments used in trade</w:t>
      </w:r>
      <w:r w:rsidR="00497B93" w:rsidRPr="006A74F8">
        <w:t>,</w:t>
      </w:r>
      <w:r w:rsidRPr="006A74F8">
        <w:t xml:space="preserve"> calculated as </w:t>
      </w:r>
      <w:r w:rsidR="0040218D" w:rsidRPr="006A74F8">
        <w:t>approximately</w:t>
      </w:r>
      <w:r w:rsidRPr="006A74F8">
        <w:t xml:space="preserve"> $</w:t>
      </w:r>
      <w:r w:rsidR="001355EE" w:rsidRPr="006A74F8">
        <w:t>0.</w:t>
      </w:r>
      <w:r w:rsidRPr="006A74F8">
        <w:t>18</w:t>
      </w:r>
      <w:r w:rsidR="001355EE" w:rsidRPr="006A74F8">
        <w:t>m</w:t>
      </w:r>
      <w:r w:rsidR="007B722F" w:rsidRPr="006A74F8">
        <w:t xml:space="preserve"> (combined annual application cost)</w:t>
      </w:r>
      <w:r w:rsidR="00A63474" w:rsidRPr="006A74F8">
        <w:t xml:space="preserve">. </w:t>
      </w:r>
      <w:r w:rsidR="004617F8" w:rsidRPr="006A74F8">
        <w:t>T</w:t>
      </w:r>
      <w:r w:rsidRPr="006A74F8">
        <w:t xml:space="preserve">he power to exempt instruments is anticipated to reduce </w:t>
      </w:r>
      <w:r w:rsidR="00A63474" w:rsidRPr="006A74F8">
        <w:t xml:space="preserve">the </w:t>
      </w:r>
      <w:r w:rsidRPr="006A74F8">
        <w:t xml:space="preserve">volume of instruments requiring approval </w:t>
      </w:r>
      <w:r w:rsidR="004617F8" w:rsidRPr="006A74F8">
        <w:t xml:space="preserve">under </w:t>
      </w:r>
      <w:r w:rsidR="000E1261" w:rsidRPr="006A74F8">
        <w:t>o</w:t>
      </w:r>
      <w:r w:rsidR="004617F8" w:rsidRPr="006A74F8">
        <w:t>ption 1</w:t>
      </w:r>
      <w:r w:rsidR="00757AF0" w:rsidRPr="006A74F8">
        <w:t xml:space="preserve"> by 5%,</w:t>
      </w:r>
      <w:r w:rsidR="004617F8" w:rsidRPr="006A74F8">
        <w:t xml:space="preserve"> </w:t>
      </w:r>
      <w:r w:rsidR="00757AF0" w:rsidRPr="006A74F8">
        <w:t xml:space="preserve">with a combination of exemptions and </w:t>
      </w:r>
      <w:r w:rsidR="00266983" w:rsidRPr="006A74F8">
        <w:t>future</w:t>
      </w:r>
      <w:r w:rsidR="00757AF0" w:rsidRPr="006A74F8">
        <w:t xml:space="preserve"> application of alternative instrument controls under option </w:t>
      </w:r>
      <w:r w:rsidR="004617F8" w:rsidRPr="006A74F8">
        <w:t>2</w:t>
      </w:r>
      <w:r w:rsidR="00757AF0" w:rsidRPr="006A74F8">
        <w:t xml:space="preserve"> anticipated to reduce the volume of instrument approvals by</w:t>
      </w:r>
      <w:r w:rsidR="002A40DC" w:rsidRPr="006A74F8">
        <w:t xml:space="preserve"> 20%. This would</w:t>
      </w:r>
      <w:r w:rsidRPr="006A74F8">
        <w:t xml:space="preserve"> result in an annual collective saving to instrument manufacturers of approximately $</w:t>
      </w:r>
      <w:r w:rsidR="00286D9D" w:rsidRPr="006A74F8">
        <w:t>0.01m</w:t>
      </w:r>
      <w:r w:rsidRPr="006A74F8">
        <w:t xml:space="preserve"> under option 1 and $</w:t>
      </w:r>
      <w:r w:rsidR="00286D9D" w:rsidRPr="006A74F8">
        <w:t>0.04m</w:t>
      </w:r>
      <w:r w:rsidR="00A63474" w:rsidRPr="006A74F8">
        <w:t xml:space="preserve"> under option 2. </w:t>
      </w:r>
      <w:r w:rsidRPr="006A74F8">
        <w:t>Under opt</w:t>
      </w:r>
      <w:r w:rsidR="0072376A" w:rsidRPr="006A74F8">
        <w:t>ion 3</w:t>
      </w:r>
      <w:r w:rsidR="00E17CAA" w:rsidRPr="006A74F8">
        <w:t xml:space="preserve">, where expanded scope is exercised </w:t>
      </w:r>
      <w:r w:rsidR="00E17CAA" w:rsidRPr="006A74F8">
        <w:rPr>
          <w:rStyle w:val="Hyperlink"/>
          <w:rFonts w:asciiTheme="majorHAnsi" w:eastAsiaTheme="majorEastAsia" w:hAnsiTheme="majorHAnsi" w:cstheme="majorBidi"/>
          <w:color w:val="auto"/>
          <w:u w:val="none"/>
        </w:rPr>
        <w:t>but is not quantifiable,</w:t>
      </w:r>
      <w:r w:rsidR="0072376A" w:rsidRPr="006A74F8">
        <w:t xml:space="preserve"> the regulatory burden on</w:t>
      </w:r>
      <w:r w:rsidRPr="006A74F8">
        <w:t xml:space="preserve"> instruments is expected to be higher than for option 2.  </w:t>
      </w:r>
    </w:p>
    <w:p w:rsidR="000735EE" w:rsidRPr="006A74F8" w:rsidRDefault="000735EE" w:rsidP="000735EE">
      <w:r w:rsidRPr="006A74F8">
        <w:t xml:space="preserve">Under the </w:t>
      </w:r>
      <w:r w:rsidRPr="006A74F8">
        <w:rPr>
          <w:b/>
        </w:rPr>
        <w:t>status quo</w:t>
      </w:r>
      <w:r w:rsidRPr="006A74F8">
        <w:t xml:space="preserve"> there is an estimated annual regulatory burden </w:t>
      </w:r>
      <w:r w:rsidR="00C93EE5" w:rsidRPr="006A74F8">
        <w:t xml:space="preserve">to industry </w:t>
      </w:r>
      <w:r w:rsidRPr="006A74F8">
        <w:t xml:space="preserve">associated with mandatory verification of instruments used in trade of </w:t>
      </w:r>
      <w:r w:rsidR="00431FFA" w:rsidRPr="006A74F8">
        <w:t xml:space="preserve">approximately </w:t>
      </w:r>
      <w:r w:rsidRPr="006A74F8">
        <w:t>$</w:t>
      </w:r>
      <w:r w:rsidR="00431FFA" w:rsidRPr="006A74F8">
        <w:t>7.06</w:t>
      </w:r>
      <w:r w:rsidR="00C25619" w:rsidRPr="006A74F8">
        <w:t>m</w:t>
      </w:r>
      <w:r w:rsidRPr="006A74F8">
        <w:t xml:space="preserve"> </w:t>
      </w:r>
      <w:r w:rsidR="00CA7DE9" w:rsidRPr="006A74F8">
        <w:t>in</w:t>
      </w:r>
      <w:r w:rsidRPr="006A74F8">
        <w:t xml:space="preserve"> verification service fees</w:t>
      </w:r>
      <w:r w:rsidR="00224689" w:rsidRPr="006A74F8">
        <w:t xml:space="preserve">. </w:t>
      </w:r>
      <w:r w:rsidR="00CA7DE9" w:rsidRPr="006A74F8">
        <w:t xml:space="preserve">The power to exempt instruments </w:t>
      </w:r>
      <w:r w:rsidR="00C25619" w:rsidRPr="006A74F8">
        <w:t>from</w:t>
      </w:r>
      <w:r w:rsidRPr="006A74F8">
        <w:t xml:space="preserve"> verification </w:t>
      </w:r>
      <w:r w:rsidR="00CA7DE9" w:rsidRPr="006A74F8">
        <w:t>is anticipated to reduce the volume of ver</w:t>
      </w:r>
      <w:r w:rsidR="005A406E" w:rsidRPr="006A74F8">
        <w:t>i</w:t>
      </w:r>
      <w:r w:rsidR="00CA7DE9" w:rsidRPr="006A74F8">
        <w:t>ficat</w:t>
      </w:r>
      <w:r w:rsidR="005A406E" w:rsidRPr="006A74F8">
        <w:t>i</w:t>
      </w:r>
      <w:r w:rsidR="00CA7DE9" w:rsidRPr="006A74F8">
        <w:t>ons</w:t>
      </w:r>
      <w:r w:rsidRPr="006A74F8">
        <w:t xml:space="preserve"> by </w:t>
      </w:r>
      <w:r w:rsidR="00224689" w:rsidRPr="006A74F8">
        <w:t>2</w:t>
      </w:r>
      <w:r w:rsidRPr="006A74F8">
        <w:t xml:space="preserve">% </w:t>
      </w:r>
      <w:r w:rsidR="00CA7DE9" w:rsidRPr="006A74F8">
        <w:t xml:space="preserve">under option 1 and </w:t>
      </w:r>
      <w:r w:rsidR="00224689" w:rsidRPr="006A74F8">
        <w:t>4</w:t>
      </w:r>
      <w:r w:rsidRPr="006A74F8">
        <w:t xml:space="preserve">% </w:t>
      </w:r>
      <w:r w:rsidR="00CA7DE9" w:rsidRPr="006A74F8">
        <w:t>under option 2. This</w:t>
      </w:r>
      <w:r w:rsidRPr="006A74F8">
        <w:t xml:space="preserve"> would result in an annual collective saving to industry of approximately $</w:t>
      </w:r>
      <w:r w:rsidR="00224689" w:rsidRPr="006A74F8">
        <w:t>0.1</w:t>
      </w:r>
      <w:r w:rsidR="00431FFA" w:rsidRPr="006A74F8">
        <w:t>4</w:t>
      </w:r>
      <w:r w:rsidR="00286D9D" w:rsidRPr="006A74F8">
        <w:t>m</w:t>
      </w:r>
      <w:r w:rsidRPr="006A74F8">
        <w:t xml:space="preserve"> under option 1 and $</w:t>
      </w:r>
      <w:r w:rsidR="00224689" w:rsidRPr="006A74F8">
        <w:t>0.2</w:t>
      </w:r>
      <w:r w:rsidR="00431FFA" w:rsidRPr="006A74F8">
        <w:t>8</w:t>
      </w:r>
      <w:r w:rsidRPr="006A74F8">
        <w:t>m</w:t>
      </w:r>
      <w:r w:rsidR="0072376A" w:rsidRPr="006A74F8">
        <w:t xml:space="preserve"> under option 2. </w:t>
      </w:r>
      <w:r w:rsidRPr="006A74F8">
        <w:t xml:space="preserve">Under </w:t>
      </w:r>
      <w:r w:rsidRPr="006A74F8">
        <w:lastRenderedPageBreak/>
        <w:t xml:space="preserve">option 3, </w:t>
      </w:r>
      <w:r w:rsidR="00E17CAA" w:rsidRPr="006A74F8">
        <w:t xml:space="preserve">where expanded scope is exercised but is not quantifiable, </w:t>
      </w:r>
      <w:r w:rsidRPr="006A74F8">
        <w:t xml:space="preserve">the regulatory burden </w:t>
      </w:r>
      <w:r w:rsidR="00CA7DE9" w:rsidRPr="006A74F8">
        <w:t>on</w:t>
      </w:r>
      <w:r w:rsidRPr="006A74F8">
        <w:t xml:space="preserve"> measuring instruments is expected to be higher than for option 2.</w:t>
      </w:r>
    </w:p>
    <w:p w:rsidR="000462A8" w:rsidRPr="006A74F8" w:rsidRDefault="00711F3D" w:rsidP="00290CFC">
      <w:pPr>
        <w:pStyle w:val="Heading4"/>
      </w:pPr>
      <w:r w:rsidRPr="006A74F8">
        <w:t>Application, renewal and reporting changes for A</w:t>
      </w:r>
      <w:r w:rsidR="00F20477" w:rsidRPr="006A74F8">
        <w:t>uthorised Third Parties</w:t>
      </w:r>
    </w:p>
    <w:p w:rsidR="003B5BE3" w:rsidRPr="006A74F8" w:rsidRDefault="003B5BE3" w:rsidP="003B5BE3">
      <w:pPr>
        <w:pStyle w:val="Caption"/>
        <w:keepNext/>
      </w:pPr>
      <w:r w:rsidRPr="006A74F8">
        <w:t xml:space="preserve">Table </w:t>
      </w:r>
      <w:r w:rsidR="009853E6" w:rsidRPr="006A74F8">
        <w:rPr>
          <w:noProof/>
        </w:rPr>
        <w:fldChar w:fldCharType="begin"/>
      </w:r>
      <w:r w:rsidR="009853E6" w:rsidRPr="006A74F8">
        <w:rPr>
          <w:noProof/>
        </w:rPr>
        <w:instrText xml:space="preserve"> SEQ Table \* ARABIC </w:instrText>
      </w:r>
      <w:r w:rsidR="009853E6" w:rsidRPr="006A74F8">
        <w:rPr>
          <w:noProof/>
        </w:rPr>
        <w:fldChar w:fldCharType="separate"/>
      </w:r>
      <w:r w:rsidR="0033017F">
        <w:rPr>
          <w:noProof/>
        </w:rPr>
        <w:t>10</w:t>
      </w:r>
      <w:r w:rsidR="009853E6" w:rsidRPr="006A74F8">
        <w:rPr>
          <w:noProof/>
        </w:rPr>
        <w:fldChar w:fldCharType="end"/>
      </w:r>
      <w:r w:rsidRPr="006A74F8">
        <w:t>: Regulatory burden costing summary for changes to A</w:t>
      </w:r>
      <w:r w:rsidR="00310D22" w:rsidRPr="006A74F8">
        <w:t>TP</w:t>
      </w:r>
      <w:r w:rsidRPr="006A74F8">
        <w:t xml:space="preserve"> arrangements</w:t>
      </w:r>
    </w:p>
    <w:tbl>
      <w:tblPr>
        <w:tblStyle w:val="TableGrid"/>
        <w:tblW w:w="8926" w:type="dxa"/>
        <w:tblLook w:val="04A0" w:firstRow="1" w:lastRow="0" w:firstColumn="1" w:lastColumn="0" w:noHBand="0" w:noVBand="1"/>
        <w:tblCaption w:val="Regulatory burden costing summary for changes to Authorised Third Party arrangements"/>
        <w:tblDescription w:val="When read left to right the table describes the area of regulatory burden, the stakeholder it impacts and the level of impact under option 1, then option 2 and then option 3.  &#10;"/>
      </w:tblPr>
      <w:tblGrid>
        <w:gridCol w:w="1405"/>
        <w:gridCol w:w="1319"/>
        <w:gridCol w:w="1903"/>
        <w:gridCol w:w="1903"/>
        <w:gridCol w:w="2396"/>
      </w:tblGrid>
      <w:tr w:rsidR="00BD448C" w:rsidRPr="006A74F8" w:rsidTr="001946E7">
        <w:trPr>
          <w:trHeight w:val="448"/>
          <w:tblHeader/>
        </w:trPr>
        <w:tc>
          <w:tcPr>
            <w:tcW w:w="1405" w:type="dxa"/>
            <w:shd w:val="clear" w:color="auto" w:fill="1F3864"/>
          </w:tcPr>
          <w:p w:rsidR="00BD448C" w:rsidRPr="006A74F8" w:rsidRDefault="00BD448C" w:rsidP="00BD448C">
            <w:pPr>
              <w:rPr>
                <w:rStyle w:val="Hyperlink"/>
                <w:b/>
                <w:color w:val="auto"/>
                <w:u w:val="none"/>
              </w:rPr>
            </w:pPr>
            <w:r w:rsidRPr="006A74F8">
              <w:rPr>
                <w:rStyle w:val="Hyperlink"/>
                <w:b/>
                <w:color w:val="auto"/>
                <w:u w:val="none"/>
              </w:rPr>
              <w:t>Area of regulatory burden</w:t>
            </w:r>
          </w:p>
        </w:tc>
        <w:tc>
          <w:tcPr>
            <w:tcW w:w="1319" w:type="dxa"/>
            <w:shd w:val="clear" w:color="auto" w:fill="1F3864"/>
          </w:tcPr>
          <w:p w:rsidR="00BD448C" w:rsidRPr="006A74F8" w:rsidRDefault="00BD448C" w:rsidP="00BD448C">
            <w:pPr>
              <w:rPr>
                <w:rStyle w:val="Hyperlink"/>
                <w:b/>
                <w:color w:val="auto"/>
                <w:u w:val="none"/>
              </w:rPr>
            </w:pPr>
            <w:r w:rsidRPr="006A74F8">
              <w:rPr>
                <w:rStyle w:val="Hyperlink"/>
                <w:b/>
                <w:color w:val="auto"/>
                <w:u w:val="none"/>
              </w:rPr>
              <w:t>Stakeholder</w:t>
            </w:r>
          </w:p>
        </w:tc>
        <w:tc>
          <w:tcPr>
            <w:tcW w:w="1903" w:type="dxa"/>
            <w:shd w:val="clear" w:color="auto" w:fill="1F3864"/>
          </w:tcPr>
          <w:p w:rsidR="00BD448C" w:rsidRPr="006A74F8" w:rsidRDefault="00BD448C" w:rsidP="00BD448C">
            <w:pPr>
              <w:rPr>
                <w:rStyle w:val="Hyperlink"/>
                <w:b/>
                <w:color w:val="auto"/>
                <w:u w:val="none"/>
              </w:rPr>
            </w:pPr>
            <w:r w:rsidRPr="006A74F8">
              <w:rPr>
                <w:rStyle w:val="Hyperlink"/>
                <w:b/>
                <w:color w:val="auto"/>
                <w:u w:val="none"/>
              </w:rPr>
              <w:t>Option 1</w:t>
            </w:r>
          </w:p>
        </w:tc>
        <w:tc>
          <w:tcPr>
            <w:tcW w:w="1903" w:type="dxa"/>
            <w:shd w:val="clear" w:color="auto" w:fill="1F3864"/>
          </w:tcPr>
          <w:p w:rsidR="00BD448C" w:rsidRPr="006A74F8" w:rsidRDefault="00BD448C" w:rsidP="00BD448C">
            <w:pPr>
              <w:rPr>
                <w:rStyle w:val="Hyperlink"/>
                <w:b/>
                <w:color w:val="auto"/>
                <w:u w:val="none"/>
              </w:rPr>
            </w:pPr>
            <w:r w:rsidRPr="006A74F8">
              <w:rPr>
                <w:rStyle w:val="Hyperlink"/>
                <w:b/>
                <w:color w:val="auto"/>
                <w:u w:val="none"/>
              </w:rPr>
              <w:t>Option 2</w:t>
            </w:r>
          </w:p>
        </w:tc>
        <w:tc>
          <w:tcPr>
            <w:tcW w:w="2396" w:type="dxa"/>
            <w:shd w:val="clear" w:color="auto" w:fill="1F3864"/>
          </w:tcPr>
          <w:p w:rsidR="00BD448C" w:rsidRPr="006A74F8" w:rsidRDefault="00BD448C" w:rsidP="00BD448C">
            <w:pPr>
              <w:rPr>
                <w:rStyle w:val="Hyperlink"/>
                <w:b/>
                <w:color w:val="auto"/>
                <w:u w:val="none"/>
              </w:rPr>
            </w:pPr>
            <w:r w:rsidRPr="006A74F8">
              <w:rPr>
                <w:rStyle w:val="Hyperlink"/>
                <w:b/>
                <w:color w:val="auto"/>
                <w:u w:val="none"/>
              </w:rPr>
              <w:t>Option 3</w:t>
            </w:r>
          </w:p>
        </w:tc>
      </w:tr>
      <w:tr w:rsidR="00BD448C" w:rsidRPr="006A74F8" w:rsidTr="00517AFF">
        <w:trPr>
          <w:trHeight w:val="516"/>
        </w:trPr>
        <w:tc>
          <w:tcPr>
            <w:tcW w:w="1405" w:type="dxa"/>
          </w:tcPr>
          <w:p w:rsidR="00BD448C" w:rsidRPr="006A74F8" w:rsidRDefault="00BD448C" w:rsidP="00BD448C">
            <w:r w:rsidRPr="006A74F8">
              <w:t xml:space="preserve">Appointment and reporting for ATPs </w:t>
            </w:r>
          </w:p>
          <w:p w:rsidR="00BD448C" w:rsidRPr="006A74F8" w:rsidRDefault="00BD448C" w:rsidP="00BD448C">
            <w:pPr>
              <w:rPr>
                <w:rStyle w:val="Hyperlink"/>
                <w:color w:val="auto"/>
                <w:u w:val="none"/>
              </w:rPr>
            </w:pPr>
          </w:p>
        </w:tc>
        <w:tc>
          <w:tcPr>
            <w:tcW w:w="1319" w:type="dxa"/>
          </w:tcPr>
          <w:p w:rsidR="00BD448C" w:rsidRPr="006A74F8" w:rsidRDefault="00BD448C" w:rsidP="00BD448C">
            <w:pPr>
              <w:rPr>
                <w:b/>
              </w:rPr>
            </w:pPr>
            <w:r w:rsidRPr="006A74F8">
              <w:rPr>
                <w:b/>
              </w:rPr>
              <w:t>ATPs</w:t>
            </w:r>
          </w:p>
        </w:tc>
        <w:tc>
          <w:tcPr>
            <w:tcW w:w="1903" w:type="dxa"/>
          </w:tcPr>
          <w:p w:rsidR="00BD448C" w:rsidRPr="006A74F8" w:rsidRDefault="00BD448C" w:rsidP="00BD448C">
            <w:r w:rsidRPr="006A74F8">
              <w:rPr>
                <w:b/>
              </w:rPr>
              <w:t>Savings</w:t>
            </w:r>
            <w:r w:rsidRPr="006A74F8">
              <w:t xml:space="preserve"> from stream</w:t>
            </w:r>
            <w:r w:rsidR="00405AE5">
              <w:t xml:space="preserve">lined appointment arrangements </w:t>
            </w:r>
            <w:r w:rsidRPr="006A74F8">
              <w:t>that could apply to some ATPs</w:t>
            </w:r>
            <w:r w:rsidR="007242BE" w:rsidRPr="006A74F8">
              <w:t>.</w:t>
            </w:r>
          </w:p>
          <w:p w:rsidR="00BD448C" w:rsidRPr="006A74F8" w:rsidRDefault="00BD448C" w:rsidP="00BD448C"/>
          <w:p w:rsidR="00BD448C" w:rsidRPr="006A74F8" w:rsidRDefault="00BD448C" w:rsidP="00BD448C">
            <w:pPr>
              <w:rPr>
                <w:b/>
              </w:rPr>
            </w:pPr>
            <w:r w:rsidRPr="006A74F8">
              <w:rPr>
                <w:b/>
              </w:rPr>
              <w:t>Increased cost of reporting</w:t>
            </w:r>
            <w:r w:rsidRPr="006A74F8">
              <w:t xml:space="preserve"> for UMVs, subject to a transition period and </w:t>
            </w:r>
            <w:r w:rsidRPr="006A74F8">
              <w:rPr>
                <w:rFonts w:cstheme="minorHAnsi"/>
              </w:rPr>
              <w:t>development of an appropriate reporting framework</w:t>
            </w:r>
            <w:r w:rsidRPr="006A74F8">
              <w:t>.</w:t>
            </w:r>
            <w:r w:rsidR="0011444F" w:rsidRPr="006A74F8">
              <w:t xml:space="preserve">  Updated framework may provide savings for SLs</w:t>
            </w:r>
            <w:r w:rsidR="007242BE" w:rsidRPr="006A74F8">
              <w:t>.</w:t>
            </w:r>
          </w:p>
        </w:tc>
        <w:tc>
          <w:tcPr>
            <w:tcW w:w="1903" w:type="dxa"/>
          </w:tcPr>
          <w:p w:rsidR="00BD448C" w:rsidRPr="006A74F8" w:rsidRDefault="00150257" w:rsidP="00BD448C">
            <w:r w:rsidRPr="006A74F8">
              <w:rPr>
                <w:b/>
              </w:rPr>
              <w:t>S</w:t>
            </w:r>
            <w:r w:rsidR="00BD448C" w:rsidRPr="006A74F8">
              <w:rPr>
                <w:b/>
              </w:rPr>
              <w:t>avings</w:t>
            </w:r>
            <w:r w:rsidR="00BD448C" w:rsidRPr="006A74F8">
              <w:t xml:space="preserve"> from stream</w:t>
            </w:r>
            <w:r w:rsidR="00E25439" w:rsidRPr="006A74F8">
              <w:t xml:space="preserve">lined appointment arrangements </w:t>
            </w:r>
            <w:r w:rsidR="00BD448C" w:rsidRPr="006A74F8">
              <w:t>that could apply to all ATPs</w:t>
            </w:r>
            <w:r w:rsidR="007242BE" w:rsidRPr="006A74F8">
              <w:t>.</w:t>
            </w:r>
          </w:p>
          <w:p w:rsidR="00BD448C" w:rsidRPr="006A74F8" w:rsidRDefault="00BD448C" w:rsidP="00BD448C">
            <w:pPr>
              <w:rPr>
                <w:b/>
              </w:rPr>
            </w:pPr>
          </w:p>
          <w:p w:rsidR="00BD448C" w:rsidRPr="006A74F8" w:rsidRDefault="00BD448C" w:rsidP="00BD448C">
            <w:pPr>
              <w:rPr>
                <w:b/>
              </w:rPr>
            </w:pPr>
            <w:r w:rsidRPr="006A74F8">
              <w:rPr>
                <w:b/>
              </w:rPr>
              <w:t>Increased cost of reporting</w:t>
            </w:r>
            <w:r w:rsidRPr="006A74F8">
              <w:t xml:space="preserve"> for UMVs and LMAs subject to a transition period and </w:t>
            </w:r>
            <w:r w:rsidRPr="006A74F8">
              <w:rPr>
                <w:rFonts w:cstheme="minorHAnsi"/>
              </w:rPr>
              <w:t>development of an appropriate reporting framework</w:t>
            </w:r>
            <w:r w:rsidRPr="006A74F8">
              <w:t>.</w:t>
            </w:r>
            <w:r w:rsidR="0011444F" w:rsidRPr="006A74F8">
              <w:t xml:space="preserve"> Updated framework may provide savings for SLs</w:t>
            </w:r>
            <w:r w:rsidR="007242BE" w:rsidRPr="006A74F8">
              <w:t>.</w:t>
            </w:r>
          </w:p>
        </w:tc>
        <w:tc>
          <w:tcPr>
            <w:tcW w:w="2396" w:type="dxa"/>
          </w:tcPr>
          <w:p w:rsidR="00BD448C" w:rsidRPr="006A74F8" w:rsidRDefault="00BD448C" w:rsidP="003D0238">
            <w:pPr>
              <w:rPr>
                <w:rStyle w:val="Hyperlink"/>
                <w:color w:val="auto"/>
                <w:u w:val="none"/>
              </w:rPr>
            </w:pPr>
            <w:r w:rsidRPr="006A74F8">
              <w:rPr>
                <w:rStyle w:val="Hyperlink"/>
                <w:b/>
                <w:color w:val="auto"/>
                <w:u w:val="none"/>
              </w:rPr>
              <w:t xml:space="preserve">Savings </w:t>
            </w:r>
            <w:r w:rsidRPr="006A74F8">
              <w:rPr>
                <w:rStyle w:val="Hyperlink"/>
                <w:color w:val="auto"/>
                <w:u w:val="none"/>
              </w:rPr>
              <w:t xml:space="preserve">described under </w:t>
            </w:r>
            <w:r w:rsidR="000E1261" w:rsidRPr="006A74F8">
              <w:rPr>
                <w:rStyle w:val="Hyperlink"/>
                <w:b/>
                <w:color w:val="auto"/>
                <w:u w:val="none"/>
              </w:rPr>
              <w:t>o</w:t>
            </w:r>
            <w:r w:rsidRPr="006A74F8">
              <w:rPr>
                <w:rStyle w:val="Hyperlink"/>
                <w:b/>
                <w:color w:val="auto"/>
                <w:u w:val="none"/>
              </w:rPr>
              <w:t>ption 2</w:t>
            </w:r>
            <w:r w:rsidRPr="006A74F8">
              <w:rPr>
                <w:rStyle w:val="Hyperlink"/>
                <w:color w:val="auto"/>
                <w:u w:val="none"/>
              </w:rPr>
              <w:t>,</w:t>
            </w:r>
            <w:r w:rsidRPr="006A74F8">
              <w:rPr>
                <w:rStyle w:val="Hyperlink"/>
                <w:b/>
                <w:color w:val="auto"/>
                <w:u w:val="none"/>
              </w:rPr>
              <w:t xml:space="preserve"> </w:t>
            </w:r>
            <w:r w:rsidRPr="006A74F8">
              <w:rPr>
                <w:rStyle w:val="Hyperlink"/>
                <w:color w:val="auto"/>
                <w:u w:val="none"/>
              </w:rPr>
              <w:t>plus an</w:t>
            </w:r>
            <w:r w:rsidRPr="006A74F8">
              <w:rPr>
                <w:rStyle w:val="Hyperlink"/>
                <w:b/>
                <w:color w:val="auto"/>
                <w:u w:val="none"/>
              </w:rPr>
              <w:t xml:space="preserve"> unquantifiable increase in regulatory burden </w:t>
            </w:r>
            <w:r w:rsidRPr="006A74F8">
              <w:rPr>
                <w:rStyle w:val="Hyperlink"/>
                <w:color w:val="auto"/>
                <w:u w:val="none"/>
              </w:rPr>
              <w:t>based on a potential rise in the number of ATPs providing measurement services due to the potential introduction of requirements for other regulatory purposes (non-trade)</w:t>
            </w:r>
            <w:r w:rsidR="00783D85" w:rsidRPr="006A74F8">
              <w:rPr>
                <w:rStyle w:val="Hyperlink"/>
                <w:color w:val="auto"/>
                <w:u w:val="none"/>
              </w:rPr>
              <w:t>. This includes i</w:t>
            </w:r>
            <w:r w:rsidRPr="006A74F8">
              <w:rPr>
                <w:rStyle w:val="Hyperlink"/>
                <w:color w:val="auto"/>
                <w:u w:val="none"/>
              </w:rPr>
              <w:t>ncreased applications, renewal, reporting</w:t>
            </w:r>
            <w:r w:rsidR="00783D85" w:rsidRPr="006A74F8">
              <w:rPr>
                <w:rStyle w:val="Hyperlink"/>
                <w:color w:val="auto"/>
                <w:u w:val="none"/>
              </w:rPr>
              <w:t>.</w:t>
            </w:r>
          </w:p>
        </w:tc>
      </w:tr>
    </w:tbl>
    <w:p w:rsidR="00BA24CE" w:rsidRPr="006A74F8" w:rsidRDefault="00BA24CE" w:rsidP="00566FD0">
      <w:pPr>
        <w:spacing w:before="240"/>
      </w:pPr>
      <w:r w:rsidRPr="006A74F8">
        <w:t xml:space="preserve">Under the </w:t>
      </w:r>
      <w:r w:rsidRPr="006A74F8">
        <w:rPr>
          <w:b/>
        </w:rPr>
        <w:t>status quo</w:t>
      </w:r>
      <w:r w:rsidRPr="006A74F8">
        <w:t xml:space="preserve">, the collective burden to ATPs for application and renewal processes is approximately $495,000, with costs of reporting and informing an additional $3.1m per annum. Of this amount, servicing licensees account for $235,000 in the burden for application and renewal </w:t>
      </w:r>
      <w:r w:rsidR="0016717F" w:rsidRPr="006A74F8">
        <w:t>and</w:t>
      </w:r>
      <w:r w:rsidRPr="006A74F8">
        <w:t xml:space="preserve"> over $3m in reporting and notification costs. </w:t>
      </w:r>
    </w:p>
    <w:p w:rsidR="00711F3D" w:rsidRPr="006A74F8" w:rsidRDefault="00BA24CE" w:rsidP="00037620">
      <w:r w:rsidRPr="006A74F8">
        <w:t xml:space="preserve">Under all options, </w:t>
      </w:r>
      <w:r w:rsidR="00150257" w:rsidRPr="006A74F8">
        <w:t xml:space="preserve">there is expected to be some change to </w:t>
      </w:r>
      <w:r w:rsidRPr="006A74F8">
        <w:t xml:space="preserve">these regulatory burdens, but the amount of change is not able to be reliably costed. </w:t>
      </w:r>
      <w:r w:rsidR="00037620" w:rsidRPr="006A74F8">
        <w:t>Changes to reporting requirements will apply to UMVs and LMAs</w:t>
      </w:r>
      <w:r w:rsidR="0011444F" w:rsidRPr="006A74F8">
        <w:t xml:space="preserve"> and </w:t>
      </w:r>
      <w:r w:rsidR="00150257" w:rsidRPr="006A74F8">
        <w:t xml:space="preserve">improved </w:t>
      </w:r>
      <w:r w:rsidR="0011444F" w:rsidRPr="006A74F8">
        <w:t>reporting framework</w:t>
      </w:r>
      <w:r w:rsidR="00150257" w:rsidRPr="006A74F8">
        <w:t>s</w:t>
      </w:r>
      <w:r w:rsidR="0011444F" w:rsidRPr="006A74F8">
        <w:t xml:space="preserve"> to accommodate this may result in savings for SLs</w:t>
      </w:r>
      <w:r w:rsidR="00037620" w:rsidRPr="006A74F8">
        <w:t xml:space="preserve">. </w:t>
      </w:r>
    </w:p>
    <w:p w:rsidR="00EC3DAF" w:rsidRPr="006A74F8" w:rsidRDefault="00031A53" w:rsidP="009A47CA">
      <w:pPr>
        <w:pStyle w:val="Heading2"/>
        <w:pageBreakBefore/>
        <w:rPr>
          <w:rStyle w:val="Hyperlink"/>
          <w:color w:val="005677" w:themeColor="text2"/>
          <w:u w:val="none"/>
        </w:rPr>
      </w:pPr>
      <w:bookmarkStart w:id="1635" w:name="_Impact_analysis_on"/>
      <w:bookmarkEnd w:id="1635"/>
      <w:r w:rsidRPr="006A74F8">
        <w:rPr>
          <w:rStyle w:val="Hyperlink"/>
          <w:color w:val="005677" w:themeColor="text2"/>
          <w:u w:val="none"/>
        </w:rPr>
        <w:lastRenderedPageBreak/>
        <w:t xml:space="preserve">Impact analysis on </w:t>
      </w:r>
      <w:r w:rsidR="00FF6EC3" w:rsidRPr="006A74F8">
        <w:rPr>
          <w:rStyle w:val="Hyperlink"/>
          <w:color w:val="005677" w:themeColor="text2"/>
          <w:u w:val="none"/>
        </w:rPr>
        <w:t>s</w:t>
      </w:r>
      <w:r w:rsidR="00EC3DAF" w:rsidRPr="006A74F8">
        <w:rPr>
          <w:rStyle w:val="Hyperlink"/>
          <w:color w:val="005677" w:themeColor="text2"/>
          <w:u w:val="none"/>
        </w:rPr>
        <w:t>takeholder</w:t>
      </w:r>
      <w:r w:rsidR="00411A98" w:rsidRPr="006A74F8">
        <w:rPr>
          <w:rStyle w:val="Hyperlink"/>
          <w:color w:val="005677" w:themeColor="text2"/>
          <w:u w:val="none"/>
        </w:rPr>
        <w:t>s</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rsidR="00F52995" w:rsidRPr="006A74F8" w:rsidRDefault="00F52995" w:rsidP="00FD7AC9">
      <w:pPr>
        <w:pStyle w:val="Heading3"/>
      </w:pPr>
      <w:bookmarkStart w:id="1636" w:name="_Toc64895638"/>
      <w:bookmarkStart w:id="1637" w:name="_Toc64900859"/>
      <w:bookmarkStart w:id="1638" w:name="_Toc64903111"/>
      <w:bookmarkStart w:id="1639" w:name="_Toc64904064"/>
      <w:bookmarkStart w:id="1640" w:name="_Toc64904272"/>
      <w:bookmarkStart w:id="1641" w:name="_Toc64904729"/>
      <w:bookmarkStart w:id="1642" w:name="_Toc64905243"/>
      <w:bookmarkStart w:id="1643" w:name="_Toc64964006"/>
      <w:bookmarkStart w:id="1644" w:name="_Toc64974618"/>
      <w:bookmarkStart w:id="1645" w:name="_Toc64976305"/>
      <w:bookmarkStart w:id="1646" w:name="_Toc65149680"/>
      <w:r w:rsidRPr="006A74F8">
        <w:t>Approach</w:t>
      </w:r>
      <w:bookmarkEnd w:id="1636"/>
      <w:bookmarkEnd w:id="1637"/>
      <w:bookmarkEnd w:id="1638"/>
      <w:bookmarkEnd w:id="1639"/>
      <w:bookmarkEnd w:id="1640"/>
      <w:bookmarkEnd w:id="1641"/>
      <w:bookmarkEnd w:id="1642"/>
      <w:bookmarkEnd w:id="1643"/>
      <w:bookmarkEnd w:id="1644"/>
      <w:bookmarkEnd w:id="1645"/>
      <w:bookmarkEnd w:id="1646"/>
    </w:p>
    <w:p w:rsidR="00EC3DAF" w:rsidRPr="006A74F8" w:rsidRDefault="0043533E" w:rsidP="00FD7AC9">
      <w:pPr>
        <w:pStyle w:val="Heading4"/>
      </w:pPr>
      <w:r w:rsidRPr="006A74F8">
        <w:t>Key stakeholders</w:t>
      </w:r>
    </w:p>
    <w:p w:rsidR="00BC462B" w:rsidRPr="006A74F8" w:rsidRDefault="00EC478A" w:rsidP="00FD7AC9">
      <w:pPr>
        <w:rPr>
          <w:rStyle w:val="Hyperlink"/>
          <w:color w:val="auto"/>
          <w:u w:val="none"/>
        </w:rPr>
      </w:pPr>
      <w:r w:rsidRPr="006A74F8">
        <w:rPr>
          <w:rStyle w:val="Hyperlink"/>
          <w:color w:val="auto"/>
          <w:u w:val="none"/>
        </w:rPr>
        <w:t xml:space="preserve">This part provides an overall assessment of impacts on </w:t>
      </w:r>
      <w:r w:rsidR="00306C4F" w:rsidRPr="006A74F8">
        <w:rPr>
          <w:rStyle w:val="Hyperlink"/>
          <w:color w:val="auto"/>
          <w:u w:val="none"/>
        </w:rPr>
        <w:t>5</w:t>
      </w:r>
      <w:r w:rsidRPr="006A74F8">
        <w:rPr>
          <w:rStyle w:val="Hyperlink"/>
          <w:color w:val="auto"/>
          <w:u w:val="none"/>
        </w:rPr>
        <w:t xml:space="preserve"> key stakeholder groups</w:t>
      </w:r>
      <w:r w:rsidR="00BC462B" w:rsidRPr="006A74F8">
        <w:rPr>
          <w:rStyle w:val="Hyperlink"/>
          <w:color w:val="auto"/>
          <w:u w:val="none"/>
        </w:rPr>
        <w:t>:</w:t>
      </w:r>
    </w:p>
    <w:p w:rsidR="001810BA" w:rsidRPr="006A74F8" w:rsidRDefault="004A2A57" w:rsidP="00100CA1">
      <w:pPr>
        <w:pStyle w:val="ListParagraph"/>
        <w:numPr>
          <w:ilvl w:val="0"/>
          <w:numId w:val="79"/>
        </w:numPr>
      </w:pPr>
      <w:r w:rsidRPr="006A74F8">
        <w:rPr>
          <w:b/>
        </w:rPr>
        <w:t>C</w:t>
      </w:r>
      <w:r w:rsidR="00EC478A" w:rsidRPr="006A74F8">
        <w:rPr>
          <w:b/>
        </w:rPr>
        <w:t>onsumers</w:t>
      </w:r>
    </w:p>
    <w:p w:rsidR="001810BA" w:rsidRPr="006A74F8" w:rsidRDefault="001F5BDF" w:rsidP="00100CA1">
      <w:pPr>
        <w:pStyle w:val="ListParagraph"/>
        <w:numPr>
          <w:ilvl w:val="0"/>
          <w:numId w:val="79"/>
        </w:numPr>
      </w:pPr>
      <w:r w:rsidRPr="006A74F8">
        <w:rPr>
          <w:b/>
        </w:rPr>
        <w:t>I</w:t>
      </w:r>
      <w:r w:rsidR="00EC478A" w:rsidRPr="006A74F8">
        <w:rPr>
          <w:b/>
        </w:rPr>
        <w:t>ndustry</w:t>
      </w:r>
      <w:r w:rsidRPr="006A74F8">
        <w:t>,</w:t>
      </w:r>
      <w:r w:rsidR="00EC478A" w:rsidRPr="006A74F8">
        <w:t xml:space="preserve"> represented by</w:t>
      </w:r>
      <w:r w:rsidR="000C493E" w:rsidRPr="006A74F8">
        <w:t>:</w:t>
      </w:r>
      <w:r w:rsidR="00EC478A" w:rsidRPr="006A74F8">
        <w:rPr>
          <w:b/>
        </w:rPr>
        <w:t xml:space="preserve"> </w:t>
      </w:r>
    </w:p>
    <w:p w:rsidR="001810BA" w:rsidRPr="006A74F8" w:rsidRDefault="00847BFB" w:rsidP="00100CA1">
      <w:pPr>
        <w:pStyle w:val="ListParagraph"/>
        <w:numPr>
          <w:ilvl w:val="1"/>
          <w:numId w:val="79"/>
        </w:numPr>
      </w:pPr>
      <w:r w:rsidRPr="006A74F8">
        <w:rPr>
          <w:b/>
        </w:rPr>
        <w:t>measuring instrument manufacturers, importers and distributors</w:t>
      </w:r>
    </w:p>
    <w:p w:rsidR="001810BA" w:rsidRPr="006A74F8" w:rsidRDefault="002D2D9C" w:rsidP="00100CA1">
      <w:pPr>
        <w:pStyle w:val="ListParagraph"/>
        <w:numPr>
          <w:ilvl w:val="1"/>
          <w:numId w:val="79"/>
        </w:numPr>
      </w:pPr>
      <w:r w:rsidRPr="006A74F8">
        <w:rPr>
          <w:b/>
        </w:rPr>
        <w:t>authorise third partie</w:t>
      </w:r>
      <w:r w:rsidR="001962A8" w:rsidRPr="006A74F8">
        <w:rPr>
          <w:b/>
        </w:rPr>
        <w:t>s</w:t>
      </w:r>
      <w:r w:rsidR="00BC462B" w:rsidRPr="006A74F8">
        <w:rPr>
          <w:rStyle w:val="FootnoteReference"/>
          <w:sz w:val="20"/>
          <w:szCs w:val="20"/>
        </w:rPr>
        <w:footnoteReference w:id="77"/>
      </w:r>
      <w:r w:rsidR="00EC478A" w:rsidRPr="006A74F8">
        <w:t xml:space="preserve"> </w:t>
      </w:r>
    </w:p>
    <w:p w:rsidR="001810BA" w:rsidRPr="006A74F8" w:rsidRDefault="00EC478A" w:rsidP="00100CA1">
      <w:pPr>
        <w:pStyle w:val="ListParagraph"/>
        <w:numPr>
          <w:ilvl w:val="1"/>
          <w:numId w:val="79"/>
        </w:numPr>
      </w:pPr>
      <w:r w:rsidRPr="006A74F8">
        <w:rPr>
          <w:b/>
        </w:rPr>
        <w:t>wholesalers, retailers</w:t>
      </w:r>
      <w:r w:rsidR="00BC462B" w:rsidRPr="006A74F8">
        <w:rPr>
          <w:b/>
        </w:rPr>
        <w:t>,</w:t>
      </w:r>
      <w:r w:rsidRPr="006A74F8">
        <w:rPr>
          <w:b/>
        </w:rPr>
        <w:t xml:space="preserve"> importers</w:t>
      </w:r>
      <w:r w:rsidR="00BC462B" w:rsidRPr="006A74F8">
        <w:rPr>
          <w:b/>
        </w:rPr>
        <w:t xml:space="preserve"> and packers</w:t>
      </w:r>
    </w:p>
    <w:p w:rsidR="00EC478A" w:rsidRPr="006A74F8" w:rsidRDefault="00346322" w:rsidP="00100CA1">
      <w:pPr>
        <w:pStyle w:val="ListParagraph"/>
        <w:numPr>
          <w:ilvl w:val="0"/>
          <w:numId w:val="79"/>
        </w:numPr>
        <w:rPr>
          <w:rStyle w:val="Hyperlink"/>
          <w:color w:val="auto"/>
          <w:u w:val="none"/>
        </w:rPr>
      </w:pPr>
      <w:r w:rsidRPr="006A74F8">
        <w:rPr>
          <w:b/>
        </w:rPr>
        <w:t>G</w:t>
      </w:r>
      <w:r w:rsidR="00EC478A" w:rsidRPr="006A74F8">
        <w:rPr>
          <w:b/>
        </w:rPr>
        <w:t>overnment regulators</w:t>
      </w:r>
      <w:r w:rsidR="00EC478A" w:rsidRPr="006A74F8">
        <w:t xml:space="preserve">. </w:t>
      </w:r>
    </w:p>
    <w:p w:rsidR="00EC478A" w:rsidRPr="006A74F8" w:rsidRDefault="0043533E" w:rsidP="00FD7AC9">
      <w:pPr>
        <w:pStyle w:val="Heading4"/>
      </w:pPr>
      <w:r w:rsidRPr="006A74F8">
        <w:t>Other stakeholder g</w:t>
      </w:r>
      <w:r w:rsidR="00EC478A" w:rsidRPr="006A74F8">
        <w:t>roups</w:t>
      </w:r>
    </w:p>
    <w:p w:rsidR="00EC3DAF" w:rsidRPr="006A74F8" w:rsidRDefault="00EC3DAF" w:rsidP="00486B9B">
      <w:r w:rsidRPr="006A74F8">
        <w:t xml:space="preserve">Other stakeholders may rely on the measurement system more broadly (which is supported by the legislation) but are not directly regulated under the legislation. This includes: </w:t>
      </w:r>
    </w:p>
    <w:p w:rsidR="001810BA" w:rsidRPr="006A74F8" w:rsidRDefault="00EC3DAF" w:rsidP="00100CA1">
      <w:pPr>
        <w:pStyle w:val="ListParagraph"/>
        <w:numPr>
          <w:ilvl w:val="0"/>
          <w:numId w:val="78"/>
        </w:numPr>
      </w:pPr>
      <w:r w:rsidRPr="006A74F8">
        <w:t xml:space="preserve">scientific organisations and agencies who may need to demonstrate metrological traceability for other purposes (for example in line with satisfying standards to obtain accreditation as </w:t>
      </w:r>
      <w:r w:rsidR="004A2A57" w:rsidRPr="006A74F8">
        <w:t xml:space="preserve">a </w:t>
      </w:r>
      <w:r w:rsidRPr="006A74F8">
        <w:t>calibration and testing laboratory or as a producer of certified reference materials</w:t>
      </w:r>
      <w:r w:rsidR="00251760" w:rsidRPr="006A74F8">
        <w:t xml:space="preserve"> (CRMs</w:t>
      </w:r>
      <w:r w:rsidRPr="006A74F8">
        <w:t>)</w:t>
      </w:r>
      <w:r w:rsidR="00500D87" w:rsidRPr="006A74F8">
        <w:t>.</w:t>
      </w:r>
    </w:p>
    <w:p w:rsidR="001810BA" w:rsidRPr="006A74F8" w:rsidRDefault="00EC3DAF" w:rsidP="00100CA1">
      <w:pPr>
        <w:pStyle w:val="ListParagraph"/>
        <w:numPr>
          <w:ilvl w:val="0"/>
          <w:numId w:val="78"/>
        </w:numPr>
      </w:pPr>
      <w:r w:rsidRPr="006A74F8">
        <w:t xml:space="preserve">innovators who need to demonstrate the effectiveness of an invention </w:t>
      </w:r>
      <w:r w:rsidR="00494FD4" w:rsidRPr="006A74F8">
        <w:t>or product</w:t>
      </w:r>
      <w:r w:rsidRPr="006A74F8">
        <w:t xml:space="preserve"> using measurements</w:t>
      </w:r>
      <w:r w:rsidR="00500D87" w:rsidRPr="006A74F8">
        <w:t>.</w:t>
      </w:r>
    </w:p>
    <w:p w:rsidR="00EC3DAF" w:rsidRPr="006A74F8" w:rsidRDefault="00EC3DAF" w:rsidP="00100CA1">
      <w:pPr>
        <w:pStyle w:val="ListParagraph"/>
        <w:numPr>
          <w:ilvl w:val="0"/>
          <w:numId w:val="78"/>
        </w:numPr>
      </w:pPr>
      <w:r w:rsidRPr="006A74F8">
        <w:t>organisations that provide or require specialised precision services and rely on traceable measurement to the highest accuracy references available</w:t>
      </w:r>
      <w:r w:rsidR="00500D87" w:rsidRPr="006A74F8">
        <w:t>.</w:t>
      </w:r>
    </w:p>
    <w:p w:rsidR="00EC3DAF" w:rsidRPr="006A74F8" w:rsidRDefault="00EC3DAF" w:rsidP="001810BA">
      <w:r w:rsidRPr="006A74F8">
        <w:t xml:space="preserve">In providing and/or using measurement services, these stakeholders rely on the measurement system. They will not be </w:t>
      </w:r>
      <w:r w:rsidR="00274FD0" w:rsidRPr="006A74F8">
        <w:t xml:space="preserve">directly </w:t>
      </w:r>
      <w:r w:rsidRPr="006A74F8">
        <w:t xml:space="preserve">impacted by the reform options, but have an interest in ensuring that the legislation supports the continuation of Australia’s trusted measurement system. As this has already been covered </w:t>
      </w:r>
      <w:r w:rsidR="008166AE" w:rsidRPr="006A74F8">
        <w:t>previously</w:t>
      </w:r>
      <w:r w:rsidRPr="006A74F8">
        <w:t>, the below assessment does not specifically refer to them as a separate stakeholder group.</w:t>
      </w:r>
    </w:p>
    <w:p w:rsidR="00EC3DAF" w:rsidRPr="006A74F8" w:rsidRDefault="00EC3DAF" w:rsidP="00FD7AC9">
      <w:pPr>
        <w:pStyle w:val="Heading4"/>
      </w:pPr>
      <w:r w:rsidRPr="006A74F8">
        <w:t xml:space="preserve">How </w:t>
      </w:r>
      <w:r w:rsidR="00FF6EC3" w:rsidRPr="006A74F8">
        <w:t xml:space="preserve">were </w:t>
      </w:r>
      <w:r w:rsidRPr="006A74F8">
        <w:t>impacts assessed/rated?</w:t>
      </w:r>
    </w:p>
    <w:p w:rsidR="0030031C" w:rsidRPr="006A74F8" w:rsidRDefault="003B1E94" w:rsidP="001810BA">
      <w:r w:rsidRPr="006A74F8">
        <w:t>Feedback from public consultations was combined with</w:t>
      </w:r>
      <w:r w:rsidR="0055161C" w:rsidRPr="006A74F8">
        <w:t xml:space="preserve"> </w:t>
      </w:r>
      <w:r w:rsidRPr="006A74F8">
        <w:t xml:space="preserve">the views </w:t>
      </w:r>
      <w:r w:rsidR="0055161C" w:rsidRPr="006A74F8">
        <w:t xml:space="preserve">of </w:t>
      </w:r>
      <w:r w:rsidRPr="006A74F8">
        <w:t xml:space="preserve">NMI </w:t>
      </w:r>
      <w:r w:rsidR="0055161C" w:rsidRPr="006A74F8">
        <w:t>legal and scientific metrologists to</w:t>
      </w:r>
      <w:r w:rsidRPr="006A74F8">
        <w:t xml:space="preserve"> assess the likely impacts of the options on stakeholders. This included</w:t>
      </w:r>
      <w:r w:rsidR="0030031C" w:rsidRPr="006A74F8">
        <w:t>:</w:t>
      </w:r>
    </w:p>
    <w:p w:rsidR="001810BA" w:rsidRPr="006A74F8" w:rsidRDefault="003B1E94" w:rsidP="008963BE">
      <w:pPr>
        <w:pStyle w:val="ListParagraph"/>
        <w:numPr>
          <w:ilvl w:val="0"/>
          <w:numId w:val="19"/>
        </w:numPr>
      </w:pPr>
      <w:r w:rsidRPr="006A74F8">
        <w:t>Assessing</w:t>
      </w:r>
      <w:r w:rsidR="0030031C" w:rsidRPr="006A74F8">
        <w:t xml:space="preserve"> how the changes in each reform option may impact </w:t>
      </w:r>
      <w:r w:rsidR="00B453E1" w:rsidRPr="006A74F8">
        <w:t>key</w:t>
      </w:r>
      <w:r w:rsidR="0030031C" w:rsidRPr="006A74F8">
        <w:t xml:space="preserve"> stakeholder</w:t>
      </w:r>
      <w:r w:rsidR="00B453E1" w:rsidRPr="006A74F8">
        <w:t xml:space="preserve"> groups</w:t>
      </w:r>
      <w:r w:rsidR="004A2A57" w:rsidRPr="006A74F8">
        <w:t>.</w:t>
      </w:r>
    </w:p>
    <w:p w:rsidR="001810BA" w:rsidRPr="006A74F8" w:rsidRDefault="003B1E94" w:rsidP="008963BE">
      <w:pPr>
        <w:pStyle w:val="ListParagraph"/>
        <w:numPr>
          <w:ilvl w:val="0"/>
          <w:numId w:val="19"/>
        </w:numPr>
      </w:pPr>
      <w:r w:rsidRPr="006A74F8">
        <w:t xml:space="preserve">Identifying any regulatory burden and </w:t>
      </w:r>
      <w:r w:rsidR="0030031C" w:rsidRPr="006A74F8">
        <w:t>whether the impact would increase or decrease</w:t>
      </w:r>
      <w:r w:rsidR="004A2A57" w:rsidRPr="006A74F8">
        <w:t>.</w:t>
      </w:r>
    </w:p>
    <w:p w:rsidR="001810BA" w:rsidRPr="006A74F8" w:rsidRDefault="004A2A57" w:rsidP="008963BE">
      <w:pPr>
        <w:pStyle w:val="ListParagraph"/>
        <w:numPr>
          <w:ilvl w:val="0"/>
          <w:numId w:val="19"/>
        </w:numPr>
      </w:pPr>
      <w:r w:rsidRPr="006A74F8">
        <w:t>P</w:t>
      </w:r>
      <w:r w:rsidR="0030031C" w:rsidRPr="006A74F8">
        <w:t>rovid</w:t>
      </w:r>
      <w:r w:rsidR="003B1E94" w:rsidRPr="006A74F8">
        <w:t>ing</w:t>
      </w:r>
      <w:r w:rsidR="0030031C" w:rsidRPr="006A74F8">
        <w:t xml:space="preserve"> a</w:t>
      </w:r>
      <w:r w:rsidR="004A5AEA" w:rsidRPr="006A74F8">
        <w:t>n</w:t>
      </w:r>
      <w:r w:rsidR="0030031C" w:rsidRPr="006A74F8">
        <w:t xml:space="preserve"> assessment of the impact</w:t>
      </w:r>
      <w:r w:rsidR="004A5AEA" w:rsidRPr="006A74F8">
        <w:t>, using a common scale for the estimated magnitude</w:t>
      </w:r>
      <w:r w:rsidRPr="006A74F8">
        <w:t>.</w:t>
      </w:r>
    </w:p>
    <w:p w:rsidR="003C3C97" w:rsidRPr="006A74F8" w:rsidRDefault="00CE34C4" w:rsidP="001810BA">
      <w:r w:rsidRPr="006A74F8">
        <w:t xml:space="preserve">The </w:t>
      </w:r>
      <w:r w:rsidR="004A5AEA" w:rsidRPr="006A74F8">
        <w:t>assessment</w:t>
      </w:r>
      <w:r w:rsidR="005B7E22" w:rsidRPr="006A74F8">
        <w:t xml:space="preserve"> </w:t>
      </w:r>
      <w:r w:rsidR="00D45DE5" w:rsidRPr="006A74F8">
        <w:t>uses a</w:t>
      </w:r>
      <w:r w:rsidR="0085432A" w:rsidRPr="006A74F8">
        <w:t xml:space="preserve"> </w:t>
      </w:r>
      <w:r w:rsidRPr="006A74F8">
        <w:t xml:space="preserve">7 point scale, </w:t>
      </w:r>
      <w:r w:rsidR="004A5AEA" w:rsidRPr="006A74F8">
        <w:t xml:space="preserve">indicating </w:t>
      </w:r>
      <w:r w:rsidR="00921CDE" w:rsidRPr="006A74F8">
        <w:t>the anticipated impact of changes on particular stakeholder groups relative to the status quo:</w:t>
      </w:r>
    </w:p>
    <w:p w:rsidR="003C3C97" w:rsidRPr="006A74F8" w:rsidRDefault="00F85A03" w:rsidP="00225987">
      <w:pPr>
        <w:ind w:left="142"/>
      </w:pPr>
      <w:r w:rsidRPr="006A74F8">
        <w:rPr>
          <w:noProof/>
          <w:lang w:eastAsia="en-AU"/>
        </w:rPr>
        <w:lastRenderedPageBreak/>
        <w:drawing>
          <wp:inline distT="0" distB="0" distL="0" distR="0" wp14:anchorId="75B54D33" wp14:editId="475F8EF8">
            <wp:extent cx="5731510" cy="925830"/>
            <wp:effectExtent l="0" t="0" r="0" b="0"/>
            <wp:docPr id="5" name="Picture 5"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925830"/>
                    </a:xfrm>
                    <a:prstGeom prst="rect">
                      <a:avLst/>
                    </a:prstGeom>
                  </pic:spPr>
                </pic:pic>
              </a:graphicData>
            </a:graphic>
          </wp:inline>
        </w:drawing>
      </w:r>
    </w:p>
    <w:p w:rsidR="0055161C" w:rsidRPr="006A74F8" w:rsidRDefault="00921CDE" w:rsidP="001810BA">
      <w:r w:rsidRPr="006A74F8">
        <w:t>Changes which result in a beneficial impact for stakeholders</w:t>
      </w:r>
      <w:r w:rsidR="00EB28FE" w:rsidRPr="006A74F8">
        <w:t>,</w:t>
      </w:r>
      <w:r w:rsidRPr="006A74F8">
        <w:t xml:space="preserve"> </w:t>
      </w:r>
      <w:r w:rsidR="00EB28FE" w:rsidRPr="006A74F8">
        <w:t xml:space="preserve">or reduce burden, </w:t>
      </w:r>
      <w:r w:rsidRPr="006A74F8">
        <w:t xml:space="preserve">have been rated as positive. Changes which </w:t>
      </w:r>
      <w:r w:rsidR="007024BF" w:rsidRPr="006A74F8">
        <w:t>increase operating costs</w:t>
      </w:r>
      <w:r w:rsidR="00EB28FE" w:rsidRPr="006A74F8">
        <w:t>,</w:t>
      </w:r>
      <w:r w:rsidR="007024BF" w:rsidRPr="006A74F8">
        <w:t xml:space="preserve"> risk,</w:t>
      </w:r>
      <w:r w:rsidR="00EB28FE" w:rsidRPr="006A74F8">
        <w:t xml:space="preserve"> burden</w:t>
      </w:r>
      <w:r w:rsidR="007024BF" w:rsidRPr="006A74F8">
        <w:t xml:space="preserve"> or result in a detrimental impact for stakeholders have been rated as </w:t>
      </w:r>
      <w:r w:rsidR="005271A1" w:rsidRPr="006A74F8">
        <w:t>negative</w:t>
      </w:r>
      <w:r w:rsidR="007024BF" w:rsidRPr="006A74F8">
        <w:t xml:space="preserve">. </w:t>
      </w:r>
      <w:r w:rsidR="0055161C" w:rsidRPr="006A74F8">
        <w:t>The neutral rating was used both to signify minimal impact and also used for impacts that have not yet been assessed as they are to be determined through future changes to the legislation (and will undergo further assessment and consultation).</w:t>
      </w:r>
    </w:p>
    <w:p w:rsidR="0055161C" w:rsidRPr="006A74F8" w:rsidRDefault="007024BF" w:rsidP="0055161C">
      <w:r w:rsidRPr="006A74F8">
        <w:t xml:space="preserve">These ratings have been determined as outlined in </w:t>
      </w:r>
      <w:r w:rsidRPr="00725D12">
        <w:t xml:space="preserve">Appendices </w:t>
      </w:r>
      <w:r w:rsidR="00686A28" w:rsidRPr="00725D12">
        <w:t>4</w:t>
      </w:r>
      <w:r w:rsidR="00C11B00" w:rsidRPr="00725D12">
        <w:t xml:space="preserve"> - </w:t>
      </w:r>
      <w:r w:rsidR="00686A28" w:rsidRPr="00725D12">
        <w:t>8</w:t>
      </w:r>
      <w:r w:rsidRPr="006A74F8">
        <w:t>.</w:t>
      </w:r>
      <w:r w:rsidR="0055161C" w:rsidRPr="006A74F8">
        <w:t xml:space="preserve"> While numbers have been applied to this rating scale, these are </w:t>
      </w:r>
      <w:r w:rsidR="005271A1" w:rsidRPr="006A74F8">
        <w:t xml:space="preserve">intended </w:t>
      </w:r>
      <w:r w:rsidR="0055161C" w:rsidRPr="006A74F8">
        <w:t>to support accessib</w:t>
      </w:r>
      <w:r w:rsidR="006D6753" w:rsidRPr="006A74F8">
        <w:t>i</w:t>
      </w:r>
      <w:r w:rsidR="0055161C" w:rsidRPr="006A74F8">
        <w:t>l</w:t>
      </w:r>
      <w:r w:rsidR="006D6753" w:rsidRPr="006A74F8">
        <w:t>it</w:t>
      </w:r>
      <w:r w:rsidR="0055161C" w:rsidRPr="006A74F8">
        <w:t>y and readability of the ratings rather than representing a precise scale.</w:t>
      </w:r>
    </w:p>
    <w:p w:rsidR="005B7E22" w:rsidRPr="006A74F8" w:rsidRDefault="005B7E22" w:rsidP="00801139">
      <w:pPr>
        <w:pStyle w:val="Heading4"/>
        <w:rPr>
          <w:rStyle w:val="Heading6Char"/>
        </w:rPr>
      </w:pPr>
      <w:r w:rsidRPr="006A74F8">
        <w:t>Li</w:t>
      </w:r>
      <w:r w:rsidRPr="006A74F8">
        <w:rPr>
          <w:rStyle w:val="Heading6Char"/>
        </w:rPr>
        <w:t>mitations and assumptions</w:t>
      </w:r>
    </w:p>
    <w:p w:rsidR="00D72D9A" w:rsidRPr="006A74F8" w:rsidRDefault="005B7E22" w:rsidP="001810BA">
      <w:r w:rsidRPr="006A74F8">
        <w:t xml:space="preserve">Changes to regulatory burden under each reform option </w:t>
      </w:r>
      <w:r w:rsidR="00BB0C83" w:rsidRPr="006A74F8">
        <w:t>were</w:t>
      </w:r>
      <w:r w:rsidRPr="006A74F8">
        <w:t xml:space="preserve"> identified for each stakeholder group but cannot be </w:t>
      </w:r>
      <w:r w:rsidR="00F2655E" w:rsidRPr="006A74F8">
        <w:t xml:space="preserve">completely </w:t>
      </w:r>
      <w:r w:rsidRPr="006A74F8">
        <w:t>quantified</w:t>
      </w:r>
      <w:r w:rsidR="00CE34C4" w:rsidRPr="006A74F8">
        <w:t xml:space="preserve"> </w:t>
      </w:r>
      <w:r w:rsidR="0085432A" w:rsidRPr="006A74F8">
        <w:t xml:space="preserve">as a </w:t>
      </w:r>
      <w:r w:rsidR="00CE34C4" w:rsidRPr="006A74F8">
        <w:t xml:space="preserve">dollar cost </w:t>
      </w:r>
      <w:r w:rsidRPr="006A74F8">
        <w:t xml:space="preserve">due to lack of data. </w:t>
      </w:r>
      <w:r w:rsidR="0052591D" w:rsidRPr="00725D12">
        <w:t xml:space="preserve">Appendices </w:t>
      </w:r>
      <w:r w:rsidR="00603522" w:rsidRPr="00725D12">
        <w:t>9</w:t>
      </w:r>
      <w:r w:rsidR="00CB5C32" w:rsidRPr="00725D12">
        <w:t xml:space="preserve"> </w:t>
      </w:r>
      <w:r w:rsidR="00C11B00" w:rsidRPr="00725D12">
        <w:t>-</w:t>
      </w:r>
      <w:r w:rsidR="00CB5C32" w:rsidRPr="00725D12">
        <w:t xml:space="preserve"> </w:t>
      </w:r>
      <w:r w:rsidR="00C11B00" w:rsidRPr="00725D12">
        <w:t>1</w:t>
      </w:r>
      <w:r w:rsidR="00603522" w:rsidRPr="006A74F8">
        <w:t>3</w:t>
      </w:r>
      <w:r w:rsidR="0052591D" w:rsidRPr="006A74F8">
        <w:t xml:space="preserve"> provide</w:t>
      </w:r>
      <w:r w:rsidR="00D72D9A" w:rsidRPr="006A74F8">
        <w:t xml:space="preserve"> some information about specific areas for which there are some regulatory burden costings</w:t>
      </w:r>
      <w:r w:rsidR="0052591D" w:rsidRPr="006A74F8">
        <w:t>.</w:t>
      </w:r>
    </w:p>
    <w:p w:rsidR="003D30F0" w:rsidRPr="006A74F8" w:rsidRDefault="005B7E22" w:rsidP="001810BA">
      <w:r w:rsidRPr="006A74F8">
        <w:t xml:space="preserve">In some areas, the change </w:t>
      </w:r>
      <w:r w:rsidR="00F04C36" w:rsidRPr="006A74F8">
        <w:t>under a particular option is to provide flexibility in regulatory approach. Where this is the case, subsequent data collection will be used to help identify the risks involved and further consultation will be undertaken to strike an appropriate regulatory balance between the risks to be managed and the level of regulatory burden.</w:t>
      </w:r>
      <w:r w:rsidR="003D30F0" w:rsidRPr="006A74F8">
        <w:t xml:space="preserve"> </w:t>
      </w:r>
    </w:p>
    <w:p w:rsidR="009E7A7E" w:rsidRPr="006A74F8" w:rsidRDefault="009E7A7E" w:rsidP="009E7A7E">
      <w:pPr>
        <w:pStyle w:val="Heading3"/>
      </w:pPr>
      <w:bookmarkStart w:id="1647" w:name="_Toc64895639"/>
      <w:bookmarkStart w:id="1648" w:name="_Toc64900860"/>
      <w:bookmarkStart w:id="1649" w:name="_Toc64903112"/>
      <w:bookmarkStart w:id="1650" w:name="_Toc64904065"/>
      <w:bookmarkStart w:id="1651" w:name="_Toc64904273"/>
      <w:bookmarkStart w:id="1652" w:name="_Toc64904730"/>
      <w:bookmarkStart w:id="1653" w:name="_Toc64905244"/>
      <w:bookmarkStart w:id="1654" w:name="_Toc64964007"/>
      <w:bookmarkStart w:id="1655" w:name="_Toc64974619"/>
      <w:bookmarkStart w:id="1656" w:name="_Toc64976306"/>
      <w:bookmarkStart w:id="1657" w:name="_Toc65149681"/>
      <w:bookmarkStart w:id="1658" w:name="_Toc64558456"/>
      <w:bookmarkStart w:id="1659" w:name="_Toc64557476"/>
      <w:bookmarkStart w:id="1660" w:name="_Toc64562201"/>
      <w:bookmarkStart w:id="1661" w:name="_Toc64562457"/>
      <w:bookmarkStart w:id="1662" w:name="_Toc65491086"/>
      <w:bookmarkStart w:id="1663" w:name="_Toc65504822"/>
      <w:bookmarkStart w:id="1664" w:name="_Toc65757905"/>
      <w:bookmarkStart w:id="1665" w:name="_Toc65769500"/>
      <w:bookmarkStart w:id="1666" w:name="_Toc65766868"/>
      <w:bookmarkStart w:id="1667" w:name="_Toc65772642"/>
      <w:bookmarkStart w:id="1668" w:name="_Toc66435699"/>
      <w:bookmarkStart w:id="1669" w:name="_Toc66436488"/>
      <w:bookmarkStart w:id="1670" w:name="_Toc66437699"/>
      <w:bookmarkStart w:id="1671" w:name="_Toc66440038"/>
      <w:bookmarkStart w:id="1672" w:name="_Toc66442241"/>
      <w:bookmarkStart w:id="1673" w:name="_Toc66451910"/>
      <w:bookmarkStart w:id="1674" w:name="_Toc66459187"/>
      <w:bookmarkStart w:id="1675" w:name="_Toc66460241"/>
      <w:bookmarkStart w:id="1676" w:name="_Toc67305392"/>
      <w:bookmarkStart w:id="1677" w:name="_Toc67306306"/>
      <w:bookmarkStart w:id="1678" w:name="_Toc67306756"/>
      <w:bookmarkStart w:id="1679" w:name="_Toc67313608"/>
      <w:bookmarkStart w:id="1680" w:name="_Toc67320801"/>
      <w:bookmarkStart w:id="1681" w:name="_Toc67321954"/>
      <w:bookmarkStart w:id="1682" w:name="_Toc67324419"/>
      <w:bookmarkStart w:id="1683" w:name="_Toc67326580"/>
      <w:bookmarkStart w:id="1684" w:name="_Toc61338680"/>
      <w:bookmarkStart w:id="1685" w:name="_Toc63062597"/>
      <w:r w:rsidRPr="006A74F8">
        <w:t>Summary of stakeholder impacts by reform option</w:t>
      </w:r>
      <w:bookmarkEnd w:id="1647"/>
      <w:bookmarkEnd w:id="1648"/>
      <w:bookmarkEnd w:id="1649"/>
      <w:bookmarkEnd w:id="1650"/>
      <w:bookmarkEnd w:id="1651"/>
      <w:bookmarkEnd w:id="1652"/>
      <w:bookmarkEnd w:id="1653"/>
      <w:bookmarkEnd w:id="1654"/>
      <w:bookmarkEnd w:id="1655"/>
      <w:bookmarkEnd w:id="1656"/>
      <w:bookmarkEnd w:id="1657"/>
    </w:p>
    <w:p w:rsidR="009E7A7E" w:rsidRPr="006A74F8" w:rsidRDefault="009E7A7E" w:rsidP="009E7A7E">
      <w:r w:rsidRPr="006A74F8">
        <w:t>Based on the assessment, option 2 provide</w:t>
      </w:r>
      <w:r w:rsidR="000021B3" w:rsidRPr="006A74F8">
        <w:t>s</w:t>
      </w:r>
      <w:r w:rsidRPr="006A74F8">
        <w:t xml:space="preserve"> moderate benefits to </w:t>
      </w:r>
      <w:r w:rsidR="00CA025C" w:rsidRPr="006A74F8">
        <w:t>some</w:t>
      </w:r>
      <w:r w:rsidRPr="006A74F8">
        <w:t xml:space="preserve"> </w:t>
      </w:r>
      <w:r w:rsidR="00CA025C" w:rsidRPr="006A74F8">
        <w:t xml:space="preserve">industry </w:t>
      </w:r>
      <w:r w:rsidRPr="006A74F8">
        <w:t xml:space="preserve">stakeholder groups </w:t>
      </w:r>
      <w:r w:rsidR="00CA025C" w:rsidRPr="006A74F8">
        <w:t xml:space="preserve">and government regulators; </w:t>
      </w:r>
      <w:r w:rsidRPr="006A74F8">
        <w:t xml:space="preserve">but only slight benefits to </w:t>
      </w:r>
      <w:r w:rsidR="00CA025C" w:rsidRPr="006A74F8">
        <w:t>other stakeholder groups</w:t>
      </w:r>
      <w:r w:rsidRPr="006A74F8">
        <w:t xml:space="preserve">. The table below provides how each reform option is likely to impact stakeholders. </w:t>
      </w:r>
    </w:p>
    <w:p w:rsidR="000462A8" w:rsidRPr="006A74F8" w:rsidRDefault="00D9105C" w:rsidP="000462A8">
      <w:pPr>
        <w:pStyle w:val="Caption"/>
      </w:pPr>
      <w:r w:rsidRPr="006A74F8">
        <w:t xml:space="preserve">(copy of) </w:t>
      </w:r>
      <w:r w:rsidR="000462A8" w:rsidRPr="006A74F8">
        <w:t>Table 4: Overall option impact on stakeholders</w:t>
      </w:r>
    </w:p>
    <w:tbl>
      <w:tblPr>
        <w:tblStyle w:val="PlainTable22"/>
        <w:tblW w:w="8875" w:type="dxa"/>
        <w:tblLook w:val="04A0" w:firstRow="1" w:lastRow="0" w:firstColumn="1" w:lastColumn="0" w:noHBand="0" w:noVBand="1"/>
        <w:tblCaption w:val="Overall option impact on stakeholders"/>
        <w:tblDescription w:val="A summary of how each stakeholder group is impacted under each reform option.                                                                                                                Consumers - Options 1 to 3 all rated +0.75, slight beneficial. All reform options will provide a slight net benefit to this stakeholder group. Options 2 and 3 provide greater coverage of measurement transactions. Adverse impacts of changes to labelling requirements are increased slightly under options 2 and 3, compared with option 1.                                                                                      Industry - manufacturers of measuring instruments. Option 1 is rated +0.60, slight benefit. Option 2 is rated +1.60, moderate benefit. Option 3 is rated +1.00, slight benefit. Options 1 and 3 provide slight benefit. Option 2 provides greater benefits for the manufacturers of measuring instruments and greater support for innovation.                                                                                             Industry Authorised Third Parties - Option 1 is rated +0.25, neutral. Options 2 and 3 are rated +0.75, slight benefit. Options 2 and 3 provide for ATPs to have a more flexible and innovative approach in their regulated activities and to reduce regulatory compliance costs. Regulation will be streamlined in all three options and will reduce regulatory burden.                                                               Industry - wholesalers, retailers, importers - Option 1 is rated +1.00, slight benefit. Options 2 and 3 are rated +1.33, slight benefit. All reform options will benefit this stakeholder group. Options 2 and 3 provide the greatest net benefit.                                                                                                                Government regulators - Option 1 is rated +0.75, slight benefit. Option 2 is rated +1.50, slight to moderate benefit. Option 3 is rated +1.38, slight to moderate benefit. Option 1 provides a slight benefit to regulators whereas options 2 and 3 provide a more moderate benefit.                                                                             Overall (rounded) - Option 1 is rated +0.7, slight benefit. Option 2 is rated +1.2, slight benefit. Option 3 is rated +1.0, slight benefit. Analysis of stakeholder impacts shows that option 2 provides the greatest benefit to stakeholders. "/>
      </w:tblPr>
      <w:tblGrid>
        <w:gridCol w:w="1803"/>
        <w:gridCol w:w="673"/>
        <w:gridCol w:w="673"/>
        <w:gridCol w:w="673"/>
        <w:gridCol w:w="5053"/>
      </w:tblGrid>
      <w:tr w:rsidR="00B23C1D" w:rsidRPr="006A74F8" w:rsidTr="007F632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799" w:type="dxa"/>
            <w:vMerge w:val="restart"/>
            <w:tcBorders>
              <w:top w:val="single" w:sz="12" w:space="0" w:color="auto"/>
            </w:tcBorders>
            <w:vAlign w:val="center"/>
          </w:tcPr>
          <w:p w:rsidR="00B23C1D" w:rsidRPr="006A74F8" w:rsidRDefault="00B23C1D" w:rsidP="00B23C1D">
            <w:r w:rsidRPr="006A74F8">
              <w:t>Stakeholder</w:t>
            </w:r>
          </w:p>
        </w:tc>
        <w:tc>
          <w:tcPr>
            <w:tcW w:w="624" w:type="dxa"/>
            <w:gridSpan w:val="3"/>
            <w:tcBorders>
              <w:top w:val="single" w:sz="12" w:space="0" w:color="auto"/>
              <w:bottom w:val="nil"/>
            </w:tcBorders>
            <w:vAlign w:val="center"/>
          </w:tcPr>
          <w:p w:rsidR="00B23C1D" w:rsidRPr="006A74F8" w:rsidRDefault="00B23C1D" w:rsidP="00B23C1D">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039" w:type="dxa"/>
            <w:vMerge w:val="restart"/>
            <w:tcBorders>
              <w:top w:val="single" w:sz="12" w:space="0" w:color="auto"/>
            </w:tcBorders>
            <w:vAlign w:val="center"/>
          </w:tcPr>
          <w:p w:rsidR="00B23C1D" w:rsidRPr="006A74F8" w:rsidRDefault="00B23C1D" w:rsidP="00B23C1D">
            <w:pPr>
              <w:cnfStyle w:val="100000000000" w:firstRow="1" w:lastRow="0" w:firstColumn="0" w:lastColumn="0" w:oddVBand="0" w:evenVBand="0" w:oddHBand="0" w:evenHBand="0" w:firstRowFirstColumn="0" w:firstRowLastColumn="0" w:lastRowFirstColumn="0" w:lastRowLastColumn="0"/>
            </w:pPr>
            <w:r w:rsidRPr="006A74F8">
              <w:t>Explanation</w:t>
            </w:r>
          </w:p>
        </w:tc>
      </w:tr>
      <w:tr w:rsidR="00B23C1D" w:rsidRPr="006A74F8" w:rsidTr="007F632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799" w:type="dxa"/>
            <w:vMerge/>
            <w:tcBorders>
              <w:bottom w:val="double" w:sz="4" w:space="0" w:color="auto"/>
            </w:tcBorders>
          </w:tcPr>
          <w:p w:rsidR="00B23C1D" w:rsidRPr="006A74F8" w:rsidRDefault="00B23C1D" w:rsidP="00B23C1D"/>
        </w:tc>
        <w:tc>
          <w:tcPr>
            <w:tcW w:w="624" w:type="dxa"/>
            <w:tcBorders>
              <w:top w:val="nil"/>
              <w:bottom w:val="double" w:sz="4" w:space="0" w:color="auto"/>
            </w:tcBorders>
          </w:tcPr>
          <w:p w:rsidR="00B23C1D" w:rsidRPr="006A74F8" w:rsidRDefault="00B23C1D" w:rsidP="00B23C1D">
            <w:pPr>
              <w:jc w:val="center"/>
              <w:cnfStyle w:val="100000000000" w:firstRow="1" w:lastRow="0" w:firstColumn="0" w:lastColumn="0" w:oddVBand="0" w:evenVBand="0" w:oddHBand="0" w:evenHBand="0" w:firstRowFirstColumn="0" w:firstRowLastColumn="0" w:lastRowFirstColumn="0" w:lastRowLastColumn="0"/>
            </w:pPr>
            <w:r w:rsidRPr="006A74F8">
              <w:t>1</w:t>
            </w:r>
          </w:p>
        </w:tc>
        <w:tc>
          <w:tcPr>
            <w:tcW w:w="624" w:type="dxa"/>
            <w:tcBorders>
              <w:top w:val="nil"/>
              <w:bottom w:val="double" w:sz="4" w:space="0" w:color="auto"/>
            </w:tcBorders>
          </w:tcPr>
          <w:p w:rsidR="00B23C1D" w:rsidRPr="006A74F8" w:rsidRDefault="00B23C1D" w:rsidP="00B23C1D">
            <w:pPr>
              <w:jc w:val="center"/>
              <w:cnfStyle w:val="100000000000" w:firstRow="1" w:lastRow="0" w:firstColumn="0" w:lastColumn="0" w:oddVBand="0" w:evenVBand="0" w:oddHBand="0" w:evenHBand="0" w:firstRowFirstColumn="0" w:firstRowLastColumn="0" w:lastRowFirstColumn="0" w:lastRowLastColumn="0"/>
            </w:pPr>
            <w:r w:rsidRPr="006A74F8">
              <w:t>2</w:t>
            </w:r>
          </w:p>
        </w:tc>
        <w:tc>
          <w:tcPr>
            <w:tcW w:w="624" w:type="dxa"/>
            <w:tcBorders>
              <w:top w:val="nil"/>
              <w:bottom w:val="double" w:sz="4" w:space="0" w:color="auto"/>
            </w:tcBorders>
          </w:tcPr>
          <w:p w:rsidR="00B23C1D" w:rsidRPr="006A74F8" w:rsidRDefault="00B23C1D" w:rsidP="00B23C1D">
            <w:pPr>
              <w:jc w:val="center"/>
              <w:cnfStyle w:val="100000000000" w:firstRow="1" w:lastRow="0" w:firstColumn="0" w:lastColumn="0" w:oddVBand="0" w:evenVBand="0" w:oddHBand="0" w:evenHBand="0" w:firstRowFirstColumn="0" w:firstRowLastColumn="0" w:lastRowFirstColumn="0" w:lastRowLastColumn="0"/>
            </w:pPr>
            <w:r w:rsidRPr="006A74F8">
              <w:t>3</w:t>
            </w:r>
          </w:p>
        </w:tc>
        <w:tc>
          <w:tcPr>
            <w:tcW w:w="5039" w:type="dxa"/>
            <w:vMerge/>
            <w:tcBorders>
              <w:bottom w:val="double" w:sz="4" w:space="0" w:color="auto"/>
            </w:tcBorders>
          </w:tcPr>
          <w:p w:rsidR="00B23C1D" w:rsidRPr="006A74F8" w:rsidRDefault="00B23C1D" w:rsidP="00B23C1D">
            <w:pPr>
              <w:cnfStyle w:val="100000000000" w:firstRow="1" w:lastRow="0" w:firstColumn="0" w:lastColumn="0" w:oddVBand="0" w:evenVBand="0" w:oddHBand="0" w:evenHBand="0" w:firstRowFirstColumn="0" w:firstRowLastColumn="0" w:lastRowFirstColumn="0" w:lastRowLastColumn="0"/>
            </w:pPr>
          </w:p>
        </w:tc>
      </w:tr>
      <w:tr w:rsidR="00B23C1D" w:rsidRPr="006A74F8" w:rsidTr="007F6329">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auto"/>
            </w:tcBorders>
            <w:vAlign w:val="center"/>
          </w:tcPr>
          <w:p w:rsidR="00B23C1D" w:rsidRPr="006A74F8" w:rsidRDefault="00B23C1D" w:rsidP="00B23C1D">
            <w:pPr>
              <w:rPr>
                <w:rFonts w:ascii="Calibri" w:eastAsia="Calibri" w:hAnsi="Calibri"/>
                <w:sz w:val="20"/>
                <w:szCs w:val="20"/>
              </w:rPr>
            </w:pPr>
            <w:r w:rsidRPr="006A74F8">
              <w:rPr>
                <w:rFonts w:ascii="Calibri" w:eastAsia="Calibri" w:hAnsi="Calibri"/>
                <w:sz w:val="20"/>
                <w:szCs w:val="20"/>
              </w:rPr>
              <w:t>Consumers</w:t>
            </w:r>
          </w:p>
        </w:tc>
        <w:tc>
          <w:tcPr>
            <w:tcW w:w="624" w:type="dxa"/>
            <w:tcBorders>
              <w:top w:val="double" w:sz="4" w:space="0" w:color="auto"/>
              <w:right w:val="single" w:sz="4" w:space="0" w:color="FFFFFF" w:themeColor="background1"/>
            </w:tcBorders>
            <w:shd w:val="clear" w:color="auto" w:fill="ACD7CA"/>
            <w:vAlign w:val="center"/>
          </w:tcPr>
          <w:p w:rsidR="00B23C1D" w:rsidRPr="006A74F8"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624" w:type="dxa"/>
            <w:tcBorders>
              <w:top w:val="double" w:sz="4" w:space="0" w:color="auto"/>
              <w:left w:val="single" w:sz="4" w:space="0" w:color="FFFFFF" w:themeColor="background1"/>
              <w:right w:val="single" w:sz="4" w:space="0" w:color="FFFFFF" w:themeColor="background1"/>
            </w:tcBorders>
            <w:shd w:val="clear" w:color="auto" w:fill="ACD7CA"/>
            <w:vAlign w:val="center"/>
          </w:tcPr>
          <w:p w:rsidR="00B23C1D" w:rsidRPr="006A74F8"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624" w:type="dxa"/>
            <w:tcBorders>
              <w:top w:val="double" w:sz="4" w:space="0" w:color="auto"/>
              <w:left w:val="single" w:sz="4" w:space="0" w:color="FFFFFF" w:themeColor="background1"/>
            </w:tcBorders>
            <w:shd w:val="clear" w:color="auto" w:fill="ACD7CA"/>
            <w:vAlign w:val="center"/>
          </w:tcPr>
          <w:p w:rsidR="00B23C1D" w:rsidRPr="006A74F8"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5039" w:type="dxa"/>
            <w:tcBorders>
              <w:top w:val="double" w:sz="4" w:space="0" w:color="auto"/>
            </w:tcBorders>
            <w:vAlign w:val="center"/>
          </w:tcPr>
          <w:p w:rsidR="00B23C1D" w:rsidRPr="006A74F8" w:rsidRDefault="00B23C1D" w:rsidP="00B23C1D">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6A74F8">
              <w:rPr>
                <w:rFonts w:ascii="Calibri" w:eastAsia="Calibri" w:hAnsi="Calibri"/>
                <w:sz w:val="20"/>
                <w:szCs w:val="20"/>
              </w:rPr>
              <w:t>All reform options will provide a slight net benefit to this stakeholder group. Options 2 and 3 provide greater coverage of measurement transactions. Adverse impacts of changes to labelling requirements are increased slightly under options 2 and 3, compared with option 1.</w:t>
            </w:r>
          </w:p>
        </w:tc>
      </w:tr>
      <w:tr w:rsidR="00B23C1D" w:rsidRPr="006A74F8" w:rsidTr="007F6329">
        <w:trPr>
          <w:trHeight w:hRule="exact" w:val="1418"/>
        </w:trPr>
        <w:tc>
          <w:tcPr>
            <w:cnfStyle w:val="001000000000" w:firstRow="0" w:lastRow="0" w:firstColumn="1" w:lastColumn="0" w:oddVBand="0" w:evenVBand="0" w:oddHBand="0" w:evenHBand="0" w:firstRowFirstColumn="0" w:firstRowLastColumn="0" w:lastRowFirstColumn="0" w:lastRowLastColumn="0"/>
            <w:tcW w:w="1799" w:type="dxa"/>
            <w:vAlign w:val="center"/>
          </w:tcPr>
          <w:p w:rsidR="00B23C1D" w:rsidRPr="006A74F8" w:rsidRDefault="00B23C1D" w:rsidP="00B23C1D">
            <w:pPr>
              <w:rPr>
                <w:rFonts w:ascii="Calibri" w:eastAsia="Calibri" w:hAnsi="Calibri"/>
                <w:sz w:val="20"/>
                <w:szCs w:val="20"/>
              </w:rPr>
            </w:pPr>
            <w:r w:rsidRPr="006A74F8">
              <w:rPr>
                <w:rFonts w:ascii="Calibri" w:eastAsia="Calibri" w:hAnsi="Calibri"/>
                <w:sz w:val="20"/>
                <w:szCs w:val="20"/>
              </w:rPr>
              <w:t>Industry –</w:t>
            </w:r>
            <w:r w:rsidRPr="006A74F8" w:rsidDel="00CD0782">
              <w:rPr>
                <w:rFonts w:ascii="Calibri" w:eastAsia="Calibri" w:hAnsi="Calibri"/>
                <w:sz w:val="20"/>
                <w:szCs w:val="20"/>
              </w:rPr>
              <w:t xml:space="preserve"> </w:t>
            </w:r>
            <w:r w:rsidRPr="006A74F8">
              <w:rPr>
                <w:rFonts w:ascii="Calibri" w:eastAsia="Calibri" w:hAnsi="Calibri"/>
                <w:sz w:val="20"/>
                <w:szCs w:val="20"/>
              </w:rPr>
              <w:t>Manufacturers</w:t>
            </w:r>
            <w:r w:rsidR="00747192" w:rsidRPr="006A74F8">
              <w:rPr>
                <w:rFonts w:ascii="Calibri" w:eastAsia="Calibri" w:hAnsi="Calibri"/>
                <w:sz w:val="20"/>
                <w:szCs w:val="20"/>
              </w:rPr>
              <w:t>, importers and distributors</w:t>
            </w:r>
            <w:r w:rsidRPr="006A74F8">
              <w:rPr>
                <w:rFonts w:ascii="Calibri" w:eastAsia="Calibri" w:hAnsi="Calibri"/>
                <w:sz w:val="20"/>
                <w:szCs w:val="20"/>
              </w:rPr>
              <w:t xml:space="preserve"> of measuring instruments</w:t>
            </w:r>
          </w:p>
        </w:tc>
        <w:tc>
          <w:tcPr>
            <w:tcW w:w="624" w:type="dxa"/>
            <w:tcBorders>
              <w:right w:val="single" w:sz="4" w:space="0" w:color="FFFFFF" w:themeColor="background1"/>
            </w:tcBorders>
            <w:shd w:val="clear" w:color="auto" w:fill="ACD7CA"/>
            <w:vAlign w:val="center"/>
          </w:tcPr>
          <w:p w:rsidR="00B23C1D" w:rsidRPr="006A74F8"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+0.60</w:t>
            </w:r>
          </w:p>
        </w:tc>
        <w:tc>
          <w:tcPr>
            <w:tcW w:w="624" w:type="dxa"/>
            <w:tcBorders>
              <w:left w:val="single" w:sz="4" w:space="0" w:color="FFFFFF" w:themeColor="background1"/>
              <w:right w:val="single" w:sz="4" w:space="0" w:color="FFFFFF" w:themeColor="background1"/>
            </w:tcBorders>
            <w:shd w:val="clear" w:color="auto" w:fill="398E98"/>
            <w:vAlign w:val="center"/>
          </w:tcPr>
          <w:p w:rsidR="00B23C1D" w:rsidRPr="006A74F8"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+1.60</w:t>
            </w:r>
          </w:p>
        </w:tc>
        <w:tc>
          <w:tcPr>
            <w:tcW w:w="624" w:type="dxa"/>
            <w:tcBorders>
              <w:left w:val="single" w:sz="4" w:space="0" w:color="FFFFFF" w:themeColor="background1"/>
            </w:tcBorders>
            <w:shd w:val="clear" w:color="auto" w:fill="ACD7CA"/>
            <w:vAlign w:val="center"/>
          </w:tcPr>
          <w:p w:rsidR="00B23C1D" w:rsidRPr="006A74F8"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+1.00</w:t>
            </w:r>
          </w:p>
        </w:tc>
        <w:tc>
          <w:tcPr>
            <w:tcW w:w="5039" w:type="dxa"/>
            <w:vAlign w:val="center"/>
          </w:tcPr>
          <w:p w:rsidR="00B23C1D" w:rsidRPr="006A74F8" w:rsidRDefault="00B23C1D" w:rsidP="00B23C1D">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6A74F8">
              <w:rPr>
                <w:sz w:val="20"/>
                <w:szCs w:val="20"/>
              </w:rPr>
              <w:t>Options 1 and 3 provide slight benefit. Option 2 provides greater benefits for the manufacturers of measuring instruments and greater support for innovation.</w:t>
            </w:r>
          </w:p>
        </w:tc>
      </w:tr>
      <w:tr w:rsidR="00B23C1D" w:rsidRPr="006A74F8" w:rsidTr="007F6329">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799" w:type="dxa"/>
            <w:vAlign w:val="center"/>
          </w:tcPr>
          <w:p w:rsidR="00B23C1D" w:rsidRPr="006A74F8" w:rsidRDefault="00856E0C" w:rsidP="00B23C1D">
            <w:pPr>
              <w:rPr>
                <w:rFonts w:ascii="Calibri" w:eastAsia="Calibri" w:hAnsi="Calibri"/>
                <w:sz w:val="20"/>
                <w:szCs w:val="20"/>
              </w:rPr>
            </w:pPr>
            <w:r w:rsidRPr="006A74F8">
              <w:rPr>
                <w:rFonts w:cstheme="minorHAnsi"/>
                <w:sz w:val="20"/>
                <w:szCs w:val="20"/>
              </w:rPr>
              <w:lastRenderedPageBreak/>
              <w:t>Industry</w:t>
            </w:r>
            <w:r w:rsidRPr="006A74F8">
              <w:rPr>
                <w:rFonts w:ascii="Calibri" w:eastAsia="Calibri" w:hAnsi="Calibri"/>
                <w:sz w:val="20"/>
                <w:szCs w:val="20"/>
              </w:rPr>
              <w:t xml:space="preserve"> –</w:t>
            </w:r>
            <w:r w:rsidR="00B23C1D" w:rsidRPr="006A74F8">
              <w:rPr>
                <w:rFonts w:cstheme="minorHAnsi"/>
                <w:sz w:val="20"/>
                <w:szCs w:val="20"/>
              </w:rPr>
              <w:t xml:space="preserve"> ATPs</w:t>
            </w:r>
          </w:p>
        </w:tc>
        <w:tc>
          <w:tcPr>
            <w:tcW w:w="624" w:type="dxa"/>
            <w:tcBorders>
              <w:right w:val="single" w:sz="4" w:space="0" w:color="FFFFFF" w:themeColor="background1"/>
            </w:tcBorders>
            <w:shd w:val="clear" w:color="auto" w:fill="FFFFC5"/>
            <w:vAlign w:val="center"/>
          </w:tcPr>
          <w:p w:rsidR="00B23C1D" w:rsidRPr="006A74F8"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+0.25</w:t>
            </w:r>
          </w:p>
        </w:tc>
        <w:tc>
          <w:tcPr>
            <w:tcW w:w="624" w:type="dxa"/>
            <w:tcBorders>
              <w:left w:val="single" w:sz="4" w:space="0" w:color="FFFFFF" w:themeColor="background1"/>
              <w:right w:val="single" w:sz="4" w:space="0" w:color="FFFFFF" w:themeColor="background1"/>
            </w:tcBorders>
            <w:shd w:val="clear" w:color="auto" w:fill="ACD7CA"/>
            <w:vAlign w:val="center"/>
          </w:tcPr>
          <w:p w:rsidR="00B23C1D" w:rsidRPr="006A74F8"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624" w:type="dxa"/>
            <w:tcBorders>
              <w:left w:val="single" w:sz="4" w:space="0" w:color="FFFFFF" w:themeColor="background1"/>
            </w:tcBorders>
            <w:shd w:val="clear" w:color="auto" w:fill="ACD7CA"/>
            <w:vAlign w:val="center"/>
          </w:tcPr>
          <w:p w:rsidR="00B23C1D" w:rsidRPr="006A74F8"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5039" w:type="dxa"/>
            <w:vAlign w:val="center"/>
          </w:tcPr>
          <w:p w:rsidR="00B23C1D" w:rsidRPr="006A74F8" w:rsidRDefault="00B23C1D" w:rsidP="00801139">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6A74F8">
              <w:rPr>
                <w:sz w:val="20"/>
                <w:szCs w:val="20"/>
              </w:rPr>
              <w:t xml:space="preserve">Options 2 and 3 provide a more flexible approach </w:t>
            </w:r>
            <w:r w:rsidR="006464F7" w:rsidRPr="006A74F8">
              <w:rPr>
                <w:sz w:val="20"/>
                <w:szCs w:val="20"/>
              </w:rPr>
              <w:t xml:space="preserve">to </w:t>
            </w:r>
            <w:r w:rsidRPr="006A74F8">
              <w:rPr>
                <w:sz w:val="20"/>
                <w:szCs w:val="20"/>
              </w:rPr>
              <w:t>regulated activities</w:t>
            </w:r>
            <w:r w:rsidR="006464F7" w:rsidRPr="006A74F8">
              <w:rPr>
                <w:sz w:val="20"/>
                <w:szCs w:val="20"/>
              </w:rPr>
              <w:t xml:space="preserve"> in the future</w:t>
            </w:r>
            <w:r w:rsidRPr="006A74F8">
              <w:rPr>
                <w:sz w:val="20"/>
                <w:szCs w:val="20"/>
              </w:rPr>
              <w:t xml:space="preserve"> and reduce </w:t>
            </w:r>
            <w:r w:rsidR="006464F7" w:rsidRPr="006A74F8">
              <w:rPr>
                <w:sz w:val="20"/>
                <w:szCs w:val="20"/>
              </w:rPr>
              <w:t xml:space="preserve">some </w:t>
            </w:r>
            <w:r w:rsidRPr="006A74F8">
              <w:rPr>
                <w:sz w:val="20"/>
                <w:szCs w:val="20"/>
              </w:rPr>
              <w:t>regulatory compliance costs</w:t>
            </w:r>
            <w:r w:rsidR="006464F7" w:rsidRPr="006A74F8">
              <w:rPr>
                <w:sz w:val="20"/>
                <w:szCs w:val="20"/>
              </w:rPr>
              <w:t xml:space="preserve"> for ATPs</w:t>
            </w:r>
            <w:r w:rsidRPr="006A74F8" w:rsidDel="007D7481">
              <w:rPr>
                <w:sz w:val="20"/>
                <w:szCs w:val="20"/>
              </w:rPr>
              <w:t>.</w:t>
            </w:r>
            <w:r w:rsidRPr="006A74F8">
              <w:rPr>
                <w:sz w:val="20"/>
                <w:szCs w:val="20"/>
              </w:rPr>
              <w:t xml:space="preserve"> Regulation</w:t>
            </w:r>
            <w:r w:rsidRPr="006A74F8" w:rsidDel="00CD0782">
              <w:rPr>
                <w:sz w:val="20"/>
                <w:szCs w:val="20"/>
              </w:rPr>
              <w:t xml:space="preserve"> </w:t>
            </w:r>
            <w:r w:rsidRPr="006A74F8">
              <w:rPr>
                <w:sz w:val="20"/>
                <w:szCs w:val="20"/>
              </w:rPr>
              <w:t xml:space="preserve">will be streamlined in all </w:t>
            </w:r>
            <w:r w:rsidR="00801139" w:rsidRPr="006A74F8">
              <w:rPr>
                <w:sz w:val="20"/>
                <w:szCs w:val="20"/>
              </w:rPr>
              <w:t xml:space="preserve">reform </w:t>
            </w:r>
            <w:r w:rsidRPr="006A74F8">
              <w:rPr>
                <w:sz w:val="20"/>
                <w:szCs w:val="20"/>
              </w:rPr>
              <w:t>options and will reduce regulatory burden.</w:t>
            </w:r>
          </w:p>
        </w:tc>
      </w:tr>
      <w:tr w:rsidR="00B23C1D" w:rsidRPr="006A74F8" w:rsidTr="007F6329">
        <w:trPr>
          <w:trHeight w:hRule="exact" w:val="1418"/>
        </w:trPr>
        <w:tc>
          <w:tcPr>
            <w:cnfStyle w:val="001000000000" w:firstRow="0" w:lastRow="0" w:firstColumn="1" w:lastColumn="0" w:oddVBand="0" w:evenVBand="0" w:oddHBand="0" w:evenHBand="0" w:firstRowFirstColumn="0" w:firstRowLastColumn="0" w:lastRowFirstColumn="0" w:lastRowLastColumn="0"/>
            <w:tcW w:w="1799" w:type="dxa"/>
            <w:vAlign w:val="center"/>
          </w:tcPr>
          <w:p w:rsidR="00B23C1D" w:rsidRPr="006A74F8" w:rsidRDefault="00B23C1D" w:rsidP="00B23C1D">
            <w:pPr>
              <w:rPr>
                <w:rFonts w:ascii="Calibri" w:eastAsia="Calibri" w:hAnsi="Calibri"/>
                <w:sz w:val="20"/>
                <w:szCs w:val="20"/>
              </w:rPr>
            </w:pPr>
            <w:r w:rsidRPr="006A74F8">
              <w:rPr>
                <w:rFonts w:ascii="Calibri" w:eastAsia="Calibri" w:hAnsi="Calibri"/>
                <w:sz w:val="20"/>
                <w:szCs w:val="20"/>
              </w:rPr>
              <w:t>Industry – wholesalers / retailers / importers / packers</w:t>
            </w:r>
          </w:p>
        </w:tc>
        <w:tc>
          <w:tcPr>
            <w:tcW w:w="624" w:type="dxa"/>
            <w:tcBorders>
              <w:right w:val="single" w:sz="4" w:space="0" w:color="FFFFFF" w:themeColor="background1"/>
            </w:tcBorders>
            <w:shd w:val="clear" w:color="auto" w:fill="ACD7CA"/>
            <w:vAlign w:val="center"/>
          </w:tcPr>
          <w:p w:rsidR="00B23C1D" w:rsidRPr="006A74F8"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+1.00</w:t>
            </w:r>
          </w:p>
        </w:tc>
        <w:tc>
          <w:tcPr>
            <w:tcW w:w="624" w:type="dxa"/>
            <w:tcBorders>
              <w:left w:val="single" w:sz="4" w:space="0" w:color="FFFFFF" w:themeColor="background1"/>
              <w:right w:val="single" w:sz="4" w:space="0" w:color="FFFFFF" w:themeColor="background1"/>
            </w:tcBorders>
            <w:shd w:val="clear" w:color="auto" w:fill="ACD7CA"/>
            <w:vAlign w:val="center"/>
          </w:tcPr>
          <w:p w:rsidR="00B23C1D" w:rsidRPr="006A74F8"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+1.33</w:t>
            </w:r>
          </w:p>
        </w:tc>
        <w:tc>
          <w:tcPr>
            <w:tcW w:w="624" w:type="dxa"/>
            <w:tcBorders>
              <w:left w:val="single" w:sz="4" w:space="0" w:color="FFFFFF" w:themeColor="background1"/>
            </w:tcBorders>
            <w:shd w:val="clear" w:color="auto" w:fill="ACD7CA"/>
            <w:vAlign w:val="center"/>
          </w:tcPr>
          <w:p w:rsidR="00B23C1D" w:rsidRPr="006A74F8"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+1.33</w:t>
            </w:r>
          </w:p>
        </w:tc>
        <w:tc>
          <w:tcPr>
            <w:tcW w:w="5039" w:type="dxa"/>
            <w:vAlign w:val="center"/>
          </w:tcPr>
          <w:p w:rsidR="00B23C1D" w:rsidRPr="006A74F8" w:rsidRDefault="00B23C1D" w:rsidP="00B23C1D">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6A74F8">
              <w:rPr>
                <w:sz w:val="20"/>
                <w:szCs w:val="20"/>
              </w:rPr>
              <w:t>All reform options will benefit this stakeholder group. Options 2 and 3 provide the greatest net benefit.</w:t>
            </w:r>
          </w:p>
        </w:tc>
      </w:tr>
      <w:tr w:rsidR="00B23C1D" w:rsidRPr="006A74F8" w:rsidTr="007F6329">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799" w:type="dxa"/>
            <w:vAlign w:val="center"/>
          </w:tcPr>
          <w:p w:rsidR="00B23C1D" w:rsidRPr="006A74F8" w:rsidRDefault="00B23C1D" w:rsidP="00B23C1D">
            <w:pPr>
              <w:rPr>
                <w:rFonts w:ascii="Calibri" w:eastAsia="Calibri" w:hAnsi="Calibri"/>
                <w:sz w:val="20"/>
                <w:szCs w:val="20"/>
              </w:rPr>
            </w:pPr>
            <w:r w:rsidRPr="006A74F8">
              <w:rPr>
                <w:rFonts w:ascii="Calibri" w:eastAsia="Calibri" w:hAnsi="Calibri"/>
                <w:sz w:val="20"/>
                <w:szCs w:val="20"/>
              </w:rPr>
              <w:t>Government Regulators</w:t>
            </w:r>
          </w:p>
        </w:tc>
        <w:tc>
          <w:tcPr>
            <w:tcW w:w="624" w:type="dxa"/>
            <w:tcBorders>
              <w:right w:val="single" w:sz="4" w:space="0" w:color="FFFFFF" w:themeColor="background1"/>
            </w:tcBorders>
            <w:shd w:val="clear" w:color="auto" w:fill="ACD7CA"/>
            <w:vAlign w:val="center"/>
          </w:tcPr>
          <w:p w:rsidR="00B23C1D" w:rsidRPr="006A74F8"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624" w:type="dxa"/>
            <w:tcBorders>
              <w:left w:val="single" w:sz="4" w:space="0" w:color="FFFFFF" w:themeColor="background1"/>
              <w:right w:val="single" w:sz="4" w:space="0" w:color="FFFFFF" w:themeColor="background1"/>
            </w:tcBorders>
            <w:shd w:val="clear" w:color="auto" w:fill="398E98"/>
            <w:vAlign w:val="center"/>
          </w:tcPr>
          <w:p w:rsidR="00B23C1D" w:rsidRPr="006A74F8"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+1.50</w:t>
            </w:r>
          </w:p>
        </w:tc>
        <w:tc>
          <w:tcPr>
            <w:tcW w:w="624" w:type="dxa"/>
            <w:tcBorders>
              <w:left w:val="single" w:sz="4" w:space="0" w:color="FFFFFF" w:themeColor="background1"/>
            </w:tcBorders>
            <w:shd w:val="clear" w:color="auto" w:fill="ACD7CA"/>
            <w:vAlign w:val="center"/>
          </w:tcPr>
          <w:p w:rsidR="00B23C1D" w:rsidRPr="006A74F8"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+1.38</w:t>
            </w:r>
          </w:p>
        </w:tc>
        <w:tc>
          <w:tcPr>
            <w:tcW w:w="5039" w:type="dxa"/>
            <w:vAlign w:val="center"/>
          </w:tcPr>
          <w:p w:rsidR="00B23C1D" w:rsidRPr="006A74F8" w:rsidRDefault="00B23C1D" w:rsidP="00B23C1D">
            <w:pPr>
              <w:cnfStyle w:val="000000100000" w:firstRow="0" w:lastRow="0" w:firstColumn="0" w:lastColumn="0" w:oddVBand="0" w:evenVBand="0" w:oddHBand="1" w:evenHBand="0" w:firstRowFirstColumn="0" w:firstRowLastColumn="0" w:lastRowFirstColumn="0" w:lastRowLastColumn="0"/>
              <w:rPr>
                <w:rFonts w:ascii="Calibri" w:eastAsia="Calibri" w:hAnsi="Calibri"/>
                <w:b/>
                <w:sz w:val="20"/>
                <w:szCs w:val="20"/>
              </w:rPr>
            </w:pPr>
            <w:r w:rsidRPr="006A74F8">
              <w:rPr>
                <w:sz w:val="20"/>
                <w:szCs w:val="20"/>
              </w:rPr>
              <w:t xml:space="preserve">Option 1 </w:t>
            </w:r>
            <w:r w:rsidR="004B4230" w:rsidRPr="006A74F8">
              <w:rPr>
                <w:sz w:val="20"/>
                <w:szCs w:val="20"/>
              </w:rPr>
              <w:t>and 3</w:t>
            </w:r>
            <w:r w:rsidRPr="006A74F8">
              <w:rPr>
                <w:sz w:val="20"/>
                <w:szCs w:val="20"/>
              </w:rPr>
              <w:t xml:space="preserve"> provide a slight benefit to regulators whereas </w:t>
            </w:r>
            <w:r w:rsidR="004B4230" w:rsidRPr="006A74F8">
              <w:rPr>
                <w:sz w:val="20"/>
                <w:szCs w:val="20"/>
              </w:rPr>
              <w:t>option</w:t>
            </w:r>
            <w:r w:rsidRPr="006A74F8">
              <w:rPr>
                <w:sz w:val="20"/>
                <w:szCs w:val="20"/>
              </w:rPr>
              <w:t xml:space="preserve"> 2 provide</w:t>
            </w:r>
            <w:r w:rsidR="004B4230" w:rsidRPr="006A74F8">
              <w:rPr>
                <w:sz w:val="20"/>
                <w:szCs w:val="20"/>
              </w:rPr>
              <w:t>s</w:t>
            </w:r>
            <w:r w:rsidRPr="006A74F8">
              <w:rPr>
                <w:sz w:val="20"/>
                <w:szCs w:val="20"/>
              </w:rPr>
              <w:t xml:space="preserve"> a more moderate benefit. </w:t>
            </w:r>
          </w:p>
        </w:tc>
      </w:tr>
      <w:tr w:rsidR="00B23C1D" w:rsidRPr="006A74F8" w:rsidTr="007F6329">
        <w:trPr>
          <w:trHeight w:hRule="exact" w:val="794"/>
        </w:trPr>
        <w:tc>
          <w:tcPr>
            <w:cnfStyle w:val="001000000000" w:firstRow="0" w:lastRow="0" w:firstColumn="1" w:lastColumn="0" w:oddVBand="0" w:evenVBand="0" w:oddHBand="0" w:evenHBand="0" w:firstRowFirstColumn="0" w:firstRowLastColumn="0" w:lastRowFirstColumn="0" w:lastRowLastColumn="0"/>
            <w:tcW w:w="1799" w:type="dxa"/>
            <w:tcBorders>
              <w:bottom w:val="single" w:sz="12" w:space="0" w:color="auto"/>
            </w:tcBorders>
            <w:vAlign w:val="center"/>
          </w:tcPr>
          <w:p w:rsidR="00B23C1D" w:rsidRPr="006A74F8" w:rsidRDefault="00B23C1D" w:rsidP="00B23C1D">
            <w:pPr>
              <w:rPr>
                <w:rFonts w:ascii="Calibri" w:eastAsia="Calibri" w:hAnsi="Calibri"/>
                <w:sz w:val="20"/>
                <w:szCs w:val="20"/>
              </w:rPr>
            </w:pPr>
            <w:r w:rsidRPr="006A74F8">
              <w:rPr>
                <w:rFonts w:ascii="Calibri" w:eastAsia="Calibri" w:hAnsi="Calibri"/>
                <w:sz w:val="20"/>
                <w:szCs w:val="20"/>
              </w:rPr>
              <w:t>Overall (rounded)</w:t>
            </w:r>
          </w:p>
        </w:tc>
        <w:tc>
          <w:tcPr>
            <w:tcW w:w="624" w:type="dxa"/>
            <w:tcBorders>
              <w:bottom w:val="single" w:sz="12" w:space="0" w:color="auto"/>
              <w:right w:val="single" w:sz="4" w:space="0" w:color="FFFFFF" w:themeColor="background1"/>
            </w:tcBorders>
            <w:shd w:val="clear" w:color="auto" w:fill="ACD7CA"/>
            <w:vAlign w:val="center"/>
          </w:tcPr>
          <w:p w:rsidR="00B23C1D" w:rsidRPr="006A74F8"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eastAsia="Calibri" w:cstheme="minorHAnsi"/>
                <w:b/>
                <w:sz w:val="20"/>
                <w:szCs w:val="20"/>
              </w:rPr>
              <w:t>+0.7</w:t>
            </w:r>
          </w:p>
        </w:tc>
        <w:tc>
          <w:tcPr>
            <w:tcW w:w="624" w:type="dxa"/>
            <w:tcBorders>
              <w:left w:val="single" w:sz="4" w:space="0" w:color="FFFFFF" w:themeColor="background1"/>
              <w:bottom w:val="single" w:sz="12" w:space="0" w:color="auto"/>
              <w:right w:val="single" w:sz="4" w:space="0" w:color="FFFFFF" w:themeColor="background1"/>
            </w:tcBorders>
            <w:shd w:val="clear" w:color="auto" w:fill="ACD7CA"/>
            <w:vAlign w:val="center"/>
          </w:tcPr>
          <w:p w:rsidR="00B23C1D" w:rsidRPr="006A74F8"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eastAsia="Calibri" w:cstheme="minorHAnsi"/>
                <w:b/>
                <w:sz w:val="20"/>
                <w:szCs w:val="20"/>
              </w:rPr>
              <w:t>+1.2</w:t>
            </w:r>
          </w:p>
        </w:tc>
        <w:tc>
          <w:tcPr>
            <w:tcW w:w="624" w:type="dxa"/>
            <w:tcBorders>
              <w:left w:val="single" w:sz="4" w:space="0" w:color="FFFFFF" w:themeColor="background1"/>
              <w:bottom w:val="single" w:sz="12" w:space="0" w:color="auto"/>
            </w:tcBorders>
            <w:shd w:val="clear" w:color="auto" w:fill="ACD7CA"/>
            <w:vAlign w:val="center"/>
          </w:tcPr>
          <w:p w:rsidR="00B23C1D" w:rsidRPr="006A74F8"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eastAsia="Calibri" w:cstheme="minorHAnsi"/>
                <w:b/>
                <w:sz w:val="20"/>
                <w:szCs w:val="20"/>
              </w:rPr>
              <w:t>+1.0</w:t>
            </w:r>
          </w:p>
        </w:tc>
        <w:tc>
          <w:tcPr>
            <w:tcW w:w="5039" w:type="dxa"/>
            <w:tcBorders>
              <w:bottom w:val="single" w:sz="12" w:space="0" w:color="auto"/>
            </w:tcBorders>
            <w:vAlign w:val="center"/>
          </w:tcPr>
          <w:p w:rsidR="00B23C1D" w:rsidRPr="006A74F8" w:rsidRDefault="00B23C1D" w:rsidP="00B23C1D">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6A74F8">
              <w:rPr>
                <w:rFonts w:ascii="Calibri" w:eastAsia="Calibri" w:hAnsi="Calibri"/>
                <w:b/>
                <w:sz w:val="20"/>
                <w:szCs w:val="20"/>
              </w:rPr>
              <w:t xml:space="preserve">Analysis of stakeholder impacts shows that option 2 provides the greatest benefit to stakeholders. </w:t>
            </w:r>
          </w:p>
        </w:tc>
      </w:tr>
    </w:tbl>
    <w:p w:rsidR="009E7A7E" w:rsidRPr="006A74F8" w:rsidRDefault="009E7A7E" w:rsidP="00B23C1D">
      <w:pPr>
        <w:rPr>
          <w:rFonts w:ascii="Calibri" w:eastAsia="Calibri" w:hAnsi="Calibri" w:cs="Calibri"/>
          <w:b/>
          <w:color w:val="000000"/>
          <w:sz w:val="20"/>
          <w:szCs w:val="21"/>
          <w:lang w:eastAsia="en-AU"/>
        </w:rPr>
      </w:pPr>
    </w:p>
    <w:p w:rsidR="005907D1" w:rsidRPr="006A74F8" w:rsidRDefault="00F85A03" w:rsidP="00FB2798">
      <w:pPr>
        <w:jc w:val="center"/>
        <w:rPr>
          <w:rFonts w:ascii="Calibri" w:eastAsia="Calibri" w:hAnsi="Calibri" w:cs="Calibri"/>
          <w:b/>
          <w:color w:val="000000"/>
          <w:sz w:val="20"/>
          <w:szCs w:val="21"/>
          <w:lang w:eastAsia="en-AU"/>
        </w:rPr>
      </w:pPr>
      <w:r w:rsidRPr="006A74F8">
        <w:rPr>
          <w:noProof/>
          <w:lang w:eastAsia="en-AU"/>
        </w:rPr>
        <w:drawing>
          <wp:inline distT="0" distB="0" distL="0" distR="0" wp14:anchorId="2F63612B" wp14:editId="4374F3D1">
            <wp:extent cx="5731510" cy="925830"/>
            <wp:effectExtent l="0" t="0" r="0" b="0"/>
            <wp:docPr id="19" name="Picture 19"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925830"/>
                    </a:xfrm>
                    <a:prstGeom prst="rect">
                      <a:avLst/>
                    </a:prstGeom>
                  </pic:spPr>
                </pic:pic>
              </a:graphicData>
            </a:graphic>
          </wp:inline>
        </w:drawing>
      </w:r>
    </w:p>
    <w:p w:rsidR="009E7A7E" w:rsidRPr="006A74F8" w:rsidRDefault="009E7A7E" w:rsidP="009E7A7E">
      <w:pPr>
        <w:pStyle w:val="Heading3"/>
      </w:pPr>
      <w:bookmarkStart w:id="1686" w:name="_Net_impacts_for"/>
      <w:bookmarkStart w:id="1687" w:name="_Toc64895640"/>
      <w:bookmarkStart w:id="1688" w:name="_Toc64900861"/>
      <w:bookmarkStart w:id="1689" w:name="_Toc64903113"/>
      <w:bookmarkStart w:id="1690" w:name="_Toc64904066"/>
      <w:bookmarkStart w:id="1691" w:name="_Toc64904274"/>
      <w:bookmarkStart w:id="1692" w:name="_Toc64904731"/>
      <w:bookmarkStart w:id="1693" w:name="_Toc64905245"/>
      <w:bookmarkStart w:id="1694" w:name="_Toc64964008"/>
      <w:bookmarkStart w:id="1695" w:name="_Toc64974620"/>
      <w:bookmarkStart w:id="1696" w:name="_Toc64976307"/>
      <w:bookmarkStart w:id="1697" w:name="_Toc65149682"/>
      <w:bookmarkEnd w:id="1686"/>
      <w:r w:rsidRPr="006A74F8">
        <w:t>Net impacts for stakeholders</w:t>
      </w:r>
      <w:bookmarkEnd w:id="1687"/>
      <w:bookmarkEnd w:id="1688"/>
      <w:bookmarkEnd w:id="1689"/>
      <w:bookmarkEnd w:id="1690"/>
      <w:bookmarkEnd w:id="1691"/>
      <w:bookmarkEnd w:id="1692"/>
      <w:bookmarkEnd w:id="1693"/>
      <w:bookmarkEnd w:id="1694"/>
      <w:bookmarkEnd w:id="1695"/>
      <w:bookmarkEnd w:id="1696"/>
      <w:bookmarkEnd w:id="1697"/>
    </w:p>
    <w:p w:rsidR="00C11B00" w:rsidRPr="006A74F8" w:rsidRDefault="009E7A7E" w:rsidP="00123D7F">
      <w:r w:rsidRPr="006A74F8">
        <w:t xml:space="preserve">The overall impacts for the different stakeholder groups are outlined below. </w:t>
      </w:r>
      <w:r w:rsidR="001A7049" w:rsidRPr="006A74F8">
        <w:t xml:space="preserve">Further detail can be found in </w:t>
      </w:r>
      <w:r w:rsidR="001A7049" w:rsidRPr="00725D12">
        <w:t>Appendices 4 - 8</w:t>
      </w:r>
      <w:r w:rsidR="001A7049" w:rsidRPr="006A74F8">
        <w:t>.</w:t>
      </w:r>
    </w:p>
    <w:p w:rsidR="009E7A7E" w:rsidRPr="006A74F8" w:rsidRDefault="009E7A7E" w:rsidP="009E7A7E">
      <w:pPr>
        <w:pStyle w:val="Heading4"/>
      </w:pPr>
      <w:r w:rsidRPr="006A74F8">
        <w:t xml:space="preserve">Net impacts on consumers </w:t>
      </w:r>
    </w:p>
    <w:p w:rsidR="009E7A7E" w:rsidRPr="006A74F8" w:rsidRDefault="009E7A7E" w:rsidP="009E7A7E">
      <w:pPr>
        <w:pStyle w:val="Heading5"/>
      </w:pPr>
      <w:r w:rsidRPr="006A74F8">
        <w:t>Positive impacts</w:t>
      </w:r>
    </w:p>
    <w:p w:rsidR="009E7A7E" w:rsidRPr="006A74F8" w:rsidRDefault="009E7A7E" w:rsidP="009E7A7E">
      <w:pPr>
        <w:rPr>
          <w:b/>
        </w:rPr>
      </w:pPr>
      <w:r w:rsidRPr="006A74F8">
        <w:rPr>
          <w:b/>
        </w:rPr>
        <w:t xml:space="preserve">Expanding scope of coverage from shortfall to false </w:t>
      </w:r>
      <w:r w:rsidR="00B177BB" w:rsidRPr="006A74F8">
        <w:rPr>
          <w:b/>
        </w:rPr>
        <w:t xml:space="preserve">or </w:t>
      </w:r>
      <w:r w:rsidRPr="006A74F8">
        <w:rPr>
          <w:b/>
        </w:rPr>
        <w:t>misleading measurement statements</w:t>
      </w:r>
      <w:r w:rsidRPr="006A74F8">
        <w:t xml:space="preserve">: Under </w:t>
      </w:r>
      <w:r w:rsidRPr="006A74F8">
        <w:rPr>
          <w:b/>
        </w:rPr>
        <w:t xml:space="preserve">all </w:t>
      </w:r>
      <w:r w:rsidR="00C11B00" w:rsidRPr="006A74F8">
        <w:rPr>
          <w:b/>
        </w:rPr>
        <w:t xml:space="preserve">reform </w:t>
      </w:r>
      <w:r w:rsidRPr="006A74F8">
        <w:rPr>
          <w:b/>
        </w:rPr>
        <w:t>options</w:t>
      </w:r>
      <w:r w:rsidRPr="006A74F8">
        <w:t xml:space="preserve">, expanded coverage of false </w:t>
      </w:r>
      <w:r w:rsidR="00B177BB" w:rsidRPr="006A74F8">
        <w:t xml:space="preserve">or </w:t>
      </w:r>
      <w:r w:rsidRPr="006A74F8">
        <w:t xml:space="preserve">misleading measurement statements, along with the inclusion of additional compliance and enforcement tools will provide consumers with greater confidence in the measurements they rely on when buying and selling. Consumers also benefit from expanded NMI oversight of measurement-based transactions, which helps ensure industry are operating on a level playing field. The expansion of coverage in </w:t>
      </w:r>
      <w:r w:rsidRPr="006A74F8">
        <w:rPr>
          <w:b/>
        </w:rPr>
        <w:t>option 1</w:t>
      </w:r>
      <w:r w:rsidRPr="006A74F8">
        <w:t xml:space="preserve"> to include both sale and purchase of goods will mean consumers can have confidence that they are being paid based on the correct measurement when they are selling goods (e.g. selling unwanted jewellery to a gold buyer). In </w:t>
      </w:r>
      <w:r w:rsidRPr="006A74F8">
        <w:rPr>
          <w:b/>
        </w:rPr>
        <w:t xml:space="preserve">options 2 and 3 </w:t>
      </w:r>
      <w:r w:rsidRPr="006A74F8">
        <w:t xml:space="preserve">coverage extends beyond that under </w:t>
      </w:r>
      <w:r w:rsidRPr="006A74F8">
        <w:rPr>
          <w:b/>
        </w:rPr>
        <w:t>option 1</w:t>
      </w:r>
      <w:r w:rsidRPr="006A74F8">
        <w:t xml:space="preserve"> to also include all transaction types (i.e. sale and purchase of goods and services). </w:t>
      </w:r>
    </w:p>
    <w:p w:rsidR="009E7A7E" w:rsidRPr="006A74F8" w:rsidRDefault="009E7A7E" w:rsidP="009E7A7E">
      <w:r w:rsidRPr="006A74F8">
        <w:rPr>
          <w:b/>
        </w:rPr>
        <w:t xml:space="preserve">Option 1 </w:t>
      </w:r>
      <w:r w:rsidRPr="006A74F8">
        <w:t xml:space="preserve">only partly addresses known gaps in the current legislation, whereas under </w:t>
      </w:r>
      <w:r w:rsidRPr="006A74F8">
        <w:rPr>
          <w:b/>
        </w:rPr>
        <w:t>options 2 and 3</w:t>
      </w:r>
      <w:r w:rsidRPr="006A74F8">
        <w:t xml:space="preserve"> consumers can have greater confidence that they are getting what they pay for in all measurement-</w:t>
      </w:r>
      <w:r w:rsidRPr="006A74F8">
        <w:lastRenderedPageBreak/>
        <w:t xml:space="preserve">based transactions. </w:t>
      </w:r>
      <w:r w:rsidRPr="006A74F8">
        <w:rPr>
          <w:b/>
        </w:rPr>
        <w:t xml:space="preserve">Option 3 </w:t>
      </w:r>
      <w:r w:rsidRPr="006A74F8">
        <w:t xml:space="preserve">also benefits from the ability to cover false </w:t>
      </w:r>
      <w:r w:rsidR="00B177BB" w:rsidRPr="006A74F8">
        <w:t xml:space="preserve">or </w:t>
      </w:r>
      <w:r w:rsidRPr="006A74F8">
        <w:t>misleading measurement statements, where needed, for non-trade measurement applications.</w:t>
      </w:r>
    </w:p>
    <w:p w:rsidR="009E7A7E" w:rsidRPr="006A74F8" w:rsidRDefault="009E7A7E" w:rsidP="009E7A7E">
      <w:r w:rsidRPr="006A74F8">
        <w:rPr>
          <w:b/>
        </w:rPr>
        <w:t xml:space="preserve">Additional compliance and enforcement tools: </w:t>
      </w:r>
      <w:r w:rsidRPr="006A74F8">
        <w:t>Across</w:t>
      </w:r>
      <w:r w:rsidRPr="006A74F8">
        <w:rPr>
          <w:b/>
        </w:rPr>
        <w:t xml:space="preserve"> all reform options, </w:t>
      </w:r>
      <w:r w:rsidRPr="006A74F8">
        <w:t xml:space="preserve">improvements are made to the range of compliance and enforcement tools available to NMI. This is expected to result in higher industry compliance rates and greater awareness (through increased publication of enforcement activities, enabled by the removal of information sharing restrictions). Where industry are operating on a level playing field, and those who are not are held accountable, consumers can have greater confidence that they are able to trade fairly. Providing greater assurances to consumers means they can shop with confidence, ultimately saving time and effort. </w:t>
      </w:r>
    </w:p>
    <w:p w:rsidR="009E7A7E" w:rsidRPr="006A74F8" w:rsidRDefault="009E7A7E" w:rsidP="009E7A7E">
      <w:pPr>
        <w:pStyle w:val="Heading5"/>
      </w:pPr>
      <w:r w:rsidRPr="006A74F8">
        <w:t>Neutral impacts</w:t>
      </w:r>
    </w:p>
    <w:p w:rsidR="009E7A7E" w:rsidRPr="006A74F8" w:rsidRDefault="009E7A7E" w:rsidP="009E7A7E">
      <w:r w:rsidRPr="006A74F8">
        <w:rPr>
          <w:b/>
        </w:rPr>
        <w:t xml:space="preserve">Unit of measurement requirements: </w:t>
      </w:r>
      <w:r w:rsidRPr="006A74F8">
        <w:t xml:space="preserve">Under </w:t>
      </w:r>
      <w:r w:rsidRPr="006A74F8">
        <w:rPr>
          <w:b/>
        </w:rPr>
        <w:t>all reform options</w:t>
      </w:r>
      <w:r w:rsidRPr="006A74F8">
        <w:t xml:space="preserve">, </w:t>
      </w:r>
      <w:r w:rsidRPr="006A74F8" w:rsidDel="00D83359">
        <w:t xml:space="preserve">changes </w:t>
      </w:r>
      <w:r w:rsidRPr="006A74F8">
        <w:t>to the</w:t>
      </w:r>
      <w:r w:rsidR="00B92057" w:rsidRPr="006A74F8">
        <w:t xml:space="preserve"> current</w:t>
      </w:r>
      <w:r w:rsidRPr="006A74F8">
        <w:t xml:space="preserve"> requirements</w:t>
      </w:r>
      <w:r w:rsidR="00B92057" w:rsidRPr="006A74F8">
        <w:t xml:space="preserve"> (the ‘Secretary’s list’)</w:t>
      </w:r>
      <w:r w:rsidRPr="006A74F8">
        <w:t xml:space="preserve"> </w:t>
      </w:r>
      <w:r w:rsidRPr="006A74F8" w:rsidDel="00D83359">
        <w:t xml:space="preserve">relating to the use of appropriate units of </w:t>
      </w:r>
      <w:r w:rsidRPr="006A74F8">
        <w:t xml:space="preserve">measurement </w:t>
      </w:r>
      <w:r w:rsidRPr="006A74F8" w:rsidDel="00D83359">
        <w:t>(e.g. mass, volume,</w:t>
      </w:r>
      <w:r w:rsidRPr="006A74F8">
        <w:t xml:space="preserve"> area, length,</w:t>
      </w:r>
      <w:r w:rsidRPr="006A74F8" w:rsidDel="00D83359">
        <w:t xml:space="preserve"> number) for packaged products</w:t>
      </w:r>
      <w:r w:rsidRPr="006A74F8">
        <w:t xml:space="preserve"> are expected to result in no net impact. In practice, the new arrangements are anticipated to largely operate in line with current requirements</w:t>
      </w:r>
      <w:r w:rsidR="00471B82" w:rsidRPr="006A74F8">
        <w:t xml:space="preserve">. </w:t>
      </w:r>
    </w:p>
    <w:p w:rsidR="009E7A7E" w:rsidRPr="006A74F8" w:rsidRDefault="009E7A7E" w:rsidP="009E7A7E">
      <w:pPr>
        <w:pStyle w:val="Heading5"/>
      </w:pPr>
      <w:r w:rsidRPr="006A74F8">
        <w:t>Adverse impacts</w:t>
      </w:r>
    </w:p>
    <w:p w:rsidR="009E7A7E" w:rsidRPr="006A74F8" w:rsidRDefault="009E7A7E" w:rsidP="009E7A7E">
      <w:r w:rsidRPr="006A74F8">
        <w:rPr>
          <w:b/>
        </w:rPr>
        <w:t>Measurement mark placement on packaged products</w:t>
      </w:r>
      <w:r w:rsidRPr="006A74F8">
        <w:t xml:space="preserve">: Changes to requirements for the placement of the measurement mark on packaged products </w:t>
      </w:r>
      <w:r w:rsidR="0011610B" w:rsidRPr="006A74F8">
        <w:t>may</w:t>
      </w:r>
      <w:r w:rsidRPr="006A74F8">
        <w:t xml:space="preserve"> have some negative impacts on consumers due to increased time to locate the measurement mark. These impacts will be limited to cosmetic products </w:t>
      </w:r>
      <w:r w:rsidR="00A959FD" w:rsidRPr="006A74F8">
        <w:t xml:space="preserve">and non-prescription therapeutic goods </w:t>
      </w:r>
      <w:r w:rsidRPr="006A74F8">
        <w:t xml:space="preserve">under </w:t>
      </w:r>
      <w:r w:rsidRPr="006A74F8">
        <w:rPr>
          <w:b/>
        </w:rPr>
        <w:t>option 1</w:t>
      </w:r>
      <w:r w:rsidRPr="006A74F8">
        <w:t xml:space="preserve"> but may extend to other types of products in future, if further exemptions are granted. The increased flexibility afforded under </w:t>
      </w:r>
      <w:r w:rsidRPr="006A74F8">
        <w:rPr>
          <w:b/>
        </w:rPr>
        <w:t xml:space="preserve">options 2 and 3 </w:t>
      </w:r>
      <w:r w:rsidRPr="006A74F8">
        <w:t xml:space="preserve">will have a more notable impact on consumers compared with </w:t>
      </w:r>
      <w:r w:rsidRPr="006A74F8">
        <w:rPr>
          <w:b/>
        </w:rPr>
        <w:t>option 1</w:t>
      </w:r>
      <w:r w:rsidRPr="006A74F8">
        <w:t>,</w:t>
      </w:r>
      <w:r w:rsidRPr="006A74F8">
        <w:rPr>
          <w:b/>
        </w:rPr>
        <w:t xml:space="preserve"> </w:t>
      </w:r>
      <w:r w:rsidRPr="006A74F8">
        <w:t>noting that</w:t>
      </w:r>
      <w:r w:rsidRPr="006A74F8">
        <w:rPr>
          <w:b/>
        </w:rPr>
        <w:t xml:space="preserve"> </w:t>
      </w:r>
      <w:r w:rsidRPr="006A74F8">
        <w:t>the measurement mark may not necessarily always be on the front of the pack</w:t>
      </w:r>
      <w:r w:rsidR="008B4D4D" w:rsidRPr="006A74F8">
        <w:t xml:space="preserve"> but must still be “prominent and legible”</w:t>
      </w:r>
      <w:r w:rsidRPr="006A74F8">
        <w:t xml:space="preserve">. However, this impact is reduced if the purchase is made from a business </w:t>
      </w:r>
      <w:r w:rsidR="008B4D4D" w:rsidRPr="006A74F8">
        <w:t>covered by the UPC</w:t>
      </w:r>
      <w:r w:rsidRPr="006A74F8">
        <w:t xml:space="preserve">. </w:t>
      </w:r>
      <w:r w:rsidR="00E84114" w:rsidRPr="006A74F8">
        <w:t xml:space="preserve">Even with the option of increased flexibility, businesses may decide not to alter their labelling as any package labelling compliant with current requirements will continue to be compliant under new arrangements. </w:t>
      </w:r>
      <w:r w:rsidRPr="006A74F8">
        <w:t xml:space="preserve">To help address residual concerns regarding the negative impacts identified with </w:t>
      </w:r>
      <w:r w:rsidRPr="006A74F8">
        <w:rPr>
          <w:b/>
        </w:rPr>
        <w:t>options 2 and 3</w:t>
      </w:r>
      <w:r w:rsidRPr="006A74F8">
        <w:t xml:space="preserve"> in relation to packaged products, NMI will develop additional guidance material to help guide and encourage industry to continue to provide adequate and accessible measurement information.</w:t>
      </w:r>
    </w:p>
    <w:p w:rsidR="009E7A7E" w:rsidRPr="006A74F8" w:rsidRDefault="009E7A7E" w:rsidP="009E7A7E">
      <w:pPr>
        <w:pStyle w:val="Heading5"/>
      </w:pPr>
      <w:r w:rsidRPr="006A74F8">
        <w:t>Overall net impact</w:t>
      </w:r>
    </w:p>
    <w:p w:rsidR="009E7A7E" w:rsidRPr="006A74F8" w:rsidRDefault="009E7A7E" w:rsidP="009E7A7E">
      <w:r w:rsidRPr="006A74F8">
        <w:t>The positive impacts described above are seen as providing a moderate benefit to consumers. These impacts are broad, system wide benefits that will further ensure consumers can have confidence in all measurement-based transactions. The adverse impacts described above are seen as having only a slightly adverse impact on consumers. These impacts are predominately in relation to the placement of the measurement mark on packaged products, and thus are likely to be isolated to particular types of packaged products, rather than impacting all packaged products.</w:t>
      </w:r>
    </w:p>
    <w:p w:rsidR="009E7A7E" w:rsidRPr="006A74F8" w:rsidRDefault="009E7A7E" w:rsidP="009E7A7E">
      <w:pPr>
        <w:rPr>
          <w:b/>
        </w:rPr>
      </w:pPr>
      <w:r w:rsidRPr="006A74F8">
        <w:t xml:space="preserve">Overall, there is a slight net benefit to consumers across </w:t>
      </w:r>
      <w:r w:rsidRPr="006A74F8">
        <w:rPr>
          <w:b/>
        </w:rPr>
        <w:t>all reform options</w:t>
      </w:r>
      <w:r w:rsidRPr="006A74F8">
        <w:t xml:space="preserve">, with </w:t>
      </w:r>
      <w:r w:rsidRPr="006A74F8">
        <w:rPr>
          <w:b/>
        </w:rPr>
        <w:t>options 2 and 3</w:t>
      </w:r>
      <w:r w:rsidRPr="006A74F8">
        <w:t xml:space="preserve"> being only slightly more beneficial than </w:t>
      </w:r>
      <w:r w:rsidRPr="006A74F8">
        <w:rPr>
          <w:b/>
        </w:rPr>
        <w:t xml:space="preserve">option 1. </w:t>
      </w:r>
    </w:p>
    <w:p w:rsidR="009D5BF4" w:rsidRPr="006A74F8" w:rsidRDefault="009E7A7E" w:rsidP="009E7A7E">
      <w:pPr>
        <w:sectPr w:rsidR="009D5BF4" w:rsidRPr="006A74F8" w:rsidSect="00EC61D8">
          <w:pgSz w:w="11907" w:h="16840" w:code="9"/>
          <w:pgMar w:top="1440" w:right="1440" w:bottom="1440" w:left="1440" w:header="709" w:footer="0" w:gutter="0"/>
          <w:cols w:space="708"/>
          <w:docGrid w:linePitch="360"/>
        </w:sectPr>
      </w:pPr>
      <w:r w:rsidRPr="006A74F8">
        <w:t>This is mainly due to</w:t>
      </w:r>
      <w:r w:rsidRPr="006A74F8">
        <w:rPr>
          <w:b/>
        </w:rPr>
        <w:t xml:space="preserve"> </w:t>
      </w:r>
      <w:r w:rsidRPr="006A74F8">
        <w:t>the added benefits seen</w:t>
      </w:r>
      <w:r w:rsidRPr="006A74F8">
        <w:rPr>
          <w:b/>
        </w:rPr>
        <w:t xml:space="preserve"> </w:t>
      </w:r>
      <w:r w:rsidRPr="006A74F8">
        <w:t xml:space="preserve">in </w:t>
      </w:r>
      <w:r w:rsidRPr="006A74F8">
        <w:rPr>
          <w:b/>
        </w:rPr>
        <w:t xml:space="preserve">options 2 and 3 </w:t>
      </w:r>
      <w:r w:rsidRPr="006A74F8">
        <w:t xml:space="preserve">from complete coverage of false </w:t>
      </w:r>
      <w:r w:rsidR="00B177BB" w:rsidRPr="006A74F8">
        <w:t xml:space="preserve">or </w:t>
      </w:r>
      <w:r w:rsidRPr="006A74F8">
        <w:t>misleading measurement statements (i.e. sale and purchase of goods and services), combined with the inclusion of an expanded suite of compliance and enforcement tools.</w:t>
      </w:r>
    </w:p>
    <w:p w:rsidR="009E7A7E" w:rsidRPr="006A74F8" w:rsidRDefault="009E7A7E" w:rsidP="009E7A7E">
      <w:pPr>
        <w:pStyle w:val="Heading4"/>
      </w:pPr>
      <w:bookmarkStart w:id="1698" w:name="_Questions_for_consumers"/>
      <w:bookmarkEnd w:id="1698"/>
      <w:r w:rsidRPr="006A74F8">
        <w:lastRenderedPageBreak/>
        <w:t xml:space="preserve">Net impacts on </w:t>
      </w:r>
      <w:r w:rsidR="00847BFB" w:rsidRPr="006A74F8">
        <w:t>measuring instrument manufacturers, importers and distributors</w:t>
      </w:r>
      <w:r w:rsidRPr="006A74F8">
        <w:t xml:space="preserve"> </w:t>
      </w:r>
    </w:p>
    <w:p w:rsidR="009E7A7E" w:rsidRPr="006A74F8" w:rsidRDefault="009E7A7E" w:rsidP="009E7A7E">
      <w:pPr>
        <w:pStyle w:val="Heading5"/>
      </w:pPr>
      <w:r w:rsidRPr="006A74F8">
        <w:t xml:space="preserve">Positive </w:t>
      </w:r>
      <w:r w:rsidR="009642A6" w:rsidRPr="006A74F8">
        <w:t>i</w:t>
      </w:r>
      <w:r w:rsidRPr="006A74F8">
        <w:t>mpacts</w:t>
      </w:r>
    </w:p>
    <w:p w:rsidR="009E7A7E" w:rsidRPr="006A74F8" w:rsidRDefault="009E7A7E" w:rsidP="009E7A7E">
      <w:r w:rsidRPr="006A74F8">
        <w:rPr>
          <w:b/>
        </w:rPr>
        <w:t>Fit for purpose regulation of measuring instruments:</w:t>
      </w:r>
      <w:r w:rsidRPr="006A74F8">
        <w:t xml:space="preserve"> </w:t>
      </w:r>
      <w:r w:rsidR="00C26025" w:rsidRPr="006A74F8">
        <w:t xml:space="preserve">While pattern approval and verification will remain the default requirements for instruments used in trade across </w:t>
      </w:r>
      <w:r w:rsidR="00C26025" w:rsidRPr="006A74F8">
        <w:rPr>
          <w:b/>
        </w:rPr>
        <w:t>all options,</w:t>
      </w:r>
      <w:r w:rsidR="00C26025" w:rsidRPr="006A74F8">
        <w:t xml:space="preserve"> f</w:t>
      </w:r>
      <w:r w:rsidRPr="006A74F8">
        <w:t xml:space="preserve">lexibility in how measuring instruments are regulated will </w:t>
      </w:r>
      <w:r w:rsidR="009D596E" w:rsidRPr="006A74F8">
        <w:t>provide a more accommodating framework than</w:t>
      </w:r>
      <w:r w:rsidR="00FC793A" w:rsidRPr="006A74F8">
        <w:t xml:space="preserve"> </w:t>
      </w:r>
      <w:r w:rsidR="00C26025" w:rsidRPr="006A74F8">
        <w:t>the</w:t>
      </w:r>
      <w:r w:rsidRPr="006A74F8">
        <w:t xml:space="preserve"> current one-size</w:t>
      </w:r>
      <w:r w:rsidR="00D53E2C" w:rsidRPr="006A74F8">
        <w:t xml:space="preserve">-fits-all </w:t>
      </w:r>
      <w:r w:rsidRPr="006A74F8">
        <w:t xml:space="preserve">approach. In </w:t>
      </w:r>
      <w:r w:rsidRPr="006A74F8">
        <w:rPr>
          <w:b/>
        </w:rPr>
        <w:t>option 1</w:t>
      </w:r>
      <w:r w:rsidRPr="006A74F8">
        <w:t xml:space="preserve">, flexibility will be principally applied through a legislative </w:t>
      </w:r>
      <w:r w:rsidR="004E72AE" w:rsidRPr="006A74F8">
        <w:t>mechanism</w:t>
      </w:r>
      <w:r w:rsidRPr="006A74F8">
        <w:t xml:space="preserve"> to exempt instruments from pattern approval and/or verification. </w:t>
      </w:r>
      <w:r w:rsidR="00134201" w:rsidRPr="006A74F8">
        <w:t>Instruments would still be required to be sufficiently accurate and within specified maximum permissible error limits</w:t>
      </w:r>
      <w:r w:rsidR="001D0846" w:rsidRPr="006A74F8">
        <w:t>, and may also be subject to other requirements</w:t>
      </w:r>
      <w:r w:rsidR="00134201" w:rsidRPr="006A74F8">
        <w:t xml:space="preserve">. </w:t>
      </w:r>
      <w:r w:rsidRPr="006A74F8">
        <w:rPr>
          <w:b/>
        </w:rPr>
        <w:t>Options 2 and 3</w:t>
      </w:r>
      <w:r w:rsidRPr="006A74F8">
        <w:t xml:space="preserve"> would introduce </w:t>
      </w:r>
      <w:r w:rsidR="00241248" w:rsidRPr="006A74F8">
        <w:t xml:space="preserve">the ability </w:t>
      </w:r>
      <w:r w:rsidR="00532B85" w:rsidRPr="006A74F8">
        <w:t xml:space="preserve">to </w:t>
      </w:r>
      <w:r w:rsidR="00241248" w:rsidRPr="006A74F8">
        <w:t>apply alternative controls to pattern approval and/or verification, where needed, allowing flexibility to accommodate new and emerging technology in the future.</w:t>
      </w:r>
      <w:r w:rsidRPr="006A74F8">
        <w:t xml:space="preserve"> Reduction in regulatory burden is dependent on exemptions and level of risk assessment for specific measuring instruments</w:t>
      </w:r>
      <w:r w:rsidR="00241248" w:rsidRPr="006A74F8">
        <w:t xml:space="preserve"> where flexible controls are introduced in future</w:t>
      </w:r>
      <w:r w:rsidRPr="006A74F8">
        <w:t xml:space="preserve">. </w:t>
      </w:r>
    </w:p>
    <w:p w:rsidR="009E7A7E" w:rsidRPr="006A74F8" w:rsidRDefault="009E7A7E" w:rsidP="009E7A7E">
      <w:r w:rsidRPr="006A74F8">
        <w:rPr>
          <w:b/>
        </w:rPr>
        <w:t>Measuring instruments enter the market with less delay</w:t>
      </w:r>
      <w:r w:rsidRPr="006A74F8">
        <w:t xml:space="preserve">: Streamlining approvals and recognitions will speed up entry to market of measuring instruments, in addition to reducing approval costs. </w:t>
      </w:r>
      <w:r w:rsidRPr="006A74F8">
        <w:rPr>
          <w:b/>
        </w:rPr>
        <w:t>Option 1</w:t>
      </w:r>
      <w:r w:rsidRPr="006A74F8">
        <w:t xml:space="preserve"> provides for exemptions while </w:t>
      </w:r>
      <w:r w:rsidR="000E1261" w:rsidRPr="006A74F8">
        <w:rPr>
          <w:b/>
        </w:rPr>
        <w:t>o</w:t>
      </w:r>
      <w:r w:rsidRPr="006A74F8">
        <w:rPr>
          <w:b/>
        </w:rPr>
        <w:t>ptions 2 and 3</w:t>
      </w:r>
      <w:r w:rsidRPr="006A74F8">
        <w:t xml:space="preserve"> may </w:t>
      </w:r>
      <w:r w:rsidR="00EE7150" w:rsidRPr="006A74F8">
        <w:t xml:space="preserve">accept </w:t>
      </w:r>
      <w:r w:rsidRPr="006A74F8">
        <w:t>overseas test results, evaluations, approvals and conformance assessments</w:t>
      </w:r>
      <w:r w:rsidR="00411AFC" w:rsidRPr="006A74F8">
        <w:t xml:space="preserve"> from recognised and appropriately vetted laboratories</w:t>
      </w:r>
      <w:r w:rsidRPr="006A74F8">
        <w:t xml:space="preserve">. </w:t>
      </w:r>
    </w:p>
    <w:p w:rsidR="009E7A7E" w:rsidRPr="006A74F8" w:rsidRDefault="009E7A7E" w:rsidP="009E7A7E">
      <w:pPr>
        <w:rPr>
          <w:rFonts w:cstheme="minorHAnsi"/>
          <w:b/>
        </w:rPr>
      </w:pPr>
      <w:r w:rsidRPr="006A74F8">
        <w:rPr>
          <w:b/>
        </w:rPr>
        <w:t>Reduced barriers for innovative measuring instruments</w:t>
      </w:r>
      <w:r w:rsidRPr="006A74F8">
        <w:t xml:space="preserve">: Integrating innovative instruments into the measurement framework can support investment and provide certainty for manufacturers. A reduction in regulatory burden </w:t>
      </w:r>
      <w:r w:rsidR="00EF3876" w:rsidRPr="006A74F8">
        <w:t xml:space="preserve">may </w:t>
      </w:r>
      <w:r w:rsidRPr="006A74F8">
        <w:t xml:space="preserve">result from exemptions and provisional approvals, both of which reduce time to market in </w:t>
      </w:r>
      <w:r w:rsidR="000E1261" w:rsidRPr="006A74F8">
        <w:rPr>
          <w:b/>
        </w:rPr>
        <w:t>o</w:t>
      </w:r>
      <w:r w:rsidRPr="006A74F8">
        <w:rPr>
          <w:b/>
        </w:rPr>
        <w:t>ption 1</w:t>
      </w:r>
      <w:r w:rsidR="00844BDE" w:rsidRPr="006A74F8">
        <w:t>.</w:t>
      </w:r>
      <w:r w:rsidRPr="006A74F8">
        <w:t xml:space="preserve"> </w:t>
      </w:r>
      <w:r w:rsidR="00844BDE" w:rsidRPr="006A74F8">
        <w:t xml:space="preserve">Flexible </w:t>
      </w:r>
      <w:r w:rsidRPr="006A74F8">
        <w:t>control mechanisms based on a risk assessment</w:t>
      </w:r>
      <w:r w:rsidR="00541D4C" w:rsidRPr="006A74F8">
        <w:t xml:space="preserve">, </w:t>
      </w:r>
      <w:r w:rsidR="009A5A69" w:rsidRPr="006A74F8">
        <w:t xml:space="preserve">provisional certificates and permits </w:t>
      </w:r>
      <w:r w:rsidRPr="006A74F8">
        <w:t xml:space="preserve">in </w:t>
      </w:r>
      <w:r w:rsidR="000E1261" w:rsidRPr="006A74F8">
        <w:rPr>
          <w:b/>
        </w:rPr>
        <w:t>o</w:t>
      </w:r>
      <w:r w:rsidRPr="006A74F8">
        <w:rPr>
          <w:b/>
        </w:rPr>
        <w:t>ption 2</w:t>
      </w:r>
      <w:r w:rsidR="009A5A69" w:rsidRPr="006A74F8">
        <w:rPr>
          <w:b/>
        </w:rPr>
        <w:t xml:space="preserve"> and 3</w:t>
      </w:r>
      <w:r w:rsidR="00844BDE" w:rsidRPr="006A74F8">
        <w:rPr>
          <w:b/>
        </w:rPr>
        <w:t xml:space="preserve"> </w:t>
      </w:r>
      <w:r w:rsidR="00844BDE" w:rsidRPr="006A74F8">
        <w:t>may provide further reductions in regulatory burden</w:t>
      </w:r>
      <w:r w:rsidRPr="006A74F8">
        <w:t xml:space="preserve">. </w:t>
      </w:r>
    </w:p>
    <w:p w:rsidR="009E7A7E" w:rsidRPr="006A74F8" w:rsidRDefault="009E7A7E" w:rsidP="009E7A7E">
      <w:pPr>
        <w:rPr>
          <w:b/>
        </w:rPr>
      </w:pPr>
      <w:r w:rsidRPr="006A74F8">
        <w:rPr>
          <w:b/>
        </w:rPr>
        <w:t>Better compliance outcomes</w:t>
      </w:r>
      <w:r w:rsidRPr="006A74F8">
        <w:t xml:space="preserve">: Expanded compliance and enforcement tools will support a tailored and collaborative approach for </w:t>
      </w:r>
      <w:r w:rsidR="00847BFB" w:rsidRPr="006A74F8">
        <w:t>measuring instrument manufacturers, importers and distributors</w:t>
      </w:r>
      <w:r w:rsidRPr="006A74F8">
        <w:t>. This will give greater confidence to instrument manufacturers that they are competing on an even playing field.</w:t>
      </w:r>
    </w:p>
    <w:p w:rsidR="009E7A7E" w:rsidRPr="006A74F8" w:rsidRDefault="009E7A7E" w:rsidP="009E7A7E">
      <w:pPr>
        <w:pStyle w:val="Heading5"/>
      </w:pPr>
      <w:r w:rsidRPr="006A74F8">
        <w:t xml:space="preserve">Adverse </w:t>
      </w:r>
      <w:r w:rsidR="009642A6" w:rsidRPr="006A74F8">
        <w:t>i</w:t>
      </w:r>
      <w:r w:rsidRPr="006A74F8">
        <w:t>mpacts</w:t>
      </w:r>
    </w:p>
    <w:p w:rsidR="009E7A7E" w:rsidRPr="006A74F8" w:rsidRDefault="009E7A7E" w:rsidP="009E7A7E">
      <w:r w:rsidRPr="006A74F8">
        <w:rPr>
          <w:b/>
        </w:rPr>
        <w:t>Uncertainty:</w:t>
      </w:r>
      <w:r w:rsidRPr="006A74F8">
        <w:t xml:space="preserve"> The </w:t>
      </w:r>
      <w:r w:rsidR="003466A4" w:rsidRPr="006A74F8">
        <w:t xml:space="preserve">introduction of principles-based legislation and future flexibility </w:t>
      </w:r>
      <w:r w:rsidRPr="006A74F8">
        <w:t xml:space="preserve">would need to be </w:t>
      </w:r>
      <w:r w:rsidR="003466A4" w:rsidRPr="006A74F8">
        <w:t xml:space="preserve">communicated, </w:t>
      </w:r>
      <w:r w:rsidRPr="006A74F8">
        <w:t xml:space="preserve">transitioned </w:t>
      </w:r>
      <w:r w:rsidR="003466A4" w:rsidRPr="006A74F8">
        <w:t xml:space="preserve">and </w:t>
      </w:r>
      <w:r w:rsidRPr="006A74F8">
        <w:t xml:space="preserve">managed well to mitigate any adverse impact of uncertainty on </w:t>
      </w:r>
      <w:r w:rsidR="003466A4" w:rsidRPr="006A74F8">
        <w:t xml:space="preserve">measuring instrument </w:t>
      </w:r>
      <w:r w:rsidRPr="006A74F8">
        <w:t xml:space="preserve">manufacturers, </w:t>
      </w:r>
      <w:r w:rsidR="003466A4" w:rsidRPr="006A74F8">
        <w:t>importers and distributors.</w:t>
      </w:r>
      <w:r w:rsidRPr="006A74F8">
        <w:t xml:space="preserve"> </w:t>
      </w:r>
      <w:r w:rsidR="003466A4" w:rsidRPr="006A74F8">
        <w:t>P</w:t>
      </w:r>
      <w:r w:rsidRPr="006A74F8">
        <w:t>articularly in regard to the way measuring instruments will be regulated</w:t>
      </w:r>
      <w:r w:rsidR="003466A4" w:rsidRPr="006A74F8">
        <w:t xml:space="preserve"> and when alternative measuring instrument control mechanisms may be introduced</w:t>
      </w:r>
      <w:r w:rsidRPr="006A74F8">
        <w:t>.</w:t>
      </w:r>
    </w:p>
    <w:p w:rsidR="009E7A7E" w:rsidRPr="006A74F8" w:rsidRDefault="009E7A7E" w:rsidP="009E7A7E">
      <w:pPr>
        <w:pStyle w:val="Heading5"/>
      </w:pPr>
      <w:r w:rsidRPr="006A74F8">
        <w:t>Overall net impact</w:t>
      </w:r>
    </w:p>
    <w:p w:rsidR="009E7A7E" w:rsidRPr="006A74F8" w:rsidRDefault="00D447F0" w:rsidP="009E7A7E">
      <w:r w:rsidRPr="006A74F8">
        <w:rPr>
          <w:b/>
        </w:rPr>
        <w:t>O</w:t>
      </w:r>
      <w:r w:rsidR="009E7A7E" w:rsidRPr="006A74F8">
        <w:rPr>
          <w:b/>
        </w:rPr>
        <w:t>ption 2</w:t>
      </w:r>
      <w:r w:rsidR="009E7A7E" w:rsidRPr="006A74F8">
        <w:t xml:space="preserve"> brings moderate benefits to manufacturers</w:t>
      </w:r>
      <w:r w:rsidR="00FA14BC" w:rsidRPr="006A74F8">
        <w:t>, importers and distributors</w:t>
      </w:r>
      <w:r w:rsidR="009E7A7E" w:rsidRPr="006A74F8">
        <w:t xml:space="preserve"> of measuring instruments</w:t>
      </w:r>
      <w:r w:rsidR="00FA14BC" w:rsidRPr="006A74F8">
        <w:t>,</w:t>
      </w:r>
      <w:r w:rsidR="009E7A7E" w:rsidRPr="006A74F8">
        <w:t xml:space="preserve"> while </w:t>
      </w:r>
      <w:r w:rsidR="000E1261" w:rsidRPr="006A74F8">
        <w:rPr>
          <w:b/>
        </w:rPr>
        <w:t>o</w:t>
      </w:r>
      <w:r w:rsidR="009E7A7E" w:rsidRPr="006A74F8">
        <w:rPr>
          <w:b/>
        </w:rPr>
        <w:t>ption 1 and 3</w:t>
      </w:r>
      <w:r w:rsidR="009E7A7E" w:rsidRPr="006A74F8">
        <w:t xml:space="preserve"> provide slight benefits. The reform options provide benefits through reductions in technical barriers, regulatory burden and making the measurement framework flexible enough to respond to future changes in measurement technologies. </w:t>
      </w:r>
    </w:p>
    <w:p w:rsidR="00503F9F" w:rsidRPr="006A74F8" w:rsidRDefault="00503F9F" w:rsidP="00503F9F">
      <w:pPr>
        <w:pStyle w:val="Numberingnoindent"/>
        <w:tabs>
          <w:tab w:val="clear" w:pos="1440"/>
        </w:tabs>
        <w:ind w:left="0" w:firstLine="0"/>
      </w:pPr>
    </w:p>
    <w:p w:rsidR="009E7A7E" w:rsidRPr="006A74F8" w:rsidRDefault="009E7A7E" w:rsidP="009E7A7E">
      <w:pPr>
        <w:pStyle w:val="Heading4"/>
      </w:pPr>
      <w:r w:rsidRPr="006A74F8">
        <w:lastRenderedPageBreak/>
        <w:t xml:space="preserve">Net impacts on ATPs </w:t>
      </w:r>
    </w:p>
    <w:p w:rsidR="009E7A7E" w:rsidRPr="006A74F8" w:rsidRDefault="009E7A7E" w:rsidP="009E7A7E">
      <w:pPr>
        <w:pStyle w:val="Heading5"/>
      </w:pPr>
      <w:r w:rsidRPr="006A74F8">
        <w:t>Positive impacts</w:t>
      </w:r>
    </w:p>
    <w:p w:rsidR="009E7A7E" w:rsidRPr="006A74F8" w:rsidRDefault="009E7A7E" w:rsidP="009E7A7E">
      <w:r w:rsidRPr="006A74F8">
        <w:rPr>
          <w:rFonts w:cstheme="minorHAnsi"/>
          <w:b/>
        </w:rPr>
        <w:t xml:space="preserve">Simplification </w:t>
      </w:r>
      <w:r w:rsidR="009623AA" w:rsidRPr="006A74F8">
        <w:rPr>
          <w:rFonts w:cstheme="minorHAnsi"/>
          <w:b/>
        </w:rPr>
        <w:t xml:space="preserve">of appointment types: </w:t>
      </w:r>
      <w:r w:rsidRPr="006A74F8">
        <w:rPr>
          <w:rFonts w:cstheme="minorHAnsi"/>
        </w:rPr>
        <w:t xml:space="preserve">For </w:t>
      </w:r>
      <w:r w:rsidRPr="006A74F8">
        <w:rPr>
          <w:rFonts w:cstheme="minorHAnsi"/>
          <w:b/>
        </w:rPr>
        <w:t>a</w:t>
      </w:r>
      <w:r w:rsidRPr="006A74F8">
        <w:rPr>
          <w:b/>
        </w:rPr>
        <w:t xml:space="preserve">ll options </w:t>
      </w:r>
      <w:r w:rsidRPr="006A74F8">
        <w:t xml:space="preserve">there will be greater emphasis on describing </w:t>
      </w:r>
      <w:r w:rsidR="003129BF" w:rsidRPr="006A74F8">
        <w:t xml:space="preserve">some </w:t>
      </w:r>
      <w:r w:rsidR="00E906FC" w:rsidRPr="006A74F8">
        <w:t xml:space="preserve">functions </w:t>
      </w:r>
      <w:r w:rsidRPr="006A74F8">
        <w:t xml:space="preserve">by reference to competency categories and test method, rather than instrument classes. </w:t>
      </w:r>
      <w:r w:rsidR="00D702E2" w:rsidRPr="006A74F8">
        <w:t xml:space="preserve">This will help simplify licensing subclasses and reduce some associated administrative costs. </w:t>
      </w:r>
      <w:r w:rsidR="0094797C" w:rsidRPr="006A74F8">
        <w:t>E</w:t>
      </w:r>
      <w:r w:rsidRPr="006A74F8">
        <w:t xml:space="preserve">xisting appointments and licences will continue to be maintained </w:t>
      </w:r>
      <w:r w:rsidR="00E131EF" w:rsidRPr="006A74F8">
        <w:t>f</w:t>
      </w:r>
      <w:r w:rsidR="001B0724" w:rsidRPr="006A74F8">
        <w:t>or a period of time</w:t>
      </w:r>
      <w:r w:rsidRPr="006A74F8">
        <w:t>, with arrangements established to enable a smooth transition</w:t>
      </w:r>
      <w:r w:rsidR="00E131EF" w:rsidRPr="006A74F8">
        <w:t xml:space="preserve"> to </w:t>
      </w:r>
      <w:r w:rsidR="00FE3CBC" w:rsidRPr="006A74F8">
        <w:t>appointment mechanisms</w:t>
      </w:r>
      <w:r w:rsidR="00E131EF" w:rsidRPr="006A74F8">
        <w:t xml:space="preserve"> under the new legislation</w:t>
      </w:r>
      <w:r w:rsidRPr="006A74F8">
        <w:t xml:space="preserve">. </w:t>
      </w:r>
    </w:p>
    <w:p w:rsidR="009E7A7E" w:rsidRPr="006A74F8" w:rsidRDefault="009E7A7E" w:rsidP="009E7A7E">
      <w:r w:rsidRPr="006A74F8">
        <w:t xml:space="preserve">Under </w:t>
      </w:r>
      <w:r w:rsidRPr="006A74F8">
        <w:rPr>
          <w:b/>
        </w:rPr>
        <w:t>option 1</w:t>
      </w:r>
      <w:r w:rsidRPr="006A74F8">
        <w:t xml:space="preserve"> appointment types with similar functions will be aligned, simplifying arrangements and reducing administrative burden and cost for ATPs who hold multiple appointments. Certifying Authorities</w:t>
      </w:r>
      <w:r w:rsidR="00C87ABE" w:rsidRPr="006A74F8">
        <w:t xml:space="preserve"> and</w:t>
      </w:r>
      <w:r w:rsidRPr="006A74F8">
        <w:t xml:space="preserve"> Verifying Authorities are merged, while </w:t>
      </w:r>
      <w:r w:rsidR="006D4F4C" w:rsidRPr="006A74F8">
        <w:t>UMVs</w:t>
      </w:r>
      <w:r w:rsidRPr="006A74F8">
        <w:t xml:space="preserve"> are merged with Servicing Licensees, potentially providing opportunities for easier expansion of business scope for some ATPs. </w:t>
      </w:r>
      <w:r w:rsidR="00C87ABE" w:rsidRPr="006A74F8">
        <w:t xml:space="preserve">Approving Authority appointments and </w:t>
      </w:r>
      <w:r w:rsidR="009623AA" w:rsidRPr="006A74F8">
        <w:t>PWBs</w:t>
      </w:r>
      <w:r w:rsidR="009654C4" w:rsidRPr="006A74F8">
        <w:t xml:space="preserve"> </w:t>
      </w:r>
      <w:r w:rsidRPr="006A74F8">
        <w:t xml:space="preserve">will remain separate, with public weighbridge requirements made more principles-based and streamlined, reducing some of the administrative burden associated with operating a public weighbridge.  </w:t>
      </w:r>
    </w:p>
    <w:p w:rsidR="009E7A7E" w:rsidRPr="006A74F8" w:rsidRDefault="009E7A7E" w:rsidP="009E7A7E">
      <w:r w:rsidRPr="006A74F8">
        <w:rPr>
          <w:b/>
        </w:rPr>
        <w:t>Options 2 and 3</w:t>
      </w:r>
      <w:r w:rsidRPr="006A74F8">
        <w:t xml:space="preserve"> offer </w:t>
      </w:r>
      <w:r w:rsidR="009053D1" w:rsidRPr="006A74F8">
        <w:t xml:space="preserve">some flexibility and </w:t>
      </w:r>
      <w:r w:rsidR="00915A6F" w:rsidRPr="006A74F8">
        <w:t>a small reduction in administrative costs</w:t>
      </w:r>
      <w:r w:rsidR="000B2DDC" w:rsidRPr="006A74F8">
        <w:t xml:space="preserve"> </w:t>
      </w:r>
      <w:r w:rsidRPr="006A74F8">
        <w:t xml:space="preserve">through the </w:t>
      </w:r>
      <w:r w:rsidR="00915A6F" w:rsidRPr="006A74F8">
        <w:t xml:space="preserve">use </w:t>
      </w:r>
      <w:r w:rsidRPr="006A74F8">
        <w:t xml:space="preserve">of a single </w:t>
      </w:r>
      <w:r w:rsidR="00915A6F" w:rsidRPr="006A74F8">
        <w:t xml:space="preserve">legislative </w:t>
      </w:r>
      <w:r w:rsidRPr="006A74F8">
        <w:t xml:space="preserve">appointment </w:t>
      </w:r>
      <w:r w:rsidR="00915A6F" w:rsidRPr="006A74F8">
        <w:t>mechanism</w:t>
      </w:r>
      <w:r w:rsidR="000B2DDC" w:rsidRPr="006A74F8">
        <w:t xml:space="preserve"> to appoint ATPs</w:t>
      </w:r>
      <w:r w:rsidRPr="006A74F8">
        <w:t xml:space="preserve">. </w:t>
      </w:r>
      <w:r w:rsidR="000B2DDC" w:rsidRPr="006A74F8">
        <w:t xml:space="preserve">Under this single appointment mechanism ATPs will be authorised to perform certain distinct functions outlined in the regulations. These authorised functions will align with existing ATP categories. </w:t>
      </w:r>
      <w:r w:rsidR="00C17064" w:rsidRPr="006A74F8">
        <w:t xml:space="preserve">It will also be possible to authorise ATPs to perform functions outside of existing categories to enable performance of “other metrological functions as determined by the Chief Metrologist”, </w:t>
      </w:r>
      <w:r w:rsidR="000B2DDC" w:rsidRPr="006A74F8">
        <w:t>to accommodate future functions that may not fit within existing categories. This will better support current and emerging measurement needs, innovative instrument types and potentially accommodate new types of ATP appointments in the future.</w:t>
      </w:r>
    </w:p>
    <w:p w:rsidR="009E7A7E" w:rsidRPr="006A74F8" w:rsidRDefault="009E7A7E" w:rsidP="009E7A7E">
      <w:r w:rsidRPr="006A74F8">
        <w:rPr>
          <w:b/>
        </w:rPr>
        <w:t>Fit for purpose competency pathways for ATPs:</w:t>
      </w:r>
      <w:r w:rsidRPr="006A74F8">
        <w:t xml:space="preserve"> Across </w:t>
      </w:r>
      <w:r w:rsidRPr="006A74F8">
        <w:rPr>
          <w:b/>
        </w:rPr>
        <w:t>all options</w:t>
      </w:r>
      <w:r w:rsidRPr="006A74F8">
        <w:t xml:space="preserve"> ATPs will continue to be appointed on the basis of competency. </w:t>
      </w:r>
      <w:r w:rsidR="0006088B" w:rsidRPr="006A74F8">
        <w:t xml:space="preserve">Some flexibility as to how competency can be demonstrated will be introduced to accommodate hybrid and emerging roles that ATPs may perform over time. </w:t>
      </w:r>
      <w:r w:rsidR="00DC3806" w:rsidRPr="006A74F8">
        <w:t>Changes to competency requirements will be limited and designed to maintain, not dilute, current standards</w:t>
      </w:r>
      <w:r w:rsidR="0006088B" w:rsidRPr="006A74F8">
        <w:t>.</w:t>
      </w:r>
      <w:r w:rsidR="00B2170B" w:rsidRPr="006A74F8">
        <w:t xml:space="preserve"> Flexibility to accommodate alternative ways to demonstrate competency in future will enable competency requirements to evolve over time with the needs of ATPs and industry. Where</w:t>
      </w:r>
      <w:r w:rsidR="0006088B" w:rsidRPr="006A74F8">
        <w:t xml:space="preserve"> the number of licence subclasses is reduced by redefining them based on competency categories and test method, rather than instrument classes, this may reduce the cost and time burden associated with maintaining</w:t>
      </w:r>
      <w:r w:rsidR="00F53147" w:rsidRPr="006A74F8">
        <w:t xml:space="preserve"> some of these qualifications by a small amount.</w:t>
      </w:r>
      <w:r w:rsidR="0006088B" w:rsidRPr="006A74F8" w:rsidDel="0006088B">
        <w:t xml:space="preserve"> </w:t>
      </w:r>
    </w:p>
    <w:p w:rsidR="00577B76" w:rsidRPr="006A74F8" w:rsidRDefault="00F22376" w:rsidP="009E7A7E">
      <w:r w:rsidRPr="006A74F8">
        <w:rPr>
          <w:b/>
        </w:rPr>
        <w:t xml:space="preserve">General licences offer </w:t>
      </w:r>
      <w:r w:rsidR="005D79A3" w:rsidRPr="006A74F8">
        <w:rPr>
          <w:b/>
        </w:rPr>
        <w:t xml:space="preserve">future </w:t>
      </w:r>
      <w:r w:rsidRPr="006A74F8">
        <w:rPr>
          <w:b/>
        </w:rPr>
        <w:t>flexibility where formal ATP appointment not appropriate:</w:t>
      </w:r>
      <w:r w:rsidR="009E7A7E" w:rsidRPr="006A74F8">
        <w:rPr>
          <w:b/>
        </w:rPr>
        <w:t xml:space="preserve"> </w:t>
      </w:r>
      <w:r w:rsidRPr="006A74F8">
        <w:t xml:space="preserve">Under </w:t>
      </w:r>
      <w:r w:rsidRPr="006A74F8">
        <w:rPr>
          <w:b/>
        </w:rPr>
        <w:t>options 2 and 3</w:t>
      </w:r>
      <w:r w:rsidRPr="006A74F8">
        <w:t xml:space="preserve">, general licences could be used </w:t>
      </w:r>
      <w:r w:rsidR="00662BD4" w:rsidRPr="006A74F8">
        <w:t xml:space="preserve">in future </w:t>
      </w:r>
      <w:r w:rsidRPr="006A74F8">
        <w:t xml:space="preserve">to provide flexibility in setting the appropriate level of regulatory requirements and oversight for certain types of measurement activities and functions. This approach </w:t>
      </w:r>
      <w:r w:rsidR="00577B76" w:rsidRPr="006A74F8">
        <w:t xml:space="preserve">offers a lower burden alternative to the formal appointment of ATPs. </w:t>
      </w:r>
      <w:r w:rsidR="00474EB3" w:rsidRPr="006A74F8">
        <w:t>Being able to introduce g</w:t>
      </w:r>
      <w:r w:rsidR="00662BD4" w:rsidRPr="006A74F8">
        <w:t xml:space="preserve">eneral licences </w:t>
      </w:r>
      <w:r w:rsidR="00474EB3" w:rsidRPr="006A74F8">
        <w:t xml:space="preserve">in future </w:t>
      </w:r>
      <w:r w:rsidR="00662BD4" w:rsidRPr="006A74F8">
        <w:t>offer</w:t>
      </w:r>
      <w:r w:rsidR="00474EB3" w:rsidRPr="006A74F8">
        <w:t>s the</w:t>
      </w:r>
      <w:r w:rsidR="00662BD4" w:rsidRPr="006A74F8">
        <w:t xml:space="preserve"> flexibility</w:t>
      </w:r>
      <w:r w:rsidR="00474EB3" w:rsidRPr="006A74F8">
        <w:t xml:space="preserve"> to include</w:t>
      </w:r>
      <w:r w:rsidR="00662BD4" w:rsidRPr="006A74F8">
        <w:t xml:space="preserve"> lower burden alternative</w:t>
      </w:r>
      <w:r w:rsidR="00474EB3" w:rsidRPr="006A74F8">
        <w:t>s</w:t>
      </w:r>
      <w:r w:rsidR="00662BD4" w:rsidRPr="006A74F8">
        <w:t xml:space="preserve"> to licences or appointments for the performance </w:t>
      </w:r>
      <w:r w:rsidR="00474EB3" w:rsidRPr="006A74F8">
        <w:t xml:space="preserve">of certain </w:t>
      </w:r>
      <w:r w:rsidR="00662BD4" w:rsidRPr="006A74F8">
        <w:t xml:space="preserve">types of </w:t>
      </w:r>
      <w:r w:rsidR="00474EB3" w:rsidRPr="006A74F8">
        <w:t xml:space="preserve">new </w:t>
      </w:r>
      <w:r w:rsidR="00662BD4" w:rsidRPr="006A74F8">
        <w:t>measurement functions or activities</w:t>
      </w:r>
      <w:r w:rsidR="00474EB3" w:rsidRPr="006A74F8">
        <w:t>.</w:t>
      </w:r>
      <w:r w:rsidR="00662BD4" w:rsidRPr="006A74F8">
        <w:t xml:space="preserve"> </w:t>
      </w:r>
      <w:r w:rsidR="00577B76" w:rsidRPr="006A74F8">
        <w:t xml:space="preserve">Regulatory burden would be slightly reduced </w:t>
      </w:r>
      <w:r w:rsidR="0016358F" w:rsidRPr="006A74F8">
        <w:t xml:space="preserve">if </w:t>
      </w:r>
      <w:r w:rsidR="00577B76" w:rsidRPr="006A74F8">
        <w:t xml:space="preserve">any </w:t>
      </w:r>
      <w:r w:rsidR="00577B76" w:rsidRPr="006A74F8">
        <w:rPr>
          <w:rFonts w:cstheme="minorHAnsi"/>
        </w:rPr>
        <w:t xml:space="preserve">functions or activities currently subject to ATP appointments </w:t>
      </w:r>
      <w:r w:rsidR="0016358F" w:rsidRPr="006A74F8">
        <w:rPr>
          <w:rFonts w:cstheme="minorHAnsi"/>
        </w:rPr>
        <w:t>were to</w:t>
      </w:r>
      <w:r w:rsidR="00577B76" w:rsidRPr="006A74F8">
        <w:rPr>
          <w:rFonts w:cstheme="minorHAnsi"/>
        </w:rPr>
        <w:t xml:space="preserve"> transition to a general licence</w:t>
      </w:r>
      <w:r w:rsidR="0016358F" w:rsidRPr="006A74F8">
        <w:rPr>
          <w:rFonts w:cstheme="minorHAnsi"/>
        </w:rPr>
        <w:t xml:space="preserve"> in future</w:t>
      </w:r>
      <w:r w:rsidR="00577B76" w:rsidRPr="006A74F8">
        <w:rPr>
          <w:rFonts w:cstheme="minorHAnsi"/>
        </w:rPr>
        <w:t xml:space="preserve">, </w:t>
      </w:r>
      <w:r w:rsidR="00577B76" w:rsidRPr="006A74F8">
        <w:t xml:space="preserve">as there would be no associated </w:t>
      </w:r>
      <w:r w:rsidR="003971B6" w:rsidRPr="006A74F8">
        <w:t>appointment</w:t>
      </w:r>
      <w:r w:rsidR="00577B76" w:rsidRPr="006A74F8">
        <w:t xml:space="preserve"> fee and reduced administrative costs. Some regulatory burden will still exist as </w:t>
      </w:r>
      <w:r w:rsidR="00577B76" w:rsidRPr="006A74F8">
        <w:rPr>
          <w:rFonts w:eastAsia="Arial" w:cs="Arial"/>
          <w:color w:val="222222"/>
        </w:rPr>
        <w:t xml:space="preserve">the </w:t>
      </w:r>
      <w:r w:rsidR="0016358F" w:rsidRPr="006A74F8">
        <w:rPr>
          <w:rFonts w:eastAsia="Arial" w:cs="Arial"/>
          <w:color w:val="222222"/>
        </w:rPr>
        <w:t xml:space="preserve">regulatory </w:t>
      </w:r>
      <w:r w:rsidR="00577B76" w:rsidRPr="006A74F8">
        <w:rPr>
          <w:rFonts w:eastAsia="Arial" w:cs="Arial"/>
          <w:color w:val="222222"/>
        </w:rPr>
        <w:t xml:space="preserve">requirements of the general licence are likely to </w:t>
      </w:r>
      <w:r w:rsidR="00577B76" w:rsidRPr="006A74F8">
        <w:t xml:space="preserve">be similar to some existing </w:t>
      </w:r>
      <w:r w:rsidR="0016358F" w:rsidRPr="006A74F8">
        <w:t xml:space="preserve">regulatory </w:t>
      </w:r>
      <w:r w:rsidR="00577B76" w:rsidRPr="006A74F8">
        <w:t xml:space="preserve">requirements </w:t>
      </w:r>
      <w:r w:rsidR="003971B6" w:rsidRPr="006A74F8">
        <w:t xml:space="preserve">(e.g. </w:t>
      </w:r>
      <w:r w:rsidR="00577B76" w:rsidRPr="006A74F8">
        <w:t>competency and traceability of measurement outcomes</w:t>
      </w:r>
      <w:r w:rsidR="003971B6" w:rsidRPr="006A74F8">
        <w:t>)</w:t>
      </w:r>
      <w:r w:rsidR="00577B76" w:rsidRPr="006A74F8">
        <w:rPr>
          <w:rFonts w:eastAsia="Arial" w:cs="Arial"/>
          <w:color w:val="222222"/>
        </w:rPr>
        <w:t xml:space="preserve">. </w:t>
      </w:r>
      <w:r w:rsidR="00954B2B" w:rsidRPr="006A74F8">
        <w:rPr>
          <w:rFonts w:eastAsia="Arial" w:cs="Arial"/>
          <w:color w:val="222222"/>
        </w:rPr>
        <w:t>However</w:t>
      </w:r>
      <w:r w:rsidR="00577B76" w:rsidRPr="006A74F8">
        <w:rPr>
          <w:rFonts w:eastAsia="Arial" w:cs="Arial"/>
          <w:color w:val="222222"/>
        </w:rPr>
        <w:t xml:space="preserve">, </w:t>
      </w:r>
      <w:r w:rsidR="00954B2B" w:rsidRPr="006A74F8">
        <w:rPr>
          <w:rFonts w:eastAsia="Arial" w:cs="Arial"/>
          <w:color w:val="222222"/>
        </w:rPr>
        <w:t xml:space="preserve">there may be </w:t>
      </w:r>
      <w:r w:rsidR="00577B76" w:rsidRPr="006A74F8">
        <w:t xml:space="preserve">certain measurement functions and activities not currently </w:t>
      </w:r>
      <w:r w:rsidR="00577B76" w:rsidRPr="006A74F8">
        <w:lastRenderedPageBreak/>
        <w:t>subject to ATP appointments</w:t>
      </w:r>
      <w:r w:rsidR="00954B2B" w:rsidRPr="006A74F8">
        <w:t xml:space="preserve"> that would see</w:t>
      </w:r>
      <w:r w:rsidR="00577B76" w:rsidRPr="006A74F8">
        <w:t xml:space="preserve"> an increase in the regulatory burden associated with these activities</w:t>
      </w:r>
      <w:r w:rsidR="00954B2B" w:rsidRPr="006A74F8">
        <w:t>,</w:t>
      </w:r>
      <w:r w:rsidR="00577B76" w:rsidRPr="006A74F8">
        <w:t xml:space="preserve"> </w:t>
      </w:r>
      <w:r w:rsidR="00725D12">
        <w:t>if</w:t>
      </w:r>
      <w:r w:rsidR="00954B2B" w:rsidRPr="006A74F8">
        <w:t xml:space="preserve"> a</w:t>
      </w:r>
      <w:r w:rsidR="00577B76" w:rsidRPr="006A74F8">
        <w:t xml:space="preserve"> general licence </w:t>
      </w:r>
      <w:r w:rsidR="00725D12">
        <w:t xml:space="preserve">was </w:t>
      </w:r>
      <w:r w:rsidR="00954B2B" w:rsidRPr="006A74F8">
        <w:t xml:space="preserve">introduced </w:t>
      </w:r>
      <w:r w:rsidR="00577B76" w:rsidRPr="006A74F8">
        <w:t>for that function or activity</w:t>
      </w:r>
      <w:r w:rsidR="00EF7D02" w:rsidRPr="006A74F8">
        <w:t>.</w:t>
      </w:r>
    </w:p>
    <w:p w:rsidR="009E7A7E" w:rsidRPr="006A74F8" w:rsidRDefault="009E7A7E" w:rsidP="009E7A7E">
      <w:pPr>
        <w:pStyle w:val="Heading5"/>
      </w:pPr>
      <w:r w:rsidRPr="006A74F8">
        <w:t>Adverse impacts</w:t>
      </w:r>
    </w:p>
    <w:p w:rsidR="009E7A7E" w:rsidRPr="006A74F8" w:rsidRDefault="009E7A7E" w:rsidP="009E7A7E">
      <w:r w:rsidRPr="006A74F8">
        <w:rPr>
          <w:b/>
        </w:rPr>
        <w:t>Additional reporting</w:t>
      </w:r>
      <w:r w:rsidR="004464C9" w:rsidRPr="006A74F8">
        <w:rPr>
          <w:b/>
        </w:rPr>
        <w:t xml:space="preserve"> requirements for UMVs and LMAs:</w:t>
      </w:r>
      <w:r w:rsidRPr="006A74F8">
        <w:rPr>
          <w:b/>
        </w:rPr>
        <w:t xml:space="preserve"> </w:t>
      </w:r>
      <w:r w:rsidRPr="006A74F8">
        <w:t xml:space="preserve">Under </w:t>
      </w:r>
      <w:r w:rsidRPr="006A74F8">
        <w:rPr>
          <w:b/>
        </w:rPr>
        <w:t>all options</w:t>
      </w:r>
      <w:r w:rsidRPr="006A74F8">
        <w:t xml:space="preserve">, UMVs will be required to routinely submit data and report to NMI after providing measurement services. </w:t>
      </w:r>
      <w:r w:rsidRPr="006A74F8">
        <w:rPr>
          <w:b/>
        </w:rPr>
        <w:t xml:space="preserve">Options 2 and 3 </w:t>
      </w:r>
      <w:r w:rsidRPr="006A74F8">
        <w:t>extend this requirement to all LMAs, who will share common reporting requirements. There would be some level of administrative cost associated with routine reporting, however it is not expected to be significant as UMVs and LMAs</w:t>
      </w:r>
      <w:r w:rsidRPr="006A74F8" w:rsidDel="00AE14F0">
        <w:t xml:space="preserve"> </w:t>
      </w:r>
      <w:r w:rsidR="003971B6" w:rsidRPr="006A74F8">
        <w:t>likely</w:t>
      </w:r>
      <w:r w:rsidRPr="006A74F8">
        <w:t xml:space="preserve"> already </w:t>
      </w:r>
      <w:r w:rsidR="003971B6" w:rsidRPr="006A74F8">
        <w:t>record</w:t>
      </w:r>
      <w:r w:rsidRPr="006A74F8">
        <w:t xml:space="preserve"> the information that would need to be reported. Changes to routine reporting requirements would follow a transition period and </w:t>
      </w:r>
      <w:r w:rsidR="00BE4108" w:rsidRPr="006A74F8">
        <w:t>development of an appropriate reporting framework</w:t>
      </w:r>
      <w:r w:rsidRPr="006A74F8">
        <w:t xml:space="preserve">, designed to limit the increase in administrative burden </w:t>
      </w:r>
      <w:r w:rsidR="00BE4108" w:rsidRPr="006A74F8">
        <w:t>associated with reporting</w:t>
      </w:r>
      <w:r w:rsidRPr="006A74F8">
        <w:t>.</w:t>
      </w:r>
      <w:r w:rsidR="00BE4108" w:rsidRPr="006A74F8">
        <w:t xml:space="preserve"> Reporting for UMVs and LMAs during the transition period would continue to be on an ad hoc basis at NMI’s request.</w:t>
      </w:r>
      <w:r w:rsidRPr="006A74F8">
        <w:t xml:space="preserve"> </w:t>
      </w:r>
    </w:p>
    <w:p w:rsidR="00FE5229" w:rsidRPr="006A74F8" w:rsidRDefault="00FE5229" w:rsidP="009E7A7E">
      <w:r w:rsidRPr="006A74F8">
        <w:rPr>
          <w:b/>
        </w:rPr>
        <w:t xml:space="preserve">Potential for increased regulatory burden due to </w:t>
      </w:r>
      <w:r w:rsidR="00EC594E" w:rsidRPr="006A74F8">
        <w:rPr>
          <w:b/>
        </w:rPr>
        <w:t>possible</w:t>
      </w:r>
      <w:r w:rsidR="00F322AA" w:rsidRPr="006A74F8">
        <w:rPr>
          <w:b/>
        </w:rPr>
        <w:t xml:space="preserve"> scope increase under option 3:</w:t>
      </w:r>
      <w:r w:rsidRPr="006A74F8">
        <w:rPr>
          <w:b/>
        </w:rPr>
        <w:t xml:space="preserve"> </w:t>
      </w:r>
      <w:r w:rsidRPr="006A74F8">
        <w:t>For all proposed changes</w:t>
      </w:r>
      <w:r w:rsidR="002B6E4E" w:rsidRPr="006A74F8">
        <w:t>,</w:t>
      </w:r>
      <w:r w:rsidRPr="006A74F8">
        <w:rPr>
          <w:b/>
        </w:rPr>
        <w:t xml:space="preserve"> option 3 </w:t>
      </w:r>
      <w:r w:rsidR="002B6E4E" w:rsidRPr="006A74F8">
        <w:t>has</w:t>
      </w:r>
      <w:r w:rsidRPr="006A74F8">
        <w:t xml:space="preserve"> an unquantifiable potential increase </w:t>
      </w:r>
      <w:r w:rsidR="002B6E4E" w:rsidRPr="006A74F8">
        <w:t xml:space="preserve">in regulatory burden for ATPs </w:t>
      </w:r>
      <w:r w:rsidRPr="006A74F8">
        <w:t xml:space="preserve">as compared with </w:t>
      </w:r>
      <w:r w:rsidRPr="006A74F8">
        <w:rPr>
          <w:b/>
        </w:rPr>
        <w:t>option 2</w:t>
      </w:r>
      <w:r w:rsidRPr="006A74F8">
        <w:t xml:space="preserve">. This is due to the possible expansion of regulatory requirements for ATPs into non-trade areas. This may also create benefits for ATPs where they are able to expand their services into new markets. </w:t>
      </w:r>
    </w:p>
    <w:p w:rsidR="009E7A7E" w:rsidRPr="006A74F8" w:rsidRDefault="009E7A7E" w:rsidP="009E7A7E">
      <w:pPr>
        <w:pStyle w:val="Heading5"/>
      </w:pPr>
      <w:r w:rsidRPr="006A74F8">
        <w:t>Overall net impact</w:t>
      </w:r>
    </w:p>
    <w:p w:rsidR="009E7A7E" w:rsidRPr="006A74F8" w:rsidRDefault="009E7A7E" w:rsidP="009E7A7E">
      <w:r w:rsidRPr="006A74F8">
        <w:t xml:space="preserve">The changes described above will deliver </w:t>
      </w:r>
      <w:r w:rsidR="00B361DB" w:rsidRPr="006A74F8">
        <w:t xml:space="preserve">a small </w:t>
      </w:r>
      <w:r w:rsidRPr="006A74F8">
        <w:t xml:space="preserve">benefit to ATPs across </w:t>
      </w:r>
      <w:r w:rsidRPr="006A74F8">
        <w:rPr>
          <w:b/>
        </w:rPr>
        <w:t>all reform options</w:t>
      </w:r>
      <w:r w:rsidRPr="006A74F8">
        <w:t xml:space="preserve">, </w:t>
      </w:r>
      <w:r w:rsidR="00B949C7" w:rsidRPr="006A74F8">
        <w:t>mostly</w:t>
      </w:r>
      <w:r w:rsidRPr="006A74F8">
        <w:t xml:space="preserve"> through </w:t>
      </w:r>
      <w:r w:rsidR="00B361DB" w:rsidRPr="006A74F8">
        <w:t xml:space="preserve">some </w:t>
      </w:r>
      <w:r w:rsidRPr="006A74F8">
        <w:t xml:space="preserve">reduced administrative burden and costs associated with streamlining appointment types and </w:t>
      </w:r>
      <w:r w:rsidR="00B361DB" w:rsidRPr="006A74F8">
        <w:t>restructuring licensing subclasses</w:t>
      </w:r>
      <w:r w:rsidRPr="006A74F8">
        <w:t>. It</w:t>
      </w:r>
      <w:r w:rsidRPr="006A74F8">
        <w:rPr>
          <w:b/>
        </w:rPr>
        <w:t xml:space="preserve"> </w:t>
      </w:r>
      <w:r w:rsidRPr="006A74F8">
        <w:t xml:space="preserve">is expected that </w:t>
      </w:r>
      <w:r w:rsidRPr="006A74F8">
        <w:rPr>
          <w:b/>
        </w:rPr>
        <w:t xml:space="preserve">option 1 </w:t>
      </w:r>
      <w:r w:rsidRPr="006A74F8">
        <w:t>will only deliver marginal benefit to ATPs and routine reporting requirements are expected to only slightly adversely impact UMVs</w:t>
      </w:r>
      <w:r w:rsidR="00EF7D02" w:rsidRPr="006A74F8">
        <w:t xml:space="preserve"> once an appropriate rep</w:t>
      </w:r>
      <w:r w:rsidR="00E97368" w:rsidRPr="006A74F8">
        <w:t>orting framework is established</w:t>
      </w:r>
      <w:r w:rsidRPr="006A74F8">
        <w:t xml:space="preserve">. </w:t>
      </w:r>
    </w:p>
    <w:p w:rsidR="00503F9F" w:rsidRPr="006A74F8" w:rsidRDefault="009E7A7E" w:rsidP="00E63022">
      <w:r w:rsidRPr="006A74F8">
        <w:t xml:space="preserve">Overall, </w:t>
      </w:r>
      <w:r w:rsidRPr="006A74F8">
        <w:rPr>
          <w:b/>
        </w:rPr>
        <w:t>options 2 and 3</w:t>
      </w:r>
      <w:r w:rsidRPr="006A74F8">
        <w:t xml:space="preserve"> are </w:t>
      </w:r>
      <w:r w:rsidR="00B949C7" w:rsidRPr="006A74F8">
        <w:t>slightly</w:t>
      </w:r>
      <w:r w:rsidRPr="006A74F8">
        <w:t xml:space="preserve"> more beneficial to ATPs than </w:t>
      </w:r>
      <w:r w:rsidRPr="006A74F8">
        <w:rPr>
          <w:b/>
        </w:rPr>
        <w:t>option 1</w:t>
      </w:r>
      <w:r w:rsidRPr="006A74F8">
        <w:t xml:space="preserve">. Broadly ATPs will benefit </w:t>
      </w:r>
      <w:r w:rsidR="006B7050" w:rsidRPr="006A74F8">
        <w:t xml:space="preserve">in future </w:t>
      </w:r>
      <w:r w:rsidRPr="006A74F8">
        <w:t xml:space="preserve">from the flexibility to accommodate innovative technology and emerging measurement needs. ATPs will likely benefit to varying degrees from positive impacts associated with </w:t>
      </w:r>
      <w:r w:rsidR="006B7050" w:rsidRPr="006A74F8">
        <w:t xml:space="preserve">possible administrative savings from </w:t>
      </w:r>
      <w:r w:rsidRPr="006A74F8">
        <w:t xml:space="preserve">single </w:t>
      </w:r>
      <w:r w:rsidR="006B7050" w:rsidRPr="006A74F8">
        <w:t xml:space="preserve">legislative </w:t>
      </w:r>
      <w:r w:rsidRPr="006A74F8">
        <w:t xml:space="preserve">appointment </w:t>
      </w:r>
      <w:r w:rsidR="006B7050" w:rsidRPr="006A74F8">
        <w:t>mechanism</w:t>
      </w:r>
      <w:r w:rsidRPr="006A74F8">
        <w:t xml:space="preserve"> and </w:t>
      </w:r>
      <w:r w:rsidR="006B7050" w:rsidRPr="006A74F8">
        <w:t>flexibility to accommodate new and hybrid functions</w:t>
      </w:r>
      <w:r w:rsidR="005A1428" w:rsidRPr="006A74F8">
        <w:t>.</w:t>
      </w:r>
      <w:r w:rsidR="006B7050" w:rsidRPr="006A74F8">
        <w:t xml:space="preserve"> </w:t>
      </w:r>
      <w:r w:rsidR="005A1428" w:rsidRPr="006A74F8">
        <w:t>F</w:t>
      </w:r>
      <w:r w:rsidRPr="006A74F8">
        <w:t>uture intro</w:t>
      </w:r>
      <w:r w:rsidR="00B949C7" w:rsidRPr="006A74F8">
        <w:t xml:space="preserve">duction of general licences </w:t>
      </w:r>
      <w:r w:rsidR="005A1428" w:rsidRPr="006A74F8">
        <w:t>offers additional flexibility and may also see reduced regulatory burden</w:t>
      </w:r>
      <w:r w:rsidR="00B949C7" w:rsidRPr="006A74F8">
        <w:t xml:space="preserve"> (although the future use of general licences in some areas may see an increase in regulatory burden where measurement functions and activities were not previously subject to ATP appointment)</w:t>
      </w:r>
      <w:r w:rsidRPr="006A74F8">
        <w:t>. Increased burden associated with routine reporting will only impact UMVs and LMAs</w:t>
      </w:r>
      <w:r w:rsidR="00EB2FF9" w:rsidRPr="006A74F8">
        <w:t>,</w:t>
      </w:r>
      <w:r w:rsidRPr="006A74F8">
        <w:t xml:space="preserve"> </w:t>
      </w:r>
      <w:r w:rsidR="00EB2FF9" w:rsidRPr="006A74F8">
        <w:t>with</w:t>
      </w:r>
      <w:r w:rsidRPr="006A74F8">
        <w:t xml:space="preserve"> </w:t>
      </w:r>
      <w:r w:rsidR="00EB2FF9" w:rsidRPr="006A74F8">
        <w:t>the development of an appropriate framework aimed at limiting this impact.</w:t>
      </w:r>
      <w:r w:rsidR="00EF7D02" w:rsidRPr="006A74F8">
        <w:t xml:space="preserve"> However, </w:t>
      </w:r>
      <w:r w:rsidR="00EF7D02" w:rsidRPr="006A74F8">
        <w:rPr>
          <w:b/>
        </w:rPr>
        <w:t xml:space="preserve">option 3 </w:t>
      </w:r>
      <w:r w:rsidR="00EF7D02" w:rsidRPr="006A74F8">
        <w:t>possibly may include an unquantifiable potential increase in regulatory burden.</w:t>
      </w:r>
    </w:p>
    <w:p w:rsidR="009E7A7E" w:rsidRPr="006A74F8" w:rsidRDefault="009E7A7E" w:rsidP="009E7A7E">
      <w:pPr>
        <w:pStyle w:val="Heading4"/>
      </w:pPr>
      <w:r w:rsidRPr="006A74F8">
        <w:t>Net impacts on wholesalers, retailers, importers and packers</w:t>
      </w:r>
    </w:p>
    <w:p w:rsidR="009E7A7E" w:rsidRPr="006A74F8" w:rsidRDefault="009E7A7E" w:rsidP="009E7A7E">
      <w:pPr>
        <w:pStyle w:val="Heading5"/>
      </w:pPr>
      <w:r w:rsidRPr="006A74F8">
        <w:t>Positive impacts</w:t>
      </w:r>
    </w:p>
    <w:p w:rsidR="009E7A7E" w:rsidRPr="006A74F8" w:rsidRDefault="009E7A7E" w:rsidP="009E7A7E">
      <w:r w:rsidRPr="006A74F8">
        <w:rPr>
          <w:b/>
        </w:rPr>
        <w:t xml:space="preserve">Expanding scope of coverage from shortfall to false </w:t>
      </w:r>
      <w:r w:rsidR="00B177BB" w:rsidRPr="006A74F8">
        <w:rPr>
          <w:b/>
        </w:rPr>
        <w:t xml:space="preserve">or </w:t>
      </w:r>
      <w:r w:rsidRPr="006A74F8">
        <w:rPr>
          <w:b/>
        </w:rPr>
        <w:t>misleading measurement statements</w:t>
      </w:r>
      <w:r w:rsidRPr="006A74F8">
        <w:t xml:space="preserve">: No additional regulatory burden for </w:t>
      </w:r>
      <w:r w:rsidRPr="006A74F8">
        <w:rPr>
          <w:b/>
        </w:rPr>
        <w:t>all reform options</w:t>
      </w:r>
      <w:r w:rsidRPr="006A74F8">
        <w:t xml:space="preserve">. The expansion of scope aligns with obligations under Australian Consumer Law and the current expectation for the sale of goods under the current measurement legislation. The changes seek to address known gaps in the current legislation to help ensure a level playing field for industry, rather than imposing any new substantive obligations. </w:t>
      </w:r>
      <w:r w:rsidRPr="006A74F8">
        <w:rPr>
          <w:b/>
        </w:rPr>
        <w:t>Option 1</w:t>
      </w:r>
      <w:r w:rsidRPr="006A74F8">
        <w:t xml:space="preserve"> will increase business confidence in comparison to the </w:t>
      </w:r>
      <w:r w:rsidRPr="006A74F8">
        <w:rPr>
          <w:b/>
        </w:rPr>
        <w:t>status quo</w:t>
      </w:r>
      <w:r w:rsidRPr="006A74F8">
        <w:t xml:space="preserve"> by expanding the coverage for false </w:t>
      </w:r>
      <w:r w:rsidR="00B177BB" w:rsidRPr="006A74F8">
        <w:t xml:space="preserve">or </w:t>
      </w:r>
      <w:r w:rsidRPr="006A74F8">
        <w:t xml:space="preserve">misleading measurement to include the purchase of goods. Business confidence will be further enhanced under </w:t>
      </w:r>
      <w:r w:rsidRPr="006A74F8">
        <w:rPr>
          <w:b/>
        </w:rPr>
        <w:t>options 2 and 3</w:t>
      </w:r>
      <w:r w:rsidRPr="006A74F8">
        <w:t xml:space="preserve"> due to the expansion of coverage for </w:t>
      </w:r>
      <w:r w:rsidRPr="006A74F8">
        <w:lastRenderedPageBreak/>
        <w:t xml:space="preserve">false </w:t>
      </w:r>
      <w:r w:rsidR="00B177BB" w:rsidRPr="006A74F8">
        <w:t xml:space="preserve">or </w:t>
      </w:r>
      <w:r w:rsidRPr="006A74F8">
        <w:t>misleading measurement to also include services.</w:t>
      </w:r>
      <w:r w:rsidRPr="006A74F8">
        <w:rPr>
          <w:b/>
        </w:rPr>
        <w:t xml:space="preserve"> Option 3 </w:t>
      </w:r>
      <w:r w:rsidRPr="006A74F8">
        <w:t xml:space="preserve">also benefits from the ability to cover false </w:t>
      </w:r>
      <w:r w:rsidR="00B177BB" w:rsidRPr="006A74F8">
        <w:t xml:space="preserve">or </w:t>
      </w:r>
      <w:r w:rsidRPr="006A74F8">
        <w:t>misleading measurement statements, where needed, for non-trade measurement applications.</w:t>
      </w:r>
    </w:p>
    <w:p w:rsidR="009E7A7E" w:rsidRPr="006A74F8" w:rsidRDefault="009E7A7E" w:rsidP="009E7A7E">
      <w:r w:rsidRPr="006A74F8">
        <w:rPr>
          <w:b/>
        </w:rPr>
        <w:t xml:space="preserve">Additional compliance and enforcement tools: </w:t>
      </w:r>
      <w:r w:rsidRPr="006A74F8">
        <w:t>Across</w:t>
      </w:r>
      <w:r w:rsidRPr="006A74F8">
        <w:rPr>
          <w:b/>
        </w:rPr>
        <w:t xml:space="preserve"> all reform options, </w:t>
      </w:r>
      <w:r w:rsidRPr="006A74F8">
        <w:t xml:space="preserve">improvements are made to the range of compliance and enforcement tools available to NMI. This is expected to result in fairer compliance outcomes, higher industry compliance rates and greater awareness. </w:t>
      </w:r>
      <w:r w:rsidR="003528EA" w:rsidRPr="006A74F8">
        <w:t>It also enables better targeting and engagement with small and large businesses. This p</w:t>
      </w:r>
      <w:r w:rsidRPr="006A74F8">
        <w:t>rovid</w:t>
      </w:r>
      <w:r w:rsidR="003528EA" w:rsidRPr="006A74F8">
        <w:t>es</w:t>
      </w:r>
      <w:r w:rsidRPr="006A74F8">
        <w:t xml:space="preserve"> further assurances to industry that they can compete </w:t>
      </w:r>
      <w:r w:rsidR="0069135F" w:rsidRPr="006A74F8">
        <w:t>o</w:t>
      </w:r>
      <w:r w:rsidRPr="006A74F8">
        <w:t>n a level playing field and have confidence in the trade transactions they engage in, ultimately saving time and money.</w:t>
      </w:r>
    </w:p>
    <w:p w:rsidR="009E7A7E" w:rsidRPr="006A74F8" w:rsidRDefault="009E7A7E" w:rsidP="009E7A7E">
      <w:r w:rsidRPr="006A74F8">
        <w:rPr>
          <w:b/>
        </w:rPr>
        <w:t xml:space="preserve">Greater flexibility for business: Option 1 </w:t>
      </w:r>
      <w:r w:rsidRPr="006A74F8">
        <w:t xml:space="preserve">will make it easier to do business by </w:t>
      </w:r>
      <w:r w:rsidR="00834607" w:rsidRPr="006A74F8">
        <w:t>reducing prescriptive requirements</w:t>
      </w:r>
      <w:r w:rsidRPr="006A74F8">
        <w:t xml:space="preserve"> </w:t>
      </w:r>
      <w:r w:rsidR="00834607" w:rsidRPr="006A74F8">
        <w:t xml:space="preserve">and </w:t>
      </w:r>
      <w:r w:rsidRPr="006A74F8">
        <w:t xml:space="preserve">streamlining </w:t>
      </w:r>
      <w:r w:rsidR="00834607" w:rsidRPr="006A74F8">
        <w:t>and</w:t>
      </w:r>
      <w:r w:rsidR="006358BB" w:rsidRPr="006A74F8">
        <w:t xml:space="preserve"> simplifying</w:t>
      </w:r>
      <w:r w:rsidR="00834607" w:rsidRPr="006A74F8">
        <w:t xml:space="preserve"> </w:t>
      </w:r>
      <w:r w:rsidRPr="006A74F8">
        <w:t xml:space="preserve">the legislation in a number of areas </w:t>
      </w:r>
      <w:r w:rsidR="00870D48" w:rsidRPr="006A74F8">
        <w:t>(</w:t>
      </w:r>
      <w:r w:rsidRPr="006A74F8">
        <w:t xml:space="preserve">e.g. </w:t>
      </w:r>
      <w:r w:rsidR="00BE3BCC" w:rsidRPr="006A74F8">
        <w:t>approval to use alternative units of measurement for packaged products (the ‘Secretary’s list’)</w:t>
      </w:r>
      <w:r w:rsidRPr="006A74F8">
        <w:t>, how measuring instruments are used in trade and placement of the measurement mark on packaged products</w:t>
      </w:r>
      <w:r w:rsidR="00870D48" w:rsidRPr="006A74F8">
        <w:t>)</w:t>
      </w:r>
      <w:r w:rsidRPr="006A74F8">
        <w:t>. This will reduce the burden on industry to navigate complex and confusing regulatory requirements, saving time and effort.</w:t>
      </w:r>
      <w:r w:rsidRPr="006A74F8">
        <w:rPr>
          <w:b/>
        </w:rPr>
        <w:t xml:space="preserve"> Options 2 and 3</w:t>
      </w:r>
      <w:r w:rsidRPr="006A74F8">
        <w:t xml:space="preserve"> provide further benefits with greater flexibility introduced for industry (e.g. industry to determine/influence the appropriate unit of measurement to be used </w:t>
      </w:r>
      <w:r w:rsidR="00BE3BCC" w:rsidRPr="006A74F8">
        <w:t xml:space="preserve">for packaged products (replaces the ‘Secretary’s list’ approach) </w:t>
      </w:r>
      <w:r w:rsidRPr="006A74F8">
        <w:t xml:space="preserve">and more flexible packaging and labelling requirements), further reducing regulatory burden for industry as compared with </w:t>
      </w:r>
      <w:r w:rsidRPr="006A74F8">
        <w:rPr>
          <w:b/>
        </w:rPr>
        <w:t>option 1</w:t>
      </w:r>
      <w:r w:rsidRPr="006A74F8">
        <w:t xml:space="preserve">. Where flexibility is thought to introduce a level of uncertainty for industry, particularly for small to medium enterprise (SME), supporting guidance material will help these businesses understand how to meet their obligations. </w:t>
      </w:r>
    </w:p>
    <w:p w:rsidR="00FB5C23" w:rsidRPr="006A74F8" w:rsidRDefault="009E7A7E" w:rsidP="009E7A7E">
      <w:r w:rsidRPr="006A74F8">
        <w:rPr>
          <w:b/>
        </w:rPr>
        <w:t xml:space="preserve">Reduced relabelling costs: </w:t>
      </w:r>
      <w:r w:rsidRPr="006A74F8">
        <w:t xml:space="preserve">Less prescriptive measurement marking requirements provide greater acceptance of imported products, promotion of trade between Australia and other economies and relabelling cost savings for industry e.g. for imported cosmetic products. Changes to labelling requirements for the measurement mark on packaged products will result in no additional costs to industry as all labels currently compliant with the regulations will remain compliant. </w:t>
      </w:r>
      <w:r w:rsidRPr="006A74F8">
        <w:rPr>
          <w:b/>
        </w:rPr>
        <w:t xml:space="preserve">Option 1 </w:t>
      </w:r>
      <w:r w:rsidRPr="006A74F8">
        <w:t>streamlines and reduces prescriptive requirements but retains the front of pack requirement for the measurement mark, along with minimum font height and background colour contrast. An exemption will be provided for cosmetic products (as well as products with existing exemptions), resulting in reduced relabelling costs for industry for some imported products.</w:t>
      </w:r>
      <w:r w:rsidR="00C52CF9" w:rsidRPr="006A74F8">
        <w:t xml:space="preserve"> There will also be a deemed to comply </w:t>
      </w:r>
      <w:r w:rsidR="00FB5C23" w:rsidRPr="006A74F8">
        <w:t>pathway</w:t>
      </w:r>
      <w:r w:rsidR="00C52CF9" w:rsidRPr="006A74F8">
        <w:t xml:space="preserve"> introduced for non-prescription therapeutic goods to reduce regulatory duplication</w:t>
      </w:r>
      <w:r w:rsidR="00FB5C23" w:rsidRPr="006A74F8">
        <w:t xml:space="preserve"> for these products</w:t>
      </w:r>
      <w:r w:rsidR="00C52CF9" w:rsidRPr="006A74F8">
        <w:t>.</w:t>
      </w:r>
      <w:r w:rsidRPr="006A74F8">
        <w:t xml:space="preserve"> </w:t>
      </w:r>
    </w:p>
    <w:p w:rsidR="009E7A7E" w:rsidRPr="006A74F8" w:rsidRDefault="009E7A7E" w:rsidP="009E7A7E">
      <w:r w:rsidRPr="006A74F8">
        <w:rPr>
          <w:b/>
        </w:rPr>
        <w:t>Options 2 and 3</w:t>
      </w:r>
      <w:r w:rsidRPr="006A74F8">
        <w:t xml:space="preserve"> will retain font height and colour contrast requirements, but provide for further flexibility for the placement of the measurement mark </w:t>
      </w:r>
      <w:r w:rsidR="00D93F56" w:rsidRPr="006A74F8">
        <w:t>by</w:t>
      </w:r>
      <w:r w:rsidRPr="006A74F8">
        <w:t xml:space="preserve"> requiring that it is prominent and legible, rather than specifying front of pack. The flexibility under </w:t>
      </w:r>
      <w:r w:rsidRPr="006A74F8">
        <w:rPr>
          <w:b/>
        </w:rPr>
        <w:t xml:space="preserve">options 2 and 3 </w:t>
      </w:r>
      <w:r w:rsidRPr="006A74F8">
        <w:t xml:space="preserve">provides the same costs savings associated with the exemptions under </w:t>
      </w:r>
      <w:r w:rsidRPr="006A74F8">
        <w:rPr>
          <w:b/>
        </w:rPr>
        <w:t>option 1</w:t>
      </w:r>
      <w:r w:rsidRPr="006A74F8">
        <w:t xml:space="preserve"> and additionally provide</w:t>
      </w:r>
      <w:r w:rsidR="00642367" w:rsidRPr="006A74F8">
        <w:t>s</w:t>
      </w:r>
      <w:r w:rsidRPr="006A74F8">
        <w:t xml:space="preserve"> the potential for savings in other sectors.</w:t>
      </w:r>
      <w:r w:rsidR="00902406" w:rsidRPr="006A74F8">
        <w:t xml:space="preserve"> Reduced regulatory duplication through deemed compliance pathways </w:t>
      </w:r>
      <w:r w:rsidR="004C31EC" w:rsidRPr="006A74F8">
        <w:t>is</w:t>
      </w:r>
      <w:r w:rsidR="00902406" w:rsidRPr="006A74F8">
        <w:t xml:space="preserve"> also applicable under </w:t>
      </w:r>
      <w:r w:rsidR="00902406" w:rsidRPr="006A74F8">
        <w:rPr>
          <w:b/>
        </w:rPr>
        <w:t>options</w:t>
      </w:r>
      <w:r w:rsidR="004C31EC" w:rsidRPr="006A74F8">
        <w:rPr>
          <w:b/>
        </w:rPr>
        <w:t xml:space="preserve"> 2 and 3</w:t>
      </w:r>
      <w:r w:rsidR="004C31EC" w:rsidRPr="006A74F8">
        <w:t>.</w:t>
      </w:r>
    </w:p>
    <w:p w:rsidR="009E7A7E" w:rsidRPr="006A74F8" w:rsidRDefault="009E7A7E" w:rsidP="009E7A7E">
      <w:r w:rsidRPr="006A74F8">
        <w:rPr>
          <w:b/>
        </w:rPr>
        <w:t xml:space="preserve">Greater certainty for businesses for packaged product exemptions: </w:t>
      </w:r>
      <w:r w:rsidRPr="006A74F8">
        <w:t xml:space="preserve">For </w:t>
      </w:r>
      <w:r w:rsidRPr="006A74F8">
        <w:rPr>
          <w:b/>
        </w:rPr>
        <w:t>all reform options</w:t>
      </w:r>
      <w:r w:rsidRPr="006A74F8">
        <w:t xml:space="preserve"> exemptions can be introduced in relation to </w:t>
      </w:r>
      <w:r w:rsidR="00F01CD6" w:rsidRPr="006A74F8">
        <w:t xml:space="preserve">certain </w:t>
      </w:r>
      <w:r w:rsidRPr="006A74F8">
        <w:t xml:space="preserve">labelling requirements. Previously non-compliant packaged products could only be sold if granted a time limited permit under the legislation or administratively given a grace period. While these are useful short term approaches for individual products, they are not well suited to providing long term solutions for broader categories of products. Exemptions provide a way to give long term certainty for industry in relation to the </w:t>
      </w:r>
      <w:r w:rsidRPr="006A74F8">
        <w:lastRenderedPageBreak/>
        <w:t>presentational aspects of packaged product labelling requirements. Industry can have greater confidence that products they are importing will not require relabelling.</w:t>
      </w:r>
    </w:p>
    <w:p w:rsidR="009E7A7E" w:rsidRPr="006A74F8" w:rsidRDefault="009E7A7E" w:rsidP="009E7A7E">
      <w:pPr>
        <w:pStyle w:val="Heading5"/>
      </w:pPr>
      <w:r w:rsidRPr="006A74F8">
        <w:t>Neutral impacts</w:t>
      </w:r>
    </w:p>
    <w:p w:rsidR="009E7A7E" w:rsidRPr="006A74F8" w:rsidRDefault="009E7A7E" w:rsidP="009E7A7E">
      <w:r w:rsidRPr="006A74F8">
        <w:t xml:space="preserve">For </w:t>
      </w:r>
      <w:r w:rsidRPr="006A74F8">
        <w:rPr>
          <w:b/>
        </w:rPr>
        <w:t>all reform options</w:t>
      </w:r>
      <w:r w:rsidRPr="006A74F8">
        <w:t>,</w:t>
      </w:r>
      <w:r w:rsidRPr="006A74F8">
        <w:rPr>
          <w:b/>
        </w:rPr>
        <w:t xml:space="preserve"> </w:t>
      </w:r>
      <w:r w:rsidRPr="006A74F8">
        <w:t xml:space="preserve">changes to align requirements for measuring instruments used to pack products </w:t>
      </w:r>
      <w:r w:rsidR="00DC2813" w:rsidRPr="006A74F8">
        <w:t>with</w:t>
      </w:r>
      <w:r w:rsidRPr="006A74F8">
        <w:t xml:space="preserve"> random </w:t>
      </w:r>
      <w:r w:rsidR="00DC2813" w:rsidRPr="006A74F8">
        <w:t>measurements</w:t>
      </w:r>
      <w:r w:rsidRPr="006A74F8">
        <w:t xml:space="preserve"> with those for measuring instruments used for over the counter sales is likely to have no overall net burden. It may result in a small cost burden for some manufacturers/packers to ensure their instruments comply, however it is thought that most manufacturers/packers already use instruments that would comply. A transition period will provide these businesses with sufficient time to ensure their instruments are compliant.</w:t>
      </w:r>
    </w:p>
    <w:p w:rsidR="009E7A7E" w:rsidRPr="006A74F8" w:rsidRDefault="009E7A7E" w:rsidP="009E7A7E">
      <w:pPr>
        <w:pStyle w:val="Heading5"/>
      </w:pPr>
      <w:r w:rsidRPr="006A74F8">
        <w:t>Overall net impact</w:t>
      </w:r>
    </w:p>
    <w:p w:rsidR="00503F9F" w:rsidRPr="006A74F8" w:rsidRDefault="009E7A7E" w:rsidP="004929D3">
      <w:r w:rsidRPr="006A74F8">
        <w:t xml:space="preserve">Overall, there is a slight to moderate net benefit to industry across </w:t>
      </w:r>
      <w:r w:rsidRPr="006A74F8">
        <w:rPr>
          <w:b/>
        </w:rPr>
        <w:t>all reform options</w:t>
      </w:r>
      <w:r w:rsidRPr="006A74F8">
        <w:t xml:space="preserve">, with </w:t>
      </w:r>
      <w:r w:rsidRPr="006A74F8">
        <w:rPr>
          <w:b/>
        </w:rPr>
        <w:t>options 2 and 3</w:t>
      </w:r>
      <w:r w:rsidRPr="006A74F8">
        <w:t xml:space="preserve"> being marginally more beneficial than </w:t>
      </w:r>
      <w:r w:rsidRPr="006A74F8">
        <w:rPr>
          <w:b/>
        </w:rPr>
        <w:t xml:space="preserve">option 1. </w:t>
      </w:r>
      <w:r w:rsidRPr="006A74F8">
        <w:t>This is mainly due to</w:t>
      </w:r>
      <w:r w:rsidRPr="006A74F8">
        <w:rPr>
          <w:b/>
        </w:rPr>
        <w:t xml:space="preserve"> </w:t>
      </w:r>
      <w:r w:rsidRPr="006A74F8">
        <w:t>the added benefits seen</w:t>
      </w:r>
      <w:r w:rsidRPr="006A74F8">
        <w:rPr>
          <w:b/>
        </w:rPr>
        <w:t xml:space="preserve"> </w:t>
      </w:r>
      <w:r w:rsidRPr="006A74F8">
        <w:t xml:space="preserve">in </w:t>
      </w:r>
      <w:r w:rsidRPr="006A74F8">
        <w:rPr>
          <w:b/>
        </w:rPr>
        <w:t xml:space="preserve">options 2 and 3 </w:t>
      </w:r>
      <w:r w:rsidRPr="006A74F8">
        <w:t>from increased flexibility in a number of areas (e.g. how goods and services are sold by measurement, how measuring instruments are used in trade</w:t>
      </w:r>
      <w:r w:rsidR="00D04A6B" w:rsidRPr="006A74F8">
        <w:t>,</w:t>
      </w:r>
      <w:r w:rsidRPr="006A74F8">
        <w:t xml:space="preserve"> and placement of the measurement mark on packaged products). As well as the positive impacts associated with complete coverage of false </w:t>
      </w:r>
      <w:r w:rsidR="00B177BB" w:rsidRPr="006A74F8">
        <w:t xml:space="preserve">or </w:t>
      </w:r>
      <w:r w:rsidRPr="006A74F8">
        <w:t>misleading measurement statements (i.e. sale and purchase of goods and services), combined with the inclusion of an expanded suite of compliance and enforcement tools to support a level playing field.</w:t>
      </w:r>
    </w:p>
    <w:p w:rsidR="009E7A7E" w:rsidRPr="006A74F8" w:rsidRDefault="009E7A7E" w:rsidP="009E7A7E">
      <w:pPr>
        <w:pStyle w:val="Heading4"/>
        <w:rPr>
          <w:rFonts w:eastAsia="Calibri"/>
          <w:lang w:eastAsia="en-AU"/>
        </w:rPr>
      </w:pPr>
      <w:r w:rsidRPr="006A74F8">
        <w:rPr>
          <w:rFonts w:eastAsia="Calibri"/>
          <w:lang w:eastAsia="en-AU"/>
        </w:rPr>
        <w:t xml:space="preserve">Net </w:t>
      </w:r>
      <w:r w:rsidRPr="006A74F8">
        <w:t xml:space="preserve">impacts on </w:t>
      </w:r>
      <w:r w:rsidRPr="006A74F8">
        <w:rPr>
          <w:rFonts w:eastAsia="Calibri"/>
          <w:lang w:eastAsia="en-AU"/>
        </w:rPr>
        <w:t xml:space="preserve">regulators </w:t>
      </w:r>
    </w:p>
    <w:p w:rsidR="009E7A7E" w:rsidRPr="006A74F8" w:rsidRDefault="009E7A7E" w:rsidP="009E7A7E">
      <w:pPr>
        <w:pStyle w:val="Heading5"/>
      </w:pPr>
      <w:r w:rsidRPr="006A74F8">
        <w:t>Positive impacts</w:t>
      </w:r>
    </w:p>
    <w:p w:rsidR="009E7A7E" w:rsidRPr="006A74F8" w:rsidRDefault="009E7A7E" w:rsidP="009E7A7E">
      <w:r w:rsidRPr="006A74F8">
        <w:rPr>
          <w:b/>
        </w:rPr>
        <w:t>Broader access to measurement services and advice</w:t>
      </w:r>
      <w:r w:rsidRPr="006A74F8">
        <w:t xml:space="preserve">: Increased flexibility across all options will provide regulators with greater access to measurement services from </w:t>
      </w:r>
      <w:r w:rsidR="001962A8" w:rsidRPr="006A74F8">
        <w:t>ATPs</w:t>
      </w:r>
      <w:r w:rsidRPr="006A74F8">
        <w:t xml:space="preserve"> to perform particular measurement services or functions. The benefit would be greatest under </w:t>
      </w:r>
      <w:r w:rsidRPr="006A74F8">
        <w:rPr>
          <w:b/>
        </w:rPr>
        <w:t>options 2 and 3</w:t>
      </w:r>
      <w:r w:rsidRPr="006A74F8">
        <w:t xml:space="preserve"> as the appointment</w:t>
      </w:r>
      <w:r w:rsidR="00516D1C" w:rsidRPr="006A74F8">
        <w:t>s</w:t>
      </w:r>
      <w:r w:rsidRPr="006A74F8">
        <w:t xml:space="preserve"> will become more flexible in </w:t>
      </w:r>
      <w:r w:rsidRPr="006A74F8">
        <w:rPr>
          <w:b/>
        </w:rPr>
        <w:t>option 2</w:t>
      </w:r>
      <w:r w:rsidRPr="006A74F8">
        <w:t xml:space="preserve">, and in </w:t>
      </w:r>
      <w:r w:rsidRPr="006A74F8">
        <w:rPr>
          <w:b/>
        </w:rPr>
        <w:t>option 3</w:t>
      </w:r>
      <w:r w:rsidRPr="006A74F8">
        <w:t xml:space="preserve"> NMI may establish specific appointments to support the needs of specialist regulators.</w:t>
      </w:r>
    </w:p>
    <w:p w:rsidR="009E7A7E" w:rsidRPr="006A74F8" w:rsidRDefault="003046F9" w:rsidP="009E7A7E">
      <w:r w:rsidRPr="006A74F8">
        <w:rPr>
          <w:b/>
        </w:rPr>
        <w:t>Greater government collaboration on measurement</w:t>
      </w:r>
      <w:r w:rsidR="009E7A7E" w:rsidRPr="006A74F8">
        <w:rPr>
          <w:b/>
        </w:rPr>
        <w:t xml:space="preserve">: </w:t>
      </w:r>
      <w:r w:rsidR="009E7A7E" w:rsidRPr="006A74F8">
        <w:t xml:space="preserve">Under </w:t>
      </w:r>
      <w:r w:rsidR="009E7A7E" w:rsidRPr="006A74F8">
        <w:rPr>
          <w:b/>
        </w:rPr>
        <w:t>all options</w:t>
      </w:r>
      <w:r w:rsidR="009E7A7E" w:rsidRPr="006A74F8">
        <w:t xml:space="preserve">, the secrecy provisions that limit the information that NMI can share would be removed. </w:t>
      </w:r>
      <w:r w:rsidR="00AE5045" w:rsidRPr="006A74F8">
        <w:t>There is s</w:t>
      </w:r>
      <w:r w:rsidR="009E7A7E" w:rsidRPr="006A74F8">
        <w:t xml:space="preserve">light benefit for regulators across all </w:t>
      </w:r>
      <w:r w:rsidR="00AE5045" w:rsidRPr="006A74F8">
        <w:t xml:space="preserve">reform </w:t>
      </w:r>
      <w:r w:rsidR="009E7A7E" w:rsidRPr="006A74F8">
        <w:t xml:space="preserve">options. </w:t>
      </w:r>
      <w:r w:rsidRPr="006A74F8">
        <w:t xml:space="preserve">Both </w:t>
      </w:r>
      <w:r w:rsidRPr="006A74F8">
        <w:rPr>
          <w:b/>
        </w:rPr>
        <w:t>option</w:t>
      </w:r>
      <w:r w:rsidR="00BA576B" w:rsidRPr="006A74F8">
        <w:rPr>
          <w:b/>
        </w:rPr>
        <w:t>s</w:t>
      </w:r>
      <w:r w:rsidRPr="006A74F8">
        <w:rPr>
          <w:b/>
        </w:rPr>
        <w:t xml:space="preserve"> 2 and 3</w:t>
      </w:r>
      <w:r w:rsidRPr="006A74F8">
        <w:t xml:space="preserve"> would enable regulations to be made</w:t>
      </w:r>
      <w:r w:rsidR="00E057C5" w:rsidRPr="006A74F8">
        <w:t xml:space="preserve"> to </w:t>
      </w:r>
      <w:r w:rsidRPr="006A74F8">
        <w:t xml:space="preserve">support oversight and coordination of accurate and reliable measurement in Australia. </w:t>
      </w:r>
      <w:r w:rsidR="009E7A7E" w:rsidRPr="006A74F8">
        <w:t xml:space="preserve">Under </w:t>
      </w:r>
      <w:r w:rsidR="009E7A7E" w:rsidRPr="006A74F8">
        <w:rPr>
          <w:b/>
        </w:rPr>
        <w:t>option 3</w:t>
      </w:r>
      <w:r w:rsidR="009E7A7E" w:rsidRPr="006A74F8">
        <w:t xml:space="preserve"> NMI would be able to help </w:t>
      </w:r>
      <w:r w:rsidRPr="006A74F8">
        <w:t xml:space="preserve">directly </w:t>
      </w:r>
      <w:r w:rsidR="009E7A7E" w:rsidRPr="006A74F8">
        <w:t>regulate measurements that other regulators rely on and to take targeted action in partnership with or on behalf of them.</w:t>
      </w:r>
      <w:r w:rsidRPr="006A74F8">
        <w:t xml:space="preserve"> </w:t>
      </w:r>
    </w:p>
    <w:p w:rsidR="009E7A7E" w:rsidRPr="006A74F8" w:rsidRDefault="009E7A7E" w:rsidP="009E7A7E">
      <w:r w:rsidRPr="006A74F8">
        <w:rPr>
          <w:b/>
        </w:rPr>
        <w:t xml:space="preserve">Greater access to international instruments: </w:t>
      </w:r>
      <w:r w:rsidRPr="006A74F8">
        <w:t xml:space="preserve">Regulators can leverage off the measurement framework to identify reliable overseas measuring instruments. All options will provide some efficiencies for regulators. </w:t>
      </w:r>
      <w:r w:rsidRPr="006A74F8">
        <w:rPr>
          <w:b/>
        </w:rPr>
        <w:t xml:space="preserve">All options </w:t>
      </w:r>
      <w:r w:rsidRPr="006A74F8">
        <w:t xml:space="preserve">help identify suitable instruments that may be used for regulatory purposes under Australian conditions. Under </w:t>
      </w:r>
      <w:r w:rsidRPr="006A74F8">
        <w:rPr>
          <w:b/>
        </w:rPr>
        <w:t>option 1</w:t>
      </w:r>
      <w:r w:rsidRPr="006A74F8">
        <w:t xml:space="preserve">, arrangements for the </w:t>
      </w:r>
      <w:r w:rsidR="00802A29" w:rsidRPr="006A74F8">
        <w:t xml:space="preserve">acceptance </w:t>
      </w:r>
      <w:r w:rsidRPr="006A74F8">
        <w:t xml:space="preserve">of overseas test results are streamlined. This is expanded under </w:t>
      </w:r>
      <w:r w:rsidRPr="006A74F8">
        <w:rPr>
          <w:b/>
        </w:rPr>
        <w:t xml:space="preserve">options 2 and 3 </w:t>
      </w:r>
      <w:r w:rsidRPr="006A74F8">
        <w:t xml:space="preserve">to include </w:t>
      </w:r>
      <w:r w:rsidR="00802A29" w:rsidRPr="006A74F8">
        <w:t xml:space="preserve">acceptance </w:t>
      </w:r>
      <w:r w:rsidRPr="006A74F8">
        <w:t>of overseas approvals, verifications or assessments</w:t>
      </w:r>
      <w:r w:rsidRPr="006A74F8">
        <w:rPr>
          <w:b/>
        </w:rPr>
        <w:t>.</w:t>
      </w:r>
      <w:r w:rsidRPr="006A74F8">
        <w:t xml:space="preserve"> </w:t>
      </w:r>
    </w:p>
    <w:p w:rsidR="009E7A7E" w:rsidRPr="006A74F8" w:rsidRDefault="009E7A7E" w:rsidP="009E7A7E">
      <w:r w:rsidRPr="006A74F8">
        <w:rPr>
          <w:b/>
        </w:rPr>
        <w:t xml:space="preserve">Greater confidence to use innovative measuring instruments: </w:t>
      </w:r>
      <w:r w:rsidRPr="006A74F8">
        <w:t xml:space="preserve">Regulators can leverage off the measurement framework to use innovative measuring instruments. </w:t>
      </w:r>
      <w:r w:rsidRPr="006A74F8">
        <w:rPr>
          <w:b/>
        </w:rPr>
        <w:t>Options 2 and 3</w:t>
      </w:r>
      <w:r w:rsidRPr="006A74F8">
        <w:t xml:space="preserve"> provide a way to </w:t>
      </w:r>
      <w:r w:rsidR="00233CE1" w:rsidRPr="006A74F8">
        <w:t>accommodate</w:t>
      </w:r>
      <w:r w:rsidRPr="006A74F8">
        <w:t xml:space="preserve"> innovative instruments within the measurement framework with flexibility to determine control mechanisms that can be applied (depending on the nature of the instrument and how it will be used).  </w:t>
      </w:r>
    </w:p>
    <w:p w:rsidR="009E7A7E" w:rsidRPr="006A74F8" w:rsidRDefault="009E7A7E" w:rsidP="009E7A7E">
      <w:r w:rsidRPr="006A74F8">
        <w:rPr>
          <w:b/>
        </w:rPr>
        <w:lastRenderedPageBreak/>
        <w:t xml:space="preserve">Greater support for use of primary </w:t>
      </w:r>
      <w:r w:rsidR="00CF0495" w:rsidRPr="006A74F8">
        <w:rPr>
          <w:b/>
        </w:rPr>
        <w:t xml:space="preserve">measurement </w:t>
      </w:r>
      <w:r w:rsidRPr="006A74F8">
        <w:rPr>
          <w:b/>
        </w:rPr>
        <w:t>standards</w:t>
      </w:r>
      <w:r w:rsidRPr="006A74F8">
        <w:t xml:space="preserve">: </w:t>
      </w:r>
      <w:r w:rsidRPr="006A74F8">
        <w:rPr>
          <w:b/>
        </w:rPr>
        <w:t>Options 2 and 3</w:t>
      </w:r>
      <w:r w:rsidRPr="006A74F8">
        <w:t xml:space="preserve"> enable primary </w:t>
      </w:r>
      <w:r w:rsidR="00CF0495" w:rsidRPr="006A74F8">
        <w:t xml:space="preserve">measurement </w:t>
      </w:r>
      <w:r w:rsidRPr="006A74F8">
        <w:t xml:space="preserve">standards to be integrated into the framework for traceable measurement. Regulators can access these </w:t>
      </w:r>
      <w:r w:rsidR="00FA7416" w:rsidRPr="006A74F8">
        <w:t xml:space="preserve">primary </w:t>
      </w:r>
      <w:r w:rsidR="00CF0495" w:rsidRPr="006A74F8">
        <w:t xml:space="preserve">measurement </w:t>
      </w:r>
      <w:r w:rsidRPr="006A74F8">
        <w:t xml:space="preserve">standards with greater confidence providing more choice for regulators.  </w:t>
      </w:r>
    </w:p>
    <w:p w:rsidR="009E7A7E" w:rsidRPr="006A74F8" w:rsidRDefault="009E7A7E" w:rsidP="009E7A7E">
      <w:r w:rsidRPr="006A74F8">
        <w:rPr>
          <w:b/>
        </w:rPr>
        <w:t>Improved traceability and confidence for chemical, biological and other complex measurements:</w:t>
      </w:r>
      <w:r w:rsidRPr="006A74F8">
        <w:t xml:space="preserve"> Across </w:t>
      </w:r>
      <w:r w:rsidRPr="006A74F8">
        <w:rPr>
          <w:b/>
        </w:rPr>
        <w:t>all options</w:t>
      </w:r>
      <w:r w:rsidRPr="006A74F8">
        <w:t>, an increase in confidence in chemical, biological or other complex measurements will improve the ability to check compliance or confront non-compliance of regulatory requirements based on these measurements. This includes better access to international standards and reference materials.</w:t>
      </w:r>
    </w:p>
    <w:p w:rsidR="00F47F61" w:rsidRPr="006A74F8" w:rsidRDefault="00F47F61" w:rsidP="009E7A7E">
      <w:pPr>
        <w:rPr>
          <w:sz w:val="28"/>
        </w:rPr>
      </w:pPr>
      <w:r w:rsidRPr="006A74F8">
        <w:rPr>
          <w:b/>
          <w:szCs w:val="18"/>
        </w:rPr>
        <w:t>Greater support for use of overseas reference standards and CRM</w:t>
      </w:r>
      <w:r w:rsidR="00251760" w:rsidRPr="006A74F8">
        <w:rPr>
          <w:b/>
          <w:szCs w:val="18"/>
        </w:rPr>
        <w:t>s</w:t>
      </w:r>
      <w:r w:rsidR="001F5BDF" w:rsidRPr="006A74F8">
        <w:rPr>
          <w:b/>
          <w:szCs w:val="18"/>
        </w:rPr>
        <w:t>:</w:t>
      </w:r>
      <w:r w:rsidRPr="006A74F8">
        <w:rPr>
          <w:rFonts w:cstheme="minorHAnsi"/>
          <w:szCs w:val="18"/>
        </w:rPr>
        <w:t xml:space="preserve"> </w:t>
      </w:r>
      <w:r w:rsidR="00A83128" w:rsidRPr="006A74F8">
        <w:rPr>
          <w:rFonts w:cstheme="minorHAnsi"/>
          <w:szCs w:val="18"/>
        </w:rPr>
        <w:t xml:space="preserve">Under </w:t>
      </w:r>
      <w:r w:rsidR="00A83128" w:rsidRPr="006A74F8">
        <w:rPr>
          <w:rFonts w:cstheme="minorHAnsi"/>
          <w:b/>
          <w:szCs w:val="18"/>
        </w:rPr>
        <w:t>all options</w:t>
      </w:r>
      <w:r w:rsidR="00A83128" w:rsidRPr="006A74F8">
        <w:rPr>
          <w:rFonts w:cstheme="minorHAnsi"/>
          <w:szCs w:val="18"/>
        </w:rPr>
        <w:t>, l</w:t>
      </w:r>
      <w:r w:rsidRPr="006A74F8">
        <w:rPr>
          <w:rFonts w:cstheme="minorHAnsi"/>
          <w:szCs w:val="18"/>
        </w:rPr>
        <w:t xml:space="preserve">egal assurance for the use of overseas </w:t>
      </w:r>
      <w:r w:rsidR="00C85988" w:rsidRPr="006A74F8">
        <w:rPr>
          <w:rFonts w:cstheme="minorHAnsi"/>
          <w:szCs w:val="18"/>
        </w:rPr>
        <w:t xml:space="preserve">reference </w:t>
      </w:r>
      <w:r w:rsidRPr="006A74F8">
        <w:rPr>
          <w:rFonts w:cstheme="minorHAnsi"/>
          <w:szCs w:val="18"/>
        </w:rPr>
        <w:t>standards and CRMs</w:t>
      </w:r>
      <w:r w:rsidR="00A83128" w:rsidRPr="006A74F8">
        <w:rPr>
          <w:rFonts w:cstheme="minorHAnsi"/>
          <w:szCs w:val="18"/>
        </w:rPr>
        <w:t xml:space="preserve"> </w:t>
      </w:r>
      <w:r w:rsidRPr="006A74F8">
        <w:rPr>
          <w:rFonts w:cstheme="minorHAnsi"/>
          <w:szCs w:val="18"/>
        </w:rPr>
        <w:t xml:space="preserve">will facilitate the identification and use of overseas reference materials and measurement </w:t>
      </w:r>
      <w:r w:rsidR="00822F1F" w:rsidRPr="006A74F8">
        <w:rPr>
          <w:rFonts w:cstheme="minorHAnsi"/>
          <w:szCs w:val="18"/>
        </w:rPr>
        <w:t>standards</w:t>
      </w:r>
      <w:r w:rsidRPr="006A74F8">
        <w:rPr>
          <w:rFonts w:cstheme="minorHAnsi"/>
          <w:szCs w:val="18"/>
        </w:rPr>
        <w:t xml:space="preserve"> </w:t>
      </w:r>
      <w:r w:rsidRPr="006A74F8">
        <w:rPr>
          <w:szCs w:val="18"/>
        </w:rPr>
        <w:t>by regulators for legal purposes</w:t>
      </w:r>
      <w:r w:rsidR="00C9280F" w:rsidRPr="006A74F8">
        <w:rPr>
          <w:szCs w:val="18"/>
        </w:rPr>
        <w:t>.</w:t>
      </w:r>
    </w:p>
    <w:p w:rsidR="009E7A7E" w:rsidRPr="006A74F8" w:rsidRDefault="009E7A7E">
      <w:pPr>
        <w:pStyle w:val="Heading5"/>
      </w:pPr>
      <w:r w:rsidRPr="006A74F8">
        <w:t xml:space="preserve">Adverse </w:t>
      </w:r>
      <w:r w:rsidR="009642A6" w:rsidRPr="006A74F8">
        <w:t>i</w:t>
      </w:r>
      <w:r w:rsidRPr="006A74F8">
        <w:t>mpacts</w:t>
      </w:r>
    </w:p>
    <w:p w:rsidR="009E7A7E" w:rsidRPr="006A74F8" w:rsidRDefault="009E7A7E" w:rsidP="009E7A7E">
      <w:r w:rsidRPr="006A74F8">
        <w:rPr>
          <w:b/>
        </w:rPr>
        <w:t>Uncertainty:</w:t>
      </w:r>
      <w:r w:rsidRPr="006A74F8">
        <w:t xml:space="preserve"> Under </w:t>
      </w:r>
      <w:r w:rsidR="000E1261" w:rsidRPr="006A74F8">
        <w:rPr>
          <w:b/>
        </w:rPr>
        <w:t>o</w:t>
      </w:r>
      <w:r w:rsidRPr="006A74F8">
        <w:rPr>
          <w:b/>
        </w:rPr>
        <w:t>ption 3</w:t>
      </w:r>
      <w:r w:rsidRPr="006A74F8">
        <w:t xml:space="preserve">, NMI could </w:t>
      </w:r>
      <w:r w:rsidR="004D2A21" w:rsidRPr="006A74F8">
        <w:t>apply regulatory</w:t>
      </w:r>
      <w:r w:rsidRPr="006A74F8">
        <w:t xml:space="preserve"> oversight to support measurement relied upon by other regulators. This would involve increased resourcing and risk for the NMI. This may create some uncertainty for regulators but this oversight </w:t>
      </w:r>
      <w:r w:rsidR="00D63011" w:rsidRPr="006A74F8">
        <w:t>would</w:t>
      </w:r>
      <w:r w:rsidRPr="006A74F8">
        <w:t xml:space="preserve"> likely be exercised where there is a legislative gap, incomplete jurisdiction, crisis</w:t>
      </w:r>
      <w:r w:rsidR="00EF3346" w:rsidRPr="006A74F8">
        <w:t xml:space="preserve"> or market failure</w:t>
      </w:r>
      <w:r w:rsidRPr="006A74F8">
        <w:t xml:space="preserve">, or a new measurement application that is not yet regulated. </w:t>
      </w:r>
      <w:r w:rsidR="00D63011" w:rsidRPr="006A74F8">
        <w:t>NMI would also engage collaboratively with the relevant regulator to reduce potential regulatory overlap and uncertainty.</w:t>
      </w:r>
    </w:p>
    <w:p w:rsidR="009E7A7E" w:rsidRPr="006A74F8" w:rsidRDefault="009E7A7E" w:rsidP="009642A6">
      <w:pPr>
        <w:pStyle w:val="Heading5"/>
      </w:pPr>
      <w:r w:rsidRPr="006A74F8">
        <w:t>Overall net impact</w:t>
      </w:r>
    </w:p>
    <w:p w:rsidR="009E7A7E" w:rsidRPr="006A74F8" w:rsidRDefault="009E7A7E" w:rsidP="009E7A7E">
      <w:r w:rsidRPr="006A74F8">
        <w:t xml:space="preserve">The impacts on regulators were considered in so far as their policy objectives are determined on the basis of measurement, reliance on a measuring instrument and using the measurement framework. </w:t>
      </w:r>
    </w:p>
    <w:p w:rsidR="00503F9F" w:rsidRPr="006A74F8" w:rsidRDefault="009E7A7E" w:rsidP="00045E31">
      <w:r w:rsidRPr="006A74F8">
        <w:t xml:space="preserve">Overall, there is a slight net benefit to regulators across </w:t>
      </w:r>
      <w:r w:rsidRPr="006A74F8">
        <w:rPr>
          <w:b/>
        </w:rPr>
        <w:t>all options</w:t>
      </w:r>
      <w:r w:rsidRPr="006A74F8">
        <w:t xml:space="preserve">. Both </w:t>
      </w:r>
      <w:r w:rsidRPr="006A74F8">
        <w:rPr>
          <w:b/>
        </w:rPr>
        <w:t xml:space="preserve">option 2 and 3 </w:t>
      </w:r>
      <w:r w:rsidRPr="006A74F8">
        <w:t xml:space="preserve">support improvements in view of regulators using overseas measuring instruments, innovative instruments and primary </w:t>
      </w:r>
      <w:r w:rsidR="00C85988" w:rsidRPr="006A74F8">
        <w:t xml:space="preserve">measurement </w:t>
      </w:r>
      <w:r w:rsidRPr="006A74F8">
        <w:t xml:space="preserve">standards. </w:t>
      </w:r>
      <w:r w:rsidRPr="006A74F8">
        <w:rPr>
          <w:b/>
        </w:rPr>
        <w:t xml:space="preserve">Option 2 </w:t>
      </w:r>
      <w:r w:rsidRPr="006A74F8">
        <w:t xml:space="preserve">has the highest net benefit for regulators. </w:t>
      </w:r>
      <w:r w:rsidRPr="006A74F8">
        <w:rPr>
          <w:b/>
        </w:rPr>
        <w:t>Option 3</w:t>
      </w:r>
      <w:r w:rsidRPr="006A74F8">
        <w:t xml:space="preserve"> was rated as slightly lower due to the potential uncertainty created for regulators regarding when NMI’s expanded regulatory scope would be exercised.  </w:t>
      </w:r>
    </w:p>
    <w:p w:rsidR="001A4FE9" w:rsidRPr="006A74F8" w:rsidRDefault="004F3DEE" w:rsidP="00FD7AC9">
      <w:pPr>
        <w:pStyle w:val="Heading2"/>
        <w:rPr>
          <w:rStyle w:val="Hyperlink"/>
          <w:color w:val="005677" w:themeColor="text2"/>
          <w:u w:val="none"/>
        </w:rPr>
      </w:pPr>
      <w:bookmarkStart w:id="1699" w:name="_Overall_net_benefit"/>
      <w:bookmarkEnd w:id="1699"/>
      <w:r w:rsidRPr="006A74F8">
        <w:rPr>
          <w:rStyle w:val="Hyperlink"/>
          <w:color w:val="005677" w:themeColor="text2"/>
          <w:u w:val="none"/>
        </w:rPr>
        <w:t>Overall</w:t>
      </w:r>
      <w:r w:rsidR="008E4A0B" w:rsidRPr="006A74F8">
        <w:rPr>
          <w:rStyle w:val="Hyperlink"/>
          <w:color w:val="005677" w:themeColor="text2"/>
          <w:u w:val="none"/>
        </w:rPr>
        <w:t xml:space="preserve"> </w:t>
      </w:r>
      <w:bookmarkStart w:id="1700" w:name="_Toc64640249"/>
      <w:bookmarkStart w:id="1701" w:name="_Toc64641219"/>
      <w:bookmarkStart w:id="1702" w:name="_Toc64647161"/>
      <w:bookmarkStart w:id="1703" w:name="_Toc64888333"/>
      <w:bookmarkStart w:id="1704" w:name="_Toc64888707"/>
      <w:bookmarkStart w:id="1705" w:name="_Toc64892982"/>
      <w:bookmarkStart w:id="1706" w:name="_Toc64895641"/>
      <w:bookmarkStart w:id="1707" w:name="_Toc64900867"/>
      <w:bookmarkStart w:id="1708" w:name="_Toc64903114"/>
      <w:bookmarkStart w:id="1709" w:name="_Toc64904072"/>
      <w:bookmarkStart w:id="1710" w:name="_Toc64904275"/>
      <w:bookmarkStart w:id="1711" w:name="_Toc64904737"/>
      <w:bookmarkStart w:id="1712" w:name="_Toc64905251"/>
      <w:bookmarkStart w:id="1713" w:name="_Toc64964009"/>
      <w:bookmarkStart w:id="1714" w:name="_Toc64974626"/>
      <w:bookmarkStart w:id="1715" w:name="_Toc64976308"/>
      <w:bookmarkStart w:id="1716" w:name="_Toc65149688"/>
      <w:bookmarkStart w:id="1717" w:name="_Toc65163446"/>
      <w:r w:rsidR="0043533E" w:rsidRPr="006A74F8">
        <w:rPr>
          <w:rStyle w:val="Hyperlink"/>
          <w:color w:val="005677" w:themeColor="text2"/>
          <w:u w:val="none"/>
        </w:rPr>
        <w:t>n</w:t>
      </w:r>
      <w:r w:rsidR="008E4A0B" w:rsidRPr="006A74F8">
        <w:rPr>
          <w:rStyle w:val="Hyperlink"/>
          <w:color w:val="005677" w:themeColor="text2"/>
          <w:u w:val="none"/>
        </w:rPr>
        <w:t xml:space="preserve">et </w:t>
      </w:r>
      <w:r w:rsidR="0043533E" w:rsidRPr="006A74F8">
        <w:rPr>
          <w:rStyle w:val="Hyperlink"/>
          <w:color w:val="005677" w:themeColor="text2"/>
          <w:u w:val="none"/>
        </w:rPr>
        <w:t>b</w:t>
      </w:r>
      <w:r w:rsidR="008E4A0B" w:rsidRPr="006A74F8">
        <w:rPr>
          <w:rStyle w:val="Hyperlink"/>
          <w:color w:val="005677" w:themeColor="text2"/>
          <w:u w:val="none"/>
        </w:rPr>
        <w:t>enefit</w:t>
      </w:r>
      <w:bookmarkEnd w:id="1658"/>
      <w:bookmarkEnd w:id="1659"/>
      <w:bookmarkEnd w:id="1660"/>
      <w:bookmarkEnd w:id="1661"/>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r w:rsidRPr="006A74F8">
        <w:rPr>
          <w:rStyle w:val="Hyperlink"/>
          <w:color w:val="005677" w:themeColor="text2"/>
          <w:u w:val="none"/>
        </w:rPr>
        <w:t xml:space="preserve"> of </w:t>
      </w:r>
      <w:r w:rsidR="005D5441" w:rsidRPr="006A74F8">
        <w:rPr>
          <w:rStyle w:val="Hyperlink"/>
          <w:color w:val="005677" w:themeColor="text2"/>
          <w:u w:val="none"/>
        </w:rPr>
        <w:t>o</w:t>
      </w:r>
      <w:r w:rsidRPr="006A74F8">
        <w:rPr>
          <w:rStyle w:val="Hyperlink"/>
          <w:color w:val="005677" w:themeColor="text2"/>
          <w:u w:val="none"/>
        </w:rPr>
        <w:t>ptions</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rsidR="002D7657" w:rsidRPr="006A74F8" w:rsidRDefault="002D7657" w:rsidP="00E1564C">
      <w:pPr>
        <w:rPr>
          <w:rStyle w:val="Hyperlink"/>
          <w:color w:val="auto"/>
          <w:u w:val="none"/>
        </w:rPr>
      </w:pPr>
      <w:r w:rsidRPr="006A74F8">
        <w:rPr>
          <w:rStyle w:val="Hyperlink"/>
          <w:color w:val="auto"/>
          <w:u w:val="none"/>
        </w:rPr>
        <w:t>Assessment of regulatory burden impacts indicates that:</w:t>
      </w:r>
    </w:p>
    <w:p w:rsidR="002D7657" w:rsidRPr="006A74F8" w:rsidRDefault="002D7657" w:rsidP="00E3432D">
      <w:pPr>
        <w:pStyle w:val="ListParagraph"/>
        <w:numPr>
          <w:ilvl w:val="0"/>
          <w:numId w:val="118"/>
        </w:numPr>
        <w:rPr>
          <w:rStyle w:val="Hyperlink"/>
          <w:color w:val="auto"/>
          <w:u w:val="none"/>
        </w:rPr>
      </w:pPr>
      <w:r w:rsidRPr="006A74F8">
        <w:rPr>
          <w:rStyle w:val="Hyperlink"/>
          <w:b/>
          <w:color w:val="auto"/>
          <w:u w:val="none"/>
        </w:rPr>
        <w:t>Option 1</w:t>
      </w:r>
      <w:r w:rsidR="00C75FCA" w:rsidRPr="006A74F8">
        <w:rPr>
          <w:rStyle w:val="Hyperlink"/>
          <w:color w:val="auto"/>
          <w:u w:val="none"/>
        </w:rPr>
        <w:t xml:space="preserve"> has a </w:t>
      </w:r>
      <w:r w:rsidR="00C75FCA" w:rsidRPr="006A74F8">
        <w:rPr>
          <w:lang w:eastAsia="en-AU"/>
        </w:rPr>
        <w:t xml:space="preserve">quantifiable reduction in regulatory burden </w:t>
      </w:r>
      <w:r w:rsidR="00C75FCA" w:rsidRPr="006A74F8">
        <w:rPr>
          <w:rStyle w:val="Hyperlink"/>
          <w:color w:val="auto"/>
          <w:u w:val="none"/>
        </w:rPr>
        <w:t>of</w:t>
      </w:r>
      <w:r w:rsidRPr="006A74F8">
        <w:rPr>
          <w:rStyle w:val="Hyperlink"/>
          <w:color w:val="auto"/>
          <w:u w:val="none"/>
        </w:rPr>
        <w:t xml:space="preserve"> </w:t>
      </w:r>
      <w:r w:rsidR="00C75FCA" w:rsidRPr="006A74F8">
        <w:rPr>
          <w:rStyle w:val="Hyperlink"/>
          <w:color w:val="auto"/>
          <w:u w:val="none"/>
        </w:rPr>
        <w:t>$8.</w:t>
      </w:r>
      <w:r w:rsidR="00C803CC" w:rsidRPr="006A74F8">
        <w:rPr>
          <w:rStyle w:val="Hyperlink"/>
          <w:color w:val="auto"/>
          <w:u w:val="none"/>
        </w:rPr>
        <w:t>4</w:t>
      </w:r>
      <w:r w:rsidR="00C75FCA" w:rsidRPr="006A74F8">
        <w:rPr>
          <w:rStyle w:val="Hyperlink"/>
          <w:color w:val="auto"/>
          <w:u w:val="none"/>
        </w:rPr>
        <w:t xml:space="preserve"> million.</w:t>
      </w:r>
    </w:p>
    <w:p w:rsidR="00C75FCA" w:rsidRPr="006A74F8" w:rsidRDefault="00C75FCA" w:rsidP="00E3432D">
      <w:pPr>
        <w:pStyle w:val="ListParagraph"/>
        <w:numPr>
          <w:ilvl w:val="0"/>
          <w:numId w:val="118"/>
        </w:numPr>
        <w:rPr>
          <w:rStyle w:val="Hyperlink"/>
          <w:color w:val="auto"/>
          <w:u w:val="none"/>
        </w:rPr>
      </w:pPr>
      <w:r w:rsidRPr="006A74F8">
        <w:rPr>
          <w:rStyle w:val="Hyperlink"/>
          <w:b/>
          <w:color w:val="auto"/>
          <w:u w:val="none"/>
        </w:rPr>
        <w:t xml:space="preserve">Option 2 </w:t>
      </w:r>
      <w:r w:rsidRPr="006A74F8">
        <w:rPr>
          <w:rStyle w:val="Hyperlink"/>
          <w:color w:val="auto"/>
          <w:u w:val="none"/>
        </w:rPr>
        <w:t>has a quantifiable reduction in regulatory burden of $</w:t>
      </w:r>
      <w:r w:rsidR="00C803CC" w:rsidRPr="006A74F8">
        <w:rPr>
          <w:rStyle w:val="Hyperlink"/>
          <w:color w:val="auto"/>
          <w:u w:val="none"/>
        </w:rPr>
        <w:t>8.5</w:t>
      </w:r>
      <w:r w:rsidR="00837744" w:rsidRPr="006A74F8">
        <w:rPr>
          <w:rStyle w:val="Hyperlink"/>
          <w:color w:val="auto"/>
          <w:u w:val="none"/>
        </w:rPr>
        <w:t xml:space="preserve"> </w:t>
      </w:r>
      <w:r w:rsidRPr="006A74F8">
        <w:rPr>
          <w:rStyle w:val="Hyperlink"/>
          <w:color w:val="auto"/>
          <w:u w:val="none"/>
        </w:rPr>
        <w:t>m</w:t>
      </w:r>
      <w:r w:rsidR="00837744" w:rsidRPr="006A74F8">
        <w:rPr>
          <w:rStyle w:val="Hyperlink"/>
          <w:color w:val="auto"/>
          <w:u w:val="none"/>
        </w:rPr>
        <w:t>illion</w:t>
      </w:r>
      <w:r w:rsidRPr="006A74F8">
        <w:rPr>
          <w:rStyle w:val="Hyperlink"/>
          <w:color w:val="auto"/>
          <w:u w:val="none"/>
        </w:rPr>
        <w:t>.</w:t>
      </w:r>
    </w:p>
    <w:p w:rsidR="00C75FCA" w:rsidRPr="006A74F8" w:rsidRDefault="00C75FCA" w:rsidP="00E3432D">
      <w:pPr>
        <w:pStyle w:val="ListParagraph"/>
        <w:numPr>
          <w:ilvl w:val="0"/>
          <w:numId w:val="118"/>
        </w:numPr>
        <w:rPr>
          <w:rStyle w:val="Hyperlink"/>
          <w:color w:val="auto"/>
          <w:u w:val="none"/>
        </w:rPr>
      </w:pPr>
      <w:r w:rsidRPr="006A74F8">
        <w:rPr>
          <w:rStyle w:val="Hyperlink"/>
          <w:b/>
          <w:color w:val="auto"/>
          <w:u w:val="none"/>
        </w:rPr>
        <w:t xml:space="preserve">Option 3 </w:t>
      </w:r>
      <w:r w:rsidRPr="006A74F8">
        <w:rPr>
          <w:rStyle w:val="Hyperlink"/>
          <w:color w:val="auto"/>
          <w:u w:val="none"/>
        </w:rPr>
        <w:t>has a quantifiable reduction in regulatory burden of $</w:t>
      </w:r>
      <w:r w:rsidR="00C803CC" w:rsidRPr="006A74F8">
        <w:rPr>
          <w:rStyle w:val="Hyperlink"/>
          <w:color w:val="auto"/>
          <w:u w:val="none"/>
        </w:rPr>
        <w:t>8.5</w:t>
      </w:r>
      <w:r w:rsidR="00837744" w:rsidRPr="006A74F8">
        <w:rPr>
          <w:rStyle w:val="Hyperlink"/>
          <w:color w:val="auto"/>
          <w:u w:val="none"/>
        </w:rPr>
        <w:t xml:space="preserve"> million with additional </w:t>
      </w:r>
      <w:r w:rsidR="00A8054D" w:rsidRPr="006A74F8">
        <w:rPr>
          <w:rStyle w:val="Hyperlink"/>
          <w:color w:val="auto"/>
          <w:u w:val="none"/>
        </w:rPr>
        <w:t>contingent</w:t>
      </w:r>
      <w:r w:rsidR="00837744" w:rsidRPr="006A74F8">
        <w:rPr>
          <w:rStyle w:val="Hyperlink"/>
          <w:color w:val="auto"/>
          <w:u w:val="none"/>
        </w:rPr>
        <w:t xml:space="preserve"> regulatory burdens in relation to pattern approval</w:t>
      </w:r>
      <w:r w:rsidR="00F41719" w:rsidRPr="006A74F8">
        <w:rPr>
          <w:rStyle w:val="Hyperlink"/>
          <w:color w:val="auto"/>
          <w:u w:val="none"/>
        </w:rPr>
        <w:t>.</w:t>
      </w:r>
    </w:p>
    <w:p w:rsidR="004A07AA" w:rsidRPr="006A74F8" w:rsidRDefault="001A4FE9" w:rsidP="00FD7AC9">
      <w:pPr>
        <w:rPr>
          <w:rStyle w:val="Hyperlink"/>
          <w:color w:val="auto"/>
          <w:u w:val="none"/>
        </w:rPr>
      </w:pPr>
      <w:r w:rsidRPr="006A74F8">
        <w:rPr>
          <w:rStyle w:val="Hyperlink"/>
          <w:color w:val="auto"/>
          <w:u w:val="none"/>
        </w:rPr>
        <w:t xml:space="preserve">Assessment of stakeholder impacts </w:t>
      </w:r>
      <w:r w:rsidR="004A07AA" w:rsidRPr="006A74F8">
        <w:rPr>
          <w:rStyle w:val="Hyperlink"/>
          <w:color w:val="auto"/>
          <w:u w:val="none"/>
        </w:rPr>
        <w:t xml:space="preserve">indicates </w:t>
      </w:r>
      <w:r w:rsidR="001E12BA" w:rsidRPr="006A74F8">
        <w:rPr>
          <w:rStyle w:val="Hyperlink"/>
          <w:color w:val="auto"/>
          <w:u w:val="none"/>
        </w:rPr>
        <w:t>that:</w:t>
      </w:r>
    </w:p>
    <w:p w:rsidR="001E12BA" w:rsidRPr="006A74F8" w:rsidRDefault="001E12BA" w:rsidP="00E3432D">
      <w:pPr>
        <w:pStyle w:val="ListParagraph"/>
        <w:numPr>
          <w:ilvl w:val="0"/>
          <w:numId w:val="46"/>
        </w:numPr>
        <w:rPr>
          <w:rStyle w:val="Hyperlink"/>
          <w:color w:val="auto"/>
          <w:u w:val="none"/>
        </w:rPr>
      </w:pPr>
      <w:r w:rsidRPr="006A74F8">
        <w:rPr>
          <w:rStyle w:val="Hyperlink"/>
          <w:b/>
          <w:color w:val="auto"/>
          <w:u w:val="none"/>
        </w:rPr>
        <w:t>Option 1</w:t>
      </w:r>
      <w:r w:rsidRPr="006A74F8">
        <w:rPr>
          <w:rStyle w:val="Hyperlink"/>
          <w:color w:val="auto"/>
          <w:u w:val="none"/>
        </w:rPr>
        <w:t xml:space="preserve"> provides an overall slight benefit across all stakeholder groups</w:t>
      </w:r>
      <w:r w:rsidR="0045293F" w:rsidRPr="006A74F8">
        <w:rPr>
          <w:rStyle w:val="Hyperlink"/>
          <w:color w:val="auto"/>
          <w:u w:val="none"/>
        </w:rPr>
        <w:t>.</w:t>
      </w:r>
    </w:p>
    <w:p w:rsidR="001E12BA" w:rsidRPr="006A74F8" w:rsidRDefault="001E12BA" w:rsidP="00E3432D">
      <w:pPr>
        <w:pStyle w:val="ListParagraph"/>
        <w:numPr>
          <w:ilvl w:val="0"/>
          <w:numId w:val="46"/>
        </w:numPr>
        <w:rPr>
          <w:rStyle w:val="Hyperlink"/>
          <w:color w:val="auto"/>
          <w:u w:val="none"/>
        </w:rPr>
      </w:pPr>
      <w:r w:rsidRPr="006A74F8">
        <w:rPr>
          <w:rStyle w:val="Hyperlink"/>
          <w:b/>
          <w:color w:val="auto"/>
          <w:u w:val="none"/>
        </w:rPr>
        <w:t>Options 2</w:t>
      </w:r>
      <w:r w:rsidRPr="006A74F8">
        <w:rPr>
          <w:rStyle w:val="Hyperlink"/>
          <w:color w:val="auto"/>
          <w:u w:val="none"/>
        </w:rPr>
        <w:t xml:space="preserve"> and </w:t>
      </w:r>
      <w:r w:rsidRPr="006A74F8">
        <w:rPr>
          <w:rStyle w:val="Hyperlink"/>
          <w:b/>
          <w:color w:val="auto"/>
          <w:u w:val="none"/>
        </w:rPr>
        <w:t>3</w:t>
      </w:r>
      <w:r w:rsidRPr="006A74F8">
        <w:rPr>
          <w:rStyle w:val="Hyperlink"/>
          <w:color w:val="auto"/>
          <w:u w:val="none"/>
        </w:rPr>
        <w:t xml:space="preserve"> </w:t>
      </w:r>
      <w:r w:rsidR="00417CD6" w:rsidRPr="006A74F8">
        <w:t xml:space="preserve">provide slight benefits to all stakeholder groups with </w:t>
      </w:r>
      <w:r w:rsidR="002F52C2" w:rsidRPr="006A74F8">
        <w:t xml:space="preserve">manufacturers, importers and distributors of measuring instruments and </w:t>
      </w:r>
      <w:r w:rsidR="00417CD6" w:rsidRPr="006A74F8">
        <w:t xml:space="preserve">government regulators gaining moderate benefits from </w:t>
      </w:r>
      <w:r w:rsidR="00417CD6" w:rsidRPr="006A74F8">
        <w:rPr>
          <w:b/>
        </w:rPr>
        <w:t>option 2</w:t>
      </w:r>
      <w:r w:rsidRPr="006A74F8">
        <w:rPr>
          <w:rStyle w:val="Hyperlink"/>
          <w:color w:val="auto"/>
          <w:u w:val="none"/>
        </w:rPr>
        <w:t>.</w:t>
      </w:r>
    </w:p>
    <w:p w:rsidR="007E302A" w:rsidRPr="006A74F8" w:rsidRDefault="007E302A" w:rsidP="00E3432D">
      <w:pPr>
        <w:pStyle w:val="ListParagraph"/>
        <w:numPr>
          <w:ilvl w:val="0"/>
          <w:numId w:val="46"/>
        </w:numPr>
        <w:rPr>
          <w:rStyle w:val="Hyperlink"/>
          <w:color w:val="auto"/>
          <w:u w:val="none"/>
        </w:rPr>
      </w:pPr>
      <w:r w:rsidRPr="006A74F8">
        <w:rPr>
          <w:rStyle w:val="Hyperlink"/>
          <w:b/>
          <w:color w:val="auto"/>
          <w:u w:val="none"/>
        </w:rPr>
        <w:t xml:space="preserve">Option 2 </w:t>
      </w:r>
      <w:r w:rsidRPr="006A74F8">
        <w:rPr>
          <w:rStyle w:val="Hyperlink"/>
          <w:color w:val="auto"/>
          <w:u w:val="none"/>
        </w:rPr>
        <w:t xml:space="preserve">provides the greatest overall benefit </w:t>
      </w:r>
      <w:r w:rsidR="008E4A0B" w:rsidRPr="006A74F8">
        <w:rPr>
          <w:rStyle w:val="Hyperlink"/>
          <w:color w:val="auto"/>
          <w:u w:val="none"/>
        </w:rPr>
        <w:t>across all</w:t>
      </w:r>
      <w:r w:rsidRPr="006A74F8">
        <w:rPr>
          <w:rStyle w:val="Hyperlink"/>
          <w:color w:val="auto"/>
          <w:u w:val="none"/>
        </w:rPr>
        <w:t xml:space="preserve"> stakeholder</w:t>
      </w:r>
      <w:r w:rsidR="008E4A0B" w:rsidRPr="006A74F8">
        <w:rPr>
          <w:rStyle w:val="Hyperlink"/>
          <w:color w:val="auto"/>
          <w:u w:val="none"/>
        </w:rPr>
        <w:t xml:space="preserve"> groups</w:t>
      </w:r>
      <w:r w:rsidRPr="006A74F8">
        <w:rPr>
          <w:rStyle w:val="Hyperlink"/>
          <w:color w:val="auto"/>
          <w:u w:val="none"/>
        </w:rPr>
        <w:t>.</w:t>
      </w:r>
    </w:p>
    <w:p w:rsidR="00E1564C" w:rsidRPr="006A74F8" w:rsidRDefault="00E1564C" w:rsidP="00C549E4">
      <w:pPr>
        <w:pStyle w:val="Heading3"/>
        <w:rPr>
          <w:lang w:eastAsia="en-AU"/>
        </w:rPr>
      </w:pPr>
      <w:r w:rsidRPr="006A74F8">
        <w:rPr>
          <w:lang w:eastAsia="en-AU"/>
        </w:rPr>
        <w:lastRenderedPageBreak/>
        <w:t>Net benefit assessment</w:t>
      </w:r>
    </w:p>
    <w:p w:rsidR="00E1564C" w:rsidRPr="006A74F8" w:rsidRDefault="00E1564C" w:rsidP="00C549E4">
      <w:pPr>
        <w:keepNext/>
        <w:rPr>
          <w:lang w:eastAsia="en-AU"/>
        </w:rPr>
      </w:pPr>
      <w:r w:rsidRPr="006A74F8">
        <w:rPr>
          <w:lang w:eastAsia="en-AU"/>
        </w:rPr>
        <w:t>Overall, analysis shows that:</w:t>
      </w:r>
    </w:p>
    <w:p w:rsidR="00E1564C" w:rsidRPr="006A74F8" w:rsidRDefault="00E1564C" w:rsidP="00E3432D">
      <w:pPr>
        <w:pStyle w:val="ListParagraph"/>
        <w:numPr>
          <w:ilvl w:val="0"/>
          <w:numId w:val="114"/>
        </w:numPr>
        <w:rPr>
          <w:lang w:eastAsia="en-AU"/>
        </w:rPr>
      </w:pPr>
      <w:r w:rsidRPr="006A74F8">
        <w:rPr>
          <w:b/>
          <w:lang w:eastAsia="en-AU"/>
        </w:rPr>
        <w:t>Option 2</w:t>
      </w:r>
      <w:r w:rsidRPr="006A74F8">
        <w:rPr>
          <w:lang w:eastAsia="en-AU"/>
        </w:rPr>
        <w:t xml:space="preserve"> has the greatest alignment with key policy principles and provides the greatest net benefit to affected stakeholders. It provides a strong overall combination of changes to reform the measurement framework and maintain it into the future</w:t>
      </w:r>
      <w:r w:rsidR="00242A92" w:rsidRPr="006A74F8">
        <w:rPr>
          <w:lang w:eastAsia="en-AU"/>
        </w:rPr>
        <w:t>. This option also has</w:t>
      </w:r>
      <w:r w:rsidRPr="006A74F8">
        <w:rPr>
          <w:lang w:eastAsia="en-AU"/>
        </w:rPr>
        <w:t xml:space="preserve"> the equal highest quantifiable reduction in regulatory burden ($</w:t>
      </w:r>
      <w:r w:rsidR="00C803CC" w:rsidRPr="006A74F8">
        <w:rPr>
          <w:lang w:eastAsia="en-AU"/>
        </w:rPr>
        <w:t>8.5</w:t>
      </w:r>
      <w:r w:rsidRPr="006A74F8">
        <w:rPr>
          <w:lang w:eastAsia="en-AU"/>
        </w:rPr>
        <w:t xml:space="preserve">m). </w:t>
      </w:r>
    </w:p>
    <w:p w:rsidR="00E1564C" w:rsidRPr="006A74F8" w:rsidRDefault="00E1564C" w:rsidP="00E3432D">
      <w:pPr>
        <w:pStyle w:val="ListParagraph"/>
        <w:numPr>
          <w:ilvl w:val="0"/>
          <w:numId w:val="114"/>
        </w:numPr>
        <w:rPr>
          <w:lang w:eastAsia="en-AU"/>
        </w:rPr>
      </w:pPr>
      <w:r w:rsidRPr="006A74F8">
        <w:rPr>
          <w:lang w:eastAsia="en-AU"/>
        </w:rPr>
        <w:t xml:space="preserve">While </w:t>
      </w:r>
      <w:r w:rsidRPr="006A74F8">
        <w:rPr>
          <w:b/>
          <w:lang w:eastAsia="en-AU"/>
        </w:rPr>
        <w:t>option 3</w:t>
      </w:r>
      <w:r w:rsidRPr="006A74F8">
        <w:rPr>
          <w:lang w:eastAsia="en-AU"/>
        </w:rPr>
        <w:t xml:space="preserve"> provides many of the same benefits as option 2</w:t>
      </w:r>
      <w:r w:rsidR="00C75FCA" w:rsidRPr="006A74F8">
        <w:rPr>
          <w:lang w:eastAsia="en-AU"/>
        </w:rPr>
        <w:t xml:space="preserve">, it also has </w:t>
      </w:r>
      <w:r w:rsidRPr="006A74F8">
        <w:rPr>
          <w:lang w:eastAsia="en-AU"/>
        </w:rPr>
        <w:t xml:space="preserve">additional unquantifiable regulatory burdens when compared to option 2.  </w:t>
      </w:r>
    </w:p>
    <w:p w:rsidR="00A20C66" w:rsidRPr="006A74F8" w:rsidRDefault="00E1564C">
      <w:pPr>
        <w:pStyle w:val="ListParagraph"/>
        <w:numPr>
          <w:ilvl w:val="0"/>
          <w:numId w:val="114"/>
        </w:numPr>
        <w:rPr>
          <w:lang w:eastAsia="en-AU"/>
        </w:rPr>
      </w:pPr>
      <w:r w:rsidRPr="006A74F8">
        <w:rPr>
          <w:b/>
          <w:lang w:eastAsia="en-AU"/>
        </w:rPr>
        <w:t>Option 1</w:t>
      </w:r>
      <w:r w:rsidRPr="006A74F8">
        <w:rPr>
          <w:lang w:eastAsia="en-AU"/>
        </w:rPr>
        <w:t xml:space="preserve"> maintains an overall positive impact on stakeholders but has a lesser degree of alignment with the key policy principles, and results in a lower quantifiable reduction in regulatory burden ($8.</w:t>
      </w:r>
      <w:r w:rsidR="00C803CC" w:rsidRPr="006A74F8">
        <w:rPr>
          <w:lang w:eastAsia="en-AU"/>
        </w:rPr>
        <w:t>4</w:t>
      </w:r>
      <w:r w:rsidRPr="006A74F8">
        <w:rPr>
          <w:lang w:eastAsia="en-AU"/>
        </w:rPr>
        <w:t xml:space="preserve">m). Option 1 also has </w:t>
      </w:r>
      <w:r w:rsidR="00C75FCA" w:rsidRPr="006A74F8">
        <w:rPr>
          <w:lang w:eastAsia="en-AU"/>
        </w:rPr>
        <w:t xml:space="preserve">a </w:t>
      </w:r>
      <w:r w:rsidRPr="006A74F8">
        <w:rPr>
          <w:lang w:eastAsia="en-AU"/>
        </w:rPr>
        <w:t>greatly reduced ability to support innovation over time.</w:t>
      </w:r>
    </w:p>
    <w:p w:rsidR="004C6ACC" w:rsidRPr="006A74F8" w:rsidRDefault="00A20C66" w:rsidP="00E3432D">
      <w:pPr>
        <w:rPr>
          <w:lang w:eastAsia="en-AU"/>
        </w:rPr>
      </w:pPr>
      <w:r w:rsidRPr="006A74F8">
        <w:rPr>
          <w:lang w:eastAsia="en-AU"/>
        </w:rPr>
        <w:br w:type="page"/>
      </w:r>
    </w:p>
    <w:p w:rsidR="00AE52DE" w:rsidRPr="006A74F8" w:rsidRDefault="004C6ACC" w:rsidP="00AE52DE">
      <w:pPr>
        <w:pStyle w:val="Heading1"/>
        <w:rPr>
          <w:lang w:eastAsia="en-AU"/>
        </w:rPr>
      </w:pPr>
      <w:bookmarkStart w:id="1718" w:name="_Toc81919534"/>
      <w:bookmarkStart w:id="1719" w:name="_Toc81919808"/>
      <w:bookmarkStart w:id="1720" w:name="_Toc81921163"/>
      <w:bookmarkStart w:id="1721" w:name="_Toc81923650"/>
      <w:bookmarkStart w:id="1722" w:name="_Toc81923765"/>
      <w:bookmarkStart w:id="1723" w:name="_Toc81997305"/>
      <w:bookmarkStart w:id="1724" w:name="_Toc81998078"/>
      <w:bookmarkStart w:id="1725" w:name="_Toc82011842"/>
      <w:bookmarkStart w:id="1726" w:name="_Toc82512688"/>
      <w:bookmarkStart w:id="1727" w:name="_Toc82516156"/>
      <w:bookmarkStart w:id="1728" w:name="_Toc82519107"/>
      <w:bookmarkStart w:id="1729" w:name="_Toc82706645"/>
      <w:bookmarkStart w:id="1730" w:name="_Toc82790534"/>
      <w:bookmarkStart w:id="1731" w:name="_Toc82791053"/>
      <w:bookmarkStart w:id="1732" w:name="_Toc82792364"/>
      <w:bookmarkStart w:id="1733" w:name="_Toc83290746"/>
      <w:bookmarkStart w:id="1734" w:name="_Toc83292755"/>
      <w:bookmarkStart w:id="1735" w:name="_Toc83293526"/>
      <w:r w:rsidRPr="006A74F8">
        <w:rPr>
          <w:lang w:eastAsia="en-AU"/>
        </w:rPr>
        <w:lastRenderedPageBreak/>
        <w:t>RIS Question 5:</w:t>
      </w:r>
      <w:r w:rsidR="0072104D" w:rsidRPr="006A74F8">
        <w:rPr>
          <w:lang w:eastAsia="en-AU"/>
        </w:rPr>
        <w:t xml:space="preserve"> Who will you consult and how will you consult them?</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rsidR="00DA2F83" w:rsidRPr="006A74F8" w:rsidRDefault="00AE52DE" w:rsidP="00DA7FD0">
      <w:pPr>
        <w:pStyle w:val="Heading2"/>
      </w:pPr>
      <w:r w:rsidRPr="006A74F8">
        <w:t>Consultation process</w:t>
      </w:r>
    </w:p>
    <w:p w:rsidR="00F71A40" w:rsidRPr="006A74F8" w:rsidRDefault="00F71A40" w:rsidP="00432C17">
      <w:pPr>
        <w:spacing w:after="120"/>
      </w:pPr>
      <w:r w:rsidRPr="006A74F8">
        <w:t xml:space="preserve">The department </w:t>
      </w:r>
      <w:r w:rsidR="001D3ECE" w:rsidRPr="006A74F8">
        <w:t>has undergone an extensive consultation process and consulted the public via:</w:t>
      </w:r>
    </w:p>
    <w:p w:rsidR="001D3ECE" w:rsidRPr="006A74F8" w:rsidRDefault="005B332E" w:rsidP="00CD1E13">
      <w:pPr>
        <w:pStyle w:val="ListParagraph"/>
        <w:numPr>
          <w:ilvl w:val="0"/>
          <w:numId w:val="153"/>
        </w:numPr>
        <w:rPr>
          <w:rStyle w:val="normaltextrun1"/>
        </w:rPr>
      </w:pPr>
      <w:r w:rsidRPr="006A74F8">
        <w:rPr>
          <w:rStyle w:val="normaltextrun1"/>
        </w:rPr>
        <w:t>A</w:t>
      </w:r>
      <w:r w:rsidR="00F830B5" w:rsidRPr="006A74F8">
        <w:rPr>
          <w:rStyle w:val="normaltextrun1"/>
        </w:rPr>
        <w:t xml:space="preserve"> C</w:t>
      </w:r>
      <w:r w:rsidRPr="006A74F8">
        <w:rPr>
          <w:rStyle w:val="normaltextrun1"/>
        </w:rPr>
        <w:t xml:space="preserve">onsultation RIS </w:t>
      </w:r>
      <w:r w:rsidR="00A864FB" w:rsidRPr="006A74F8">
        <w:rPr>
          <w:rStyle w:val="normaltextrun1"/>
        </w:rPr>
        <w:t xml:space="preserve">that </w:t>
      </w:r>
      <w:r w:rsidR="00F830B5" w:rsidRPr="006A74F8">
        <w:rPr>
          <w:rStyle w:val="normaltextrun1"/>
        </w:rPr>
        <w:t>presented</w:t>
      </w:r>
      <w:r w:rsidRPr="006A74F8">
        <w:rPr>
          <w:rStyle w:val="normaltextrun1"/>
        </w:rPr>
        <w:t xml:space="preserve"> </w:t>
      </w:r>
      <w:r w:rsidR="008979D7" w:rsidRPr="006A74F8">
        <w:rPr>
          <w:rStyle w:val="normaltextrun1"/>
        </w:rPr>
        <w:t>3</w:t>
      </w:r>
      <w:r w:rsidRPr="006A74F8">
        <w:rPr>
          <w:rStyle w:val="normaltextrun1"/>
        </w:rPr>
        <w:t xml:space="preserve"> draft reform options providing a discussion on the impacts and likely net benefit of each option</w:t>
      </w:r>
      <w:r w:rsidR="00D83F1D" w:rsidRPr="006A74F8">
        <w:rPr>
          <w:rStyle w:val="normaltextrun1"/>
        </w:rPr>
        <w:t>:</w:t>
      </w:r>
    </w:p>
    <w:p w:rsidR="007E3752" w:rsidRPr="006A74F8" w:rsidRDefault="004920E5" w:rsidP="00CD1E13">
      <w:pPr>
        <w:pStyle w:val="ListParagraph"/>
        <w:numPr>
          <w:ilvl w:val="0"/>
          <w:numId w:val="176"/>
        </w:numPr>
        <w:rPr>
          <w:rStyle w:val="normaltextrun1"/>
        </w:rPr>
      </w:pPr>
      <w:r w:rsidRPr="006A74F8">
        <w:t>Thirty eight</w:t>
      </w:r>
      <w:r w:rsidR="007E3752" w:rsidRPr="006A74F8">
        <w:t xml:space="preserve"> submissions were received. </w:t>
      </w:r>
      <w:r w:rsidR="00A864FB" w:rsidRPr="006A74F8">
        <w:t>Non-</w:t>
      </w:r>
      <w:r w:rsidR="007E3752" w:rsidRPr="006A74F8">
        <w:t xml:space="preserve">confidential </w:t>
      </w:r>
      <w:r w:rsidR="00A864FB" w:rsidRPr="006A74F8">
        <w:t xml:space="preserve">and anonymous submissions </w:t>
      </w:r>
      <w:r w:rsidR="00761DF5" w:rsidRPr="006A74F8">
        <w:t>have been</w:t>
      </w:r>
      <w:r w:rsidR="007E3752" w:rsidRPr="006A74F8">
        <w:t xml:space="preserve"> published</w:t>
      </w:r>
      <w:r w:rsidR="00A864FB" w:rsidRPr="006A74F8">
        <w:t xml:space="preserve"> on</w:t>
      </w:r>
      <w:r w:rsidR="00CF1350" w:rsidRPr="006A74F8">
        <w:t xml:space="preserve"> the department’s Consultation h</w:t>
      </w:r>
      <w:r w:rsidR="00A864FB" w:rsidRPr="006A74F8">
        <w:t>ub</w:t>
      </w:r>
      <w:r w:rsidR="00CF1350" w:rsidRPr="006A74F8">
        <w:t>.</w:t>
      </w:r>
      <w:r w:rsidR="00A864FB" w:rsidRPr="006A74F8">
        <w:rPr>
          <w:rStyle w:val="FootnoteReference"/>
        </w:rPr>
        <w:footnoteReference w:id="78"/>
      </w:r>
    </w:p>
    <w:p w:rsidR="00FE72C6" w:rsidRPr="006A74F8" w:rsidRDefault="00D83F1D" w:rsidP="00CD1E13">
      <w:pPr>
        <w:pStyle w:val="ListParagraph"/>
        <w:numPr>
          <w:ilvl w:val="0"/>
          <w:numId w:val="154"/>
        </w:numPr>
        <w:rPr>
          <w:rStyle w:val="normaltextrun1"/>
        </w:rPr>
      </w:pPr>
      <w:r w:rsidRPr="006A74F8">
        <w:rPr>
          <w:rStyle w:val="normaltextrun1"/>
        </w:rPr>
        <w:t>Five</w:t>
      </w:r>
      <w:r w:rsidR="00E33063" w:rsidRPr="006A74F8">
        <w:rPr>
          <w:rStyle w:val="normaltextrun1"/>
        </w:rPr>
        <w:t xml:space="preserve"> </w:t>
      </w:r>
      <w:r w:rsidR="00FE72C6" w:rsidRPr="006A74F8">
        <w:rPr>
          <w:rStyle w:val="normaltextrun1"/>
        </w:rPr>
        <w:t>virtual town hall discussions</w:t>
      </w:r>
      <w:r w:rsidR="004B515C" w:rsidRPr="006A74F8">
        <w:rPr>
          <w:rStyle w:val="normaltextrun1"/>
        </w:rPr>
        <w:t xml:space="preserve"> and </w:t>
      </w:r>
      <w:r w:rsidR="00C754B5" w:rsidRPr="006A74F8">
        <w:rPr>
          <w:rStyle w:val="normaltextrun1"/>
        </w:rPr>
        <w:t>22</w:t>
      </w:r>
      <w:r w:rsidR="00E33063" w:rsidRPr="006A74F8">
        <w:rPr>
          <w:rStyle w:val="normaltextrun1"/>
        </w:rPr>
        <w:t xml:space="preserve"> </w:t>
      </w:r>
      <w:r w:rsidR="004B515C" w:rsidRPr="006A74F8">
        <w:rPr>
          <w:rStyle w:val="normaltextrun1"/>
        </w:rPr>
        <w:t>targeted one</w:t>
      </w:r>
      <w:r w:rsidR="00E33063" w:rsidRPr="006A74F8">
        <w:rPr>
          <w:rStyle w:val="normaltextrun1"/>
        </w:rPr>
        <w:t>-</w:t>
      </w:r>
      <w:r w:rsidR="004B515C" w:rsidRPr="006A74F8">
        <w:rPr>
          <w:rStyle w:val="normaltextrun1"/>
        </w:rPr>
        <w:t>on</w:t>
      </w:r>
      <w:r w:rsidR="00E33063" w:rsidRPr="006A74F8">
        <w:rPr>
          <w:rStyle w:val="normaltextrun1"/>
        </w:rPr>
        <w:t>-</w:t>
      </w:r>
      <w:r w:rsidR="004B515C" w:rsidRPr="006A74F8">
        <w:rPr>
          <w:rStyle w:val="normaltextrun1"/>
        </w:rPr>
        <w:t>one discussions</w:t>
      </w:r>
      <w:r w:rsidRPr="006A74F8">
        <w:rPr>
          <w:rStyle w:val="normaltextrun1"/>
        </w:rPr>
        <w:t xml:space="preserve"> supplemented the Consultation RIS</w:t>
      </w:r>
      <w:r w:rsidR="00A864FB" w:rsidRPr="006A74F8">
        <w:rPr>
          <w:rStyle w:val="normaltextrun1"/>
        </w:rPr>
        <w:t>.</w:t>
      </w:r>
    </w:p>
    <w:p w:rsidR="0053725A" w:rsidRPr="006A74F8" w:rsidRDefault="0053725A" w:rsidP="00CD1E13">
      <w:pPr>
        <w:pStyle w:val="ListParagraph"/>
        <w:numPr>
          <w:ilvl w:val="0"/>
          <w:numId w:val="224"/>
        </w:numPr>
      </w:pPr>
      <w:r w:rsidRPr="006A74F8">
        <w:t xml:space="preserve">Six discussion papers published in 2018 and 2019 seeking feedback on Australia’s current measurement framework (see </w:t>
      </w:r>
      <w:hyperlink w:anchor="_Appendix_2:_Further" w:history="1">
        <w:r w:rsidRPr="001662C9">
          <w:rPr>
            <w:rStyle w:val="Hyperlink"/>
          </w:rPr>
          <w:t xml:space="preserve">Appendix </w:t>
        </w:r>
        <w:r w:rsidR="00793526" w:rsidRPr="001662C9">
          <w:rPr>
            <w:rStyle w:val="Hyperlink"/>
          </w:rPr>
          <w:t>2</w:t>
        </w:r>
      </w:hyperlink>
      <w:r w:rsidR="00793526" w:rsidRPr="006A74F8">
        <w:t xml:space="preserve"> </w:t>
      </w:r>
      <w:r w:rsidRPr="006A74F8">
        <w:t>for more information).</w:t>
      </w:r>
      <w:r w:rsidRPr="006A74F8">
        <w:rPr>
          <w:rStyle w:val="FootnoteReference"/>
        </w:rPr>
        <w:footnoteReference w:id="79"/>
      </w:r>
    </w:p>
    <w:p w:rsidR="00C55CFA" w:rsidRPr="006A74F8" w:rsidRDefault="00C55CFA" w:rsidP="00C55CFA">
      <w:pPr>
        <w:rPr>
          <w:rStyle w:val="normaltextrun1"/>
        </w:rPr>
      </w:pPr>
      <w:r w:rsidRPr="006A74F8">
        <w:rPr>
          <w:rStyle w:val="normaltextrun1"/>
        </w:rPr>
        <w:t xml:space="preserve">This consultation was important </w:t>
      </w:r>
      <w:r w:rsidR="00736E71" w:rsidRPr="006A74F8">
        <w:rPr>
          <w:rStyle w:val="normaltextrun1"/>
        </w:rPr>
        <w:t xml:space="preserve">in </w:t>
      </w:r>
      <w:r w:rsidRPr="006A74F8">
        <w:rPr>
          <w:rStyle w:val="normaltextrun1"/>
        </w:rPr>
        <w:t>shaping the reform options and understanding their impacts.</w:t>
      </w:r>
    </w:p>
    <w:p w:rsidR="00C05372" w:rsidRPr="006A74F8" w:rsidRDefault="00325FC6" w:rsidP="00BC75FC">
      <w:pPr>
        <w:pStyle w:val="Heading3"/>
      </w:pPr>
      <w:r w:rsidRPr="006A74F8">
        <w:t>Raising awareness: e</w:t>
      </w:r>
      <w:r w:rsidR="00DA2F83" w:rsidRPr="006A74F8">
        <w:t>arly o</w:t>
      </w:r>
      <w:r w:rsidR="00C05372" w:rsidRPr="006A74F8">
        <w:t>utreach</w:t>
      </w:r>
    </w:p>
    <w:p w:rsidR="00325FC6" w:rsidRPr="006A74F8" w:rsidRDefault="0038712D" w:rsidP="00293049">
      <w:pPr>
        <w:spacing w:after="120"/>
      </w:pPr>
      <w:r w:rsidRPr="006A74F8">
        <w:t>The department followed the consultation plan presented in the Consultation RIS.</w:t>
      </w:r>
      <w:r w:rsidR="003E5584" w:rsidRPr="006A74F8">
        <w:rPr>
          <w:rStyle w:val="FootnoteReference"/>
        </w:rPr>
        <w:footnoteReference w:id="80"/>
      </w:r>
      <w:r w:rsidRPr="006A74F8">
        <w:t xml:space="preserve"> The first phase</w:t>
      </w:r>
      <w:r w:rsidR="00C05372" w:rsidRPr="006A74F8">
        <w:t xml:space="preserve"> </w:t>
      </w:r>
      <w:r w:rsidR="00325FC6" w:rsidRPr="006A74F8">
        <w:rPr>
          <w:rFonts w:ascii="Calibri" w:hAnsi="Calibri" w:cs="Calibri"/>
        </w:rPr>
        <w:t>raise</w:t>
      </w:r>
      <w:r w:rsidR="00A864FB" w:rsidRPr="006A74F8">
        <w:rPr>
          <w:rFonts w:ascii="Calibri" w:hAnsi="Calibri" w:cs="Calibri"/>
        </w:rPr>
        <w:t>d</w:t>
      </w:r>
      <w:r w:rsidR="00325FC6" w:rsidRPr="006A74F8">
        <w:rPr>
          <w:rFonts w:ascii="Calibri" w:hAnsi="Calibri" w:cs="Calibri"/>
        </w:rPr>
        <w:t xml:space="preserve"> awareness about the </w:t>
      </w:r>
      <w:r w:rsidRPr="006A74F8">
        <w:rPr>
          <w:rFonts w:ascii="Calibri" w:hAnsi="Calibri" w:cs="Calibri"/>
        </w:rPr>
        <w:t>r</w:t>
      </w:r>
      <w:r w:rsidR="00CA3FEC" w:rsidRPr="006A74F8">
        <w:rPr>
          <w:rFonts w:ascii="Calibri" w:hAnsi="Calibri" w:cs="Calibri"/>
        </w:rPr>
        <w:t>eview</w:t>
      </w:r>
      <w:r w:rsidR="006A520C" w:rsidRPr="006A74F8">
        <w:rPr>
          <w:rFonts w:ascii="Calibri" w:hAnsi="Calibri" w:cs="Calibri"/>
        </w:rPr>
        <w:t xml:space="preserve"> and </w:t>
      </w:r>
      <w:r w:rsidRPr="006A74F8">
        <w:rPr>
          <w:rFonts w:ascii="Calibri" w:hAnsi="Calibri" w:cs="Calibri"/>
        </w:rPr>
        <w:t xml:space="preserve">the </w:t>
      </w:r>
      <w:r w:rsidR="00730639" w:rsidRPr="006A74F8">
        <w:rPr>
          <w:rFonts w:ascii="Calibri" w:hAnsi="Calibri" w:cs="Calibri"/>
        </w:rPr>
        <w:t xml:space="preserve">upcoming public </w:t>
      </w:r>
      <w:r w:rsidR="00D83F1D" w:rsidRPr="006A74F8">
        <w:rPr>
          <w:rFonts w:ascii="Calibri" w:hAnsi="Calibri" w:cs="Calibri"/>
        </w:rPr>
        <w:t>c</w:t>
      </w:r>
      <w:r w:rsidR="006A520C" w:rsidRPr="006A74F8">
        <w:rPr>
          <w:rFonts w:ascii="Calibri" w:hAnsi="Calibri" w:cs="Calibri"/>
        </w:rPr>
        <w:t>onsultation</w:t>
      </w:r>
      <w:r w:rsidR="00A864FB" w:rsidRPr="006A74F8">
        <w:rPr>
          <w:rFonts w:ascii="Calibri" w:hAnsi="Calibri" w:cs="Calibri"/>
        </w:rPr>
        <w:t xml:space="preserve"> via the following activities:</w:t>
      </w:r>
    </w:p>
    <w:p w:rsidR="00FF4A78" w:rsidRPr="006A74F8" w:rsidRDefault="00730639" w:rsidP="00CD1E13">
      <w:pPr>
        <w:pStyle w:val="ListParagraph"/>
        <w:numPr>
          <w:ilvl w:val="0"/>
          <w:numId w:val="150"/>
        </w:numPr>
        <w:rPr>
          <w:rFonts w:ascii="Calibri" w:eastAsia="Times New Roman" w:hAnsi="Calibri" w:cs="Calibri"/>
        </w:rPr>
      </w:pPr>
      <w:r w:rsidRPr="006A74F8">
        <w:rPr>
          <w:rFonts w:ascii="Calibri" w:hAnsi="Calibri" w:cs="Calibri"/>
        </w:rPr>
        <w:t>E</w:t>
      </w:r>
      <w:r w:rsidR="006A520C" w:rsidRPr="006A74F8">
        <w:rPr>
          <w:rFonts w:ascii="Calibri" w:hAnsi="Calibri" w:cs="Calibri"/>
        </w:rPr>
        <w:t>mail distribution to over</w:t>
      </w:r>
      <w:r w:rsidR="00C536F3" w:rsidRPr="006A74F8">
        <w:rPr>
          <w:rFonts w:ascii="Calibri" w:hAnsi="Calibri" w:cs="Calibri"/>
        </w:rPr>
        <w:t xml:space="preserve"> 3,0</w:t>
      </w:r>
      <w:r w:rsidR="006A520C" w:rsidRPr="006A74F8">
        <w:rPr>
          <w:rFonts w:ascii="Calibri" w:hAnsi="Calibri" w:cs="Calibri"/>
        </w:rPr>
        <w:t>00 recipients</w:t>
      </w:r>
      <w:r w:rsidR="00796541" w:rsidRPr="006A74F8">
        <w:rPr>
          <w:rFonts w:ascii="Calibri" w:hAnsi="Calibri" w:cs="Calibri"/>
        </w:rPr>
        <w:t xml:space="preserve"> on the MLR mailing list</w:t>
      </w:r>
      <w:r w:rsidR="006A520C" w:rsidRPr="006A74F8">
        <w:rPr>
          <w:rStyle w:val="FootnoteReference"/>
          <w:rFonts w:cs="Calibri"/>
        </w:rPr>
        <w:footnoteReference w:id="81"/>
      </w:r>
    </w:p>
    <w:p w:rsidR="003E02C1" w:rsidRPr="006A74F8" w:rsidRDefault="00730639" w:rsidP="00CD1E13">
      <w:pPr>
        <w:pStyle w:val="ListParagraph"/>
        <w:numPr>
          <w:ilvl w:val="0"/>
          <w:numId w:val="150"/>
        </w:numPr>
        <w:rPr>
          <w:rFonts w:ascii="Calibri" w:eastAsia="Times New Roman" w:hAnsi="Calibri" w:cs="Calibri"/>
        </w:rPr>
      </w:pPr>
      <w:r w:rsidRPr="006A74F8">
        <w:t>E</w:t>
      </w:r>
      <w:r w:rsidR="00C536F3" w:rsidRPr="006A74F8">
        <w:t>ngagement with the NMI Consumer Industry Liaison Committee (CILC)</w:t>
      </w:r>
      <w:r w:rsidR="00175535" w:rsidRPr="006A74F8">
        <w:rPr>
          <w:rStyle w:val="FootnoteReference"/>
        </w:rPr>
        <w:footnoteReference w:id="82"/>
      </w:r>
      <w:r w:rsidR="00C536F3" w:rsidRPr="006A74F8">
        <w:t xml:space="preserve"> </w:t>
      </w:r>
    </w:p>
    <w:p w:rsidR="003E02C1" w:rsidRPr="006A74F8" w:rsidRDefault="00730639" w:rsidP="00CD1E13">
      <w:pPr>
        <w:pStyle w:val="ListParagraph"/>
        <w:numPr>
          <w:ilvl w:val="0"/>
          <w:numId w:val="150"/>
        </w:numPr>
        <w:rPr>
          <w:rFonts w:ascii="Calibri" w:eastAsia="Times New Roman" w:hAnsi="Calibri" w:cs="Calibri"/>
        </w:rPr>
      </w:pPr>
      <w:r w:rsidRPr="006A74F8">
        <w:t>T</w:t>
      </w:r>
      <w:r w:rsidR="003E02C1" w:rsidRPr="006A74F8">
        <w:t>argeted engagement with:</w:t>
      </w:r>
    </w:p>
    <w:p w:rsidR="003E02C1" w:rsidRPr="006A74F8" w:rsidRDefault="003E02C1" w:rsidP="00CD1E13">
      <w:pPr>
        <w:pStyle w:val="ListParagraph"/>
        <w:numPr>
          <w:ilvl w:val="1"/>
          <w:numId w:val="150"/>
        </w:numPr>
        <w:rPr>
          <w:rFonts w:ascii="Calibri" w:eastAsia="Times New Roman" w:hAnsi="Calibri" w:cs="Calibri"/>
        </w:rPr>
      </w:pPr>
      <w:r w:rsidRPr="006A74F8">
        <w:t>rural, remote, regional and Indigenous organisations</w:t>
      </w:r>
    </w:p>
    <w:p w:rsidR="00E61EA2" w:rsidRPr="006A74F8" w:rsidRDefault="003E02C1" w:rsidP="00CD1E13">
      <w:pPr>
        <w:pStyle w:val="ListParagraph"/>
        <w:numPr>
          <w:ilvl w:val="1"/>
          <w:numId w:val="150"/>
        </w:numPr>
        <w:rPr>
          <w:rFonts w:ascii="Calibri" w:eastAsia="Times New Roman" w:hAnsi="Calibri" w:cs="Calibri"/>
        </w:rPr>
      </w:pPr>
      <w:r w:rsidRPr="006A74F8">
        <w:t>numerous peak bodies</w:t>
      </w:r>
    </w:p>
    <w:p w:rsidR="00C05372" w:rsidRPr="006A74F8" w:rsidRDefault="00C05372" w:rsidP="00BC75FC">
      <w:pPr>
        <w:pStyle w:val="Heading3"/>
      </w:pPr>
      <w:r w:rsidRPr="006A74F8">
        <w:t xml:space="preserve">Consultation </w:t>
      </w:r>
      <w:r w:rsidR="00432C17" w:rsidRPr="006A74F8">
        <w:t>p</w:t>
      </w:r>
      <w:r w:rsidR="006A520C" w:rsidRPr="006A74F8">
        <w:t>eriod</w:t>
      </w:r>
    </w:p>
    <w:p w:rsidR="00C05372" w:rsidRPr="006A74F8" w:rsidRDefault="00C05372" w:rsidP="00C05372">
      <w:r w:rsidRPr="006A74F8">
        <w:t xml:space="preserve">The Consultation RIS was published online </w:t>
      </w:r>
      <w:r w:rsidR="00556026" w:rsidRPr="006A74F8">
        <w:t>via</w:t>
      </w:r>
      <w:r w:rsidRPr="006A74F8">
        <w:t xml:space="preserve"> the </w:t>
      </w:r>
      <w:r w:rsidR="00556026" w:rsidRPr="006A74F8">
        <w:t>Australian Government Department of Industry, Science, Energy and Resources</w:t>
      </w:r>
      <w:r w:rsidRPr="006A74F8">
        <w:t xml:space="preserve"> Consultation </w:t>
      </w:r>
      <w:r w:rsidR="00556026" w:rsidRPr="006A74F8">
        <w:t>hub.</w:t>
      </w:r>
      <w:r w:rsidR="000B7B71" w:rsidRPr="006A74F8">
        <w:rPr>
          <w:rStyle w:val="FootnoteReference"/>
        </w:rPr>
        <w:footnoteReference w:id="83"/>
      </w:r>
      <w:r w:rsidR="00556026" w:rsidRPr="006A74F8">
        <w:t xml:space="preserve"> </w:t>
      </w:r>
      <w:r w:rsidRPr="006A74F8">
        <w:t xml:space="preserve">The Consultation RIS was open for comment </w:t>
      </w:r>
      <w:r w:rsidR="00CF1350" w:rsidRPr="006A74F8">
        <w:t>from 1</w:t>
      </w:r>
      <w:r w:rsidR="00132453" w:rsidRPr="006A74F8">
        <w:t>5</w:t>
      </w:r>
      <w:r w:rsidR="00CF1350" w:rsidRPr="006A74F8">
        <w:t xml:space="preserve"> April until </w:t>
      </w:r>
      <w:r w:rsidR="00132453" w:rsidRPr="006A74F8">
        <w:t xml:space="preserve">14 </w:t>
      </w:r>
      <w:r w:rsidR="00CF1350" w:rsidRPr="006A74F8">
        <w:t xml:space="preserve">May 2021. </w:t>
      </w:r>
      <w:r w:rsidR="00AB6818" w:rsidRPr="006A74F8">
        <w:t xml:space="preserve">Extensions were provided to a number of stakeholders to </w:t>
      </w:r>
      <w:r w:rsidR="007C52E6" w:rsidRPr="006A74F8">
        <w:t>a</w:t>
      </w:r>
      <w:r w:rsidR="00DF14F0" w:rsidRPr="006A74F8">
        <w:t>llow</w:t>
      </w:r>
      <w:r w:rsidR="007C52E6" w:rsidRPr="006A74F8">
        <w:t xml:space="preserve"> </w:t>
      </w:r>
      <w:r w:rsidR="00AB6818" w:rsidRPr="006A74F8">
        <w:t>additional time to make a written submission.</w:t>
      </w:r>
    </w:p>
    <w:p w:rsidR="00933F6F" w:rsidRPr="006A74F8" w:rsidRDefault="00933F6F" w:rsidP="00D53EF8">
      <w:pPr>
        <w:spacing w:after="120"/>
      </w:pPr>
      <w:r w:rsidRPr="006A74F8">
        <w:t xml:space="preserve">The </w:t>
      </w:r>
      <w:r w:rsidR="00CF1350" w:rsidRPr="006A74F8">
        <w:t>department</w:t>
      </w:r>
      <w:r w:rsidRPr="006A74F8">
        <w:t xml:space="preserve"> conducted digital promotional activities to inform stakeholders and the public about the consultation period, including:</w:t>
      </w:r>
    </w:p>
    <w:p w:rsidR="00933F6F" w:rsidRPr="006A74F8" w:rsidRDefault="00730639" w:rsidP="00CD1E13">
      <w:pPr>
        <w:pStyle w:val="ListParagraph"/>
        <w:numPr>
          <w:ilvl w:val="0"/>
          <w:numId w:val="151"/>
        </w:numPr>
      </w:pPr>
      <w:r w:rsidRPr="006A74F8">
        <w:t>A</w:t>
      </w:r>
      <w:r w:rsidR="00C05372" w:rsidRPr="006A74F8">
        <w:t xml:space="preserve"> media release to launch the public consultation </w:t>
      </w:r>
    </w:p>
    <w:p w:rsidR="00933F6F" w:rsidRPr="006A74F8" w:rsidRDefault="00730639" w:rsidP="00CD1E13">
      <w:pPr>
        <w:pStyle w:val="ListParagraph"/>
        <w:numPr>
          <w:ilvl w:val="0"/>
          <w:numId w:val="151"/>
        </w:numPr>
      </w:pPr>
      <w:r w:rsidRPr="006A74F8">
        <w:t>E</w:t>
      </w:r>
      <w:r w:rsidR="00933F6F" w:rsidRPr="006A74F8">
        <w:t xml:space="preserve">mail updates </w:t>
      </w:r>
      <w:r w:rsidR="00C05372" w:rsidRPr="006A74F8">
        <w:t xml:space="preserve">to </w:t>
      </w:r>
      <w:r w:rsidR="00796541" w:rsidRPr="006A74F8">
        <w:t>MLR mailing list</w:t>
      </w:r>
    </w:p>
    <w:p w:rsidR="00933F6F" w:rsidRPr="006A74F8" w:rsidRDefault="00730639" w:rsidP="00CD1E13">
      <w:pPr>
        <w:pStyle w:val="ListParagraph"/>
        <w:numPr>
          <w:ilvl w:val="0"/>
          <w:numId w:val="151"/>
        </w:numPr>
      </w:pPr>
      <w:r w:rsidRPr="006A74F8">
        <w:t>T</w:t>
      </w:r>
      <w:r w:rsidR="00C05372" w:rsidRPr="006A74F8">
        <w:t>argeted emails to CILC members</w:t>
      </w:r>
    </w:p>
    <w:p w:rsidR="00933F6F" w:rsidRPr="006A74F8" w:rsidRDefault="00730639" w:rsidP="00CD1E13">
      <w:pPr>
        <w:pStyle w:val="ListParagraph"/>
        <w:numPr>
          <w:ilvl w:val="0"/>
          <w:numId w:val="151"/>
        </w:numPr>
      </w:pPr>
      <w:r w:rsidRPr="006A74F8">
        <w:t>N</w:t>
      </w:r>
      <w:r w:rsidR="00C05372" w:rsidRPr="006A74F8">
        <w:t xml:space="preserve">ews articles </w:t>
      </w:r>
      <w:r w:rsidR="00933F6F" w:rsidRPr="006A74F8">
        <w:t>on NMI and departmental channels</w:t>
      </w:r>
    </w:p>
    <w:p w:rsidR="00C05372" w:rsidRPr="006A74F8" w:rsidRDefault="00730639" w:rsidP="00CD1E13">
      <w:pPr>
        <w:pStyle w:val="ListParagraph"/>
        <w:numPr>
          <w:ilvl w:val="0"/>
          <w:numId w:val="151"/>
        </w:numPr>
      </w:pPr>
      <w:r w:rsidRPr="006A74F8">
        <w:lastRenderedPageBreak/>
        <w:t>S</w:t>
      </w:r>
      <w:r w:rsidR="00C05372" w:rsidRPr="006A74F8">
        <w:t>ocial media posts on NMI and departmental channels</w:t>
      </w:r>
    </w:p>
    <w:p w:rsidR="00054193" w:rsidRPr="006A74F8" w:rsidRDefault="00E6572A" w:rsidP="00C05372">
      <w:r w:rsidRPr="006A74F8">
        <w:t xml:space="preserve">The </w:t>
      </w:r>
      <w:r w:rsidR="00293049" w:rsidRPr="006A74F8">
        <w:t xml:space="preserve">public </w:t>
      </w:r>
      <w:r w:rsidR="000E06F2" w:rsidRPr="006A74F8">
        <w:t xml:space="preserve">consultation </w:t>
      </w:r>
      <w:r w:rsidR="00CD280B" w:rsidRPr="006A74F8">
        <w:t>on the Consultation RIS received a</w:t>
      </w:r>
      <w:r w:rsidR="00A44747" w:rsidRPr="006A74F8">
        <w:t xml:space="preserve"> total of </w:t>
      </w:r>
      <w:r w:rsidR="00C56D8B" w:rsidRPr="006A74F8">
        <w:t>38</w:t>
      </w:r>
      <w:r w:rsidR="00A44747" w:rsidRPr="006A74F8">
        <w:t xml:space="preserve"> written </w:t>
      </w:r>
      <w:r w:rsidRPr="006A74F8">
        <w:t>submissions</w:t>
      </w:r>
      <w:r w:rsidR="00CF1350" w:rsidRPr="006A74F8">
        <w:t xml:space="preserve"> </w:t>
      </w:r>
      <w:r w:rsidR="000D4503" w:rsidRPr="006A74F8">
        <w:t xml:space="preserve">including </w:t>
      </w:r>
      <w:r w:rsidR="00CF1350" w:rsidRPr="006A74F8">
        <w:t xml:space="preserve">from industry, </w:t>
      </w:r>
      <w:r w:rsidR="000D4503" w:rsidRPr="006A74F8">
        <w:t xml:space="preserve">peak industry bodies, </w:t>
      </w:r>
      <w:r w:rsidR="00CF1350" w:rsidRPr="006A74F8">
        <w:t>consumer</w:t>
      </w:r>
      <w:r w:rsidR="000D4503" w:rsidRPr="006A74F8">
        <w:t xml:space="preserve"> associations</w:t>
      </w:r>
      <w:r w:rsidR="00CF1350" w:rsidRPr="006A74F8">
        <w:t xml:space="preserve"> and government stakeholder groups</w:t>
      </w:r>
      <w:r w:rsidR="00A44747" w:rsidRPr="006A74F8">
        <w:t>.</w:t>
      </w:r>
    </w:p>
    <w:p w:rsidR="00F3603D" w:rsidRPr="006A74F8" w:rsidRDefault="00054193" w:rsidP="004C68C2">
      <w:r w:rsidRPr="006A74F8">
        <w:rPr>
          <w:i/>
          <w:color w:val="005677" w:themeColor="text2"/>
        </w:rPr>
        <w:t>Figure 1: Distribution of written submissions by stakeholder</w:t>
      </w:r>
      <w:r w:rsidR="00CD280B" w:rsidRPr="006A74F8">
        <w:rPr>
          <w:i/>
          <w:color w:val="005677" w:themeColor="text2"/>
        </w:rPr>
        <w:t xml:space="preserve"> group</w:t>
      </w:r>
    </w:p>
    <w:p w:rsidR="00FB6BCB" w:rsidRPr="006A74F8" w:rsidRDefault="007B4D20" w:rsidP="00E5724A">
      <w:pPr>
        <w:spacing w:after="240"/>
      </w:pPr>
      <w:r w:rsidRPr="006A74F8">
        <w:rPr>
          <w:noProof/>
          <w:lang w:eastAsia="en-AU"/>
        </w:rPr>
        <w:drawing>
          <wp:inline distT="0" distB="0" distL="0" distR="0" wp14:anchorId="0ADF08CE" wp14:editId="737F9ADB">
            <wp:extent cx="5732145" cy="3731260"/>
            <wp:effectExtent l="0" t="0" r="1905" b="2540"/>
            <wp:docPr id="14" name="Chart 14" descr="Chart features number of respondents on the y-axis and stakeholder group on the x-axis. Chart categorises the submissions by stakeholder group. 3 submissions received from consumer groups, 3 from government, 9 from individuals. 11 received from industry, split into 7 from measuring instrument manufacturers and authorised third parties, and 4 from wholesalers, retailers, packers or importers. 12 were received from peak industry associations." title="Distribution of written submissions by stakeholder group">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5372" w:rsidRPr="006A74F8" w:rsidRDefault="00C05372" w:rsidP="00BC75FC">
      <w:pPr>
        <w:pStyle w:val="Heading3"/>
      </w:pPr>
      <w:r w:rsidRPr="006A74F8">
        <w:t>Virtual town hall discussions</w:t>
      </w:r>
    </w:p>
    <w:p w:rsidR="00C05372" w:rsidRPr="006A74F8" w:rsidRDefault="00C05372" w:rsidP="00C05372">
      <w:r w:rsidRPr="006A74F8">
        <w:t xml:space="preserve">The </w:t>
      </w:r>
      <w:r w:rsidR="00A864FB" w:rsidRPr="006A74F8">
        <w:t>department</w:t>
      </w:r>
      <w:r w:rsidRPr="006A74F8">
        <w:t xml:space="preserve"> held a series of </w:t>
      </w:r>
      <w:r w:rsidR="008619FA" w:rsidRPr="006A74F8">
        <w:t>5</w:t>
      </w:r>
      <w:r w:rsidR="00FC6A8F" w:rsidRPr="006A74F8">
        <w:t xml:space="preserve"> </w:t>
      </w:r>
      <w:r w:rsidRPr="006A74F8">
        <w:t>virtual town hall discussions to inform and gather feedback on the proposed options. The sessions were targeted at key stakeholder groups including:</w:t>
      </w:r>
    </w:p>
    <w:p w:rsidR="00443914" w:rsidRPr="006A74F8" w:rsidRDefault="00C05372" w:rsidP="00CD1E13">
      <w:pPr>
        <w:pStyle w:val="ListParagraph"/>
        <w:numPr>
          <w:ilvl w:val="0"/>
          <w:numId w:val="152"/>
        </w:numPr>
      </w:pPr>
      <w:r w:rsidRPr="006A74F8">
        <w:t>Consumers</w:t>
      </w:r>
    </w:p>
    <w:p w:rsidR="00443914" w:rsidRPr="006A74F8" w:rsidRDefault="00C05372" w:rsidP="00CD1E13">
      <w:pPr>
        <w:pStyle w:val="ListParagraph"/>
        <w:numPr>
          <w:ilvl w:val="0"/>
          <w:numId w:val="152"/>
        </w:numPr>
      </w:pPr>
      <w:r w:rsidRPr="006A74F8">
        <w:t>Industry – wholesalers / retailers / importers / packers</w:t>
      </w:r>
    </w:p>
    <w:p w:rsidR="00443914" w:rsidRPr="006A74F8" w:rsidRDefault="00C05372" w:rsidP="00CD1E13">
      <w:pPr>
        <w:pStyle w:val="ListParagraph"/>
        <w:numPr>
          <w:ilvl w:val="0"/>
          <w:numId w:val="152"/>
        </w:numPr>
      </w:pPr>
      <w:r w:rsidRPr="006A74F8">
        <w:t xml:space="preserve">Industry – </w:t>
      </w:r>
      <w:r w:rsidR="00847BFB" w:rsidRPr="006A74F8">
        <w:t>measuring instrument manufacturers, importers and distributors</w:t>
      </w:r>
    </w:p>
    <w:p w:rsidR="00443914" w:rsidRPr="006A74F8" w:rsidRDefault="00C05372" w:rsidP="00CD1E13">
      <w:pPr>
        <w:pStyle w:val="ListParagraph"/>
        <w:numPr>
          <w:ilvl w:val="0"/>
          <w:numId w:val="152"/>
        </w:numPr>
      </w:pPr>
      <w:r w:rsidRPr="006A74F8">
        <w:t xml:space="preserve">Industry – </w:t>
      </w:r>
      <w:r w:rsidR="007777D0" w:rsidRPr="006A74F8">
        <w:t>a</w:t>
      </w:r>
      <w:r w:rsidR="00432C17" w:rsidRPr="006A74F8">
        <w:t>uthorise</w:t>
      </w:r>
      <w:r w:rsidR="00B51446" w:rsidRPr="006A74F8">
        <w:t>d</w:t>
      </w:r>
      <w:r w:rsidR="00432C17" w:rsidRPr="006A74F8">
        <w:t xml:space="preserve"> </w:t>
      </w:r>
      <w:r w:rsidR="009958E6" w:rsidRPr="006A74F8">
        <w:t>third p</w:t>
      </w:r>
      <w:r w:rsidR="00432C17" w:rsidRPr="006A74F8">
        <w:t>artie</w:t>
      </w:r>
      <w:r w:rsidRPr="006A74F8">
        <w:t xml:space="preserve">s </w:t>
      </w:r>
      <w:r w:rsidR="00F20A0D" w:rsidRPr="006A74F8">
        <w:t xml:space="preserve"> </w:t>
      </w:r>
    </w:p>
    <w:p w:rsidR="00C05372" w:rsidRPr="006A74F8" w:rsidRDefault="00C05372" w:rsidP="00CD1E13">
      <w:pPr>
        <w:pStyle w:val="ListParagraph"/>
        <w:numPr>
          <w:ilvl w:val="0"/>
          <w:numId w:val="152"/>
        </w:numPr>
      </w:pPr>
      <w:r w:rsidRPr="006A74F8">
        <w:t>Regulators</w:t>
      </w:r>
    </w:p>
    <w:p w:rsidR="00FE2BCF" w:rsidRPr="006A74F8" w:rsidRDefault="00FE2BCF" w:rsidP="00FE2BCF">
      <w:r w:rsidRPr="006A74F8">
        <w:t xml:space="preserve">The sessions aimed to inform these groups about how the proposed changes may affect them. </w:t>
      </w:r>
      <w:r w:rsidR="00C05372" w:rsidRPr="006A74F8">
        <w:t xml:space="preserve">Recordings of these discussions were distributed </w:t>
      </w:r>
      <w:r w:rsidR="00432C17" w:rsidRPr="006A74F8">
        <w:t xml:space="preserve">to attendees and </w:t>
      </w:r>
      <w:r w:rsidR="000D4503" w:rsidRPr="006A74F8">
        <w:t xml:space="preserve">over 3000 </w:t>
      </w:r>
      <w:r w:rsidR="00432C17" w:rsidRPr="006A74F8">
        <w:t xml:space="preserve">subscribers to the MLR </w:t>
      </w:r>
      <w:r w:rsidR="00C05372" w:rsidRPr="006A74F8">
        <w:t>mailing list.</w:t>
      </w:r>
      <w:r w:rsidR="00432C17" w:rsidRPr="006A74F8">
        <w:t xml:space="preserve"> </w:t>
      </w:r>
      <w:r w:rsidRPr="006A74F8">
        <w:t>A total of 81 participants attended.</w:t>
      </w:r>
    </w:p>
    <w:p w:rsidR="00984E65" w:rsidRPr="006A74F8" w:rsidRDefault="009E254F" w:rsidP="00984E65">
      <w:r w:rsidRPr="006A74F8">
        <w:rPr>
          <w:i/>
          <w:color w:val="005677" w:themeColor="text2"/>
        </w:rPr>
        <w:t xml:space="preserve">Table </w:t>
      </w:r>
      <w:r w:rsidR="008D2386" w:rsidRPr="006A74F8">
        <w:rPr>
          <w:i/>
          <w:color w:val="005677" w:themeColor="text2"/>
        </w:rPr>
        <w:t>11:</w:t>
      </w:r>
      <w:r w:rsidRPr="006A74F8">
        <w:rPr>
          <w:i/>
          <w:color w:val="005677" w:themeColor="text2"/>
        </w:rPr>
        <w:t xml:space="preserve"> Town hall participant numbers </w:t>
      </w:r>
    </w:p>
    <w:tbl>
      <w:tblPr>
        <w:tblStyle w:val="GridTable4-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wn hall participant numbers"/>
        <w:tblDescription w:val="Table outlines the number of participants, categorised by stakeholder groups."/>
      </w:tblPr>
      <w:tblGrid>
        <w:gridCol w:w="1307"/>
        <w:gridCol w:w="1560"/>
        <w:gridCol w:w="1228"/>
        <w:gridCol w:w="1230"/>
        <w:gridCol w:w="1400"/>
        <w:gridCol w:w="1196"/>
        <w:gridCol w:w="1096"/>
      </w:tblGrid>
      <w:tr w:rsidR="0052472D" w:rsidRPr="006A74F8" w:rsidTr="00D723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7" w:type="dxa"/>
            <w:shd w:val="clear" w:color="auto" w:fill="00283E" w:themeFill="accent2"/>
          </w:tcPr>
          <w:p w:rsidR="00984E65" w:rsidRPr="006A74F8" w:rsidRDefault="00984E65" w:rsidP="00573330">
            <w:pPr>
              <w:jc w:val="center"/>
              <w:rPr>
                <w:sz w:val="20"/>
                <w:szCs w:val="20"/>
              </w:rPr>
            </w:pPr>
            <w:r w:rsidRPr="006A74F8">
              <w:rPr>
                <w:sz w:val="20"/>
                <w:szCs w:val="20"/>
              </w:rPr>
              <w:t>Town Hall Session</w:t>
            </w:r>
          </w:p>
        </w:tc>
        <w:tc>
          <w:tcPr>
            <w:tcW w:w="1560" w:type="dxa"/>
            <w:shd w:val="clear" w:color="auto" w:fill="00283E" w:themeFill="accent2"/>
          </w:tcPr>
          <w:p w:rsidR="00984E65" w:rsidRPr="006A74F8" w:rsidRDefault="00847BFB" w:rsidP="00573330">
            <w:pPr>
              <w:jc w:val="center"/>
              <w:cnfStyle w:val="100000000000" w:firstRow="1" w:lastRow="0" w:firstColumn="0" w:lastColumn="0" w:oddVBand="0" w:evenVBand="0" w:oddHBand="0" w:evenHBand="0" w:firstRowFirstColumn="0" w:firstRowLastColumn="0" w:lastRowFirstColumn="0" w:lastRowLastColumn="0"/>
              <w:rPr>
                <w:sz w:val="20"/>
                <w:szCs w:val="20"/>
              </w:rPr>
            </w:pPr>
            <w:r w:rsidRPr="006A74F8">
              <w:rPr>
                <w:sz w:val="20"/>
                <w:szCs w:val="20"/>
              </w:rPr>
              <w:t>Measuring instrument manufacturers, importers and distributors</w:t>
            </w:r>
          </w:p>
        </w:tc>
        <w:tc>
          <w:tcPr>
            <w:tcW w:w="1228" w:type="dxa"/>
            <w:shd w:val="clear" w:color="auto" w:fill="00283E" w:themeFill="accent2"/>
          </w:tcPr>
          <w:p w:rsidR="00984E65" w:rsidRPr="006A74F8" w:rsidRDefault="00984E65" w:rsidP="00573330">
            <w:pPr>
              <w:jc w:val="center"/>
              <w:cnfStyle w:val="100000000000" w:firstRow="1" w:lastRow="0" w:firstColumn="0" w:lastColumn="0" w:oddVBand="0" w:evenVBand="0" w:oddHBand="0" w:evenHBand="0" w:firstRowFirstColumn="0" w:firstRowLastColumn="0" w:lastRowFirstColumn="0" w:lastRowLastColumn="0"/>
              <w:rPr>
                <w:sz w:val="20"/>
                <w:szCs w:val="20"/>
              </w:rPr>
            </w:pPr>
            <w:r w:rsidRPr="006A74F8">
              <w:rPr>
                <w:sz w:val="20"/>
                <w:szCs w:val="20"/>
              </w:rPr>
              <w:t>Authorised Third Parties</w:t>
            </w:r>
          </w:p>
        </w:tc>
        <w:tc>
          <w:tcPr>
            <w:tcW w:w="1230" w:type="dxa"/>
            <w:shd w:val="clear" w:color="auto" w:fill="00283E" w:themeFill="accent2"/>
          </w:tcPr>
          <w:p w:rsidR="00984E65" w:rsidRPr="006A74F8" w:rsidRDefault="00984E65" w:rsidP="00573330">
            <w:pPr>
              <w:jc w:val="center"/>
              <w:cnfStyle w:val="100000000000" w:firstRow="1" w:lastRow="0" w:firstColumn="0" w:lastColumn="0" w:oddVBand="0" w:evenVBand="0" w:oddHBand="0" w:evenHBand="0" w:firstRowFirstColumn="0" w:firstRowLastColumn="0" w:lastRowFirstColumn="0" w:lastRowLastColumn="0"/>
              <w:rPr>
                <w:sz w:val="20"/>
                <w:szCs w:val="20"/>
              </w:rPr>
            </w:pPr>
            <w:r w:rsidRPr="006A74F8">
              <w:rPr>
                <w:sz w:val="20"/>
                <w:szCs w:val="20"/>
              </w:rPr>
              <w:t>Consumers</w:t>
            </w:r>
          </w:p>
        </w:tc>
        <w:tc>
          <w:tcPr>
            <w:tcW w:w="1400" w:type="dxa"/>
            <w:shd w:val="clear" w:color="auto" w:fill="00283E" w:themeFill="accent2"/>
          </w:tcPr>
          <w:p w:rsidR="00984E65" w:rsidRPr="006A74F8" w:rsidRDefault="00984E65" w:rsidP="00573330">
            <w:pPr>
              <w:jc w:val="center"/>
              <w:cnfStyle w:val="100000000000" w:firstRow="1" w:lastRow="0" w:firstColumn="0" w:lastColumn="0" w:oddVBand="0" w:evenVBand="0" w:oddHBand="0" w:evenHBand="0" w:firstRowFirstColumn="0" w:firstRowLastColumn="0" w:lastRowFirstColumn="0" w:lastRowLastColumn="0"/>
              <w:rPr>
                <w:sz w:val="20"/>
                <w:szCs w:val="20"/>
              </w:rPr>
            </w:pPr>
            <w:r w:rsidRPr="006A74F8">
              <w:rPr>
                <w:sz w:val="20"/>
                <w:szCs w:val="20"/>
              </w:rPr>
              <w:t>Wholesalers, retailers, packers, importers</w:t>
            </w:r>
          </w:p>
        </w:tc>
        <w:tc>
          <w:tcPr>
            <w:tcW w:w="1196" w:type="dxa"/>
            <w:shd w:val="clear" w:color="auto" w:fill="00283E" w:themeFill="accent2"/>
          </w:tcPr>
          <w:p w:rsidR="00984E65" w:rsidRPr="006A74F8" w:rsidRDefault="00984E65" w:rsidP="00573330">
            <w:pPr>
              <w:jc w:val="center"/>
              <w:cnfStyle w:val="100000000000" w:firstRow="1" w:lastRow="0" w:firstColumn="0" w:lastColumn="0" w:oddVBand="0" w:evenVBand="0" w:oddHBand="0" w:evenHBand="0" w:firstRowFirstColumn="0" w:firstRowLastColumn="0" w:lastRowFirstColumn="0" w:lastRowLastColumn="0"/>
              <w:rPr>
                <w:sz w:val="20"/>
                <w:szCs w:val="20"/>
              </w:rPr>
            </w:pPr>
            <w:r w:rsidRPr="006A74F8">
              <w:rPr>
                <w:sz w:val="20"/>
                <w:szCs w:val="20"/>
              </w:rPr>
              <w:t>Regulators</w:t>
            </w:r>
          </w:p>
        </w:tc>
        <w:tc>
          <w:tcPr>
            <w:tcW w:w="1096" w:type="dxa"/>
            <w:shd w:val="clear" w:color="auto" w:fill="00283E" w:themeFill="accent2"/>
          </w:tcPr>
          <w:p w:rsidR="00984E65" w:rsidRPr="006A74F8" w:rsidRDefault="00984E65" w:rsidP="00573330">
            <w:pPr>
              <w:jc w:val="center"/>
              <w:cnfStyle w:val="100000000000" w:firstRow="1" w:lastRow="0" w:firstColumn="0" w:lastColumn="0" w:oddVBand="0" w:evenVBand="0" w:oddHBand="0" w:evenHBand="0" w:firstRowFirstColumn="0" w:firstRowLastColumn="0" w:lastRowFirstColumn="0" w:lastRowLastColumn="0"/>
              <w:rPr>
                <w:sz w:val="20"/>
                <w:szCs w:val="20"/>
              </w:rPr>
            </w:pPr>
            <w:r w:rsidRPr="006A74F8">
              <w:rPr>
                <w:sz w:val="20"/>
                <w:szCs w:val="20"/>
              </w:rPr>
              <w:t>Total</w:t>
            </w:r>
          </w:p>
        </w:tc>
      </w:tr>
      <w:tr w:rsidR="00FF5AE0" w:rsidRPr="006A74F8" w:rsidTr="0022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dxa"/>
            <w:shd w:val="clear" w:color="auto" w:fill="FFFFFF" w:themeFill="background1"/>
          </w:tcPr>
          <w:p w:rsidR="00984E65" w:rsidRPr="006A74F8" w:rsidRDefault="00984E65" w:rsidP="000E28F6">
            <w:pPr>
              <w:rPr>
                <w:sz w:val="20"/>
                <w:szCs w:val="20"/>
              </w:rPr>
            </w:pPr>
            <w:r w:rsidRPr="006A74F8">
              <w:rPr>
                <w:sz w:val="20"/>
                <w:szCs w:val="20"/>
              </w:rPr>
              <w:t>Number of participants</w:t>
            </w:r>
          </w:p>
        </w:tc>
        <w:tc>
          <w:tcPr>
            <w:tcW w:w="1560" w:type="dxa"/>
            <w:shd w:val="clear" w:color="auto" w:fill="FFFFFF" w:themeFill="background1"/>
            <w:vAlign w:val="center"/>
          </w:tcPr>
          <w:p w:rsidR="00984E65" w:rsidRPr="006A74F8" w:rsidRDefault="00984E65" w:rsidP="00573330">
            <w:pPr>
              <w:jc w:val="center"/>
              <w:cnfStyle w:val="000000100000" w:firstRow="0" w:lastRow="0" w:firstColumn="0" w:lastColumn="0" w:oddVBand="0" w:evenVBand="0" w:oddHBand="1" w:evenHBand="0" w:firstRowFirstColumn="0" w:firstRowLastColumn="0" w:lastRowFirstColumn="0" w:lastRowLastColumn="0"/>
              <w:rPr>
                <w:sz w:val="20"/>
                <w:szCs w:val="20"/>
              </w:rPr>
            </w:pPr>
            <w:r w:rsidRPr="006A74F8">
              <w:rPr>
                <w:sz w:val="20"/>
                <w:szCs w:val="20"/>
              </w:rPr>
              <w:t>33</w:t>
            </w:r>
          </w:p>
        </w:tc>
        <w:tc>
          <w:tcPr>
            <w:tcW w:w="1228" w:type="dxa"/>
            <w:shd w:val="clear" w:color="auto" w:fill="FFFFFF" w:themeFill="background1"/>
            <w:vAlign w:val="center"/>
          </w:tcPr>
          <w:p w:rsidR="00984E65" w:rsidRPr="006A74F8" w:rsidRDefault="00984E65" w:rsidP="00573330">
            <w:pPr>
              <w:jc w:val="center"/>
              <w:cnfStyle w:val="000000100000" w:firstRow="0" w:lastRow="0" w:firstColumn="0" w:lastColumn="0" w:oddVBand="0" w:evenVBand="0" w:oddHBand="1" w:evenHBand="0" w:firstRowFirstColumn="0" w:firstRowLastColumn="0" w:lastRowFirstColumn="0" w:lastRowLastColumn="0"/>
              <w:rPr>
                <w:sz w:val="20"/>
                <w:szCs w:val="20"/>
              </w:rPr>
            </w:pPr>
            <w:r w:rsidRPr="006A74F8">
              <w:rPr>
                <w:sz w:val="20"/>
                <w:szCs w:val="20"/>
              </w:rPr>
              <w:t>12</w:t>
            </w:r>
          </w:p>
        </w:tc>
        <w:tc>
          <w:tcPr>
            <w:tcW w:w="1230" w:type="dxa"/>
            <w:shd w:val="clear" w:color="auto" w:fill="FFFFFF" w:themeFill="background1"/>
            <w:vAlign w:val="center"/>
          </w:tcPr>
          <w:p w:rsidR="00984E65" w:rsidRPr="006A74F8" w:rsidRDefault="00984E65" w:rsidP="00573330">
            <w:pPr>
              <w:jc w:val="center"/>
              <w:cnfStyle w:val="000000100000" w:firstRow="0" w:lastRow="0" w:firstColumn="0" w:lastColumn="0" w:oddVBand="0" w:evenVBand="0" w:oddHBand="1" w:evenHBand="0" w:firstRowFirstColumn="0" w:firstRowLastColumn="0" w:lastRowFirstColumn="0" w:lastRowLastColumn="0"/>
              <w:rPr>
                <w:sz w:val="20"/>
                <w:szCs w:val="20"/>
              </w:rPr>
            </w:pPr>
            <w:r w:rsidRPr="006A74F8">
              <w:rPr>
                <w:sz w:val="20"/>
                <w:szCs w:val="20"/>
              </w:rPr>
              <w:t>8</w:t>
            </w:r>
          </w:p>
        </w:tc>
        <w:tc>
          <w:tcPr>
            <w:tcW w:w="1400" w:type="dxa"/>
            <w:shd w:val="clear" w:color="auto" w:fill="FFFFFF" w:themeFill="background1"/>
            <w:vAlign w:val="center"/>
          </w:tcPr>
          <w:p w:rsidR="00984E65" w:rsidRPr="006A74F8" w:rsidRDefault="00984E65" w:rsidP="00573330">
            <w:pPr>
              <w:jc w:val="center"/>
              <w:cnfStyle w:val="000000100000" w:firstRow="0" w:lastRow="0" w:firstColumn="0" w:lastColumn="0" w:oddVBand="0" w:evenVBand="0" w:oddHBand="1" w:evenHBand="0" w:firstRowFirstColumn="0" w:firstRowLastColumn="0" w:lastRowFirstColumn="0" w:lastRowLastColumn="0"/>
              <w:rPr>
                <w:sz w:val="20"/>
                <w:szCs w:val="20"/>
              </w:rPr>
            </w:pPr>
            <w:r w:rsidRPr="006A74F8">
              <w:rPr>
                <w:sz w:val="20"/>
                <w:szCs w:val="20"/>
              </w:rPr>
              <w:t>20</w:t>
            </w:r>
          </w:p>
        </w:tc>
        <w:tc>
          <w:tcPr>
            <w:tcW w:w="1196" w:type="dxa"/>
            <w:shd w:val="clear" w:color="auto" w:fill="FFFFFF" w:themeFill="background1"/>
            <w:vAlign w:val="center"/>
          </w:tcPr>
          <w:p w:rsidR="00984E65" w:rsidRPr="006A74F8" w:rsidRDefault="00984E65" w:rsidP="00573330">
            <w:pPr>
              <w:jc w:val="center"/>
              <w:cnfStyle w:val="000000100000" w:firstRow="0" w:lastRow="0" w:firstColumn="0" w:lastColumn="0" w:oddVBand="0" w:evenVBand="0" w:oddHBand="1" w:evenHBand="0" w:firstRowFirstColumn="0" w:firstRowLastColumn="0" w:lastRowFirstColumn="0" w:lastRowLastColumn="0"/>
              <w:rPr>
                <w:sz w:val="20"/>
                <w:szCs w:val="20"/>
              </w:rPr>
            </w:pPr>
            <w:r w:rsidRPr="006A74F8">
              <w:rPr>
                <w:sz w:val="20"/>
                <w:szCs w:val="20"/>
              </w:rPr>
              <w:t>8</w:t>
            </w:r>
          </w:p>
        </w:tc>
        <w:tc>
          <w:tcPr>
            <w:tcW w:w="1096" w:type="dxa"/>
            <w:shd w:val="clear" w:color="auto" w:fill="FFFFFF" w:themeFill="background1"/>
            <w:vAlign w:val="center"/>
          </w:tcPr>
          <w:p w:rsidR="00984E65" w:rsidRPr="006A74F8" w:rsidRDefault="00984E65" w:rsidP="00573330">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A74F8">
              <w:rPr>
                <w:b/>
                <w:sz w:val="20"/>
                <w:szCs w:val="20"/>
              </w:rPr>
              <w:t>81</w:t>
            </w:r>
          </w:p>
        </w:tc>
      </w:tr>
    </w:tbl>
    <w:p w:rsidR="00FE2BCF" w:rsidRPr="006A74F8" w:rsidRDefault="00FE2BCF" w:rsidP="00C05372"/>
    <w:p w:rsidR="00C05372" w:rsidRPr="006A74F8" w:rsidRDefault="00C05372" w:rsidP="00BC75FC">
      <w:pPr>
        <w:pStyle w:val="Heading3"/>
      </w:pPr>
      <w:r w:rsidRPr="006A74F8">
        <w:t>Targeted discussions</w:t>
      </w:r>
    </w:p>
    <w:p w:rsidR="002D6DC0" w:rsidRPr="006A74F8" w:rsidRDefault="00C05372" w:rsidP="003F4BCB">
      <w:pPr>
        <w:rPr>
          <w:color w:val="FF0000"/>
          <w:lang w:eastAsia="en-AU"/>
        </w:rPr>
      </w:pPr>
      <w:r w:rsidRPr="006A74F8">
        <w:t xml:space="preserve">The </w:t>
      </w:r>
      <w:r w:rsidR="005E28C4" w:rsidRPr="006A74F8">
        <w:t xml:space="preserve">department </w:t>
      </w:r>
      <w:r w:rsidRPr="006A74F8">
        <w:t xml:space="preserve">held targeted discussions with </w:t>
      </w:r>
      <w:r w:rsidR="00D152BD" w:rsidRPr="006A74F8">
        <w:t>22</w:t>
      </w:r>
      <w:r w:rsidRPr="006A74F8">
        <w:t xml:space="preserve"> stakeholders, including peak bodies, consumer associations and major retailers.</w:t>
      </w:r>
      <w:r w:rsidR="00663706" w:rsidRPr="006A74F8">
        <w:t xml:space="preserve"> </w:t>
      </w:r>
      <w:r w:rsidR="003923AF" w:rsidRPr="006A74F8">
        <w:t>Twelve</w:t>
      </w:r>
      <w:r w:rsidR="00663706" w:rsidRPr="006A74F8">
        <w:t xml:space="preserve"> of these stakeholders also made written submissions.</w:t>
      </w:r>
    </w:p>
    <w:p w:rsidR="004D16DD" w:rsidRPr="006A74F8" w:rsidRDefault="00054193" w:rsidP="00054193">
      <w:pPr>
        <w:rPr>
          <w:i/>
          <w:color w:val="005677" w:themeColor="text2"/>
        </w:rPr>
      </w:pPr>
      <w:r w:rsidRPr="006A74F8">
        <w:rPr>
          <w:i/>
          <w:color w:val="005677" w:themeColor="text2"/>
        </w:rPr>
        <w:t xml:space="preserve">Figure </w:t>
      </w:r>
      <w:r w:rsidR="00CF1350" w:rsidRPr="006A74F8">
        <w:rPr>
          <w:i/>
          <w:color w:val="005677" w:themeColor="text2"/>
        </w:rPr>
        <w:t>2</w:t>
      </w:r>
      <w:r w:rsidRPr="006A74F8">
        <w:rPr>
          <w:i/>
          <w:color w:val="005677" w:themeColor="text2"/>
        </w:rPr>
        <w:t>: Participant data from targeted discussions</w:t>
      </w:r>
    </w:p>
    <w:p w:rsidR="00037898" w:rsidRPr="006A74F8" w:rsidRDefault="001F2559" w:rsidP="00B51446">
      <w:pPr>
        <w:jc w:val="center"/>
      </w:pPr>
      <w:r w:rsidRPr="006A74F8">
        <w:rPr>
          <w:noProof/>
          <w:lang w:eastAsia="en-AU"/>
        </w:rPr>
        <w:drawing>
          <wp:inline distT="0" distB="0" distL="0" distR="0" wp14:anchorId="6A0B5FBF" wp14:editId="3E354931">
            <wp:extent cx="5162400" cy="2926800"/>
            <wp:effectExtent l="0" t="0" r="635" b="6985"/>
            <wp:docPr id="4" name="Chart 4" descr="Chart describes the number of participants in targeted discussions categorised by stakeholder group. 5 targeted discussions with government organisations, 2 with consumer associations, 8 with peak industry associations and 7 with industry stakeholders, which includes includes measuring instrument manufacturers, importers and distributors and authorised third parties (one discussion) and wholesalers / retailers / packers / importers (six discussions). " title="Participant data from targeted discussion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97148" w:rsidRPr="006A74F8" w:rsidRDefault="00974537" w:rsidP="00CD1E13">
      <w:pPr>
        <w:rPr>
          <w:i/>
          <w:sz w:val="20"/>
          <w:szCs w:val="20"/>
        </w:rPr>
      </w:pPr>
      <w:r w:rsidRPr="006A74F8">
        <w:rPr>
          <w:i/>
          <w:sz w:val="20"/>
          <w:szCs w:val="20"/>
        </w:rPr>
        <w:t>*Industry includes</w:t>
      </w:r>
      <w:r w:rsidR="00935315" w:rsidRPr="006A74F8">
        <w:rPr>
          <w:i/>
          <w:sz w:val="20"/>
          <w:szCs w:val="20"/>
        </w:rPr>
        <w:t xml:space="preserve"> </w:t>
      </w:r>
      <w:r w:rsidR="00847BFB" w:rsidRPr="006A74F8">
        <w:rPr>
          <w:i/>
          <w:sz w:val="20"/>
          <w:szCs w:val="20"/>
        </w:rPr>
        <w:t>measuring instrument manufacturers, importers and distributors</w:t>
      </w:r>
      <w:r w:rsidR="00B356D2" w:rsidRPr="006A74F8">
        <w:rPr>
          <w:i/>
          <w:sz w:val="20"/>
          <w:szCs w:val="20"/>
        </w:rPr>
        <w:t xml:space="preserve"> </w:t>
      </w:r>
      <w:r w:rsidR="00935315" w:rsidRPr="006A74F8">
        <w:rPr>
          <w:i/>
          <w:sz w:val="20"/>
          <w:szCs w:val="20"/>
        </w:rPr>
        <w:t xml:space="preserve">and </w:t>
      </w:r>
      <w:r w:rsidR="007777D0" w:rsidRPr="006A74F8">
        <w:rPr>
          <w:i/>
          <w:sz w:val="20"/>
          <w:szCs w:val="20"/>
        </w:rPr>
        <w:t>ATPs</w:t>
      </w:r>
      <w:r w:rsidR="00B356D2" w:rsidRPr="006A74F8">
        <w:rPr>
          <w:i/>
          <w:sz w:val="20"/>
          <w:szCs w:val="20"/>
        </w:rPr>
        <w:t xml:space="preserve"> (one discussion</w:t>
      </w:r>
      <w:r w:rsidR="005E3597" w:rsidRPr="006A74F8">
        <w:rPr>
          <w:i/>
          <w:sz w:val="20"/>
          <w:szCs w:val="20"/>
        </w:rPr>
        <w:t>)</w:t>
      </w:r>
      <w:r w:rsidR="00B356D2" w:rsidRPr="006A74F8">
        <w:rPr>
          <w:i/>
          <w:sz w:val="20"/>
          <w:szCs w:val="20"/>
        </w:rPr>
        <w:t>; wholesalers / retailers / packers / importer</w:t>
      </w:r>
      <w:r w:rsidR="00E5724A" w:rsidRPr="006A74F8">
        <w:rPr>
          <w:i/>
          <w:sz w:val="20"/>
          <w:szCs w:val="20"/>
        </w:rPr>
        <w:t>s (six</w:t>
      </w:r>
      <w:r w:rsidR="00B356D2" w:rsidRPr="006A74F8">
        <w:rPr>
          <w:i/>
          <w:sz w:val="20"/>
          <w:szCs w:val="20"/>
        </w:rPr>
        <w:t xml:space="preserve"> discussions)</w:t>
      </w:r>
      <w:r w:rsidR="00935315" w:rsidRPr="006A74F8">
        <w:rPr>
          <w:i/>
          <w:sz w:val="20"/>
          <w:szCs w:val="20"/>
        </w:rPr>
        <w:t>.</w:t>
      </w:r>
    </w:p>
    <w:p w:rsidR="00AF3523" w:rsidRPr="006A74F8" w:rsidRDefault="00D53EF8" w:rsidP="00817C9F">
      <w:pPr>
        <w:spacing w:after="240"/>
      </w:pPr>
      <w:r w:rsidRPr="006A74F8">
        <w:t xml:space="preserve">The proposed reform options presented in this final RIS were </w:t>
      </w:r>
      <w:r w:rsidR="00796541" w:rsidRPr="006A74F8">
        <w:t xml:space="preserve">updated </w:t>
      </w:r>
      <w:r w:rsidRPr="006A74F8">
        <w:t>based on stakeholder feedback</w:t>
      </w:r>
      <w:r w:rsidR="00AB5836" w:rsidRPr="006A74F8">
        <w:t xml:space="preserve"> </w:t>
      </w:r>
      <w:r w:rsidR="00796541" w:rsidRPr="006A74F8">
        <w:t xml:space="preserve">on </w:t>
      </w:r>
      <w:r w:rsidR="00AB5836" w:rsidRPr="006A74F8">
        <w:t>the draft options. S</w:t>
      </w:r>
      <w:r w:rsidRPr="006A74F8">
        <w:t>ee section</w:t>
      </w:r>
      <w:r w:rsidR="00AB5836" w:rsidRPr="006A74F8">
        <w:t>s</w:t>
      </w:r>
      <w:r w:rsidRPr="006A74F8">
        <w:t xml:space="preserve"> </w:t>
      </w:r>
      <w:r w:rsidR="00AB5836" w:rsidRPr="006A74F8">
        <w:t xml:space="preserve">7.2 and 7.3 </w:t>
      </w:r>
      <w:r w:rsidR="00CD1E13" w:rsidRPr="006A74F8">
        <w:t xml:space="preserve">below </w:t>
      </w:r>
      <w:r w:rsidR="00AB5836" w:rsidRPr="006A74F8">
        <w:t>on w</w:t>
      </w:r>
      <w:r w:rsidRPr="006A74F8">
        <w:t>hat we heard</w:t>
      </w:r>
      <w:r w:rsidR="00AB5836" w:rsidRPr="006A74F8">
        <w:t xml:space="preserve"> and how the draft options were revised.</w:t>
      </w:r>
    </w:p>
    <w:p w:rsidR="000720D9" w:rsidRPr="006A74F8" w:rsidRDefault="000720D9" w:rsidP="000720D9">
      <w:pPr>
        <w:pStyle w:val="Heading2"/>
        <w:rPr>
          <w:lang w:eastAsia="en-AU"/>
        </w:rPr>
      </w:pPr>
      <w:bookmarkStart w:id="1736" w:name="_What_we_heard"/>
      <w:bookmarkEnd w:id="1736"/>
      <w:r w:rsidRPr="006A74F8">
        <w:rPr>
          <w:lang w:eastAsia="en-AU"/>
        </w:rPr>
        <w:t>What we heard</w:t>
      </w:r>
    </w:p>
    <w:p w:rsidR="00E6246C" w:rsidRPr="006A74F8" w:rsidRDefault="005F7CD1" w:rsidP="005F7CD1">
      <w:pPr>
        <w:pStyle w:val="Heading3"/>
      </w:pPr>
      <w:r w:rsidRPr="006A74F8">
        <w:t>Summary</w:t>
      </w:r>
    </w:p>
    <w:p w:rsidR="00672F46" w:rsidRPr="006A74F8" w:rsidRDefault="00672F46" w:rsidP="00672F46">
      <w:pPr>
        <w:rPr>
          <w:rFonts w:cstheme="minorHAnsi"/>
          <w:color w:val="000000" w:themeColor="text1"/>
        </w:rPr>
      </w:pPr>
      <w:r w:rsidRPr="006A74F8">
        <w:rPr>
          <w:rFonts w:cstheme="minorHAnsi"/>
          <w:color w:val="000000" w:themeColor="text1"/>
        </w:rPr>
        <w:t xml:space="preserve">The Consultation RIS presented </w:t>
      </w:r>
      <w:r w:rsidR="008D2386" w:rsidRPr="006A74F8">
        <w:rPr>
          <w:rFonts w:cstheme="minorHAnsi"/>
          <w:color w:val="000000" w:themeColor="text1"/>
        </w:rPr>
        <w:t>3</w:t>
      </w:r>
      <w:r w:rsidRPr="006A74F8">
        <w:rPr>
          <w:rFonts w:cstheme="minorHAnsi"/>
          <w:color w:val="000000" w:themeColor="text1"/>
        </w:rPr>
        <w:t xml:space="preserve"> reform options for stakeholder consideration. Feedback received from stakeholders:</w:t>
      </w:r>
    </w:p>
    <w:p w:rsidR="00672F46" w:rsidRPr="006A74F8" w:rsidRDefault="00672F46" w:rsidP="00672F46">
      <w:pPr>
        <w:pStyle w:val="ListParagraph"/>
        <w:numPr>
          <w:ilvl w:val="0"/>
          <w:numId w:val="237"/>
        </w:numPr>
        <w:spacing w:line="256" w:lineRule="auto"/>
        <w:rPr>
          <w:rFonts w:cstheme="minorHAnsi"/>
          <w:color w:val="000000" w:themeColor="text1"/>
        </w:rPr>
      </w:pPr>
      <w:r w:rsidRPr="006A74F8">
        <w:rPr>
          <w:rFonts w:cstheme="minorHAnsi"/>
          <w:color w:val="000000" w:themeColor="text1"/>
        </w:rPr>
        <w:t xml:space="preserve">engaged with </w:t>
      </w:r>
      <w:r w:rsidRPr="006A74F8">
        <w:t>specific changes with the greatest perceived impact for individual stakeholders</w:t>
      </w:r>
    </w:p>
    <w:p w:rsidR="00672F46" w:rsidRPr="006A74F8" w:rsidRDefault="00672F46" w:rsidP="00672F46">
      <w:pPr>
        <w:pStyle w:val="ListParagraph"/>
        <w:numPr>
          <w:ilvl w:val="0"/>
          <w:numId w:val="237"/>
        </w:numPr>
        <w:spacing w:line="256" w:lineRule="auto"/>
        <w:rPr>
          <w:rFonts w:cstheme="minorHAnsi"/>
          <w:color w:val="000000" w:themeColor="text1"/>
        </w:rPr>
      </w:pPr>
      <w:r w:rsidRPr="006A74F8">
        <w:rPr>
          <w:rFonts w:cstheme="minorHAnsi"/>
          <w:color w:val="000000" w:themeColor="text1"/>
        </w:rPr>
        <w:t>indicated general support for option 2 as the option with the highest net benefit</w:t>
      </w:r>
    </w:p>
    <w:p w:rsidR="00672F46" w:rsidRPr="006A74F8" w:rsidRDefault="00672F46" w:rsidP="00672F46">
      <w:pPr>
        <w:pStyle w:val="ListParagraph"/>
        <w:numPr>
          <w:ilvl w:val="0"/>
          <w:numId w:val="237"/>
        </w:numPr>
        <w:spacing w:line="256" w:lineRule="auto"/>
        <w:rPr>
          <w:rFonts w:cstheme="minorHAnsi"/>
          <w:color w:val="000000" w:themeColor="text1"/>
        </w:rPr>
      </w:pPr>
      <w:r w:rsidRPr="006A74F8">
        <w:rPr>
          <w:rFonts w:cstheme="minorHAnsi"/>
          <w:color w:val="000000" w:themeColor="text1"/>
        </w:rPr>
        <w:t>highlighted key areas of agreement and difference in relation to particular elements of the options.</w:t>
      </w:r>
    </w:p>
    <w:p w:rsidR="00E6246C" w:rsidRPr="006A74F8" w:rsidRDefault="00E6246C" w:rsidP="005F7CD1">
      <w:pPr>
        <w:pStyle w:val="Heading3"/>
      </w:pPr>
      <w:bookmarkStart w:id="1737" w:name="_Toc74658910"/>
      <w:r w:rsidRPr="006A74F8">
        <w:t>Key stakeholder views</w:t>
      </w:r>
      <w:bookmarkEnd w:id="1737"/>
      <w:r w:rsidR="00CB44DF" w:rsidRPr="006A74F8">
        <w:t xml:space="preserve"> on </w:t>
      </w:r>
      <w:r w:rsidR="008D2386" w:rsidRPr="006A74F8">
        <w:t>the o</w:t>
      </w:r>
      <w:r w:rsidR="00CB44DF" w:rsidRPr="006A74F8">
        <w:t>ptions</w:t>
      </w:r>
    </w:p>
    <w:p w:rsidR="00E6246C" w:rsidRPr="006A74F8" w:rsidRDefault="00E6246C" w:rsidP="00E6246C">
      <w:r w:rsidRPr="006A74F8">
        <w:t>Not all stakeholders indicated a preferred option in their submission, some chose to focus instead on specific changes with the greatest perceived impact to them. The below summarises feedback from those who indicated a preference for, or an objection to, a particular option as well submissions where a preference could be inferred based on feedback relating to specific changes.</w:t>
      </w:r>
      <w:bookmarkStart w:id="1738" w:name="_Toc74658912"/>
      <w:bookmarkEnd w:id="1738"/>
    </w:p>
    <w:p w:rsidR="00B02AC3" w:rsidRPr="006A74F8" w:rsidRDefault="00B02AC3" w:rsidP="00D723F9">
      <w:pPr>
        <w:keepNext/>
        <w:spacing w:after="120"/>
        <w:rPr>
          <w:rFonts w:cstheme="minorHAnsi"/>
          <w:b/>
          <w:color w:val="000000" w:themeColor="text1"/>
          <w:u w:val="single"/>
        </w:rPr>
      </w:pPr>
      <w:r w:rsidRPr="006A74F8">
        <w:rPr>
          <w:rFonts w:cstheme="minorHAnsi"/>
          <w:b/>
          <w:color w:val="000000" w:themeColor="text1"/>
          <w:u w:val="single"/>
        </w:rPr>
        <w:lastRenderedPageBreak/>
        <w:t>Status quo</w:t>
      </w:r>
    </w:p>
    <w:p w:rsidR="00B02AC3" w:rsidRPr="006A74F8" w:rsidRDefault="00B02AC3" w:rsidP="005265BD">
      <w:pPr>
        <w:spacing w:after="120"/>
        <w:rPr>
          <w:rFonts w:cstheme="minorHAnsi"/>
          <w:b/>
          <w:color w:val="000000" w:themeColor="text1"/>
          <w:u w:val="single"/>
        </w:rPr>
      </w:pPr>
      <w:r w:rsidRPr="006A74F8">
        <w:rPr>
          <w:rFonts w:cstheme="minorHAnsi"/>
          <w:color w:val="000000" w:themeColor="text1"/>
        </w:rPr>
        <w:t>Consumer associations and consumers who responded generally preferred the status quo approach to marking requirements for packaged products.</w:t>
      </w:r>
    </w:p>
    <w:p w:rsidR="005265BD" w:rsidRPr="006A74F8" w:rsidRDefault="005265BD" w:rsidP="005265BD">
      <w:pPr>
        <w:spacing w:after="120"/>
        <w:rPr>
          <w:rFonts w:cstheme="minorHAnsi"/>
          <w:color w:val="000000" w:themeColor="text1"/>
          <w:u w:val="single"/>
        </w:rPr>
      </w:pPr>
      <w:r w:rsidRPr="006A74F8">
        <w:rPr>
          <w:rFonts w:cstheme="minorHAnsi"/>
          <w:b/>
          <w:color w:val="000000" w:themeColor="text1"/>
          <w:u w:val="single"/>
        </w:rPr>
        <w:t>Option 1</w:t>
      </w:r>
    </w:p>
    <w:p w:rsidR="00866134" w:rsidRPr="006A74F8" w:rsidRDefault="00866134" w:rsidP="00866134">
      <w:pPr>
        <w:rPr>
          <w:rFonts w:cstheme="minorHAnsi"/>
          <w:color w:val="000000" w:themeColor="text1"/>
        </w:rPr>
      </w:pPr>
      <w:r w:rsidRPr="006A74F8">
        <w:rPr>
          <w:rFonts w:cstheme="minorHAnsi"/>
          <w:color w:val="000000" w:themeColor="text1"/>
        </w:rPr>
        <w:t xml:space="preserve">Option 1 was not preferred across any of the stakeholders who provided a submission. One stakeholder likened option 1 to a stop gap with little advancement. </w:t>
      </w:r>
    </w:p>
    <w:p w:rsidR="00866134" w:rsidRPr="006A74F8" w:rsidRDefault="00866134" w:rsidP="00866134">
      <w:pPr>
        <w:rPr>
          <w:rFonts w:cstheme="minorHAnsi"/>
          <w:color w:val="000000" w:themeColor="text1"/>
        </w:rPr>
      </w:pPr>
      <w:r w:rsidRPr="006A74F8">
        <w:rPr>
          <w:rFonts w:cstheme="minorHAnsi"/>
          <w:color w:val="000000" w:themeColor="text1"/>
        </w:rPr>
        <w:t xml:space="preserve">The weighing industry indicated a preference for </w:t>
      </w:r>
      <w:r w:rsidR="00B6382C" w:rsidRPr="006A74F8">
        <w:rPr>
          <w:rFonts w:cstheme="minorHAnsi"/>
          <w:color w:val="000000" w:themeColor="text1"/>
        </w:rPr>
        <w:t xml:space="preserve">the following </w:t>
      </w:r>
      <w:r w:rsidRPr="006A74F8">
        <w:rPr>
          <w:rFonts w:cstheme="minorHAnsi"/>
          <w:color w:val="000000" w:themeColor="text1"/>
        </w:rPr>
        <w:t>areas in option 1 that align with elements of the status quo:</w:t>
      </w:r>
    </w:p>
    <w:p w:rsidR="00866134" w:rsidRPr="006A74F8" w:rsidRDefault="00866134" w:rsidP="00866134">
      <w:pPr>
        <w:pStyle w:val="ListParagraph"/>
        <w:numPr>
          <w:ilvl w:val="0"/>
          <w:numId w:val="161"/>
        </w:numPr>
        <w:rPr>
          <w:rFonts w:cstheme="minorHAnsi"/>
          <w:color w:val="000000" w:themeColor="text1"/>
          <w:lang w:val="en-GB"/>
        </w:rPr>
      </w:pPr>
      <w:r w:rsidRPr="006A74F8">
        <w:rPr>
          <w:rFonts w:cstheme="minorHAnsi"/>
          <w:color w:val="000000" w:themeColor="text1"/>
        </w:rPr>
        <w:t>Pattern approval and verification requirements for weighing instruments</w:t>
      </w:r>
    </w:p>
    <w:p w:rsidR="00866134" w:rsidRPr="006A74F8" w:rsidRDefault="00866134" w:rsidP="00866134">
      <w:pPr>
        <w:pStyle w:val="ListParagraph"/>
        <w:numPr>
          <w:ilvl w:val="0"/>
          <w:numId w:val="161"/>
        </w:numPr>
        <w:rPr>
          <w:rFonts w:cstheme="minorHAnsi"/>
          <w:color w:val="000000" w:themeColor="text1"/>
        </w:rPr>
      </w:pPr>
      <w:r w:rsidRPr="006A74F8">
        <w:rPr>
          <w:rFonts w:cstheme="minorHAnsi"/>
          <w:color w:val="000000" w:themeColor="text1"/>
          <w:lang w:val="en-GB"/>
        </w:rPr>
        <w:t xml:space="preserve">Appointment of </w:t>
      </w:r>
      <w:r w:rsidRPr="006A74F8">
        <w:rPr>
          <w:rFonts w:cstheme="minorHAnsi"/>
          <w:color w:val="000000" w:themeColor="text1"/>
        </w:rPr>
        <w:t xml:space="preserve">ATPs </w:t>
      </w:r>
    </w:p>
    <w:p w:rsidR="00866134" w:rsidRPr="006A74F8" w:rsidRDefault="00866134" w:rsidP="00866134">
      <w:pPr>
        <w:pStyle w:val="ListParagraph"/>
        <w:numPr>
          <w:ilvl w:val="0"/>
          <w:numId w:val="161"/>
        </w:numPr>
        <w:rPr>
          <w:rFonts w:cstheme="minorHAnsi"/>
          <w:color w:val="000000" w:themeColor="text1"/>
        </w:rPr>
      </w:pPr>
      <w:r w:rsidRPr="006A74F8">
        <w:rPr>
          <w:rFonts w:cstheme="minorHAnsi"/>
          <w:color w:val="000000" w:themeColor="text1"/>
        </w:rPr>
        <w:t>Public weighbridge licen</w:t>
      </w:r>
      <w:r w:rsidR="0031220D" w:rsidRPr="006A74F8">
        <w:rPr>
          <w:rFonts w:cstheme="minorHAnsi"/>
          <w:color w:val="000000" w:themeColor="text1"/>
        </w:rPr>
        <w:t>c</w:t>
      </w:r>
      <w:r w:rsidRPr="006A74F8">
        <w:rPr>
          <w:rFonts w:cstheme="minorHAnsi"/>
          <w:color w:val="000000" w:themeColor="text1"/>
        </w:rPr>
        <w:t>es.</w:t>
      </w:r>
    </w:p>
    <w:p w:rsidR="00866134" w:rsidRPr="006A74F8" w:rsidRDefault="00866134" w:rsidP="00866134">
      <w:pPr>
        <w:rPr>
          <w:rFonts w:cstheme="minorHAnsi"/>
          <w:color w:val="000000" w:themeColor="text1"/>
        </w:rPr>
      </w:pPr>
      <w:r w:rsidRPr="006A74F8">
        <w:rPr>
          <w:rFonts w:cstheme="minorHAnsi"/>
          <w:color w:val="000000" w:themeColor="text1"/>
        </w:rPr>
        <w:t>However</w:t>
      </w:r>
      <w:r w:rsidR="0031220D" w:rsidRPr="006A74F8">
        <w:rPr>
          <w:rFonts w:cstheme="minorHAnsi"/>
          <w:color w:val="000000" w:themeColor="text1"/>
        </w:rPr>
        <w:t>,</w:t>
      </w:r>
      <w:r w:rsidRPr="006A74F8">
        <w:rPr>
          <w:rFonts w:cstheme="minorHAnsi"/>
          <w:color w:val="000000" w:themeColor="text1"/>
        </w:rPr>
        <w:t xml:space="preserve"> the weighing industry also noted advantages in future proofing the measurement framework and adopting new technologies, which aligns with the intent of option 2.</w:t>
      </w:r>
    </w:p>
    <w:p w:rsidR="00866134" w:rsidRPr="006A74F8" w:rsidRDefault="00866134" w:rsidP="00866134">
      <w:pPr>
        <w:rPr>
          <w:rFonts w:cstheme="minorHAnsi"/>
          <w:color w:val="000000" w:themeColor="text1"/>
        </w:rPr>
      </w:pPr>
      <w:r w:rsidRPr="006A74F8">
        <w:rPr>
          <w:rFonts w:cstheme="minorHAnsi"/>
          <w:color w:val="000000" w:themeColor="text1"/>
        </w:rPr>
        <w:t xml:space="preserve">Consumer associations and consumers preferred mandatory requirements to mark the measurement on the front of packaged products, similar to the approach in </w:t>
      </w:r>
      <w:r w:rsidR="0040274D" w:rsidRPr="006A74F8">
        <w:rPr>
          <w:rFonts w:cstheme="minorHAnsi"/>
          <w:color w:val="000000" w:themeColor="text1"/>
        </w:rPr>
        <w:t>o</w:t>
      </w:r>
      <w:r w:rsidRPr="006A74F8">
        <w:rPr>
          <w:rFonts w:cstheme="minorHAnsi"/>
          <w:color w:val="000000" w:themeColor="text1"/>
        </w:rPr>
        <w:t>ption 1. They were not supportive of exempting cosmetic products from this requirement.</w:t>
      </w:r>
    </w:p>
    <w:p w:rsidR="005265BD" w:rsidRPr="006A74F8" w:rsidRDefault="005265BD" w:rsidP="005265BD">
      <w:pPr>
        <w:spacing w:after="120"/>
        <w:rPr>
          <w:rFonts w:cstheme="minorHAnsi"/>
          <w:color w:val="000000" w:themeColor="text1"/>
          <w:u w:val="single"/>
        </w:rPr>
      </w:pPr>
      <w:r w:rsidRPr="006A74F8">
        <w:rPr>
          <w:rFonts w:cstheme="minorHAnsi"/>
          <w:b/>
          <w:color w:val="000000" w:themeColor="text1"/>
          <w:u w:val="single"/>
        </w:rPr>
        <w:t>Option 2</w:t>
      </w:r>
    </w:p>
    <w:p w:rsidR="00866134" w:rsidRPr="006A74F8" w:rsidRDefault="00866134" w:rsidP="00866134">
      <w:pPr>
        <w:rPr>
          <w:rFonts w:cstheme="minorHAnsi"/>
          <w:color w:val="000000" w:themeColor="text1"/>
        </w:rPr>
      </w:pPr>
      <w:r w:rsidRPr="006A74F8">
        <w:rPr>
          <w:rFonts w:cstheme="minorHAnsi"/>
          <w:color w:val="000000" w:themeColor="text1"/>
        </w:rPr>
        <w:t xml:space="preserve">Option 2 was presented in the RIS as the option with the greatest net benefit. While there were certain aspects of option 2 that some stakeholders did not fully support, the majority of stakeholders who stated a preferred option agreed with the assessment that option 2 provided the greatest overall benefit. There were also aspects of option 2 that </w:t>
      </w:r>
      <w:r w:rsidR="00725D12">
        <w:rPr>
          <w:rFonts w:cstheme="minorHAnsi"/>
          <w:color w:val="000000" w:themeColor="text1"/>
        </w:rPr>
        <w:t xml:space="preserve">were supported by </w:t>
      </w:r>
      <w:r w:rsidRPr="006A74F8">
        <w:rPr>
          <w:rFonts w:cstheme="minorHAnsi"/>
          <w:color w:val="000000" w:themeColor="text1"/>
        </w:rPr>
        <w:t>stakeholders even if they did not state an overall preference for a particular option. Th</w:t>
      </w:r>
      <w:r w:rsidR="00725D12">
        <w:rPr>
          <w:rFonts w:cstheme="minorHAnsi"/>
          <w:color w:val="000000" w:themeColor="text1"/>
        </w:rPr>
        <w:t>ese</w:t>
      </w:r>
      <w:r w:rsidRPr="006A74F8">
        <w:rPr>
          <w:rFonts w:cstheme="minorHAnsi"/>
          <w:color w:val="000000" w:themeColor="text1"/>
        </w:rPr>
        <w:t xml:space="preserve"> included recognition of the need to future</w:t>
      </w:r>
      <w:r w:rsidR="0053192E" w:rsidRPr="006A74F8">
        <w:rPr>
          <w:rFonts w:cstheme="minorHAnsi"/>
          <w:color w:val="000000" w:themeColor="text1"/>
        </w:rPr>
        <w:t xml:space="preserve"> </w:t>
      </w:r>
      <w:r w:rsidRPr="006A74F8">
        <w:rPr>
          <w:rFonts w:cstheme="minorHAnsi"/>
          <w:color w:val="000000" w:themeColor="text1"/>
        </w:rPr>
        <w:t>proof the measurement framework.</w:t>
      </w:r>
    </w:p>
    <w:p w:rsidR="00866134" w:rsidRPr="006A74F8" w:rsidRDefault="00866134" w:rsidP="00866134">
      <w:pPr>
        <w:keepNext/>
        <w:rPr>
          <w:rFonts w:cstheme="minorHAnsi"/>
          <w:color w:val="000000" w:themeColor="text1"/>
        </w:rPr>
      </w:pPr>
      <w:r w:rsidRPr="006A74F8">
        <w:rPr>
          <w:rFonts w:cstheme="minorHAnsi"/>
          <w:color w:val="000000" w:themeColor="text1"/>
        </w:rPr>
        <w:t>Stakeholder views on option 2 included:</w:t>
      </w:r>
    </w:p>
    <w:p w:rsidR="00866134" w:rsidRPr="006A74F8" w:rsidRDefault="00866134" w:rsidP="00866134">
      <w:pPr>
        <w:pStyle w:val="ListParagraph"/>
        <w:numPr>
          <w:ilvl w:val="0"/>
          <w:numId w:val="157"/>
        </w:numPr>
        <w:rPr>
          <w:rFonts w:cstheme="minorHAnsi"/>
          <w:color w:val="000000" w:themeColor="text1"/>
        </w:rPr>
      </w:pPr>
      <w:r w:rsidRPr="006A74F8">
        <w:rPr>
          <w:rFonts w:cstheme="minorHAnsi"/>
          <w:color w:val="000000" w:themeColor="text1"/>
          <w:lang w:val="en-GB"/>
        </w:rPr>
        <w:t xml:space="preserve">If appropriately implemented it would be more flexible and durable than the current legislation or the </w:t>
      </w:r>
      <w:r w:rsidR="00D723F9" w:rsidRPr="006A74F8">
        <w:rPr>
          <w:rFonts w:cstheme="minorHAnsi"/>
          <w:color w:val="000000" w:themeColor="text1"/>
          <w:lang w:val="en-GB"/>
        </w:rPr>
        <w:t xml:space="preserve">approach under </w:t>
      </w:r>
      <w:r w:rsidRPr="006A74F8">
        <w:rPr>
          <w:rFonts w:cstheme="minorHAnsi"/>
          <w:color w:val="000000" w:themeColor="text1"/>
          <w:lang w:val="en-GB"/>
        </w:rPr>
        <w:t xml:space="preserve">option 1. </w:t>
      </w:r>
    </w:p>
    <w:p w:rsidR="00866134" w:rsidRPr="006A74F8" w:rsidRDefault="00866134" w:rsidP="00866134">
      <w:pPr>
        <w:pStyle w:val="ListParagraph"/>
        <w:numPr>
          <w:ilvl w:val="0"/>
          <w:numId w:val="157"/>
        </w:numPr>
        <w:rPr>
          <w:rFonts w:cstheme="minorHAnsi"/>
          <w:color w:val="000000" w:themeColor="text1"/>
        </w:rPr>
      </w:pPr>
      <w:r w:rsidRPr="006A74F8">
        <w:rPr>
          <w:rFonts w:cstheme="minorHAnsi"/>
          <w:color w:val="000000" w:themeColor="text1"/>
        </w:rPr>
        <w:t xml:space="preserve">It appears to support the oversight required for industry and provides scope for the development of new processes to accommodate the arrival of new technologies. </w:t>
      </w:r>
    </w:p>
    <w:p w:rsidR="00866134" w:rsidRPr="006A74F8" w:rsidRDefault="00866134" w:rsidP="00866134">
      <w:pPr>
        <w:pStyle w:val="ListParagraph"/>
        <w:numPr>
          <w:ilvl w:val="0"/>
          <w:numId w:val="157"/>
        </w:numPr>
        <w:rPr>
          <w:rFonts w:cstheme="minorHAnsi"/>
          <w:color w:val="000000" w:themeColor="text1"/>
        </w:rPr>
      </w:pPr>
      <w:r w:rsidRPr="006A74F8">
        <w:rPr>
          <w:rFonts w:cstheme="minorHAnsi"/>
          <w:color w:val="000000" w:themeColor="text1"/>
        </w:rPr>
        <w:t xml:space="preserve">It is the best fit for both industry and consumers due to its flexibility and focus on the future. </w:t>
      </w:r>
    </w:p>
    <w:p w:rsidR="00866134" w:rsidRPr="006A74F8" w:rsidRDefault="00866134" w:rsidP="00866134">
      <w:pPr>
        <w:pStyle w:val="ListParagraph"/>
        <w:numPr>
          <w:ilvl w:val="0"/>
          <w:numId w:val="156"/>
        </w:numPr>
        <w:rPr>
          <w:rFonts w:cstheme="minorHAnsi"/>
          <w:color w:val="000000" w:themeColor="text1"/>
        </w:rPr>
      </w:pPr>
      <w:r w:rsidRPr="006A74F8">
        <w:rPr>
          <w:rFonts w:cstheme="minorHAnsi"/>
          <w:color w:val="000000" w:themeColor="text1"/>
        </w:rPr>
        <w:t>The principles-based approach underpins the key principle of minimum effective regulation.</w:t>
      </w:r>
    </w:p>
    <w:p w:rsidR="00866134" w:rsidRPr="006A74F8" w:rsidRDefault="00866134" w:rsidP="00866134">
      <w:pPr>
        <w:pStyle w:val="ListParagraph"/>
        <w:numPr>
          <w:ilvl w:val="0"/>
          <w:numId w:val="156"/>
        </w:numPr>
        <w:rPr>
          <w:rFonts w:cstheme="minorHAnsi"/>
          <w:color w:val="000000" w:themeColor="text1"/>
        </w:rPr>
      </w:pPr>
      <w:r w:rsidRPr="006A74F8">
        <w:rPr>
          <w:rFonts w:cstheme="minorHAnsi"/>
          <w:color w:val="000000" w:themeColor="text1"/>
        </w:rPr>
        <w:t>It will better align the regulatory environment for fast moving consumer goods and be less burdensome on imports, particularly those from the EU.</w:t>
      </w:r>
    </w:p>
    <w:p w:rsidR="005265BD" w:rsidRPr="006A74F8" w:rsidRDefault="005265BD" w:rsidP="005265BD">
      <w:pPr>
        <w:spacing w:after="120"/>
        <w:rPr>
          <w:rFonts w:cstheme="minorHAnsi"/>
          <w:color w:val="000000" w:themeColor="text1"/>
        </w:rPr>
      </w:pPr>
      <w:r w:rsidRPr="006A74F8">
        <w:rPr>
          <w:rFonts w:cstheme="minorHAnsi"/>
          <w:b/>
          <w:color w:val="000000" w:themeColor="text1"/>
          <w:u w:val="single"/>
        </w:rPr>
        <w:t>Option 3</w:t>
      </w:r>
    </w:p>
    <w:p w:rsidR="00866134" w:rsidRPr="006A74F8" w:rsidRDefault="00866134" w:rsidP="00866134">
      <w:pPr>
        <w:rPr>
          <w:rFonts w:cstheme="minorHAnsi"/>
          <w:color w:val="000000" w:themeColor="text1"/>
        </w:rPr>
      </w:pPr>
      <w:r w:rsidRPr="006A74F8">
        <w:rPr>
          <w:rFonts w:cstheme="minorHAnsi"/>
          <w:color w:val="000000" w:themeColor="text1"/>
        </w:rPr>
        <w:t xml:space="preserve">A small number of stakeholders noted value in option 3, or certain elements of option 3. </w:t>
      </w:r>
    </w:p>
    <w:p w:rsidR="00866134" w:rsidRPr="006A74F8" w:rsidRDefault="00866134" w:rsidP="00866134">
      <w:pPr>
        <w:pStyle w:val="ListParagraph"/>
        <w:numPr>
          <w:ilvl w:val="0"/>
          <w:numId w:val="173"/>
        </w:numPr>
        <w:rPr>
          <w:rFonts w:cstheme="minorHAnsi"/>
          <w:color w:val="000000" w:themeColor="text1"/>
        </w:rPr>
      </w:pPr>
      <w:r w:rsidRPr="006A74F8">
        <w:rPr>
          <w:rFonts w:cstheme="minorHAnsi"/>
          <w:color w:val="000000" w:themeColor="text1"/>
        </w:rPr>
        <w:t>A measurement expert who responded suggested there was value in option 3, but raised concerns regarding the difficulties and costs of integrating NMI’s responsibilities with those of other regulators.</w:t>
      </w:r>
    </w:p>
    <w:p w:rsidR="00866134" w:rsidRPr="006A74F8" w:rsidRDefault="00866134" w:rsidP="00866134">
      <w:pPr>
        <w:pStyle w:val="ListParagraph"/>
        <w:numPr>
          <w:ilvl w:val="0"/>
          <w:numId w:val="173"/>
        </w:numPr>
        <w:rPr>
          <w:rFonts w:cstheme="minorHAnsi"/>
          <w:color w:val="000000" w:themeColor="text1"/>
          <w:lang w:eastAsia="en-AU"/>
        </w:rPr>
      </w:pPr>
      <w:r w:rsidRPr="006A74F8">
        <w:rPr>
          <w:rFonts w:cstheme="minorHAnsi"/>
          <w:color w:val="000000" w:themeColor="text1"/>
        </w:rPr>
        <w:t xml:space="preserve">Standards </w:t>
      </w:r>
      <w:r w:rsidR="0040274D" w:rsidRPr="006A74F8">
        <w:rPr>
          <w:rFonts w:cstheme="minorHAnsi"/>
          <w:color w:val="000000" w:themeColor="text1"/>
        </w:rPr>
        <w:t>Australia</w:t>
      </w:r>
      <w:r w:rsidRPr="006A74F8">
        <w:rPr>
          <w:rFonts w:cstheme="minorHAnsi"/>
          <w:color w:val="000000" w:themeColor="text1"/>
        </w:rPr>
        <w:t>, a member of the Technical Infrastructure Alliance, considered this review to be an opportunity for the government to future</w:t>
      </w:r>
      <w:r w:rsidR="0053192E" w:rsidRPr="006A74F8">
        <w:rPr>
          <w:rFonts w:cstheme="minorHAnsi"/>
          <w:color w:val="000000" w:themeColor="text1"/>
        </w:rPr>
        <w:t xml:space="preserve"> </w:t>
      </w:r>
      <w:r w:rsidRPr="006A74F8">
        <w:rPr>
          <w:rFonts w:cstheme="minorHAnsi"/>
          <w:color w:val="000000" w:themeColor="text1"/>
        </w:rPr>
        <w:t xml:space="preserve">proof measurement in Australia and put in place a framework that allows the NMI to adapt in an increasingly dynamic </w:t>
      </w:r>
      <w:r w:rsidRPr="006A74F8">
        <w:rPr>
          <w:rFonts w:cstheme="minorHAnsi"/>
          <w:color w:val="000000" w:themeColor="text1"/>
        </w:rPr>
        <w:lastRenderedPageBreak/>
        <w:t xml:space="preserve">environment. They observed that </w:t>
      </w:r>
      <w:r w:rsidRPr="006A74F8">
        <w:rPr>
          <w:rFonts w:cstheme="minorHAnsi"/>
          <w:color w:val="000000" w:themeColor="text1"/>
          <w:lang w:eastAsia="en-AU"/>
        </w:rPr>
        <w:t>the national and international environment in which NMI operates is fluid and the agility needed, and demonstrated by NMI in its response to COVID</w:t>
      </w:r>
      <w:r w:rsidRPr="006A74F8">
        <w:rPr>
          <w:rFonts w:cstheme="minorHAnsi"/>
          <w:color w:val="000000" w:themeColor="text1"/>
          <w:lang w:eastAsia="en-AU"/>
        </w:rPr>
        <w:noBreakHyphen/>
        <w:t xml:space="preserve">19 should not be considered a ‘one-off’. </w:t>
      </w:r>
      <w:r w:rsidRPr="006A74F8">
        <w:rPr>
          <w:rFonts w:cstheme="minorHAnsi"/>
          <w:color w:val="000000" w:themeColor="text1"/>
        </w:rPr>
        <w:t xml:space="preserve">They suggested </w:t>
      </w:r>
      <w:r w:rsidRPr="006A74F8">
        <w:rPr>
          <w:rFonts w:cstheme="minorHAnsi"/>
          <w:color w:val="000000" w:themeColor="text1"/>
          <w:lang w:eastAsia="en-AU"/>
        </w:rPr>
        <w:t>a moderated approach to option 3, with appropriate governance arrangements to ensure:</w:t>
      </w:r>
    </w:p>
    <w:p w:rsidR="00866134" w:rsidRPr="006A74F8" w:rsidRDefault="00866134" w:rsidP="00866134">
      <w:pPr>
        <w:pStyle w:val="ListParagraph"/>
        <w:numPr>
          <w:ilvl w:val="1"/>
          <w:numId w:val="173"/>
        </w:numPr>
        <w:rPr>
          <w:rFonts w:cstheme="minorHAnsi"/>
          <w:color w:val="000000" w:themeColor="text1"/>
          <w:lang w:eastAsia="en-AU"/>
        </w:rPr>
      </w:pPr>
      <w:r w:rsidRPr="006A74F8">
        <w:rPr>
          <w:rFonts w:cstheme="minorHAnsi"/>
          <w:color w:val="000000" w:themeColor="text1"/>
          <w:lang w:eastAsia="en-AU"/>
        </w:rPr>
        <w:t xml:space="preserve">The regulation of measurement in Australia remains current; and </w:t>
      </w:r>
    </w:p>
    <w:p w:rsidR="00866134" w:rsidRPr="006A74F8" w:rsidRDefault="00866134" w:rsidP="00866134">
      <w:pPr>
        <w:pStyle w:val="ListParagraph"/>
        <w:numPr>
          <w:ilvl w:val="1"/>
          <w:numId w:val="173"/>
        </w:numPr>
        <w:rPr>
          <w:rFonts w:cstheme="minorHAnsi"/>
          <w:color w:val="000000" w:themeColor="text1"/>
          <w:lang w:eastAsia="en-AU"/>
        </w:rPr>
      </w:pPr>
      <w:r w:rsidRPr="006A74F8">
        <w:rPr>
          <w:rFonts w:cstheme="minorHAnsi"/>
          <w:color w:val="000000" w:themeColor="text1"/>
          <w:lang w:eastAsia="en-AU"/>
        </w:rPr>
        <w:t xml:space="preserve">NMI are able to respond to critical events in Australia that require a measurement response. </w:t>
      </w:r>
    </w:p>
    <w:p w:rsidR="00866134" w:rsidRPr="006A74F8" w:rsidRDefault="00866134" w:rsidP="00866134">
      <w:pPr>
        <w:pStyle w:val="ListParagraph"/>
        <w:numPr>
          <w:ilvl w:val="0"/>
          <w:numId w:val="173"/>
        </w:numPr>
        <w:rPr>
          <w:rFonts w:cstheme="minorHAnsi"/>
          <w:color w:val="000000" w:themeColor="text1"/>
          <w:lang w:eastAsia="en-AU"/>
        </w:rPr>
      </w:pPr>
      <w:r w:rsidRPr="006A74F8">
        <w:rPr>
          <w:rFonts w:cstheme="minorHAnsi"/>
          <w:color w:val="000000" w:themeColor="text1"/>
        </w:rPr>
        <w:t>The weighing industry suggested the ability to switch o</w:t>
      </w:r>
      <w:r w:rsidR="00C71D87" w:rsidRPr="006A74F8">
        <w:rPr>
          <w:rFonts w:cstheme="minorHAnsi"/>
          <w:color w:val="000000" w:themeColor="text1"/>
        </w:rPr>
        <w:t>n the regulation of measurement-</w:t>
      </w:r>
      <w:r w:rsidRPr="006A74F8">
        <w:rPr>
          <w:rFonts w:cstheme="minorHAnsi"/>
          <w:color w:val="000000" w:themeColor="text1"/>
        </w:rPr>
        <w:t>based activities outside the trade context should be adopted from option 3.</w:t>
      </w:r>
    </w:p>
    <w:p w:rsidR="00E6246C" w:rsidRPr="006A74F8" w:rsidRDefault="00E6246C" w:rsidP="005265BD">
      <w:pPr>
        <w:pStyle w:val="Heading3"/>
      </w:pPr>
      <w:bookmarkStart w:id="1739" w:name="_Toc74658913"/>
      <w:r w:rsidRPr="006A74F8">
        <w:t>Consideration of key themes</w:t>
      </w:r>
      <w:bookmarkEnd w:id="1739"/>
      <w:r w:rsidRPr="006A74F8">
        <w:t xml:space="preserve"> across stakeholder feedback</w:t>
      </w:r>
    </w:p>
    <w:p w:rsidR="00E6246C" w:rsidRPr="006A74F8" w:rsidRDefault="00E6246C" w:rsidP="00E6246C">
      <w:r w:rsidRPr="006A74F8">
        <w:t xml:space="preserve">There were a number of themes across stakeholder submissions that emerged as either areas of agreement, or areas of </w:t>
      </w:r>
      <w:r w:rsidR="00672F46" w:rsidRPr="006A74F8">
        <w:t>difference</w:t>
      </w:r>
      <w:r w:rsidRPr="006A74F8">
        <w:t xml:space="preserve">. The majority of these relate to specific changes presented under </w:t>
      </w:r>
      <w:r w:rsidR="00212C0A" w:rsidRPr="006A74F8">
        <w:t>o</w:t>
      </w:r>
      <w:r w:rsidRPr="006A74F8">
        <w:t>ption 2.</w:t>
      </w:r>
    </w:p>
    <w:p w:rsidR="00E6246C" w:rsidRPr="006A74F8" w:rsidRDefault="00E6246C" w:rsidP="005265BD">
      <w:pPr>
        <w:pStyle w:val="Heading4"/>
      </w:pPr>
      <w:bookmarkStart w:id="1740" w:name="_Toc74658914"/>
      <w:r w:rsidRPr="006A74F8">
        <w:t xml:space="preserve">Key areas of </w:t>
      </w:r>
      <w:r w:rsidR="000B5574" w:rsidRPr="006A74F8">
        <w:t>a</w:t>
      </w:r>
      <w:r w:rsidRPr="006A74F8">
        <w:t>greement</w:t>
      </w:r>
      <w:bookmarkEnd w:id="1740"/>
      <w:r w:rsidR="000479D1" w:rsidRPr="006A74F8">
        <w:t xml:space="preserve"> between </w:t>
      </w:r>
      <w:r w:rsidR="000B5574" w:rsidRPr="006A74F8">
        <w:t>s</w:t>
      </w:r>
      <w:r w:rsidR="000479D1" w:rsidRPr="006A74F8">
        <w:t>takeholders</w:t>
      </w:r>
    </w:p>
    <w:p w:rsidR="00E6246C" w:rsidRPr="006A74F8" w:rsidRDefault="00B43F9D" w:rsidP="00E6246C">
      <w:r w:rsidRPr="006A74F8">
        <w:t>K</w:t>
      </w:r>
      <w:r w:rsidR="00E6246C" w:rsidRPr="006A74F8">
        <w:t xml:space="preserve">ey areas of agreement </w:t>
      </w:r>
      <w:r w:rsidRPr="006A74F8">
        <w:t>included</w:t>
      </w:r>
      <w:r w:rsidR="00E6246C" w:rsidRPr="006A74F8">
        <w:t>:</w:t>
      </w:r>
    </w:p>
    <w:p w:rsidR="00E6246C" w:rsidRPr="006A74F8" w:rsidRDefault="00C473AE" w:rsidP="002B2F07">
      <w:pPr>
        <w:pStyle w:val="ListParagraph"/>
        <w:numPr>
          <w:ilvl w:val="0"/>
          <w:numId w:val="158"/>
        </w:numPr>
      </w:pPr>
      <w:r w:rsidRPr="006A74F8">
        <w:t>Expanding prohibitions on false or misleading measurement statements</w:t>
      </w:r>
    </w:p>
    <w:p w:rsidR="00E6246C" w:rsidRPr="006A74F8" w:rsidRDefault="00E6246C" w:rsidP="002B2F07">
      <w:pPr>
        <w:pStyle w:val="ListParagraph"/>
        <w:numPr>
          <w:ilvl w:val="0"/>
          <w:numId w:val="158"/>
        </w:numPr>
      </w:pPr>
      <w:r w:rsidRPr="006A74F8">
        <w:t>Maintaining current public weighbridge licensing structure</w:t>
      </w:r>
    </w:p>
    <w:p w:rsidR="00414E34" w:rsidRPr="006A74F8" w:rsidRDefault="00414E34" w:rsidP="00414E34">
      <w:pPr>
        <w:pStyle w:val="ListParagraph"/>
        <w:numPr>
          <w:ilvl w:val="0"/>
          <w:numId w:val="158"/>
        </w:numPr>
      </w:pPr>
      <w:r w:rsidRPr="006A74F8">
        <w:t xml:space="preserve">General recognition </w:t>
      </w:r>
      <w:r w:rsidR="00CA7270" w:rsidRPr="006A74F8">
        <w:t xml:space="preserve">of </w:t>
      </w:r>
      <w:r w:rsidRPr="006A74F8">
        <w:t xml:space="preserve">the need </w:t>
      </w:r>
      <w:r w:rsidR="00CA7270" w:rsidRPr="006A74F8">
        <w:t xml:space="preserve">for </w:t>
      </w:r>
      <w:r w:rsidRPr="006A74F8">
        <w:t>flexibility in certain areas</w:t>
      </w:r>
    </w:p>
    <w:p w:rsidR="00E6246C" w:rsidRPr="006A74F8" w:rsidRDefault="00E6246C" w:rsidP="002B2F07">
      <w:pPr>
        <w:pStyle w:val="ListParagraph"/>
        <w:numPr>
          <w:ilvl w:val="0"/>
          <w:numId w:val="158"/>
        </w:numPr>
      </w:pPr>
      <w:r w:rsidRPr="006A74F8">
        <w:t xml:space="preserve">Education, communication and guidance material </w:t>
      </w:r>
      <w:r w:rsidR="00414E34" w:rsidRPr="006A74F8">
        <w:t xml:space="preserve">needed </w:t>
      </w:r>
      <w:r w:rsidRPr="006A74F8">
        <w:t>to support principles</w:t>
      </w:r>
      <w:r w:rsidR="004B1F6E" w:rsidRPr="006A74F8">
        <w:t>-</w:t>
      </w:r>
      <w:r w:rsidRPr="006A74F8">
        <w:t xml:space="preserve">based requirements </w:t>
      </w:r>
    </w:p>
    <w:p w:rsidR="00747EA0" w:rsidRPr="006A74F8" w:rsidRDefault="00D0507A" w:rsidP="002B2F07">
      <w:pPr>
        <w:pStyle w:val="ListParagraph"/>
        <w:numPr>
          <w:ilvl w:val="0"/>
          <w:numId w:val="158"/>
        </w:numPr>
      </w:pPr>
      <w:r w:rsidRPr="006A74F8">
        <w:t>Lack of support for s</w:t>
      </w:r>
      <w:r w:rsidR="00747EA0" w:rsidRPr="006A74F8">
        <w:t>treamlining of appointment types</w:t>
      </w:r>
      <w:r w:rsidR="00CA4BDB" w:rsidRPr="006A74F8">
        <w:t xml:space="preserve"> for ATPs</w:t>
      </w:r>
    </w:p>
    <w:p w:rsidR="005265BD" w:rsidRPr="006A74F8" w:rsidRDefault="005265BD" w:rsidP="00CE1D45">
      <w:pPr>
        <w:pStyle w:val="Heading5"/>
      </w:pPr>
      <w:r w:rsidRPr="006A74F8">
        <w:t>Expan</w:t>
      </w:r>
      <w:r w:rsidR="00C473AE" w:rsidRPr="006A74F8">
        <w:t xml:space="preserve">ding prohibitions on false or misleading measurement statements </w:t>
      </w:r>
    </w:p>
    <w:p w:rsidR="00866134" w:rsidRPr="006A74F8" w:rsidRDefault="00866134" w:rsidP="00866134">
      <w:pPr>
        <w:rPr>
          <w:rFonts w:cstheme="minorHAnsi"/>
          <w:color w:val="000000" w:themeColor="text1"/>
        </w:rPr>
      </w:pPr>
      <w:r w:rsidRPr="006A74F8">
        <w:rPr>
          <w:rFonts w:cstheme="minorHAnsi"/>
          <w:color w:val="000000" w:themeColor="text1"/>
        </w:rPr>
        <w:t xml:space="preserve">Amongst stakeholders who commented, there was universal support for a prohibition on false or misleading measurement statements in relation to goods and services. Currently shortfall is prohibited in relation to </w:t>
      </w:r>
      <w:r w:rsidR="003143E3" w:rsidRPr="006A74F8">
        <w:rPr>
          <w:rFonts w:cstheme="minorHAnsi"/>
          <w:color w:val="000000" w:themeColor="text1"/>
        </w:rPr>
        <w:t xml:space="preserve">the sale of </w:t>
      </w:r>
      <w:r w:rsidRPr="006A74F8">
        <w:rPr>
          <w:rFonts w:cstheme="minorHAnsi"/>
          <w:color w:val="000000" w:themeColor="text1"/>
        </w:rPr>
        <w:t xml:space="preserve">goods </w:t>
      </w:r>
      <w:r w:rsidR="00725D12">
        <w:rPr>
          <w:rFonts w:cstheme="minorHAnsi"/>
          <w:color w:val="000000" w:themeColor="text1"/>
        </w:rPr>
        <w:t>but not</w:t>
      </w:r>
      <w:r w:rsidR="003143E3" w:rsidRPr="006A74F8">
        <w:rPr>
          <w:rFonts w:cstheme="minorHAnsi"/>
          <w:color w:val="000000" w:themeColor="text1"/>
        </w:rPr>
        <w:t xml:space="preserve"> </w:t>
      </w:r>
      <w:r w:rsidRPr="006A74F8">
        <w:rPr>
          <w:rFonts w:cstheme="minorHAnsi"/>
          <w:color w:val="000000" w:themeColor="text1"/>
        </w:rPr>
        <w:t>services</w:t>
      </w:r>
      <w:r w:rsidR="003143E3" w:rsidRPr="006A74F8">
        <w:rPr>
          <w:rFonts w:cstheme="minorHAnsi"/>
          <w:color w:val="000000" w:themeColor="text1"/>
        </w:rPr>
        <w:t xml:space="preserve"> (see </w:t>
      </w:r>
      <w:hyperlink w:anchor="_Expanding_scope_of" w:history="1">
        <w:r w:rsidR="000E2335" w:rsidRPr="006A74F8">
          <w:rPr>
            <w:rStyle w:val="Hyperlink"/>
            <w:rFonts w:cstheme="minorHAnsi"/>
          </w:rPr>
          <w:t>Section 5.4.6</w:t>
        </w:r>
      </w:hyperlink>
      <w:r w:rsidR="000E2335" w:rsidRPr="006A74F8">
        <w:rPr>
          <w:rFonts w:cstheme="minorHAnsi"/>
          <w:color w:val="000000" w:themeColor="text1"/>
        </w:rPr>
        <w:t xml:space="preserve"> </w:t>
      </w:r>
      <w:r w:rsidR="003143E3" w:rsidRPr="006A74F8">
        <w:rPr>
          <w:rFonts w:cstheme="minorHAnsi"/>
          <w:color w:val="000000" w:themeColor="text1"/>
        </w:rPr>
        <w:t>for further information)</w:t>
      </w:r>
      <w:r w:rsidRPr="006A74F8">
        <w:rPr>
          <w:rFonts w:cstheme="minorHAnsi"/>
          <w:color w:val="000000" w:themeColor="text1"/>
        </w:rPr>
        <w:t>. No opposition was received across any stakeholder groups or individual submissions. Consumers and consumer associations welcomed the change, observing that it provided increased consumer protection. Measuring instrument manufacturers, importers and distributors indicated that the expansion would help improve confidence in Australia’s measurement system.</w:t>
      </w:r>
    </w:p>
    <w:p w:rsidR="005265BD" w:rsidRPr="006A74F8" w:rsidRDefault="005265BD" w:rsidP="00CE1D45">
      <w:pPr>
        <w:pStyle w:val="Heading5"/>
      </w:pPr>
      <w:r w:rsidRPr="006A74F8">
        <w:t>Maintaining current public weighbridge licensing structure</w:t>
      </w:r>
    </w:p>
    <w:p w:rsidR="00866134" w:rsidRPr="006A74F8" w:rsidRDefault="00866134" w:rsidP="00866134">
      <w:pPr>
        <w:rPr>
          <w:rFonts w:cstheme="minorHAnsi"/>
          <w:color w:val="000000" w:themeColor="text1"/>
        </w:rPr>
      </w:pPr>
      <w:r w:rsidRPr="006A74F8">
        <w:rPr>
          <w:rFonts w:cstheme="minorHAnsi"/>
          <w:color w:val="000000" w:themeColor="text1"/>
        </w:rPr>
        <w:t>A consumer association and members of the weighing industry expressed concerns regarding proposed changes that would see public weighbridges transition to a general licence system. The weighing industry felt that a transition to a general licence system under options 2 and 3 would negatively impact industry investment in this area and introduce rogue operators.</w:t>
      </w:r>
    </w:p>
    <w:p w:rsidR="00414E34" w:rsidRPr="006A74F8" w:rsidRDefault="00414E34" w:rsidP="00CE1D45">
      <w:pPr>
        <w:pStyle w:val="Heading5"/>
      </w:pPr>
      <w:r w:rsidRPr="006A74F8">
        <w:t xml:space="preserve">General recognition </w:t>
      </w:r>
      <w:r w:rsidR="00BD0919" w:rsidRPr="006A74F8">
        <w:t xml:space="preserve">of </w:t>
      </w:r>
      <w:r w:rsidRPr="006A74F8">
        <w:t xml:space="preserve">the need </w:t>
      </w:r>
      <w:r w:rsidR="00BD0919" w:rsidRPr="006A74F8">
        <w:t>for</w:t>
      </w:r>
      <w:r w:rsidRPr="006A74F8">
        <w:t xml:space="preserve"> flexibility in certain areas </w:t>
      </w:r>
    </w:p>
    <w:p w:rsidR="00866134" w:rsidRPr="006A74F8" w:rsidRDefault="00414E34" w:rsidP="00866134">
      <w:pPr>
        <w:rPr>
          <w:rFonts w:cstheme="minorHAnsi"/>
          <w:color w:val="000000" w:themeColor="text1"/>
        </w:rPr>
      </w:pPr>
      <w:r w:rsidRPr="006A74F8">
        <w:rPr>
          <w:rFonts w:cstheme="minorHAnsi"/>
          <w:color w:val="000000" w:themeColor="text1"/>
        </w:rPr>
        <w:t xml:space="preserve">Across stakeholder groups there was an identified need for increased flexibility in certain areas of the measurement framework to enable Australia to adapt to the changing future of metrology. </w:t>
      </w:r>
      <w:r w:rsidR="00866134" w:rsidRPr="006A74F8">
        <w:rPr>
          <w:rFonts w:cstheme="minorHAnsi"/>
          <w:color w:val="000000" w:themeColor="text1"/>
        </w:rPr>
        <w:t xml:space="preserve">However, not all stakeholders agreed on the specific areas where this was required or should be applied. </w:t>
      </w:r>
    </w:p>
    <w:p w:rsidR="00B43F9D" w:rsidRPr="006A74F8" w:rsidRDefault="00B43F9D" w:rsidP="00CE1D45">
      <w:pPr>
        <w:pStyle w:val="Heading5"/>
      </w:pPr>
      <w:r w:rsidRPr="006A74F8">
        <w:lastRenderedPageBreak/>
        <w:t xml:space="preserve">Education, communication and guidance material </w:t>
      </w:r>
      <w:r w:rsidR="00414E34" w:rsidRPr="006A74F8">
        <w:t xml:space="preserve">needed </w:t>
      </w:r>
      <w:r w:rsidRPr="006A74F8">
        <w:t>to support principles</w:t>
      </w:r>
      <w:r w:rsidR="004B1F6E" w:rsidRPr="006A74F8">
        <w:t>-</w:t>
      </w:r>
      <w:r w:rsidRPr="006A74F8">
        <w:t>based requirements</w:t>
      </w:r>
    </w:p>
    <w:p w:rsidR="00866134" w:rsidRPr="006A74F8" w:rsidRDefault="00E6246C" w:rsidP="00866134">
      <w:pPr>
        <w:rPr>
          <w:rFonts w:cstheme="minorHAnsi"/>
          <w:color w:val="000000" w:themeColor="text1"/>
        </w:rPr>
      </w:pPr>
      <w:r w:rsidRPr="006A74F8">
        <w:rPr>
          <w:rFonts w:cstheme="minorHAnsi"/>
          <w:color w:val="000000" w:themeColor="text1"/>
        </w:rPr>
        <w:t xml:space="preserve">Industry </w:t>
      </w:r>
      <w:r w:rsidR="00866134" w:rsidRPr="006A74F8">
        <w:rPr>
          <w:rFonts w:cstheme="minorHAnsi"/>
          <w:color w:val="000000" w:themeColor="text1"/>
        </w:rPr>
        <w:t>respondents</w:t>
      </w:r>
      <w:r w:rsidR="00983397" w:rsidRPr="006A74F8">
        <w:rPr>
          <w:rFonts w:cstheme="minorHAnsi"/>
          <w:color w:val="000000" w:themeColor="text1"/>
        </w:rPr>
        <w:t xml:space="preserve"> </w:t>
      </w:r>
      <w:r w:rsidRPr="006A74F8">
        <w:rPr>
          <w:rFonts w:cstheme="minorHAnsi"/>
          <w:color w:val="000000" w:themeColor="text1"/>
        </w:rPr>
        <w:t>expressed a desire for practical, clear and concise</w:t>
      </w:r>
      <w:r w:rsidRPr="006A74F8" w:rsidDel="00240B0E">
        <w:rPr>
          <w:rFonts w:cstheme="minorHAnsi"/>
          <w:color w:val="000000" w:themeColor="text1"/>
        </w:rPr>
        <w:t xml:space="preserve"> </w:t>
      </w:r>
      <w:r w:rsidRPr="006A74F8">
        <w:rPr>
          <w:rFonts w:cstheme="minorHAnsi"/>
          <w:color w:val="000000" w:themeColor="text1"/>
        </w:rPr>
        <w:t>guidance material to underpin principles</w:t>
      </w:r>
      <w:r w:rsidR="00866134" w:rsidRPr="006A74F8">
        <w:rPr>
          <w:rFonts w:cstheme="minorHAnsi"/>
          <w:color w:val="000000" w:themeColor="text1"/>
        </w:rPr>
        <w:t>-</w:t>
      </w:r>
      <w:r w:rsidRPr="006A74F8">
        <w:rPr>
          <w:rFonts w:cstheme="minorHAnsi"/>
          <w:color w:val="000000" w:themeColor="text1"/>
        </w:rPr>
        <w:t xml:space="preserve">based regulation. </w:t>
      </w:r>
      <w:r w:rsidR="00EB0D67" w:rsidRPr="006A74F8">
        <w:rPr>
          <w:rFonts w:cstheme="minorHAnsi"/>
          <w:color w:val="000000" w:themeColor="text1"/>
        </w:rPr>
        <w:t>One government agency</w:t>
      </w:r>
      <w:r w:rsidRPr="006A74F8">
        <w:rPr>
          <w:rFonts w:cstheme="minorHAnsi"/>
          <w:color w:val="000000" w:themeColor="text1"/>
        </w:rPr>
        <w:t xml:space="preserve"> also noted that principles-based regulation would benefit from communication and information campaigns, flexible compliance options, and accessible guidance to provide support and certainty to help businesses understand and apply the changes. </w:t>
      </w:r>
    </w:p>
    <w:p w:rsidR="00747EA0" w:rsidRPr="006A74F8" w:rsidRDefault="00294E9E" w:rsidP="00747EA0">
      <w:pPr>
        <w:pStyle w:val="Heading5"/>
        <w:spacing w:before="0" w:after="160"/>
      </w:pPr>
      <w:bookmarkStart w:id="1741" w:name="_Toc80184423"/>
      <w:r w:rsidRPr="006A74F8">
        <w:t>L</w:t>
      </w:r>
      <w:r w:rsidR="00461DF6" w:rsidRPr="006A74F8">
        <w:t>a</w:t>
      </w:r>
      <w:r w:rsidRPr="006A74F8">
        <w:t>ck of support for s</w:t>
      </w:r>
      <w:r w:rsidR="00747EA0" w:rsidRPr="006A74F8">
        <w:t>treamlining of appointment types</w:t>
      </w:r>
      <w:bookmarkEnd w:id="1741"/>
      <w:r w:rsidR="00747EA0" w:rsidRPr="006A74F8">
        <w:t xml:space="preserve"> </w:t>
      </w:r>
      <w:r w:rsidRPr="006A74F8">
        <w:t>for ATPs</w:t>
      </w:r>
    </w:p>
    <w:p w:rsidR="00747EA0" w:rsidRPr="006A74F8" w:rsidRDefault="00747EA0" w:rsidP="00747EA0">
      <w:pPr>
        <w:rPr>
          <w:rFonts w:cstheme="minorHAnsi"/>
          <w:color w:val="000000" w:themeColor="text1"/>
        </w:rPr>
      </w:pPr>
      <w:r w:rsidRPr="006A74F8">
        <w:t>The weighing industry</w:t>
      </w:r>
      <w:r w:rsidRPr="006A74F8" w:rsidDel="00EB0D67">
        <w:rPr>
          <w:rFonts w:cstheme="minorHAnsi"/>
          <w:color w:val="000000" w:themeColor="text1"/>
        </w:rPr>
        <w:t xml:space="preserve"> </w:t>
      </w:r>
      <w:r w:rsidRPr="006A74F8">
        <w:rPr>
          <w:rFonts w:cstheme="minorHAnsi"/>
          <w:color w:val="000000" w:themeColor="text1"/>
        </w:rPr>
        <w:t>suggested that the merging of appointment types, particularly under options 2 and 3, would cause a lack of distinction between different functions and would cause confusion to businesses. They noted:</w:t>
      </w:r>
    </w:p>
    <w:p w:rsidR="00747EA0" w:rsidRPr="006A74F8" w:rsidRDefault="00747EA0" w:rsidP="00747EA0">
      <w:pPr>
        <w:pStyle w:val="ListParagraph"/>
        <w:numPr>
          <w:ilvl w:val="0"/>
          <w:numId w:val="171"/>
        </w:numPr>
        <w:rPr>
          <w:b/>
        </w:rPr>
      </w:pPr>
      <w:r w:rsidRPr="006A74F8">
        <w:rPr>
          <w:rFonts w:cstheme="minorHAnsi"/>
          <w:color w:val="000000" w:themeColor="text1"/>
        </w:rPr>
        <w:t>Different appointment types currently require different processes and skillsets to perform the assigned functions. They implied that merging appointment types may cause confusion regarding appropriate competency requirements or result in a dilution of competency requirements.</w:t>
      </w:r>
    </w:p>
    <w:p w:rsidR="00747EA0" w:rsidRPr="006A74F8" w:rsidRDefault="00747EA0" w:rsidP="00747EA0">
      <w:pPr>
        <w:pStyle w:val="ListParagraph"/>
        <w:numPr>
          <w:ilvl w:val="0"/>
          <w:numId w:val="171"/>
        </w:numPr>
      </w:pPr>
      <w:r w:rsidRPr="006A74F8">
        <w:t>A more flexible and streamlined approach could lead to a weakening of technical competence and standards without adequate oversight and safeguards.</w:t>
      </w:r>
    </w:p>
    <w:p w:rsidR="00747EA0" w:rsidRPr="006A74F8" w:rsidRDefault="00747EA0" w:rsidP="00866134">
      <w:pPr>
        <w:rPr>
          <w:b/>
        </w:rPr>
      </w:pPr>
      <w:r w:rsidRPr="006A74F8">
        <w:rPr>
          <w:rFonts w:cstheme="minorHAnsi"/>
          <w:color w:val="000000" w:themeColor="text1"/>
        </w:rPr>
        <w:t xml:space="preserve">One </w:t>
      </w:r>
      <w:r w:rsidR="004D4FDE" w:rsidRPr="006A74F8">
        <w:rPr>
          <w:rFonts w:cstheme="minorHAnsi"/>
          <w:color w:val="000000" w:themeColor="text1"/>
        </w:rPr>
        <w:t>ATP</w:t>
      </w:r>
      <w:r w:rsidRPr="006A74F8">
        <w:t xml:space="preserve"> </w:t>
      </w:r>
      <w:r w:rsidRPr="006A74F8">
        <w:rPr>
          <w:rFonts w:cstheme="minorHAnsi"/>
          <w:color w:val="000000" w:themeColor="text1"/>
        </w:rPr>
        <w:t>saw a benefit in the reduction in the number of applications/renewals required and the ability to simply</w:t>
      </w:r>
      <w:r w:rsidRPr="006A74F8">
        <w:t xml:space="preserve"> update information rather than reproducing it each time.</w:t>
      </w:r>
      <w:r w:rsidRPr="006A74F8">
        <w:rPr>
          <w:b/>
        </w:rPr>
        <w:t xml:space="preserve"> </w:t>
      </w:r>
      <w:r w:rsidR="00725D12" w:rsidRPr="00725D12">
        <w:t>It was noted</w:t>
      </w:r>
      <w:r w:rsidR="00725D12">
        <w:rPr>
          <w:b/>
        </w:rPr>
        <w:t xml:space="preserve"> </w:t>
      </w:r>
      <w:r w:rsidRPr="006A74F8">
        <w:t xml:space="preserve">that any changes would </w:t>
      </w:r>
      <w:r w:rsidR="000E2335" w:rsidRPr="006A74F8">
        <w:t>need to be compared</w:t>
      </w:r>
      <w:r w:rsidRPr="006A74F8">
        <w:t xml:space="preserve"> against any increased reporting burden and appointments would need to be clear </w:t>
      </w:r>
      <w:r w:rsidR="00725D12">
        <w:t>about</w:t>
      </w:r>
      <w:r w:rsidRPr="006A74F8">
        <w:t xml:space="preserve"> what they covered. </w:t>
      </w:r>
    </w:p>
    <w:p w:rsidR="00E6246C" w:rsidRPr="006A74F8" w:rsidRDefault="00E6246C" w:rsidP="00B43F9D">
      <w:pPr>
        <w:pStyle w:val="Heading4"/>
      </w:pPr>
      <w:bookmarkStart w:id="1742" w:name="_Toc74658915"/>
      <w:r w:rsidRPr="006A74F8">
        <w:t xml:space="preserve">Key areas of </w:t>
      </w:r>
      <w:r w:rsidR="000B5574" w:rsidRPr="006A74F8">
        <w:t>disagreement</w:t>
      </w:r>
      <w:r w:rsidR="00B55A54" w:rsidRPr="006A74F8">
        <w:t xml:space="preserve"> between </w:t>
      </w:r>
      <w:r w:rsidR="000B5574" w:rsidRPr="006A74F8">
        <w:t>s</w:t>
      </w:r>
      <w:r w:rsidR="00B55A54" w:rsidRPr="006A74F8">
        <w:t>takeholders</w:t>
      </w:r>
      <w:bookmarkEnd w:id="1742"/>
    </w:p>
    <w:p w:rsidR="00E6246C" w:rsidRPr="006A74F8" w:rsidRDefault="00B43F9D" w:rsidP="00E6246C">
      <w:r w:rsidRPr="006A74F8">
        <w:t>Key areas of</w:t>
      </w:r>
      <w:r w:rsidR="00E6246C" w:rsidRPr="006A74F8">
        <w:t xml:space="preserve"> disagreement </w:t>
      </w:r>
      <w:r w:rsidRPr="006A74F8">
        <w:t>included</w:t>
      </w:r>
      <w:r w:rsidR="00E6246C" w:rsidRPr="006A74F8">
        <w:t>:</w:t>
      </w:r>
    </w:p>
    <w:p w:rsidR="00E6246C" w:rsidRPr="006A74F8" w:rsidRDefault="0049186C" w:rsidP="002B2F07">
      <w:pPr>
        <w:pStyle w:val="ListParagraph"/>
        <w:numPr>
          <w:ilvl w:val="0"/>
          <w:numId w:val="158"/>
        </w:numPr>
      </w:pPr>
      <w:r w:rsidRPr="006A74F8">
        <w:t>Measurement mark</w:t>
      </w:r>
      <w:r w:rsidR="00164312" w:rsidRPr="006A74F8">
        <w:t>ing</w:t>
      </w:r>
      <w:r w:rsidR="00E6246C" w:rsidRPr="006A74F8">
        <w:t xml:space="preserve"> on packaged products</w:t>
      </w:r>
    </w:p>
    <w:p w:rsidR="00E6246C" w:rsidRPr="006A74F8" w:rsidRDefault="00E6246C" w:rsidP="002B2F07">
      <w:pPr>
        <w:pStyle w:val="ListParagraph"/>
        <w:numPr>
          <w:ilvl w:val="0"/>
          <w:numId w:val="158"/>
        </w:numPr>
      </w:pPr>
      <w:r w:rsidRPr="006A74F8">
        <w:t>Flexibility in acceptable units of measurement</w:t>
      </w:r>
    </w:p>
    <w:p w:rsidR="00E6246C" w:rsidRPr="006A74F8" w:rsidRDefault="00E6246C" w:rsidP="002B2F07">
      <w:pPr>
        <w:pStyle w:val="ListParagraph"/>
        <w:numPr>
          <w:ilvl w:val="0"/>
          <w:numId w:val="158"/>
        </w:numPr>
      </w:pPr>
      <w:r w:rsidRPr="006A74F8">
        <w:t>Flexibility in measuring instrument controls</w:t>
      </w:r>
    </w:p>
    <w:p w:rsidR="00E6246C" w:rsidRPr="006A74F8" w:rsidRDefault="00E6246C" w:rsidP="002B2F07">
      <w:pPr>
        <w:pStyle w:val="ListParagraph"/>
        <w:numPr>
          <w:ilvl w:val="0"/>
          <w:numId w:val="158"/>
        </w:numPr>
      </w:pPr>
      <w:r w:rsidRPr="006A74F8">
        <w:t>Principles</w:t>
      </w:r>
      <w:r w:rsidR="00725091" w:rsidRPr="006A74F8">
        <w:t>-</w:t>
      </w:r>
      <w:r w:rsidRPr="006A74F8">
        <w:t>based regulation</w:t>
      </w:r>
    </w:p>
    <w:p w:rsidR="00E6246C" w:rsidRPr="006A74F8" w:rsidRDefault="00E6246C" w:rsidP="00E6246C">
      <w:r w:rsidRPr="006A74F8">
        <w:t>The most divisive of these areas was proposed reforms to the measurement marking on packaged products.</w:t>
      </w:r>
    </w:p>
    <w:p w:rsidR="00B43F9D" w:rsidRPr="006A74F8" w:rsidRDefault="00B43F9D" w:rsidP="00C82B0A">
      <w:pPr>
        <w:pStyle w:val="Heading5"/>
      </w:pPr>
      <w:r w:rsidRPr="006A74F8">
        <w:t>Measurement mark on packaged products</w:t>
      </w:r>
    </w:p>
    <w:p w:rsidR="00866134" w:rsidRPr="006A74F8" w:rsidRDefault="00866134" w:rsidP="00866134">
      <w:pPr>
        <w:rPr>
          <w:rFonts w:cstheme="minorHAnsi"/>
          <w:color w:val="000000" w:themeColor="text1"/>
        </w:rPr>
      </w:pPr>
      <w:r w:rsidRPr="006A74F8">
        <w:rPr>
          <w:rFonts w:cstheme="minorHAnsi"/>
          <w:color w:val="000000" w:themeColor="text1"/>
        </w:rPr>
        <w:t>Reforms to measurement marking requirements on packaged products, including the removal of the current front of pack requirement and a move to a principles-based ‘prominent and legible’ approach</w:t>
      </w:r>
      <w:r w:rsidR="00167E92">
        <w:rPr>
          <w:rFonts w:cstheme="minorHAnsi"/>
          <w:color w:val="000000" w:themeColor="text1"/>
        </w:rPr>
        <w:t>,</w:t>
      </w:r>
      <w:r w:rsidRPr="006A74F8">
        <w:rPr>
          <w:rFonts w:cstheme="minorHAnsi"/>
          <w:color w:val="000000" w:themeColor="text1"/>
        </w:rPr>
        <w:t xml:space="preserve"> were the most divisive of the changes presented under option 2. </w:t>
      </w:r>
    </w:p>
    <w:p w:rsidR="00866134" w:rsidRPr="006A74F8" w:rsidRDefault="00866134" w:rsidP="00866134">
      <w:pPr>
        <w:pStyle w:val="ListParagraph"/>
        <w:numPr>
          <w:ilvl w:val="0"/>
          <w:numId w:val="157"/>
        </w:numPr>
        <w:rPr>
          <w:rFonts w:cstheme="minorHAnsi"/>
          <w:color w:val="000000" w:themeColor="text1"/>
          <w:lang w:val="en-GB"/>
        </w:rPr>
      </w:pPr>
      <w:r w:rsidRPr="006A74F8">
        <w:rPr>
          <w:rFonts w:cstheme="minorHAnsi"/>
          <w:color w:val="000000" w:themeColor="text1"/>
          <w:lang w:val="en-GB"/>
        </w:rPr>
        <w:t xml:space="preserve">Consumer associations and individual consumers were opposed to any relaxation of marking requirements. They specifically emphasised the importance of maintaining current front of pack requirements and did not feel this caused an unnecessary burden on industry. Furthermore, consumers and consumer associations generally did not support exemptions from marking requirements. </w:t>
      </w:r>
    </w:p>
    <w:p w:rsidR="00866134" w:rsidRPr="006A74F8" w:rsidRDefault="00866134" w:rsidP="00866134">
      <w:pPr>
        <w:pStyle w:val="ListParagraph"/>
        <w:numPr>
          <w:ilvl w:val="0"/>
          <w:numId w:val="157"/>
        </w:numPr>
        <w:rPr>
          <w:rFonts w:cstheme="minorHAnsi"/>
          <w:color w:val="000000" w:themeColor="text1"/>
        </w:rPr>
      </w:pPr>
      <w:r w:rsidRPr="006A74F8">
        <w:rPr>
          <w:rFonts w:cstheme="minorHAnsi"/>
          <w:color w:val="000000" w:themeColor="text1"/>
        </w:rPr>
        <w:t>In contrast, responses received from industry and peak industry associations</w:t>
      </w:r>
      <w:r w:rsidRPr="006A74F8" w:rsidDel="00983397">
        <w:rPr>
          <w:rFonts w:cstheme="minorHAnsi"/>
          <w:color w:val="000000" w:themeColor="text1"/>
          <w:lang w:val="en-GB"/>
        </w:rPr>
        <w:t xml:space="preserve"> </w:t>
      </w:r>
      <w:r w:rsidRPr="006A74F8">
        <w:rPr>
          <w:rFonts w:cstheme="minorHAnsi"/>
          <w:color w:val="000000" w:themeColor="text1"/>
          <w:lang w:val="en-GB"/>
        </w:rPr>
        <w:t>were supportive of the option 2 changes, which they felt would offer greater flexibility to business and reduce barriers to the importation of packaged products (e.g. cosmetics from</w:t>
      </w:r>
      <w:r w:rsidRPr="006A74F8">
        <w:rPr>
          <w:rFonts w:cstheme="minorHAnsi"/>
          <w:color w:val="000000" w:themeColor="text1"/>
        </w:rPr>
        <w:t xml:space="preserve"> EU).</w:t>
      </w:r>
    </w:p>
    <w:p w:rsidR="00866134" w:rsidRPr="006A74F8" w:rsidRDefault="00866134" w:rsidP="00866134">
      <w:pPr>
        <w:rPr>
          <w:rFonts w:cstheme="minorHAnsi"/>
          <w:color w:val="000000" w:themeColor="text1"/>
        </w:rPr>
      </w:pPr>
      <w:r w:rsidRPr="006A74F8">
        <w:rPr>
          <w:rFonts w:cstheme="minorHAnsi"/>
          <w:color w:val="000000" w:themeColor="text1"/>
        </w:rPr>
        <w:lastRenderedPageBreak/>
        <w:t xml:space="preserve">Key points raised in </w:t>
      </w:r>
      <w:r w:rsidRPr="006A74F8">
        <w:rPr>
          <w:rFonts w:cstheme="minorHAnsi"/>
          <w:b/>
          <w:color w:val="000000" w:themeColor="text1"/>
        </w:rPr>
        <w:t>consumer submissions</w:t>
      </w:r>
      <w:r w:rsidRPr="006A74F8">
        <w:rPr>
          <w:rFonts w:cstheme="minorHAnsi"/>
          <w:color w:val="000000" w:themeColor="text1"/>
        </w:rPr>
        <w:t xml:space="preserve"> in opposition </w:t>
      </w:r>
      <w:r w:rsidR="000E3B78" w:rsidRPr="006A74F8">
        <w:rPr>
          <w:rFonts w:cstheme="minorHAnsi"/>
          <w:color w:val="000000" w:themeColor="text1"/>
        </w:rPr>
        <w:t>to</w:t>
      </w:r>
      <w:r w:rsidRPr="006A74F8">
        <w:rPr>
          <w:rFonts w:cstheme="minorHAnsi"/>
          <w:color w:val="000000" w:themeColor="text1"/>
        </w:rPr>
        <w:t xml:space="preserve"> the measurement marking changes under option 2 include:</w:t>
      </w:r>
    </w:p>
    <w:p w:rsidR="00866134" w:rsidRPr="006A74F8" w:rsidRDefault="00866134" w:rsidP="00866134">
      <w:pPr>
        <w:pStyle w:val="ListParagraph"/>
        <w:numPr>
          <w:ilvl w:val="0"/>
          <w:numId w:val="167"/>
        </w:numPr>
        <w:ind w:left="709"/>
        <w:rPr>
          <w:rFonts w:cstheme="minorHAnsi"/>
          <w:color w:val="000000" w:themeColor="text1"/>
        </w:rPr>
      </w:pPr>
      <w:r w:rsidRPr="006A74F8">
        <w:rPr>
          <w:rFonts w:cstheme="minorHAnsi"/>
          <w:b/>
          <w:color w:val="000000" w:themeColor="text1"/>
        </w:rPr>
        <w:t xml:space="preserve">Maintaining international alignment: </w:t>
      </w:r>
      <w:r w:rsidRPr="006A74F8">
        <w:rPr>
          <w:rFonts w:cstheme="minorHAnsi"/>
          <w:color w:val="000000" w:themeColor="text1"/>
        </w:rPr>
        <w:t>Consumer associations noted that OIML R79 recommends front of pack measurement markings for packaged products.</w:t>
      </w:r>
    </w:p>
    <w:p w:rsidR="00866134" w:rsidRPr="006A74F8" w:rsidRDefault="00866134" w:rsidP="00866134">
      <w:pPr>
        <w:pStyle w:val="ListParagraph"/>
        <w:numPr>
          <w:ilvl w:val="0"/>
          <w:numId w:val="167"/>
        </w:numPr>
        <w:ind w:left="709"/>
      </w:pPr>
      <w:r w:rsidRPr="006A74F8">
        <w:rPr>
          <w:rFonts w:cstheme="minorHAnsi"/>
          <w:b/>
          <w:color w:val="000000" w:themeColor="text1"/>
        </w:rPr>
        <w:t xml:space="preserve">Minimising product handling: </w:t>
      </w:r>
      <w:r w:rsidRPr="006A74F8">
        <w:rPr>
          <w:rFonts w:cstheme="minorHAnsi"/>
          <w:color w:val="000000" w:themeColor="text1"/>
        </w:rPr>
        <w:t>A number of consumer submissions felt this was</w:t>
      </w:r>
      <w:r w:rsidRPr="006A74F8">
        <w:rPr>
          <w:rFonts w:cstheme="minorHAnsi"/>
          <w:b/>
          <w:color w:val="000000" w:themeColor="text1"/>
        </w:rPr>
        <w:t xml:space="preserve"> </w:t>
      </w:r>
      <w:r w:rsidRPr="006A74F8">
        <w:rPr>
          <w:rFonts w:cstheme="minorHAnsi"/>
          <w:color w:val="000000" w:themeColor="text1"/>
        </w:rPr>
        <w:t>particularly important due to the current COVID-19 pandemic with additional benefits proposed including</w:t>
      </w:r>
      <w:r w:rsidRPr="006A74F8">
        <w:t xml:space="preserve"> maintaining </w:t>
      </w:r>
      <w:r w:rsidR="00167E92">
        <w:t>shelf organisation, reducing re</w:t>
      </w:r>
      <w:r w:rsidRPr="006A74F8">
        <w:t>facing costs to businesses and reducing the impact on products that do not respond well to being handled (e.g. meat). Supermarkets were consulted on refacing costs, als</w:t>
      </w:r>
      <w:r w:rsidR="000B5574" w:rsidRPr="006A74F8">
        <w:t>o</w:t>
      </w:r>
      <w:r w:rsidRPr="006A74F8">
        <w:t xml:space="preserve"> outlined below. </w:t>
      </w:r>
    </w:p>
    <w:p w:rsidR="00866134" w:rsidRPr="006A74F8" w:rsidRDefault="00866134" w:rsidP="00866134">
      <w:pPr>
        <w:pStyle w:val="ListParagraph"/>
        <w:numPr>
          <w:ilvl w:val="0"/>
          <w:numId w:val="167"/>
        </w:numPr>
        <w:ind w:left="709"/>
        <w:rPr>
          <w:rFonts w:cstheme="minorHAnsi"/>
          <w:color w:val="000000" w:themeColor="text1"/>
        </w:rPr>
      </w:pPr>
      <w:r w:rsidRPr="006A74F8">
        <w:rPr>
          <w:rFonts w:cstheme="minorHAnsi"/>
          <w:b/>
          <w:color w:val="000000" w:themeColor="text1"/>
        </w:rPr>
        <w:t>Ensuring the accessibility of measurement information</w:t>
      </w:r>
      <w:r w:rsidRPr="006A74F8">
        <w:rPr>
          <w:rFonts w:cstheme="minorHAnsi"/>
          <w:color w:val="000000" w:themeColor="text1"/>
        </w:rPr>
        <w:t>: Key benefits of front of pack measurement markings and other prescriptive requirements included:</w:t>
      </w:r>
    </w:p>
    <w:p w:rsidR="00866134" w:rsidRPr="006A74F8" w:rsidRDefault="00866134" w:rsidP="00866134">
      <w:pPr>
        <w:pStyle w:val="ListParagraph"/>
        <w:numPr>
          <w:ilvl w:val="1"/>
          <w:numId w:val="167"/>
        </w:numPr>
        <w:ind w:left="1418"/>
        <w:rPr>
          <w:rFonts w:cstheme="minorHAnsi"/>
          <w:color w:val="000000" w:themeColor="text1"/>
        </w:rPr>
      </w:pPr>
      <w:r w:rsidRPr="006A74F8">
        <w:rPr>
          <w:rFonts w:cstheme="minorHAnsi"/>
          <w:color w:val="000000" w:themeColor="text1"/>
        </w:rPr>
        <w:t>Enabling consumers with a range of disabilities to easily access measurement information.</w:t>
      </w:r>
    </w:p>
    <w:p w:rsidR="00866134" w:rsidRPr="006A74F8" w:rsidRDefault="00866134" w:rsidP="00866134">
      <w:pPr>
        <w:pStyle w:val="ListParagraph"/>
        <w:numPr>
          <w:ilvl w:val="1"/>
          <w:numId w:val="167"/>
        </w:numPr>
        <w:ind w:left="1418"/>
        <w:rPr>
          <w:rFonts w:cstheme="minorHAnsi"/>
          <w:color w:val="000000" w:themeColor="text1"/>
        </w:rPr>
      </w:pPr>
      <w:r w:rsidRPr="006A74F8">
        <w:rPr>
          <w:rFonts w:cstheme="minorHAnsi"/>
          <w:color w:val="000000" w:themeColor="text1"/>
        </w:rPr>
        <w:t>Ensuring easy access to information to enable the assessment, comparison, and evaluation of products.</w:t>
      </w:r>
    </w:p>
    <w:p w:rsidR="00866134" w:rsidRPr="006A74F8" w:rsidRDefault="00866134" w:rsidP="00866134">
      <w:pPr>
        <w:rPr>
          <w:rFonts w:cstheme="minorHAnsi"/>
          <w:color w:val="000000" w:themeColor="text1"/>
        </w:rPr>
      </w:pPr>
      <w:r w:rsidRPr="006A74F8">
        <w:rPr>
          <w:rFonts w:cstheme="minorHAnsi"/>
          <w:color w:val="000000" w:themeColor="text1"/>
        </w:rPr>
        <w:t xml:space="preserve">Key </w:t>
      </w:r>
      <w:r w:rsidR="000E3B78" w:rsidRPr="006A74F8">
        <w:rPr>
          <w:rFonts w:cstheme="minorHAnsi"/>
          <w:color w:val="000000" w:themeColor="text1"/>
        </w:rPr>
        <w:t xml:space="preserve">points raised in </w:t>
      </w:r>
      <w:r w:rsidRPr="006A74F8">
        <w:rPr>
          <w:rFonts w:cstheme="minorHAnsi"/>
          <w:b/>
          <w:color w:val="000000" w:themeColor="text1"/>
        </w:rPr>
        <w:t>industry submissions</w:t>
      </w:r>
      <w:r w:rsidRPr="006A74F8">
        <w:rPr>
          <w:rFonts w:cstheme="minorHAnsi"/>
          <w:color w:val="000000" w:themeColor="text1"/>
        </w:rPr>
        <w:t xml:space="preserve"> </w:t>
      </w:r>
      <w:r w:rsidR="000E3B78" w:rsidRPr="006A74F8">
        <w:rPr>
          <w:rFonts w:cstheme="minorHAnsi"/>
          <w:color w:val="000000" w:themeColor="text1"/>
        </w:rPr>
        <w:t xml:space="preserve">supporting </w:t>
      </w:r>
      <w:r w:rsidRPr="006A74F8">
        <w:rPr>
          <w:rFonts w:cstheme="minorHAnsi"/>
          <w:color w:val="000000" w:themeColor="text1"/>
        </w:rPr>
        <w:t>the measurement marking changes under option 2 include:</w:t>
      </w:r>
    </w:p>
    <w:p w:rsidR="00866134" w:rsidRPr="006A74F8" w:rsidRDefault="00866134" w:rsidP="00866134">
      <w:pPr>
        <w:pStyle w:val="ListParagraph"/>
        <w:numPr>
          <w:ilvl w:val="0"/>
          <w:numId w:val="168"/>
        </w:numPr>
        <w:rPr>
          <w:rFonts w:cstheme="minorHAnsi"/>
          <w:color w:val="000000" w:themeColor="text1"/>
        </w:rPr>
      </w:pPr>
      <w:r w:rsidRPr="006A74F8">
        <w:rPr>
          <w:rFonts w:cstheme="minorHAnsi"/>
          <w:b/>
          <w:color w:val="000000" w:themeColor="text1"/>
        </w:rPr>
        <w:t>Flexibility for the measurement mark location</w:t>
      </w:r>
      <w:r w:rsidRPr="006A74F8">
        <w:rPr>
          <w:rFonts w:cstheme="minorHAnsi"/>
          <w:color w:val="000000" w:themeColor="text1"/>
        </w:rPr>
        <w:t xml:space="preserve">: </w:t>
      </w:r>
      <w:r w:rsidR="00D71C93" w:rsidRPr="006A74F8">
        <w:t xml:space="preserve">Industry submissions considered </w:t>
      </w:r>
      <w:r w:rsidR="000E3B78" w:rsidRPr="006A74F8">
        <w:t xml:space="preserve">that </w:t>
      </w:r>
      <w:r w:rsidRPr="006A74F8">
        <w:rPr>
          <w:rFonts w:cstheme="minorHAnsi"/>
          <w:color w:val="000000" w:themeColor="text1"/>
        </w:rPr>
        <w:t xml:space="preserve">flexibility in the placement of the measurement mark </w:t>
      </w:r>
      <w:r w:rsidR="000E3B78" w:rsidRPr="006A74F8">
        <w:rPr>
          <w:rFonts w:cstheme="minorHAnsi"/>
          <w:color w:val="000000" w:themeColor="text1"/>
        </w:rPr>
        <w:t>would</w:t>
      </w:r>
      <w:r w:rsidRPr="006A74F8">
        <w:rPr>
          <w:rFonts w:cstheme="minorHAnsi"/>
          <w:color w:val="000000" w:themeColor="text1"/>
        </w:rPr>
        <w:t>:</w:t>
      </w:r>
    </w:p>
    <w:p w:rsidR="00866134" w:rsidRPr="006A74F8" w:rsidRDefault="00866134" w:rsidP="00866134">
      <w:pPr>
        <w:pStyle w:val="ListParagraph"/>
        <w:numPr>
          <w:ilvl w:val="1"/>
          <w:numId w:val="168"/>
        </w:numPr>
        <w:rPr>
          <w:rFonts w:cstheme="minorHAnsi"/>
          <w:color w:val="000000" w:themeColor="text1"/>
        </w:rPr>
      </w:pPr>
      <w:r w:rsidRPr="006A74F8">
        <w:rPr>
          <w:rFonts w:cstheme="minorHAnsi"/>
          <w:color w:val="000000" w:themeColor="text1"/>
        </w:rPr>
        <w:t>Align with</w:t>
      </w:r>
      <w:r w:rsidRPr="006A74F8">
        <w:rPr>
          <w:rFonts w:cstheme="minorHAnsi"/>
          <w:b/>
          <w:color w:val="000000" w:themeColor="text1"/>
        </w:rPr>
        <w:t xml:space="preserve"> </w:t>
      </w:r>
      <w:r w:rsidRPr="006A74F8">
        <w:rPr>
          <w:rFonts w:cstheme="minorHAnsi"/>
          <w:color w:val="000000" w:themeColor="text1"/>
        </w:rPr>
        <w:t>other important information such as nutritional panels, ingredients and allergen statements on food products, which are permitted to be anywhere on the pack.</w:t>
      </w:r>
      <w:r w:rsidRPr="006A74F8">
        <w:t xml:space="preserve"> Supermarkets noted that customers need to handle products to find this important product information.  </w:t>
      </w:r>
    </w:p>
    <w:p w:rsidR="00866134" w:rsidRPr="006A74F8" w:rsidRDefault="00866134" w:rsidP="00866134">
      <w:pPr>
        <w:pStyle w:val="ListParagraph"/>
        <w:numPr>
          <w:ilvl w:val="1"/>
          <w:numId w:val="168"/>
        </w:numPr>
        <w:rPr>
          <w:rFonts w:cstheme="minorHAnsi"/>
          <w:color w:val="000000" w:themeColor="text1"/>
        </w:rPr>
      </w:pPr>
      <w:r w:rsidRPr="006A74F8">
        <w:rPr>
          <w:rFonts w:cstheme="minorHAnsi"/>
          <w:color w:val="000000" w:themeColor="text1"/>
        </w:rPr>
        <w:t xml:space="preserve">Reduce </w:t>
      </w:r>
      <w:r w:rsidRPr="006A74F8">
        <w:t>relabelling costs to importers.</w:t>
      </w:r>
    </w:p>
    <w:p w:rsidR="00866134" w:rsidRPr="006A74F8" w:rsidRDefault="000E3B78" w:rsidP="00866134">
      <w:pPr>
        <w:pStyle w:val="ListParagraph"/>
        <w:numPr>
          <w:ilvl w:val="0"/>
          <w:numId w:val="168"/>
        </w:numPr>
      </w:pPr>
      <w:r w:rsidRPr="006A74F8">
        <w:rPr>
          <w:rFonts w:cstheme="minorHAnsi"/>
          <w:b/>
          <w:color w:val="000000" w:themeColor="text1"/>
        </w:rPr>
        <w:t>Impacts of l</w:t>
      </w:r>
      <w:r w:rsidR="00866134" w:rsidRPr="006A74F8">
        <w:rPr>
          <w:rFonts w:cstheme="minorHAnsi"/>
          <w:b/>
          <w:color w:val="000000" w:themeColor="text1"/>
        </w:rPr>
        <w:t xml:space="preserve">abelling laws </w:t>
      </w:r>
      <w:r w:rsidRPr="006A74F8">
        <w:rPr>
          <w:rFonts w:cstheme="minorHAnsi"/>
          <w:b/>
          <w:color w:val="000000" w:themeColor="text1"/>
        </w:rPr>
        <w:t xml:space="preserve">on </w:t>
      </w:r>
      <w:r w:rsidR="00866134" w:rsidRPr="006A74F8">
        <w:rPr>
          <w:rFonts w:cstheme="minorHAnsi"/>
          <w:b/>
          <w:color w:val="000000" w:themeColor="text1"/>
        </w:rPr>
        <w:t>supply chains:</w:t>
      </w:r>
      <w:r w:rsidR="00866134" w:rsidRPr="006A74F8">
        <w:t xml:space="preserve"> The COVID-19 pandemic was used as a key example that highlighted the importance of flexibility in supply chains. Benefits of increased </w:t>
      </w:r>
      <w:r w:rsidRPr="006A74F8">
        <w:t xml:space="preserve">labelling </w:t>
      </w:r>
      <w:r w:rsidR="00866134" w:rsidRPr="006A74F8">
        <w:t>flexibility include</w:t>
      </w:r>
      <w:r w:rsidRPr="006A74F8">
        <w:t>d</w:t>
      </w:r>
      <w:r w:rsidR="00866134" w:rsidRPr="006A74F8">
        <w:t>:</w:t>
      </w:r>
    </w:p>
    <w:p w:rsidR="00866134" w:rsidRPr="006A74F8" w:rsidRDefault="00866134" w:rsidP="00866134">
      <w:pPr>
        <w:pStyle w:val="ListParagraph"/>
        <w:numPr>
          <w:ilvl w:val="1"/>
          <w:numId w:val="168"/>
        </w:numPr>
        <w:rPr>
          <w:rFonts w:cstheme="minorHAnsi"/>
          <w:color w:val="000000" w:themeColor="text1"/>
        </w:rPr>
      </w:pPr>
      <w:r w:rsidRPr="006A74F8">
        <w:rPr>
          <w:rFonts w:cstheme="minorHAnsi"/>
          <w:color w:val="000000" w:themeColor="text1"/>
        </w:rPr>
        <w:t>Reducing barriers to importation</w:t>
      </w:r>
      <w:r w:rsidRPr="006A74F8">
        <w:t xml:space="preserve"> resulting in more innovative products being available </w:t>
      </w:r>
      <w:r w:rsidRPr="006A74F8">
        <w:rPr>
          <w:rFonts w:cstheme="minorHAnsi"/>
          <w:color w:val="000000" w:themeColor="text1"/>
        </w:rPr>
        <w:t>that otherwise might have been discouraged under current prescriptive laws.</w:t>
      </w:r>
    </w:p>
    <w:p w:rsidR="00866134" w:rsidRPr="006A74F8" w:rsidRDefault="00866134" w:rsidP="00866134">
      <w:pPr>
        <w:pStyle w:val="ListParagraph"/>
        <w:numPr>
          <w:ilvl w:val="1"/>
          <w:numId w:val="168"/>
        </w:numPr>
        <w:rPr>
          <w:rFonts w:cstheme="minorHAnsi"/>
          <w:color w:val="000000" w:themeColor="text1"/>
        </w:rPr>
      </w:pPr>
      <w:r w:rsidRPr="006A74F8">
        <w:rPr>
          <w:rFonts w:cstheme="minorHAnsi"/>
          <w:color w:val="000000" w:themeColor="text1"/>
        </w:rPr>
        <w:t xml:space="preserve">Enabling businesses to source products from a larger pool of international markets when traditional sources for supply are disrupted or overwhelmed by increased demand.  </w:t>
      </w:r>
    </w:p>
    <w:p w:rsidR="000E3B78" w:rsidRPr="006A74F8" w:rsidRDefault="000E3B78" w:rsidP="000E3B78">
      <w:pPr>
        <w:rPr>
          <w:rFonts w:cstheme="minorHAnsi"/>
          <w:color w:val="000000" w:themeColor="text1"/>
        </w:rPr>
      </w:pPr>
      <w:r w:rsidRPr="006A74F8">
        <w:rPr>
          <w:rFonts w:cstheme="minorHAnsi"/>
          <w:color w:val="000000" w:themeColor="text1"/>
        </w:rPr>
        <w:t xml:space="preserve">During one-on-one meetings supermarket stakeholders were asked whether they could foresee any significant increase in re-facing costs if front of pack requirements were removed. </w:t>
      </w:r>
      <w:r w:rsidRPr="006A74F8">
        <w:t>Supermarkets reported this impact would be minimal as staff have to tidy shelves as part of general store maintenance.</w:t>
      </w:r>
    </w:p>
    <w:p w:rsidR="00E6246C" w:rsidRPr="006A74F8" w:rsidRDefault="00E6246C" w:rsidP="00C82B0A">
      <w:pPr>
        <w:pStyle w:val="Heading5"/>
      </w:pPr>
      <w:r w:rsidRPr="006A74F8">
        <w:t>Flexibility in acceptable units of measurement</w:t>
      </w:r>
    </w:p>
    <w:p w:rsidR="00866134" w:rsidRPr="006A74F8" w:rsidRDefault="00E6246C" w:rsidP="00866134">
      <w:pPr>
        <w:rPr>
          <w:rFonts w:cstheme="minorHAnsi"/>
          <w:color w:val="000000" w:themeColor="text1"/>
        </w:rPr>
      </w:pPr>
      <w:r w:rsidRPr="006A74F8">
        <w:rPr>
          <w:rFonts w:cstheme="minorHAnsi"/>
          <w:color w:val="000000" w:themeColor="text1"/>
        </w:rPr>
        <w:t xml:space="preserve">Stakeholders expressed mixed views on allowing greater flexibility for products to be sold by alternative units of measurement (e.g. </w:t>
      </w:r>
      <w:r w:rsidR="00866134" w:rsidRPr="006A74F8">
        <w:rPr>
          <w:rFonts w:cstheme="minorHAnsi"/>
          <w:color w:val="000000" w:themeColor="text1"/>
        </w:rPr>
        <w:t xml:space="preserve">count, linear and area measurement, instead of mass and volume). </w:t>
      </w:r>
    </w:p>
    <w:p w:rsidR="00866134" w:rsidRPr="006A74F8" w:rsidRDefault="00866134" w:rsidP="00866134">
      <w:pPr>
        <w:pStyle w:val="ListParagraph"/>
        <w:numPr>
          <w:ilvl w:val="0"/>
          <w:numId w:val="160"/>
        </w:numPr>
        <w:ind w:left="709"/>
        <w:rPr>
          <w:rFonts w:cstheme="minorHAnsi"/>
          <w:b/>
          <w:color w:val="000000" w:themeColor="text1"/>
        </w:rPr>
      </w:pPr>
      <w:r w:rsidRPr="006A74F8">
        <w:rPr>
          <w:rFonts w:cstheme="minorHAnsi"/>
          <w:color w:val="000000" w:themeColor="text1"/>
        </w:rPr>
        <w:t xml:space="preserve">Generally industry were supportive of more flexible arrangements including as a way to enhance the current Secretary’s List approach, noting that this has not been updated for some time. </w:t>
      </w:r>
    </w:p>
    <w:p w:rsidR="00866134" w:rsidRPr="006A74F8" w:rsidRDefault="00866134" w:rsidP="00866134">
      <w:pPr>
        <w:pStyle w:val="ListParagraph"/>
        <w:numPr>
          <w:ilvl w:val="0"/>
          <w:numId w:val="160"/>
        </w:numPr>
        <w:ind w:left="709"/>
        <w:rPr>
          <w:rFonts w:cstheme="minorHAnsi"/>
          <w:b/>
          <w:color w:val="000000" w:themeColor="text1"/>
        </w:rPr>
      </w:pPr>
      <w:r w:rsidRPr="006A74F8">
        <w:rPr>
          <w:rFonts w:cstheme="minorHAnsi"/>
          <w:color w:val="000000" w:themeColor="text1"/>
        </w:rPr>
        <w:lastRenderedPageBreak/>
        <w:t>The weighing industry felt that the increased flexibility would cause market confusion and be detrimental to consumers.</w:t>
      </w:r>
    </w:p>
    <w:p w:rsidR="00866134" w:rsidRPr="006A74F8" w:rsidRDefault="00866134" w:rsidP="00866134">
      <w:pPr>
        <w:pStyle w:val="ListParagraph"/>
        <w:numPr>
          <w:ilvl w:val="0"/>
          <w:numId w:val="160"/>
        </w:numPr>
        <w:ind w:left="709"/>
        <w:rPr>
          <w:rFonts w:cstheme="minorHAnsi"/>
          <w:b/>
          <w:color w:val="000000" w:themeColor="text1"/>
        </w:rPr>
      </w:pPr>
      <w:r w:rsidRPr="006A74F8">
        <w:rPr>
          <w:rFonts w:cstheme="minorHAnsi"/>
          <w:color w:val="000000" w:themeColor="text1"/>
        </w:rPr>
        <w:t>Consumer associations provided conditional support for these changes, provid</w:t>
      </w:r>
      <w:r w:rsidR="00167E92">
        <w:rPr>
          <w:rFonts w:cstheme="minorHAnsi"/>
          <w:color w:val="000000" w:themeColor="text1"/>
        </w:rPr>
        <w:t>ed</w:t>
      </w:r>
      <w:r w:rsidRPr="006A74F8">
        <w:rPr>
          <w:rFonts w:cstheme="minorHAnsi"/>
          <w:color w:val="000000" w:themeColor="text1"/>
        </w:rPr>
        <w:t xml:space="preserve"> that the changes would reduce, or at least not increase, inconsistency in the way products are sold. The primary motivation of consumer associations was to promote a high level of consistency between packaged and non-packaged products. </w:t>
      </w:r>
    </w:p>
    <w:p w:rsidR="00866134" w:rsidRPr="006A74F8" w:rsidRDefault="00866134" w:rsidP="00866134">
      <w:pPr>
        <w:pStyle w:val="ListParagraph"/>
        <w:numPr>
          <w:ilvl w:val="0"/>
          <w:numId w:val="160"/>
        </w:numPr>
        <w:ind w:left="709"/>
        <w:rPr>
          <w:rFonts w:cstheme="minorHAnsi"/>
          <w:b/>
          <w:color w:val="000000" w:themeColor="text1"/>
        </w:rPr>
      </w:pPr>
      <w:r w:rsidRPr="006A74F8">
        <w:rPr>
          <w:rFonts w:cstheme="minorHAnsi"/>
          <w:color w:val="000000" w:themeColor="text1"/>
        </w:rPr>
        <w:t>One individual noted that while some people may be confused by the extra flexibility, they saw the change as a positive one.</w:t>
      </w:r>
    </w:p>
    <w:p w:rsidR="00E6246C" w:rsidRPr="006A74F8" w:rsidRDefault="00E6246C" w:rsidP="00C82B0A">
      <w:pPr>
        <w:pStyle w:val="Heading5"/>
      </w:pPr>
      <w:r w:rsidRPr="006A74F8">
        <w:t xml:space="preserve">Flexibility in measuring instrument controls </w:t>
      </w:r>
    </w:p>
    <w:p w:rsidR="00866134" w:rsidRPr="006A74F8" w:rsidRDefault="00E6246C" w:rsidP="00866134">
      <w:pPr>
        <w:rPr>
          <w:rFonts w:cstheme="minorHAnsi"/>
          <w:color w:val="000000" w:themeColor="text1"/>
        </w:rPr>
      </w:pPr>
      <w:r w:rsidRPr="006A74F8">
        <w:rPr>
          <w:rFonts w:cstheme="minorHAnsi"/>
          <w:color w:val="000000" w:themeColor="text1"/>
        </w:rPr>
        <w:t xml:space="preserve">Changes under </w:t>
      </w:r>
      <w:r w:rsidR="00212C0A" w:rsidRPr="006A74F8">
        <w:rPr>
          <w:rFonts w:cstheme="minorHAnsi"/>
          <w:color w:val="000000" w:themeColor="text1"/>
        </w:rPr>
        <w:t>o</w:t>
      </w:r>
      <w:r w:rsidRPr="006A74F8">
        <w:rPr>
          <w:rFonts w:cstheme="minorHAnsi"/>
          <w:color w:val="000000" w:themeColor="text1"/>
        </w:rPr>
        <w:t xml:space="preserve">ption 2 that would introduce flexibility into measuring instrument controls to accommodate future measurement technology were not supported by all stakeholder groups. </w:t>
      </w:r>
      <w:r w:rsidR="00866134" w:rsidRPr="006A74F8">
        <w:rPr>
          <w:rFonts w:cstheme="minorHAnsi"/>
          <w:color w:val="000000" w:themeColor="text1"/>
        </w:rPr>
        <w:t>Industry submissions and peak industry associations supported a principles-based approach, however the weighing industry generally prefer current prescriptive requirements as they apply to measuring instruments, particularly weighing instruments.</w:t>
      </w:r>
    </w:p>
    <w:p w:rsidR="00866134" w:rsidRPr="006A74F8" w:rsidRDefault="00866134" w:rsidP="00866134">
      <w:pPr>
        <w:rPr>
          <w:rFonts w:cstheme="minorHAnsi"/>
          <w:color w:val="000000" w:themeColor="text1"/>
        </w:rPr>
      </w:pPr>
      <w:r w:rsidRPr="006A74F8">
        <w:rPr>
          <w:rFonts w:cstheme="minorHAnsi"/>
          <w:color w:val="000000" w:themeColor="text1"/>
        </w:rPr>
        <w:t>Industry submissions, peak industry associations and a measuring instrument manufacturer recognised that the current regulatory framework was not always fit for purpose and supported:</w:t>
      </w:r>
    </w:p>
    <w:p w:rsidR="00866134" w:rsidRPr="006A74F8" w:rsidRDefault="00866134" w:rsidP="00866134">
      <w:pPr>
        <w:pStyle w:val="ListParagraph"/>
        <w:numPr>
          <w:ilvl w:val="0"/>
          <w:numId w:val="170"/>
        </w:numPr>
        <w:rPr>
          <w:rFonts w:cstheme="minorHAnsi"/>
          <w:color w:val="000000" w:themeColor="text1"/>
        </w:rPr>
      </w:pPr>
      <w:r w:rsidRPr="006A74F8">
        <w:rPr>
          <w:rFonts w:cstheme="minorHAnsi"/>
          <w:color w:val="000000" w:themeColor="text1"/>
        </w:rPr>
        <w:t xml:space="preserve">A move away from the current one size fits all approach to a more flexible arrangement. </w:t>
      </w:r>
    </w:p>
    <w:p w:rsidR="00866134" w:rsidRPr="006A74F8" w:rsidRDefault="00866134" w:rsidP="00866134">
      <w:pPr>
        <w:pStyle w:val="ListParagraph"/>
        <w:numPr>
          <w:ilvl w:val="0"/>
          <w:numId w:val="170"/>
        </w:numPr>
        <w:rPr>
          <w:rFonts w:cstheme="minorHAnsi"/>
          <w:color w:val="000000" w:themeColor="text1"/>
        </w:rPr>
      </w:pPr>
      <w:r w:rsidRPr="006A74F8">
        <w:rPr>
          <w:rFonts w:cstheme="minorHAnsi"/>
          <w:color w:val="000000" w:themeColor="text1"/>
        </w:rPr>
        <w:t>Changes that would allow for various other control mechanisms that may be more appropriate for a particular instrument type, application, and associated risks and harm.</w:t>
      </w:r>
    </w:p>
    <w:p w:rsidR="00866134" w:rsidRPr="006A74F8" w:rsidRDefault="00866134" w:rsidP="00866134">
      <w:pPr>
        <w:pStyle w:val="ListParagraph"/>
        <w:numPr>
          <w:ilvl w:val="0"/>
          <w:numId w:val="170"/>
        </w:numPr>
        <w:rPr>
          <w:rFonts w:cstheme="minorHAnsi"/>
          <w:color w:val="000000" w:themeColor="text1"/>
        </w:rPr>
      </w:pPr>
      <w:r w:rsidRPr="006A74F8">
        <w:rPr>
          <w:rFonts w:cstheme="minorHAnsi"/>
          <w:color w:val="000000" w:themeColor="text1"/>
        </w:rPr>
        <w:t>The ability to trial and adopt new technology and measurement standards developed overseas (e.g. public electric vehicle charging stations and</w:t>
      </w:r>
      <w:r w:rsidRPr="006A74F8">
        <w:t xml:space="preserve"> w</w:t>
      </w:r>
      <w:r w:rsidRPr="006A74F8">
        <w:rPr>
          <w:rFonts w:cstheme="minorHAnsi"/>
          <w:color w:val="000000" w:themeColor="text1"/>
        </w:rPr>
        <w:t>eigh</w:t>
      </w:r>
      <w:r w:rsidR="00841C25" w:rsidRPr="006A74F8">
        <w:rPr>
          <w:rFonts w:cstheme="minorHAnsi"/>
          <w:color w:val="000000" w:themeColor="text1"/>
        </w:rPr>
        <w:t>ing</w:t>
      </w:r>
      <w:r w:rsidRPr="006A74F8">
        <w:rPr>
          <w:rFonts w:cstheme="minorHAnsi"/>
          <w:color w:val="000000" w:themeColor="text1"/>
        </w:rPr>
        <w:t xml:space="preserve"> systems for trucks in motion). </w:t>
      </w:r>
    </w:p>
    <w:p w:rsidR="00866134" w:rsidRPr="006A74F8" w:rsidRDefault="00866134" w:rsidP="00866134">
      <w:pPr>
        <w:rPr>
          <w:rFonts w:cstheme="minorHAnsi"/>
          <w:color w:val="000000" w:themeColor="text1"/>
        </w:rPr>
      </w:pPr>
      <w:r w:rsidRPr="006A74F8">
        <w:rPr>
          <w:rFonts w:cstheme="minorHAnsi"/>
          <w:color w:val="000000" w:themeColor="text1"/>
        </w:rPr>
        <w:t>Feedback from the weighing industry included:</w:t>
      </w:r>
    </w:p>
    <w:p w:rsidR="00866134" w:rsidRPr="006A74F8" w:rsidRDefault="00866134" w:rsidP="00866134">
      <w:pPr>
        <w:pStyle w:val="ListParagraph"/>
        <w:numPr>
          <w:ilvl w:val="0"/>
          <w:numId w:val="160"/>
        </w:numPr>
        <w:ind w:left="709"/>
        <w:rPr>
          <w:rFonts w:cstheme="minorHAnsi"/>
          <w:color w:val="000000" w:themeColor="text1"/>
        </w:rPr>
      </w:pPr>
      <w:r w:rsidRPr="006A74F8">
        <w:rPr>
          <w:rFonts w:cstheme="minorHAnsi"/>
          <w:color w:val="000000" w:themeColor="text1"/>
        </w:rPr>
        <w:t>Recognition of the need for flexibility in certain areas, noting the need to prepare their industry for future developments. However, with a particular desire not to introduce flexibility in relation to the control of weighing instruments.</w:t>
      </w:r>
    </w:p>
    <w:p w:rsidR="00866134" w:rsidRPr="006A74F8" w:rsidRDefault="00866134" w:rsidP="00866134">
      <w:pPr>
        <w:pStyle w:val="ListParagraph"/>
        <w:numPr>
          <w:ilvl w:val="0"/>
          <w:numId w:val="160"/>
        </w:numPr>
        <w:ind w:left="709"/>
        <w:rPr>
          <w:rFonts w:cstheme="minorHAnsi"/>
          <w:color w:val="000000" w:themeColor="text1"/>
        </w:rPr>
      </w:pPr>
      <w:r w:rsidRPr="006A74F8">
        <w:rPr>
          <w:rFonts w:cstheme="minorHAnsi"/>
          <w:color w:val="000000" w:themeColor="text1"/>
        </w:rPr>
        <w:t>A strong preference to maintain the current status quo approach requiring pattern approval for all measuring instruments in use for trade.</w:t>
      </w:r>
    </w:p>
    <w:p w:rsidR="00866134" w:rsidRPr="006A74F8" w:rsidRDefault="00866134" w:rsidP="00866134">
      <w:pPr>
        <w:pStyle w:val="ListParagraph"/>
        <w:numPr>
          <w:ilvl w:val="0"/>
          <w:numId w:val="160"/>
        </w:numPr>
        <w:ind w:left="709"/>
        <w:rPr>
          <w:rFonts w:cstheme="minorHAnsi"/>
          <w:color w:val="000000" w:themeColor="text1"/>
        </w:rPr>
      </w:pPr>
      <w:r w:rsidRPr="006A74F8">
        <w:rPr>
          <w:rFonts w:cstheme="minorHAnsi"/>
          <w:color w:val="000000" w:themeColor="text1"/>
        </w:rPr>
        <w:t>A desire for flexibility to be introduced within the pattern approval system itself, rather than within the legislation.</w:t>
      </w:r>
    </w:p>
    <w:p w:rsidR="00866134" w:rsidRPr="006A74F8" w:rsidRDefault="00866134" w:rsidP="00866134">
      <w:pPr>
        <w:rPr>
          <w:rFonts w:eastAsia="Arial Unicode MS" w:cstheme="minorHAnsi"/>
          <w:color w:val="000000" w:themeColor="text1"/>
        </w:rPr>
      </w:pPr>
      <w:r w:rsidRPr="006A74F8">
        <w:rPr>
          <w:rFonts w:cstheme="minorHAnsi"/>
          <w:color w:val="000000" w:themeColor="text1"/>
        </w:rPr>
        <w:t xml:space="preserve">One submission from an </w:t>
      </w:r>
      <w:r w:rsidR="00A44D5D" w:rsidRPr="006A74F8">
        <w:rPr>
          <w:rFonts w:cstheme="minorHAnsi"/>
          <w:color w:val="000000" w:themeColor="text1"/>
        </w:rPr>
        <w:t>ATP</w:t>
      </w:r>
      <w:r w:rsidRPr="006A74F8">
        <w:rPr>
          <w:rFonts w:cstheme="minorHAnsi"/>
          <w:color w:val="000000" w:themeColor="text1"/>
        </w:rPr>
        <w:t xml:space="preserve"> focusing on simple measures expressed concerns around the recognition of</w:t>
      </w:r>
      <w:r w:rsidRPr="006A74F8">
        <w:rPr>
          <w:rFonts w:eastAsia="Arial Unicode MS" w:cstheme="minorHAnsi"/>
          <w:color w:val="000000" w:themeColor="text1"/>
        </w:rPr>
        <w:t xml:space="preserve"> test results from overseas manufacturers in Australia, including:</w:t>
      </w:r>
    </w:p>
    <w:p w:rsidR="00866134" w:rsidRPr="006A74F8" w:rsidRDefault="00866134" w:rsidP="00866134">
      <w:pPr>
        <w:pStyle w:val="ListParagraph"/>
        <w:numPr>
          <w:ilvl w:val="0"/>
          <w:numId w:val="169"/>
        </w:numPr>
        <w:rPr>
          <w:rFonts w:cstheme="minorHAnsi"/>
          <w:color w:val="000000" w:themeColor="text1"/>
        </w:rPr>
      </w:pPr>
      <w:r w:rsidRPr="006A74F8">
        <w:rPr>
          <w:rFonts w:eastAsia="Arial Unicode MS" w:cstheme="minorHAnsi"/>
          <w:color w:val="000000" w:themeColor="text1"/>
        </w:rPr>
        <w:t>Risks associated with the acceptance of measuring instruments from overseas without subsequent testing in Australia (e.g. inconsistent marking).</w:t>
      </w:r>
    </w:p>
    <w:p w:rsidR="00866134" w:rsidRPr="006A74F8" w:rsidRDefault="00866134" w:rsidP="00866134">
      <w:pPr>
        <w:pStyle w:val="ListParagraph"/>
        <w:numPr>
          <w:ilvl w:val="0"/>
          <w:numId w:val="169"/>
        </w:numPr>
        <w:rPr>
          <w:rFonts w:cstheme="minorHAnsi"/>
          <w:color w:val="000000" w:themeColor="text1"/>
        </w:rPr>
      </w:pPr>
      <w:r w:rsidRPr="006A74F8">
        <w:rPr>
          <w:rFonts w:eastAsia="Arial Unicode MS" w:cstheme="minorHAnsi"/>
          <w:color w:val="000000" w:themeColor="text1"/>
        </w:rPr>
        <w:t xml:space="preserve">Concerns about the availability and integrity of data that would be used to make risk assessments regarding appropriate instrument controls. </w:t>
      </w:r>
    </w:p>
    <w:p w:rsidR="00E6246C" w:rsidRPr="006A74F8" w:rsidRDefault="00E6246C" w:rsidP="00C82B0A">
      <w:pPr>
        <w:pStyle w:val="Heading5"/>
      </w:pPr>
      <w:r w:rsidRPr="006A74F8">
        <w:t xml:space="preserve">Principles-based regulation </w:t>
      </w:r>
    </w:p>
    <w:p w:rsidR="00866134" w:rsidRPr="006A74F8" w:rsidRDefault="00EB0D67" w:rsidP="00866134">
      <w:pPr>
        <w:rPr>
          <w:rFonts w:cstheme="minorHAnsi"/>
          <w:color w:val="000000" w:themeColor="text1"/>
        </w:rPr>
      </w:pPr>
      <w:r w:rsidRPr="006A74F8">
        <w:rPr>
          <w:rFonts w:cstheme="minorHAnsi"/>
          <w:color w:val="000000" w:themeColor="text1"/>
        </w:rPr>
        <w:t>C</w:t>
      </w:r>
      <w:r w:rsidR="00E6246C" w:rsidRPr="006A74F8">
        <w:rPr>
          <w:rFonts w:cstheme="minorHAnsi"/>
          <w:color w:val="000000" w:themeColor="text1"/>
        </w:rPr>
        <w:t xml:space="preserve">onsumer associations </w:t>
      </w:r>
      <w:r w:rsidRPr="006A74F8">
        <w:rPr>
          <w:rFonts w:cstheme="minorHAnsi"/>
          <w:color w:val="000000" w:themeColor="text1"/>
        </w:rPr>
        <w:t xml:space="preserve">and consumers </w:t>
      </w:r>
      <w:r w:rsidR="00E6246C" w:rsidRPr="006A74F8">
        <w:rPr>
          <w:rFonts w:cstheme="minorHAnsi"/>
          <w:color w:val="000000" w:themeColor="text1"/>
        </w:rPr>
        <w:t xml:space="preserve">were generally interested in maintaining the prescriptive nature of the current measurement legislation, particularly where it related to packaging requirements. </w:t>
      </w:r>
      <w:r w:rsidR="00866134" w:rsidRPr="006A74F8">
        <w:rPr>
          <w:rFonts w:cstheme="minorHAnsi"/>
          <w:color w:val="000000" w:themeColor="text1"/>
        </w:rPr>
        <w:t>One individual was accepting of a principles-based approach, providing that some key prescriptive aspects remained, such as front of pack, font height and text contrast requirements for packaged products.</w:t>
      </w:r>
    </w:p>
    <w:p w:rsidR="00866134" w:rsidRPr="006A74F8" w:rsidRDefault="00866134" w:rsidP="00866134">
      <w:pPr>
        <w:rPr>
          <w:rFonts w:cstheme="minorHAnsi"/>
          <w:b/>
          <w:color w:val="000000" w:themeColor="text1"/>
        </w:rPr>
      </w:pPr>
      <w:r w:rsidRPr="006A74F8">
        <w:rPr>
          <w:rFonts w:cstheme="minorHAnsi"/>
          <w:color w:val="000000" w:themeColor="text1"/>
        </w:rPr>
        <w:lastRenderedPageBreak/>
        <w:t>The weighing industry saw value in maintaining the prescriptive nature of the current measurement legislation in key areas, such as the regulation of weighing instruments, and raised c</w:t>
      </w:r>
      <w:r w:rsidRPr="006A74F8">
        <w:t>oncerns that a flexible principles-based system would be open to interpretation.</w:t>
      </w:r>
    </w:p>
    <w:p w:rsidR="00866134" w:rsidRPr="006A74F8" w:rsidRDefault="00866134" w:rsidP="00866134">
      <w:pPr>
        <w:rPr>
          <w:rFonts w:cstheme="minorHAnsi"/>
          <w:color w:val="000000" w:themeColor="text1"/>
        </w:rPr>
      </w:pPr>
      <w:r w:rsidRPr="006A74F8">
        <w:rPr>
          <w:rFonts w:cstheme="minorHAnsi"/>
          <w:color w:val="000000" w:themeColor="text1"/>
        </w:rPr>
        <w:t>Industry submissions and peak industry associations recognised the need for some relaxation of prescriptive requirements and were supportive of the move to a principles-based system, noting that principles-based regulation:</w:t>
      </w:r>
    </w:p>
    <w:p w:rsidR="00866134" w:rsidRPr="006A74F8" w:rsidRDefault="00866134" w:rsidP="00866134">
      <w:pPr>
        <w:pStyle w:val="ListParagraph"/>
        <w:numPr>
          <w:ilvl w:val="0"/>
          <w:numId w:val="172"/>
        </w:numPr>
        <w:rPr>
          <w:rFonts w:cstheme="minorHAnsi"/>
          <w:b/>
          <w:color w:val="000000" w:themeColor="text1"/>
        </w:rPr>
      </w:pPr>
      <w:r w:rsidRPr="006A74F8">
        <w:t>underpins the key principle of minimum effective regulation</w:t>
      </w:r>
    </w:p>
    <w:p w:rsidR="00866134" w:rsidRPr="006A74F8" w:rsidRDefault="00866134" w:rsidP="00866134">
      <w:pPr>
        <w:pStyle w:val="ListParagraph"/>
        <w:numPr>
          <w:ilvl w:val="0"/>
          <w:numId w:val="172"/>
        </w:numPr>
        <w:rPr>
          <w:rFonts w:cstheme="minorHAnsi"/>
          <w:b/>
          <w:color w:val="000000" w:themeColor="text1"/>
        </w:rPr>
      </w:pPr>
      <w:r w:rsidRPr="006A74F8">
        <w:t>introduces and enables greater flexibility into the measurement framework</w:t>
      </w:r>
      <w:r w:rsidR="00294207" w:rsidRPr="006A74F8">
        <w:t>.</w:t>
      </w:r>
    </w:p>
    <w:p w:rsidR="00866134" w:rsidRPr="006A74F8" w:rsidRDefault="00866134" w:rsidP="00866134">
      <w:pPr>
        <w:rPr>
          <w:rFonts w:cstheme="minorHAnsi"/>
          <w:color w:val="000000" w:themeColor="text1"/>
        </w:rPr>
      </w:pPr>
      <w:r w:rsidRPr="006A74F8">
        <w:rPr>
          <w:rFonts w:cstheme="minorHAnsi"/>
          <w:color w:val="000000" w:themeColor="text1"/>
        </w:rPr>
        <w:t>A measurement expert who responded supported the proposal to assign a range of powers to the Chief Metrologist, noting that doing so</w:t>
      </w:r>
      <w:r w:rsidRPr="006A74F8">
        <w:t xml:space="preserve"> ensures the technical validity of measurement standards and instruments and provides appropriate technical oversight and guidance to principles-based legislation.</w:t>
      </w:r>
    </w:p>
    <w:p w:rsidR="00E6246C" w:rsidRPr="006A74F8" w:rsidRDefault="006117EE" w:rsidP="00F64137">
      <w:pPr>
        <w:pStyle w:val="Heading2"/>
      </w:pPr>
      <w:bookmarkStart w:id="1743" w:name="_Incorporating_stakeholder_feedback"/>
      <w:bookmarkEnd w:id="1743"/>
      <w:r w:rsidRPr="006A74F8">
        <w:t>Incorporating</w:t>
      </w:r>
      <w:bookmarkStart w:id="1744" w:name="_Toc74658925"/>
      <w:r w:rsidR="00E6246C" w:rsidRPr="006A74F8">
        <w:t xml:space="preserve"> stakeholder feedback</w:t>
      </w:r>
      <w:bookmarkEnd w:id="1744"/>
      <w:r w:rsidRPr="006A74F8">
        <w:t xml:space="preserve"> in the final options</w:t>
      </w:r>
    </w:p>
    <w:p w:rsidR="006F5847" w:rsidRPr="006A74F8" w:rsidRDefault="006F5847" w:rsidP="001825E8">
      <w:pPr>
        <w:pStyle w:val="Heading3"/>
        <w:ind w:left="709"/>
      </w:pPr>
      <w:r w:rsidRPr="006A74F8">
        <w:t>Key revisions to options</w:t>
      </w:r>
    </w:p>
    <w:p w:rsidR="00E6246C" w:rsidRPr="006A74F8" w:rsidRDefault="00167E92" w:rsidP="00E6246C">
      <w:r w:rsidRPr="00167E92">
        <w:t xml:space="preserve">While the options did not require significant changes, some refinements have been made to the final options in response to stakeholder feedback. </w:t>
      </w:r>
      <w:r w:rsidR="006F5847" w:rsidRPr="00167E92">
        <w:t xml:space="preserve"> These changes</w:t>
      </w:r>
      <w:r w:rsidR="006F5847" w:rsidRPr="006A74F8">
        <w:t xml:space="preserve"> </w:t>
      </w:r>
      <w:r w:rsidR="00E6246C" w:rsidRPr="006A74F8">
        <w:t>includ</w:t>
      </w:r>
      <w:r w:rsidR="006F5847" w:rsidRPr="006A74F8">
        <w:t>e</w:t>
      </w:r>
      <w:r w:rsidR="00E6246C" w:rsidRPr="006A74F8">
        <w:t>:</w:t>
      </w:r>
    </w:p>
    <w:p w:rsidR="00F64137" w:rsidRPr="006A74F8" w:rsidRDefault="00142849" w:rsidP="00167E92">
      <w:pPr>
        <w:pStyle w:val="ListParagraph"/>
        <w:numPr>
          <w:ilvl w:val="0"/>
          <w:numId w:val="174"/>
        </w:numPr>
      </w:pPr>
      <w:r w:rsidRPr="006A74F8">
        <w:rPr>
          <w:rFonts w:cstheme="minorHAnsi"/>
          <w:b/>
          <w:color w:val="000000" w:themeColor="text1"/>
        </w:rPr>
        <w:t xml:space="preserve">Clarifying the objective of the </w:t>
      </w:r>
      <w:r w:rsidR="00900FE2" w:rsidRPr="006A74F8">
        <w:rPr>
          <w:rFonts w:cstheme="minorHAnsi"/>
          <w:b/>
          <w:color w:val="000000" w:themeColor="text1"/>
        </w:rPr>
        <w:t>measurement legislation</w:t>
      </w:r>
      <w:r w:rsidRPr="006A74F8">
        <w:rPr>
          <w:rFonts w:cstheme="minorHAnsi"/>
          <w:b/>
          <w:color w:val="000000" w:themeColor="text1"/>
        </w:rPr>
        <w:t>:</w:t>
      </w:r>
      <w:r w:rsidRPr="006A74F8">
        <w:t xml:space="preserve"> </w:t>
      </w:r>
      <w:r w:rsidR="004F6403" w:rsidRPr="006A74F8">
        <w:t>Under option 2 t</w:t>
      </w:r>
      <w:r w:rsidR="00A511E0" w:rsidRPr="006A74F8">
        <w:t>he</w:t>
      </w:r>
      <w:r w:rsidRPr="006A74F8">
        <w:t xml:space="preserve"> objectives </w:t>
      </w:r>
      <w:r w:rsidR="00A511E0" w:rsidRPr="006A74F8">
        <w:t xml:space="preserve">of the </w:t>
      </w:r>
      <w:r w:rsidR="00900FE2" w:rsidRPr="006A74F8">
        <w:t xml:space="preserve">legislation </w:t>
      </w:r>
      <w:r w:rsidR="00A511E0" w:rsidRPr="006A74F8">
        <w:t>will be updated to clarify the government’s role t</w:t>
      </w:r>
      <w:r w:rsidRPr="006A74F8">
        <w:t xml:space="preserve">o underpin accurate and reliable measurement and provide for oversight and coordination of measurement in Australia. This </w:t>
      </w:r>
      <w:r w:rsidR="00A511E0" w:rsidRPr="006A74F8">
        <w:t>will</w:t>
      </w:r>
      <w:r w:rsidRPr="006A74F8">
        <w:t xml:space="preserve"> support the ability to make regulations, determinations or other legislative instruments to enable the Australian government some ability to respond to significant measurement failures or crisis outside trade.</w:t>
      </w:r>
    </w:p>
    <w:p w:rsidR="00E6246C" w:rsidRPr="006A74F8" w:rsidRDefault="00167E92" w:rsidP="002B2F07">
      <w:pPr>
        <w:pStyle w:val="ListParagraph"/>
        <w:numPr>
          <w:ilvl w:val="0"/>
          <w:numId w:val="174"/>
        </w:numPr>
        <w:rPr>
          <w:b/>
        </w:rPr>
      </w:pPr>
      <w:r>
        <w:rPr>
          <w:b/>
        </w:rPr>
        <w:t>Public w</w:t>
      </w:r>
      <w:r w:rsidR="00E6246C" w:rsidRPr="006A74F8">
        <w:rPr>
          <w:b/>
        </w:rPr>
        <w:t xml:space="preserve">eighbridges: </w:t>
      </w:r>
      <w:r w:rsidR="00E6246C" w:rsidRPr="006A74F8">
        <w:t>The proposed approach to public weighbridge</w:t>
      </w:r>
      <w:r w:rsidR="00AA1A49" w:rsidRPr="006A74F8">
        <w:t xml:space="preserve"> </w:t>
      </w:r>
      <w:r w:rsidR="00DA159B" w:rsidRPr="006A74F8">
        <w:t>licences</w:t>
      </w:r>
      <w:r w:rsidR="00E6246C" w:rsidRPr="006A74F8">
        <w:t xml:space="preserve"> under </w:t>
      </w:r>
      <w:r w:rsidR="00E53832" w:rsidRPr="006A74F8">
        <w:t>o</w:t>
      </w:r>
      <w:r w:rsidR="00E6246C" w:rsidRPr="006A74F8">
        <w:t xml:space="preserve">ption 1 </w:t>
      </w:r>
      <w:r w:rsidR="00900FE2" w:rsidRPr="006A74F8">
        <w:t xml:space="preserve">has been inserted into the recommended </w:t>
      </w:r>
      <w:r w:rsidR="00E53832" w:rsidRPr="006A74F8">
        <w:t>o</w:t>
      </w:r>
      <w:r w:rsidR="00900FE2" w:rsidRPr="006A74F8">
        <w:t>ption 2</w:t>
      </w:r>
      <w:r w:rsidR="00E6246C" w:rsidRPr="006A74F8">
        <w:t xml:space="preserve">. This change does not impact other aspects of </w:t>
      </w:r>
      <w:r w:rsidR="00E53832" w:rsidRPr="006A74F8">
        <w:t>o</w:t>
      </w:r>
      <w:r w:rsidR="00E6246C" w:rsidRPr="006A74F8">
        <w:t>ption 2 as it is a discrete element in the RIS. Reasons for this change include:</w:t>
      </w:r>
    </w:p>
    <w:p w:rsidR="00E6246C" w:rsidRPr="006A74F8" w:rsidRDefault="00E6246C" w:rsidP="002B2F07">
      <w:pPr>
        <w:pStyle w:val="ListParagraph"/>
        <w:numPr>
          <w:ilvl w:val="1"/>
          <w:numId w:val="174"/>
        </w:numPr>
        <w:rPr>
          <w:b/>
        </w:rPr>
      </w:pPr>
      <w:r w:rsidRPr="006A74F8">
        <w:t xml:space="preserve">Lack of support from relevant stakeholders for the general licence approach proposed under </w:t>
      </w:r>
      <w:r w:rsidR="00E53832" w:rsidRPr="006A74F8">
        <w:t>o</w:t>
      </w:r>
      <w:r w:rsidRPr="006A74F8">
        <w:t>ption 2.</w:t>
      </w:r>
    </w:p>
    <w:p w:rsidR="00E6246C" w:rsidRPr="006A74F8" w:rsidRDefault="00E6246C">
      <w:pPr>
        <w:pStyle w:val="ListParagraph"/>
        <w:numPr>
          <w:ilvl w:val="1"/>
          <w:numId w:val="174"/>
        </w:numPr>
        <w:rPr>
          <w:b/>
        </w:rPr>
      </w:pPr>
      <w:r w:rsidRPr="006A74F8">
        <w:t>Concerns regarding lowering of standards and impacts to significant financial and industry investment.</w:t>
      </w:r>
    </w:p>
    <w:p w:rsidR="00E6246C" w:rsidRPr="006A74F8" w:rsidRDefault="00E6246C" w:rsidP="002B2F07">
      <w:pPr>
        <w:pStyle w:val="ListParagraph"/>
        <w:numPr>
          <w:ilvl w:val="1"/>
          <w:numId w:val="174"/>
        </w:numPr>
      </w:pPr>
      <w:r w:rsidRPr="006A74F8">
        <w:t>Suppor</w:t>
      </w:r>
      <w:r w:rsidR="00DD6EAD" w:rsidRPr="006A74F8">
        <w:t>t from relevant stakeholders to maintain the status quo for</w:t>
      </w:r>
      <w:r w:rsidRPr="006A74F8">
        <w:t xml:space="preserve"> public weighbridge </w:t>
      </w:r>
      <w:r w:rsidR="00DD6EAD" w:rsidRPr="006A74F8">
        <w:t>licen</w:t>
      </w:r>
      <w:r w:rsidR="00E53832" w:rsidRPr="006A74F8">
        <w:t>s</w:t>
      </w:r>
      <w:r w:rsidR="00DD6EAD" w:rsidRPr="006A74F8">
        <w:t>ing.</w:t>
      </w:r>
    </w:p>
    <w:p w:rsidR="00E6246C" w:rsidRPr="006A74F8" w:rsidRDefault="00E6246C" w:rsidP="002B2F07">
      <w:pPr>
        <w:pStyle w:val="ListParagraph"/>
        <w:numPr>
          <w:ilvl w:val="0"/>
          <w:numId w:val="174"/>
        </w:numPr>
      </w:pPr>
      <w:r w:rsidRPr="006A74F8">
        <w:rPr>
          <w:b/>
        </w:rPr>
        <w:t>Appointment of ATP</w:t>
      </w:r>
      <w:r w:rsidR="00E53832" w:rsidRPr="006A74F8">
        <w:rPr>
          <w:b/>
        </w:rPr>
        <w:t>s</w:t>
      </w:r>
      <w:r w:rsidRPr="006A74F8">
        <w:rPr>
          <w:b/>
        </w:rPr>
        <w:t xml:space="preserve">: </w:t>
      </w:r>
      <w:r w:rsidRPr="006A74F8">
        <w:t xml:space="preserve">The proposed approach under </w:t>
      </w:r>
      <w:r w:rsidR="00E53832" w:rsidRPr="006A74F8">
        <w:t>o</w:t>
      </w:r>
      <w:r w:rsidRPr="006A74F8">
        <w:t xml:space="preserve">ption 2 </w:t>
      </w:r>
      <w:r w:rsidR="004741F6" w:rsidRPr="006A74F8">
        <w:t>has</w:t>
      </w:r>
      <w:r w:rsidRPr="006A74F8">
        <w:t xml:space="preserve"> be</w:t>
      </w:r>
      <w:r w:rsidR="004741F6" w:rsidRPr="006A74F8">
        <w:t>en</w:t>
      </w:r>
      <w:r w:rsidRPr="006A74F8">
        <w:t xml:space="preserve"> changed slightly in response to stakeholder feedback. </w:t>
      </w:r>
    </w:p>
    <w:p w:rsidR="00E6246C" w:rsidRPr="006A74F8" w:rsidRDefault="00E6246C" w:rsidP="002B2F07">
      <w:pPr>
        <w:pStyle w:val="ListParagraph"/>
        <w:numPr>
          <w:ilvl w:val="1"/>
          <w:numId w:val="174"/>
        </w:numPr>
      </w:pPr>
      <w:r w:rsidRPr="006A74F8">
        <w:t xml:space="preserve">Instead of merging all appointment types into a single appointment, the legislation will use a single mechanism to appoint an ATP, authorising them </w:t>
      </w:r>
      <w:r w:rsidR="0019671B" w:rsidRPr="006A74F8">
        <w:t>to</w:t>
      </w:r>
      <w:r w:rsidRPr="006A74F8">
        <w:t xml:space="preserve"> perform certain distinct functions outlined in the regulations. </w:t>
      </w:r>
    </w:p>
    <w:p w:rsidR="00E6246C" w:rsidRPr="006A74F8" w:rsidRDefault="00E6246C" w:rsidP="002B2F07">
      <w:pPr>
        <w:pStyle w:val="ListParagraph"/>
        <w:numPr>
          <w:ilvl w:val="1"/>
          <w:numId w:val="174"/>
        </w:numPr>
      </w:pPr>
      <w:r w:rsidRPr="006A74F8">
        <w:t>Authorised functions will align with existing ATP categories and a new general category will be introduced to enable performance of “other metrological functions as determined by the Chief Metrologist” to allow future flexibility.</w:t>
      </w:r>
    </w:p>
    <w:p w:rsidR="00E6246C" w:rsidRPr="006A74F8" w:rsidRDefault="009C0468" w:rsidP="001825E8">
      <w:pPr>
        <w:pStyle w:val="Heading3"/>
        <w:ind w:left="709"/>
      </w:pPr>
      <w:r w:rsidRPr="006A74F8">
        <w:lastRenderedPageBreak/>
        <w:t xml:space="preserve">Other </w:t>
      </w:r>
      <w:r w:rsidR="00167E92">
        <w:t>refinements</w:t>
      </w:r>
      <w:r w:rsidRPr="006A74F8">
        <w:t xml:space="preserve"> to the RIS</w:t>
      </w:r>
    </w:p>
    <w:p w:rsidR="00E6246C" w:rsidRPr="006A74F8" w:rsidRDefault="00E6246C" w:rsidP="00E17393">
      <w:r w:rsidRPr="006A74F8">
        <w:t>In response to stakeholder feedback, amendments were made to the RIS to clarify, rather than substantially change, the proposed options</w:t>
      </w:r>
      <w:r w:rsidRPr="00167E92">
        <w:t xml:space="preserve">. </w:t>
      </w:r>
      <w:r w:rsidR="00167E92" w:rsidRPr="00167E92">
        <w:t>Further detail has been added to the RIS where stakeholder responses indicated a lack of clarity in relation to proposed changes.</w:t>
      </w:r>
      <w:r w:rsidR="00167E92">
        <w:t xml:space="preserve"> </w:t>
      </w:r>
      <w:r w:rsidRPr="006A74F8">
        <w:t xml:space="preserve">Issues raised included: </w:t>
      </w:r>
    </w:p>
    <w:p w:rsidR="00E6246C" w:rsidRPr="006A74F8" w:rsidRDefault="00E6246C" w:rsidP="002B2F07">
      <w:pPr>
        <w:pStyle w:val="ListParagraph"/>
        <w:numPr>
          <w:ilvl w:val="0"/>
          <w:numId w:val="164"/>
        </w:numPr>
      </w:pPr>
      <w:r w:rsidRPr="006A74F8">
        <w:t xml:space="preserve">Consumer associations raised concerns with the term “streamlined” and were unsure how this would impact certain prescriptive requirements in practice. </w:t>
      </w:r>
    </w:p>
    <w:p w:rsidR="00E6246C" w:rsidRPr="006A74F8" w:rsidRDefault="00E6246C" w:rsidP="002B2F07">
      <w:pPr>
        <w:pStyle w:val="ListParagraph"/>
        <w:numPr>
          <w:ilvl w:val="0"/>
          <w:numId w:val="164"/>
        </w:numPr>
      </w:pPr>
      <w:r w:rsidRPr="006A74F8">
        <w:t xml:space="preserve">Some industry associations were not supportive of “flexibility” in relation to particular aspects of the legislation, concerned this meant a loss of prescriptive instruction for industry. </w:t>
      </w:r>
    </w:p>
    <w:p w:rsidR="00E6246C" w:rsidRPr="006A74F8" w:rsidRDefault="007D6DEB" w:rsidP="002B2F07">
      <w:pPr>
        <w:pStyle w:val="ListParagraph"/>
        <w:numPr>
          <w:ilvl w:val="0"/>
          <w:numId w:val="164"/>
        </w:numPr>
      </w:pPr>
      <w:r w:rsidRPr="006A74F8">
        <w:t>The weighing industry were concerned about the intended application of flexible measuring instrument controls.</w:t>
      </w:r>
    </w:p>
    <w:p w:rsidR="00F84943" w:rsidRPr="006A74F8" w:rsidRDefault="00F84943" w:rsidP="002B2F07">
      <w:pPr>
        <w:pStyle w:val="ListParagraph"/>
        <w:numPr>
          <w:ilvl w:val="0"/>
          <w:numId w:val="164"/>
        </w:numPr>
      </w:pPr>
      <w:r w:rsidRPr="006A74F8">
        <w:t>ATPs noted concerns regarding clarity of competency, reporting and auditing requirements.</w:t>
      </w:r>
    </w:p>
    <w:p w:rsidR="00E073F8" w:rsidRPr="006A74F8" w:rsidRDefault="00E073F8" w:rsidP="001825E8">
      <w:pPr>
        <w:pStyle w:val="Heading3"/>
        <w:ind w:left="709"/>
      </w:pPr>
      <w:r w:rsidRPr="006A74F8">
        <w:t>Feedback that has not been adopted</w:t>
      </w:r>
    </w:p>
    <w:p w:rsidR="00900FE2" w:rsidRPr="006A74F8" w:rsidRDefault="00900FE2" w:rsidP="00D24A34">
      <w:pPr>
        <w:pStyle w:val="Heading4"/>
        <w:tabs>
          <w:tab w:val="left" w:pos="851"/>
        </w:tabs>
        <w:ind w:left="0" w:hanging="28"/>
      </w:pPr>
      <w:r w:rsidRPr="006A74F8">
        <w:t>Maintaining status quo for measurement marking requirements on packaged products</w:t>
      </w:r>
    </w:p>
    <w:p w:rsidR="00900FE2" w:rsidRPr="006A74F8" w:rsidRDefault="00900FE2">
      <w:pPr>
        <w:pStyle w:val="ListParagraph"/>
        <w:spacing w:before="120"/>
        <w:ind w:left="0" w:firstLine="0"/>
        <w:contextualSpacing w:val="0"/>
      </w:pPr>
      <w:r w:rsidRPr="006A74F8">
        <w:t>As noted above, consumer associations and consumers raised concerns that moving to a principles-based approach will compromise the accessibility of measurement information. The reform options presented in the Packaging Review</w:t>
      </w:r>
      <w:r w:rsidRPr="006A74F8">
        <w:rPr>
          <w:rStyle w:val="FootnoteReference"/>
        </w:rPr>
        <w:footnoteReference w:id="84"/>
      </w:r>
      <w:r w:rsidRPr="006A74F8">
        <w:t xml:space="preserve"> were refined for the Consultation RIS to help address these concerns, retaining minimum font height and colour contrast requirements across all options to provide certainty, and ensure the prominent and legible display of the measurement mark.   </w:t>
      </w:r>
    </w:p>
    <w:p w:rsidR="00900FE2" w:rsidRPr="006A74F8" w:rsidRDefault="00900FE2">
      <w:pPr>
        <w:pStyle w:val="ListParagraph"/>
        <w:tabs>
          <w:tab w:val="left" w:pos="4249"/>
        </w:tabs>
        <w:spacing w:before="120" w:after="120"/>
        <w:ind w:left="0" w:firstLine="0"/>
      </w:pPr>
      <w:r w:rsidRPr="006A74F8">
        <w:t>Other issues raised in response to the Consultation RIS included increased product handling, which relates to maintaining supermarket shelf organisation, and misalignment with OIML R79 if the measurement mark is not presented on the principal display panel:</w:t>
      </w:r>
    </w:p>
    <w:p w:rsidR="000F004E" w:rsidRPr="006A74F8" w:rsidRDefault="00511878">
      <w:pPr>
        <w:pStyle w:val="ListParagraph"/>
        <w:numPr>
          <w:ilvl w:val="0"/>
          <w:numId w:val="164"/>
        </w:numPr>
      </w:pPr>
      <w:r w:rsidRPr="006A74F8">
        <w:rPr>
          <w:b/>
        </w:rPr>
        <w:t>Increased product handling:</w:t>
      </w:r>
      <w:r w:rsidRPr="006A74F8">
        <w:t xml:space="preserve"> Consultations with supermarkets reported this impact would be minimal as supermarket staff have to tidy shelves as part of general store maintenance.</w:t>
      </w:r>
      <w:r w:rsidR="000F004E" w:rsidRPr="006A74F8">
        <w:t xml:space="preserve"> Furthermore, customers need to handle product</w:t>
      </w:r>
      <w:r w:rsidR="00AC321E" w:rsidRPr="006A74F8">
        <w:t>s</w:t>
      </w:r>
      <w:r w:rsidR="00A66AF6" w:rsidRPr="006A74F8">
        <w:t xml:space="preserve"> to find other </w:t>
      </w:r>
      <w:r w:rsidR="00F2619D" w:rsidRPr="006A74F8">
        <w:t xml:space="preserve">important </w:t>
      </w:r>
      <w:r w:rsidR="00A66AF6" w:rsidRPr="006A74F8">
        <w:t xml:space="preserve">product information e.g. </w:t>
      </w:r>
      <w:r w:rsidR="009A5EF3" w:rsidRPr="006A74F8">
        <w:t xml:space="preserve">to access </w:t>
      </w:r>
      <w:r w:rsidR="00A66AF6" w:rsidRPr="006A74F8">
        <w:t>ingredients, expiry date</w:t>
      </w:r>
      <w:r w:rsidR="000F004E" w:rsidRPr="006A74F8">
        <w:t xml:space="preserve"> and allergen statemen</w:t>
      </w:r>
      <w:r w:rsidR="00A66AF6" w:rsidRPr="006A74F8">
        <w:t xml:space="preserve">ts that </w:t>
      </w:r>
      <w:r w:rsidR="00100861" w:rsidRPr="006A74F8">
        <w:t>do</w:t>
      </w:r>
      <w:r w:rsidR="00A66AF6" w:rsidRPr="006A74F8">
        <w:t xml:space="preserve"> not </w:t>
      </w:r>
      <w:r w:rsidR="00100861" w:rsidRPr="006A74F8">
        <w:t>have</w:t>
      </w:r>
      <w:r w:rsidR="00D55950" w:rsidRPr="006A74F8">
        <w:t xml:space="preserve"> </w:t>
      </w:r>
      <w:r w:rsidR="00A66AF6" w:rsidRPr="006A74F8">
        <w:t xml:space="preserve">to </w:t>
      </w:r>
      <w:r w:rsidR="00100861" w:rsidRPr="006A74F8">
        <w:t>be</w:t>
      </w:r>
      <w:r w:rsidR="00A66AF6" w:rsidRPr="006A74F8">
        <w:t xml:space="preserve"> </w:t>
      </w:r>
      <w:r w:rsidR="00100861" w:rsidRPr="006A74F8">
        <w:t>presented</w:t>
      </w:r>
      <w:r w:rsidR="00D10CD0" w:rsidRPr="006A74F8">
        <w:t xml:space="preserve"> on</w:t>
      </w:r>
      <w:r w:rsidR="00A66AF6" w:rsidRPr="006A74F8">
        <w:t xml:space="preserve"> the</w:t>
      </w:r>
      <w:r w:rsidR="000F004E" w:rsidRPr="006A74F8">
        <w:t xml:space="preserve"> front of </w:t>
      </w:r>
      <w:r w:rsidR="00A66AF6" w:rsidRPr="006A74F8">
        <w:t>the pack.</w:t>
      </w:r>
    </w:p>
    <w:p w:rsidR="00483565" w:rsidRPr="006A74F8" w:rsidRDefault="00511878">
      <w:pPr>
        <w:pStyle w:val="ListParagraph"/>
        <w:numPr>
          <w:ilvl w:val="0"/>
          <w:numId w:val="164"/>
        </w:numPr>
      </w:pPr>
      <w:r w:rsidRPr="006A74F8">
        <w:rPr>
          <w:b/>
        </w:rPr>
        <w:t>Misalignment with OIML R79:</w:t>
      </w:r>
      <w:r w:rsidRPr="006A74F8">
        <w:t xml:space="preserve"> </w:t>
      </w:r>
      <w:r w:rsidR="000F004E" w:rsidRPr="006A74F8">
        <w:t>OIML</w:t>
      </w:r>
      <w:r w:rsidR="00D55950" w:rsidRPr="006A74F8">
        <w:t xml:space="preserve"> R79</w:t>
      </w:r>
      <w:r w:rsidR="000F004E" w:rsidRPr="006A74F8">
        <w:t xml:space="preserve"> </w:t>
      </w:r>
      <w:r w:rsidR="00D55950" w:rsidRPr="006A74F8">
        <w:t xml:space="preserve">is </w:t>
      </w:r>
      <w:r w:rsidR="007D4909" w:rsidRPr="006A74F8">
        <w:t xml:space="preserve">the </w:t>
      </w:r>
      <w:r w:rsidR="00D55950" w:rsidRPr="006A74F8">
        <w:t xml:space="preserve">recommended approach to requirements for packaged products </w:t>
      </w:r>
      <w:r w:rsidR="007D4909" w:rsidRPr="006A74F8">
        <w:t xml:space="preserve">but </w:t>
      </w:r>
      <w:r w:rsidR="00D51FFF" w:rsidRPr="006A74F8">
        <w:t>adoption of this recommendation by member economies</w:t>
      </w:r>
      <w:r w:rsidR="00D55950" w:rsidRPr="006A74F8">
        <w:t xml:space="preserve"> has not been consistent. This </w:t>
      </w:r>
      <w:r w:rsidR="000F004E" w:rsidRPr="006A74F8">
        <w:t>has l</w:t>
      </w:r>
      <w:r w:rsidR="00A66AF6" w:rsidRPr="006A74F8">
        <w:t xml:space="preserve">ed to different </w:t>
      </w:r>
      <w:r w:rsidR="00D55950" w:rsidRPr="006A74F8">
        <w:t>approaches to packaging requirements by member economies</w:t>
      </w:r>
      <w:r w:rsidR="00A66AF6" w:rsidRPr="006A74F8">
        <w:t xml:space="preserve"> (see </w:t>
      </w:r>
      <w:hyperlink w:anchor="_Alignment_with_other" w:history="1">
        <w:r w:rsidR="00F4650F" w:rsidRPr="006A74F8">
          <w:rPr>
            <w:rStyle w:val="Hyperlink"/>
          </w:rPr>
          <w:t>Section 5.4.8.2</w:t>
        </w:r>
      </w:hyperlink>
      <w:r w:rsidR="00A66AF6" w:rsidRPr="006A74F8">
        <w:t xml:space="preserve">). </w:t>
      </w:r>
      <w:r w:rsidR="000F004E" w:rsidRPr="006A74F8">
        <w:t xml:space="preserve">For example, Australia’s </w:t>
      </w:r>
      <w:r w:rsidR="00F1475A" w:rsidRPr="006A74F8">
        <w:t xml:space="preserve">current </w:t>
      </w:r>
      <w:r w:rsidR="000F004E" w:rsidRPr="006A74F8">
        <w:t>regulations are an adaptation of OIML’s recommendation to ensure it meets the needs of Aust</w:t>
      </w:r>
      <w:r w:rsidR="00A66AF6" w:rsidRPr="006A74F8">
        <w:t xml:space="preserve">ralian businesses and consumers. </w:t>
      </w:r>
      <w:r w:rsidR="00F1475A" w:rsidRPr="006A74F8">
        <w:t>However, t</w:t>
      </w:r>
      <w:r w:rsidR="00A66AF6" w:rsidRPr="006A74F8">
        <w:t>he current princip</w:t>
      </w:r>
      <w:r w:rsidR="00F4650F" w:rsidRPr="006A74F8">
        <w:t>a</w:t>
      </w:r>
      <w:r w:rsidR="00A66AF6" w:rsidRPr="006A74F8">
        <w:t xml:space="preserve">l display panel requirement limits the range of products that can be imported cost </w:t>
      </w:r>
      <w:r w:rsidR="00D55950" w:rsidRPr="006A74F8">
        <w:t xml:space="preserve">effectively </w:t>
      </w:r>
      <w:r w:rsidR="00A66AF6" w:rsidRPr="006A74F8">
        <w:t>into the country</w:t>
      </w:r>
      <w:r w:rsidR="00F2619D" w:rsidRPr="006A74F8">
        <w:t>, acknowledging that Australia is a small and open market.</w:t>
      </w:r>
    </w:p>
    <w:p w:rsidR="00D55950" w:rsidRPr="006A74F8" w:rsidRDefault="00D55950">
      <w:r w:rsidRPr="006A74F8">
        <w:lastRenderedPageBreak/>
        <w:t xml:space="preserve">For these reasons and those outlined in </w:t>
      </w:r>
      <w:r w:rsidR="00C040B3" w:rsidRPr="006A74F8">
        <w:t xml:space="preserve">the </w:t>
      </w:r>
      <w:r w:rsidRPr="006A74F8">
        <w:t>previous section of this RIS, the approach to placement of the measurement mark in the recommended option has not been revised from that presented in the Consultation RIS.</w:t>
      </w:r>
    </w:p>
    <w:p w:rsidR="00A50E32" w:rsidRPr="006A74F8" w:rsidRDefault="00A50E32" w:rsidP="00A50E32">
      <w:pPr>
        <w:pStyle w:val="Heading3"/>
      </w:pPr>
      <w:r w:rsidRPr="006A74F8">
        <w:t>Other key issues raise</w:t>
      </w:r>
      <w:r w:rsidR="00885176" w:rsidRPr="006A74F8">
        <w:t>d</w:t>
      </w:r>
      <w:r w:rsidRPr="006A74F8">
        <w:t xml:space="preserve"> by stakeholders</w:t>
      </w:r>
    </w:p>
    <w:p w:rsidR="004415A5" w:rsidRPr="006A74F8" w:rsidRDefault="00E073F8" w:rsidP="004415A5">
      <w:r w:rsidRPr="006A74F8">
        <w:t xml:space="preserve">In addition to feedback that resulted in the changes made to the options and the RIS itself, </w:t>
      </w:r>
      <w:r w:rsidR="004415A5" w:rsidRPr="006A74F8">
        <w:t>there were a number of other issues and suggestions raised by stakeholders</w:t>
      </w:r>
      <w:r w:rsidR="007D4909" w:rsidRPr="006A74F8">
        <w:t>. These issues were considered</w:t>
      </w:r>
      <w:r w:rsidR="004415A5" w:rsidRPr="006A74F8">
        <w:t xml:space="preserve"> either outside of the scope of the measurement law review, a matter for drafting or implementation, or will be the subject of future consultation before any changes are made. Key additional issues raised are identified in the table below:</w:t>
      </w:r>
    </w:p>
    <w:tbl>
      <w:tblPr>
        <w:tblStyle w:val="TableGrid"/>
        <w:tblpPr w:leftFromText="181" w:rightFromText="181" w:vertAnchor="page" w:horzAnchor="page" w:tblpX="633" w:tblpY="1759"/>
        <w:tblW w:w="1060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Caption w:val="Table 1 – Additional stakeholder feedback"/>
        <w:tblDescription w:val="Table describes additional stakeholder feedback received from public consultation. Table also describes how the MLR has responded to the feedback."/>
      </w:tblPr>
      <w:tblGrid>
        <w:gridCol w:w="2450"/>
        <w:gridCol w:w="2907"/>
        <w:gridCol w:w="5245"/>
      </w:tblGrid>
      <w:tr w:rsidR="003B0DF9" w:rsidRPr="006A74F8" w:rsidTr="003B0DF9">
        <w:trPr>
          <w:trHeight w:val="35"/>
          <w:tblHeader/>
        </w:trPr>
        <w:tc>
          <w:tcPr>
            <w:tcW w:w="10602" w:type="dxa"/>
            <w:gridSpan w:val="3"/>
            <w:shd w:val="clear" w:color="auto" w:fill="00283E" w:themeFill="accent2"/>
          </w:tcPr>
          <w:p w:rsidR="003B0DF9" w:rsidRPr="006A74F8" w:rsidRDefault="003B0DF9" w:rsidP="003B0DF9">
            <w:pPr>
              <w:pageBreakBefore/>
              <w:jc w:val="center"/>
              <w:rPr>
                <w:sz w:val="32"/>
                <w:szCs w:val="32"/>
              </w:rPr>
            </w:pPr>
            <w:r w:rsidRPr="006A74F8">
              <w:rPr>
                <w:sz w:val="32"/>
                <w:szCs w:val="32"/>
              </w:rPr>
              <w:lastRenderedPageBreak/>
              <w:t>Table 1</w:t>
            </w:r>
            <w:r w:rsidRPr="006A74F8">
              <w:rPr>
                <w:rStyle w:val="CommentReference"/>
                <w:sz w:val="32"/>
                <w:szCs w:val="32"/>
              </w:rPr>
              <w:t>2</w:t>
            </w:r>
            <w:r w:rsidR="00A06409">
              <w:rPr>
                <w:rStyle w:val="CommentReference"/>
                <w:sz w:val="32"/>
                <w:szCs w:val="32"/>
              </w:rPr>
              <w:t xml:space="preserve"> </w:t>
            </w:r>
            <w:r w:rsidRPr="006A74F8">
              <w:rPr>
                <w:sz w:val="32"/>
                <w:szCs w:val="32"/>
              </w:rPr>
              <w:t>– Additional stakeholder feedback</w:t>
            </w:r>
          </w:p>
        </w:tc>
      </w:tr>
      <w:tr w:rsidR="003B0DF9" w:rsidRPr="006A74F8" w:rsidTr="003B0DF9">
        <w:trPr>
          <w:trHeight w:val="416"/>
        </w:trPr>
        <w:tc>
          <w:tcPr>
            <w:tcW w:w="2450" w:type="dxa"/>
            <w:shd w:val="clear" w:color="auto" w:fill="00283E" w:themeFill="accent2"/>
          </w:tcPr>
          <w:p w:rsidR="003B0DF9" w:rsidRPr="006A74F8" w:rsidRDefault="003B0DF9" w:rsidP="003B0DF9">
            <w:pPr>
              <w:spacing w:line="259" w:lineRule="auto"/>
              <w:rPr>
                <w:b/>
                <w:iCs/>
                <w:sz w:val="24"/>
                <w:szCs w:val="20"/>
              </w:rPr>
            </w:pPr>
            <w:r w:rsidRPr="006A74F8">
              <w:rPr>
                <w:b/>
                <w:iCs/>
                <w:sz w:val="24"/>
                <w:szCs w:val="20"/>
              </w:rPr>
              <w:t>Topic of feedback</w:t>
            </w:r>
          </w:p>
        </w:tc>
        <w:tc>
          <w:tcPr>
            <w:tcW w:w="2907" w:type="dxa"/>
            <w:shd w:val="clear" w:color="auto" w:fill="00283E" w:themeFill="accent2"/>
          </w:tcPr>
          <w:p w:rsidR="003B0DF9" w:rsidRPr="006A74F8" w:rsidRDefault="003B0DF9" w:rsidP="003B0DF9">
            <w:pPr>
              <w:spacing w:line="259" w:lineRule="auto"/>
              <w:rPr>
                <w:b/>
                <w:sz w:val="24"/>
                <w:szCs w:val="20"/>
              </w:rPr>
            </w:pPr>
            <w:r w:rsidRPr="006A74F8">
              <w:rPr>
                <w:b/>
                <w:sz w:val="24"/>
                <w:szCs w:val="20"/>
              </w:rPr>
              <w:t>Stakeholder feedback</w:t>
            </w:r>
          </w:p>
        </w:tc>
        <w:tc>
          <w:tcPr>
            <w:tcW w:w="5245" w:type="dxa"/>
            <w:shd w:val="clear" w:color="auto" w:fill="00283E" w:themeFill="accent2"/>
          </w:tcPr>
          <w:p w:rsidR="003B0DF9" w:rsidRPr="006A74F8" w:rsidRDefault="003B0DF9" w:rsidP="003B0DF9">
            <w:pPr>
              <w:spacing w:line="259" w:lineRule="auto"/>
              <w:rPr>
                <w:b/>
                <w:sz w:val="24"/>
                <w:szCs w:val="20"/>
              </w:rPr>
            </w:pPr>
            <w:r w:rsidRPr="006A74F8">
              <w:rPr>
                <w:b/>
                <w:sz w:val="24"/>
                <w:szCs w:val="20"/>
              </w:rPr>
              <w:t>MLR response</w:t>
            </w:r>
          </w:p>
        </w:tc>
      </w:tr>
      <w:tr w:rsidR="00167E92" w:rsidRPr="006A74F8" w:rsidTr="003B0DF9">
        <w:trPr>
          <w:trHeight w:val="480"/>
        </w:trPr>
        <w:tc>
          <w:tcPr>
            <w:tcW w:w="2450" w:type="dxa"/>
            <w:shd w:val="clear" w:color="auto" w:fill="005677" w:themeFill="text2"/>
          </w:tcPr>
          <w:p w:rsidR="00167E92" w:rsidRPr="006A74F8" w:rsidRDefault="00167E92" w:rsidP="00167E92">
            <w:pPr>
              <w:spacing w:line="259" w:lineRule="auto"/>
              <w:rPr>
                <w:b/>
                <w:iCs/>
                <w:color w:val="FFFFFF" w:themeColor="background1"/>
                <w:sz w:val="24"/>
                <w:szCs w:val="20"/>
              </w:rPr>
            </w:pPr>
            <w:r w:rsidRPr="006A74F8">
              <w:rPr>
                <w:b/>
                <w:iCs/>
                <w:color w:val="FFFFFF" w:themeColor="background1"/>
                <w:sz w:val="24"/>
                <w:szCs w:val="20"/>
              </w:rPr>
              <w:t>Removal of existing exemptions</w:t>
            </w:r>
          </w:p>
        </w:tc>
        <w:tc>
          <w:tcPr>
            <w:tcW w:w="2907" w:type="dxa"/>
            <w:shd w:val="clear" w:color="auto" w:fill="D9D9D9" w:themeFill="background1" w:themeFillShade="D9"/>
          </w:tcPr>
          <w:p w:rsidR="00167E92" w:rsidRPr="00167E92" w:rsidRDefault="00167E92" w:rsidP="00167E92">
            <w:pPr>
              <w:spacing w:line="259" w:lineRule="auto"/>
              <w:rPr>
                <w:sz w:val="20"/>
                <w:szCs w:val="20"/>
              </w:rPr>
            </w:pPr>
            <w:r w:rsidRPr="00167E92">
              <w:rPr>
                <w:sz w:val="20"/>
                <w:szCs w:val="20"/>
              </w:rPr>
              <w:t>There were suggestions within some submissions that existing exemptions be removed.</w:t>
            </w:r>
          </w:p>
        </w:tc>
        <w:tc>
          <w:tcPr>
            <w:tcW w:w="5245" w:type="dxa"/>
            <w:shd w:val="clear" w:color="auto" w:fill="E9E9EA" w:themeFill="accent1" w:themeFillTint="33"/>
          </w:tcPr>
          <w:p w:rsidR="00167E92" w:rsidRPr="00167E92" w:rsidRDefault="00167E92" w:rsidP="00167E92">
            <w:pPr>
              <w:spacing w:line="259" w:lineRule="auto"/>
              <w:rPr>
                <w:sz w:val="20"/>
                <w:szCs w:val="20"/>
              </w:rPr>
            </w:pPr>
            <w:r w:rsidRPr="00167E92">
              <w:rPr>
                <w:sz w:val="20"/>
                <w:szCs w:val="20"/>
              </w:rPr>
              <w:t>The review or removal of particular existing exemptions was identified as having broader impact than the scope of the consultation RIS. The operation of such exemptions will be subject to</w:t>
            </w:r>
            <w:r w:rsidRPr="00167E92">
              <w:rPr>
                <w:b/>
                <w:sz w:val="20"/>
                <w:szCs w:val="20"/>
              </w:rPr>
              <w:t xml:space="preserve"> future consultation</w:t>
            </w:r>
            <w:r w:rsidRPr="00167E92">
              <w:rPr>
                <w:sz w:val="20"/>
                <w:szCs w:val="20"/>
              </w:rPr>
              <w:t xml:space="preserve">. </w:t>
            </w:r>
          </w:p>
        </w:tc>
      </w:tr>
      <w:tr w:rsidR="00167E92" w:rsidRPr="006A74F8" w:rsidTr="003B0DF9">
        <w:trPr>
          <w:trHeight w:val="518"/>
        </w:trPr>
        <w:tc>
          <w:tcPr>
            <w:tcW w:w="2450" w:type="dxa"/>
            <w:shd w:val="clear" w:color="auto" w:fill="005677" w:themeFill="text2"/>
          </w:tcPr>
          <w:p w:rsidR="00167E92" w:rsidRPr="006A74F8" w:rsidRDefault="00167E92" w:rsidP="00167E92">
            <w:pPr>
              <w:spacing w:line="259" w:lineRule="auto"/>
              <w:rPr>
                <w:b/>
                <w:iCs/>
                <w:color w:val="FFFFFF" w:themeColor="background1"/>
                <w:sz w:val="24"/>
                <w:szCs w:val="20"/>
              </w:rPr>
            </w:pPr>
            <w:r w:rsidRPr="006A74F8">
              <w:rPr>
                <w:b/>
                <w:iCs/>
                <w:color w:val="FFFFFF" w:themeColor="background1"/>
                <w:sz w:val="24"/>
                <w:szCs w:val="20"/>
              </w:rPr>
              <w:t>Expansion of existing permissions to additional product types</w:t>
            </w:r>
          </w:p>
        </w:tc>
        <w:tc>
          <w:tcPr>
            <w:tcW w:w="2907" w:type="dxa"/>
            <w:shd w:val="clear" w:color="auto" w:fill="D9D9D9" w:themeFill="background1" w:themeFillShade="D9"/>
          </w:tcPr>
          <w:p w:rsidR="00167E92" w:rsidRPr="00167E92" w:rsidRDefault="00167E92" w:rsidP="00167E92">
            <w:pPr>
              <w:spacing w:line="259" w:lineRule="auto"/>
              <w:rPr>
                <w:sz w:val="20"/>
                <w:szCs w:val="20"/>
              </w:rPr>
            </w:pPr>
            <w:r w:rsidRPr="00167E92">
              <w:rPr>
                <w:sz w:val="20"/>
                <w:szCs w:val="20"/>
              </w:rPr>
              <w:t>Some stakeholder submissions proposed specific products to be added to the list of products already provided with existing permissions, such as the allowance for a permissible tolerance for desiccation provided to soap and mushrooms.</w:t>
            </w:r>
          </w:p>
        </w:tc>
        <w:tc>
          <w:tcPr>
            <w:tcW w:w="5245" w:type="dxa"/>
            <w:shd w:val="clear" w:color="auto" w:fill="E9E9EA" w:themeFill="accent1" w:themeFillTint="33"/>
          </w:tcPr>
          <w:p w:rsidR="00167E92" w:rsidRPr="00167E92" w:rsidRDefault="00167E92" w:rsidP="00167E92">
            <w:pPr>
              <w:spacing w:line="259" w:lineRule="auto"/>
              <w:rPr>
                <w:sz w:val="20"/>
                <w:szCs w:val="20"/>
              </w:rPr>
            </w:pPr>
            <w:r w:rsidRPr="00167E92">
              <w:rPr>
                <w:sz w:val="20"/>
                <w:szCs w:val="20"/>
              </w:rPr>
              <w:t xml:space="preserve">The review of the application of certain existing permissions relevant to packaged products was identified as having a broader impact than the scope of the consultation RIS. The application of such permissions would need to be the subject of additional </w:t>
            </w:r>
            <w:r w:rsidRPr="00167E92">
              <w:rPr>
                <w:b/>
                <w:sz w:val="20"/>
                <w:szCs w:val="20"/>
              </w:rPr>
              <w:t>future consultation</w:t>
            </w:r>
            <w:r w:rsidRPr="00167E92">
              <w:rPr>
                <w:sz w:val="20"/>
                <w:szCs w:val="20"/>
              </w:rPr>
              <w:t>.</w:t>
            </w:r>
          </w:p>
        </w:tc>
      </w:tr>
      <w:tr w:rsidR="003B0DF9" w:rsidRPr="006A74F8" w:rsidTr="003B0DF9">
        <w:trPr>
          <w:trHeight w:val="70"/>
        </w:trPr>
        <w:tc>
          <w:tcPr>
            <w:tcW w:w="2450" w:type="dxa"/>
            <w:shd w:val="clear" w:color="auto" w:fill="005677" w:themeFill="text2"/>
          </w:tcPr>
          <w:p w:rsidR="003B0DF9" w:rsidRPr="006A74F8" w:rsidRDefault="003B0DF9" w:rsidP="003B0DF9">
            <w:pPr>
              <w:spacing w:line="259" w:lineRule="auto"/>
              <w:rPr>
                <w:b/>
                <w:color w:val="FFFFFF" w:themeColor="background1"/>
                <w:sz w:val="24"/>
                <w:szCs w:val="20"/>
              </w:rPr>
            </w:pPr>
            <w:r w:rsidRPr="006A74F8">
              <w:rPr>
                <w:b/>
                <w:color w:val="FFFFFF" w:themeColor="background1"/>
                <w:sz w:val="24"/>
                <w:szCs w:val="20"/>
              </w:rPr>
              <w:t xml:space="preserve">Introduction of mandatory re-verification periods </w:t>
            </w:r>
          </w:p>
        </w:tc>
        <w:tc>
          <w:tcPr>
            <w:tcW w:w="2907" w:type="dxa"/>
            <w:shd w:val="clear" w:color="auto" w:fill="D9D9D9" w:themeFill="background1" w:themeFillShade="D9"/>
          </w:tcPr>
          <w:p w:rsidR="003B0DF9" w:rsidRPr="006A74F8" w:rsidRDefault="003B0DF9" w:rsidP="003B0DF9">
            <w:pPr>
              <w:spacing w:line="259" w:lineRule="auto"/>
              <w:rPr>
                <w:sz w:val="20"/>
                <w:szCs w:val="20"/>
              </w:rPr>
            </w:pPr>
            <w:r w:rsidRPr="006A74F8">
              <w:rPr>
                <w:sz w:val="20"/>
                <w:szCs w:val="20"/>
              </w:rPr>
              <w:t>The weighing industry proposed that there should be an introduction of mandatory re-verification periods, beyond that already applied to public weighbridges that would be applied to all other measuring instruments used for trade.</w:t>
            </w:r>
          </w:p>
        </w:tc>
        <w:tc>
          <w:tcPr>
            <w:tcW w:w="5245" w:type="dxa"/>
            <w:shd w:val="clear" w:color="auto" w:fill="E9E9EA" w:themeFill="accent1" w:themeFillTint="33"/>
          </w:tcPr>
          <w:p w:rsidR="003B0DF9" w:rsidRPr="006A74F8" w:rsidRDefault="003B0DF9" w:rsidP="003B0DF9">
            <w:pPr>
              <w:spacing w:line="259" w:lineRule="auto"/>
              <w:rPr>
                <w:sz w:val="20"/>
                <w:szCs w:val="20"/>
              </w:rPr>
            </w:pPr>
            <w:r w:rsidRPr="006A74F8">
              <w:rPr>
                <w:sz w:val="20"/>
                <w:szCs w:val="20"/>
              </w:rPr>
              <w:t xml:space="preserve">There was insufficient evidence to support the introduction of general mandatory re-verification requirements in response to stakeholder feedback. The legislation will retain the ability to introduce mandatory re-verification periods. This issue will be considered through </w:t>
            </w:r>
            <w:r w:rsidRPr="006A74F8">
              <w:rPr>
                <w:b/>
                <w:sz w:val="20"/>
                <w:szCs w:val="20"/>
              </w:rPr>
              <w:t>future consultations</w:t>
            </w:r>
            <w:r w:rsidRPr="006A74F8">
              <w:rPr>
                <w:sz w:val="20"/>
                <w:szCs w:val="20"/>
              </w:rPr>
              <w:t xml:space="preserve"> with relevant stakeholders in relation to specific instrument types or particular industry sectors </w:t>
            </w:r>
            <w:r w:rsidRPr="006A74F8">
              <w:rPr>
                <w:b/>
                <w:sz w:val="20"/>
                <w:szCs w:val="20"/>
              </w:rPr>
              <w:t>where the need for mandatory reverification is supported by sufficient evidence</w:t>
            </w:r>
            <w:r w:rsidRPr="006A74F8">
              <w:rPr>
                <w:sz w:val="20"/>
                <w:szCs w:val="20"/>
              </w:rPr>
              <w:t>.</w:t>
            </w:r>
          </w:p>
        </w:tc>
      </w:tr>
      <w:tr w:rsidR="003B0DF9" w:rsidRPr="006A74F8" w:rsidTr="003B0DF9">
        <w:trPr>
          <w:trHeight w:val="526"/>
        </w:trPr>
        <w:tc>
          <w:tcPr>
            <w:tcW w:w="2450" w:type="dxa"/>
            <w:shd w:val="clear" w:color="auto" w:fill="005677" w:themeFill="text2"/>
          </w:tcPr>
          <w:p w:rsidR="003B0DF9" w:rsidRPr="006A74F8" w:rsidRDefault="003B0DF9" w:rsidP="003B0DF9">
            <w:pPr>
              <w:spacing w:line="259" w:lineRule="auto"/>
              <w:rPr>
                <w:b/>
                <w:iCs/>
                <w:color w:val="FFFFFF" w:themeColor="background1"/>
                <w:sz w:val="24"/>
                <w:szCs w:val="20"/>
              </w:rPr>
            </w:pPr>
            <w:r w:rsidRPr="006A74F8">
              <w:rPr>
                <w:b/>
                <w:iCs/>
                <w:color w:val="FFFFFF" w:themeColor="background1"/>
                <w:sz w:val="24"/>
                <w:szCs w:val="20"/>
              </w:rPr>
              <w:t>The definition of alcohol and meat</w:t>
            </w:r>
          </w:p>
        </w:tc>
        <w:tc>
          <w:tcPr>
            <w:tcW w:w="2907" w:type="dxa"/>
            <w:shd w:val="clear" w:color="auto" w:fill="D9D9D9" w:themeFill="background1" w:themeFillShade="D9"/>
          </w:tcPr>
          <w:p w:rsidR="003B0DF9" w:rsidRPr="006A74F8" w:rsidRDefault="003B0DF9" w:rsidP="003B0DF9">
            <w:pPr>
              <w:spacing w:line="259" w:lineRule="auto"/>
              <w:rPr>
                <w:sz w:val="20"/>
                <w:szCs w:val="20"/>
              </w:rPr>
            </w:pPr>
            <w:r w:rsidRPr="006A74F8">
              <w:rPr>
                <w:sz w:val="20"/>
                <w:szCs w:val="20"/>
              </w:rPr>
              <w:t>Stakeholder feedback differed among industry and consumer associations regarding the scope of regulated alcohol and meat and their definitions.</w:t>
            </w:r>
          </w:p>
        </w:tc>
        <w:tc>
          <w:tcPr>
            <w:tcW w:w="5245" w:type="dxa"/>
            <w:shd w:val="clear" w:color="auto" w:fill="E9E9EA" w:themeFill="accent1" w:themeFillTint="33"/>
          </w:tcPr>
          <w:p w:rsidR="003B0DF9" w:rsidRPr="006A74F8" w:rsidRDefault="003B0DF9" w:rsidP="003B0DF9">
            <w:pPr>
              <w:spacing w:line="259" w:lineRule="auto"/>
              <w:rPr>
                <w:sz w:val="20"/>
                <w:szCs w:val="20"/>
              </w:rPr>
            </w:pPr>
            <w:r w:rsidRPr="006A74F8">
              <w:rPr>
                <w:sz w:val="20"/>
                <w:szCs w:val="20"/>
              </w:rPr>
              <w:t xml:space="preserve">It is intended that the review of requirements for the sale of alcohol and meat by measurement, along with their definitions will be a matter </w:t>
            </w:r>
            <w:r w:rsidRPr="006A74F8">
              <w:rPr>
                <w:b/>
                <w:sz w:val="20"/>
                <w:szCs w:val="20"/>
              </w:rPr>
              <w:t>for future consultation.</w:t>
            </w:r>
          </w:p>
        </w:tc>
      </w:tr>
      <w:tr w:rsidR="003B0DF9" w:rsidRPr="006A74F8" w:rsidTr="003B0DF9">
        <w:trPr>
          <w:trHeight w:val="20"/>
        </w:trPr>
        <w:tc>
          <w:tcPr>
            <w:tcW w:w="2450" w:type="dxa"/>
            <w:shd w:val="clear" w:color="auto" w:fill="005677" w:themeFill="text2"/>
          </w:tcPr>
          <w:p w:rsidR="003B0DF9" w:rsidRPr="006A74F8" w:rsidRDefault="003B0DF9" w:rsidP="003B0DF9">
            <w:pPr>
              <w:spacing w:line="259" w:lineRule="auto"/>
              <w:rPr>
                <w:b/>
                <w:iCs/>
                <w:color w:val="FFFFFF" w:themeColor="background1"/>
                <w:sz w:val="24"/>
                <w:szCs w:val="24"/>
              </w:rPr>
            </w:pPr>
            <w:r w:rsidRPr="006A74F8">
              <w:rPr>
                <w:b/>
                <w:iCs/>
                <w:color w:val="FFFFFF" w:themeColor="background1"/>
                <w:sz w:val="24"/>
                <w:szCs w:val="24"/>
              </w:rPr>
              <w:t>Measurement representation in  advertising</w:t>
            </w:r>
          </w:p>
        </w:tc>
        <w:tc>
          <w:tcPr>
            <w:tcW w:w="2907" w:type="dxa"/>
            <w:shd w:val="clear" w:color="auto" w:fill="D9D9D9" w:themeFill="background1" w:themeFillShade="D9"/>
          </w:tcPr>
          <w:p w:rsidR="003B0DF9" w:rsidRPr="006A74F8" w:rsidRDefault="003B0DF9" w:rsidP="003B0DF9">
            <w:pPr>
              <w:spacing w:line="259" w:lineRule="auto"/>
              <w:rPr>
                <w:sz w:val="20"/>
                <w:szCs w:val="20"/>
              </w:rPr>
            </w:pPr>
            <w:r w:rsidRPr="006A74F8">
              <w:rPr>
                <w:sz w:val="20"/>
                <w:szCs w:val="20"/>
              </w:rPr>
              <w:t>A consumer organisation advocated for extending the requirement to make a measurement representation at the time of sale to advertising.</w:t>
            </w:r>
          </w:p>
        </w:tc>
        <w:tc>
          <w:tcPr>
            <w:tcW w:w="5245" w:type="dxa"/>
            <w:shd w:val="clear" w:color="auto" w:fill="E9E9EA" w:themeFill="accent1" w:themeFillTint="33"/>
          </w:tcPr>
          <w:p w:rsidR="003B0DF9" w:rsidRPr="006A74F8" w:rsidRDefault="003B0DF9" w:rsidP="003B0DF9">
            <w:pPr>
              <w:spacing w:line="259" w:lineRule="auto"/>
              <w:rPr>
                <w:b/>
                <w:sz w:val="20"/>
                <w:szCs w:val="20"/>
              </w:rPr>
            </w:pPr>
            <w:r w:rsidRPr="006A74F8">
              <w:rPr>
                <w:sz w:val="20"/>
                <w:szCs w:val="20"/>
              </w:rPr>
              <w:t xml:space="preserve">This would be an additional expansion of scope that was not consulted on as a part of the consultation RIS. It would likely place additional regulatory burden on industry and so was not adopted as part of this review. It is a concept that could be revisited at a later point, subject to </w:t>
            </w:r>
            <w:r w:rsidRPr="006A74F8">
              <w:rPr>
                <w:b/>
                <w:sz w:val="20"/>
                <w:szCs w:val="20"/>
              </w:rPr>
              <w:t>future consultation, if and where a need is identified.</w:t>
            </w:r>
          </w:p>
        </w:tc>
      </w:tr>
      <w:tr w:rsidR="003B0DF9" w:rsidRPr="006A74F8" w:rsidTr="003B0DF9">
        <w:trPr>
          <w:trHeight w:val="416"/>
        </w:trPr>
        <w:tc>
          <w:tcPr>
            <w:tcW w:w="2450" w:type="dxa"/>
            <w:shd w:val="clear" w:color="auto" w:fill="005677" w:themeFill="text2"/>
          </w:tcPr>
          <w:p w:rsidR="003B0DF9" w:rsidRPr="006A74F8" w:rsidRDefault="003B0DF9" w:rsidP="003B0DF9">
            <w:pPr>
              <w:spacing w:line="259" w:lineRule="auto"/>
              <w:rPr>
                <w:b/>
                <w:iCs/>
                <w:color w:val="FFFFFF" w:themeColor="background1"/>
                <w:sz w:val="24"/>
                <w:szCs w:val="20"/>
              </w:rPr>
            </w:pPr>
            <w:r w:rsidRPr="006A74F8">
              <w:rPr>
                <w:b/>
                <w:iCs/>
                <w:color w:val="FFFFFF" w:themeColor="background1"/>
                <w:sz w:val="24"/>
                <w:szCs w:val="20"/>
              </w:rPr>
              <w:t xml:space="preserve">Reporting requirements and systems for ATPs </w:t>
            </w:r>
          </w:p>
          <w:p w:rsidR="003B0DF9" w:rsidRPr="006A74F8" w:rsidRDefault="003B0DF9" w:rsidP="003B0DF9">
            <w:pPr>
              <w:spacing w:line="259" w:lineRule="auto"/>
              <w:rPr>
                <w:b/>
                <w:color w:val="FFFFFF" w:themeColor="background1"/>
                <w:sz w:val="24"/>
                <w:szCs w:val="24"/>
              </w:rPr>
            </w:pPr>
          </w:p>
        </w:tc>
        <w:tc>
          <w:tcPr>
            <w:tcW w:w="2907" w:type="dxa"/>
            <w:shd w:val="clear" w:color="auto" w:fill="D9D9D9" w:themeFill="background1" w:themeFillShade="D9"/>
          </w:tcPr>
          <w:p w:rsidR="003B0DF9" w:rsidRPr="006A74F8" w:rsidRDefault="003B0DF9" w:rsidP="003B0DF9">
            <w:pPr>
              <w:spacing w:line="259" w:lineRule="auto"/>
              <w:rPr>
                <w:sz w:val="20"/>
                <w:szCs w:val="20"/>
              </w:rPr>
            </w:pPr>
            <w:r w:rsidRPr="006A74F8">
              <w:rPr>
                <w:sz w:val="20"/>
                <w:szCs w:val="20"/>
              </w:rPr>
              <w:t>Stakeholders expressed a desire for reporting requirements for ATPs to be clear and not impose unnecessary regulatory burden, and for reporting systems to be improved from existing systems.</w:t>
            </w:r>
          </w:p>
        </w:tc>
        <w:tc>
          <w:tcPr>
            <w:tcW w:w="5245" w:type="dxa"/>
            <w:shd w:val="clear" w:color="auto" w:fill="E9E9EA" w:themeFill="accent1" w:themeFillTint="33"/>
          </w:tcPr>
          <w:p w:rsidR="003B0DF9" w:rsidRPr="006A74F8" w:rsidRDefault="003B0DF9" w:rsidP="003B0DF9">
            <w:pPr>
              <w:spacing w:line="259" w:lineRule="auto"/>
              <w:rPr>
                <w:sz w:val="20"/>
                <w:szCs w:val="20"/>
              </w:rPr>
            </w:pPr>
            <w:r w:rsidRPr="006A74F8">
              <w:rPr>
                <w:sz w:val="20"/>
                <w:szCs w:val="20"/>
              </w:rPr>
              <w:t xml:space="preserve">Reporting requirements and systems for </w:t>
            </w:r>
            <w:r w:rsidR="00184051" w:rsidRPr="006A74F8">
              <w:rPr>
                <w:sz w:val="20"/>
                <w:szCs w:val="20"/>
              </w:rPr>
              <w:t>ATPs</w:t>
            </w:r>
            <w:r w:rsidRPr="006A74F8">
              <w:rPr>
                <w:sz w:val="20"/>
                <w:szCs w:val="20"/>
              </w:rPr>
              <w:t xml:space="preserve"> will be addressed as a part of the </w:t>
            </w:r>
            <w:r w:rsidRPr="006A74F8">
              <w:rPr>
                <w:b/>
                <w:sz w:val="20"/>
                <w:szCs w:val="20"/>
              </w:rPr>
              <w:t>implementation phase</w:t>
            </w:r>
            <w:r w:rsidRPr="006A74F8">
              <w:rPr>
                <w:sz w:val="20"/>
                <w:szCs w:val="20"/>
              </w:rPr>
              <w:t xml:space="preserve"> of the review. There will be a transition period to accommodate the development of an appropriate reporting framework, which will be developed in consultation with impacted stakeholders to ensure it meets their needs as well as the needs of NMI. Reporting requirements for UMVs and LMAs will transition to a reporting model similar to that for Servicing Licensees once an appropriate reporting framework has been established. The aim will be to minimise any reporting burden associated with this change by making reporting as easy as possible and only requiring reporting of key information.</w:t>
            </w:r>
          </w:p>
        </w:tc>
      </w:tr>
    </w:tbl>
    <w:p w:rsidR="00E72254" w:rsidRPr="006A74F8" w:rsidRDefault="00E72254"/>
    <w:p w:rsidR="009664ED" w:rsidRPr="006A74F8" w:rsidRDefault="004C6ACC" w:rsidP="002C400A">
      <w:pPr>
        <w:pStyle w:val="Heading1"/>
      </w:pPr>
      <w:bookmarkStart w:id="1745" w:name="_RIS_Question_6:"/>
      <w:bookmarkStart w:id="1746" w:name="_Toc81919535"/>
      <w:bookmarkStart w:id="1747" w:name="_Toc81919809"/>
      <w:bookmarkStart w:id="1748" w:name="_Toc81921164"/>
      <w:bookmarkStart w:id="1749" w:name="_Toc81923651"/>
      <w:bookmarkStart w:id="1750" w:name="_Toc81923766"/>
      <w:bookmarkStart w:id="1751" w:name="_Toc81997306"/>
      <w:bookmarkStart w:id="1752" w:name="_Toc81998079"/>
      <w:bookmarkStart w:id="1753" w:name="_Toc82011843"/>
      <w:bookmarkStart w:id="1754" w:name="_Toc82512689"/>
      <w:bookmarkStart w:id="1755" w:name="_Toc82516157"/>
      <w:bookmarkStart w:id="1756" w:name="_Toc82519108"/>
      <w:bookmarkStart w:id="1757" w:name="_Toc82706646"/>
      <w:bookmarkStart w:id="1758" w:name="_Toc82790535"/>
      <w:bookmarkStart w:id="1759" w:name="_Toc82791054"/>
      <w:bookmarkStart w:id="1760" w:name="_Toc82792365"/>
      <w:bookmarkStart w:id="1761" w:name="_Toc83290747"/>
      <w:bookmarkStart w:id="1762" w:name="_Toc83292756"/>
      <w:bookmarkStart w:id="1763" w:name="_Toc83293527"/>
      <w:bookmarkEnd w:id="1745"/>
      <w:r w:rsidRPr="006A74F8">
        <w:rPr>
          <w:lang w:eastAsia="en-AU"/>
        </w:rPr>
        <w:lastRenderedPageBreak/>
        <w:t>RIS Question 6:</w:t>
      </w:r>
      <w:r w:rsidR="0072104D" w:rsidRPr="006A74F8">
        <w:rPr>
          <w:lang w:eastAsia="en-AU"/>
        </w:rPr>
        <w:t xml:space="preserve"> What is the best option from those you have considered?</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rsidR="000720D9" w:rsidRPr="006A74F8" w:rsidRDefault="000720D9" w:rsidP="000720D9">
      <w:pPr>
        <w:pStyle w:val="Heading2"/>
        <w:rPr>
          <w:lang w:eastAsia="en-AU"/>
        </w:rPr>
      </w:pPr>
      <w:r w:rsidRPr="006A74F8">
        <w:rPr>
          <w:lang w:eastAsia="en-AU"/>
        </w:rPr>
        <w:t>Recommendation</w:t>
      </w:r>
    </w:p>
    <w:p w:rsidR="006C4119" w:rsidRPr="006A74F8" w:rsidRDefault="000019EF" w:rsidP="00E31DEF">
      <w:pPr>
        <w:rPr>
          <w:lang w:eastAsia="en-AU"/>
        </w:rPr>
      </w:pPr>
      <w:r w:rsidRPr="006A74F8">
        <w:rPr>
          <w:lang w:eastAsia="en-AU"/>
        </w:rPr>
        <w:t>Option 2 is the</w:t>
      </w:r>
      <w:r w:rsidR="00715E27" w:rsidRPr="006A74F8">
        <w:rPr>
          <w:lang w:eastAsia="en-AU"/>
        </w:rPr>
        <w:t xml:space="preserve"> recommended option</w:t>
      </w:r>
      <w:r w:rsidR="00C55CFA" w:rsidRPr="006A74F8">
        <w:rPr>
          <w:lang w:eastAsia="en-AU"/>
        </w:rPr>
        <w:t xml:space="preserve">. </w:t>
      </w:r>
      <w:r w:rsidR="000A08E2" w:rsidRPr="006A74F8">
        <w:rPr>
          <w:lang w:eastAsia="en-AU"/>
        </w:rPr>
        <w:t xml:space="preserve">Stakeholder analysis (see </w:t>
      </w:r>
      <w:hyperlink w:anchor="_Impact_analysis_on" w:history="1">
        <w:r w:rsidR="000A08E2" w:rsidRPr="006A74F8">
          <w:rPr>
            <w:rStyle w:val="Hyperlink"/>
            <w:lang w:eastAsia="en-AU"/>
          </w:rPr>
          <w:t>section 6.3</w:t>
        </w:r>
      </w:hyperlink>
      <w:r w:rsidR="000A08E2" w:rsidRPr="006A74F8">
        <w:rPr>
          <w:lang w:eastAsia="en-AU"/>
        </w:rPr>
        <w:t>) indicates i</w:t>
      </w:r>
      <w:r w:rsidR="00C55CFA" w:rsidRPr="006A74F8">
        <w:rPr>
          <w:lang w:eastAsia="en-AU"/>
        </w:rPr>
        <w:t>t</w:t>
      </w:r>
      <w:r w:rsidRPr="006A74F8">
        <w:rPr>
          <w:lang w:eastAsia="en-AU"/>
        </w:rPr>
        <w:t xml:space="preserve"> </w:t>
      </w:r>
      <w:r w:rsidR="00E31DEF" w:rsidRPr="006A74F8">
        <w:rPr>
          <w:lang w:eastAsia="en-AU"/>
        </w:rPr>
        <w:t>has the greatest net benefit</w:t>
      </w:r>
      <w:r w:rsidR="00C55CFA" w:rsidRPr="006A74F8">
        <w:rPr>
          <w:lang w:eastAsia="en-AU"/>
        </w:rPr>
        <w:t>, with an</w:t>
      </w:r>
      <w:r w:rsidR="00715E27" w:rsidRPr="006A74F8">
        <w:rPr>
          <w:lang w:eastAsia="en-AU"/>
        </w:rPr>
        <w:t xml:space="preserve"> overall </w:t>
      </w:r>
      <w:r w:rsidR="00C55CFA" w:rsidRPr="006A74F8">
        <w:rPr>
          <w:lang w:eastAsia="en-AU"/>
        </w:rPr>
        <w:t xml:space="preserve">reduction in </w:t>
      </w:r>
      <w:r w:rsidR="005E5C62" w:rsidRPr="006A74F8">
        <w:rPr>
          <w:lang w:eastAsia="en-AU"/>
        </w:rPr>
        <w:t xml:space="preserve">annual </w:t>
      </w:r>
      <w:r w:rsidR="00715E27" w:rsidRPr="006A74F8">
        <w:rPr>
          <w:lang w:eastAsia="en-AU"/>
        </w:rPr>
        <w:t>regu</w:t>
      </w:r>
      <w:r w:rsidR="006367EF" w:rsidRPr="006A74F8">
        <w:rPr>
          <w:lang w:eastAsia="en-AU"/>
        </w:rPr>
        <w:t xml:space="preserve">latory burden </w:t>
      </w:r>
      <w:r w:rsidR="00C55CFA" w:rsidRPr="006A74F8">
        <w:rPr>
          <w:lang w:eastAsia="en-AU"/>
        </w:rPr>
        <w:t xml:space="preserve">of </w:t>
      </w:r>
      <w:r w:rsidR="006367EF" w:rsidRPr="006A74F8">
        <w:rPr>
          <w:lang w:eastAsia="en-AU"/>
        </w:rPr>
        <w:t>$8.5 million</w:t>
      </w:r>
      <w:r w:rsidR="00C55CFA" w:rsidRPr="006A74F8">
        <w:rPr>
          <w:lang w:eastAsia="en-AU"/>
        </w:rPr>
        <w:t xml:space="preserve"> (see </w:t>
      </w:r>
      <w:hyperlink w:anchor="_Overall_net_benefit" w:history="1">
        <w:r w:rsidR="00C55CFA" w:rsidRPr="006A74F8">
          <w:rPr>
            <w:rStyle w:val="Hyperlink"/>
            <w:lang w:eastAsia="en-AU"/>
          </w:rPr>
          <w:t>section 6.4</w:t>
        </w:r>
      </w:hyperlink>
      <w:r w:rsidR="00C55CFA" w:rsidRPr="006A74F8">
        <w:rPr>
          <w:lang w:eastAsia="en-AU"/>
        </w:rPr>
        <w:t>)</w:t>
      </w:r>
      <w:r w:rsidR="00D536A9" w:rsidRPr="006A74F8">
        <w:rPr>
          <w:lang w:eastAsia="en-AU"/>
        </w:rPr>
        <w:t xml:space="preserve">. </w:t>
      </w:r>
      <w:r w:rsidR="00367086" w:rsidRPr="006A74F8">
        <w:rPr>
          <w:lang w:eastAsia="en-AU"/>
        </w:rPr>
        <w:t xml:space="preserve">Option 2 </w:t>
      </w:r>
      <w:r w:rsidR="00C55CFA" w:rsidRPr="006A74F8">
        <w:rPr>
          <w:lang w:eastAsia="en-AU"/>
        </w:rPr>
        <w:t>also</w:t>
      </w:r>
      <w:r w:rsidR="00367086" w:rsidRPr="006A74F8">
        <w:rPr>
          <w:lang w:eastAsia="en-AU"/>
        </w:rPr>
        <w:t xml:space="preserve"> </w:t>
      </w:r>
      <w:r w:rsidR="00715E27" w:rsidRPr="006A74F8">
        <w:rPr>
          <w:lang w:eastAsia="en-AU"/>
        </w:rPr>
        <w:t>provide</w:t>
      </w:r>
      <w:r w:rsidR="006C4119" w:rsidRPr="006A74F8">
        <w:rPr>
          <w:lang w:eastAsia="en-AU"/>
        </w:rPr>
        <w:t>s</w:t>
      </w:r>
      <w:r w:rsidR="00715E27" w:rsidRPr="006A74F8">
        <w:rPr>
          <w:lang w:eastAsia="en-AU"/>
        </w:rPr>
        <w:t xml:space="preserve"> the greatest alignment with the policy </w:t>
      </w:r>
      <w:r w:rsidR="00CD159B" w:rsidRPr="006A74F8">
        <w:rPr>
          <w:lang w:eastAsia="en-AU"/>
        </w:rPr>
        <w:t xml:space="preserve">objectives and </w:t>
      </w:r>
      <w:r w:rsidR="00715E27" w:rsidRPr="006A74F8">
        <w:rPr>
          <w:lang w:eastAsia="en-AU"/>
        </w:rPr>
        <w:t xml:space="preserve">principles </w:t>
      </w:r>
      <w:r w:rsidR="009057A0" w:rsidRPr="006A74F8">
        <w:rPr>
          <w:lang w:eastAsia="en-AU"/>
        </w:rPr>
        <w:t xml:space="preserve">(see </w:t>
      </w:r>
      <w:hyperlink w:anchor="_Understanding_how_the" w:history="1">
        <w:r w:rsidR="009057A0" w:rsidRPr="006A74F8">
          <w:rPr>
            <w:rStyle w:val="Hyperlink"/>
            <w:lang w:eastAsia="en-AU"/>
          </w:rPr>
          <w:t>section 5</w:t>
        </w:r>
        <w:r w:rsidR="00CD159B" w:rsidRPr="006A74F8">
          <w:rPr>
            <w:rStyle w:val="Hyperlink"/>
            <w:lang w:eastAsia="en-AU"/>
          </w:rPr>
          <w:t>.5</w:t>
        </w:r>
      </w:hyperlink>
      <w:r w:rsidR="00CD159B" w:rsidRPr="006A74F8">
        <w:rPr>
          <w:lang w:eastAsia="en-AU"/>
        </w:rPr>
        <w:t xml:space="preserve">) </w:t>
      </w:r>
      <w:r w:rsidR="00BE1FDD">
        <w:rPr>
          <w:lang w:eastAsia="en-AU"/>
        </w:rPr>
        <w:t>and</w:t>
      </w:r>
      <w:r w:rsidR="00715E27" w:rsidRPr="006A74F8">
        <w:rPr>
          <w:lang w:eastAsia="en-AU"/>
        </w:rPr>
        <w:t xml:space="preserve"> </w:t>
      </w:r>
      <w:r w:rsidR="00E460AB" w:rsidRPr="006A74F8">
        <w:rPr>
          <w:lang w:eastAsia="en-AU"/>
        </w:rPr>
        <w:t>positions industry to develop and adopt new technologies through a large</w:t>
      </w:r>
      <w:r w:rsidR="00715E27" w:rsidRPr="006A74F8">
        <w:rPr>
          <w:lang w:eastAsia="en-AU"/>
        </w:rPr>
        <w:t xml:space="preserve">ly principles-based approach. </w:t>
      </w:r>
      <w:r w:rsidR="00A2021F" w:rsidRPr="006A74F8">
        <w:rPr>
          <w:lang w:eastAsia="en-AU"/>
        </w:rPr>
        <w:t>Option 2</w:t>
      </w:r>
      <w:r w:rsidR="006C4119" w:rsidRPr="006A74F8">
        <w:rPr>
          <w:lang w:eastAsia="en-AU"/>
        </w:rPr>
        <w:t xml:space="preserve"> is also </w:t>
      </w:r>
      <w:r w:rsidR="00495A82" w:rsidRPr="006A74F8">
        <w:rPr>
          <w:lang w:eastAsia="en-AU"/>
        </w:rPr>
        <w:t xml:space="preserve">generally </w:t>
      </w:r>
      <w:r w:rsidR="006C4119" w:rsidRPr="006A74F8">
        <w:rPr>
          <w:lang w:eastAsia="en-AU"/>
        </w:rPr>
        <w:t>supported by key industry and other stakeholder groups</w:t>
      </w:r>
      <w:r w:rsidR="00582374" w:rsidRPr="006A74F8">
        <w:rPr>
          <w:lang w:eastAsia="en-AU"/>
        </w:rPr>
        <w:t xml:space="preserve"> due to its flexibility and ability to future proof the measurement framework</w:t>
      </w:r>
      <w:r w:rsidR="006C4119" w:rsidRPr="006A74F8">
        <w:rPr>
          <w:lang w:eastAsia="en-AU"/>
        </w:rPr>
        <w:t xml:space="preserve"> (see </w:t>
      </w:r>
      <w:hyperlink w:anchor="_What_we_heard" w:history="1">
        <w:r w:rsidR="006C4119" w:rsidRPr="006A74F8">
          <w:rPr>
            <w:rStyle w:val="Hyperlink"/>
            <w:lang w:eastAsia="en-AU"/>
          </w:rPr>
          <w:t xml:space="preserve">section </w:t>
        </w:r>
        <w:r w:rsidR="005A7FA6" w:rsidRPr="006A74F8">
          <w:rPr>
            <w:rStyle w:val="Hyperlink"/>
            <w:lang w:eastAsia="en-AU"/>
          </w:rPr>
          <w:t>7</w:t>
        </w:r>
        <w:r w:rsidR="006C4119" w:rsidRPr="006A74F8">
          <w:rPr>
            <w:rStyle w:val="Hyperlink"/>
            <w:lang w:eastAsia="en-AU"/>
          </w:rPr>
          <w:t>.2</w:t>
        </w:r>
      </w:hyperlink>
      <w:r w:rsidR="006C4119" w:rsidRPr="006A74F8">
        <w:rPr>
          <w:lang w:eastAsia="en-AU"/>
        </w:rPr>
        <w:t>).</w:t>
      </w:r>
      <w:r w:rsidR="00256739" w:rsidRPr="006A74F8">
        <w:rPr>
          <w:lang w:eastAsia="en-AU"/>
        </w:rPr>
        <w:t xml:space="preserve"> </w:t>
      </w:r>
    </w:p>
    <w:p w:rsidR="00B848AE" w:rsidRPr="006A74F8" w:rsidRDefault="006C4119" w:rsidP="00791FCA">
      <w:pPr>
        <w:rPr>
          <w:lang w:eastAsia="en-AU"/>
        </w:rPr>
      </w:pPr>
      <w:r w:rsidRPr="006A74F8">
        <w:rPr>
          <w:lang w:eastAsia="en-AU"/>
        </w:rPr>
        <w:t>F</w:t>
      </w:r>
      <w:r w:rsidR="00E460AB" w:rsidRPr="006A74F8">
        <w:rPr>
          <w:lang w:eastAsia="en-AU"/>
        </w:rPr>
        <w:t xml:space="preserve">eedback and analysis confirmed that option 1 is insufficient for </w:t>
      </w:r>
      <w:r w:rsidR="00E460AB" w:rsidRPr="006A74F8" w:rsidDel="00707120">
        <w:rPr>
          <w:lang w:eastAsia="en-AU"/>
        </w:rPr>
        <w:t>industry</w:t>
      </w:r>
      <w:r w:rsidR="00E460AB" w:rsidRPr="006A74F8">
        <w:rPr>
          <w:lang w:eastAsia="en-AU"/>
        </w:rPr>
        <w:t xml:space="preserve"> </w:t>
      </w:r>
      <w:r w:rsidR="00707120" w:rsidRPr="006A74F8">
        <w:rPr>
          <w:lang w:eastAsia="en-AU"/>
        </w:rPr>
        <w:t xml:space="preserve">and government </w:t>
      </w:r>
      <w:r w:rsidR="00E460AB" w:rsidRPr="006A74F8">
        <w:rPr>
          <w:lang w:eastAsia="en-AU"/>
        </w:rPr>
        <w:t>needs. If the legislation is not future proofed</w:t>
      </w:r>
      <w:r w:rsidR="00D536A9" w:rsidRPr="006A74F8">
        <w:rPr>
          <w:lang w:eastAsia="en-AU"/>
        </w:rPr>
        <w:t xml:space="preserve"> and only brought up-to-date with current needs</w:t>
      </w:r>
      <w:r w:rsidR="00E460AB" w:rsidRPr="006A74F8">
        <w:rPr>
          <w:lang w:eastAsia="en-AU"/>
        </w:rPr>
        <w:t xml:space="preserve"> it will continue to burden a growing number of industry sectors as technology and business practices evolve.</w:t>
      </w:r>
      <w:r w:rsidR="00460904" w:rsidRPr="006A74F8">
        <w:rPr>
          <w:lang w:eastAsia="en-AU"/>
        </w:rPr>
        <w:t xml:space="preserve"> </w:t>
      </w:r>
      <w:r w:rsidR="00E65B14" w:rsidRPr="006A74F8">
        <w:rPr>
          <w:lang w:eastAsia="en-AU"/>
        </w:rPr>
        <w:t>T</w:t>
      </w:r>
      <w:r w:rsidR="00E460AB" w:rsidRPr="006A74F8">
        <w:rPr>
          <w:lang w:eastAsia="en-AU"/>
        </w:rPr>
        <w:t xml:space="preserve">here was </w:t>
      </w:r>
      <w:r w:rsidR="00100423" w:rsidRPr="006A74F8">
        <w:rPr>
          <w:lang w:eastAsia="en-AU"/>
        </w:rPr>
        <w:t>also low</w:t>
      </w:r>
      <w:r w:rsidR="00E460AB" w:rsidRPr="006A74F8">
        <w:rPr>
          <w:lang w:eastAsia="en-AU"/>
        </w:rPr>
        <w:t xml:space="preserve"> support for option 3 due to a lack of demonstrated need for an extension of scope</w:t>
      </w:r>
      <w:r w:rsidR="00E65B14" w:rsidRPr="006A74F8">
        <w:rPr>
          <w:lang w:eastAsia="en-AU"/>
        </w:rPr>
        <w:t xml:space="preserve"> </w:t>
      </w:r>
      <w:r w:rsidR="006079D1" w:rsidRPr="006A74F8">
        <w:rPr>
          <w:lang w:eastAsia="en-AU"/>
        </w:rPr>
        <w:t>to regulate measurements relied upon by other policy owners</w:t>
      </w:r>
      <w:r w:rsidR="006079D1" w:rsidRPr="006A74F8" w:rsidDel="004407C6">
        <w:rPr>
          <w:lang w:eastAsia="en-AU"/>
        </w:rPr>
        <w:t>.</w:t>
      </w:r>
    </w:p>
    <w:p w:rsidR="00B64044" w:rsidRPr="006A74F8" w:rsidRDefault="00B64044" w:rsidP="003C538A">
      <w:pPr>
        <w:spacing w:after="240"/>
        <w:rPr>
          <w:lang w:eastAsia="en-AU"/>
        </w:rPr>
      </w:pPr>
      <w:r w:rsidRPr="006A74F8">
        <w:rPr>
          <w:lang w:eastAsia="en-AU"/>
        </w:rPr>
        <w:t xml:space="preserve">Stakeholder feedback played an important role in </w:t>
      </w:r>
      <w:r w:rsidR="00BE1FDD">
        <w:rPr>
          <w:lang w:eastAsia="en-AU"/>
        </w:rPr>
        <w:t>refining</w:t>
      </w:r>
      <w:r w:rsidRPr="006A74F8">
        <w:rPr>
          <w:lang w:eastAsia="en-AU"/>
        </w:rPr>
        <w:t xml:space="preserve"> option </w:t>
      </w:r>
      <w:r w:rsidR="00745F2E" w:rsidRPr="006A74F8">
        <w:rPr>
          <w:lang w:eastAsia="en-AU"/>
        </w:rPr>
        <w:t>2</w:t>
      </w:r>
      <w:r w:rsidRPr="006A74F8">
        <w:rPr>
          <w:lang w:eastAsia="en-AU"/>
        </w:rPr>
        <w:t xml:space="preserve"> and identifying areas of the proposal where further clarification was necessary. </w:t>
      </w:r>
      <w:hyperlink w:anchor="_Incorporating_stakeholder_feedback" w:history="1">
        <w:r w:rsidRPr="006A74F8">
          <w:rPr>
            <w:rStyle w:val="Hyperlink"/>
            <w:lang w:eastAsia="en-AU"/>
          </w:rPr>
          <w:t>Section 7.3</w:t>
        </w:r>
      </w:hyperlink>
      <w:r w:rsidRPr="006A74F8">
        <w:rPr>
          <w:lang w:eastAsia="en-AU"/>
        </w:rPr>
        <w:t xml:space="preserve"> explore</w:t>
      </w:r>
      <w:r w:rsidR="003640E2" w:rsidRPr="006A74F8">
        <w:rPr>
          <w:lang w:eastAsia="en-AU"/>
        </w:rPr>
        <w:t>s</w:t>
      </w:r>
      <w:r w:rsidRPr="006A74F8">
        <w:rPr>
          <w:lang w:eastAsia="en-AU"/>
        </w:rPr>
        <w:t xml:space="preserve"> how feedback was incorporated into the preferred option and why some stakeholder proposals were not adopted in the recommended approach.</w:t>
      </w:r>
    </w:p>
    <w:p w:rsidR="00B848AE" w:rsidRPr="006A74F8" w:rsidRDefault="00BE1FDD" w:rsidP="003C538A">
      <w:pPr>
        <w:spacing w:after="120"/>
        <w:rPr>
          <w:b/>
          <w:i/>
          <w:lang w:eastAsia="en-AU"/>
        </w:rPr>
      </w:pPr>
      <w:r>
        <w:rPr>
          <w:b/>
          <w:i/>
          <w:lang w:eastAsia="en-AU"/>
        </w:rPr>
        <w:t>Measurement c</w:t>
      </w:r>
      <w:r w:rsidR="00B848AE" w:rsidRPr="006A74F8">
        <w:rPr>
          <w:b/>
          <w:i/>
          <w:lang w:eastAsia="en-AU"/>
        </w:rPr>
        <w:t>onfidence</w:t>
      </w:r>
    </w:p>
    <w:p w:rsidR="003C538A" w:rsidRPr="006A74F8" w:rsidRDefault="00745F2E" w:rsidP="00E75DD2">
      <w:pPr>
        <w:pStyle w:val="CommentText"/>
        <w:rPr>
          <w:sz w:val="22"/>
          <w:szCs w:val="22"/>
        </w:rPr>
      </w:pPr>
      <w:r w:rsidRPr="006A74F8">
        <w:rPr>
          <w:sz w:val="22"/>
          <w:szCs w:val="22"/>
        </w:rPr>
        <w:t>O</w:t>
      </w:r>
      <w:r w:rsidR="001303EC" w:rsidRPr="006A74F8">
        <w:rPr>
          <w:sz w:val="22"/>
          <w:szCs w:val="22"/>
        </w:rPr>
        <w:t>ption</w:t>
      </w:r>
      <w:r w:rsidR="00155935" w:rsidRPr="006A74F8">
        <w:rPr>
          <w:sz w:val="22"/>
          <w:szCs w:val="22"/>
        </w:rPr>
        <w:t xml:space="preserve"> </w:t>
      </w:r>
      <w:r w:rsidRPr="006A74F8">
        <w:rPr>
          <w:sz w:val="22"/>
          <w:szCs w:val="22"/>
        </w:rPr>
        <w:t>2</w:t>
      </w:r>
      <w:r w:rsidR="00FE25EC" w:rsidRPr="006A74F8">
        <w:rPr>
          <w:sz w:val="22"/>
          <w:szCs w:val="22"/>
        </w:rPr>
        <w:t xml:space="preserve"> </w:t>
      </w:r>
      <w:r w:rsidR="00155935" w:rsidRPr="006A74F8">
        <w:rPr>
          <w:sz w:val="22"/>
          <w:szCs w:val="22"/>
        </w:rPr>
        <w:t xml:space="preserve">will address known gaps </w:t>
      </w:r>
      <w:r w:rsidR="003C538A" w:rsidRPr="006A74F8">
        <w:rPr>
          <w:sz w:val="22"/>
          <w:szCs w:val="22"/>
        </w:rPr>
        <w:t>in the measurement framework</w:t>
      </w:r>
      <w:r w:rsidR="00155935" w:rsidRPr="006A74F8">
        <w:rPr>
          <w:sz w:val="22"/>
          <w:szCs w:val="22"/>
        </w:rPr>
        <w:t xml:space="preserve"> and ensure a level playing field</w:t>
      </w:r>
      <w:r w:rsidR="00DC7B62" w:rsidRPr="006A74F8">
        <w:rPr>
          <w:sz w:val="22"/>
          <w:szCs w:val="22"/>
        </w:rPr>
        <w:t xml:space="preserve"> for business</w:t>
      </w:r>
      <w:r w:rsidR="00155935" w:rsidRPr="006A74F8">
        <w:rPr>
          <w:sz w:val="22"/>
          <w:szCs w:val="22"/>
        </w:rPr>
        <w:t xml:space="preserve">. </w:t>
      </w:r>
      <w:r w:rsidR="001960D7" w:rsidRPr="006A74F8">
        <w:rPr>
          <w:sz w:val="22"/>
          <w:szCs w:val="22"/>
        </w:rPr>
        <w:t>This</w:t>
      </w:r>
      <w:r w:rsidR="00E75DD2" w:rsidRPr="006A74F8" w:rsidDel="002758E1">
        <w:rPr>
          <w:sz w:val="22"/>
          <w:szCs w:val="22"/>
        </w:rPr>
        <w:t xml:space="preserve"> </w:t>
      </w:r>
      <w:r w:rsidR="00E75DD2" w:rsidRPr="006A74F8">
        <w:rPr>
          <w:sz w:val="22"/>
          <w:szCs w:val="22"/>
        </w:rPr>
        <w:t xml:space="preserve">option </w:t>
      </w:r>
      <w:r w:rsidR="004A32F7" w:rsidRPr="006A74F8">
        <w:rPr>
          <w:sz w:val="22"/>
          <w:szCs w:val="22"/>
        </w:rPr>
        <w:t>maintain</w:t>
      </w:r>
      <w:r w:rsidR="00E75DD2" w:rsidRPr="006A74F8">
        <w:rPr>
          <w:sz w:val="22"/>
          <w:szCs w:val="22"/>
        </w:rPr>
        <w:t>s</w:t>
      </w:r>
      <w:r w:rsidR="004A32F7" w:rsidRPr="006A74F8">
        <w:rPr>
          <w:sz w:val="22"/>
          <w:szCs w:val="22"/>
        </w:rPr>
        <w:t xml:space="preserve"> key elements of the framework that provide confidence in measurement while introducing flexibility to accommodate evolving business practices and new and emerging technology (e.g. current global shifts towards digital metrology).</w:t>
      </w:r>
      <w:r w:rsidR="00F259FB" w:rsidRPr="006A74F8">
        <w:rPr>
          <w:sz w:val="22"/>
          <w:szCs w:val="22"/>
        </w:rPr>
        <w:t xml:space="preserve"> Stakeholders support the expansion of prohibitions on false or misleading measurement statements to include all types of measurement transactions. </w:t>
      </w:r>
      <w:r w:rsidR="00996D26" w:rsidRPr="006A74F8">
        <w:rPr>
          <w:sz w:val="22"/>
          <w:szCs w:val="22"/>
        </w:rPr>
        <w:t>The legislation will also enable l</w:t>
      </w:r>
      <w:r w:rsidR="003C538A" w:rsidRPr="006A74F8">
        <w:rPr>
          <w:sz w:val="22"/>
          <w:szCs w:val="22"/>
        </w:rPr>
        <w:t xml:space="preserve">egislative instruments (e.g. </w:t>
      </w:r>
      <w:r w:rsidR="006367EF" w:rsidRPr="006A74F8">
        <w:rPr>
          <w:sz w:val="22"/>
          <w:szCs w:val="22"/>
        </w:rPr>
        <w:t xml:space="preserve">regulations, determinations) </w:t>
      </w:r>
      <w:r w:rsidR="00996D26" w:rsidRPr="006A74F8">
        <w:rPr>
          <w:sz w:val="22"/>
          <w:szCs w:val="22"/>
        </w:rPr>
        <w:t>to</w:t>
      </w:r>
      <w:r w:rsidR="003C538A" w:rsidRPr="006A74F8">
        <w:rPr>
          <w:sz w:val="22"/>
          <w:szCs w:val="22"/>
        </w:rPr>
        <w:t xml:space="preserve"> be made to support the Government’s response to measurement failures or crises outside trade</w:t>
      </w:r>
      <w:r w:rsidR="00E84F04" w:rsidRPr="006A74F8">
        <w:rPr>
          <w:sz w:val="22"/>
          <w:szCs w:val="22"/>
        </w:rPr>
        <w:t xml:space="preserve">. </w:t>
      </w:r>
      <w:r w:rsidR="003640E2" w:rsidRPr="006A74F8">
        <w:rPr>
          <w:sz w:val="22"/>
          <w:szCs w:val="22"/>
        </w:rPr>
        <w:t>This</w:t>
      </w:r>
      <w:r w:rsidR="00AC06EE" w:rsidRPr="006A74F8">
        <w:rPr>
          <w:sz w:val="22"/>
          <w:szCs w:val="22"/>
        </w:rPr>
        <w:t xml:space="preserve"> feature </w:t>
      </w:r>
      <w:r w:rsidR="003640E2" w:rsidRPr="006A74F8">
        <w:rPr>
          <w:sz w:val="22"/>
          <w:szCs w:val="22"/>
        </w:rPr>
        <w:t>was</w:t>
      </w:r>
      <w:r w:rsidR="00AC06EE" w:rsidRPr="006A74F8">
        <w:rPr>
          <w:sz w:val="22"/>
          <w:szCs w:val="22"/>
        </w:rPr>
        <w:t xml:space="preserve"> added to the recommended option to address stakeholder feedback and further future proof the legislation</w:t>
      </w:r>
      <w:r w:rsidR="00E84F04" w:rsidRPr="006A74F8">
        <w:rPr>
          <w:sz w:val="22"/>
          <w:szCs w:val="22"/>
        </w:rPr>
        <w:t>.</w:t>
      </w:r>
    </w:p>
    <w:p w:rsidR="00AC316C" w:rsidRPr="006A74F8" w:rsidRDefault="00604AB6" w:rsidP="00B53CFA">
      <w:pPr>
        <w:spacing w:after="120"/>
      </w:pPr>
      <w:r w:rsidRPr="006A74F8">
        <w:t>The r</w:t>
      </w:r>
      <w:r w:rsidR="006312E4" w:rsidRPr="006A74F8">
        <w:t xml:space="preserve">ecommended reforms </w:t>
      </w:r>
      <w:r w:rsidR="00745F2E" w:rsidRPr="006A74F8">
        <w:t>under option 2</w:t>
      </w:r>
      <w:r w:rsidR="006312E4" w:rsidRPr="006A74F8">
        <w:t xml:space="preserve"> will expand t</w:t>
      </w:r>
      <w:r w:rsidR="00AC316C" w:rsidRPr="006A74F8">
        <w:rPr>
          <w:lang w:eastAsia="en-AU"/>
        </w:rPr>
        <w:t xml:space="preserve">he </w:t>
      </w:r>
      <w:r w:rsidR="006312E4" w:rsidRPr="006A74F8">
        <w:rPr>
          <w:lang w:eastAsia="en-AU"/>
        </w:rPr>
        <w:t xml:space="preserve">current </w:t>
      </w:r>
      <w:r w:rsidR="00AC316C" w:rsidRPr="006A74F8">
        <w:rPr>
          <w:lang w:eastAsia="en-AU"/>
        </w:rPr>
        <w:t xml:space="preserve">suite of compliance and enforcement tools </w:t>
      </w:r>
      <w:r w:rsidR="006312E4" w:rsidRPr="006A74F8">
        <w:rPr>
          <w:lang w:eastAsia="en-AU"/>
        </w:rPr>
        <w:t xml:space="preserve">to </w:t>
      </w:r>
      <w:r w:rsidR="003640E2" w:rsidRPr="006A74F8">
        <w:rPr>
          <w:lang w:eastAsia="en-AU"/>
        </w:rPr>
        <w:t>align</w:t>
      </w:r>
      <w:r w:rsidR="006312E4" w:rsidRPr="006A74F8">
        <w:rPr>
          <w:lang w:eastAsia="en-AU"/>
        </w:rPr>
        <w:t xml:space="preserve"> the measurement legislation with modern Commonwealth regulatory frameworks and better support NMI’s current risk based approach to compliance and enforcement.</w:t>
      </w:r>
      <w:r w:rsidR="00AC316C" w:rsidRPr="006A74F8">
        <w:rPr>
          <w:lang w:eastAsia="en-AU"/>
        </w:rPr>
        <w:t xml:space="preserve"> </w:t>
      </w:r>
      <w:r w:rsidR="00BE1FDD">
        <w:rPr>
          <w:lang w:eastAsia="en-AU"/>
        </w:rPr>
        <w:t>This includes</w:t>
      </w:r>
      <w:r w:rsidR="00AC316C" w:rsidRPr="006A74F8">
        <w:rPr>
          <w:lang w:eastAsia="en-AU"/>
        </w:rPr>
        <w:t xml:space="preserve"> introduc</w:t>
      </w:r>
      <w:r w:rsidR="00900257" w:rsidRPr="006A74F8">
        <w:rPr>
          <w:lang w:eastAsia="en-AU"/>
        </w:rPr>
        <w:t>ing</w:t>
      </w:r>
      <w:r w:rsidR="00AC316C" w:rsidRPr="006A74F8">
        <w:rPr>
          <w:lang w:eastAsia="en-AU"/>
        </w:rPr>
        <w:t xml:space="preserve"> civil penalties tailored to business size and </w:t>
      </w:r>
      <w:r w:rsidR="00900257" w:rsidRPr="006A74F8">
        <w:rPr>
          <w:lang w:eastAsia="en-AU"/>
        </w:rPr>
        <w:t xml:space="preserve">severity of behaviour </w:t>
      </w:r>
      <w:r w:rsidR="006312E4" w:rsidRPr="006A74F8">
        <w:rPr>
          <w:lang w:eastAsia="en-AU"/>
        </w:rPr>
        <w:t xml:space="preserve">and enforceable industry codes of </w:t>
      </w:r>
      <w:r w:rsidR="006A65A2">
        <w:t>conduct</w:t>
      </w:r>
      <w:r w:rsidR="006A65A2" w:rsidRPr="006A74F8">
        <w:t xml:space="preserve"> </w:t>
      </w:r>
      <w:r w:rsidR="005E566B" w:rsidRPr="006A74F8">
        <w:rPr>
          <w:lang w:eastAsia="en-AU"/>
        </w:rPr>
        <w:t>to support industry led compliance solutions</w:t>
      </w:r>
      <w:r w:rsidR="00AC316C" w:rsidRPr="006A74F8">
        <w:rPr>
          <w:lang w:eastAsia="en-AU"/>
        </w:rPr>
        <w:t xml:space="preserve">. </w:t>
      </w:r>
      <w:r w:rsidR="00AC316C" w:rsidRPr="006A74F8">
        <w:t>Th</w:t>
      </w:r>
      <w:r w:rsidR="00BE1FDD">
        <w:t>ese</w:t>
      </w:r>
      <w:r w:rsidR="00AC316C" w:rsidRPr="006A74F8">
        <w:t xml:space="preserve"> will enabl</w:t>
      </w:r>
      <w:r w:rsidR="00900257" w:rsidRPr="006A74F8">
        <w:t>e</w:t>
      </w:r>
      <w:r w:rsidR="00AC316C" w:rsidRPr="006A74F8">
        <w:t xml:space="preserve"> NMI to better influence compliant behaviour in the market and improve outcomes for industry and the community. </w:t>
      </w:r>
    </w:p>
    <w:p w:rsidR="004407C6" w:rsidRPr="006A74F8" w:rsidRDefault="00745F2E" w:rsidP="00D742FB">
      <w:pPr>
        <w:spacing w:after="240"/>
      </w:pPr>
      <w:r w:rsidRPr="006A74F8">
        <w:t>O</w:t>
      </w:r>
      <w:r w:rsidR="004407C6" w:rsidRPr="006A74F8">
        <w:t xml:space="preserve">ption </w:t>
      </w:r>
      <w:r w:rsidRPr="006A74F8">
        <w:t>2</w:t>
      </w:r>
      <w:r w:rsidR="00FE25EC" w:rsidRPr="006A74F8">
        <w:t xml:space="preserve"> </w:t>
      </w:r>
      <w:r w:rsidR="004407C6" w:rsidRPr="006A74F8">
        <w:t>provides t</w:t>
      </w:r>
      <w:r w:rsidR="00604AB6" w:rsidRPr="006A74F8">
        <w:t>he right balance between option</w:t>
      </w:r>
      <w:r w:rsidR="004407C6" w:rsidRPr="006A74F8">
        <w:t xml:space="preserve"> 1 that do</w:t>
      </w:r>
      <w:r w:rsidR="00604AB6" w:rsidRPr="006A74F8">
        <w:t>es</w:t>
      </w:r>
      <w:r w:rsidR="004407C6" w:rsidRPr="006A74F8">
        <w:t xml:space="preserve"> not address all gaps and</w:t>
      </w:r>
      <w:r w:rsidR="00604AB6" w:rsidRPr="006A74F8">
        <w:t xml:space="preserve"> option 3 that</w:t>
      </w:r>
      <w:r w:rsidR="004407C6" w:rsidRPr="006A74F8">
        <w:t xml:space="preserve"> extend</w:t>
      </w:r>
      <w:r w:rsidR="00604AB6" w:rsidRPr="006A74F8">
        <w:t>s</w:t>
      </w:r>
      <w:r w:rsidR="004407C6" w:rsidRPr="006A74F8">
        <w:t xml:space="preserve"> regulatory powers</w:t>
      </w:r>
      <w:r w:rsidR="00604AB6" w:rsidRPr="006A74F8">
        <w:t xml:space="preserve"> without a </w:t>
      </w:r>
      <w:r w:rsidR="00DC7B62" w:rsidRPr="006A74F8">
        <w:t xml:space="preserve">currently </w:t>
      </w:r>
      <w:r w:rsidR="00604AB6" w:rsidRPr="006A74F8">
        <w:t>demonstrated need</w:t>
      </w:r>
      <w:r w:rsidR="004407C6" w:rsidRPr="006A74F8">
        <w:t>.</w:t>
      </w:r>
    </w:p>
    <w:p w:rsidR="00BE1FDD" w:rsidRPr="00BE1FDD" w:rsidRDefault="00BE1FDD" w:rsidP="00BE1FDD">
      <w:pPr>
        <w:keepNext/>
        <w:spacing w:after="120"/>
        <w:rPr>
          <w:b/>
          <w:i/>
        </w:rPr>
      </w:pPr>
      <w:r w:rsidRPr="00BE1FDD">
        <w:rPr>
          <w:b/>
          <w:i/>
        </w:rPr>
        <w:lastRenderedPageBreak/>
        <w:t>Flexible and adaptable legislation</w:t>
      </w:r>
    </w:p>
    <w:p w:rsidR="00BE1FDD" w:rsidRPr="00BE1FDD" w:rsidRDefault="00BE1FDD" w:rsidP="00BE1FDD">
      <w:pPr>
        <w:keepNext/>
      </w:pPr>
      <w:r w:rsidRPr="00BE1FDD">
        <w:t>Option 2 delivers legislation which is flexible and adaptable, with enhancements including:</w:t>
      </w:r>
    </w:p>
    <w:p w:rsidR="00BE1FDD" w:rsidRPr="00BE1FDD" w:rsidRDefault="00BE1FDD" w:rsidP="00BE1FDD">
      <w:pPr>
        <w:pStyle w:val="ListParagraph"/>
        <w:numPr>
          <w:ilvl w:val="0"/>
          <w:numId w:val="251"/>
        </w:numPr>
        <w:rPr>
          <w:lang w:eastAsia="en-AU"/>
        </w:rPr>
      </w:pPr>
      <w:r w:rsidRPr="00BE1FDD">
        <w:t xml:space="preserve">Aligning the measurement framework with current international chemical and biological measurement practice and introducing flexibility to </w:t>
      </w:r>
      <w:r w:rsidRPr="00BE1FDD">
        <w:rPr>
          <w:rFonts w:cstheme="minorHAnsi"/>
        </w:rPr>
        <w:t>enable other traceability pathways</w:t>
      </w:r>
      <w:r>
        <w:rPr>
          <w:rFonts w:cstheme="minorHAnsi"/>
        </w:rPr>
        <w:t xml:space="preserve">. This </w:t>
      </w:r>
      <w:r w:rsidRPr="00BE1FDD">
        <w:rPr>
          <w:rFonts w:cstheme="minorHAnsi"/>
        </w:rPr>
        <w:t>includ</w:t>
      </w:r>
      <w:r>
        <w:rPr>
          <w:rFonts w:cstheme="minorHAnsi"/>
        </w:rPr>
        <w:t>es</w:t>
      </w:r>
      <w:r w:rsidRPr="00BE1FDD">
        <w:rPr>
          <w:rFonts w:cstheme="minorHAnsi"/>
        </w:rPr>
        <w:t xml:space="preserve"> the acceptance of international approaches </w:t>
      </w:r>
      <w:r w:rsidRPr="00BE1FDD">
        <w:t xml:space="preserve">to </w:t>
      </w:r>
      <w:r w:rsidRPr="00BE1FDD">
        <w:rPr>
          <w:rFonts w:ascii="Calibri" w:eastAsia="Calibri" w:hAnsi="Calibri" w:cs="Calibri"/>
          <w:color w:val="000000"/>
          <w:lang w:eastAsia="en-AU"/>
        </w:rPr>
        <w:t xml:space="preserve">keep up-to-date with scientific developments. This allows the legislation to evolve over time to support the future needs of industry and government. </w:t>
      </w:r>
    </w:p>
    <w:p w:rsidR="00BE1FDD" w:rsidRPr="00BE1FDD" w:rsidRDefault="00BE1FDD" w:rsidP="00BE1FDD">
      <w:pPr>
        <w:pStyle w:val="ListParagraph"/>
        <w:numPr>
          <w:ilvl w:val="0"/>
          <w:numId w:val="251"/>
        </w:numPr>
        <w:rPr>
          <w:lang w:eastAsia="en-AU"/>
        </w:rPr>
      </w:pPr>
      <w:r w:rsidRPr="00BE1FDD">
        <w:rPr>
          <w:lang w:eastAsia="en-AU"/>
        </w:rPr>
        <w:t xml:space="preserve">Accommodating evolving measuring instrument technology into the future. This provides the necessary assurance to stakeholders that future flexibility will continue to maintain confidence in the measurement system, while benefiting industry through faster access to market for new technology and reducing barriers to trade. This strikes a balance for stakeholders between continuing to support well-established measuring instrument controls and introducing a degree of flexibility to drive innovation. </w:t>
      </w:r>
    </w:p>
    <w:p w:rsidR="00BE1FDD" w:rsidRPr="00BE1FDD" w:rsidRDefault="00BE1FDD" w:rsidP="00BE1FDD">
      <w:pPr>
        <w:keepNext/>
        <w:spacing w:after="120"/>
        <w:rPr>
          <w:lang w:eastAsia="en-AU"/>
        </w:rPr>
      </w:pPr>
      <w:r w:rsidRPr="00BE1FDD">
        <w:rPr>
          <w:lang w:eastAsia="en-AU"/>
        </w:rPr>
        <w:t>The principles-based approach under option 2 balances flexibility with necessary prescription. Option 1 has insufficient flexibility to meet future needs and option 3 imposes additional regulatory burden expanding to measuring instruments beyond trade.</w:t>
      </w:r>
    </w:p>
    <w:p w:rsidR="00BE1FDD" w:rsidRPr="00BE1FDD" w:rsidRDefault="00BE1FDD" w:rsidP="00BE1FDD">
      <w:pPr>
        <w:keepNext/>
        <w:spacing w:after="120"/>
        <w:rPr>
          <w:b/>
          <w:i/>
        </w:rPr>
      </w:pPr>
      <w:r w:rsidRPr="00BE1FDD">
        <w:rPr>
          <w:b/>
          <w:i/>
        </w:rPr>
        <w:t>Outcomes for stakeholders</w:t>
      </w:r>
    </w:p>
    <w:p w:rsidR="00BE1FDD" w:rsidRPr="00BE1FDD" w:rsidRDefault="00BE1FDD" w:rsidP="00BE1FDD">
      <w:r w:rsidRPr="00BE1FDD">
        <w:rPr>
          <w:lang w:eastAsia="en-AU"/>
        </w:rPr>
        <w:t xml:space="preserve">Adopting a principles-based approach under option 2 will reduce unnecessary regulatory burden and provide $9.4 million in annual savings for industry. </w:t>
      </w:r>
      <w:r w:rsidRPr="00BE1FDD">
        <w:t xml:space="preserve">Industry savings include </w:t>
      </w:r>
      <w:r w:rsidRPr="00BE1FDD">
        <w:rPr>
          <w:lang w:eastAsia="en-AU"/>
        </w:rPr>
        <w:t xml:space="preserve">costs </w:t>
      </w:r>
      <w:r w:rsidRPr="00BE1FDD">
        <w:t xml:space="preserve">to relabel imported prepacked products </w:t>
      </w:r>
      <w:r w:rsidRPr="00BE1FDD">
        <w:rPr>
          <w:lang w:eastAsia="en-AU"/>
        </w:rPr>
        <w:t>($6.4 million annually</w:t>
      </w:r>
      <w:r w:rsidRPr="00BE1FDD">
        <w:t xml:space="preserve">). </w:t>
      </w:r>
      <w:r w:rsidRPr="00BE1FDD">
        <w:rPr>
          <w:lang w:eastAsia="en-AU"/>
        </w:rPr>
        <w:t xml:space="preserve">A principles-based approach to measurement marking requirements on packaged products </w:t>
      </w:r>
      <w:r w:rsidRPr="00BE1FDD">
        <w:t>will ensure all current labels remain compliant without any change and provide access to a range of imported products, with greater flexibility for the labelling of domestic products. It ensures consumers still have access to prominent and legible measurement information, while reducing regulatory burden for industry and better facilitating international trade. There is a potential time burden for consumers to locate the measurement mark on packaged products that don’t display the measurement mark on the front of the package ($0.9 million). However, this impact is reduced in grocery stores that are subject to the Unit Pricing Code.</w:t>
      </w:r>
    </w:p>
    <w:p w:rsidR="00BE1FDD" w:rsidRPr="00BE1FDD" w:rsidRDefault="00BE1FDD" w:rsidP="00BE1FDD">
      <w:pPr>
        <w:rPr>
          <w:lang w:eastAsia="en-AU"/>
        </w:rPr>
      </w:pPr>
      <w:r w:rsidRPr="00BE1FDD">
        <w:rPr>
          <w:lang w:eastAsia="en-AU"/>
        </w:rPr>
        <w:t>The costs to industry associated</w:t>
      </w:r>
      <w:r w:rsidRPr="00BE1FDD" w:rsidDel="00FD65DC">
        <w:rPr>
          <w:lang w:eastAsia="en-AU"/>
        </w:rPr>
        <w:t xml:space="preserve"> with </w:t>
      </w:r>
      <w:r w:rsidRPr="00BE1FDD">
        <w:rPr>
          <w:lang w:eastAsia="en-AU"/>
        </w:rPr>
        <w:t>transitioning to a new principles-based framework will be mitigated via appropriate transition periods. Government will work together with industry to educate and provide guidance material to facilitate compliance and maintain capability, including to</w:t>
      </w:r>
      <w:r w:rsidRPr="00BE1FDD">
        <w:t xml:space="preserve"> continue to provide adequate and accessible information for consumers. </w:t>
      </w:r>
      <w:r w:rsidRPr="00BE1FDD">
        <w:rPr>
          <w:lang w:eastAsia="en-AU"/>
        </w:rPr>
        <w:t xml:space="preserve">Upgraded ICT systems will enable industry and government to better cooperate under a risk-based compliance model and reduce the reporting burden on ATPs appointed under the legislation. Licensing approvals and data collection will also be simplified. See </w:t>
      </w:r>
      <w:hyperlink w:anchor="_RIS_Question_7:" w:history="1">
        <w:r w:rsidRPr="00BE1FDD">
          <w:rPr>
            <w:rStyle w:val="Hyperlink"/>
            <w:lang w:eastAsia="en-AU"/>
          </w:rPr>
          <w:t>section 9</w:t>
        </w:r>
      </w:hyperlink>
      <w:r w:rsidRPr="00BE1FDD">
        <w:rPr>
          <w:lang w:eastAsia="en-AU"/>
        </w:rPr>
        <w:t xml:space="preserve"> for more information on how the reforms will be implemented.</w:t>
      </w:r>
    </w:p>
    <w:p w:rsidR="00BE1FDD" w:rsidRDefault="00BE1FDD" w:rsidP="00BE1FDD">
      <w:r w:rsidRPr="00BE1FDD">
        <w:rPr>
          <w:lang w:eastAsia="en-AU"/>
        </w:rPr>
        <w:t>Establishing a modern risk-based regulation under option 2 will ultimately reduce costs for industry,</w:t>
      </w:r>
      <w:r w:rsidRPr="00BE1FDD" w:rsidDel="0063422F">
        <w:rPr>
          <w:lang w:eastAsia="en-AU"/>
        </w:rPr>
        <w:t xml:space="preserve"> </w:t>
      </w:r>
      <w:r w:rsidRPr="00BE1FDD">
        <w:rPr>
          <w:lang w:eastAsia="en-AU"/>
        </w:rPr>
        <w:t>support positive outcomes for consumers and deliver a reliable measurement framework for Australia. Modernisation will drive innovation and ensure relevance for future generations.</w:t>
      </w:r>
    </w:p>
    <w:p w:rsidR="00367086" w:rsidRPr="006A74F8" w:rsidRDefault="009F23E3" w:rsidP="00E31DEF">
      <w:pPr>
        <w:rPr>
          <w:lang w:eastAsia="en-AU"/>
        </w:rPr>
      </w:pPr>
      <w:r w:rsidRPr="006A74F8">
        <w:rPr>
          <w:lang w:eastAsia="en-AU"/>
        </w:rPr>
        <w:br w:type="page"/>
      </w:r>
    </w:p>
    <w:p w:rsidR="00B66E28" w:rsidRPr="006A74F8" w:rsidRDefault="004C6ACC" w:rsidP="00F507FF">
      <w:pPr>
        <w:pStyle w:val="Heading1"/>
        <w:rPr>
          <w:lang w:eastAsia="en-AU"/>
        </w:rPr>
      </w:pPr>
      <w:bookmarkStart w:id="1764" w:name="_RIS_Question_7:"/>
      <w:bookmarkStart w:id="1765" w:name="_Toc81919536"/>
      <w:bookmarkStart w:id="1766" w:name="_Toc81919810"/>
      <w:bookmarkStart w:id="1767" w:name="_Toc81921165"/>
      <w:bookmarkStart w:id="1768" w:name="_Toc81923652"/>
      <w:bookmarkStart w:id="1769" w:name="_Toc81923767"/>
      <w:bookmarkStart w:id="1770" w:name="_Toc81997307"/>
      <w:bookmarkStart w:id="1771" w:name="_Toc81998080"/>
      <w:bookmarkStart w:id="1772" w:name="_Toc82011844"/>
      <w:bookmarkStart w:id="1773" w:name="_Toc82512690"/>
      <w:bookmarkStart w:id="1774" w:name="_Toc82516158"/>
      <w:bookmarkStart w:id="1775" w:name="_Toc82519109"/>
      <w:bookmarkStart w:id="1776" w:name="_Toc82706647"/>
      <w:bookmarkStart w:id="1777" w:name="_Toc82790536"/>
      <w:bookmarkStart w:id="1778" w:name="_Toc82791055"/>
      <w:bookmarkStart w:id="1779" w:name="_Toc82792366"/>
      <w:bookmarkStart w:id="1780" w:name="_Toc83290748"/>
      <w:bookmarkStart w:id="1781" w:name="_Toc83292757"/>
      <w:bookmarkStart w:id="1782" w:name="_Toc83293528"/>
      <w:bookmarkEnd w:id="1764"/>
      <w:r w:rsidRPr="006A74F8">
        <w:rPr>
          <w:lang w:eastAsia="en-AU"/>
        </w:rPr>
        <w:lastRenderedPageBreak/>
        <w:t>RIS Question 7:</w:t>
      </w:r>
      <w:r w:rsidR="0072104D" w:rsidRPr="006A74F8">
        <w:rPr>
          <w:lang w:eastAsia="en-AU"/>
        </w:rPr>
        <w:t xml:space="preserve"> How will you implement and evaluate your chosen option?</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rsidR="004C6ACC" w:rsidRPr="006A74F8" w:rsidRDefault="00584044" w:rsidP="000720D9">
      <w:pPr>
        <w:pStyle w:val="Heading2"/>
      </w:pPr>
      <w:bookmarkStart w:id="1783" w:name="_Implementation_Plan"/>
      <w:bookmarkEnd w:id="1783"/>
      <w:r w:rsidRPr="006A74F8">
        <w:t xml:space="preserve"> </w:t>
      </w:r>
      <w:r w:rsidR="000720D9" w:rsidRPr="006A74F8">
        <w:t>Implementation</w:t>
      </w:r>
      <w:r w:rsidR="001D5CDF" w:rsidRPr="006A74F8">
        <w:t xml:space="preserve"> Plan</w:t>
      </w:r>
    </w:p>
    <w:p w:rsidR="00F007DE" w:rsidRPr="006A74F8" w:rsidRDefault="00126558" w:rsidP="00F007DE">
      <w:r w:rsidRPr="006A74F8">
        <w:t>Australia</w:t>
      </w:r>
      <w:r w:rsidR="00470388" w:rsidRPr="006A74F8">
        <w:t xml:space="preserve">’s current measurement legislation will be repealed and </w:t>
      </w:r>
      <w:r w:rsidR="00352EEE" w:rsidRPr="006A74F8">
        <w:t xml:space="preserve">the </w:t>
      </w:r>
      <w:r w:rsidR="00470388" w:rsidRPr="006A74F8">
        <w:t>new legislation introduced before the current regulations sunset</w:t>
      </w:r>
      <w:r w:rsidR="002B3C69" w:rsidRPr="006A74F8">
        <w:t xml:space="preserve"> (currently </w:t>
      </w:r>
      <w:r w:rsidR="00BE1FDD">
        <w:t xml:space="preserve">due to </w:t>
      </w:r>
      <w:r w:rsidR="002B3C69" w:rsidRPr="006A74F8">
        <w:t xml:space="preserve">sunset </w:t>
      </w:r>
      <w:r w:rsidR="00470388" w:rsidRPr="006A74F8">
        <w:t>on 1 April 2024</w:t>
      </w:r>
      <w:r w:rsidR="002B3C69" w:rsidRPr="006A74F8">
        <w:t>)</w:t>
      </w:r>
      <w:r w:rsidR="00F007DE" w:rsidRPr="006A74F8">
        <w:t>. A</w:t>
      </w:r>
      <w:r w:rsidR="00715C8D" w:rsidRPr="006A74F8">
        <w:t>ppropriate</w:t>
      </w:r>
      <w:r w:rsidR="00F007DE" w:rsidRPr="006A74F8">
        <w:t xml:space="preserve"> arrangements will be in place to </w:t>
      </w:r>
      <w:r w:rsidR="00715C8D" w:rsidRPr="006A74F8">
        <w:t xml:space="preserve">help industry transition to the new laws, which </w:t>
      </w:r>
      <w:r w:rsidR="00F007DE" w:rsidRPr="006A74F8">
        <w:t>will include grace periods.</w:t>
      </w:r>
      <w:r w:rsidR="00715C8D" w:rsidRPr="006A74F8">
        <w:t xml:space="preserve"> </w:t>
      </w:r>
      <w:r w:rsidR="00123062" w:rsidRPr="006A74F8">
        <w:t>D</w:t>
      </w:r>
      <w:r w:rsidR="00F007DE" w:rsidRPr="006A74F8">
        <w:t xml:space="preserve">etail on specific </w:t>
      </w:r>
      <w:r w:rsidR="00D52886" w:rsidRPr="006A74F8">
        <w:t xml:space="preserve">implementation </w:t>
      </w:r>
      <w:r w:rsidR="00F007DE" w:rsidRPr="006A74F8">
        <w:t xml:space="preserve">activities are </w:t>
      </w:r>
      <w:r w:rsidR="004068EB" w:rsidRPr="006A74F8">
        <w:t xml:space="preserve">outlined </w:t>
      </w:r>
      <w:r w:rsidR="00F007DE" w:rsidRPr="006A74F8">
        <w:t>below</w:t>
      </w:r>
      <w:r w:rsidR="00B82014" w:rsidRPr="006A74F8">
        <w:t>,</w:t>
      </w:r>
      <w:r w:rsidR="00DF1128" w:rsidRPr="006A74F8">
        <w:t xml:space="preserve"> </w:t>
      </w:r>
      <w:r w:rsidR="00123062" w:rsidRPr="006A74F8">
        <w:t>including</w:t>
      </w:r>
      <w:r w:rsidR="00DF1128" w:rsidRPr="006A74F8">
        <w:t xml:space="preserve"> information and education campaigns </w:t>
      </w:r>
      <w:r w:rsidR="00B82014" w:rsidRPr="006A74F8">
        <w:t>to</w:t>
      </w:r>
      <w:r w:rsidR="00123062" w:rsidRPr="006A74F8">
        <w:t xml:space="preserve"> </w:t>
      </w:r>
      <w:r w:rsidR="00B82014" w:rsidRPr="006A74F8">
        <w:t>communicate the</w:t>
      </w:r>
      <w:r w:rsidR="00DF1128" w:rsidRPr="006A74F8">
        <w:t xml:space="preserve"> changes and how</w:t>
      </w:r>
      <w:r w:rsidR="005D2E13" w:rsidRPr="006A74F8">
        <w:t xml:space="preserve"> compliance will be enforced</w:t>
      </w:r>
      <w:r w:rsidR="00F007DE" w:rsidRPr="006A74F8">
        <w:t>.</w:t>
      </w:r>
      <w:r w:rsidR="00735918" w:rsidRPr="006A74F8">
        <w:t xml:space="preserve"> Government will work together with industry for a successful transition to the new laws.</w:t>
      </w:r>
    </w:p>
    <w:p w:rsidR="008447D4" w:rsidRPr="006A74F8" w:rsidRDefault="00674072" w:rsidP="00231250">
      <w:pPr>
        <w:spacing w:before="120" w:after="240"/>
      </w:pPr>
      <w:r w:rsidRPr="006A74F8">
        <w:t>Implementation</w:t>
      </w:r>
      <w:r w:rsidR="002A1DA8" w:rsidRPr="006A74F8">
        <w:t xml:space="preserve"> consists </w:t>
      </w:r>
      <w:r w:rsidR="003C7F94" w:rsidRPr="006A74F8">
        <w:t>of 3</w:t>
      </w:r>
      <w:r w:rsidRPr="006A74F8">
        <w:t xml:space="preserve"> </w:t>
      </w:r>
      <w:r w:rsidR="00AD7854" w:rsidRPr="006A74F8">
        <w:t xml:space="preserve">key </w:t>
      </w:r>
      <w:r w:rsidRPr="006A74F8">
        <w:t>phases</w:t>
      </w:r>
      <w:r w:rsidR="00C82C2D" w:rsidRPr="006A74F8">
        <w:t xml:space="preserve">, with the following </w:t>
      </w:r>
      <w:r w:rsidR="00CF3051" w:rsidRPr="006A74F8">
        <w:t xml:space="preserve">estimated </w:t>
      </w:r>
      <w:r w:rsidR="00C82C2D" w:rsidRPr="006A74F8">
        <w:t>timeline</w:t>
      </w:r>
      <w:r w:rsidRPr="006A74F8">
        <w:t>:</w:t>
      </w:r>
    </w:p>
    <w:p w:rsidR="00F5705B" w:rsidRPr="006A74F8" w:rsidRDefault="00F5705B" w:rsidP="00231250">
      <w:pPr>
        <w:spacing w:after="240"/>
      </w:pPr>
      <w:r w:rsidRPr="006A74F8">
        <w:rPr>
          <w:noProof/>
          <w:lang w:eastAsia="en-AU"/>
        </w:rPr>
        <w:drawing>
          <wp:inline distT="0" distB="0" distL="0" distR="0" wp14:anchorId="192D7706" wp14:editId="205D2DD9">
            <wp:extent cx="5732145" cy="3821430"/>
            <wp:effectExtent l="0" t="38100" r="40005" b="45720"/>
            <wp:docPr id="3" name="Diagram 3" descr="Graphic presents each of the three phases of implementation and summarises each in dot points.&#10;Phase 1: 2022-2024:&#10; The period leading up to when the new reforms are introduced&#10; Drafting and consultation on the legislative changes&#10; Education campaigns for industry, consumers and other stakeholders&#10;&#10;Phase 2: 2024-2026:&#10; Introduction of reformed legislation&#10; Transition period: grace periods and transitional     arrangements for industry and other stakeholders to adapt to the new laws.&#10;&#10;Phase 3: 2026 onwards:&#10; Evaluation of the reforms and review of exemptions&#10; Tracking of issues / ideas through an accessible online policy register&#10; Collaboration with industry on using the flexibility of the legislation to support new practices / technology.&#10;" title="Implementation Pha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E83C93" w:rsidRPr="006A74F8" w:rsidRDefault="00FA3725" w:rsidP="00E83C93">
      <w:pPr>
        <w:pStyle w:val="Heading3"/>
      </w:pPr>
      <w:r w:rsidRPr="006A74F8">
        <w:t>Re-making the l</w:t>
      </w:r>
      <w:r w:rsidR="001677AD" w:rsidRPr="006A74F8">
        <w:t>egislation</w:t>
      </w:r>
    </w:p>
    <w:p w:rsidR="00146F04" w:rsidRPr="006A74F8" w:rsidRDefault="00146F04" w:rsidP="00146F04">
      <w:pPr>
        <w:spacing w:after="120"/>
      </w:pPr>
      <w:r w:rsidRPr="006A74F8">
        <w:t xml:space="preserve">Australia’s current measurement legislation (primary and secondary) will be repealed and </w:t>
      </w:r>
      <w:r w:rsidR="00667E8E" w:rsidRPr="006A74F8">
        <w:t>remade</w:t>
      </w:r>
      <w:r w:rsidRPr="006A74F8">
        <w:t>. This includes the:</w:t>
      </w:r>
    </w:p>
    <w:p w:rsidR="00146F04" w:rsidRPr="006A74F8" w:rsidRDefault="00146F04" w:rsidP="00146F04">
      <w:pPr>
        <w:pStyle w:val="NormalWeb"/>
        <w:numPr>
          <w:ilvl w:val="0"/>
          <w:numId w:val="47"/>
        </w:numPr>
        <w:tabs>
          <w:tab w:val="left" w:pos="2454"/>
        </w:tabs>
        <w:spacing w:before="0" w:beforeAutospacing="0" w:after="120" w:afterAutospacing="0"/>
        <w:rPr>
          <w:rFonts w:asciiTheme="minorHAnsi" w:hAnsiTheme="minorHAnsi" w:cstheme="minorHAnsi"/>
          <w:color w:val="000000"/>
          <w:sz w:val="22"/>
          <w:szCs w:val="22"/>
        </w:rPr>
      </w:pPr>
      <w:r w:rsidRPr="006A74F8">
        <w:rPr>
          <w:rFonts w:asciiTheme="minorHAnsi" w:hAnsiTheme="minorHAnsi" w:cstheme="minorHAnsi"/>
          <w:i/>
          <w:color w:val="000000"/>
          <w:sz w:val="22"/>
          <w:szCs w:val="22"/>
        </w:rPr>
        <w:t xml:space="preserve">National Measurement Act 1960 </w:t>
      </w:r>
      <w:r w:rsidRPr="006A74F8">
        <w:rPr>
          <w:rFonts w:asciiTheme="minorHAnsi" w:hAnsiTheme="minorHAnsi" w:cstheme="minorHAnsi"/>
          <w:color w:val="000000"/>
          <w:sz w:val="22"/>
          <w:szCs w:val="22"/>
        </w:rPr>
        <w:t>(the Act)</w:t>
      </w:r>
    </w:p>
    <w:p w:rsidR="00146F04" w:rsidRPr="006A74F8" w:rsidRDefault="00146F04" w:rsidP="00146F04">
      <w:pPr>
        <w:pStyle w:val="NormalWeb"/>
        <w:numPr>
          <w:ilvl w:val="0"/>
          <w:numId w:val="47"/>
        </w:numPr>
        <w:tabs>
          <w:tab w:val="left" w:pos="2454"/>
        </w:tabs>
        <w:spacing w:before="0" w:beforeAutospacing="0" w:after="120" w:afterAutospacing="0"/>
        <w:rPr>
          <w:rFonts w:asciiTheme="minorHAnsi" w:hAnsiTheme="minorHAnsi" w:cstheme="minorHAnsi"/>
          <w:color w:val="000000"/>
          <w:sz w:val="22"/>
          <w:szCs w:val="22"/>
        </w:rPr>
      </w:pPr>
      <w:r w:rsidRPr="006A74F8">
        <w:rPr>
          <w:rFonts w:asciiTheme="minorHAnsi" w:hAnsiTheme="minorHAnsi" w:cstheme="minorHAnsi"/>
          <w:i/>
          <w:color w:val="000000"/>
          <w:sz w:val="22"/>
          <w:szCs w:val="22"/>
        </w:rPr>
        <w:t>National Measurement Regulations 1999</w:t>
      </w:r>
    </w:p>
    <w:p w:rsidR="00146F04" w:rsidRPr="006A74F8" w:rsidRDefault="00146F04" w:rsidP="00146F04">
      <w:pPr>
        <w:pStyle w:val="NormalWeb"/>
        <w:numPr>
          <w:ilvl w:val="0"/>
          <w:numId w:val="47"/>
        </w:numPr>
        <w:tabs>
          <w:tab w:val="left" w:pos="2454"/>
        </w:tabs>
        <w:spacing w:before="0" w:beforeAutospacing="0" w:after="120" w:afterAutospacing="0"/>
        <w:rPr>
          <w:rFonts w:asciiTheme="minorHAnsi" w:hAnsiTheme="minorHAnsi" w:cstheme="minorHAnsi"/>
          <w:color w:val="000000"/>
          <w:sz w:val="22"/>
          <w:szCs w:val="22"/>
        </w:rPr>
      </w:pPr>
      <w:r w:rsidRPr="006A74F8">
        <w:rPr>
          <w:rFonts w:asciiTheme="minorHAnsi" w:hAnsiTheme="minorHAnsi" w:cstheme="minorHAnsi"/>
          <w:i/>
          <w:color w:val="000000"/>
          <w:sz w:val="22"/>
          <w:szCs w:val="22"/>
        </w:rPr>
        <w:t>National Trade Measurement Regulations 2009</w:t>
      </w:r>
    </w:p>
    <w:p w:rsidR="00146F04" w:rsidRPr="006A74F8" w:rsidRDefault="00146F04" w:rsidP="00735918">
      <w:pPr>
        <w:pStyle w:val="NormalWeb"/>
        <w:numPr>
          <w:ilvl w:val="0"/>
          <w:numId w:val="47"/>
        </w:numPr>
        <w:tabs>
          <w:tab w:val="left" w:pos="2454"/>
        </w:tabs>
        <w:spacing w:before="0" w:beforeAutospacing="0" w:after="160" w:afterAutospacing="0"/>
        <w:ind w:left="714" w:hanging="357"/>
        <w:rPr>
          <w:rFonts w:asciiTheme="minorHAnsi" w:hAnsiTheme="minorHAnsi" w:cstheme="minorHAnsi"/>
          <w:color w:val="000000"/>
          <w:sz w:val="22"/>
          <w:szCs w:val="22"/>
        </w:rPr>
      </w:pPr>
      <w:r w:rsidRPr="006A74F8">
        <w:rPr>
          <w:rFonts w:asciiTheme="minorHAnsi" w:hAnsiTheme="minorHAnsi" w:cstheme="minorHAnsi"/>
          <w:i/>
          <w:color w:val="000000"/>
          <w:sz w:val="22"/>
          <w:szCs w:val="22"/>
        </w:rPr>
        <w:t>National Measurement Guidelines 2016</w:t>
      </w:r>
    </w:p>
    <w:p w:rsidR="00146F04" w:rsidRPr="006A74F8" w:rsidRDefault="00146F04" w:rsidP="00146F04">
      <w:pPr>
        <w:pStyle w:val="NormalWeb"/>
        <w:tabs>
          <w:tab w:val="left" w:pos="2454"/>
        </w:tabs>
        <w:spacing w:before="0" w:beforeAutospacing="0" w:after="120" w:afterAutospacing="0"/>
        <w:rPr>
          <w:rFonts w:asciiTheme="minorHAnsi" w:hAnsiTheme="minorHAnsi" w:cstheme="minorHAnsi"/>
          <w:color w:val="000000"/>
          <w:sz w:val="22"/>
          <w:szCs w:val="22"/>
        </w:rPr>
      </w:pPr>
      <w:r w:rsidRPr="006A74F8">
        <w:rPr>
          <w:rFonts w:asciiTheme="minorHAnsi" w:hAnsiTheme="minorHAnsi" w:cstheme="minorHAnsi"/>
          <w:color w:val="000000"/>
          <w:sz w:val="22"/>
          <w:szCs w:val="22"/>
        </w:rPr>
        <w:lastRenderedPageBreak/>
        <w:t>Technical guidance material will be drafted to help assist industry operate and comply in a principles-based environment.</w:t>
      </w:r>
      <w:r w:rsidRPr="006A74F8">
        <w:t xml:space="preserve"> </w:t>
      </w:r>
      <w:r w:rsidR="00973F24" w:rsidRPr="006A74F8">
        <w:rPr>
          <w:rFonts w:asciiTheme="minorHAnsi" w:hAnsiTheme="minorHAnsi" w:cstheme="minorHAnsi"/>
          <w:color w:val="000000"/>
          <w:sz w:val="22"/>
          <w:szCs w:val="22"/>
        </w:rPr>
        <w:t>Stakeholder</w:t>
      </w:r>
      <w:r w:rsidR="00973F24" w:rsidRPr="006A74F8" w:rsidDel="00A00142">
        <w:rPr>
          <w:rFonts w:asciiTheme="minorHAnsi" w:hAnsiTheme="minorHAnsi" w:cstheme="minorHAnsi"/>
          <w:color w:val="000000"/>
          <w:sz w:val="22"/>
          <w:szCs w:val="22"/>
        </w:rPr>
        <w:t xml:space="preserve"> </w:t>
      </w:r>
      <w:r w:rsidR="00A00142" w:rsidRPr="006A74F8">
        <w:rPr>
          <w:rFonts w:asciiTheme="minorHAnsi" w:hAnsiTheme="minorHAnsi" w:cstheme="minorHAnsi"/>
          <w:color w:val="000000"/>
          <w:sz w:val="22"/>
          <w:szCs w:val="22"/>
        </w:rPr>
        <w:t>feedback will be sought on the draft guidance material and on specific issues which arise during the drafting process.</w:t>
      </w:r>
      <w:r w:rsidR="00973F24" w:rsidRPr="006A74F8">
        <w:rPr>
          <w:rFonts w:asciiTheme="minorHAnsi" w:hAnsiTheme="minorHAnsi" w:cstheme="minorHAnsi"/>
          <w:color w:val="000000"/>
          <w:sz w:val="22"/>
          <w:szCs w:val="22"/>
        </w:rPr>
        <w:t xml:space="preserve"> </w:t>
      </w:r>
    </w:p>
    <w:p w:rsidR="007C6751" w:rsidRPr="006A74F8" w:rsidRDefault="00A00142" w:rsidP="00146F04">
      <w:pPr>
        <w:pStyle w:val="NormalWeb"/>
        <w:tabs>
          <w:tab w:val="left" w:pos="2454"/>
        </w:tabs>
        <w:spacing w:before="0" w:beforeAutospacing="0" w:after="120" w:afterAutospacing="0"/>
        <w:rPr>
          <w:rFonts w:asciiTheme="minorHAnsi" w:hAnsiTheme="minorHAnsi" w:cstheme="minorHAnsi"/>
          <w:color w:val="000000"/>
          <w:sz w:val="22"/>
          <w:szCs w:val="22"/>
        </w:rPr>
      </w:pPr>
      <w:r w:rsidRPr="006A74F8">
        <w:rPr>
          <w:rFonts w:asciiTheme="minorHAnsi" w:hAnsiTheme="minorHAnsi" w:cstheme="minorHAnsi"/>
          <w:color w:val="000000"/>
          <w:sz w:val="22"/>
          <w:szCs w:val="22"/>
        </w:rPr>
        <w:t xml:space="preserve">There are a </w:t>
      </w:r>
      <w:r w:rsidR="007C6751" w:rsidRPr="006A74F8">
        <w:rPr>
          <w:rFonts w:asciiTheme="minorHAnsi" w:hAnsiTheme="minorHAnsi" w:cstheme="minorHAnsi"/>
          <w:color w:val="000000"/>
          <w:sz w:val="22"/>
          <w:szCs w:val="22"/>
        </w:rPr>
        <w:t xml:space="preserve">number of </w:t>
      </w:r>
      <w:r w:rsidRPr="006A74F8">
        <w:rPr>
          <w:rFonts w:asciiTheme="minorHAnsi" w:hAnsiTheme="minorHAnsi" w:cstheme="minorHAnsi"/>
          <w:color w:val="000000"/>
          <w:sz w:val="22"/>
          <w:szCs w:val="22"/>
        </w:rPr>
        <w:t xml:space="preserve">references in </w:t>
      </w:r>
      <w:r w:rsidR="007C6751" w:rsidRPr="006A74F8">
        <w:rPr>
          <w:rFonts w:asciiTheme="minorHAnsi" w:hAnsiTheme="minorHAnsi" w:cstheme="minorHAnsi"/>
          <w:color w:val="000000"/>
          <w:sz w:val="22"/>
          <w:szCs w:val="22"/>
        </w:rPr>
        <w:t>Commonwealth</w:t>
      </w:r>
      <w:r w:rsidRPr="006A74F8">
        <w:rPr>
          <w:rFonts w:asciiTheme="minorHAnsi" w:hAnsiTheme="minorHAnsi" w:cstheme="minorHAnsi"/>
          <w:color w:val="000000"/>
          <w:sz w:val="22"/>
          <w:szCs w:val="22"/>
        </w:rPr>
        <w:t>,</w:t>
      </w:r>
      <w:r w:rsidR="007C6751" w:rsidRPr="006A74F8">
        <w:rPr>
          <w:rFonts w:asciiTheme="minorHAnsi" w:hAnsiTheme="minorHAnsi" w:cstheme="minorHAnsi"/>
          <w:color w:val="000000"/>
          <w:sz w:val="22"/>
          <w:szCs w:val="22"/>
        </w:rPr>
        <w:t xml:space="preserve"> state and territory legislation </w:t>
      </w:r>
      <w:r w:rsidRPr="006A74F8">
        <w:rPr>
          <w:rFonts w:asciiTheme="minorHAnsi" w:hAnsiTheme="minorHAnsi" w:cstheme="minorHAnsi"/>
          <w:color w:val="000000"/>
          <w:sz w:val="22"/>
          <w:szCs w:val="22"/>
        </w:rPr>
        <w:t xml:space="preserve">to </w:t>
      </w:r>
      <w:r w:rsidR="007C6751" w:rsidRPr="006A74F8">
        <w:rPr>
          <w:rFonts w:asciiTheme="minorHAnsi" w:hAnsiTheme="minorHAnsi" w:cstheme="minorHAnsi"/>
          <w:color w:val="000000"/>
          <w:sz w:val="22"/>
          <w:szCs w:val="22"/>
        </w:rPr>
        <w:t xml:space="preserve">the </w:t>
      </w:r>
      <w:r w:rsidR="00EC73EB" w:rsidRPr="006A74F8">
        <w:rPr>
          <w:rFonts w:asciiTheme="minorHAnsi" w:hAnsiTheme="minorHAnsi" w:cstheme="minorHAnsi"/>
          <w:color w:val="000000"/>
          <w:sz w:val="22"/>
          <w:szCs w:val="22"/>
        </w:rPr>
        <w:t>current measurement legislation</w:t>
      </w:r>
      <w:r w:rsidR="007C6751" w:rsidRPr="006A74F8">
        <w:rPr>
          <w:rFonts w:asciiTheme="minorHAnsi" w:hAnsiTheme="minorHAnsi" w:cstheme="minorHAnsi"/>
          <w:color w:val="000000"/>
          <w:sz w:val="22"/>
          <w:szCs w:val="22"/>
        </w:rPr>
        <w:t>.</w:t>
      </w:r>
      <w:r w:rsidR="00EC73EB" w:rsidRPr="006A74F8">
        <w:rPr>
          <w:rFonts w:asciiTheme="minorHAnsi" w:hAnsiTheme="minorHAnsi" w:cstheme="minorHAnsi"/>
          <w:color w:val="000000"/>
          <w:sz w:val="22"/>
          <w:szCs w:val="22"/>
        </w:rPr>
        <w:t xml:space="preserve"> With the </w:t>
      </w:r>
      <w:r w:rsidR="007C6751" w:rsidRPr="006A74F8">
        <w:rPr>
          <w:rFonts w:asciiTheme="minorHAnsi" w:hAnsiTheme="minorHAnsi" w:cstheme="minorHAnsi"/>
          <w:color w:val="000000"/>
          <w:sz w:val="22"/>
          <w:szCs w:val="22"/>
        </w:rPr>
        <w:t>Act and regulations</w:t>
      </w:r>
      <w:r w:rsidR="00EC73EB" w:rsidRPr="006A74F8">
        <w:rPr>
          <w:rFonts w:asciiTheme="minorHAnsi" w:hAnsiTheme="minorHAnsi" w:cstheme="minorHAnsi"/>
          <w:color w:val="000000"/>
          <w:sz w:val="22"/>
          <w:szCs w:val="22"/>
        </w:rPr>
        <w:t xml:space="preserve"> being repealed and remade these references will need to be reviewed and amended</w:t>
      </w:r>
      <w:r w:rsidR="007C6751" w:rsidRPr="006A74F8">
        <w:rPr>
          <w:rFonts w:asciiTheme="minorHAnsi" w:hAnsiTheme="minorHAnsi" w:cstheme="minorHAnsi"/>
          <w:color w:val="000000"/>
          <w:sz w:val="22"/>
          <w:szCs w:val="22"/>
        </w:rPr>
        <w:t xml:space="preserve">. </w:t>
      </w:r>
      <w:r w:rsidR="003370D5" w:rsidRPr="006A74F8">
        <w:rPr>
          <w:rFonts w:asciiTheme="minorHAnsi" w:hAnsiTheme="minorHAnsi" w:cstheme="minorHAnsi"/>
          <w:color w:val="000000"/>
          <w:sz w:val="22"/>
          <w:szCs w:val="22"/>
        </w:rPr>
        <w:t xml:space="preserve">Communication strategies will include </w:t>
      </w:r>
      <w:r w:rsidR="00BE1FDD">
        <w:rPr>
          <w:rFonts w:asciiTheme="minorHAnsi" w:hAnsiTheme="minorHAnsi" w:cstheme="minorHAnsi"/>
          <w:color w:val="000000"/>
          <w:sz w:val="22"/>
          <w:szCs w:val="22"/>
        </w:rPr>
        <w:t>engaging</w:t>
      </w:r>
      <w:r w:rsidR="003370D5" w:rsidRPr="006A74F8">
        <w:rPr>
          <w:rFonts w:asciiTheme="minorHAnsi" w:hAnsiTheme="minorHAnsi" w:cstheme="minorHAnsi"/>
          <w:color w:val="000000"/>
          <w:sz w:val="22"/>
          <w:szCs w:val="22"/>
        </w:rPr>
        <w:t xml:space="preserve"> </w:t>
      </w:r>
      <w:r w:rsidR="00BE1FDD">
        <w:rPr>
          <w:rFonts w:asciiTheme="minorHAnsi" w:hAnsiTheme="minorHAnsi" w:cstheme="minorHAnsi"/>
          <w:color w:val="000000"/>
          <w:sz w:val="22"/>
          <w:szCs w:val="22"/>
        </w:rPr>
        <w:t xml:space="preserve">with </w:t>
      </w:r>
      <w:r w:rsidR="003370D5" w:rsidRPr="006A74F8">
        <w:rPr>
          <w:rFonts w:asciiTheme="minorHAnsi" w:hAnsiTheme="minorHAnsi" w:cstheme="minorHAnsi"/>
          <w:color w:val="000000"/>
          <w:sz w:val="22"/>
          <w:szCs w:val="22"/>
        </w:rPr>
        <w:t xml:space="preserve">those departments and agencies who have responsibility for legislation that currently makes reference to existing measurement legislation, as well as broad communication </w:t>
      </w:r>
      <w:r w:rsidR="006A7726" w:rsidRPr="006A74F8">
        <w:rPr>
          <w:rFonts w:asciiTheme="minorHAnsi" w:hAnsiTheme="minorHAnsi" w:cstheme="minorHAnsi"/>
          <w:color w:val="000000"/>
          <w:sz w:val="22"/>
          <w:szCs w:val="22"/>
        </w:rPr>
        <w:t>advising of</w:t>
      </w:r>
      <w:r w:rsidR="003370D5" w:rsidRPr="006A74F8">
        <w:rPr>
          <w:rFonts w:asciiTheme="minorHAnsi" w:hAnsiTheme="minorHAnsi" w:cstheme="minorHAnsi"/>
          <w:color w:val="000000"/>
          <w:sz w:val="22"/>
          <w:szCs w:val="22"/>
        </w:rPr>
        <w:t xml:space="preserve"> </w:t>
      </w:r>
      <w:r w:rsidR="006A7726" w:rsidRPr="006A74F8">
        <w:rPr>
          <w:rFonts w:asciiTheme="minorHAnsi" w:hAnsiTheme="minorHAnsi" w:cstheme="minorHAnsi"/>
          <w:color w:val="000000"/>
          <w:sz w:val="22"/>
          <w:szCs w:val="22"/>
        </w:rPr>
        <w:t>the introduction of new laws.</w:t>
      </w:r>
    </w:p>
    <w:p w:rsidR="00601F62" w:rsidRPr="006A74F8" w:rsidRDefault="00FE03A3" w:rsidP="00FA3725">
      <w:pPr>
        <w:pStyle w:val="Heading3"/>
      </w:pPr>
      <w:r w:rsidRPr="006A74F8">
        <w:t>Information and education campaign</w:t>
      </w:r>
    </w:p>
    <w:p w:rsidR="000E0C10" w:rsidRPr="006A74F8" w:rsidRDefault="00D12AC0" w:rsidP="00D12AC0">
      <w:pPr>
        <w:spacing w:after="120"/>
      </w:pPr>
      <w:r w:rsidRPr="006A74F8">
        <w:t>An</w:t>
      </w:r>
      <w:r w:rsidR="00D3616D" w:rsidRPr="006A74F8">
        <w:t xml:space="preserve"> </w:t>
      </w:r>
      <w:r w:rsidR="00E5333F" w:rsidRPr="006A74F8">
        <w:t xml:space="preserve">information and education campaign </w:t>
      </w:r>
      <w:r w:rsidR="00BE6596" w:rsidRPr="006A74F8">
        <w:t>will help</w:t>
      </w:r>
      <w:r w:rsidR="00E5333F" w:rsidRPr="006A74F8">
        <w:t xml:space="preserve"> communicate the changes to Australia’s measurement framework to all stakeholders</w:t>
      </w:r>
      <w:r w:rsidR="00065745" w:rsidRPr="006A74F8">
        <w:t>. Through this campaign NMI</w:t>
      </w:r>
      <w:r w:rsidR="00D3616D" w:rsidRPr="006A74F8">
        <w:t xml:space="preserve"> will help</w:t>
      </w:r>
      <w:r w:rsidR="000E0C10" w:rsidRPr="006A74F8">
        <w:t xml:space="preserve"> </w:t>
      </w:r>
      <w:r w:rsidR="00D3616D" w:rsidRPr="006A74F8">
        <w:t xml:space="preserve">impacted stakeholders </w:t>
      </w:r>
      <w:r w:rsidR="000E0C10" w:rsidRPr="006A74F8">
        <w:t xml:space="preserve">understand how the new framework applies to their circumstances and allow them to implement measures to meet their obligations </w:t>
      </w:r>
      <w:r w:rsidR="000E0C10" w:rsidRPr="00BE1FDD">
        <w:t xml:space="preserve">before the new rules take effect. </w:t>
      </w:r>
      <w:r w:rsidR="00BE1FDD" w:rsidRPr="00BE1FDD">
        <w:t>NMI will provide an understanding of what the changes means for particular stakeholder groups, what changes may be needed to their business processes, and what opportunities are provided in the new framework.</w:t>
      </w:r>
    </w:p>
    <w:p w:rsidR="006F359D" w:rsidRPr="006A74F8" w:rsidRDefault="006F359D" w:rsidP="00D12AC0">
      <w:pPr>
        <w:spacing w:after="120"/>
      </w:pPr>
      <w:r w:rsidRPr="006A74F8">
        <w:t xml:space="preserve">The information </w:t>
      </w:r>
      <w:r w:rsidR="00116608" w:rsidRPr="006A74F8">
        <w:t xml:space="preserve">and education </w:t>
      </w:r>
      <w:r w:rsidRPr="006A74F8">
        <w:t>campa</w:t>
      </w:r>
      <w:r w:rsidR="008619FA" w:rsidRPr="006A74F8">
        <w:t>ign will be delivered using 5</w:t>
      </w:r>
      <w:r w:rsidRPr="006A74F8">
        <w:t xml:space="preserve"> key methods including:</w:t>
      </w:r>
    </w:p>
    <w:p w:rsidR="006F359D" w:rsidRPr="006A74F8" w:rsidRDefault="006F359D" w:rsidP="00D56E00">
      <w:pPr>
        <w:pStyle w:val="ListParagraph"/>
        <w:numPr>
          <w:ilvl w:val="0"/>
          <w:numId w:val="280"/>
        </w:numPr>
      </w:pPr>
      <w:r w:rsidRPr="006A74F8">
        <w:t xml:space="preserve">The production and distribution of </w:t>
      </w:r>
      <w:r w:rsidRPr="006A74F8">
        <w:rPr>
          <w:b/>
        </w:rPr>
        <w:t>guidance material</w:t>
      </w:r>
    </w:p>
    <w:p w:rsidR="00D56E00" w:rsidRPr="006A74F8" w:rsidRDefault="00D56E00" w:rsidP="00D56E00">
      <w:pPr>
        <w:pStyle w:val="ListParagraph"/>
        <w:numPr>
          <w:ilvl w:val="0"/>
          <w:numId w:val="280"/>
        </w:numPr>
      </w:pPr>
      <w:r w:rsidRPr="006A74F8">
        <w:rPr>
          <w:b/>
        </w:rPr>
        <w:t>Digital outreach</w:t>
      </w:r>
      <w:r w:rsidRPr="006A74F8">
        <w:t xml:space="preserve"> through a range of platforms at key phases of the implementation</w:t>
      </w:r>
    </w:p>
    <w:p w:rsidR="006F359D" w:rsidRPr="006A74F8" w:rsidRDefault="00D56E00" w:rsidP="00D56E00">
      <w:pPr>
        <w:pStyle w:val="ListParagraph"/>
        <w:numPr>
          <w:ilvl w:val="0"/>
          <w:numId w:val="280"/>
        </w:numPr>
      </w:pPr>
      <w:r w:rsidRPr="006A74F8">
        <w:t>Stakeholder outreach via</w:t>
      </w:r>
      <w:r w:rsidRPr="006A74F8">
        <w:rPr>
          <w:b/>
        </w:rPr>
        <w:t xml:space="preserve"> targeted consultation </w:t>
      </w:r>
      <w:r w:rsidRPr="006A74F8">
        <w:t>throughout each phase</w:t>
      </w:r>
    </w:p>
    <w:p w:rsidR="006F359D" w:rsidRPr="006A74F8" w:rsidRDefault="00D56E00" w:rsidP="00D56E00">
      <w:pPr>
        <w:pStyle w:val="ListParagraph"/>
        <w:numPr>
          <w:ilvl w:val="0"/>
          <w:numId w:val="280"/>
        </w:numPr>
      </w:pPr>
      <w:r w:rsidRPr="006A74F8">
        <w:rPr>
          <w:b/>
        </w:rPr>
        <w:t xml:space="preserve">On the ground outreach </w:t>
      </w:r>
      <w:r w:rsidRPr="006A74F8">
        <w:t>utilising NMI’s trade measurement inspectors</w:t>
      </w:r>
    </w:p>
    <w:p w:rsidR="00354A5C" w:rsidRPr="006A74F8" w:rsidRDefault="00D56E00" w:rsidP="00D56E00">
      <w:pPr>
        <w:pStyle w:val="ListParagraph"/>
        <w:numPr>
          <w:ilvl w:val="0"/>
          <w:numId w:val="280"/>
        </w:numPr>
      </w:pPr>
      <w:r w:rsidRPr="006A74F8">
        <w:t xml:space="preserve">Tracking of known and identified issues through an accessible </w:t>
      </w:r>
      <w:r w:rsidRPr="006A74F8">
        <w:rPr>
          <w:b/>
        </w:rPr>
        <w:t>online policy register</w:t>
      </w:r>
    </w:p>
    <w:p w:rsidR="00354A5C" w:rsidRPr="006A74F8" w:rsidRDefault="00354A5C" w:rsidP="00D56E00">
      <w:pPr>
        <w:pStyle w:val="ListParagraph"/>
        <w:ind w:firstLine="0"/>
      </w:pPr>
    </w:p>
    <w:p w:rsidR="00F815E7" w:rsidRPr="006A74F8" w:rsidRDefault="00AE7F11" w:rsidP="00D12AC0">
      <w:pPr>
        <w:spacing w:after="120"/>
        <w:rPr>
          <w:b/>
          <w:i/>
        </w:rPr>
      </w:pPr>
      <w:r w:rsidRPr="006A74F8">
        <w:rPr>
          <w:b/>
          <w:i/>
        </w:rPr>
        <w:t xml:space="preserve">Guidance </w:t>
      </w:r>
      <w:r w:rsidR="006F359D" w:rsidRPr="006A74F8">
        <w:rPr>
          <w:b/>
          <w:i/>
        </w:rPr>
        <w:t>m</w:t>
      </w:r>
      <w:r w:rsidRPr="006A74F8">
        <w:rPr>
          <w:b/>
          <w:i/>
        </w:rPr>
        <w:t>aterial</w:t>
      </w:r>
    </w:p>
    <w:p w:rsidR="00FD559E" w:rsidRPr="00E12BC0" w:rsidRDefault="00617575" w:rsidP="00B66E28">
      <w:r w:rsidRPr="006A74F8">
        <w:t xml:space="preserve">Responses to the Consultation RIS indicated </w:t>
      </w:r>
      <w:r w:rsidR="00CF2226" w:rsidRPr="006A74F8">
        <w:t xml:space="preserve">a strong </w:t>
      </w:r>
      <w:r w:rsidRPr="006A74F8">
        <w:t xml:space="preserve">demand for guidance material </w:t>
      </w:r>
      <w:r w:rsidR="00CF2226" w:rsidRPr="006A74F8">
        <w:t>to help stakeholders to understand the new legislation</w:t>
      </w:r>
      <w:r w:rsidRPr="006A74F8">
        <w:t>, parti</w:t>
      </w:r>
      <w:r w:rsidR="00D12AC0" w:rsidRPr="006A74F8">
        <w:t>cularly where a more principles-</w:t>
      </w:r>
      <w:r w:rsidRPr="006A74F8">
        <w:t>based framework is adopted</w:t>
      </w:r>
      <w:r w:rsidR="00A31AC7" w:rsidRPr="006A74F8">
        <w:t>.</w:t>
      </w:r>
      <w:r w:rsidRPr="006A74F8">
        <w:t xml:space="preserve"> </w:t>
      </w:r>
      <w:r w:rsidR="0027043A" w:rsidRPr="006A74F8">
        <w:t xml:space="preserve">Phase </w:t>
      </w:r>
      <w:r w:rsidR="000654B5" w:rsidRPr="006A74F8">
        <w:t>one</w:t>
      </w:r>
      <w:r w:rsidR="00C7317F" w:rsidRPr="006A74F8">
        <w:t xml:space="preserve"> will include the development of </w:t>
      </w:r>
      <w:r w:rsidR="00A31AC7" w:rsidRPr="006A74F8">
        <w:t xml:space="preserve">general and </w:t>
      </w:r>
      <w:r w:rsidR="00C7317F" w:rsidRPr="006A74F8">
        <w:t>tailored</w:t>
      </w:r>
      <w:r w:rsidR="00C52FF4" w:rsidRPr="006A74F8">
        <w:t xml:space="preserve"> guidance</w:t>
      </w:r>
      <w:r w:rsidR="00C7317F" w:rsidRPr="006A74F8">
        <w:t xml:space="preserve"> materials across</w:t>
      </w:r>
      <w:r w:rsidR="00C7317F" w:rsidRPr="006A74F8" w:rsidDel="00A31AC7">
        <w:t xml:space="preserve"> </w:t>
      </w:r>
      <w:r w:rsidR="00A31AC7" w:rsidRPr="006A74F8">
        <w:t xml:space="preserve">the majority of </w:t>
      </w:r>
      <w:r w:rsidR="00C7317F" w:rsidRPr="006A74F8">
        <w:t xml:space="preserve">impacted stakeholder groups. This guidance material will </w:t>
      </w:r>
      <w:r w:rsidR="00A31AC7" w:rsidRPr="006A74F8">
        <w:t>be developed in consultation with stakeholders and</w:t>
      </w:r>
      <w:r w:rsidR="00C7317F" w:rsidRPr="006A74F8">
        <w:t xml:space="preserve"> help inform </w:t>
      </w:r>
      <w:r w:rsidR="00A31AC7" w:rsidRPr="006A74F8">
        <w:t xml:space="preserve">them </w:t>
      </w:r>
      <w:r w:rsidR="00F87B4F" w:rsidRPr="006A74F8">
        <w:t>of</w:t>
      </w:r>
      <w:r w:rsidR="00C7317F" w:rsidRPr="006A74F8">
        <w:t xml:space="preserve"> the</w:t>
      </w:r>
      <w:r w:rsidR="00F87B4F" w:rsidRPr="006A74F8">
        <w:t xml:space="preserve"> key</w:t>
      </w:r>
      <w:r w:rsidR="00C7317F" w:rsidRPr="006A74F8">
        <w:t xml:space="preserve"> changes under the new legislation</w:t>
      </w:r>
      <w:r w:rsidR="00A31AC7" w:rsidRPr="006A74F8">
        <w:t xml:space="preserve">. It </w:t>
      </w:r>
      <w:r w:rsidR="00F87B4F" w:rsidRPr="006A74F8">
        <w:t>will</w:t>
      </w:r>
      <w:r w:rsidR="00A31AC7" w:rsidRPr="006A74F8">
        <w:t xml:space="preserve"> also</w:t>
      </w:r>
      <w:r w:rsidR="00F87B4F" w:rsidRPr="006A74F8">
        <w:t xml:space="preserve"> a</w:t>
      </w:r>
      <w:r w:rsidR="00C7317F" w:rsidRPr="006A74F8">
        <w:t xml:space="preserve">ct as a refresher on pre-existing responsibilities that are carried over or that have not undergone significant reform. </w:t>
      </w:r>
      <w:r w:rsidR="00A31AC7" w:rsidRPr="006A74F8">
        <w:t xml:space="preserve">As much of the </w:t>
      </w:r>
      <w:r w:rsidR="00C7317F" w:rsidRPr="006A74F8">
        <w:t xml:space="preserve">legislation </w:t>
      </w:r>
      <w:r w:rsidR="00A31AC7" w:rsidRPr="006A74F8">
        <w:t xml:space="preserve">will </w:t>
      </w:r>
      <w:r w:rsidR="00D12AC0" w:rsidRPr="006A74F8">
        <w:t>adopted a principles-</w:t>
      </w:r>
      <w:r w:rsidR="00C7317F" w:rsidRPr="006A74F8">
        <w:t>based approach</w:t>
      </w:r>
      <w:r w:rsidR="00A31AC7" w:rsidRPr="006A74F8">
        <w:t>,</w:t>
      </w:r>
      <w:r w:rsidR="00C7317F" w:rsidRPr="006A74F8">
        <w:t xml:space="preserve"> this guidance material will also include information on how stakeholders can comply with the new legislation</w:t>
      </w:r>
      <w:r w:rsidR="003E3FF3" w:rsidRPr="006A74F8">
        <w:t xml:space="preserve">, as well as relevant contact information for NMI </w:t>
      </w:r>
      <w:r w:rsidR="00252DDD" w:rsidRPr="006A74F8">
        <w:t xml:space="preserve">so stakeholders can </w:t>
      </w:r>
      <w:r w:rsidR="00252DDD" w:rsidRPr="00E12BC0">
        <w:t xml:space="preserve">seek </w:t>
      </w:r>
      <w:r w:rsidR="003E3FF3" w:rsidRPr="00E12BC0">
        <w:t xml:space="preserve">clarification </w:t>
      </w:r>
      <w:r w:rsidR="00252DDD" w:rsidRPr="00E12BC0">
        <w:t xml:space="preserve">as </w:t>
      </w:r>
      <w:r w:rsidR="003E3FF3" w:rsidRPr="00E12BC0">
        <w:t xml:space="preserve">required. </w:t>
      </w:r>
    </w:p>
    <w:p w:rsidR="00E12BC0" w:rsidRPr="00E12BC0" w:rsidRDefault="00E12BC0" w:rsidP="00E12BC0">
      <w:r w:rsidRPr="00E12BC0">
        <w:t>It is anticipated that guidance material will continue to be developed during the second and third phases, particularly where further clarification is needed or where further changes are implemented following future reviews, such as those for current exemptions and the sale of meat and alcohol.</w:t>
      </w:r>
    </w:p>
    <w:p w:rsidR="009933E8" w:rsidRPr="006A74F8" w:rsidRDefault="00E12BC0" w:rsidP="00E12BC0">
      <w:pPr>
        <w:rPr>
          <w:b/>
          <w:i/>
        </w:rPr>
      </w:pPr>
      <w:r w:rsidRPr="00E12BC0">
        <w:t>Guidance material will be accessible online on the department’s website and will be available in both English and non-English formats, which will be of particular importance for small to medium enterprise and some consumer stakeholders. Where appropriate, some guidance material will be accompanied by educational videos demonstrating the changes.</w:t>
      </w:r>
    </w:p>
    <w:p w:rsidR="003B65E9" w:rsidRPr="006A74F8" w:rsidRDefault="000E6048" w:rsidP="00E12BC0">
      <w:pPr>
        <w:keepNext/>
        <w:spacing w:after="120"/>
        <w:rPr>
          <w:b/>
          <w:i/>
        </w:rPr>
      </w:pPr>
      <w:r w:rsidRPr="006A74F8">
        <w:rPr>
          <w:b/>
          <w:i/>
        </w:rPr>
        <w:lastRenderedPageBreak/>
        <w:t>Digital outreach</w:t>
      </w:r>
    </w:p>
    <w:p w:rsidR="00E12BC0" w:rsidRPr="00E12BC0" w:rsidRDefault="00E12BC0" w:rsidP="00E12BC0">
      <w:r w:rsidRPr="00E12BC0">
        <w:t>The department webpages will be updated to indicate the current phase of implementation and there will be a media release to prepare stakeholders and signal to business that changes are coming. It will announce the commencement dates of the new legislation, key changes and planned approach to education, guidance material and compliance and enforcement during the development phase.</w:t>
      </w:r>
    </w:p>
    <w:p w:rsidR="00C154AF" w:rsidRPr="006A74F8" w:rsidRDefault="00991372" w:rsidP="00B66E28">
      <w:r w:rsidRPr="006A74F8">
        <w:t>U</w:t>
      </w:r>
      <w:r w:rsidR="007C1EBF" w:rsidRPr="006A74F8">
        <w:t>pdate</w:t>
      </w:r>
      <w:r w:rsidRPr="006A74F8">
        <w:t>s</w:t>
      </w:r>
      <w:r w:rsidR="007C1EBF" w:rsidRPr="006A74F8">
        <w:t xml:space="preserve"> </w:t>
      </w:r>
      <w:r w:rsidR="00800D30" w:rsidRPr="006A74F8">
        <w:t>will be provided through</w:t>
      </w:r>
      <w:r w:rsidR="007C1EBF" w:rsidRPr="006A74F8">
        <w:t xml:space="preserve"> NMI and departmental </w:t>
      </w:r>
      <w:r w:rsidR="00800D30" w:rsidRPr="006A74F8">
        <w:t>s</w:t>
      </w:r>
      <w:r w:rsidR="007C1EBF" w:rsidRPr="006A74F8">
        <w:t>ocial media</w:t>
      </w:r>
      <w:r w:rsidR="00F427DF" w:rsidRPr="006A74F8">
        <w:t>, and email</w:t>
      </w:r>
      <w:r w:rsidR="00800D30" w:rsidRPr="006A74F8">
        <w:t xml:space="preserve"> </w:t>
      </w:r>
      <w:r w:rsidR="00F427DF" w:rsidRPr="006A74F8">
        <w:t>distribution lists</w:t>
      </w:r>
      <w:r w:rsidR="007C1EBF" w:rsidRPr="006A74F8">
        <w:t xml:space="preserve"> at key stages </w:t>
      </w:r>
      <w:r w:rsidR="00207E28" w:rsidRPr="006A74F8">
        <w:t>throughout</w:t>
      </w:r>
      <w:r w:rsidR="007C1EBF" w:rsidRPr="006A74F8">
        <w:t xml:space="preserve"> the implementation </w:t>
      </w:r>
      <w:r w:rsidR="00022A5A" w:rsidRPr="006A74F8">
        <w:t>plan</w:t>
      </w:r>
      <w:r w:rsidR="00F87B4F" w:rsidRPr="006A74F8">
        <w:t>.</w:t>
      </w:r>
      <w:r w:rsidR="009933E8" w:rsidRPr="006A74F8">
        <w:t xml:space="preserve"> </w:t>
      </w:r>
      <w:r w:rsidR="00F87B4F" w:rsidRPr="006A74F8">
        <w:t>The NMI hotline will continue to be available for all stakeholders to seek further clarification and guidance on the reforms</w:t>
      </w:r>
      <w:r w:rsidR="00C154AF" w:rsidRPr="006A74F8">
        <w:t>.</w:t>
      </w:r>
    </w:p>
    <w:p w:rsidR="00F427DF" w:rsidRPr="006A74F8" w:rsidRDefault="00E12BC0" w:rsidP="00E71AE2">
      <w:pPr>
        <w:spacing w:after="120"/>
        <w:rPr>
          <w:b/>
          <w:i/>
        </w:rPr>
      </w:pPr>
      <w:r>
        <w:rPr>
          <w:b/>
          <w:i/>
        </w:rPr>
        <w:t>Targeted c</w:t>
      </w:r>
      <w:r w:rsidR="00F427DF" w:rsidRPr="006A74F8">
        <w:rPr>
          <w:b/>
          <w:i/>
        </w:rPr>
        <w:t>onsultations</w:t>
      </w:r>
    </w:p>
    <w:p w:rsidR="00F427DF" w:rsidRPr="006A74F8" w:rsidRDefault="00183C04" w:rsidP="00B66E28">
      <w:r w:rsidRPr="006A74F8">
        <w:t>NMI will engage in t</w:t>
      </w:r>
      <w:r w:rsidR="00F427DF" w:rsidRPr="006A74F8">
        <w:t>argeted consultations with key stakeholders</w:t>
      </w:r>
      <w:r w:rsidRPr="006A74F8">
        <w:t>,</w:t>
      </w:r>
      <w:r w:rsidR="00D25B96" w:rsidRPr="006A74F8">
        <w:t xml:space="preserve"> including peak industry bodies</w:t>
      </w:r>
      <w:r w:rsidR="000F7AB4" w:rsidRPr="006A74F8">
        <w:t xml:space="preserve">, </w:t>
      </w:r>
      <w:r w:rsidR="00D25B96" w:rsidRPr="006A74F8">
        <w:t>consumer groups</w:t>
      </w:r>
      <w:r w:rsidR="00BF78D4" w:rsidRPr="006A74F8">
        <w:t xml:space="preserve"> </w:t>
      </w:r>
      <w:r w:rsidR="000F7AB4" w:rsidRPr="006A74F8">
        <w:t xml:space="preserve">and larger industry stakeholders </w:t>
      </w:r>
      <w:r w:rsidR="007D4737" w:rsidRPr="006A74F8">
        <w:t>during</w:t>
      </w:r>
      <w:r w:rsidR="00BF78D4" w:rsidRPr="006A74F8">
        <w:t xml:space="preserve"> each phase, </w:t>
      </w:r>
      <w:r w:rsidRPr="006A74F8">
        <w:t>with extensive targeted consultations</w:t>
      </w:r>
      <w:r w:rsidR="00E71AE2" w:rsidRPr="006A74F8">
        <w:t xml:space="preserve"> during phase 3</w:t>
      </w:r>
      <w:r w:rsidRPr="006A74F8">
        <w:t xml:space="preserve"> to</w:t>
      </w:r>
      <w:r w:rsidR="00BF78D4" w:rsidRPr="006A74F8">
        <w:t xml:space="preserve"> evaluat</w:t>
      </w:r>
      <w:r w:rsidRPr="006A74F8">
        <w:t>e</w:t>
      </w:r>
      <w:r w:rsidR="00BF78D4" w:rsidRPr="006A74F8">
        <w:t xml:space="preserve"> the reforms and their impact</w:t>
      </w:r>
      <w:r w:rsidR="00831818" w:rsidRPr="006A74F8">
        <w:t>.</w:t>
      </w:r>
      <w:r w:rsidR="00874117" w:rsidRPr="006A74F8">
        <w:t xml:space="preserve"> </w:t>
      </w:r>
      <w:r w:rsidRPr="006A74F8">
        <w:t>A</w:t>
      </w:r>
      <w:r w:rsidR="00874117" w:rsidRPr="006A74F8">
        <w:t xml:space="preserve">dditional targeted consultation </w:t>
      </w:r>
      <w:r w:rsidRPr="006A74F8">
        <w:t xml:space="preserve">will form a </w:t>
      </w:r>
      <w:r w:rsidR="002C41FD" w:rsidRPr="006A74F8">
        <w:t>key</w:t>
      </w:r>
      <w:r w:rsidR="00874117" w:rsidRPr="006A74F8" w:rsidDel="00183C04">
        <w:t xml:space="preserve"> </w:t>
      </w:r>
      <w:r w:rsidR="00874117" w:rsidRPr="006A74F8">
        <w:t xml:space="preserve">part of </w:t>
      </w:r>
      <w:r w:rsidR="002C41FD" w:rsidRPr="006A74F8">
        <w:t xml:space="preserve">future consultation, including </w:t>
      </w:r>
      <w:r w:rsidR="00291C89" w:rsidRPr="006A74F8">
        <w:t xml:space="preserve">the review of exemptions and requirements for the sale of meat and alcohol, </w:t>
      </w:r>
      <w:r w:rsidR="002C41FD" w:rsidRPr="006A74F8">
        <w:t>some of which</w:t>
      </w:r>
      <w:r w:rsidR="00291C89" w:rsidRPr="006A74F8">
        <w:t xml:space="preserve"> are</w:t>
      </w:r>
      <w:r w:rsidR="00874117" w:rsidRPr="006A74F8">
        <w:t xml:space="preserve"> </w:t>
      </w:r>
      <w:r w:rsidR="007D4737" w:rsidRPr="006A74F8">
        <w:t xml:space="preserve">currently </w:t>
      </w:r>
      <w:r w:rsidR="003B767D" w:rsidRPr="006A74F8">
        <w:t>expected</w:t>
      </w:r>
      <w:r w:rsidR="00E71AE2" w:rsidRPr="006A74F8">
        <w:t xml:space="preserve"> to run alongside phase 2</w:t>
      </w:r>
      <w:r w:rsidR="00874117" w:rsidRPr="006A74F8">
        <w:t>.</w:t>
      </w:r>
      <w:r w:rsidR="00683000" w:rsidRPr="006A74F8">
        <w:t xml:space="preserve"> </w:t>
      </w:r>
    </w:p>
    <w:p w:rsidR="000F1593" w:rsidRPr="006A74F8" w:rsidRDefault="000F1593" w:rsidP="00B66E28">
      <w:r w:rsidRPr="006A74F8">
        <w:t>NMI will host open virtual town halls for key stakeholder groups explaining relevant changes.</w:t>
      </w:r>
      <w:r w:rsidR="002E48EB" w:rsidRPr="006A74F8">
        <w:t xml:space="preserve"> These town halls will be run during </w:t>
      </w:r>
      <w:r w:rsidR="00445F0F" w:rsidRPr="006A74F8">
        <w:t>p</w:t>
      </w:r>
      <w:r w:rsidR="002E48EB" w:rsidRPr="006A74F8">
        <w:t xml:space="preserve">hase </w:t>
      </w:r>
      <w:r w:rsidR="009A548D" w:rsidRPr="006A74F8">
        <w:t>one</w:t>
      </w:r>
      <w:r w:rsidR="002E48EB" w:rsidRPr="006A74F8">
        <w:t xml:space="preserve"> </w:t>
      </w:r>
      <w:r w:rsidR="00445F0F" w:rsidRPr="006A74F8">
        <w:t xml:space="preserve">and </w:t>
      </w:r>
      <w:r w:rsidR="002E48EB" w:rsidRPr="006A74F8">
        <w:t xml:space="preserve">will </w:t>
      </w:r>
      <w:r w:rsidR="00445F0F" w:rsidRPr="006A74F8">
        <w:t>also</w:t>
      </w:r>
      <w:r w:rsidR="002E48EB" w:rsidRPr="006A74F8">
        <w:t xml:space="preserve"> be available to access online during the implementation period. </w:t>
      </w:r>
    </w:p>
    <w:p w:rsidR="007D4737" w:rsidRPr="006A74F8" w:rsidRDefault="007D4737" w:rsidP="00B66E28">
      <w:r w:rsidRPr="006A74F8">
        <w:t>In order to effectively reach small to medium enterprises, NMI will:</w:t>
      </w:r>
    </w:p>
    <w:p w:rsidR="0002654B" w:rsidRPr="006A74F8" w:rsidRDefault="0002654B" w:rsidP="00CA0D15">
      <w:pPr>
        <w:pStyle w:val="ListParagraph"/>
        <w:numPr>
          <w:ilvl w:val="0"/>
          <w:numId w:val="270"/>
        </w:numPr>
      </w:pPr>
      <w:r w:rsidRPr="006A74F8">
        <w:t>Focus on-the-ground activities on small to medium enterprises.</w:t>
      </w:r>
    </w:p>
    <w:p w:rsidR="0002654B" w:rsidRPr="006A74F8" w:rsidRDefault="0002654B" w:rsidP="00CA0D15">
      <w:pPr>
        <w:pStyle w:val="ListParagraph"/>
        <w:numPr>
          <w:ilvl w:val="0"/>
          <w:numId w:val="270"/>
        </w:numPr>
      </w:pPr>
      <w:r w:rsidRPr="006A74F8">
        <w:t>Engage with key organisations who have a strong outreach to small business.</w:t>
      </w:r>
    </w:p>
    <w:p w:rsidR="007D4737" w:rsidRPr="006A74F8" w:rsidRDefault="0002654B" w:rsidP="00B66E28">
      <w:pPr>
        <w:pStyle w:val="ListParagraph"/>
        <w:numPr>
          <w:ilvl w:val="0"/>
          <w:numId w:val="270"/>
        </w:numPr>
      </w:pPr>
      <w:r w:rsidRPr="006A74F8">
        <w:t>Allow a long transition period to allow sufficient time to reach a wide audience.</w:t>
      </w:r>
    </w:p>
    <w:p w:rsidR="00E5333F" w:rsidRPr="006A74F8" w:rsidRDefault="00AE4970" w:rsidP="00E71AE2">
      <w:pPr>
        <w:spacing w:after="120"/>
        <w:rPr>
          <w:b/>
          <w:i/>
        </w:rPr>
      </w:pPr>
      <w:r w:rsidRPr="006A74F8">
        <w:rPr>
          <w:b/>
          <w:i/>
        </w:rPr>
        <w:t>On the ground outreach</w:t>
      </w:r>
    </w:p>
    <w:p w:rsidR="00A70D29" w:rsidRPr="006A74F8" w:rsidRDefault="005F698F" w:rsidP="00B66E28">
      <w:pPr>
        <w:rPr>
          <w:rFonts w:ascii="Calibri" w:eastAsia="Calibri" w:hAnsi="Calibri" w:cs="Times New Roman"/>
        </w:rPr>
      </w:pPr>
      <w:r w:rsidRPr="006A74F8">
        <w:t>NMI</w:t>
      </w:r>
      <w:r w:rsidR="006175A3" w:rsidRPr="006A74F8">
        <w:t>’</w:t>
      </w:r>
      <w:r w:rsidRPr="006A74F8">
        <w:t xml:space="preserve">s </w:t>
      </w:r>
      <w:r w:rsidR="007D4737" w:rsidRPr="006A74F8">
        <w:t>t</w:t>
      </w:r>
      <w:r w:rsidRPr="006A74F8">
        <w:t xml:space="preserve">rade </w:t>
      </w:r>
      <w:r w:rsidR="007D4737" w:rsidRPr="006A74F8">
        <w:t>m</w:t>
      </w:r>
      <w:r w:rsidRPr="006A74F8">
        <w:t xml:space="preserve">easurement </w:t>
      </w:r>
      <w:r w:rsidR="007B047E" w:rsidRPr="006A74F8">
        <w:t>inspector</w:t>
      </w:r>
      <w:r w:rsidR="007D4737" w:rsidRPr="006A74F8">
        <w:t>s</w:t>
      </w:r>
      <w:r w:rsidRPr="006A74F8">
        <w:t xml:space="preserve"> ha</w:t>
      </w:r>
      <w:r w:rsidR="007D4737" w:rsidRPr="006A74F8">
        <w:t>ve</w:t>
      </w:r>
      <w:r w:rsidRPr="006A74F8">
        <w:t xml:space="preserve"> a wide footprint a</w:t>
      </w:r>
      <w:r w:rsidR="00E71AE2" w:rsidRPr="006A74F8">
        <w:t>cross</w:t>
      </w:r>
      <w:r w:rsidRPr="006A74F8">
        <w:t xml:space="preserve"> Australia, including metropolitan, regional, rural and remote communities. </w:t>
      </w:r>
      <w:r w:rsidR="00EE3425" w:rsidRPr="006A74F8">
        <w:t xml:space="preserve">They are </w:t>
      </w:r>
      <w:r w:rsidR="00EE3425" w:rsidRPr="006A74F8">
        <w:rPr>
          <w:rStyle w:val="normaltextrun"/>
        </w:rPr>
        <w:t>an important frontline resource for engaging with business</w:t>
      </w:r>
      <w:r w:rsidR="00B13A21" w:rsidRPr="006A74F8">
        <w:rPr>
          <w:rStyle w:val="normaltextrun"/>
        </w:rPr>
        <w:t>.</w:t>
      </w:r>
      <w:r w:rsidR="00EE3425" w:rsidRPr="006A74F8">
        <w:t xml:space="preserve"> </w:t>
      </w:r>
      <w:r w:rsidR="00AE4970" w:rsidRPr="006A74F8">
        <w:t xml:space="preserve">During </w:t>
      </w:r>
      <w:r w:rsidR="006175A3" w:rsidRPr="006A74F8">
        <w:t xml:space="preserve">the </w:t>
      </w:r>
      <w:r w:rsidR="00B331F0" w:rsidRPr="006A74F8">
        <w:t>development</w:t>
      </w:r>
      <w:r w:rsidR="004859A7" w:rsidRPr="006A74F8">
        <w:t xml:space="preserve"> and transition phases</w:t>
      </w:r>
      <w:r w:rsidRPr="006A74F8">
        <w:t xml:space="preserve">, and </w:t>
      </w:r>
      <w:r w:rsidR="003A1CAC" w:rsidRPr="006A74F8">
        <w:t xml:space="preserve">subject </w:t>
      </w:r>
      <w:r w:rsidR="00E71AE2" w:rsidRPr="006A74F8">
        <w:t xml:space="preserve">to </w:t>
      </w:r>
      <w:r w:rsidR="003A1CAC" w:rsidRPr="006A74F8">
        <w:t>COVID impacts,</w:t>
      </w:r>
      <w:r w:rsidR="00AE4970" w:rsidRPr="006A74F8">
        <w:t xml:space="preserve"> </w:t>
      </w:r>
      <w:r w:rsidR="006175A3" w:rsidRPr="006A74F8">
        <w:t>t</w:t>
      </w:r>
      <w:r w:rsidR="00AE4970" w:rsidRPr="006A74F8">
        <w:t xml:space="preserve">rade </w:t>
      </w:r>
      <w:r w:rsidR="006175A3" w:rsidRPr="006A74F8">
        <w:t>m</w:t>
      </w:r>
      <w:r w:rsidR="00AE4970" w:rsidRPr="006A74F8">
        <w:t>easurement inspectors will</w:t>
      </w:r>
      <w:r w:rsidR="00277423" w:rsidRPr="006A74F8">
        <w:t xml:space="preserve"> </w:t>
      </w:r>
      <w:r w:rsidR="00B13A21" w:rsidRPr="006A74F8">
        <w:t>undertake</w:t>
      </w:r>
      <w:r w:rsidR="003A1CAC" w:rsidRPr="006A74F8">
        <w:t xml:space="preserve"> </w:t>
      </w:r>
      <w:r w:rsidR="00FA791F" w:rsidRPr="006A74F8">
        <w:t xml:space="preserve">an </w:t>
      </w:r>
      <w:r w:rsidR="003A1CAC" w:rsidRPr="006A74F8">
        <w:t>on the ground educational campaign</w:t>
      </w:r>
      <w:r w:rsidRPr="006A74F8">
        <w:t xml:space="preserve"> across Australia</w:t>
      </w:r>
      <w:r w:rsidR="003A1CAC" w:rsidRPr="006A74F8">
        <w:t xml:space="preserve">. </w:t>
      </w:r>
      <w:r w:rsidR="0033695B" w:rsidRPr="006A74F8">
        <w:t>The primary target will be s</w:t>
      </w:r>
      <w:r w:rsidR="00E71AE2" w:rsidRPr="006A74F8">
        <w:t>mall to medium enterp</w:t>
      </w:r>
      <w:r w:rsidR="004859A7" w:rsidRPr="006A74F8">
        <w:t>rises. In addition,</w:t>
      </w:r>
      <w:r w:rsidR="0033695B" w:rsidRPr="006A74F8">
        <w:t xml:space="preserve"> </w:t>
      </w:r>
      <w:r w:rsidR="007677AC" w:rsidRPr="006A74F8">
        <w:t>NMI</w:t>
      </w:r>
      <w:r w:rsidR="007677AC" w:rsidRPr="006A74F8">
        <w:rPr>
          <w:rFonts w:ascii="Calibri" w:eastAsia="Calibri" w:hAnsi="Calibri" w:cs="Times New Roman"/>
        </w:rPr>
        <w:t xml:space="preserve"> </w:t>
      </w:r>
      <w:r w:rsidR="00A70D29" w:rsidRPr="006A74F8">
        <w:rPr>
          <w:rFonts w:ascii="Calibri" w:eastAsia="Calibri" w:hAnsi="Calibri" w:cs="Times New Roman"/>
        </w:rPr>
        <w:t>will conduct</w:t>
      </w:r>
      <w:r w:rsidR="00060E2F" w:rsidRPr="006A74F8">
        <w:rPr>
          <w:rFonts w:ascii="Calibri" w:eastAsia="Calibri" w:hAnsi="Calibri" w:cs="Times New Roman"/>
        </w:rPr>
        <w:t xml:space="preserve"> a desktop educational campaign</w:t>
      </w:r>
      <w:r w:rsidR="007677AC" w:rsidRPr="006A74F8">
        <w:rPr>
          <w:rFonts w:ascii="Calibri" w:eastAsia="Calibri" w:hAnsi="Calibri" w:cs="Times New Roman"/>
        </w:rPr>
        <w:t>,</w:t>
      </w:r>
      <w:r w:rsidR="00060E2F" w:rsidRPr="006A74F8">
        <w:rPr>
          <w:rFonts w:ascii="Calibri" w:eastAsia="Calibri" w:hAnsi="Calibri" w:cs="Times New Roman"/>
        </w:rPr>
        <w:t xml:space="preserve"> making</w:t>
      </w:r>
      <w:r w:rsidR="00A70D29" w:rsidRPr="006A74F8">
        <w:rPr>
          <w:rFonts w:ascii="Calibri" w:eastAsia="Calibri" w:hAnsi="Calibri" w:cs="Times New Roman"/>
        </w:rPr>
        <w:t xml:space="preserve"> phone </w:t>
      </w:r>
      <w:r w:rsidR="00060E2F" w:rsidRPr="006A74F8">
        <w:rPr>
          <w:rFonts w:ascii="Calibri" w:eastAsia="Calibri" w:hAnsi="Calibri" w:cs="Times New Roman"/>
        </w:rPr>
        <w:t>calls</w:t>
      </w:r>
      <w:r w:rsidR="007677AC" w:rsidRPr="006A74F8">
        <w:rPr>
          <w:rFonts w:ascii="Calibri" w:eastAsia="Calibri" w:hAnsi="Calibri" w:cs="Times New Roman"/>
        </w:rPr>
        <w:t xml:space="preserve"> and/or emailing</w:t>
      </w:r>
      <w:r w:rsidR="00A70D29" w:rsidRPr="006A74F8">
        <w:rPr>
          <w:rFonts w:ascii="Calibri" w:eastAsia="Calibri" w:hAnsi="Calibri" w:cs="Times New Roman"/>
        </w:rPr>
        <w:t xml:space="preserve"> a wide range of </w:t>
      </w:r>
      <w:r w:rsidR="007677AC" w:rsidRPr="006A74F8">
        <w:rPr>
          <w:rFonts w:ascii="Calibri" w:eastAsia="Calibri" w:hAnsi="Calibri" w:cs="Times New Roman"/>
        </w:rPr>
        <w:t>businesses</w:t>
      </w:r>
      <w:r w:rsidR="00A70D29" w:rsidRPr="006A74F8">
        <w:rPr>
          <w:rFonts w:ascii="Calibri" w:eastAsia="Calibri" w:hAnsi="Calibri" w:cs="Times New Roman"/>
        </w:rPr>
        <w:t xml:space="preserve"> </w:t>
      </w:r>
      <w:r w:rsidR="007677AC" w:rsidRPr="006A74F8">
        <w:rPr>
          <w:rFonts w:ascii="Calibri" w:eastAsia="Calibri" w:hAnsi="Calibri" w:cs="Times New Roman"/>
        </w:rPr>
        <w:t xml:space="preserve">to </w:t>
      </w:r>
      <w:r w:rsidR="00A70D29" w:rsidRPr="006A74F8">
        <w:rPr>
          <w:rFonts w:ascii="Calibri" w:eastAsia="Calibri" w:hAnsi="Calibri" w:cs="Times New Roman"/>
        </w:rPr>
        <w:t xml:space="preserve">inform them of the updated legislation and </w:t>
      </w:r>
      <w:r w:rsidR="007677AC" w:rsidRPr="006A74F8">
        <w:rPr>
          <w:rFonts w:ascii="Calibri" w:eastAsia="Calibri" w:hAnsi="Calibri" w:cs="Times New Roman"/>
        </w:rPr>
        <w:t>answer any questions they might have</w:t>
      </w:r>
      <w:r w:rsidR="00A70D29" w:rsidRPr="006A74F8">
        <w:rPr>
          <w:rFonts w:ascii="Calibri" w:eastAsia="Calibri" w:hAnsi="Calibri" w:cs="Times New Roman"/>
        </w:rPr>
        <w:t xml:space="preserve">. </w:t>
      </w:r>
    </w:p>
    <w:p w:rsidR="007677AC" w:rsidRPr="006A74F8" w:rsidRDefault="007677AC" w:rsidP="007677AC">
      <w:r w:rsidRPr="006A74F8">
        <w:t>Through these channels NMI will provide information and education to a range of businesses, helping them to understand new and existing requirements and how to comply, supplying either physical copies of appropriate guidance materials or informat</w:t>
      </w:r>
      <w:r w:rsidR="004859A7" w:rsidRPr="006A74F8">
        <w:t>ion on how to access them. These</w:t>
      </w:r>
      <w:r w:rsidRPr="006A74F8">
        <w:t xml:space="preserve"> activities will</w:t>
      </w:r>
      <w:r w:rsidRPr="006A74F8" w:rsidDel="00B13A21">
        <w:t xml:space="preserve"> </w:t>
      </w:r>
      <w:r w:rsidR="00B13A21" w:rsidRPr="006A74F8">
        <w:t xml:space="preserve">inform </w:t>
      </w:r>
      <w:r w:rsidRPr="006A74F8">
        <w:t xml:space="preserve">businesses not </w:t>
      </w:r>
      <w:r w:rsidR="00B13A21" w:rsidRPr="006A74F8">
        <w:t>covered by</w:t>
      </w:r>
      <w:r w:rsidRPr="006A74F8">
        <w:t xml:space="preserve"> the current measurement framework for shortfall but captured under the expanded false or misleading measurement provisions of the changes impacting them.</w:t>
      </w:r>
    </w:p>
    <w:p w:rsidR="006F00B9" w:rsidRPr="006A74F8" w:rsidRDefault="00E12BC0" w:rsidP="00E71AE2">
      <w:pPr>
        <w:spacing w:after="120"/>
        <w:rPr>
          <w:b/>
          <w:i/>
        </w:rPr>
      </w:pPr>
      <w:r>
        <w:rPr>
          <w:b/>
          <w:i/>
        </w:rPr>
        <w:t>Online p</w:t>
      </w:r>
      <w:r w:rsidR="006F00B9" w:rsidRPr="006A74F8">
        <w:rPr>
          <w:b/>
          <w:i/>
        </w:rPr>
        <w:t xml:space="preserve">olicy </w:t>
      </w:r>
      <w:r>
        <w:rPr>
          <w:b/>
          <w:i/>
        </w:rPr>
        <w:t>r</w:t>
      </w:r>
      <w:r w:rsidR="006F00B9" w:rsidRPr="006A74F8">
        <w:rPr>
          <w:b/>
          <w:i/>
        </w:rPr>
        <w:t>egister</w:t>
      </w:r>
    </w:p>
    <w:p w:rsidR="001D0902" w:rsidRPr="006A74F8" w:rsidRDefault="00386C2F" w:rsidP="001610F8">
      <w:r w:rsidRPr="006A74F8">
        <w:t xml:space="preserve">During </w:t>
      </w:r>
      <w:r w:rsidR="00CB0092" w:rsidRPr="006A74F8">
        <w:t>p</w:t>
      </w:r>
      <w:r w:rsidR="00B61071" w:rsidRPr="006A74F8">
        <w:t xml:space="preserve">hase </w:t>
      </w:r>
      <w:r w:rsidR="009A548D" w:rsidRPr="006A74F8">
        <w:t>one</w:t>
      </w:r>
      <w:r w:rsidRPr="006A74F8">
        <w:t xml:space="preserve"> and in preparation for </w:t>
      </w:r>
      <w:r w:rsidR="00CB0092" w:rsidRPr="006A74F8">
        <w:t>p</w:t>
      </w:r>
      <w:r w:rsidRPr="006A74F8">
        <w:t>hase 2 and 3</w:t>
      </w:r>
      <w:r w:rsidR="00B61071" w:rsidRPr="006A74F8">
        <w:t>,</w:t>
      </w:r>
      <w:r w:rsidRPr="006A74F8">
        <w:t xml:space="preserve"> NMI will s</w:t>
      </w:r>
      <w:r w:rsidR="006F00B9" w:rsidRPr="006A74F8">
        <w:t>et up a</w:t>
      </w:r>
      <w:r w:rsidRPr="006A74F8">
        <w:t>n online</w:t>
      </w:r>
      <w:r w:rsidR="006F00B9" w:rsidRPr="006A74F8">
        <w:t xml:space="preserve"> policy register</w:t>
      </w:r>
      <w:r w:rsidRPr="006A74F8">
        <w:t xml:space="preserve"> accessible to all stak</w:t>
      </w:r>
      <w:r w:rsidR="00B61071" w:rsidRPr="006A74F8">
        <w:t>eholders and the general public,</w:t>
      </w:r>
      <w:r w:rsidR="006F00B9" w:rsidRPr="006A74F8">
        <w:t xml:space="preserve"> to flag policy </w:t>
      </w:r>
      <w:r w:rsidR="00F73294" w:rsidRPr="006A74F8">
        <w:t>issues</w:t>
      </w:r>
      <w:r w:rsidR="00E71AE2" w:rsidRPr="006A74F8">
        <w:t xml:space="preserve"> </w:t>
      </w:r>
      <w:r w:rsidR="00FA791F" w:rsidRPr="006A74F8">
        <w:t>and</w:t>
      </w:r>
      <w:r w:rsidR="00581269" w:rsidRPr="006A74F8">
        <w:t xml:space="preserve"> ideas that arise</w:t>
      </w:r>
      <w:r w:rsidRPr="006A74F8" w:rsidDel="009F5B54">
        <w:t xml:space="preserve">. </w:t>
      </w:r>
      <w:r w:rsidR="00F73294" w:rsidRPr="006A74F8">
        <w:t>T</w:t>
      </w:r>
      <w:r w:rsidR="00E44FE9" w:rsidRPr="006A74F8">
        <w:t xml:space="preserve">he register will be used </w:t>
      </w:r>
      <w:r w:rsidR="00F73294" w:rsidRPr="006A74F8">
        <w:t>to ke</w:t>
      </w:r>
      <w:r w:rsidR="00E44FE9" w:rsidRPr="006A74F8">
        <w:t>ep a comprehensive list of identified</w:t>
      </w:r>
      <w:r w:rsidR="00F73294" w:rsidRPr="006A74F8">
        <w:t xml:space="preserve"> issues </w:t>
      </w:r>
      <w:r w:rsidR="00CB0092" w:rsidRPr="006A74F8">
        <w:t>and relevant proposed action</w:t>
      </w:r>
      <w:r w:rsidR="00F73294" w:rsidRPr="006A74F8">
        <w:t xml:space="preserve"> </w:t>
      </w:r>
      <w:r w:rsidR="006F5940" w:rsidRPr="006A74F8">
        <w:t xml:space="preserve">to assist in the resolution of </w:t>
      </w:r>
      <w:r w:rsidR="00CB0092" w:rsidRPr="006A74F8">
        <w:t xml:space="preserve">identified </w:t>
      </w:r>
      <w:r w:rsidR="006F5940" w:rsidRPr="006A74F8">
        <w:t>issues, and t</w:t>
      </w:r>
      <w:r w:rsidR="00F73294" w:rsidRPr="006A74F8">
        <w:t xml:space="preserve">o </w:t>
      </w:r>
      <w:r w:rsidR="00B61071" w:rsidRPr="006A74F8">
        <w:t xml:space="preserve">form </w:t>
      </w:r>
      <w:r w:rsidR="006F5940" w:rsidRPr="006A74F8">
        <w:t>part of</w:t>
      </w:r>
      <w:r w:rsidR="00F73294" w:rsidRPr="006A74F8">
        <w:t xml:space="preserve"> the evaluation of the reforms.</w:t>
      </w:r>
      <w:r w:rsidR="00882DEF" w:rsidRPr="006A74F8">
        <w:t xml:space="preserve"> </w:t>
      </w:r>
      <w:r w:rsidR="001610F8" w:rsidRPr="006A74F8">
        <w:t>The</w:t>
      </w:r>
      <w:r w:rsidR="00882DEF" w:rsidRPr="006A74F8">
        <w:t xml:space="preserve"> </w:t>
      </w:r>
      <w:r w:rsidR="00882DEF" w:rsidRPr="006A74F8">
        <w:lastRenderedPageBreak/>
        <w:t xml:space="preserve">NMI will </w:t>
      </w:r>
      <w:r w:rsidR="001610F8" w:rsidRPr="006A74F8">
        <w:t>ensure that</w:t>
      </w:r>
      <w:r w:rsidR="00882DEF" w:rsidRPr="006A74F8">
        <w:t xml:space="preserve"> the policy register, its purpose, and instructions on accessing it are included as a part of the educational campaign throughout the digital, targeted and on the ground outreach activities</w:t>
      </w:r>
      <w:r w:rsidR="001610F8" w:rsidRPr="006A74F8">
        <w:t>, and will make</w:t>
      </w:r>
      <w:r w:rsidR="007F1587" w:rsidRPr="006A74F8">
        <w:t xml:space="preserve"> the register easy to find on the department’</w:t>
      </w:r>
      <w:r w:rsidR="00FE3F18" w:rsidRPr="006A74F8">
        <w:t>s website</w:t>
      </w:r>
      <w:r w:rsidR="007F1587" w:rsidRPr="006A74F8">
        <w:t>.</w:t>
      </w:r>
    </w:p>
    <w:p w:rsidR="00683000" w:rsidRPr="006A74F8" w:rsidRDefault="00683000" w:rsidP="00CB327A">
      <w:pPr>
        <w:pStyle w:val="Heading3"/>
      </w:pPr>
      <w:r w:rsidRPr="006A74F8">
        <w:t xml:space="preserve">Compliance and enforcement </w:t>
      </w:r>
    </w:p>
    <w:p w:rsidR="00683000" w:rsidRPr="006A74F8" w:rsidRDefault="00683000" w:rsidP="00683000">
      <w:r w:rsidRPr="006A74F8">
        <w:t xml:space="preserve">Phase 2 consists of a 2 year transition period to the new laws for industry and other stakeholders. </w:t>
      </w:r>
      <w:r w:rsidR="004859A7" w:rsidRPr="006A74F8">
        <w:t>During t</w:t>
      </w:r>
      <w:r w:rsidRPr="006A74F8">
        <w:t>he first year of this phase</w:t>
      </w:r>
      <w:r w:rsidRPr="006A74F8" w:rsidDel="007102B5">
        <w:t xml:space="preserve"> </w:t>
      </w:r>
      <w:r w:rsidRPr="006A74F8">
        <w:t xml:space="preserve">the primary focus will be an education campaign run by NMI relating to the changes under the reform options, as well as general education regarding existing, unchanged requirements. </w:t>
      </w:r>
    </w:p>
    <w:p w:rsidR="00683000" w:rsidRPr="006A74F8" w:rsidRDefault="00683000" w:rsidP="00683000">
      <w:r w:rsidRPr="006A74F8">
        <w:t xml:space="preserve">Although </w:t>
      </w:r>
      <w:r w:rsidR="00EF78FA" w:rsidRPr="006A74F8">
        <w:t>a significant</w:t>
      </w:r>
      <w:r w:rsidRPr="006A74F8" w:rsidDel="00EF78FA">
        <w:t xml:space="preserve"> </w:t>
      </w:r>
      <w:r w:rsidRPr="006A74F8">
        <w:t>focus throughout the first year will be educational, there may be circumstances where non-compliance is identified either through complaints to the NMI hotline or during these educational visits. In the majority of cases and for minor breaches, it is expected that these will be addressed as a part of the educational campaign by making the stakeholder aware of their obligations and responsibilities under the new legislation. However</w:t>
      </w:r>
      <w:r w:rsidR="00581269" w:rsidRPr="006A74F8">
        <w:t>,</w:t>
      </w:r>
      <w:r w:rsidRPr="006A74F8">
        <w:t xml:space="preserve"> where the breach is significant other compliance action may be considered, including using new compliance and enforcement tools available under the new legislation. </w:t>
      </w:r>
      <w:r w:rsidR="00EF78FA" w:rsidRPr="006A74F8">
        <w:t>This would primarily occur</w:t>
      </w:r>
      <w:r w:rsidRPr="006A74F8" w:rsidDel="00EF78FA">
        <w:t xml:space="preserve"> </w:t>
      </w:r>
      <w:r w:rsidRPr="006A74F8">
        <w:t>in areas where there ha</w:t>
      </w:r>
      <w:r w:rsidR="009139B6" w:rsidRPr="006A74F8">
        <w:t>ve</w:t>
      </w:r>
      <w:r w:rsidRPr="006A74F8">
        <w:t xml:space="preserve"> been no substantial changes to pre-existing requirements (e.g. shortfall in the sale of goods). </w:t>
      </w:r>
    </w:p>
    <w:p w:rsidR="00683000" w:rsidRPr="006A74F8" w:rsidRDefault="00EF78FA" w:rsidP="00683000">
      <w:r w:rsidRPr="006A74F8">
        <w:t xml:space="preserve">During the second year of </w:t>
      </w:r>
      <w:r w:rsidR="00683000" w:rsidRPr="006A74F8" w:rsidDel="00EF78FA">
        <w:t xml:space="preserve">the </w:t>
      </w:r>
      <w:r w:rsidR="00453AF2" w:rsidRPr="006A74F8">
        <w:t xml:space="preserve">transition </w:t>
      </w:r>
      <w:r w:rsidRPr="006A74F8">
        <w:t>p</w:t>
      </w:r>
      <w:r w:rsidR="00453AF2" w:rsidRPr="006A74F8">
        <w:t>hase</w:t>
      </w:r>
      <w:r w:rsidR="00683000" w:rsidRPr="006A74F8" w:rsidDel="00EF78FA">
        <w:t xml:space="preserve"> </w:t>
      </w:r>
      <w:r w:rsidR="00683000" w:rsidRPr="006A74F8">
        <w:t>the NMI will continue its educative work but will also be prepared to undertake compliance and enforcement action, where appropriate, to ensure compliance with the new framework. For some of the more significant changes, the focus on education activities will span the whole 2 year transition period. In all circumstances the NMI will address non-compliance using a transparent and proportional risk-based approach</w:t>
      </w:r>
      <w:r w:rsidR="00B529D7" w:rsidRPr="006A74F8">
        <w:t>.</w:t>
      </w:r>
      <w:r w:rsidR="00683000" w:rsidRPr="006A74F8">
        <w:t xml:space="preserve"> </w:t>
      </w:r>
    </w:p>
    <w:p w:rsidR="00683000" w:rsidRPr="006A74F8" w:rsidRDefault="00683000" w:rsidP="00683000">
      <w:r w:rsidRPr="006A74F8">
        <w:t xml:space="preserve">At the end of the transition period it is expected that </w:t>
      </w:r>
      <w:r w:rsidR="00E97B63" w:rsidRPr="006A74F8">
        <w:t>education activities will be scaled down</w:t>
      </w:r>
      <w:r w:rsidRPr="006A74F8">
        <w:t xml:space="preserve">, with the NMI addressing identified non-compliance through new and existing compliance and enforcement options. These include criminal offences, civil penalties, tailored infringement notices, correction notices, other administrative compliance options and in future enforceable industry codes of </w:t>
      </w:r>
      <w:r w:rsidR="006A65A2">
        <w:t>conduct</w:t>
      </w:r>
      <w:r w:rsidRPr="006A74F8">
        <w:t xml:space="preserve">. </w:t>
      </w:r>
    </w:p>
    <w:p w:rsidR="00683000" w:rsidRPr="006A74F8" w:rsidRDefault="00683000" w:rsidP="00103AF6">
      <w:r w:rsidRPr="006A74F8">
        <w:t>The majority of businesses who are compliant with current requirements will continue to be compliant with new requirements without having to make significant changes. For example, packaged products that are compliant with current marking requirements will continue to be compliant. Following further review of specific packaging exemptions and requirements</w:t>
      </w:r>
      <w:r w:rsidR="004859A7" w:rsidRPr="006A74F8">
        <w:t>,</w:t>
      </w:r>
      <w:r w:rsidRPr="006A74F8">
        <w:rPr>
          <w:rStyle w:val="FootnoteReference"/>
        </w:rPr>
        <w:footnoteReference w:id="85"/>
      </w:r>
      <w:r w:rsidRPr="006A74F8">
        <w:t xml:space="preserve"> where changes impact stock that has already been produced, including warehoused stock and stock on retail shelves, then consideration will be given to whether this stock can </w:t>
      </w:r>
      <w:r w:rsidR="00581269" w:rsidRPr="006A74F8">
        <w:t>remain on</w:t>
      </w:r>
      <w:r w:rsidR="00E12BC0">
        <w:t xml:space="preserve"> sale</w:t>
      </w:r>
      <w:r w:rsidR="00581269" w:rsidRPr="006A74F8">
        <w:t xml:space="preserve"> or be introduced for</w:t>
      </w:r>
      <w:r w:rsidRPr="006A74F8">
        <w:t xml:space="preserve"> sale until the stock is sold or removed. </w:t>
      </w:r>
    </w:p>
    <w:p w:rsidR="00FA3725" w:rsidRPr="006A74F8" w:rsidRDefault="00FA3725" w:rsidP="00FA3725">
      <w:pPr>
        <w:pStyle w:val="Heading3"/>
      </w:pPr>
      <w:r w:rsidRPr="006A74F8">
        <w:t>Reporting requirements for industry</w:t>
      </w:r>
    </w:p>
    <w:p w:rsidR="00F71963" w:rsidRPr="006A74F8" w:rsidRDefault="00F71963" w:rsidP="004859A7">
      <w:pPr>
        <w:rPr>
          <w:rFonts w:ascii="Calibri" w:eastAsia="Times New Roman" w:hAnsi="Calibri" w:cs="Calibri"/>
          <w:color w:val="000000"/>
          <w:lang w:eastAsia="en-AU"/>
        </w:rPr>
      </w:pPr>
      <w:r w:rsidRPr="006A74F8">
        <w:rPr>
          <w:rFonts w:ascii="Calibri" w:eastAsia="Times New Roman" w:hAnsi="Calibri" w:cs="Calibri"/>
          <w:color w:val="000000"/>
          <w:lang w:eastAsia="en-AU"/>
        </w:rPr>
        <w:t xml:space="preserve">Existing reporting requirements </w:t>
      </w:r>
      <w:r w:rsidR="00D474E1" w:rsidRPr="006A74F8">
        <w:rPr>
          <w:rFonts w:ascii="Calibri" w:eastAsia="Times New Roman" w:hAnsi="Calibri" w:cs="Calibri"/>
          <w:color w:val="000000"/>
          <w:lang w:eastAsia="en-AU"/>
        </w:rPr>
        <w:t xml:space="preserve">for most ATPs </w:t>
      </w:r>
      <w:r w:rsidRPr="006A74F8">
        <w:rPr>
          <w:rFonts w:ascii="Calibri" w:eastAsia="Times New Roman" w:hAnsi="Calibri" w:cs="Calibri"/>
          <w:color w:val="000000"/>
          <w:lang w:eastAsia="en-AU"/>
        </w:rPr>
        <w:t xml:space="preserve">will continue alongside changes to reporting requirements </w:t>
      </w:r>
      <w:r w:rsidR="00D474E1" w:rsidRPr="006A74F8">
        <w:rPr>
          <w:rFonts w:ascii="Calibri" w:eastAsia="Times New Roman" w:hAnsi="Calibri" w:cs="Calibri"/>
          <w:color w:val="000000"/>
          <w:lang w:eastAsia="en-AU"/>
        </w:rPr>
        <w:t>for UMVs and LMAs,</w:t>
      </w:r>
      <w:r w:rsidRPr="006A74F8">
        <w:rPr>
          <w:rFonts w:ascii="Calibri" w:eastAsia="Times New Roman" w:hAnsi="Calibri" w:cs="Calibri"/>
          <w:color w:val="000000"/>
          <w:lang w:eastAsia="en-AU"/>
        </w:rPr>
        <w:t xml:space="preserve"> which will require UMVs and LMAs to routinely submit data after performing measurement activities. As described in </w:t>
      </w:r>
      <w:hyperlink w:anchor="_Appendix_7:_Impacts" w:history="1">
        <w:r w:rsidRPr="006406FE">
          <w:rPr>
            <w:rStyle w:val="Hyperlink"/>
            <w:rFonts w:ascii="Calibri" w:eastAsia="Times New Roman" w:hAnsi="Calibri" w:cs="Calibri"/>
            <w:lang w:eastAsia="en-AU"/>
          </w:rPr>
          <w:t>Appendix 6</w:t>
        </w:r>
      </w:hyperlink>
      <w:r w:rsidRPr="006A74F8">
        <w:rPr>
          <w:rFonts w:ascii="Calibri" w:eastAsia="Times New Roman" w:hAnsi="Calibri" w:cs="Calibri"/>
          <w:color w:val="000000"/>
          <w:lang w:eastAsia="en-AU"/>
        </w:rPr>
        <w:t>, UMVs w</w:t>
      </w:r>
      <w:r w:rsidR="008F066D" w:rsidRPr="006A74F8">
        <w:rPr>
          <w:rFonts w:ascii="Calibri" w:eastAsia="Times New Roman" w:hAnsi="Calibri" w:cs="Calibri"/>
          <w:color w:val="000000"/>
          <w:lang w:eastAsia="en-AU"/>
        </w:rPr>
        <w:t>ill</w:t>
      </w:r>
      <w:r w:rsidRPr="006A74F8">
        <w:rPr>
          <w:rFonts w:ascii="Calibri" w:eastAsia="Times New Roman" w:hAnsi="Calibri" w:cs="Calibri"/>
          <w:color w:val="000000"/>
          <w:lang w:eastAsia="en-AU"/>
        </w:rPr>
        <w:t xml:space="preserve"> be expected to report on services provided within similar timeframes to those for Servicing Licensees. </w:t>
      </w:r>
      <w:r w:rsidR="00D474E1" w:rsidRPr="006A74F8">
        <w:rPr>
          <w:rFonts w:ascii="Calibri" w:eastAsia="Times New Roman" w:hAnsi="Calibri" w:cs="Calibri"/>
          <w:color w:val="000000"/>
          <w:lang w:eastAsia="en-AU"/>
        </w:rPr>
        <w:t>R</w:t>
      </w:r>
      <w:r w:rsidRPr="006A74F8">
        <w:rPr>
          <w:rFonts w:ascii="Calibri" w:eastAsia="Times New Roman" w:hAnsi="Calibri" w:cs="Calibri"/>
          <w:color w:val="000000"/>
          <w:lang w:eastAsia="en-AU"/>
        </w:rPr>
        <w:t xml:space="preserve">outine reporting on services provided (e.g. regulation certificates issued) </w:t>
      </w:r>
      <w:r w:rsidR="00D474E1" w:rsidRPr="006A74F8">
        <w:rPr>
          <w:rFonts w:ascii="Calibri" w:eastAsia="Times New Roman" w:hAnsi="Calibri" w:cs="Calibri"/>
          <w:color w:val="000000"/>
          <w:lang w:eastAsia="en-AU"/>
        </w:rPr>
        <w:t xml:space="preserve">by LMAs </w:t>
      </w:r>
      <w:r w:rsidR="002E4C3B" w:rsidRPr="006A74F8">
        <w:rPr>
          <w:rFonts w:ascii="Calibri" w:eastAsia="Times New Roman" w:hAnsi="Calibri" w:cs="Calibri"/>
          <w:color w:val="000000"/>
          <w:lang w:eastAsia="en-AU"/>
        </w:rPr>
        <w:t xml:space="preserve">will </w:t>
      </w:r>
      <w:r w:rsidR="00F04E95" w:rsidRPr="006A74F8">
        <w:rPr>
          <w:rFonts w:ascii="Calibri" w:eastAsia="Times New Roman" w:hAnsi="Calibri" w:cs="Calibri"/>
          <w:color w:val="000000"/>
          <w:lang w:eastAsia="en-AU"/>
        </w:rPr>
        <w:t>likely</w:t>
      </w:r>
      <w:r w:rsidR="00D474E1" w:rsidRPr="006A74F8">
        <w:rPr>
          <w:rFonts w:ascii="Calibri" w:eastAsia="Times New Roman" w:hAnsi="Calibri" w:cs="Calibri"/>
          <w:color w:val="000000"/>
          <w:lang w:eastAsia="en-AU"/>
        </w:rPr>
        <w:t xml:space="preserve"> be less frequent</w:t>
      </w:r>
      <w:r w:rsidR="00CA69B2" w:rsidRPr="006A74F8">
        <w:rPr>
          <w:rFonts w:ascii="Calibri" w:eastAsia="Times New Roman" w:hAnsi="Calibri" w:cs="Calibri"/>
          <w:color w:val="000000"/>
          <w:lang w:eastAsia="en-AU"/>
        </w:rPr>
        <w:t xml:space="preserve">. </w:t>
      </w:r>
    </w:p>
    <w:p w:rsidR="00F71963" w:rsidRPr="006A74F8" w:rsidRDefault="00F71963" w:rsidP="004859A7">
      <w:pPr>
        <w:rPr>
          <w:rFonts w:ascii="Calibri" w:eastAsia="Times New Roman" w:hAnsi="Calibri" w:cs="Calibri"/>
          <w:color w:val="000000"/>
          <w:lang w:eastAsia="en-AU"/>
        </w:rPr>
      </w:pPr>
      <w:r w:rsidRPr="006A74F8">
        <w:rPr>
          <w:rFonts w:ascii="Calibri" w:eastAsia="Times New Roman" w:hAnsi="Calibri" w:cs="Calibri"/>
          <w:color w:val="000000"/>
          <w:lang w:eastAsia="en-AU"/>
        </w:rPr>
        <w:lastRenderedPageBreak/>
        <w:t>During the transition period UMVs and LMAs w</w:t>
      </w:r>
      <w:r w:rsidR="008F066D" w:rsidRPr="006A74F8">
        <w:rPr>
          <w:rFonts w:ascii="Calibri" w:eastAsia="Times New Roman" w:hAnsi="Calibri" w:cs="Calibri"/>
          <w:color w:val="000000"/>
          <w:lang w:eastAsia="en-AU"/>
        </w:rPr>
        <w:t>ill</w:t>
      </w:r>
      <w:r w:rsidRPr="006A74F8">
        <w:rPr>
          <w:rFonts w:ascii="Calibri" w:eastAsia="Times New Roman" w:hAnsi="Calibri" w:cs="Calibri"/>
          <w:color w:val="000000"/>
          <w:lang w:eastAsia="en-AU"/>
        </w:rPr>
        <w:t xml:space="preserve"> continue to be required to report </w:t>
      </w:r>
      <w:r w:rsidR="00E97B63" w:rsidRPr="006A74F8">
        <w:rPr>
          <w:rFonts w:ascii="Calibri" w:eastAsia="Times New Roman" w:hAnsi="Calibri" w:cs="Calibri"/>
          <w:color w:val="000000"/>
          <w:lang w:eastAsia="en-AU"/>
        </w:rPr>
        <w:t xml:space="preserve">on an </w:t>
      </w:r>
      <w:r w:rsidRPr="006A74F8">
        <w:rPr>
          <w:rFonts w:ascii="Calibri" w:eastAsia="Times New Roman" w:hAnsi="Calibri" w:cs="Calibri"/>
          <w:color w:val="000000"/>
          <w:lang w:eastAsia="en-AU"/>
        </w:rPr>
        <w:t xml:space="preserve">ad hoc </w:t>
      </w:r>
      <w:r w:rsidR="00E97B63" w:rsidRPr="006A74F8">
        <w:rPr>
          <w:rFonts w:ascii="Calibri" w:eastAsia="Times New Roman" w:hAnsi="Calibri" w:cs="Calibri"/>
          <w:color w:val="000000"/>
          <w:lang w:eastAsia="en-AU"/>
        </w:rPr>
        <w:t xml:space="preserve">basis, </w:t>
      </w:r>
      <w:r w:rsidRPr="006A74F8">
        <w:rPr>
          <w:rFonts w:ascii="Calibri" w:eastAsia="Times New Roman" w:hAnsi="Calibri" w:cs="Calibri"/>
          <w:color w:val="000000"/>
          <w:lang w:eastAsia="en-AU"/>
        </w:rPr>
        <w:t xml:space="preserve">at NMI’s request. Following </w:t>
      </w:r>
      <w:r w:rsidR="002E4C3B" w:rsidRPr="006A74F8">
        <w:t>development of an appropriate reporting framework</w:t>
      </w:r>
      <w:r w:rsidR="002E4C3B" w:rsidRPr="006A74F8">
        <w:rPr>
          <w:rFonts w:ascii="Calibri" w:eastAsia="Times New Roman" w:hAnsi="Calibri" w:cs="Calibri"/>
          <w:color w:val="000000"/>
          <w:lang w:eastAsia="en-AU"/>
        </w:rPr>
        <w:t xml:space="preserve"> UMVs and LMAs will be expected to transition to routine reporting arrangements.</w:t>
      </w:r>
      <w:r w:rsidRPr="006A74F8">
        <w:rPr>
          <w:rFonts w:ascii="Calibri" w:eastAsia="Times New Roman" w:hAnsi="Calibri" w:cs="Calibri"/>
          <w:color w:val="000000"/>
          <w:lang w:eastAsia="en-AU"/>
        </w:rPr>
        <w:t xml:space="preserve"> </w:t>
      </w:r>
      <w:r w:rsidR="002E4C3B" w:rsidRPr="006A74F8">
        <w:rPr>
          <w:rFonts w:ascii="Calibri" w:eastAsia="Times New Roman" w:hAnsi="Calibri" w:cs="Calibri"/>
          <w:color w:val="000000"/>
          <w:lang w:eastAsia="en-AU"/>
        </w:rPr>
        <w:t>D</w:t>
      </w:r>
      <w:r w:rsidRPr="006A74F8">
        <w:rPr>
          <w:rFonts w:ascii="Calibri" w:eastAsia="Times New Roman" w:hAnsi="Calibri" w:cs="Calibri"/>
          <w:color w:val="000000"/>
          <w:lang w:eastAsia="en-AU"/>
        </w:rPr>
        <w:t xml:space="preserve">ata received from UMVs </w:t>
      </w:r>
      <w:r w:rsidR="008F066D" w:rsidRPr="006A74F8">
        <w:rPr>
          <w:rFonts w:ascii="Calibri" w:eastAsia="Times New Roman" w:hAnsi="Calibri" w:cs="Calibri"/>
          <w:color w:val="000000"/>
          <w:lang w:eastAsia="en-AU"/>
        </w:rPr>
        <w:t>and</w:t>
      </w:r>
      <w:r w:rsidRPr="006A74F8">
        <w:rPr>
          <w:rFonts w:ascii="Calibri" w:eastAsia="Times New Roman" w:hAnsi="Calibri" w:cs="Calibri"/>
          <w:color w:val="000000"/>
          <w:lang w:eastAsia="en-AU"/>
        </w:rPr>
        <w:t xml:space="preserve"> LMAs </w:t>
      </w:r>
      <w:r w:rsidR="002E4C3B" w:rsidRPr="006A74F8">
        <w:rPr>
          <w:rFonts w:ascii="Calibri" w:eastAsia="Times New Roman" w:hAnsi="Calibri" w:cs="Calibri"/>
          <w:color w:val="000000"/>
          <w:lang w:eastAsia="en-AU"/>
        </w:rPr>
        <w:t xml:space="preserve">through routine reporting </w:t>
      </w:r>
      <w:r w:rsidRPr="006A74F8">
        <w:rPr>
          <w:rFonts w:ascii="Calibri" w:eastAsia="Times New Roman" w:hAnsi="Calibri" w:cs="Calibri"/>
          <w:color w:val="000000"/>
          <w:lang w:eastAsia="en-AU"/>
        </w:rPr>
        <w:t xml:space="preserve">can be analysed by NMI to </w:t>
      </w:r>
      <w:r w:rsidR="002E4C3B" w:rsidRPr="006A74F8">
        <w:rPr>
          <w:rFonts w:ascii="Calibri" w:eastAsia="Times New Roman" w:hAnsi="Calibri" w:cs="Calibri"/>
          <w:color w:val="000000"/>
          <w:lang w:eastAsia="en-AU"/>
        </w:rPr>
        <w:t>help monitor</w:t>
      </w:r>
      <w:r w:rsidRPr="006A74F8">
        <w:rPr>
          <w:rFonts w:ascii="Calibri" w:eastAsia="Times New Roman" w:hAnsi="Calibri" w:cs="Calibri"/>
          <w:color w:val="000000"/>
          <w:lang w:eastAsia="en-AU"/>
        </w:rPr>
        <w:t xml:space="preserve"> the quality of services </w:t>
      </w:r>
      <w:r w:rsidR="002E4C3B" w:rsidRPr="006A74F8">
        <w:rPr>
          <w:rFonts w:ascii="Calibri" w:eastAsia="Times New Roman" w:hAnsi="Calibri" w:cs="Calibri"/>
          <w:color w:val="000000"/>
          <w:lang w:eastAsia="en-AU"/>
        </w:rPr>
        <w:t>being delivered</w:t>
      </w:r>
      <w:r w:rsidR="00CA69B2" w:rsidRPr="006A74F8">
        <w:rPr>
          <w:rFonts w:ascii="Calibri" w:eastAsia="Times New Roman" w:hAnsi="Calibri" w:cs="Calibri"/>
          <w:color w:val="000000"/>
          <w:lang w:eastAsia="en-AU"/>
        </w:rPr>
        <w:t>.</w:t>
      </w:r>
    </w:p>
    <w:p w:rsidR="002D36C6" w:rsidRPr="006A74F8" w:rsidRDefault="00F71963" w:rsidP="004859A7">
      <w:pPr>
        <w:spacing w:after="240"/>
        <w:rPr>
          <w:rFonts w:ascii="Calibri" w:eastAsia="Times New Roman" w:hAnsi="Calibri" w:cs="Calibri"/>
          <w:color w:val="000000"/>
          <w:lang w:eastAsia="en-AU"/>
        </w:rPr>
      </w:pPr>
      <w:r w:rsidRPr="006A74F8">
        <w:rPr>
          <w:rFonts w:ascii="Calibri" w:eastAsia="Times New Roman" w:hAnsi="Calibri" w:cs="Calibri"/>
          <w:color w:val="000000"/>
          <w:lang w:eastAsia="en-AU"/>
        </w:rPr>
        <w:t xml:space="preserve">These reforms </w:t>
      </w:r>
      <w:r w:rsidR="00E12BC0">
        <w:rPr>
          <w:rFonts w:ascii="Calibri" w:eastAsia="Times New Roman" w:hAnsi="Calibri" w:cs="Calibri"/>
          <w:color w:val="000000"/>
          <w:lang w:eastAsia="en-AU"/>
        </w:rPr>
        <w:t>will be</w:t>
      </w:r>
      <w:r w:rsidR="00877E17" w:rsidRPr="006A74F8">
        <w:rPr>
          <w:rFonts w:ascii="Calibri" w:eastAsia="Times New Roman" w:hAnsi="Calibri" w:cs="Calibri"/>
          <w:color w:val="000000"/>
          <w:lang w:eastAsia="en-AU"/>
        </w:rPr>
        <w:t xml:space="preserve"> supported by</w:t>
      </w:r>
      <w:r w:rsidRPr="006A74F8">
        <w:rPr>
          <w:rFonts w:ascii="Calibri" w:eastAsia="Times New Roman" w:hAnsi="Calibri" w:cs="Calibri"/>
          <w:color w:val="000000"/>
          <w:lang w:eastAsia="en-AU"/>
        </w:rPr>
        <w:t xml:space="preserve"> updates to ICT systems to enable more efficient reporting, particularly for </w:t>
      </w:r>
      <w:r w:rsidR="00877E17" w:rsidRPr="006A74F8">
        <w:rPr>
          <w:rFonts w:ascii="Calibri" w:eastAsia="Times New Roman" w:hAnsi="Calibri" w:cs="Calibri"/>
          <w:color w:val="000000"/>
          <w:lang w:eastAsia="en-AU"/>
        </w:rPr>
        <w:t>ATPs</w:t>
      </w:r>
      <w:r w:rsidRPr="006A74F8">
        <w:rPr>
          <w:rFonts w:ascii="Calibri" w:eastAsia="Times New Roman" w:hAnsi="Calibri" w:cs="Calibri"/>
          <w:color w:val="000000"/>
          <w:lang w:eastAsia="en-AU"/>
        </w:rPr>
        <w:t xml:space="preserve">. This will enable improved NMI data analysis to ensure </w:t>
      </w:r>
      <w:r w:rsidR="00877E17" w:rsidRPr="006A74F8">
        <w:rPr>
          <w:rFonts w:ascii="Calibri" w:eastAsia="Times New Roman" w:hAnsi="Calibri" w:cs="Calibri"/>
          <w:color w:val="000000"/>
          <w:lang w:eastAsia="en-AU"/>
        </w:rPr>
        <w:t>ATPs</w:t>
      </w:r>
      <w:r w:rsidRPr="006A74F8">
        <w:rPr>
          <w:rFonts w:ascii="Calibri" w:eastAsia="Times New Roman" w:hAnsi="Calibri" w:cs="Calibri"/>
          <w:color w:val="000000"/>
          <w:lang w:eastAsia="en-AU"/>
        </w:rPr>
        <w:t xml:space="preserve"> are delivering trustworthy measurement outcomes, supporting confidence in the measurement system while imposing </w:t>
      </w:r>
      <w:r w:rsidR="00E97B63" w:rsidRPr="006A74F8">
        <w:rPr>
          <w:rFonts w:ascii="Calibri" w:eastAsia="Times New Roman" w:hAnsi="Calibri" w:cs="Calibri"/>
          <w:color w:val="000000"/>
          <w:lang w:eastAsia="en-AU"/>
        </w:rPr>
        <w:t xml:space="preserve">limited </w:t>
      </w:r>
      <w:r w:rsidRPr="006A74F8">
        <w:rPr>
          <w:rFonts w:ascii="Calibri" w:eastAsia="Times New Roman" w:hAnsi="Calibri" w:cs="Calibri"/>
          <w:color w:val="000000"/>
          <w:lang w:eastAsia="en-AU"/>
        </w:rPr>
        <w:t>regulatory burde</w:t>
      </w:r>
      <w:r w:rsidR="00CA69B2" w:rsidRPr="006A74F8">
        <w:rPr>
          <w:rFonts w:ascii="Calibri" w:eastAsia="Times New Roman" w:hAnsi="Calibri" w:cs="Calibri"/>
          <w:color w:val="000000"/>
          <w:lang w:eastAsia="en-AU"/>
        </w:rPr>
        <w:t>n.</w:t>
      </w:r>
    </w:p>
    <w:p w:rsidR="007007A9" w:rsidRPr="006A74F8" w:rsidRDefault="00584044" w:rsidP="000720D9">
      <w:pPr>
        <w:pStyle w:val="Heading2"/>
      </w:pPr>
      <w:r w:rsidRPr="006A74F8">
        <w:t xml:space="preserve"> </w:t>
      </w:r>
      <w:r w:rsidR="000720D9" w:rsidRPr="006A74F8">
        <w:t>Evaluation</w:t>
      </w:r>
    </w:p>
    <w:p w:rsidR="008A7162" w:rsidRPr="006A74F8" w:rsidRDefault="00FE03A3" w:rsidP="000C0928">
      <w:pPr>
        <w:spacing w:after="120"/>
      </w:pPr>
      <w:r w:rsidRPr="006A74F8">
        <w:t>The impact of the new</w:t>
      </w:r>
      <w:r w:rsidR="007007A9" w:rsidRPr="006A74F8">
        <w:t xml:space="preserve"> </w:t>
      </w:r>
      <w:r w:rsidRPr="006A74F8">
        <w:t>legislation</w:t>
      </w:r>
      <w:r w:rsidR="007007A9" w:rsidRPr="006A74F8">
        <w:t xml:space="preserve"> will be reviewed </w:t>
      </w:r>
      <w:r w:rsidR="00CE4E5C" w:rsidRPr="006A74F8">
        <w:t>following completion</w:t>
      </w:r>
      <w:r w:rsidR="003478C7" w:rsidRPr="006A74F8">
        <w:t xml:space="preserve"> of </w:t>
      </w:r>
      <w:r w:rsidR="007007A9" w:rsidRPr="006A74F8">
        <w:t xml:space="preserve">the transition </w:t>
      </w:r>
      <w:r w:rsidR="00621164" w:rsidRPr="006A74F8">
        <w:t>phase</w:t>
      </w:r>
      <w:r w:rsidR="007007A9" w:rsidRPr="006A74F8">
        <w:t>. This will allow for evaluation</w:t>
      </w:r>
      <w:r w:rsidRPr="006A74F8">
        <w:t xml:space="preserve"> of </w:t>
      </w:r>
      <w:r w:rsidR="00595F61" w:rsidRPr="006A74F8">
        <w:t>the new reforms</w:t>
      </w:r>
      <w:r w:rsidR="00D91053" w:rsidRPr="006A74F8">
        <w:t xml:space="preserve"> and their </w:t>
      </w:r>
      <w:r w:rsidRPr="006A74F8">
        <w:t xml:space="preserve">effectiveness in meeting their objectives, including any unintended </w:t>
      </w:r>
      <w:r w:rsidR="00595F61" w:rsidRPr="006A74F8">
        <w:t>outcomes</w:t>
      </w:r>
      <w:r w:rsidRPr="006A74F8">
        <w:t xml:space="preserve">. </w:t>
      </w:r>
      <w:r w:rsidR="00FE7A70" w:rsidRPr="006A74F8">
        <w:t>During phase 2 a</w:t>
      </w:r>
      <w:r w:rsidR="00F3007D" w:rsidRPr="006A74F8">
        <w:t xml:space="preserve">n evaluation framework will be developed to help prepare for </w:t>
      </w:r>
      <w:r w:rsidR="00593948" w:rsidRPr="006A74F8">
        <w:t>phase 3</w:t>
      </w:r>
      <w:r w:rsidR="00F3007D" w:rsidRPr="006A74F8">
        <w:t>.</w:t>
      </w:r>
      <w:r w:rsidRPr="006A74F8">
        <w:t xml:space="preserve"> </w:t>
      </w:r>
      <w:r w:rsidR="00121191" w:rsidRPr="006A74F8">
        <w:t>The e</w:t>
      </w:r>
      <w:r w:rsidRPr="006A74F8">
        <w:t xml:space="preserve">valuation </w:t>
      </w:r>
      <w:r w:rsidR="00121191" w:rsidRPr="006A74F8">
        <w:t>phase</w:t>
      </w:r>
      <w:r w:rsidRPr="006A74F8">
        <w:t xml:space="preserve"> will include </w:t>
      </w:r>
      <w:r w:rsidR="00121191" w:rsidRPr="006A74F8">
        <w:t>several activities including</w:t>
      </w:r>
      <w:r w:rsidR="008A7162" w:rsidRPr="006A74F8">
        <w:t>:</w:t>
      </w:r>
      <w:r w:rsidR="00121191" w:rsidRPr="006A74F8">
        <w:t xml:space="preserve"> </w:t>
      </w:r>
    </w:p>
    <w:p w:rsidR="00FE7A70" w:rsidRPr="006A74F8" w:rsidRDefault="00FE7A70" w:rsidP="00FE7A70">
      <w:pPr>
        <w:pStyle w:val="ListParagraph"/>
        <w:numPr>
          <w:ilvl w:val="0"/>
          <w:numId w:val="284"/>
        </w:numPr>
        <w:spacing w:after="120"/>
      </w:pPr>
      <w:r w:rsidRPr="006A74F8">
        <w:t>an assessment of the effectiveness of the information and education campaign</w:t>
      </w:r>
    </w:p>
    <w:p w:rsidR="008A7162" w:rsidRPr="006A74F8" w:rsidRDefault="00121191" w:rsidP="003E73F6">
      <w:pPr>
        <w:pStyle w:val="ListParagraph"/>
        <w:numPr>
          <w:ilvl w:val="0"/>
          <w:numId w:val="284"/>
        </w:numPr>
        <w:spacing w:after="120"/>
      </w:pPr>
      <w:r w:rsidRPr="006A74F8">
        <w:t xml:space="preserve">an evaluation of the </w:t>
      </w:r>
      <w:r w:rsidR="00FE03A3" w:rsidRPr="006A74F8">
        <w:t>impact on industry</w:t>
      </w:r>
    </w:p>
    <w:p w:rsidR="008A7162" w:rsidRPr="006A74F8" w:rsidRDefault="00FE03A3" w:rsidP="003E73F6">
      <w:pPr>
        <w:pStyle w:val="ListParagraph"/>
        <w:numPr>
          <w:ilvl w:val="0"/>
          <w:numId w:val="284"/>
        </w:numPr>
        <w:spacing w:after="120"/>
      </w:pPr>
      <w:r w:rsidRPr="006A74F8">
        <w:t>a post implementation review on NMI’s compliance activities</w:t>
      </w:r>
      <w:r w:rsidR="009C0C4B" w:rsidRPr="006A74F8">
        <w:t xml:space="preserve"> </w:t>
      </w:r>
    </w:p>
    <w:p w:rsidR="007007A9" w:rsidRPr="006A74F8" w:rsidRDefault="009C0C4B" w:rsidP="003E73F6">
      <w:pPr>
        <w:pStyle w:val="ListParagraph"/>
        <w:numPr>
          <w:ilvl w:val="0"/>
          <w:numId w:val="284"/>
        </w:numPr>
        <w:spacing w:after="120"/>
      </w:pPr>
      <w:r w:rsidRPr="006A74F8">
        <w:t>ongoing engagement with stakeholders on future measurement issues</w:t>
      </w:r>
      <w:r w:rsidR="00FE03A3" w:rsidRPr="006A74F8">
        <w:t>.</w:t>
      </w:r>
    </w:p>
    <w:p w:rsidR="00FE7A70" w:rsidRPr="006A74F8" w:rsidRDefault="00FE7A70" w:rsidP="000C0928">
      <w:pPr>
        <w:spacing w:after="120"/>
        <w:rPr>
          <w:b/>
          <w:i/>
        </w:rPr>
      </w:pPr>
      <w:r w:rsidRPr="006A74F8">
        <w:rPr>
          <w:b/>
          <w:i/>
        </w:rPr>
        <w:t>Effectiveness of the information and education campaign</w:t>
      </w:r>
    </w:p>
    <w:p w:rsidR="00FE7A70" w:rsidRPr="006A74F8" w:rsidRDefault="00FE7A70" w:rsidP="000C0928">
      <w:pPr>
        <w:spacing w:after="120"/>
      </w:pPr>
      <w:r w:rsidRPr="006A74F8">
        <w:t xml:space="preserve">The effectiveness of the information and education campaign will be assessed prior to the industry impact evaluation.  This will inform any improvements </w:t>
      </w:r>
      <w:r w:rsidR="00F26BA8" w:rsidRPr="006A74F8">
        <w:t xml:space="preserve">needed </w:t>
      </w:r>
      <w:r w:rsidRPr="006A74F8">
        <w:t xml:space="preserve">in </w:t>
      </w:r>
      <w:r w:rsidR="00F26BA8" w:rsidRPr="006A74F8">
        <w:t xml:space="preserve">how to effectively </w:t>
      </w:r>
      <w:r w:rsidRPr="006A74F8">
        <w:t>communicat</w:t>
      </w:r>
      <w:r w:rsidR="00F26BA8" w:rsidRPr="006A74F8">
        <w:t>e</w:t>
      </w:r>
      <w:r w:rsidRPr="006A74F8">
        <w:t xml:space="preserve"> the changes to stakeholders.</w:t>
      </w:r>
    </w:p>
    <w:p w:rsidR="000C0928" w:rsidRPr="006A74F8" w:rsidRDefault="000C0928" w:rsidP="000C0928">
      <w:pPr>
        <w:spacing w:after="120"/>
      </w:pPr>
      <w:r w:rsidRPr="006A74F8">
        <w:rPr>
          <w:b/>
          <w:i/>
        </w:rPr>
        <w:t>Industry impact evaluation</w:t>
      </w:r>
      <w:r w:rsidRPr="006A74F8">
        <w:t xml:space="preserve"> </w:t>
      </w:r>
    </w:p>
    <w:p w:rsidR="000C0928" w:rsidRPr="006A74F8" w:rsidRDefault="00FE7A70" w:rsidP="000C0928">
      <w:pPr>
        <w:spacing w:after="120"/>
      </w:pPr>
      <w:r w:rsidRPr="006A74F8">
        <w:t>This e</w:t>
      </w:r>
      <w:r w:rsidR="000C0928" w:rsidRPr="006A74F8">
        <w:t xml:space="preserve">valuation </w:t>
      </w:r>
      <w:r w:rsidRPr="006A74F8">
        <w:t xml:space="preserve">will consider the </w:t>
      </w:r>
      <w:r w:rsidR="000C0928" w:rsidRPr="006A74F8">
        <w:t xml:space="preserve">ease of doing business in a principles-based regulatory environment. This </w:t>
      </w:r>
      <w:r w:rsidR="00FE03A3" w:rsidRPr="006A74F8">
        <w:t>may</w:t>
      </w:r>
      <w:r w:rsidR="000C0928" w:rsidRPr="006A74F8">
        <w:t xml:space="preserve"> include the following factors: </w:t>
      </w:r>
    </w:p>
    <w:p w:rsidR="000C0928" w:rsidRPr="006A74F8" w:rsidRDefault="000C0928" w:rsidP="000C0928">
      <w:pPr>
        <w:pStyle w:val="ListParagraph"/>
        <w:numPr>
          <w:ilvl w:val="0"/>
          <w:numId w:val="253"/>
        </w:numPr>
      </w:pPr>
      <w:r w:rsidRPr="006A74F8">
        <w:t>flexibility to accelerate future technologies to market</w:t>
      </w:r>
      <w:r w:rsidR="00E12BC0">
        <w:t>,</w:t>
      </w:r>
      <w:r w:rsidRPr="006A74F8">
        <w:t xml:space="preserve"> helping to drive innovation</w:t>
      </w:r>
    </w:p>
    <w:p w:rsidR="000C0928" w:rsidRPr="006A74F8" w:rsidRDefault="000C0928" w:rsidP="00FD002C">
      <w:pPr>
        <w:pStyle w:val="ListParagraph"/>
        <w:numPr>
          <w:ilvl w:val="0"/>
          <w:numId w:val="253"/>
        </w:numPr>
      </w:pPr>
      <w:r w:rsidRPr="006A74F8">
        <w:t>business operation</w:t>
      </w:r>
      <w:r w:rsidR="00595F61" w:rsidRPr="006A74F8">
        <w:t>s</w:t>
      </w:r>
      <w:r w:rsidR="00FD002C" w:rsidRPr="006A74F8">
        <w:t xml:space="preserve"> including e</w:t>
      </w:r>
      <w:r w:rsidRPr="006A74F8">
        <w:t>ase of navigation of the regulatory environment</w:t>
      </w:r>
    </w:p>
    <w:p w:rsidR="000C0928" w:rsidRPr="006A74F8" w:rsidRDefault="000C0928" w:rsidP="000C0928">
      <w:pPr>
        <w:pStyle w:val="ListParagraph"/>
        <w:numPr>
          <w:ilvl w:val="0"/>
          <w:numId w:val="253"/>
        </w:numPr>
      </w:pPr>
      <w:r w:rsidRPr="006A74F8">
        <w:t>reduced costs to business via reduced technical barriers to trade and investment</w:t>
      </w:r>
    </w:p>
    <w:p w:rsidR="000C0928" w:rsidRPr="006A74F8" w:rsidRDefault="008D6D54" w:rsidP="000C0928">
      <w:r w:rsidRPr="006A74F8">
        <w:t>This evaluation</w:t>
      </w:r>
      <w:r w:rsidR="000C0928" w:rsidRPr="006A74F8">
        <w:t xml:space="preserve"> </w:t>
      </w:r>
      <w:r w:rsidRPr="006A74F8">
        <w:t>will</w:t>
      </w:r>
      <w:r w:rsidR="000C0928" w:rsidRPr="006A74F8">
        <w:t xml:space="preserve"> </w:t>
      </w:r>
      <w:r w:rsidR="00CE4E5C" w:rsidRPr="006A74F8">
        <w:t>start</w:t>
      </w:r>
      <w:r w:rsidR="003478C7" w:rsidRPr="006A74F8">
        <w:t xml:space="preserve"> </w:t>
      </w:r>
      <w:r w:rsidRPr="006A74F8">
        <w:t xml:space="preserve">approximately </w:t>
      </w:r>
      <w:r w:rsidR="003478C7" w:rsidRPr="006A74F8">
        <w:t>2</w:t>
      </w:r>
      <w:r w:rsidR="000C0928" w:rsidRPr="006A74F8">
        <w:t xml:space="preserve"> years </w:t>
      </w:r>
      <w:r w:rsidR="00CE4E5C" w:rsidRPr="006A74F8">
        <w:t>after commencement of the new legislation</w:t>
      </w:r>
      <w:r w:rsidR="00626C00" w:rsidRPr="006A74F8">
        <w:t xml:space="preserve"> and </w:t>
      </w:r>
      <w:r w:rsidR="00453AF2" w:rsidRPr="006A74F8">
        <w:t xml:space="preserve">will focus on addressing issues which have surfaced during the </w:t>
      </w:r>
      <w:r w:rsidR="00621164" w:rsidRPr="006A74F8">
        <w:t>transition</w:t>
      </w:r>
      <w:r w:rsidR="00453AF2" w:rsidRPr="006A74F8">
        <w:t xml:space="preserve"> phase. A further evaluation is expected approximately 5 years after commencement to focus on the effectiveness of the reforms.</w:t>
      </w:r>
    </w:p>
    <w:p w:rsidR="000C0928" w:rsidRPr="006A74F8" w:rsidRDefault="000C0928" w:rsidP="000C0928">
      <w:pPr>
        <w:spacing w:after="120"/>
        <w:rPr>
          <w:b/>
          <w:i/>
        </w:rPr>
      </w:pPr>
      <w:r w:rsidRPr="006A74F8">
        <w:rPr>
          <w:b/>
          <w:i/>
        </w:rPr>
        <w:t>Post implementation review</w:t>
      </w:r>
      <w:r w:rsidR="00FE03A3" w:rsidRPr="006A74F8">
        <w:rPr>
          <w:b/>
          <w:i/>
        </w:rPr>
        <w:t xml:space="preserve"> o</w:t>
      </w:r>
      <w:r w:rsidR="00881AC1" w:rsidRPr="006A74F8">
        <w:rPr>
          <w:b/>
          <w:i/>
        </w:rPr>
        <w:t>f</w:t>
      </w:r>
      <w:r w:rsidR="00FE03A3" w:rsidRPr="006A74F8">
        <w:rPr>
          <w:b/>
          <w:i/>
        </w:rPr>
        <w:t xml:space="preserve"> NMI’s compliance activities</w:t>
      </w:r>
    </w:p>
    <w:p w:rsidR="00E12BC0" w:rsidRDefault="00E12BC0" w:rsidP="00E12BC0">
      <w:r w:rsidRPr="00E12BC0">
        <w:t>There will be a change in focus from traditional key performance indicators based on activities undertaken to an outcomes based compliance model. While the number of compliance activities will still be reported (such as annual business inspections), a greater emphasis will be placed on the impact of compliance activity in driving positive business change. Reporting will include sector focussed compliance outcomes, better communication of compliance trends and, where possible, examples of compliance and enforcement outcomes.</w:t>
      </w:r>
    </w:p>
    <w:p w:rsidR="00F04E95" w:rsidRPr="006A74F8" w:rsidRDefault="00DC72FE" w:rsidP="00FE7A70">
      <w:pPr>
        <w:keepNext/>
        <w:spacing w:after="120"/>
        <w:rPr>
          <w:b/>
          <w:i/>
        </w:rPr>
      </w:pPr>
      <w:r w:rsidRPr="006A74F8">
        <w:rPr>
          <w:b/>
          <w:i/>
        </w:rPr>
        <w:lastRenderedPageBreak/>
        <w:t>On</w:t>
      </w:r>
      <w:r w:rsidR="009C0C4B" w:rsidRPr="006A74F8">
        <w:rPr>
          <w:b/>
          <w:i/>
        </w:rPr>
        <w:t>going engagement with stakeholders on measurement issues</w:t>
      </w:r>
    </w:p>
    <w:p w:rsidR="00AF1BBE" w:rsidRPr="006A74F8" w:rsidRDefault="00E44FE9" w:rsidP="00FD002C">
      <w:r w:rsidRPr="006A74F8">
        <w:t xml:space="preserve">As outlined above, </w:t>
      </w:r>
      <w:r w:rsidR="00F04E95" w:rsidRPr="006A74F8">
        <w:t>NMI will set up a public onlin</w:t>
      </w:r>
      <w:r w:rsidR="00B61071" w:rsidRPr="006A74F8">
        <w:t>e policy register to flag</w:t>
      </w:r>
      <w:r w:rsidR="00F04E95" w:rsidRPr="006A74F8">
        <w:t xml:space="preserve"> issues</w:t>
      </w:r>
      <w:r w:rsidR="00BE6596" w:rsidRPr="006A74F8">
        <w:t xml:space="preserve"> and ideas</w:t>
      </w:r>
      <w:r w:rsidR="00F04E95" w:rsidRPr="006A74F8">
        <w:t xml:space="preserve"> that arise </w:t>
      </w:r>
      <w:r w:rsidR="00B61071" w:rsidRPr="006A74F8">
        <w:t>during implementation</w:t>
      </w:r>
      <w:r w:rsidR="00F04E95" w:rsidRPr="006A74F8">
        <w:t xml:space="preserve">. The policy register is expected to be retained beyond the </w:t>
      </w:r>
      <w:r w:rsidR="00621164" w:rsidRPr="006A74F8">
        <w:t>transition</w:t>
      </w:r>
      <w:r w:rsidR="00F04E95" w:rsidRPr="006A74F8">
        <w:t xml:space="preserve"> and evaluation phases to support ongoing transparency in the </w:t>
      </w:r>
      <w:r w:rsidR="00CE4E5C" w:rsidRPr="006A74F8">
        <w:t xml:space="preserve">evaluation and </w:t>
      </w:r>
      <w:r w:rsidR="00F04E95" w:rsidRPr="006A74F8">
        <w:t>resolution of future policy</w:t>
      </w:r>
      <w:bookmarkEnd w:id="1454"/>
      <w:bookmarkEnd w:id="1455"/>
      <w:bookmarkEnd w:id="1456"/>
      <w:bookmarkEnd w:id="1457"/>
      <w:bookmarkEnd w:id="1684"/>
      <w:bookmarkEnd w:id="1685"/>
      <w:r w:rsidR="00CE4E5C" w:rsidRPr="006A74F8">
        <w:t xml:space="preserve"> issues</w:t>
      </w:r>
      <w:r w:rsidR="00FD002C" w:rsidRPr="006A74F8">
        <w:t>.</w:t>
      </w:r>
    </w:p>
    <w:p w:rsidR="00851A2C" w:rsidRPr="006A74F8" w:rsidRDefault="00B8135B" w:rsidP="00F07BF4">
      <w:r w:rsidRPr="006A74F8">
        <w:t xml:space="preserve">The new </w:t>
      </w:r>
      <w:r w:rsidR="00D778A8" w:rsidRPr="006A74F8">
        <w:t>regulations</w:t>
      </w:r>
      <w:r w:rsidRPr="006A74F8">
        <w:t xml:space="preserve"> will be subject to </w:t>
      </w:r>
      <w:r w:rsidR="00FC5A37" w:rsidRPr="006A74F8">
        <w:t xml:space="preserve">the </w:t>
      </w:r>
      <w:r w:rsidRPr="006A74F8">
        <w:t>standard sunsetting arrangements applicable to legislative instruments.</w:t>
      </w:r>
      <w:r w:rsidRPr="006A74F8">
        <w:rPr>
          <w:rStyle w:val="FootnoteReference"/>
        </w:rPr>
        <w:footnoteReference w:id="86"/>
      </w:r>
      <w:r w:rsidRPr="006A74F8">
        <w:t xml:space="preserve"> </w:t>
      </w:r>
      <w:r w:rsidR="00F07BF4" w:rsidRPr="006A74F8">
        <w:t xml:space="preserve">Instruments are reviewed </w:t>
      </w:r>
      <w:r w:rsidRPr="006A74F8">
        <w:t xml:space="preserve">every 10 years to ensure </w:t>
      </w:r>
      <w:r w:rsidR="00F07BF4" w:rsidRPr="006A74F8">
        <w:t>they</w:t>
      </w:r>
      <w:r w:rsidR="00FE0471" w:rsidRPr="006A74F8">
        <w:t xml:space="preserve"> </w:t>
      </w:r>
      <w:r w:rsidR="00F07BF4" w:rsidRPr="006A74F8">
        <w:t>are kept up to date and remain</w:t>
      </w:r>
      <w:r w:rsidRPr="006A74F8">
        <w:t xml:space="preserve"> fit for purpose.</w:t>
      </w:r>
    </w:p>
    <w:p w:rsidR="009C0C4B" w:rsidRPr="006A74F8" w:rsidRDefault="009C0C4B" w:rsidP="001F2A64">
      <w:pPr>
        <w:sectPr w:rsidR="009C0C4B" w:rsidRPr="006A74F8" w:rsidSect="00EC61D8">
          <w:pgSz w:w="11907" w:h="16840" w:code="9"/>
          <w:pgMar w:top="1440" w:right="1440" w:bottom="1440" w:left="1440" w:header="709" w:footer="0" w:gutter="0"/>
          <w:cols w:space="708"/>
          <w:docGrid w:linePitch="360"/>
        </w:sectPr>
      </w:pPr>
    </w:p>
    <w:p w:rsidR="00A64072" w:rsidRPr="006A74F8" w:rsidRDefault="006E137F" w:rsidP="00C509D2">
      <w:pPr>
        <w:pStyle w:val="Heading1"/>
      </w:pPr>
      <w:bookmarkStart w:id="1784" w:name="_Supporting_confidence_of"/>
      <w:bookmarkStart w:id="1785" w:name="_Support_for_complex"/>
      <w:bookmarkStart w:id="1786" w:name="_Appendix"/>
      <w:bookmarkStart w:id="1787" w:name="_Toc58501225"/>
      <w:bookmarkStart w:id="1788" w:name="_Toc61338681"/>
      <w:bookmarkStart w:id="1789" w:name="_Toc63062598"/>
      <w:bookmarkStart w:id="1790" w:name="_Toc64640252"/>
      <w:bookmarkStart w:id="1791" w:name="_Toc64641222"/>
      <w:bookmarkStart w:id="1792" w:name="_Toc64647164"/>
      <w:bookmarkStart w:id="1793" w:name="_Toc64888336"/>
      <w:bookmarkStart w:id="1794" w:name="_Toc64888710"/>
      <w:bookmarkStart w:id="1795" w:name="_Toc64892985"/>
      <w:bookmarkStart w:id="1796" w:name="_Toc64895645"/>
      <w:bookmarkStart w:id="1797" w:name="_Toc64900871"/>
      <w:bookmarkStart w:id="1798" w:name="_Toc64903118"/>
      <w:bookmarkStart w:id="1799" w:name="_Toc64904076"/>
      <w:bookmarkStart w:id="1800" w:name="_Toc64904279"/>
      <w:bookmarkStart w:id="1801" w:name="_Toc64904741"/>
      <w:bookmarkStart w:id="1802" w:name="_Toc64905255"/>
      <w:bookmarkStart w:id="1803" w:name="_Toc64964013"/>
      <w:bookmarkStart w:id="1804" w:name="_Toc64974630"/>
      <w:bookmarkStart w:id="1805" w:name="_Toc64976312"/>
      <w:bookmarkStart w:id="1806" w:name="_Toc65149692"/>
      <w:bookmarkStart w:id="1807" w:name="_Toc65163449"/>
      <w:bookmarkStart w:id="1808" w:name="_Toc65491089"/>
      <w:bookmarkStart w:id="1809" w:name="_Toc65504825"/>
      <w:bookmarkStart w:id="1810" w:name="_Toc65757908"/>
      <w:bookmarkStart w:id="1811" w:name="_Toc65769503"/>
      <w:bookmarkStart w:id="1812" w:name="_Toc65766871"/>
      <w:bookmarkStart w:id="1813" w:name="_Toc65772645"/>
      <w:bookmarkStart w:id="1814" w:name="_Toc66435702"/>
      <w:bookmarkStart w:id="1815" w:name="_Toc66436491"/>
      <w:bookmarkStart w:id="1816" w:name="_Toc66437702"/>
      <w:bookmarkStart w:id="1817" w:name="_Toc66440041"/>
      <w:bookmarkStart w:id="1818" w:name="_Toc66442244"/>
      <w:bookmarkStart w:id="1819" w:name="_Toc66451913"/>
      <w:bookmarkStart w:id="1820" w:name="_Toc66459190"/>
      <w:bookmarkStart w:id="1821" w:name="_Toc66460244"/>
      <w:bookmarkStart w:id="1822" w:name="_Toc67305395"/>
      <w:bookmarkStart w:id="1823" w:name="_Toc67306309"/>
      <w:bookmarkStart w:id="1824" w:name="_Toc67306759"/>
      <w:bookmarkStart w:id="1825" w:name="_Toc67313611"/>
      <w:bookmarkStart w:id="1826" w:name="_Toc67320804"/>
      <w:bookmarkStart w:id="1827" w:name="_Toc67321957"/>
      <w:bookmarkStart w:id="1828" w:name="_Toc67324422"/>
      <w:bookmarkStart w:id="1829" w:name="_Toc67326583"/>
      <w:bookmarkStart w:id="1830" w:name="_Toc67649120"/>
      <w:bookmarkStart w:id="1831" w:name="_Toc67650104"/>
      <w:bookmarkStart w:id="1832" w:name="_Toc67650359"/>
      <w:bookmarkStart w:id="1833" w:name="_Toc67650651"/>
      <w:bookmarkStart w:id="1834" w:name="_Toc67652971"/>
      <w:bookmarkStart w:id="1835" w:name="_Toc67653056"/>
      <w:bookmarkStart w:id="1836" w:name="_Toc67653488"/>
      <w:bookmarkStart w:id="1837" w:name="_Toc67653551"/>
      <w:bookmarkStart w:id="1838" w:name="_Toc67649968"/>
      <w:bookmarkStart w:id="1839" w:name="_Toc67654054"/>
      <w:bookmarkStart w:id="1840" w:name="_Toc67654361"/>
      <w:bookmarkStart w:id="1841" w:name="_Toc67654578"/>
      <w:bookmarkStart w:id="1842" w:name="_Toc67656185"/>
      <w:bookmarkStart w:id="1843" w:name="_Toc67656947"/>
      <w:bookmarkStart w:id="1844" w:name="_Toc67659246"/>
      <w:bookmarkStart w:id="1845" w:name="_Toc67659747"/>
      <w:bookmarkStart w:id="1846" w:name="_Toc67661714"/>
      <w:bookmarkStart w:id="1847" w:name="_Toc67662805"/>
      <w:bookmarkStart w:id="1848" w:name="_Toc67662946"/>
      <w:bookmarkStart w:id="1849" w:name="_Toc67663712"/>
      <w:bookmarkStart w:id="1850" w:name="_Toc67664133"/>
      <w:bookmarkStart w:id="1851" w:name="_Toc67664452"/>
      <w:bookmarkStart w:id="1852" w:name="_Toc67665429"/>
      <w:bookmarkStart w:id="1853" w:name="_Toc67667179"/>
      <w:bookmarkStart w:id="1854" w:name="_Toc67668252"/>
      <w:bookmarkStart w:id="1855" w:name="_Toc67669159"/>
      <w:bookmarkStart w:id="1856" w:name="_Toc67665770"/>
      <w:bookmarkStart w:id="1857" w:name="_Toc67912159"/>
      <w:bookmarkStart w:id="1858" w:name="_Toc67922240"/>
      <w:bookmarkStart w:id="1859" w:name="_Toc67929099"/>
      <w:bookmarkStart w:id="1860" w:name="_Toc67929393"/>
      <w:bookmarkStart w:id="1861" w:name="_Toc67929618"/>
      <w:bookmarkStart w:id="1862" w:name="_Toc67927095"/>
      <w:bookmarkStart w:id="1863" w:name="_Toc68011260"/>
      <w:bookmarkStart w:id="1864" w:name="_Toc68011318"/>
      <w:bookmarkStart w:id="1865" w:name="_Toc81919537"/>
      <w:bookmarkStart w:id="1866" w:name="_Toc81919811"/>
      <w:bookmarkStart w:id="1867" w:name="_Toc81921166"/>
      <w:bookmarkStart w:id="1868" w:name="_Toc81923653"/>
      <w:bookmarkStart w:id="1869" w:name="_Toc81923768"/>
      <w:bookmarkStart w:id="1870" w:name="_Toc81997308"/>
      <w:bookmarkStart w:id="1871" w:name="_Toc81998081"/>
      <w:bookmarkStart w:id="1872" w:name="_Toc82011845"/>
      <w:bookmarkStart w:id="1873" w:name="_Toc82512691"/>
      <w:bookmarkStart w:id="1874" w:name="_Toc82516159"/>
      <w:bookmarkStart w:id="1875" w:name="_Toc82519110"/>
      <w:bookmarkStart w:id="1876" w:name="_Toc64557478"/>
      <w:bookmarkStart w:id="1877" w:name="_Toc64562203"/>
      <w:bookmarkStart w:id="1878" w:name="_Toc64562459"/>
      <w:bookmarkStart w:id="1879" w:name="_Toc64558458"/>
      <w:bookmarkStart w:id="1880" w:name="_Toc82706648"/>
      <w:bookmarkStart w:id="1881" w:name="_Toc82790537"/>
      <w:bookmarkStart w:id="1882" w:name="_Toc82791056"/>
      <w:bookmarkStart w:id="1883" w:name="_Toc82792367"/>
      <w:bookmarkStart w:id="1884" w:name="_Toc83290749"/>
      <w:bookmarkStart w:id="1885" w:name="_Toc83292758"/>
      <w:bookmarkStart w:id="1886" w:name="_Toc83293529"/>
      <w:bookmarkEnd w:id="1784"/>
      <w:bookmarkEnd w:id="1785"/>
      <w:bookmarkEnd w:id="1786"/>
      <w:r w:rsidRPr="006A74F8">
        <w:lastRenderedPageBreak/>
        <w:t xml:space="preserve">Appendix 1: </w:t>
      </w:r>
      <w:bookmarkEnd w:id="1787"/>
      <w:r w:rsidRPr="006A74F8">
        <w:t>Glossary</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rsidR="00372A5B" w:rsidRPr="006A74F8" w:rsidRDefault="00372A5B" w:rsidP="00FD7AC9">
      <w:r w:rsidRPr="006A74F8">
        <w:rPr>
          <w:b/>
          <w:i/>
        </w:rPr>
        <w:t>Approving authorities</w:t>
      </w:r>
      <w:r w:rsidRPr="006A74F8">
        <w:rPr>
          <w:i/>
        </w:rPr>
        <w:t xml:space="preserve"> </w:t>
      </w:r>
      <w:r w:rsidRPr="006A74F8">
        <w:t>are Legal Metrology Authorities who examine measuring instruments and approve patterns of measuring instruments.</w:t>
      </w:r>
    </w:p>
    <w:p w:rsidR="006E137F" w:rsidRPr="006A74F8" w:rsidRDefault="006E137F" w:rsidP="00FD7AC9">
      <w:r w:rsidRPr="006A74F8">
        <w:rPr>
          <w:b/>
          <w:i/>
        </w:rPr>
        <w:t>Australian Competition and Consumer Commission</w:t>
      </w:r>
      <w:r w:rsidRPr="006A74F8">
        <w:t xml:space="preserve"> (ACCC) is an economy-wide regulator responsible for delivering compliance with competition, consumer protection, product safety and infrastructure laws.</w:t>
      </w:r>
    </w:p>
    <w:p w:rsidR="00FA43C9" w:rsidRPr="006A74F8" w:rsidRDefault="00FA43C9" w:rsidP="00FD7AC9">
      <w:r w:rsidRPr="006A74F8">
        <w:rPr>
          <w:b/>
          <w:i/>
        </w:rPr>
        <w:t>Australian Legal Unit</w:t>
      </w:r>
      <w:r w:rsidR="00100671" w:rsidRPr="006A74F8">
        <w:rPr>
          <w:b/>
          <w:i/>
        </w:rPr>
        <w:t>s</w:t>
      </w:r>
      <w:r w:rsidRPr="006A74F8">
        <w:rPr>
          <w:b/>
          <w:i/>
        </w:rPr>
        <w:t xml:space="preserve"> of Measurement</w:t>
      </w:r>
      <w:r w:rsidRPr="006A74F8">
        <w:rPr>
          <w:b/>
        </w:rPr>
        <w:t xml:space="preserve"> </w:t>
      </w:r>
      <w:r w:rsidRPr="006A74F8">
        <w:t>(ALUMs)</w:t>
      </w:r>
      <w:r w:rsidRPr="006A74F8">
        <w:rPr>
          <w:b/>
          <w:i/>
        </w:rPr>
        <w:t xml:space="preserve"> </w:t>
      </w:r>
      <w:r w:rsidRPr="006A74F8">
        <w:t>are certain units of physical quantities specified under the measurement legislation that must be used for certain legal purposes.</w:t>
      </w:r>
      <w:r w:rsidRPr="006A74F8">
        <w:rPr>
          <w:b/>
        </w:rPr>
        <w:t xml:space="preserve"> </w:t>
      </w:r>
      <w:r w:rsidRPr="006A74F8">
        <w:t>ALUMs include the SI and units derived from or used with the SI.</w:t>
      </w:r>
    </w:p>
    <w:p w:rsidR="0071735C" w:rsidRPr="006A74F8" w:rsidRDefault="0071735C" w:rsidP="0071735C">
      <w:r w:rsidRPr="006A74F8">
        <w:rPr>
          <w:b/>
          <w:i/>
        </w:rPr>
        <w:t>Authorised Third Party (ATP)</w:t>
      </w:r>
      <w:r w:rsidRPr="006A74F8">
        <w:rPr>
          <w:b/>
        </w:rPr>
        <w:t xml:space="preserve"> </w:t>
      </w:r>
      <w:r w:rsidR="00856E0C" w:rsidRPr="006A74F8">
        <w:t>is an</w:t>
      </w:r>
      <w:r w:rsidR="00BB6743" w:rsidRPr="006A74F8">
        <w:rPr>
          <w:b/>
        </w:rPr>
        <w:t xml:space="preserve"> </w:t>
      </w:r>
      <w:r w:rsidRPr="006A74F8">
        <w:t>organisation appointed under the measurement legislation to perform particular measurement services, being Servicing Licensees, Utility Meter Verifiers (UMVs), Public Weighbridge Licensees, and Legal Metrology Authorities (LMAs).</w:t>
      </w:r>
    </w:p>
    <w:p w:rsidR="00DD5288" w:rsidRPr="006A74F8" w:rsidRDefault="00DD5288" w:rsidP="0071735C">
      <w:pPr>
        <w:rPr>
          <w:b/>
          <w:i/>
        </w:rPr>
      </w:pPr>
      <w:r w:rsidRPr="006A74F8">
        <w:rPr>
          <w:b/>
          <w:i/>
        </w:rPr>
        <w:t>Certified Reference Material</w:t>
      </w:r>
      <w:r w:rsidR="00BB6743" w:rsidRPr="006A74F8">
        <w:rPr>
          <w:b/>
          <w:i/>
        </w:rPr>
        <w:t>s</w:t>
      </w:r>
      <w:r w:rsidRPr="006A74F8">
        <w:rPr>
          <w:b/>
          <w:i/>
        </w:rPr>
        <w:t xml:space="preserve"> </w:t>
      </w:r>
      <w:r w:rsidR="00100671" w:rsidRPr="006A74F8">
        <w:rPr>
          <w:b/>
          <w:i/>
        </w:rPr>
        <w:t>(</w:t>
      </w:r>
      <w:r w:rsidRPr="006A74F8">
        <w:rPr>
          <w:b/>
          <w:i/>
        </w:rPr>
        <w:t>CRM</w:t>
      </w:r>
      <w:r w:rsidR="00100671" w:rsidRPr="006A74F8">
        <w:rPr>
          <w:b/>
          <w:i/>
        </w:rPr>
        <w:t>)</w:t>
      </w:r>
      <w:r w:rsidRPr="006A74F8">
        <w:rPr>
          <w:b/>
          <w:i/>
        </w:rPr>
        <w:t xml:space="preserve"> </w:t>
      </w:r>
      <w:r w:rsidR="00BB6743" w:rsidRPr="006A74F8">
        <w:t>are r</w:t>
      </w:r>
      <w:r w:rsidR="00144433" w:rsidRPr="006A74F8">
        <w:rPr>
          <w:lang w:val="en"/>
        </w:rPr>
        <w:t>eference material</w:t>
      </w:r>
      <w:r w:rsidR="00BB6743" w:rsidRPr="006A74F8">
        <w:rPr>
          <w:lang w:val="en"/>
        </w:rPr>
        <w:t>s</w:t>
      </w:r>
      <w:r w:rsidR="00144433" w:rsidRPr="006A74F8">
        <w:rPr>
          <w:lang w:val="en"/>
        </w:rPr>
        <w:t xml:space="preserve"> characterized by a metrologically valid procedure for one or more specified properties, accompanied by a certificate that provides the value of the specified property, its associated uncertainty, and a statement of metrological traceability.</w:t>
      </w:r>
    </w:p>
    <w:p w:rsidR="0071735C" w:rsidRPr="006A74F8" w:rsidRDefault="0071735C" w:rsidP="0071735C">
      <w:pPr>
        <w:rPr>
          <w:b/>
        </w:rPr>
      </w:pPr>
      <w:r w:rsidRPr="006A74F8">
        <w:rPr>
          <w:b/>
          <w:i/>
        </w:rPr>
        <w:t>Certifying authorities</w:t>
      </w:r>
      <w:r w:rsidRPr="006A74F8">
        <w:rPr>
          <w:i/>
        </w:rPr>
        <w:t xml:space="preserve"> </w:t>
      </w:r>
      <w:r w:rsidRPr="006A74F8">
        <w:t>are Legal Metrology Authorities who certify measuring instruments or certify reference materials</w:t>
      </w:r>
      <w:r w:rsidRPr="006A74F8">
        <w:rPr>
          <w:b/>
        </w:rPr>
        <w:t>.</w:t>
      </w:r>
    </w:p>
    <w:p w:rsidR="006E137F" w:rsidRPr="006A74F8" w:rsidRDefault="006E137F" w:rsidP="00FD7AC9">
      <w:r w:rsidRPr="006A74F8">
        <w:rPr>
          <w:b/>
          <w:i/>
        </w:rPr>
        <w:t>Chief Metrologist</w:t>
      </w:r>
      <w:r w:rsidRPr="006A74F8">
        <w:t xml:space="preserve"> is a technical scientific role created under section 18A of the </w:t>
      </w:r>
      <w:r w:rsidRPr="006A74F8">
        <w:rPr>
          <w:i/>
        </w:rPr>
        <w:t>National Measurement Act 1960</w:t>
      </w:r>
      <w:r w:rsidRPr="006A74F8">
        <w:t>. This role has certain powers to determine metrological matters as provided under the Act or Regulations.</w:t>
      </w:r>
    </w:p>
    <w:p w:rsidR="002B4547" w:rsidRPr="006A74F8" w:rsidRDefault="002B4547" w:rsidP="00137F58">
      <w:pPr>
        <w:rPr>
          <w:lang w:val="en-GB"/>
        </w:rPr>
      </w:pPr>
      <w:r w:rsidRPr="006A74F8">
        <w:rPr>
          <w:b/>
          <w:i/>
          <w:lang w:val="en-GB"/>
        </w:rPr>
        <w:t xml:space="preserve">Complex measurements </w:t>
      </w:r>
      <w:r w:rsidRPr="006A74F8">
        <w:rPr>
          <w:lang w:val="en-GB"/>
        </w:rPr>
        <w:t>are measurements that involve a number of different mechanisms and factors that interact in multiple ways. In this RIS, we are considering all the following as complex measurements: chemical, biological, material properties, nano-measurements, and method-dependent measurements. For example: measurement of a nanoparticle diameter by light scattering may be dependent on many different input parameters, and also upon the method</w:t>
      </w:r>
      <w:r w:rsidR="0015293D" w:rsidRPr="006A74F8">
        <w:rPr>
          <w:lang w:val="en-GB"/>
        </w:rPr>
        <w:t>.</w:t>
      </w:r>
    </w:p>
    <w:p w:rsidR="006E137F" w:rsidRPr="006A74F8" w:rsidRDefault="006E137F" w:rsidP="00137F58">
      <w:r w:rsidRPr="006A74F8">
        <w:rPr>
          <w:b/>
          <w:i/>
        </w:rPr>
        <w:t>Conformity to Type</w:t>
      </w:r>
      <w:r w:rsidRPr="006A74F8">
        <w:t xml:space="preserve"> </w:t>
      </w:r>
      <w:r w:rsidR="00EB726B" w:rsidRPr="006A74F8">
        <w:rPr>
          <w:b/>
          <w:i/>
        </w:rPr>
        <w:t>(CTT)</w:t>
      </w:r>
      <w:r w:rsidR="00EB726B" w:rsidRPr="006A74F8">
        <w:t xml:space="preserve"> </w:t>
      </w:r>
      <w:r w:rsidRPr="006A74F8">
        <w:t>is a process where production instruments are assessed to see if they have been manufactured in accordance with the approved design (pattern). CTT powers under the current measurement legislation are limited.</w:t>
      </w:r>
    </w:p>
    <w:p w:rsidR="00A64072" w:rsidRPr="006A74F8" w:rsidRDefault="00801E36" w:rsidP="00A64072">
      <w:pPr>
        <w:rPr>
          <w:b/>
          <w:i/>
        </w:rPr>
      </w:pPr>
      <w:r w:rsidRPr="006A74F8">
        <w:rPr>
          <w:b/>
          <w:i/>
        </w:rPr>
        <w:t xml:space="preserve">Consumers </w:t>
      </w:r>
      <w:r w:rsidRPr="006A74F8">
        <w:t>include the general public and are stated in the RIS as a stakeholder group</w:t>
      </w:r>
      <w:r w:rsidR="0015293D" w:rsidRPr="006A74F8">
        <w:t>.</w:t>
      </w:r>
    </w:p>
    <w:p w:rsidR="008945B7" w:rsidRPr="006A74F8" w:rsidRDefault="008945B7" w:rsidP="00FD7AC9">
      <w:r w:rsidRPr="006A74F8">
        <w:rPr>
          <w:b/>
          <w:i/>
        </w:rPr>
        <w:t xml:space="preserve">General licences </w:t>
      </w:r>
      <w:r w:rsidRPr="006A74F8">
        <w:t>are permissions to undertake certain low risk activities, subject to meeting particular requirements when performing the activities, but without needing to apply and be granted a licence</w:t>
      </w:r>
      <w:r w:rsidR="0015293D" w:rsidRPr="006A74F8">
        <w:t>.</w:t>
      </w:r>
    </w:p>
    <w:p w:rsidR="00A64072" w:rsidRPr="006A74F8" w:rsidRDefault="00801E36" w:rsidP="00C509D2">
      <w:pPr>
        <w:rPr>
          <w:b/>
          <w:i/>
        </w:rPr>
      </w:pPr>
      <w:r w:rsidRPr="006A74F8">
        <w:rPr>
          <w:b/>
          <w:i/>
        </w:rPr>
        <w:t xml:space="preserve">Industry </w:t>
      </w:r>
      <w:r w:rsidRPr="006A74F8">
        <w:t>as a sector is referred to in this RIS as a stakeholder group and includes all and any of the following: manufacturers, suppliers and distributors of measuring instruments used for trade; m</w:t>
      </w:r>
      <w:r w:rsidRPr="006A74F8">
        <w:rPr>
          <w:bCs/>
        </w:rPr>
        <w:t xml:space="preserve">anufacturers, wholesalers, importers and packers of packaged goods; </w:t>
      </w:r>
      <w:r w:rsidR="00854DA3" w:rsidRPr="006A74F8">
        <w:rPr>
          <w:bCs/>
        </w:rPr>
        <w:t>r</w:t>
      </w:r>
      <w:r w:rsidRPr="006A74F8">
        <w:rPr>
          <w:bCs/>
        </w:rPr>
        <w:t>etailers, traders, wholesalers of goods/commodities or services based on measurement (e.g. packaged goods);</w:t>
      </w:r>
      <w:r w:rsidRPr="006A74F8">
        <w:t xml:space="preserve"> third parties appointed by the measurement framework; p</w:t>
      </w:r>
      <w:r w:rsidRPr="006A74F8">
        <w:rPr>
          <w:bCs/>
        </w:rPr>
        <w:t>eak bodies representing industry groups; b</w:t>
      </w:r>
      <w:r w:rsidRPr="006A74F8">
        <w:t>usinesses in ANZSIC industry code groups.</w:t>
      </w:r>
    </w:p>
    <w:p w:rsidR="00131C5F" w:rsidRPr="006A74F8" w:rsidRDefault="00131C5F" w:rsidP="00FD7AC9">
      <w:pPr>
        <w:rPr>
          <w:b/>
          <w:i/>
        </w:rPr>
      </w:pPr>
      <w:r w:rsidRPr="006A74F8">
        <w:rPr>
          <w:b/>
          <w:i/>
        </w:rPr>
        <w:t>Legal Metrology</w:t>
      </w:r>
      <w:r w:rsidRPr="006A74F8">
        <w:t xml:space="preserve"> refers to measurement used for legal purposes</w:t>
      </w:r>
      <w:r w:rsidR="00E64A1E" w:rsidRPr="006A74F8">
        <w:t>.</w:t>
      </w:r>
    </w:p>
    <w:p w:rsidR="00160575" w:rsidRPr="006A74F8" w:rsidRDefault="00160575" w:rsidP="00FD7AC9">
      <w:r w:rsidRPr="006A74F8">
        <w:rPr>
          <w:b/>
          <w:i/>
        </w:rPr>
        <w:lastRenderedPageBreak/>
        <w:t xml:space="preserve">Legal Metrology Authorities </w:t>
      </w:r>
      <w:r w:rsidR="004175E3" w:rsidRPr="006A74F8">
        <w:rPr>
          <w:b/>
          <w:i/>
        </w:rPr>
        <w:t>(LMA</w:t>
      </w:r>
      <w:r w:rsidR="00856E0C" w:rsidRPr="006A74F8">
        <w:rPr>
          <w:b/>
          <w:i/>
        </w:rPr>
        <w:t>s</w:t>
      </w:r>
      <w:r w:rsidR="004175E3" w:rsidRPr="006A74F8">
        <w:rPr>
          <w:b/>
          <w:i/>
        </w:rPr>
        <w:t xml:space="preserve">) </w:t>
      </w:r>
      <w:r w:rsidRPr="006A74F8">
        <w:t xml:space="preserve">are </w:t>
      </w:r>
      <w:r w:rsidR="00DF1FB3" w:rsidRPr="006A74F8">
        <w:t xml:space="preserve">technical </w:t>
      </w:r>
      <w:r w:rsidR="00372A5B" w:rsidRPr="006A74F8">
        <w:t>organisations</w:t>
      </w:r>
      <w:r w:rsidRPr="006A74F8">
        <w:t xml:space="preserve"> which have been appointed </w:t>
      </w:r>
      <w:r w:rsidR="00372A5B" w:rsidRPr="006A74F8">
        <w:t>to provide specific measurement functions that maint</w:t>
      </w:r>
      <w:r w:rsidR="00A9295E" w:rsidRPr="006A74F8">
        <w:t>ain</w:t>
      </w:r>
      <w:r w:rsidR="00372A5B" w:rsidRPr="006A74F8">
        <w:t xml:space="preserve"> confidence in measurements relied upon for legal and trade purposes. They include Approving Authorities, Certifying Authorities, and Verifying Authorities.</w:t>
      </w:r>
    </w:p>
    <w:p w:rsidR="00245CD5" w:rsidRPr="006A74F8" w:rsidRDefault="00245CD5" w:rsidP="00FD7AC9">
      <w:pPr>
        <w:rPr>
          <w:lang w:eastAsia="en-AU"/>
        </w:rPr>
      </w:pPr>
      <w:r w:rsidRPr="006A74F8">
        <w:rPr>
          <w:b/>
          <w:i/>
        </w:rPr>
        <w:t>Legislative framework</w:t>
      </w:r>
      <w:r w:rsidRPr="006A74F8">
        <w:t xml:space="preserve"> refers to the primary legislation and the subordinate regulations and guidelines. This includes </w:t>
      </w:r>
      <w:r w:rsidRPr="006A74F8">
        <w:rPr>
          <w:lang w:eastAsia="en-AU"/>
        </w:rPr>
        <w:t>the</w:t>
      </w:r>
      <w:r w:rsidRPr="006A74F8">
        <w:rPr>
          <w:i/>
          <w:lang w:eastAsia="en-AU"/>
        </w:rPr>
        <w:t xml:space="preserve"> National Measurement Act 1960, </w:t>
      </w:r>
      <w:r w:rsidRPr="006A74F8">
        <w:rPr>
          <w:lang w:eastAsia="en-AU"/>
        </w:rPr>
        <w:t xml:space="preserve">the </w:t>
      </w:r>
      <w:r w:rsidRPr="006A74F8">
        <w:rPr>
          <w:i/>
          <w:lang w:eastAsia="en-AU"/>
        </w:rPr>
        <w:t>National Measurement Regulations 1999</w:t>
      </w:r>
      <w:r w:rsidRPr="006A74F8">
        <w:rPr>
          <w:lang w:eastAsia="en-AU"/>
        </w:rPr>
        <w:t xml:space="preserve">, the </w:t>
      </w:r>
      <w:r w:rsidRPr="006A74F8">
        <w:rPr>
          <w:i/>
          <w:lang w:eastAsia="en-AU"/>
        </w:rPr>
        <w:t>National Trade Measurement Regulations 2009</w:t>
      </w:r>
      <w:r w:rsidRPr="006A74F8">
        <w:rPr>
          <w:lang w:eastAsia="en-AU"/>
        </w:rPr>
        <w:t xml:space="preserve"> and the </w:t>
      </w:r>
      <w:r w:rsidRPr="006A74F8">
        <w:rPr>
          <w:i/>
          <w:lang w:eastAsia="en-AU"/>
        </w:rPr>
        <w:t>National Measurement Guidelines 2016</w:t>
      </w:r>
      <w:r w:rsidRPr="006A74F8">
        <w:rPr>
          <w:lang w:eastAsia="en-AU"/>
        </w:rPr>
        <w:t>.</w:t>
      </w:r>
    </w:p>
    <w:p w:rsidR="0071735C" w:rsidRPr="006A74F8" w:rsidRDefault="009654C4" w:rsidP="0071735C">
      <w:r w:rsidRPr="006A74F8">
        <w:rPr>
          <w:b/>
          <w:i/>
        </w:rPr>
        <w:t>Measurement l</w:t>
      </w:r>
      <w:r w:rsidR="0071735C" w:rsidRPr="006A74F8">
        <w:rPr>
          <w:b/>
          <w:i/>
        </w:rPr>
        <w:t>egislation</w:t>
      </w:r>
      <w:r w:rsidR="0071735C" w:rsidRPr="006A74F8">
        <w:t xml:space="preserve"> refers to the </w:t>
      </w:r>
      <w:r w:rsidR="0071735C" w:rsidRPr="006A74F8">
        <w:rPr>
          <w:i/>
        </w:rPr>
        <w:t>National Measurement Act 1960</w:t>
      </w:r>
      <w:r w:rsidR="0071735C" w:rsidRPr="006A74F8">
        <w:t xml:space="preserve">, </w:t>
      </w:r>
      <w:r w:rsidR="0071735C" w:rsidRPr="006A74F8">
        <w:rPr>
          <w:i/>
        </w:rPr>
        <w:t>the National Measurement Regulations 1999</w:t>
      </w:r>
      <w:r w:rsidR="0071735C" w:rsidRPr="006A74F8">
        <w:t xml:space="preserve">, the </w:t>
      </w:r>
      <w:r w:rsidR="0071735C" w:rsidRPr="006A74F8">
        <w:rPr>
          <w:i/>
        </w:rPr>
        <w:t>National Trade Measurement Regulations 2009</w:t>
      </w:r>
      <w:r w:rsidR="0071735C" w:rsidRPr="006A74F8">
        <w:t xml:space="preserve"> and the </w:t>
      </w:r>
      <w:r w:rsidR="0071735C" w:rsidRPr="006A74F8">
        <w:rPr>
          <w:i/>
        </w:rPr>
        <w:t>National Measurement Guidelines 2016</w:t>
      </w:r>
      <w:r w:rsidR="0071735C" w:rsidRPr="006A74F8">
        <w:t xml:space="preserve">.  </w:t>
      </w:r>
    </w:p>
    <w:p w:rsidR="00BF6494" w:rsidRPr="006A74F8" w:rsidRDefault="00BF6494" w:rsidP="002B4547">
      <w:pPr>
        <w:rPr>
          <w:b/>
          <w:i/>
          <w:lang w:val="en-GB"/>
        </w:rPr>
      </w:pPr>
      <w:r w:rsidRPr="006A74F8">
        <w:rPr>
          <w:b/>
          <w:i/>
          <w:lang w:val="en-GB"/>
        </w:rPr>
        <w:t xml:space="preserve">Measurement </w:t>
      </w:r>
      <w:r w:rsidR="006A74F8">
        <w:rPr>
          <w:b/>
          <w:i/>
          <w:lang w:val="en-GB"/>
        </w:rPr>
        <w:t>s</w:t>
      </w:r>
      <w:r w:rsidRPr="006A74F8">
        <w:rPr>
          <w:b/>
          <w:i/>
          <w:lang w:val="en-GB"/>
        </w:rPr>
        <w:t xml:space="preserve">tandard </w:t>
      </w:r>
      <w:r w:rsidRPr="006A74F8">
        <w:t xml:space="preserve">includes measuring devices, instruments, systems and formulae. Currently referred to in the measurement legislation as a </w:t>
      </w:r>
      <w:r w:rsidR="0060694F" w:rsidRPr="006A74F8">
        <w:rPr>
          <w:i/>
        </w:rPr>
        <w:t>s</w:t>
      </w:r>
      <w:r w:rsidRPr="006A74F8">
        <w:rPr>
          <w:i/>
        </w:rPr>
        <w:t>tandard of measurement</w:t>
      </w:r>
    </w:p>
    <w:p w:rsidR="002B4547" w:rsidRPr="006A74F8" w:rsidRDefault="002B4547" w:rsidP="002B4547">
      <w:pPr>
        <w:rPr>
          <w:rFonts w:ascii="Segoe UI" w:hAnsi="Segoe UI" w:cs="Segoe UI"/>
          <w:color w:val="333333"/>
          <w:lang w:val="en"/>
        </w:rPr>
      </w:pPr>
      <w:r w:rsidRPr="006A74F8">
        <w:rPr>
          <w:b/>
          <w:i/>
          <w:lang w:val="en-GB"/>
        </w:rPr>
        <w:t>Method-dependent measurements</w:t>
      </w:r>
      <w:r w:rsidRPr="006A74F8">
        <w:rPr>
          <w:lang w:val="en-GB"/>
        </w:rPr>
        <w:t xml:space="preserve"> are measurements which have a value dependent on the test method used, and </w:t>
      </w:r>
      <w:r w:rsidR="00906EA7">
        <w:rPr>
          <w:lang w:val="en-GB"/>
        </w:rPr>
        <w:t xml:space="preserve">no independent true value. For </w:t>
      </w:r>
      <w:r w:rsidR="00906EA7" w:rsidRPr="006A74F8">
        <w:rPr>
          <w:color w:val="333333"/>
          <w:lang w:val="en"/>
        </w:rPr>
        <w:t>example</w:t>
      </w:r>
      <w:r w:rsidR="00854DA3" w:rsidRPr="006A74F8">
        <w:rPr>
          <w:color w:val="333333"/>
          <w:lang w:val="en"/>
        </w:rPr>
        <w:t>, i</w:t>
      </w:r>
      <w:r w:rsidRPr="006A74F8">
        <w:rPr>
          <w:color w:val="333333"/>
          <w:lang w:val="en"/>
        </w:rPr>
        <w:t xml:space="preserve">ndustry standard methods used to determine the major components (moisture, fat, protein and carbohydrate) of complex foods. </w:t>
      </w:r>
    </w:p>
    <w:p w:rsidR="00131C5F" w:rsidRPr="006A74F8" w:rsidRDefault="00131C5F" w:rsidP="00FD7AC9">
      <w:pPr>
        <w:rPr>
          <w:b/>
          <w:i/>
        </w:rPr>
      </w:pPr>
      <w:r w:rsidRPr="006A74F8">
        <w:rPr>
          <w:b/>
          <w:i/>
        </w:rPr>
        <w:t>Metrology</w:t>
      </w:r>
      <w:r w:rsidRPr="006A74F8">
        <w:t xml:space="preserve"> is the scientific study </w:t>
      </w:r>
      <w:r w:rsidR="00E64A1E" w:rsidRPr="006A74F8">
        <w:t xml:space="preserve">or technical use </w:t>
      </w:r>
      <w:r w:rsidRPr="006A74F8">
        <w:t>of measurement</w:t>
      </w:r>
      <w:r w:rsidR="00854DA3" w:rsidRPr="006A74F8">
        <w:t>.</w:t>
      </w:r>
      <w:r w:rsidRPr="006A74F8">
        <w:t xml:space="preserve"> </w:t>
      </w:r>
    </w:p>
    <w:p w:rsidR="00A64072" w:rsidRPr="006A74F8" w:rsidRDefault="006E137F" w:rsidP="00A64072">
      <w:r w:rsidRPr="006A74F8">
        <w:rPr>
          <w:b/>
          <w:i/>
        </w:rPr>
        <w:t>National Instrument Test Procedures</w:t>
      </w:r>
      <w:r w:rsidRPr="006A74F8">
        <w:t xml:space="preserve"> </w:t>
      </w:r>
      <w:r w:rsidR="00EB726B" w:rsidRPr="006A74F8">
        <w:rPr>
          <w:b/>
          <w:i/>
        </w:rPr>
        <w:t xml:space="preserve">(NITPs) </w:t>
      </w:r>
      <w:r w:rsidRPr="006A74F8">
        <w:t xml:space="preserve">are used to assess whether measuring instruments measure within the maximum permissible errors and comply with the </w:t>
      </w:r>
      <w:hyperlink r:id="rId34" w:history="1">
        <w:r w:rsidRPr="006A74F8">
          <w:t>certificate of pattern approval</w:t>
        </w:r>
      </w:hyperlink>
      <w:r w:rsidR="00A64072" w:rsidRPr="006A74F8">
        <w:t xml:space="preserve"> issued for that instrument.</w:t>
      </w:r>
    </w:p>
    <w:p w:rsidR="006E137F" w:rsidRPr="006A74F8" w:rsidRDefault="006E137F" w:rsidP="00FD7AC9">
      <w:r w:rsidRPr="006A74F8">
        <w:rPr>
          <w:b/>
          <w:i/>
        </w:rPr>
        <w:t>Pattern approval</w:t>
      </w:r>
      <w:r w:rsidRPr="006A74F8">
        <w:t xml:space="preserve"> is where an impartial body examines the design of an instrument prototype against national or international </w:t>
      </w:r>
      <w:r w:rsidR="0060694F" w:rsidRPr="006A74F8">
        <w:t xml:space="preserve">documentary </w:t>
      </w:r>
      <w:r w:rsidRPr="006A74F8">
        <w:t xml:space="preserve">standards. This </w:t>
      </w:r>
      <w:r w:rsidR="00E64A1E" w:rsidRPr="006A74F8">
        <w:t>confirms</w:t>
      </w:r>
      <w:r w:rsidRPr="006A74F8">
        <w:t xml:space="preserve"> the measurement accuracy of the instrument and whether the instrument retains this accuracy under a range of environmental and operating conditions.</w:t>
      </w:r>
    </w:p>
    <w:p w:rsidR="00083C39" w:rsidRPr="006A74F8" w:rsidRDefault="00083C39" w:rsidP="00FD7AC9">
      <w:r w:rsidRPr="006A74F8">
        <w:rPr>
          <w:b/>
          <w:i/>
        </w:rPr>
        <w:t xml:space="preserve">Primary </w:t>
      </w:r>
      <w:r w:rsidR="006459D7" w:rsidRPr="006A74F8">
        <w:rPr>
          <w:b/>
          <w:i/>
        </w:rPr>
        <w:t>measurement s</w:t>
      </w:r>
      <w:r w:rsidRPr="006A74F8">
        <w:rPr>
          <w:b/>
          <w:i/>
        </w:rPr>
        <w:t>tandards</w:t>
      </w:r>
      <w:r w:rsidRPr="006A74F8" w:rsidDel="00AF48C5">
        <w:rPr>
          <w:rFonts w:ascii="Calibri" w:hAnsi="Calibri" w:cs="Calibri"/>
        </w:rPr>
        <w:t xml:space="preserve"> </w:t>
      </w:r>
      <w:r w:rsidRPr="006A74F8">
        <w:rPr>
          <w:rFonts w:ascii="Calibri" w:hAnsi="Calibri" w:cs="Calibri"/>
        </w:rPr>
        <w:t xml:space="preserve">are standards of measurement of the highest accuracy which have been internationally compared and </w:t>
      </w:r>
      <w:r w:rsidR="0019149D" w:rsidRPr="006A74F8">
        <w:rPr>
          <w:rFonts w:ascii="Calibri" w:hAnsi="Calibri" w:cs="Calibri"/>
        </w:rPr>
        <w:t>recognised</w:t>
      </w:r>
      <w:r w:rsidRPr="006A74F8">
        <w:rPr>
          <w:rFonts w:ascii="Calibri" w:hAnsi="Calibri" w:cs="Calibri"/>
        </w:rPr>
        <w:t xml:space="preserve">. </w:t>
      </w:r>
    </w:p>
    <w:p w:rsidR="006E137F" w:rsidRPr="006A74F8" w:rsidRDefault="006E137F" w:rsidP="00FD7AC9">
      <w:r w:rsidRPr="006A74F8">
        <w:rPr>
          <w:b/>
          <w:i/>
        </w:rPr>
        <w:t>Principles</w:t>
      </w:r>
      <w:r w:rsidR="0045293F" w:rsidRPr="006A74F8">
        <w:rPr>
          <w:b/>
          <w:i/>
        </w:rPr>
        <w:t>-</w:t>
      </w:r>
      <w:r w:rsidRPr="006A74F8">
        <w:rPr>
          <w:b/>
          <w:i/>
        </w:rPr>
        <w:t>based regulation</w:t>
      </w:r>
      <w:r w:rsidRPr="006A74F8">
        <w:t xml:space="preserve"> involves imposing outcome based requirements without specifying exactly how these outcomes must be achieved.</w:t>
      </w:r>
    </w:p>
    <w:p w:rsidR="0009494C" w:rsidRPr="006A74F8" w:rsidRDefault="0009494C" w:rsidP="0009494C">
      <w:r w:rsidRPr="006A74F8">
        <w:rPr>
          <w:b/>
          <w:i/>
        </w:rPr>
        <w:t xml:space="preserve">Public </w:t>
      </w:r>
      <w:r w:rsidR="009654C4" w:rsidRPr="006A74F8">
        <w:rPr>
          <w:b/>
          <w:i/>
        </w:rPr>
        <w:t>w</w:t>
      </w:r>
      <w:r w:rsidRPr="006A74F8">
        <w:rPr>
          <w:b/>
          <w:i/>
        </w:rPr>
        <w:t>eighbridge</w:t>
      </w:r>
      <w:r w:rsidR="009654C4" w:rsidRPr="006A74F8">
        <w:rPr>
          <w:b/>
          <w:i/>
        </w:rPr>
        <w:t>s</w:t>
      </w:r>
      <w:r w:rsidRPr="006A74F8">
        <w:rPr>
          <w:b/>
          <w:i/>
        </w:rPr>
        <w:t xml:space="preserve"> </w:t>
      </w:r>
      <w:r w:rsidRPr="006A74F8">
        <w:t>are</w:t>
      </w:r>
      <w:r w:rsidRPr="006A74F8">
        <w:rPr>
          <w:b/>
          <w:i/>
        </w:rPr>
        <w:t xml:space="preserve"> </w:t>
      </w:r>
      <w:r w:rsidRPr="006A74F8">
        <w:t>weighbridges that are available to make reliable and independent weighing of heavy loads accessible to communities across Australia.</w:t>
      </w:r>
    </w:p>
    <w:p w:rsidR="009654C4" w:rsidRPr="006A74F8" w:rsidRDefault="009654C4" w:rsidP="009654C4">
      <w:r w:rsidRPr="006A74F8">
        <w:rPr>
          <w:b/>
          <w:i/>
        </w:rPr>
        <w:t xml:space="preserve">Public Weighbridge Licensees </w:t>
      </w:r>
      <w:r w:rsidRPr="006A74F8">
        <w:t xml:space="preserve">are entities who hold a </w:t>
      </w:r>
      <w:r w:rsidR="009E2258" w:rsidRPr="006A74F8">
        <w:t>p</w:t>
      </w:r>
      <w:r w:rsidRPr="006A74F8">
        <w:t xml:space="preserve">ublic </w:t>
      </w:r>
      <w:r w:rsidR="009E2258" w:rsidRPr="006A74F8">
        <w:t>w</w:t>
      </w:r>
      <w:r w:rsidRPr="006A74F8">
        <w:t xml:space="preserve">eighbridge </w:t>
      </w:r>
      <w:r w:rsidR="009E2258" w:rsidRPr="006A74F8">
        <w:t>l</w:t>
      </w:r>
      <w:r w:rsidRPr="006A74F8">
        <w:t>icence</w:t>
      </w:r>
      <w:r w:rsidR="009E2258" w:rsidRPr="006A74F8">
        <w:t xml:space="preserve"> permitting them</w:t>
      </w:r>
      <w:r w:rsidRPr="006A74F8">
        <w:t xml:space="preserve"> to operate a public weighbridge</w:t>
      </w:r>
      <w:r w:rsidR="006A572D" w:rsidRPr="006A74F8">
        <w:t>, subject to licence conditions and regulatory requirements</w:t>
      </w:r>
    </w:p>
    <w:p w:rsidR="00A8054D" w:rsidRPr="006A74F8" w:rsidRDefault="00A8054D" w:rsidP="009654C4">
      <w:pPr>
        <w:rPr>
          <w:b/>
          <w:i/>
        </w:rPr>
      </w:pPr>
      <w:r w:rsidRPr="006A74F8">
        <w:rPr>
          <w:b/>
          <w:i/>
        </w:rPr>
        <w:t>Reference material</w:t>
      </w:r>
      <w:r w:rsidR="00E64A1E" w:rsidRPr="006A74F8">
        <w:rPr>
          <w:b/>
          <w:i/>
        </w:rPr>
        <w:t xml:space="preserve"> </w:t>
      </w:r>
      <w:r w:rsidR="00E64A1E" w:rsidRPr="006A74F8">
        <w:t>is</w:t>
      </w:r>
      <w:r w:rsidR="00144433" w:rsidRPr="006A74F8">
        <w:rPr>
          <w:b/>
          <w:i/>
        </w:rPr>
        <w:t xml:space="preserve"> </w:t>
      </w:r>
      <w:r w:rsidR="00144433" w:rsidRPr="006A74F8">
        <w:t>a material</w:t>
      </w:r>
      <w:r w:rsidR="00144433" w:rsidRPr="006A74F8">
        <w:rPr>
          <w:lang w:val="en"/>
        </w:rPr>
        <w:t xml:space="preserve"> that is sufficiently homogeneous and stable with respect to one or more specified properties, which has been established to be fit for its intended use in a measurement process.</w:t>
      </w:r>
    </w:p>
    <w:p w:rsidR="00801E36" w:rsidRPr="006A74F8" w:rsidRDefault="00801E36" w:rsidP="00524E76">
      <w:pPr>
        <w:rPr>
          <w:b/>
          <w:i/>
        </w:rPr>
      </w:pPr>
      <w:r w:rsidRPr="006A74F8">
        <w:rPr>
          <w:b/>
          <w:i/>
        </w:rPr>
        <w:t xml:space="preserve">Regulators </w:t>
      </w:r>
      <w:r w:rsidRPr="006A74F8">
        <w:t xml:space="preserve">are a stakeholder group referred to in this RIS comprising government agencies that rely on measurement such as departments and regulators at the </w:t>
      </w:r>
      <w:r w:rsidR="00FE45E6" w:rsidRPr="006A74F8">
        <w:t>Commonwealth</w:t>
      </w:r>
      <w:r w:rsidRPr="006A74F8">
        <w:t xml:space="preserve">, State/Territory, </w:t>
      </w:r>
      <w:r w:rsidR="0026042A" w:rsidRPr="006A74F8">
        <w:t xml:space="preserve">and </w:t>
      </w:r>
      <w:r w:rsidRPr="006A74F8">
        <w:t>Local government level</w:t>
      </w:r>
      <w:r w:rsidRPr="006A74F8">
        <w:rPr>
          <w:b/>
          <w:i/>
        </w:rPr>
        <w:t>.</w:t>
      </w:r>
    </w:p>
    <w:p w:rsidR="006E137F" w:rsidRPr="006A74F8" w:rsidRDefault="00EB726B" w:rsidP="00FD7AC9">
      <w:r w:rsidRPr="006A74F8">
        <w:rPr>
          <w:b/>
          <w:i/>
        </w:rPr>
        <w:t>Servicing L</w:t>
      </w:r>
      <w:r w:rsidR="006E137F" w:rsidRPr="006A74F8">
        <w:rPr>
          <w:b/>
          <w:i/>
        </w:rPr>
        <w:t>icensees</w:t>
      </w:r>
      <w:r w:rsidR="006E137F" w:rsidRPr="006A74F8">
        <w:t xml:space="preserve"> are private operators appointed under the measurement legislation to help ensure businesses are using accurate measuring instruments. They do this by testing and verifying </w:t>
      </w:r>
      <w:r w:rsidR="006E137F" w:rsidRPr="006A74F8">
        <w:lastRenderedPageBreak/>
        <w:t xml:space="preserve">measuring instruments used for trade. </w:t>
      </w:r>
      <w:r w:rsidR="006E137F" w:rsidRPr="006A74F8">
        <w:rPr>
          <w:b/>
          <w:i/>
        </w:rPr>
        <w:t xml:space="preserve">Utility </w:t>
      </w:r>
      <w:r w:rsidRPr="006A74F8">
        <w:rPr>
          <w:b/>
          <w:i/>
        </w:rPr>
        <w:t>M</w:t>
      </w:r>
      <w:r w:rsidR="006E137F" w:rsidRPr="006A74F8">
        <w:rPr>
          <w:b/>
          <w:i/>
        </w:rPr>
        <w:t xml:space="preserve">eter </w:t>
      </w:r>
      <w:r w:rsidR="00173604">
        <w:rPr>
          <w:b/>
          <w:i/>
        </w:rPr>
        <w:t>V</w:t>
      </w:r>
      <w:r w:rsidR="006E137F" w:rsidRPr="006A74F8">
        <w:rPr>
          <w:b/>
          <w:i/>
        </w:rPr>
        <w:t>erifiers</w:t>
      </w:r>
      <w:r w:rsidR="006E137F" w:rsidRPr="006A74F8">
        <w:t xml:space="preserve"> </w:t>
      </w:r>
      <w:r w:rsidR="00160575" w:rsidRPr="006A74F8">
        <w:rPr>
          <w:b/>
          <w:i/>
        </w:rPr>
        <w:t>(UMVs)</w:t>
      </w:r>
      <w:r w:rsidR="00160575" w:rsidRPr="006A74F8">
        <w:t xml:space="preserve"> </w:t>
      </w:r>
      <w:r w:rsidR="006E137F" w:rsidRPr="006A74F8">
        <w:t xml:space="preserve">perform a similar function </w:t>
      </w:r>
      <w:r w:rsidR="00665CB8" w:rsidRPr="006A74F8">
        <w:t xml:space="preserve">to Servicing Licensees </w:t>
      </w:r>
      <w:r w:rsidR="006E137F" w:rsidRPr="006A74F8">
        <w:t>but specifically in relation to utility meters.</w:t>
      </w:r>
    </w:p>
    <w:p w:rsidR="006E137F" w:rsidRPr="006A74F8" w:rsidRDefault="006E137F" w:rsidP="00FD7AC9">
      <w:r w:rsidRPr="006A74F8">
        <w:rPr>
          <w:b/>
          <w:i/>
        </w:rPr>
        <w:t xml:space="preserve">SI </w:t>
      </w:r>
      <w:r w:rsidRPr="006A74F8">
        <w:t>(</w:t>
      </w:r>
      <w:r w:rsidR="003D4257" w:rsidRPr="006A74F8">
        <w:t>t</w:t>
      </w:r>
      <w:r w:rsidRPr="006A74F8">
        <w:t xml:space="preserve">he </w:t>
      </w:r>
      <w:r w:rsidR="00E64A1E" w:rsidRPr="006A74F8">
        <w:rPr>
          <w:i/>
        </w:rPr>
        <w:t>Syst</w:t>
      </w:r>
      <w:r w:rsidR="00E64A1E" w:rsidRPr="006A74F8">
        <w:rPr>
          <w:rFonts w:cstheme="minorHAnsi"/>
          <w:i/>
        </w:rPr>
        <w:t>è</w:t>
      </w:r>
      <w:r w:rsidR="00E64A1E" w:rsidRPr="006A74F8">
        <w:rPr>
          <w:i/>
        </w:rPr>
        <w:t>me International</w:t>
      </w:r>
      <w:r w:rsidR="00E64A1E" w:rsidRPr="006A74F8">
        <w:t xml:space="preserve"> or </w:t>
      </w:r>
      <w:r w:rsidRPr="006A74F8">
        <w:t xml:space="preserve">International System of Units) is </w:t>
      </w:r>
      <w:r w:rsidR="00FA43C9" w:rsidRPr="006A74F8">
        <w:t xml:space="preserve">the </w:t>
      </w:r>
      <w:r w:rsidRPr="006A74F8">
        <w:t>globally-agreed system of measurements</w:t>
      </w:r>
      <w:r w:rsidR="00500968" w:rsidRPr="006A74F8">
        <w:t>,</w:t>
      </w:r>
      <w:r w:rsidR="00461004">
        <w:t xml:space="preserve"> </w:t>
      </w:r>
      <w:r w:rsidRPr="006A74F8">
        <w:t>commonly known as the metric system.</w:t>
      </w:r>
    </w:p>
    <w:p w:rsidR="006E137F" w:rsidRPr="006A74F8" w:rsidRDefault="006E137F" w:rsidP="00FD7AC9">
      <w:r w:rsidRPr="006A74F8">
        <w:rPr>
          <w:b/>
          <w:i/>
        </w:rPr>
        <w:t>Standard of measurement</w:t>
      </w:r>
      <w:r w:rsidRPr="006A74F8">
        <w:t xml:space="preserve"> </w:t>
      </w:r>
      <w:r w:rsidR="006A74F8">
        <w:t xml:space="preserve">see </w:t>
      </w:r>
      <w:r w:rsidR="006A74F8" w:rsidRPr="00874108">
        <w:t>measurement standard</w:t>
      </w:r>
      <w:r w:rsidRPr="00874108">
        <w:t>.</w:t>
      </w:r>
    </w:p>
    <w:p w:rsidR="0061291D" w:rsidRPr="006A74F8" w:rsidRDefault="0061291D" w:rsidP="00FD7AC9">
      <w:r w:rsidRPr="006A74F8">
        <w:rPr>
          <w:b/>
          <w:i/>
        </w:rPr>
        <w:t>Thematic area</w:t>
      </w:r>
      <w:r w:rsidR="00F30D77" w:rsidRPr="006A74F8">
        <w:rPr>
          <w:b/>
          <w:i/>
        </w:rPr>
        <w:t>s</w:t>
      </w:r>
      <w:r w:rsidRPr="006A74F8">
        <w:rPr>
          <w:i/>
        </w:rPr>
        <w:t xml:space="preserve"> </w:t>
      </w:r>
      <w:r w:rsidR="009027CE" w:rsidRPr="006A74F8">
        <w:t xml:space="preserve">are the </w:t>
      </w:r>
      <w:r w:rsidR="00D568C3" w:rsidRPr="006A74F8">
        <w:t>6</w:t>
      </w:r>
      <w:r w:rsidR="009027CE" w:rsidRPr="006A74F8">
        <w:t xml:space="preserve"> </w:t>
      </w:r>
      <w:r w:rsidR="002951EC" w:rsidRPr="006A74F8">
        <w:t>key elements</w:t>
      </w:r>
      <w:r w:rsidR="009027CE" w:rsidRPr="006A74F8">
        <w:t xml:space="preserve"> that the measurement legislation covers, which were used to structure consultations for the Measurement Law Review. These are</w:t>
      </w:r>
      <w:r w:rsidR="00C7473B" w:rsidRPr="006A74F8">
        <w:t>:</w:t>
      </w:r>
    </w:p>
    <w:p w:rsidR="00C7473B" w:rsidRPr="006A74F8" w:rsidRDefault="00C7473B" w:rsidP="00E150BA">
      <w:pPr>
        <w:pStyle w:val="ListParagraph"/>
        <w:numPr>
          <w:ilvl w:val="0"/>
          <w:numId w:val="65"/>
        </w:numPr>
      </w:pPr>
      <w:r w:rsidRPr="006A74F8">
        <w:rPr>
          <w:u w:val="single"/>
        </w:rPr>
        <w:t>Scope</w:t>
      </w:r>
      <w:r w:rsidRPr="006A74F8">
        <w:t>: What should Australia’s measurement laws cover in a modern economy</w:t>
      </w:r>
    </w:p>
    <w:p w:rsidR="00C7473B" w:rsidRPr="006A74F8" w:rsidRDefault="00C7473B" w:rsidP="00E150BA">
      <w:pPr>
        <w:pStyle w:val="ListParagraph"/>
        <w:numPr>
          <w:ilvl w:val="0"/>
          <w:numId w:val="65"/>
        </w:numPr>
      </w:pPr>
      <w:r w:rsidRPr="006A74F8">
        <w:rPr>
          <w:u w:val="single"/>
        </w:rPr>
        <w:t>Traceability</w:t>
      </w:r>
      <w:r w:rsidRPr="006A74F8">
        <w:t>: What are the legally acceptable ways of ascertaining if a measurement is consistent with a unit of measurement allowed for legal use in Australia</w:t>
      </w:r>
    </w:p>
    <w:p w:rsidR="00C7473B" w:rsidRPr="006A74F8" w:rsidRDefault="00C7473B" w:rsidP="00E150BA">
      <w:pPr>
        <w:pStyle w:val="ListParagraph"/>
        <w:numPr>
          <w:ilvl w:val="0"/>
          <w:numId w:val="65"/>
        </w:numPr>
      </w:pPr>
      <w:r w:rsidRPr="006A74F8">
        <w:rPr>
          <w:u w:val="single"/>
        </w:rPr>
        <w:t>Measuring Instruments</w:t>
      </w:r>
      <w:r w:rsidRPr="006A74F8">
        <w:t>: What is the best way to ensure measuring instruments are suitably accurate and appropriate for use in both trade and non-trade contexts</w:t>
      </w:r>
    </w:p>
    <w:p w:rsidR="00C7473B" w:rsidRPr="006A74F8" w:rsidRDefault="00E254E9" w:rsidP="00E150BA">
      <w:pPr>
        <w:pStyle w:val="ListParagraph"/>
        <w:numPr>
          <w:ilvl w:val="0"/>
          <w:numId w:val="65"/>
        </w:numPr>
      </w:pPr>
      <w:r w:rsidRPr="006A74F8">
        <w:rPr>
          <w:u w:val="single"/>
        </w:rPr>
        <w:t>Measurement-</w:t>
      </w:r>
      <w:r w:rsidR="00C7473B" w:rsidRPr="006A74F8">
        <w:rPr>
          <w:u w:val="single"/>
        </w:rPr>
        <w:t>Based Transactions</w:t>
      </w:r>
      <w:r w:rsidR="00C7473B" w:rsidRPr="006A74F8">
        <w:t>: How can measurement laws ensure a level playing field for trade and ensure consumer confidence in a modern economy</w:t>
      </w:r>
    </w:p>
    <w:p w:rsidR="00C7473B" w:rsidRPr="006A74F8" w:rsidRDefault="00C7473B" w:rsidP="00E150BA">
      <w:pPr>
        <w:pStyle w:val="ListParagraph"/>
        <w:numPr>
          <w:ilvl w:val="0"/>
          <w:numId w:val="65"/>
        </w:numPr>
      </w:pPr>
      <w:r w:rsidRPr="006A74F8">
        <w:rPr>
          <w:u w:val="single"/>
        </w:rPr>
        <w:t>Third Party Arrangements</w:t>
      </w:r>
      <w:r w:rsidRPr="006A74F8">
        <w:t>: What arrangements for third parties would best support Australia’s measurement framework and technical measurement infrastructure</w:t>
      </w:r>
    </w:p>
    <w:p w:rsidR="00C7473B" w:rsidRPr="006A74F8" w:rsidRDefault="00C7473B" w:rsidP="00E150BA">
      <w:pPr>
        <w:pStyle w:val="ListParagraph"/>
        <w:numPr>
          <w:ilvl w:val="0"/>
          <w:numId w:val="65"/>
        </w:numPr>
      </w:pPr>
      <w:r w:rsidRPr="006A74F8">
        <w:rPr>
          <w:u w:val="single"/>
        </w:rPr>
        <w:t>Compliance Arrangements</w:t>
      </w:r>
      <w:r w:rsidRPr="006A74F8">
        <w:t>: What mechanisms can be used to effectively encourage compliant behaviour</w:t>
      </w:r>
      <w:r w:rsidR="00173604">
        <w:t>.</w:t>
      </w:r>
    </w:p>
    <w:p w:rsidR="00B04C2F" w:rsidRPr="00874108" w:rsidRDefault="00B04C2F" w:rsidP="00B04C2F">
      <w:pPr>
        <w:rPr>
          <w:rFonts w:cstheme="minorHAnsi"/>
          <w:bCs/>
        </w:rPr>
      </w:pPr>
      <w:r w:rsidRPr="00B04C2F">
        <w:rPr>
          <w:rFonts w:cstheme="minorHAnsi"/>
          <w:b/>
          <w:i/>
        </w:rPr>
        <w:t>Traceability</w:t>
      </w:r>
      <w:r w:rsidRPr="00B04C2F">
        <w:rPr>
          <w:rFonts w:cstheme="minorHAnsi"/>
        </w:rPr>
        <w:t xml:space="preserve"> is defined by the as: the property of a </w:t>
      </w:r>
      <w:r w:rsidRPr="00874108">
        <w:rPr>
          <w:rFonts w:cstheme="minorHAnsi"/>
          <w:bCs/>
        </w:rPr>
        <w:t xml:space="preserve">measurement result </w:t>
      </w:r>
      <w:r w:rsidRPr="00874108">
        <w:rPr>
          <w:rFonts w:cstheme="minorHAnsi"/>
        </w:rPr>
        <w:t xml:space="preserve">whereby the result can be related to a reference through a documented unbroken chain of </w:t>
      </w:r>
      <w:r w:rsidRPr="00874108">
        <w:rPr>
          <w:rFonts w:cstheme="minorHAnsi"/>
          <w:bCs/>
        </w:rPr>
        <w:t>calibrations</w:t>
      </w:r>
      <w:r w:rsidRPr="00874108">
        <w:rPr>
          <w:rFonts w:cstheme="minorHAnsi"/>
        </w:rPr>
        <w:t xml:space="preserve">, each contributing to the </w:t>
      </w:r>
      <w:r w:rsidRPr="00874108">
        <w:rPr>
          <w:rFonts w:cstheme="minorHAnsi"/>
          <w:bCs/>
        </w:rPr>
        <w:t>measurement uncertainty.</w:t>
      </w:r>
    </w:p>
    <w:p w:rsidR="000B114A" w:rsidRPr="006A74F8" w:rsidRDefault="000B114A" w:rsidP="00FD7AC9">
      <w:pPr>
        <w:rPr>
          <w:rFonts w:cstheme="minorHAnsi"/>
          <w:b/>
          <w:i/>
        </w:rPr>
      </w:pPr>
      <w:r w:rsidRPr="006A74F8">
        <w:rPr>
          <w:rFonts w:cstheme="minorHAnsi"/>
          <w:b/>
          <w:i/>
        </w:rPr>
        <w:t>Trade measurement</w:t>
      </w:r>
      <w:r w:rsidR="00354E92" w:rsidRPr="006A74F8">
        <w:rPr>
          <w:rFonts w:cstheme="minorHAnsi"/>
          <w:b/>
          <w:i/>
        </w:rPr>
        <w:t xml:space="preserve"> </w:t>
      </w:r>
      <w:r w:rsidR="00354E92" w:rsidRPr="006A74F8">
        <w:t xml:space="preserve">refers to </w:t>
      </w:r>
      <w:r w:rsidR="00500968" w:rsidRPr="006A74F8">
        <w:t xml:space="preserve">the </w:t>
      </w:r>
      <w:r w:rsidR="00354E92" w:rsidRPr="006A74F8">
        <w:t>buying and selling of goods and services where the value is determined by measurement.</w:t>
      </w:r>
    </w:p>
    <w:p w:rsidR="004175E3" w:rsidRPr="006A74F8" w:rsidRDefault="004175E3" w:rsidP="00FD7AC9">
      <w:pPr>
        <w:rPr>
          <w:b/>
          <w:i/>
        </w:rPr>
      </w:pPr>
      <w:r w:rsidRPr="006A74F8">
        <w:rPr>
          <w:b/>
          <w:i/>
        </w:rPr>
        <w:t>Utility Meter Verifiers (UMV</w:t>
      </w:r>
      <w:r w:rsidR="00856E0C" w:rsidRPr="006A74F8">
        <w:rPr>
          <w:b/>
          <w:i/>
        </w:rPr>
        <w:t>s</w:t>
      </w:r>
      <w:r w:rsidRPr="006A74F8">
        <w:rPr>
          <w:b/>
          <w:i/>
        </w:rPr>
        <w:t xml:space="preserve">) </w:t>
      </w:r>
      <w:r w:rsidRPr="006A74F8">
        <w:t xml:space="preserve">are private operators appointed under the measurement legislation to help ensure businesses are using accurate utility meters. They do this by testing and verifying utility meters used for trade. </w:t>
      </w:r>
      <w:r w:rsidRPr="006A74F8">
        <w:rPr>
          <w:b/>
          <w:i/>
        </w:rPr>
        <w:t xml:space="preserve">Servicing Licensees </w:t>
      </w:r>
      <w:r w:rsidRPr="006A74F8">
        <w:t xml:space="preserve">perform a similar function </w:t>
      </w:r>
      <w:r w:rsidR="00665CB8" w:rsidRPr="006A74F8">
        <w:t xml:space="preserve">to UMVs </w:t>
      </w:r>
      <w:r w:rsidRPr="006A74F8">
        <w:t>but in relation to measuring instruments used for trade more broadly.</w:t>
      </w:r>
    </w:p>
    <w:p w:rsidR="0071735C" w:rsidRPr="006A74F8" w:rsidRDefault="006E137F" w:rsidP="00FD7AC9">
      <w:r w:rsidRPr="006A74F8">
        <w:rPr>
          <w:b/>
          <w:i/>
        </w:rPr>
        <w:t>Verification process</w:t>
      </w:r>
      <w:r w:rsidRPr="006A74F8">
        <w:t xml:space="preserve"> includes testing the accuracy of an instrument and affixing a verification mark if the instrument is operating within appropriate error limits. For more information regarding verification of instruments use for trade, see: </w:t>
      </w:r>
      <w:hyperlink r:id="rId35" w:history="1">
        <w:r w:rsidRPr="006A74F8">
          <w:rPr>
            <w:rStyle w:val="Hyperlink"/>
          </w:rPr>
          <w:t>https://www.industry.gov.au/regulations-and-standards/servicing-licensees/verifying-measuring-instruments-for-trade</w:t>
        </w:r>
      </w:hyperlink>
      <w:r w:rsidRPr="006A74F8">
        <w:t>.</w:t>
      </w:r>
    </w:p>
    <w:p w:rsidR="00342097" w:rsidRPr="006A74F8" w:rsidRDefault="00372A5B" w:rsidP="00FD7AC9">
      <w:r w:rsidRPr="006A74F8">
        <w:rPr>
          <w:b/>
          <w:i/>
        </w:rPr>
        <w:t>Verifying authorities</w:t>
      </w:r>
      <w:r w:rsidRPr="006A74F8">
        <w:rPr>
          <w:i/>
        </w:rPr>
        <w:t xml:space="preserve"> </w:t>
      </w:r>
      <w:r w:rsidRPr="006A74F8">
        <w:t>are Legal Metrology Authorities who verify standards of measurement and artefacts</w:t>
      </w:r>
      <w:r w:rsidR="0045293F" w:rsidRPr="006A74F8">
        <w:t>.</w:t>
      </w:r>
    </w:p>
    <w:p w:rsidR="00BB6743" w:rsidRPr="006A74F8" w:rsidRDefault="00BB6743" w:rsidP="00FD7AC9">
      <w:pPr>
        <w:rPr>
          <w:rFonts w:ascii="Arial" w:hAnsi="Arial" w:cs="Arial"/>
          <w:color w:val="333333"/>
          <w:shd w:val="clear" w:color="auto" w:fill="FFFFFF"/>
        </w:rPr>
      </w:pPr>
      <w:r w:rsidRPr="006A74F8">
        <w:rPr>
          <w:b/>
          <w:i/>
        </w:rPr>
        <w:t>Weighbridge</w:t>
      </w:r>
      <w:r w:rsidR="0009494C" w:rsidRPr="006A74F8">
        <w:rPr>
          <w:b/>
          <w:i/>
        </w:rPr>
        <w:t>s</w:t>
      </w:r>
      <w:r w:rsidRPr="006A74F8">
        <w:t xml:space="preserve"> </w:t>
      </w:r>
      <w:r w:rsidR="0009494C" w:rsidRPr="006A74F8">
        <w:t xml:space="preserve">are </w:t>
      </w:r>
      <w:r w:rsidRPr="006A74F8">
        <w:t>measuring instrument</w:t>
      </w:r>
      <w:r w:rsidR="0009494C" w:rsidRPr="006A74F8">
        <w:t>s</w:t>
      </w:r>
      <w:r w:rsidRPr="006A74F8">
        <w:t xml:space="preserve"> that </w:t>
      </w:r>
      <w:r w:rsidR="0009494C" w:rsidRPr="006A74F8">
        <w:t xml:space="preserve">have </w:t>
      </w:r>
      <w:r w:rsidRPr="006A74F8">
        <w:t xml:space="preserve">a capacity of 3 tonnes </w:t>
      </w:r>
      <w:r w:rsidR="00665CB8" w:rsidRPr="006A74F8">
        <w:t xml:space="preserve">or more </w:t>
      </w:r>
      <w:r w:rsidRPr="006A74F8">
        <w:t xml:space="preserve">and </w:t>
      </w:r>
      <w:r w:rsidR="0009494C" w:rsidRPr="006A74F8">
        <w:t>can be used to determine the mass of a vehicle, including prime movers and connected trailers. They are used to weigh goods such as farm produce, agricultural products, scrap metal and landscape materials weighing over 3 tonnes</w:t>
      </w:r>
      <w:r w:rsidR="0009494C" w:rsidRPr="006A74F8">
        <w:rPr>
          <w:rFonts w:ascii="Arial" w:hAnsi="Arial" w:cs="Arial"/>
          <w:color w:val="333333"/>
          <w:shd w:val="clear" w:color="auto" w:fill="FFFFFF"/>
        </w:rPr>
        <w:t>.</w:t>
      </w:r>
    </w:p>
    <w:p w:rsidR="00FA592E" w:rsidRPr="006A74F8" w:rsidRDefault="00FA592E" w:rsidP="00FD7AC9"/>
    <w:p w:rsidR="00FA592E" w:rsidRPr="006A74F8" w:rsidRDefault="00FA592E" w:rsidP="00FA592E"/>
    <w:p w:rsidR="006E137F" w:rsidRPr="006A74F8" w:rsidRDefault="006E137F" w:rsidP="00586A20">
      <w:pPr>
        <w:pStyle w:val="Heading1"/>
        <w:ind w:left="709" w:hanging="709"/>
      </w:pPr>
      <w:bookmarkStart w:id="1887" w:name="_Appendix_3:_Further"/>
      <w:bookmarkStart w:id="1888" w:name="_Toc67305396"/>
      <w:bookmarkStart w:id="1889" w:name="_Toc67306310"/>
      <w:bookmarkStart w:id="1890" w:name="_Toc67306760"/>
      <w:bookmarkStart w:id="1891" w:name="_Toc67313612"/>
      <w:bookmarkStart w:id="1892" w:name="_Toc67320805"/>
      <w:bookmarkStart w:id="1893" w:name="_Toc67321958"/>
      <w:bookmarkStart w:id="1894" w:name="_Toc67324423"/>
      <w:bookmarkStart w:id="1895" w:name="_Toc67326584"/>
      <w:bookmarkStart w:id="1896" w:name="_Toc67649122"/>
      <w:bookmarkStart w:id="1897" w:name="_Toc67650106"/>
      <w:bookmarkStart w:id="1898" w:name="_Toc67650361"/>
      <w:bookmarkStart w:id="1899" w:name="_Toc67650653"/>
      <w:bookmarkStart w:id="1900" w:name="_Toc67652973"/>
      <w:bookmarkStart w:id="1901" w:name="_Toc67653058"/>
      <w:bookmarkStart w:id="1902" w:name="_Toc67653490"/>
      <w:bookmarkStart w:id="1903" w:name="_Toc67653553"/>
      <w:bookmarkStart w:id="1904" w:name="_Toc67649970"/>
      <w:bookmarkStart w:id="1905" w:name="_Toc67654056"/>
      <w:bookmarkStart w:id="1906" w:name="_Toc67654363"/>
      <w:bookmarkStart w:id="1907" w:name="_Toc67654580"/>
      <w:bookmarkStart w:id="1908" w:name="_Toc67656187"/>
      <w:bookmarkStart w:id="1909" w:name="_Toc67656949"/>
      <w:bookmarkStart w:id="1910" w:name="_Toc67659248"/>
      <w:bookmarkStart w:id="1911" w:name="_Toc67659749"/>
      <w:bookmarkStart w:id="1912" w:name="_Toc67661716"/>
      <w:bookmarkStart w:id="1913" w:name="_Toc67662807"/>
      <w:bookmarkStart w:id="1914" w:name="_Toc67662948"/>
      <w:bookmarkStart w:id="1915" w:name="_Toc67663714"/>
      <w:bookmarkStart w:id="1916" w:name="_Toc67664135"/>
      <w:bookmarkStart w:id="1917" w:name="_Toc67664454"/>
      <w:bookmarkStart w:id="1918" w:name="_Toc67665431"/>
      <w:bookmarkStart w:id="1919" w:name="_Toc67667181"/>
      <w:bookmarkStart w:id="1920" w:name="_Toc67668254"/>
      <w:bookmarkStart w:id="1921" w:name="_Toc67669161"/>
      <w:bookmarkStart w:id="1922" w:name="_Toc67665772"/>
      <w:bookmarkStart w:id="1923" w:name="_Toc67912161"/>
      <w:bookmarkStart w:id="1924" w:name="_Toc67922242"/>
      <w:bookmarkStart w:id="1925" w:name="_Toc67929101"/>
      <w:bookmarkStart w:id="1926" w:name="_Toc67929395"/>
      <w:bookmarkStart w:id="1927" w:name="_Toc67929620"/>
      <w:bookmarkStart w:id="1928" w:name="_Toc67927097"/>
      <w:bookmarkStart w:id="1929" w:name="_Toc68011262"/>
      <w:bookmarkStart w:id="1930" w:name="_Toc68011320"/>
      <w:bookmarkStart w:id="1931" w:name="_Toc81919616"/>
      <w:bookmarkStart w:id="1932" w:name="_Toc81919890"/>
      <w:bookmarkStart w:id="1933" w:name="_Toc81921169"/>
      <w:bookmarkStart w:id="1934" w:name="_Toc81923732"/>
      <w:bookmarkStart w:id="1935" w:name="_Toc81923771"/>
      <w:bookmarkStart w:id="1936" w:name="_Toc81997309"/>
      <w:bookmarkStart w:id="1937" w:name="_Toc81998082"/>
      <w:bookmarkStart w:id="1938" w:name="_Toc82011846"/>
      <w:bookmarkStart w:id="1939" w:name="_Toc82512692"/>
      <w:bookmarkStart w:id="1940" w:name="_Toc82516160"/>
      <w:bookmarkStart w:id="1941" w:name="_Toc82519111"/>
      <w:bookmarkStart w:id="1942" w:name="_Toc82706649"/>
      <w:bookmarkStart w:id="1943" w:name="_Toc82790538"/>
      <w:bookmarkStart w:id="1944" w:name="_Toc82791057"/>
      <w:bookmarkStart w:id="1945" w:name="_Toc82792368"/>
      <w:bookmarkStart w:id="1946" w:name="_Toc83290750"/>
      <w:bookmarkStart w:id="1947" w:name="_Toc83292759"/>
      <w:bookmarkStart w:id="1948" w:name="_Toc83293530"/>
      <w:bookmarkEnd w:id="1887"/>
      <w:r w:rsidRPr="006A74F8">
        <w:lastRenderedPageBreak/>
        <w:t xml:space="preserve">Appendix </w:t>
      </w:r>
      <w:r w:rsidR="00266F0F" w:rsidRPr="006A74F8">
        <w:t>2</w:t>
      </w:r>
      <w:r w:rsidRPr="006A74F8">
        <w:t xml:space="preserve">: </w:t>
      </w:r>
      <w:r w:rsidR="008A4BAE" w:rsidRPr="006A74F8">
        <w:t>Further b</w:t>
      </w:r>
      <w:r w:rsidR="00932C4F" w:rsidRPr="006A74F8">
        <w:t>ackground</w:t>
      </w:r>
      <w:r w:rsidR="000541A9" w:rsidRPr="006A74F8">
        <w:t xml:space="preserve"> and context for the review</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rsidR="000541A9" w:rsidRPr="006A74F8" w:rsidRDefault="00E939D2" w:rsidP="00732824">
      <w:pPr>
        <w:pStyle w:val="Heading2"/>
      </w:pPr>
      <w:bookmarkStart w:id="1949" w:name="_Toc67390603"/>
      <w:r w:rsidRPr="006A74F8">
        <w:t xml:space="preserve"> </w:t>
      </w:r>
      <w:r w:rsidR="000541A9" w:rsidRPr="006A74F8">
        <w:t xml:space="preserve">The </w:t>
      </w:r>
      <w:r w:rsidR="00CE7AE5" w:rsidRPr="006A74F8">
        <w:t>existing legislation</w:t>
      </w:r>
      <w:bookmarkEnd w:id="1949"/>
      <w:r w:rsidR="00CE7AE5" w:rsidRPr="006A74F8">
        <w:t xml:space="preserve"> </w:t>
      </w:r>
    </w:p>
    <w:p w:rsidR="006E137F" w:rsidRPr="006A74F8" w:rsidRDefault="006E137F" w:rsidP="00FD7AC9">
      <w:r w:rsidRPr="006A74F8">
        <w:t xml:space="preserve">Australia’s </w:t>
      </w:r>
      <w:r w:rsidR="00932C4F" w:rsidRPr="006A74F8">
        <w:t xml:space="preserve">current </w:t>
      </w:r>
      <w:r w:rsidRPr="006A74F8">
        <w:t xml:space="preserve">measurement </w:t>
      </w:r>
      <w:r w:rsidR="00932C4F" w:rsidRPr="006A74F8">
        <w:t>legislative framework consists of the</w:t>
      </w:r>
      <w:r w:rsidRPr="006A74F8">
        <w:t xml:space="preserve">: </w:t>
      </w:r>
    </w:p>
    <w:p w:rsidR="006E137F" w:rsidRPr="006A74F8" w:rsidRDefault="006E137F" w:rsidP="00F26BA8">
      <w:pPr>
        <w:pStyle w:val="NormalWeb"/>
        <w:numPr>
          <w:ilvl w:val="0"/>
          <w:numId w:val="47"/>
        </w:numPr>
        <w:tabs>
          <w:tab w:val="left" w:pos="2454"/>
        </w:tabs>
        <w:spacing w:before="0" w:beforeAutospacing="0" w:after="120" w:afterAutospacing="0"/>
        <w:rPr>
          <w:rFonts w:asciiTheme="minorHAnsi" w:hAnsiTheme="minorHAnsi" w:cstheme="minorHAnsi"/>
          <w:color w:val="000000"/>
          <w:sz w:val="22"/>
          <w:szCs w:val="22"/>
        </w:rPr>
      </w:pPr>
      <w:r w:rsidRPr="006A74F8">
        <w:rPr>
          <w:rFonts w:asciiTheme="minorHAnsi" w:hAnsiTheme="minorHAnsi" w:cstheme="minorHAnsi"/>
          <w:i/>
          <w:color w:val="000000"/>
          <w:sz w:val="22"/>
          <w:szCs w:val="22"/>
        </w:rPr>
        <w:t>National Measurement Act 1960</w:t>
      </w:r>
      <w:r w:rsidR="00E574B1" w:rsidRPr="006A74F8">
        <w:rPr>
          <w:rFonts w:asciiTheme="minorHAnsi" w:hAnsiTheme="minorHAnsi" w:cstheme="minorHAnsi"/>
          <w:i/>
          <w:color w:val="000000"/>
          <w:sz w:val="22"/>
          <w:szCs w:val="22"/>
        </w:rPr>
        <w:t xml:space="preserve"> </w:t>
      </w:r>
      <w:r w:rsidR="00E574B1" w:rsidRPr="006A74F8">
        <w:rPr>
          <w:rFonts w:asciiTheme="minorHAnsi" w:hAnsiTheme="minorHAnsi" w:cstheme="minorHAnsi"/>
          <w:color w:val="000000"/>
          <w:sz w:val="22"/>
          <w:szCs w:val="22"/>
        </w:rPr>
        <w:t>(the Act)</w:t>
      </w:r>
    </w:p>
    <w:p w:rsidR="006E137F" w:rsidRPr="006A74F8" w:rsidRDefault="006E137F" w:rsidP="00F26BA8">
      <w:pPr>
        <w:pStyle w:val="NormalWeb"/>
        <w:numPr>
          <w:ilvl w:val="0"/>
          <w:numId w:val="47"/>
        </w:numPr>
        <w:tabs>
          <w:tab w:val="left" w:pos="2454"/>
        </w:tabs>
        <w:spacing w:before="0" w:beforeAutospacing="0" w:after="120" w:afterAutospacing="0"/>
        <w:rPr>
          <w:rFonts w:asciiTheme="minorHAnsi" w:hAnsiTheme="minorHAnsi" w:cstheme="minorHAnsi"/>
          <w:color w:val="000000"/>
          <w:sz w:val="22"/>
          <w:szCs w:val="22"/>
        </w:rPr>
      </w:pPr>
      <w:r w:rsidRPr="006A74F8">
        <w:rPr>
          <w:rFonts w:asciiTheme="minorHAnsi" w:hAnsiTheme="minorHAnsi" w:cstheme="minorHAnsi"/>
          <w:i/>
          <w:color w:val="000000"/>
          <w:sz w:val="22"/>
          <w:szCs w:val="22"/>
        </w:rPr>
        <w:t>National Measurement Regulations 1999</w:t>
      </w:r>
    </w:p>
    <w:p w:rsidR="006E137F" w:rsidRPr="006A74F8" w:rsidRDefault="006E137F" w:rsidP="00F26BA8">
      <w:pPr>
        <w:pStyle w:val="NormalWeb"/>
        <w:numPr>
          <w:ilvl w:val="0"/>
          <w:numId w:val="47"/>
        </w:numPr>
        <w:tabs>
          <w:tab w:val="left" w:pos="2454"/>
        </w:tabs>
        <w:spacing w:before="0" w:beforeAutospacing="0" w:after="120" w:afterAutospacing="0"/>
        <w:rPr>
          <w:rFonts w:asciiTheme="minorHAnsi" w:hAnsiTheme="minorHAnsi" w:cstheme="minorHAnsi"/>
          <w:color w:val="000000"/>
          <w:sz w:val="22"/>
          <w:szCs w:val="22"/>
        </w:rPr>
      </w:pPr>
      <w:r w:rsidRPr="006A74F8">
        <w:rPr>
          <w:rFonts w:asciiTheme="minorHAnsi" w:hAnsiTheme="minorHAnsi" w:cstheme="minorHAnsi"/>
          <w:i/>
          <w:color w:val="000000"/>
          <w:sz w:val="22"/>
          <w:szCs w:val="22"/>
        </w:rPr>
        <w:t>National Trade Measurement Regulations 2009</w:t>
      </w:r>
    </w:p>
    <w:p w:rsidR="006E137F" w:rsidRPr="006A74F8" w:rsidRDefault="006E137F" w:rsidP="00F26BA8">
      <w:pPr>
        <w:pStyle w:val="NormalWeb"/>
        <w:numPr>
          <w:ilvl w:val="0"/>
          <w:numId w:val="47"/>
        </w:numPr>
        <w:tabs>
          <w:tab w:val="left" w:pos="2454"/>
        </w:tabs>
        <w:spacing w:before="0" w:beforeAutospacing="0" w:after="160" w:afterAutospacing="0"/>
        <w:ind w:left="714" w:hanging="357"/>
        <w:rPr>
          <w:rFonts w:asciiTheme="minorHAnsi" w:hAnsiTheme="minorHAnsi" w:cstheme="minorHAnsi"/>
          <w:color w:val="000000"/>
          <w:sz w:val="22"/>
          <w:szCs w:val="22"/>
        </w:rPr>
      </w:pPr>
      <w:r w:rsidRPr="006A74F8">
        <w:rPr>
          <w:rFonts w:asciiTheme="minorHAnsi" w:hAnsiTheme="minorHAnsi" w:cstheme="minorHAnsi"/>
          <w:i/>
          <w:color w:val="000000"/>
          <w:sz w:val="22"/>
          <w:szCs w:val="22"/>
        </w:rPr>
        <w:t>National Measurement Guidelines 2016</w:t>
      </w:r>
    </w:p>
    <w:p w:rsidR="006E137F" w:rsidRPr="006A74F8" w:rsidRDefault="006E137F" w:rsidP="00FD7AC9">
      <w:pPr>
        <w:rPr>
          <w:rFonts w:cstheme="minorHAnsi"/>
        </w:rPr>
      </w:pPr>
      <w:r w:rsidRPr="006A74F8">
        <w:t>The Act establishes a national system of units and standards of measurement of physical quantities, provides for their uniform use throughout Australia, coordinates the national system of measurement and brings about the use of the metric system of measurement as the sole system of measurement of physical quantities. It also provides for a national system of trade measurement.</w:t>
      </w:r>
      <w:r w:rsidRPr="006A74F8">
        <w:rPr>
          <w:rStyle w:val="FootnoteReference"/>
          <w:rFonts w:cstheme="minorHAnsi"/>
        </w:rPr>
        <w:footnoteReference w:id="87"/>
      </w:r>
    </w:p>
    <w:p w:rsidR="006E137F" w:rsidRPr="006A74F8" w:rsidRDefault="006E137F" w:rsidP="00FD7AC9">
      <w:pPr>
        <w:rPr>
          <w:rFonts w:cstheme="minorHAnsi"/>
        </w:rPr>
      </w:pPr>
      <w:r w:rsidRPr="006A74F8">
        <w:t>The Act</w:t>
      </w:r>
      <w:r w:rsidRPr="006A74F8">
        <w:rPr>
          <w:rFonts w:cstheme="minorHAnsi"/>
        </w:rPr>
        <w:t xml:space="preserve"> establishes the </w:t>
      </w:r>
      <w:r w:rsidR="00A333D7" w:rsidRPr="006A74F8">
        <w:rPr>
          <w:rFonts w:cstheme="minorHAnsi"/>
        </w:rPr>
        <w:t>NMI</w:t>
      </w:r>
      <w:r w:rsidRPr="006A74F8">
        <w:rPr>
          <w:rFonts w:cstheme="minorHAnsi"/>
        </w:rPr>
        <w:t xml:space="preserve"> and the position of Chief Metrologist. The metrological functions of the </w:t>
      </w:r>
      <w:r w:rsidR="000A4303" w:rsidRPr="006A74F8">
        <w:rPr>
          <w:rFonts w:cstheme="minorHAnsi"/>
        </w:rPr>
        <w:t>government</w:t>
      </w:r>
      <w:r w:rsidRPr="006A74F8">
        <w:rPr>
          <w:rFonts w:cstheme="minorHAnsi"/>
        </w:rPr>
        <w:t xml:space="preserve"> are executed by the Secretary of the </w:t>
      </w:r>
      <w:r w:rsidR="00CB6EBC" w:rsidRPr="006A74F8">
        <w:rPr>
          <w:rFonts w:cstheme="minorHAnsi"/>
        </w:rPr>
        <w:t>d</w:t>
      </w:r>
      <w:r w:rsidRPr="006A74F8">
        <w:rPr>
          <w:rFonts w:cstheme="minorHAnsi"/>
        </w:rPr>
        <w:t>epartment (who may delegate those functions</w:t>
      </w:r>
      <w:r w:rsidR="0049242B" w:rsidRPr="006A74F8">
        <w:rPr>
          <w:rFonts w:cstheme="minorHAnsi"/>
        </w:rPr>
        <w:t xml:space="preserve"> and </w:t>
      </w:r>
      <w:r w:rsidRPr="006A74F8">
        <w:rPr>
          <w:rFonts w:cstheme="minorHAnsi"/>
        </w:rPr>
        <w:t xml:space="preserve">powers within the </w:t>
      </w:r>
      <w:r w:rsidR="00CB6EBC" w:rsidRPr="006A74F8">
        <w:rPr>
          <w:rFonts w:cstheme="minorHAnsi"/>
        </w:rPr>
        <w:t>d</w:t>
      </w:r>
      <w:r w:rsidRPr="006A74F8">
        <w:rPr>
          <w:rFonts w:cstheme="minorHAnsi"/>
        </w:rPr>
        <w:t xml:space="preserve">epartment). The Act specifies: </w:t>
      </w:r>
    </w:p>
    <w:p w:rsidR="006E137F" w:rsidRPr="006A74F8" w:rsidRDefault="006E137F" w:rsidP="00F26BA8">
      <w:pPr>
        <w:pStyle w:val="BulletList"/>
        <w:numPr>
          <w:ilvl w:val="0"/>
          <w:numId w:val="48"/>
        </w:numPr>
        <w:spacing w:after="120"/>
        <w:rPr>
          <w:rFonts w:asciiTheme="minorHAnsi" w:hAnsiTheme="minorHAnsi" w:cstheme="minorHAnsi"/>
          <w:sz w:val="22"/>
          <w:szCs w:val="22"/>
        </w:rPr>
      </w:pPr>
      <w:r w:rsidRPr="006A74F8">
        <w:rPr>
          <w:rFonts w:asciiTheme="minorHAnsi" w:hAnsiTheme="minorHAnsi" w:cstheme="minorHAnsi"/>
          <w:sz w:val="22"/>
          <w:szCs w:val="22"/>
        </w:rPr>
        <w:t>The Australian legal units and standards of measurement to support the legal metrology system that covers both trade and legal purposes (e.g. law enforcement, regulators)</w:t>
      </w:r>
      <w:r w:rsidR="004978EE" w:rsidRPr="006A74F8">
        <w:rPr>
          <w:rFonts w:asciiTheme="minorHAnsi" w:hAnsiTheme="minorHAnsi" w:cstheme="minorHAnsi"/>
          <w:sz w:val="22"/>
          <w:szCs w:val="22"/>
        </w:rPr>
        <w:t>.</w:t>
      </w:r>
    </w:p>
    <w:p w:rsidR="006E137F" w:rsidRPr="006A74F8" w:rsidRDefault="006E137F" w:rsidP="00F26BA8">
      <w:pPr>
        <w:pStyle w:val="BulletList"/>
        <w:numPr>
          <w:ilvl w:val="0"/>
          <w:numId w:val="48"/>
        </w:numPr>
        <w:spacing w:after="120"/>
        <w:rPr>
          <w:rFonts w:asciiTheme="minorHAnsi" w:hAnsiTheme="minorHAnsi" w:cstheme="minorHAnsi"/>
          <w:sz w:val="22"/>
          <w:szCs w:val="22"/>
        </w:rPr>
      </w:pPr>
      <w:r w:rsidRPr="006A74F8">
        <w:rPr>
          <w:rFonts w:asciiTheme="minorHAnsi" w:hAnsiTheme="minorHAnsi" w:cstheme="minorHAnsi"/>
          <w:sz w:val="22"/>
          <w:szCs w:val="22"/>
        </w:rPr>
        <w:t xml:space="preserve">General provisions for using measuring instruments for trade, their approval, verification and use of trade measuring instruments, third parties involved in verification of measuring instruments used for trade (servicing licensees and </w:t>
      </w:r>
      <w:r w:rsidR="006D4F4C" w:rsidRPr="006A74F8">
        <w:rPr>
          <w:rFonts w:asciiTheme="minorHAnsi" w:hAnsiTheme="minorHAnsi" w:cstheme="minorHAnsi"/>
          <w:sz w:val="22"/>
          <w:szCs w:val="22"/>
        </w:rPr>
        <w:t>UMVs</w:t>
      </w:r>
      <w:r w:rsidRPr="006A74F8">
        <w:rPr>
          <w:rFonts w:asciiTheme="minorHAnsi" w:hAnsiTheme="minorHAnsi" w:cstheme="minorHAnsi"/>
          <w:sz w:val="22"/>
          <w:szCs w:val="22"/>
        </w:rPr>
        <w:t>)</w:t>
      </w:r>
      <w:r w:rsidR="004978EE" w:rsidRPr="006A74F8">
        <w:rPr>
          <w:rFonts w:asciiTheme="minorHAnsi" w:hAnsiTheme="minorHAnsi" w:cstheme="minorHAnsi"/>
          <w:sz w:val="22"/>
          <w:szCs w:val="22"/>
        </w:rPr>
        <w:t>.</w:t>
      </w:r>
    </w:p>
    <w:p w:rsidR="006E137F" w:rsidRPr="006A74F8" w:rsidRDefault="006E137F" w:rsidP="00F26BA8">
      <w:pPr>
        <w:pStyle w:val="BulletList"/>
        <w:numPr>
          <w:ilvl w:val="0"/>
          <w:numId w:val="48"/>
        </w:numPr>
        <w:spacing w:after="120"/>
        <w:rPr>
          <w:rFonts w:asciiTheme="minorHAnsi" w:hAnsiTheme="minorHAnsi" w:cstheme="minorHAnsi"/>
          <w:sz w:val="22"/>
          <w:szCs w:val="22"/>
        </w:rPr>
      </w:pPr>
      <w:r w:rsidRPr="006A74F8">
        <w:rPr>
          <w:rFonts w:asciiTheme="minorHAnsi" w:hAnsiTheme="minorHAnsi" w:cstheme="minorHAnsi"/>
          <w:sz w:val="22"/>
          <w:szCs w:val="22"/>
        </w:rPr>
        <w:t xml:space="preserve">Requirements </w:t>
      </w:r>
      <w:r w:rsidR="00CF17E1" w:rsidRPr="006A74F8">
        <w:rPr>
          <w:rFonts w:asciiTheme="minorHAnsi" w:hAnsiTheme="minorHAnsi" w:cstheme="minorHAnsi"/>
          <w:sz w:val="22"/>
          <w:szCs w:val="22"/>
        </w:rPr>
        <w:t xml:space="preserve">for </w:t>
      </w:r>
      <w:r w:rsidRPr="006A74F8">
        <w:rPr>
          <w:rFonts w:asciiTheme="minorHAnsi" w:hAnsiTheme="minorHAnsi" w:cstheme="minorHAnsi"/>
          <w:sz w:val="22"/>
          <w:szCs w:val="22"/>
        </w:rPr>
        <w:t>public weighbridges</w:t>
      </w:r>
      <w:r w:rsidR="004978EE" w:rsidRPr="006A74F8">
        <w:rPr>
          <w:rFonts w:asciiTheme="minorHAnsi" w:hAnsiTheme="minorHAnsi" w:cstheme="minorHAnsi"/>
          <w:sz w:val="22"/>
          <w:szCs w:val="22"/>
        </w:rPr>
        <w:t>.</w:t>
      </w:r>
    </w:p>
    <w:p w:rsidR="006E137F" w:rsidRPr="006A74F8" w:rsidRDefault="006E137F" w:rsidP="00F26BA8">
      <w:pPr>
        <w:pStyle w:val="BulletList"/>
        <w:numPr>
          <w:ilvl w:val="0"/>
          <w:numId w:val="48"/>
        </w:numPr>
        <w:spacing w:after="120"/>
        <w:rPr>
          <w:rFonts w:asciiTheme="minorHAnsi" w:hAnsiTheme="minorHAnsi" w:cstheme="minorHAnsi"/>
          <w:sz w:val="22"/>
          <w:szCs w:val="22"/>
        </w:rPr>
      </w:pPr>
      <w:r w:rsidRPr="006A74F8">
        <w:rPr>
          <w:rFonts w:asciiTheme="minorHAnsi" w:hAnsiTheme="minorHAnsi" w:cstheme="minorHAnsi"/>
          <w:sz w:val="22"/>
          <w:szCs w:val="22"/>
        </w:rPr>
        <w:t xml:space="preserve">Requirements </w:t>
      </w:r>
      <w:r w:rsidR="00CF17E1" w:rsidRPr="006A74F8">
        <w:rPr>
          <w:rFonts w:asciiTheme="minorHAnsi" w:hAnsiTheme="minorHAnsi" w:cstheme="minorHAnsi"/>
          <w:sz w:val="22"/>
          <w:szCs w:val="22"/>
        </w:rPr>
        <w:t xml:space="preserve">for </w:t>
      </w:r>
      <w:r w:rsidRPr="006A74F8">
        <w:rPr>
          <w:rFonts w:asciiTheme="minorHAnsi" w:hAnsiTheme="minorHAnsi" w:cstheme="minorHAnsi"/>
          <w:sz w:val="22"/>
          <w:szCs w:val="22"/>
        </w:rPr>
        <w:t>goods packed in advance for sale, their markings, measurement expression, sampling methods, shortfall provisions, packed goods not marked with an AQS mark</w:t>
      </w:r>
      <w:r w:rsidR="004978EE" w:rsidRPr="006A74F8">
        <w:rPr>
          <w:rFonts w:asciiTheme="minorHAnsi" w:hAnsiTheme="minorHAnsi" w:cstheme="minorHAnsi"/>
          <w:sz w:val="22"/>
          <w:szCs w:val="22"/>
        </w:rPr>
        <w:t>.</w:t>
      </w:r>
    </w:p>
    <w:p w:rsidR="006E137F" w:rsidRPr="006A74F8" w:rsidRDefault="006E137F" w:rsidP="00F26BA8">
      <w:pPr>
        <w:pStyle w:val="BulletList"/>
        <w:numPr>
          <w:ilvl w:val="0"/>
          <w:numId w:val="48"/>
        </w:numPr>
        <w:spacing w:after="160"/>
        <w:ind w:left="714" w:hanging="357"/>
        <w:rPr>
          <w:rFonts w:asciiTheme="minorHAnsi" w:hAnsiTheme="minorHAnsi" w:cstheme="minorHAnsi"/>
          <w:sz w:val="22"/>
          <w:szCs w:val="22"/>
        </w:rPr>
      </w:pPr>
      <w:r w:rsidRPr="006A74F8">
        <w:rPr>
          <w:rFonts w:asciiTheme="minorHAnsi" w:hAnsiTheme="minorHAnsi" w:cstheme="minorHAnsi"/>
          <w:sz w:val="22"/>
          <w:szCs w:val="22"/>
        </w:rPr>
        <w:t>The role and power</w:t>
      </w:r>
      <w:r w:rsidR="00CF17E1" w:rsidRPr="006A74F8">
        <w:rPr>
          <w:rFonts w:asciiTheme="minorHAnsi" w:hAnsiTheme="minorHAnsi" w:cstheme="minorHAnsi"/>
          <w:sz w:val="22"/>
          <w:szCs w:val="22"/>
        </w:rPr>
        <w:t>s</w:t>
      </w:r>
      <w:r w:rsidRPr="006A74F8">
        <w:rPr>
          <w:rFonts w:asciiTheme="minorHAnsi" w:hAnsiTheme="minorHAnsi" w:cstheme="minorHAnsi"/>
          <w:sz w:val="22"/>
          <w:szCs w:val="22"/>
        </w:rPr>
        <w:t xml:space="preserve"> of the inspectorate, </w:t>
      </w:r>
      <w:r w:rsidR="00CF17E1" w:rsidRPr="006A74F8">
        <w:rPr>
          <w:rFonts w:asciiTheme="minorHAnsi" w:hAnsiTheme="minorHAnsi" w:cstheme="minorHAnsi"/>
          <w:sz w:val="22"/>
          <w:szCs w:val="22"/>
        </w:rPr>
        <w:t xml:space="preserve">and </w:t>
      </w:r>
      <w:r w:rsidRPr="006A74F8">
        <w:rPr>
          <w:rFonts w:asciiTheme="minorHAnsi" w:hAnsiTheme="minorHAnsi" w:cstheme="minorHAnsi"/>
          <w:sz w:val="22"/>
          <w:szCs w:val="22"/>
        </w:rPr>
        <w:t>enforcement arrangements that may be used.</w:t>
      </w:r>
    </w:p>
    <w:p w:rsidR="006E137F" w:rsidRPr="006A74F8" w:rsidRDefault="006E137F" w:rsidP="00FD7AC9">
      <w:pPr>
        <w:rPr>
          <w:rFonts w:cstheme="minorHAnsi"/>
        </w:rPr>
      </w:pPr>
      <w:r w:rsidRPr="006A74F8">
        <w:t xml:space="preserve">The Act is supported by </w:t>
      </w:r>
      <w:r w:rsidR="00E574B1" w:rsidRPr="006A74F8">
        <w:t xml:space="preserve">two sets of </w:t>
      </w:r>
      <w:r w:rsidRPr="006A74F8">
        <w:t>regulations</w:t>
      </w:r>
      <w:r w:rsidRPr="006A74F8">
        <w:rPr>
          <w:rFonts w:cstheme="minorHAnsi"/>
        </w:rPr>
        <w:t>.</w:t>
      </w:r>
    </w:p>
    <w:p w:rsidR="006E137F" w:rsidRPr="006A74F8" w:rsidRDefault="006E137F" w:rsidP="00FD7AC9">
      <w:pPr>
        <w:rPr>
          <w:rFonts w:cstheme="minorHAnsi"/>
        </w:rPr>
      </w:pPr>
      <w:r w:rsidRPr="006A74F8">
        <w:t xml:space="preserve">The </w:t>
      </w:r>
      <w:r w:rsidRPr="006A74F8">
        <w:rPr>
          <w:i/>
        </w:rPr>
        <w:t>National Measurement Regulations 1999</w:t>
      </w:r>
      <w:r w:rsidRPr="006A74F8">
        <w:t xml:space="preserve"> define</w:t>
      </w:r>
      <w:r w:rsidRPr="006A74F8">
        <w:rPr>
          <w:rFonts w:cstheme="minorHAnsi"/>
        </w:rPr>
        <w:t xml:space="preserve"> and detail the requirements in relation to legal units and standards of measurement, the verification and marking of standards of measurement (to include their uncertainties, values and/or variations). The Regulations also include:</w:t>
      </w:r>
    </w:p>
    <w:p w:rsidR="006E137F" w:rsidRPr="006A74F8" w:rsidRDefault="006E137F" w:rsidP="00945BFB">
      <w:pPr>
        <w:pStyle w:val="BulletList"/>
        <w:numPr>
          <w:ilvl w:val="0"/>
          <w:numId w:val="49"/>
        </w:numPr>
        <w:spacing w:after="120"/>
        <w:rPr>
          <w:rFonts w:asciiTheme="minorHAnsi" w:hAnsiTheme="minorHAnsi" w:cstheme="minorHAnsi"/>
          <w:sz w:val="22"/>
          <w:szCs w:val="22"/>
        </w:rPr>
      </w:pPr>
      <w:r w:rsidRPr="006A74F8">
        <w:rPr>
          <w:rFonts w:asciiTheme="minorHAnsi" w:hAnsiTheme="minorHAnsi" w:cstheme="minorHAnsi"/>
          <w:sz w:val="22"/>
          <w:szCs w:val="22"/>
        </w:rPr>
        <w:t>The approval and certification of measuring instruments used for legal purposes</w:t>
      </w:r>
    </w:p>
    <w:p w:rsidR="006E137F" w:rsidRPr="006A74F8" w:rsidRDefault="006E137F" w:rsidP="00945BFB">
      <w:pPr>
        <w:pStyle w:val="BulletList"/>
        <w:numPr>
          <w:ilvl w:val="0"/>
          <w:numId w:val="49"/>
        </w:numPr>
        <w:spacing w:after="120"/>
        <w:rPr>
          <w:rFonts w:asciiTheme="minorHAnsi" w:hAnsiTheme="minorHAnsi" w:cstheme="minorHAnsi"/>
          <w:sz w:val="22"/>
          <w:szCs w:val="22"/>
        </w:rPr>
      </w:pPr>
      <w:r w:rsidRPr="006A74F8">
        <w:rPr>
          <w:rFonts w:asciiTheme="minorHAnsi" w:hAnsiTheme="minorHAnsi" w:cstheme="minorHAnsi"/>
          <w:sz w:val="22"/>
          <w:szCs w:val="22"/>
        </w:rPr>
        <w:t>The measurement of artefacts</w:t>
      </w:r>
    </w:p>
    <w:p w:rsidR="006E137F" w:rsidRPr="006A74F8" w:rsidRDefault="006E137F" w:rsidP="00945BFB">
      <w:pPr>
        <w:pStyle w:val="BulletList"/>
        <w:numPr>
          <w:ilvl w:val="0"/>
          <w:numId w:val="49"/>
        </w:numPr>
        <w:spacing w:after="120"/>
        <w:rPr>
          <w:rFonts w:asciiTheme="minorHAnsi" w:hAnsiTheme="minorHAnsi" w:cstheme="minorHAnsi"/>
          <w:sz w:val="22"/>
          <w:szCs w:val="22"/>
        </w:rPr>
      </w:pPr>
      <w:r w:rsidRPr="006A74F8">
        <w:rPr>
          <w:rFonts w:asciiTheme="minorHAnsi" w:hAnsiTheme="minorHAnsi" w:cstheme="minorHAnsi"/>
          <w:sz w:val="22"/>
          <w:szCs w:val="22"/>
        </w:rPr>
        <w:t>The provision of legal standing of chemical and biological reference materials used for legal purposes</w:t>
      </w:r>
    </w:p>
    <w:p w:rsidR="006E137F" w:rsidRPr="006A74F8" w:rsidRDefault="006E137F" w:rsidP="00945BFB">
      <w:pPr>
        <w:pStyle w:val="BulletList"/>
        <w:numPr>
          <w:ilvl w:val="0"/>
          <w:numId w:val="49"/>
        </w:numPr>
        <w:spacing w:after="120"/>
        <w:rPr>
          <w:rFonts w:asciiTheme="minorHAnsi" w:hAnsiTheme="minorHAnsi" w:cstheme="minorHAnsi"/>
          <w:sz w:val="22"/>
          <w:szCs w:val="22"/>
        </w:rPr>
      </w:pPr>
      <w:r w:rsidRPr="006A74F8">
        <w:rPr>
          <w:rFonts w:asciiTheme="minorHAnsi" w:hAnsiTheme="minorHAnsi" w:cstheme="minorHAnsi"/>
          <w:sz w:val="22"/>
          <w:szCs w:val="22"/>
        </w:rPr>
        <w:lastRenderedPageBreak/>
        <w:t>The appointme</w:t>
      </w:r>
      <w:r w:rsidR="001509B8" w:rsidRPr="006A74F8">
        <w:rPr>
          <w:rFonts w:asciiTheme="minorHAnsi" w:hAnsiTheme="minorHAnsi" w:cstheme="minorHAnsi"/>
          <w:sz w:val="22"/>
          <w:szCs w:val="22"/>
        </w:rPr>
        <w:t>nt of competent authorities as Certifying A</w:t>
      </w:r>
      <w:r w:rsidRPr="006A74F8">
        <w:rPr>
          <w:rFonts w:asciiTheme="minorHAnsi" w:hAnsiTheme="minorHAnsi" w:cstheme="minorHAnsi"/>
          <w:sz w:val="22"/>
          <w:szCs w:val="22"/>
        </w:rPr>
        <w:t>uthorities (with re</w:t>
      </w:r>
      <w:r w:rsidR="001509B8" w:rsidRPr="006A74F8">
        <w:rPr>
          <w:rFonts w:asciiTheme="minorHAnsi" w:hAnsiTheme="minorHAnsi" w:cstheme="minorHAnsi"/>
          <w:sz w:val="22"/>
          <w:szCs w:val="22"/>
        </w:rPr>
        <w:t>spect to reference materials), Verifying A</w:t>
      </w:r>
      <w:r w:rsidRPr="006A74F8">
        <w:rPr>
          <w:rFonts w:asciiTheme="minorHAnsi" w:hAnsiTheme="minorHAnsi" w:cstheme="minorHAnsi"/>
          <w:sz w:val="22"/>
          <w:szCs w:val="22"/>
        </w:rPr>
        <w:t>uthorities (with respect to</w:t>
      </w:r>
      <w:r w:rsidR="001509B8" w:rsidRPr="006A74F8">
        <w:rPr>
          <w:rFonts w:asciiTheme="minorHAnsi" w:hAnsiTheme="minorHAnsi" w:cstheme="minorHAnsi"/>
          <w:sz w:val="22"/>
          <w:szCs w:val="22"/>
        </w:rPr>
        <w:t xml:space="preserve"> standards of measurement) and Approving A</w:t>
      </w:r>
      <w:r w:rsidRPr="006A74F8">
        <w:rPr>
          <w:rFonts w:asciiTheme="minorHAnsi" w:hAnsiTheme="minorHAnsi" w:cstheme="minorHAnsi"/>
          <w:sz w:val="22"/>
          <w:szCs w:val="22"/>
        </w:rPr>
        <w:t>uthorities (with respect to patterns of measuring instruments used for trade).</w:t>
      </w:r>
    </w:p>
    <w:p w:rsidR="006E137F" w:rsidRPr="006A74F8" w:rsidRDefault="006E137F" w:rsidP="00FD7AC9">
      <w:pPr>
        <w:rPr>
          <w:rFonts w:cstheme="minorHAnsi"/>
        </w:rPr>
      </w:pPr>
      <w:r w:rsidRPr="006A74F8">
        <w:t xml:space="preserve">The </w:t>
      </w:r>
      <w:r w:rsidRPr="006A74F8">
        <w:rPr>
          <w:i/>
        </w:rPr>
        <w:t xml:space="preserve">National </w:t>
      </w:r>
      <w:r w:rsidRPr="006A74F8">
        <w:rPr>
          <w:rFonts w:cstheme="minorHAnsi"/>
          <w:i/>
        </w:rPr>
        <w:t>Trade Measurement Regulations 2009</w:t>
      </w:r>
      <w:r w:rsidRPr="006A74F8">
        <w:rPr>
          <w:rFonts w:cstheme="minorHAnsi"/>
        </w:rPr>
        <w:t xml:space="preserve"> detail the requirements in relation to trade measurement inspectors and matters which require compliance. These include the correct use of measuring instruments in trade, </w:t>
      </w:r>
      <w:r w:rsidR="0021159A" w:rsidRPr="006A74F8">
        <w:rPr>
          <w:rFonts w:cstheme="minorHAnsi"/>
        </w:rPr>
        <w:t>verification and batch testing requirements</w:t>
      </w:r>
      <w:r w:rsidR="00DC2398" w:rsidRPr="006A74F8">
        <w:rPr>
          <w:rFonts w:cstheme="minorHAnsi"/>
        </w:rPr>
        <w:t>,</w:t>
      </w:r>
      <w:r w:rsidR="0021159A" w:rsidRPr="006A74F8">
        <w:rPr>
          <w:rFonts w:cstheme="minorHAnsi"/>
        </w:rPr>
        <w:t xml:space="preserve"> </w:t>
      </w:r>
      <w:r w:rsidRPr="006A74F8">
        <w:rPr>
          <w:rFonts w:cstheme="minorHAnsi"/>
        </w:rPr>
        <w:t>packaging requirements, and public</w:t>
      </w:r>
      <w:r w:rsidR="00CF17E1" w:rsidRPr="006A74F8">
        <w:rPr>
          <w:rFonts w:cstheme="minorHAnsi"/>
        </w:rPr>
        <w:t xml:space="preserve"> </w:t>
      </w:r>
      <w:r w:rsidRPr="006A74F8">
        <w:rPr>
          <w:rFonts w:cstheme="minorHAnsi"/>
        </w:rPr>
        <w:t>weighbridge requirements. These regulations provide for:</w:t>
      </w:r>
    </w:p>
    <w:p w:rsidR="006E137F" w:rsidRPr="006A74F8" w:rsidRDefault="006E137F" w:rsidP="00945BFB">
      <w:pPr>
        <w:pStyle w:val="BulletList"/>
        <w:numPr>
          <w:ilvl w:val="0"/>
          <w:numId w:val="50"/>
        </w:numPr>
        <w:spacing w:after="120"/>
        <w:rPr>
          <w:rFonts w:asciiTheme="minorHAnsi" w:hAnsiTheme="minorHAnsi" w:cstheme="minorHAnsi"/>
          <w:sz w:val="22"/>
          <w:szCs w:val="22"/>
        </w:rPr>
      </w:pPr>
      <w:r w:rsidRPr="006A74F8">
        <w:rPr>
          <w:rFonts w:asciiTheme="minorHAnsi" w:hAnsiTheme="minorHAnsi" w:cstheme="minorHAnsi"/>
          <w:sz w:val="22"/>
          <w:szCs w:val="22"/>
        </w:rPr>
        <w:t xml:space="preserve">The use of measuring instruments for trade purposes, how they should be verified and marked, the batch testing and marking of glass measures, </w:t>
      </w:r>
      <w:r w:rsidR="00CF17E1" w:rsidRPr="006A74F8">
        <w:rPr>
          <w:rFonts w:asciiTheme="minorHAnsi" w:hAnsiTheme="minorHAnsi" w:cstheme="minorHAnsi"/>
          <w:sz w:val="22"/>
          <w:szCs w:val="22"/>
        </w:rPr>
        <w:t xml:space="preserve">and </w:t>
      </w:r>
      <w:r w:rsidRPr="006A74F8">
        <w:rPr>
          <w:rFonts w:asciiTheme="minorHAnsi" w:hAnsiTheme="minorHAnsi" w:cstheme="minorHAnsi"/>
          <w:sz w:val="22"/>
          <w:szCs w:val="22"/>
        </w:rPr>
        <w:t xml:space="preserve">the services and prescribed fees that apply to servicing licensees. </w:t>
      </w:r>
    </w:p>
    <w:p w:rsidR="006E137F" w:rsidRPr="006A74F8" w:rsidRDefault="006E137F" w:rsidP="00945BFB">
      <w:pPr>
        <w:pStyle w:val="BulletList"/>
        <w:numPr>
          <w:ilvl w:val="0"/>
          <w:numId w:val="50"/>
        </w:numPr>
        <w:spacing w:after="120"/>
        <w:rPr>
          <w:rFonts w:asciiTheme="minorHAnsi" w:hAnsiTheme="minorHAnsi" w:cstheme="minorHAnsi"/>
          <w:sz w:val="22"/>
          <w:szCs w:val="22"/>
        </w:rPr>
      </w:pPr>
      <w:r w:rsidRPr="006A74F8">
        <w:rPr>
          <w:rFonts w:asciiTheme="minorHAnsi" w:hAnsiTheme="minorHAnsi" w:cstheme="minorHAnsi"/>
          <w:sz w:val="22"/>
          <w:szCs w:val="22"/>
        </w:rPr>
        <w:t xml:space="preserve">The detailed requirements </w:t>
      </w:r>
      <w:r w:rsidR="00CF17E1" w:rsidRPr="006A74F8">
        <w:rPr>
          <w:rFonts w:asciiTheme="minorHAnsi" w:hAnsiTheme="minorHAnsi" w:cstheme="minorHAnsi"/>
          <w:sz w:val="22"/>
          <w:szCs w:val="22"/>
        </w:rPr>
        <w:t xml:space="preserve">for </w:t>
      </w:r>
      <w:r w:rsidRPr="006A74F8">
        <w:rPr>
          <w:rFonts w:asciiTheme="minorHAnsi" w:hAnsiTheme="minorHAnsi" w:cstheme="minorHAnsi"/>
          <w:sz w:val="22"/>
          <w:szCs w:val="22"/>
        </w:rPr>
        <w:t xml:space="preserve">weighbridges used for trade and requirements </w:t>
      </w:r>
      <w:r w:rsidR="00CF17E1" w:rsidRPr="006A74F8">
        <w:rPr>
          <w:rFonts w:asciiTheme="minorHAnsi" w:hAnsiTheme="minorHAnsi" w:cstheme="minorHAnsi"/>
          <w:sz w:val="22"/>
          <w:szCs w:val="22"/>
        </w:rPr>
        <w:t xml:space="preserve">for </w:t>
      </w:r>
      <w:r w:rsidRPr="006A74F8">
        <w:rPr>
          <w:rFonts w:asciiTheme="minorHAnsi" w:hAnsiTheme="minorHAnsi" w:cstheme="minorHAnsi"/>
          <w:sz w:val="22"/>
          <w:szCs w:val="22"/>
        </w:rPr>
        <w:t xml:space="preserve">public weighbridges. </w:t>
      </w:r>
    </w:p>
    <w:p w:rsidR="006E137F" w:rsidRPr="006A74F8" w:rsidRDefault="006E137F" w:rsidP="00945BFB">
      <w:pPr>
        <w:pStyle w:val="BulletList"/>
        <w:numPr>
          <w:ilvl w:val="0"/>
          <w:numId w:val="50"/>
        </w:numPr>
        <w:spacing w:after="120"/>
        <w:rPr>
          <w:rFonts w:asciiTheme="minorHAnsi" w:hAnsiTheme="minorHAnsi" w:cstheme="minorHAnsi"/>
          <w:sz w:val="22"/>
          <w:szCs w:val="22"/>
        </w:rPr>
      </w:pPr>
      <w:r w:rsidRPr="006A74F8">
        <w:rPr>
          <w:rFonts w:asciiTheme="minorHAnsi" w:hAnsiTheme="minorHAnsi" w:cstheme="minorHAnsi"/>
          <w:sz w:val="22"/>
          <w:szCs w:val="22"/>
        </w:rPr>
        <w:t xml:space="preserve">Packaging regulations include requirements for marking of the name and address of packers, the requirements </w:t>
      </w:r>
      <w:r w:rsidR="00CF17E1" w:rsidRPr="006A74F8">
        <w:rPr>
          <w:rFonts w:asciiTheme="minorHAnsi" w:hAnsiTheme="minorHAnsi" w:cstheme="minorHAnsi"/>
          <w:sz w:val="22"/>
          <w:szCs w:val="22"/>
        </w:rPr>
        <w:t xml:space="preserve">for </w:t>
      </w:r>
      <w:r w:rsidRPr="006A74F8">
        <w:rPr>
          <w:rFonts w:asciiTheme="minorHAnsi" w:hAnsiTheme="minorHAnsi" w:cstheme="minorHAnsi"/>
          <w:sz w:val="22"/>
          <w:szCs w:val="22"/>
        </w:rPr>
        <w:t xml:space="preserve">the marking of measurement, unit price marking on </w:t>
      </w:r>
      <w:r w:rsidR="00FA1BE3" w:rsidRPr="006A74F8">
        <w:rPr>
          <w:rFonts w:asciiTheme="minorHAnsi" w:hAnsiTheme="minorHAnsi" w:cstheme="minorHAnsi"/>
          <w:sz w:val="22"/>
          <w:szCs w:val="22"/>
        </w:rPr>
        <w:t xml:space="preserve">particular </w:t>
      </w:r>
      <w:r w:rsidRPr="006A74F8">
        <w:rPr>
          <w:rFonts w:asciiTheme="minorHAnsi" w:hAnsiTheme="minorHAnsi" w:cstheme="minorHAnsi"/>
          <w:sz w:val="22"/>
          <w:szCs w:val="22"/>
        </w:rPr>
        <w:t>packages</w:t>
      </w:r>
      <w:r w:rsidR="00FA1BE3" w:rsidRPr="006A74F8">
        <w:rPr>
          <w:rFonts w:asciiTheme="minorHAnsi" w:hAnsiTheme="minorHAnsi" w:cstheme="minorHAnsi"/>
          <w:sz w:val="22"/>
          <w:szCs w:val="22"/>
        </w:rPr>
        <w:t>,</w:t>
      </w:r>
      <w:r w:rsidRPr="006A74F8">
        <w:rPr>
          <w:rFonts w:asciiTheme="minorHAnsi" w:hAnsiTheme="minorHAnsi" w:cstheme="minorHAnsi"/>
          <w:sz w:val="22"/>
          <w:szCs w:val="22"/>
        </w:rPr>
        <w:t xml:space="preserve"> and </w:t>
      </w:r>
      <w:r w:rsidR="00CF17E1" w:rsidRPr="006A74F8">
        <w:rPr>
          <w:rFonts w:asciiTheme="minorHAnsi" w:hAnsiTheme="minorHAnsi" w:cstheme="minorHAnsi"/>
          <w:sz w:val="22"/>
          <w:szCs w:val="22"/>
        </w:rPr>
        <w:t xml:space="preserve">detailed </w:t>
      </w:r>
      <w:r w:rsidRPr="006A74F8">
        <w:rPr>
          <w:rFonts w:asciiTheme="minorHAnsi" w:hAnsiTheme="minorHAnsi" w:cstheme="minorHAnsi"/>
          <w:sz w:val="22"/>
          <w:szCs w:val="22"/>
        </w:rPr>
        <w:t>systems of sampling and thresholds.</w:t>
      </w:r>
    </w:p>
    <w:p w:rsidR="006E137F" w:rsidRPr="006A74F8" w:rsidRDefault="00CF17E1" w:rsidP="00945BFB">
      <w:pPr>
        <w:pStyle w:val="BulletList"/>
        <w:numPr>
          <w:ilvl w:val="0"/>
          <w:numId w:val="50"/>
        </w:numPr>
        <w:spacing w:after="120"/>
        <w:rPr>
          <w:rFonts w:asciiTheme="minorHAnsi" w:hAnsiTheme="minorHAnsi" w:cstheme="minorHAnsi"/>
          <w:sz w:val="22"/>
          <w:szCs w:val="22"/>
        </w:rPr>
      </w:pPr>
      <w:r w:rsidRPr="006A74F8">
        <w:rPr>
          <w:rFonts w:asciiTheme="minorHAnsi" w:hAnsiTheme="minorHAnsi" w:cstheme="minorHAnsi"/>
          <w:sz w:val="22"/>
          <w:szCs w:val="22"/>
        </w:rPr>
        <w:t>E</w:t>
      </w:r>
      <w:r w:rsidR="006E137F" w:rsidRPr="006A74F8">
        <w:rPr>
          <w:rFonts w:asciiTheme="minorHAnsi" w:hAnsiTheme="minorHAnsi" w:cstheme="minorHAnsi"/>
          <w:sz w:val="22"/>
          <w:szCs w:val="22"/>
        </w:rPr>
        <w:t>stablish</w:t>
      </w:r>
      <w:r w:rsidRPr="006A74F8">
        <w:rPr>
          <w:rFonts w:asciiTheme="minorHAnsi" w:hAnsiTheme="minorHAnsi" w:cstheme="minorHAnsi"/>
          <w:sz w:val="22"/>
          <w:szCs w:val="22"/>
        </w:rPr>
        <w:t>ing</w:t>
      </w:r>
      <w:r w:rsidR="006E137F" w:rsidRPr="006A74F8">
        <w:rPr>
          <w:rFonts w:asciiTheme="minorHAnsi" w:hAnsiTheme="minorHAnsi" w:cstheme="minorHAnsi"/>
          <w:sz w:val="22"/>
          <w:szCs w:val="22"/>
        </w:rPr>
        <w:t xml:space="preserve"> prohibited expressions, shortfall and other offences. </w:t>
      </w:r>
    </w:p>
    <w:p w:rsidR="006E137F" w:rsidRPr="006A74F8" w:rsidRDefault="00CF17E1" w:rsidP="00945BFB">
      <w:pPr>
        <w:pStyle w:val="BulletList"/>
        <w:numPr>
          <w:ilvl w:val="0"/>
          <w:numId w:val="50"/>
        </w:numPr>
        <w:spacing w:after="120"/>
        <w:rPr>
          <w:rFonts w:asciiTheme="minorHAnsi" w:hAnsiTheme="minorHAnsi" w:cstheme="minorHAnsi"/>
          <w:sz w:val="22"/>
          <w:szCs w:val="22"/>
        </w:rPr>
      </w:pPr>
      <w:r w:rsidRPr="006A74F8">
        <w:rPr>
          <w:rFonts w:asciiTheme="minorHAnsi" w:hAnsiTheme="minorHAnsi" w:cstheme="minorHAnsi"/>
          <w:sz w:val="22"/>
          <w:szCs w:val="22"/>
        </w:rPr>
        <w:t xml:space="preserve">Establishing </w:t>
      </w:r>
      <w:r w:rsidR="006E137F" w:rsidRPr="006A74F8">
        <w:rPr>
          <w:rFonts w:asciiTheme="minorHAnsi" w:hAnsiTheme="minorHAnsi" w:cstheme="minorHAnsi"/>
          <w:sz w:val="22"/>
          <w:szCs w:val="22"/>
        </w:rPr>
        <w:t>prescribed qualifications of trade measurement inspectors and the forms of their identity cards.</w:t>
      </w:r>
    </w:p>
    <w:p w:rsidR="00E13652" w:rsidRPr="006A74F8" w:rsidRDefault="00E574B1" w:rsidP="00E574B1">
      <w:pPr>
        <w:rPr>
          <w:rFonts w:cstheme="minorHAnsi"/>
          <w:color w:val="000000"/>
        </w:rPr>
      </w:pPr>
      <w:bookmarkStart w:id="1950" w:name="_Toc61338683"/>
      <w:bookmarkStart w:id="1951" w:name="_Toc63062600"/>
      <w:bookmarkStart w:id="1952" w:name="_Ref63162268"/>
      <w:r w:rsidRPr="006A74F8">
        <w:t xml:space="preserve">The </w:t>
      </w:r>
      <w:r w:rsidRPr="006A74F8">
        <w:rPr>
          <w:rFonts w:cstheme="minorHAnsi"/>
          <w:i/>
          <w:color w:val="000000"/>
        </w:rPr>
        <w:t>National Measurement Guidelines 2016</w:t>
      </w:r>
      <w:r w:rsidRPr="006A74F8">
        <w:rPr>
          <w:rFonts w:cstheme="minorHAnsi"/>
          <w:color w:val="000000"/>
        </w:rPr>
        <w:t xml:space="preserve"> specify how Australian legal units of measure</w:t>
      </w:r>
      <w:r w:rsidR="00CF17E1" w:rsidRPr="006A74F8">
        <w:rPr>
          <w:rFonts w:cstheme="minorHAnsi"/>
          <w:color w:val="000000"/>
        </w:rPr>
        <w:t>ment</w:t>
      </w:r>
      <w:r w:rsidRPr="006A74F8">
        <w:rPr>
          <w:rFonts w:cstheme="minorHAnsi"/>
          <w:color w:val="000000"/>
        </w:rPr>
        <w:t xml:space="preserve"> may be combined and how they are to be expressed.</w:t>
      </w:r>
    </w:p>
    <w:p w:rsidR="000541A9" w:rsidRPr="006A74F8" w:rsidRDefault="008979D7" w:rsidP="00732824">
      <w:pPr>
        <w:pStyle w:val="Heading2"/>
      </w:pPr>
      <w:bookmarkStart w:id="1953" w:name="_The_Measurement_Law"/>
      <w:bookmarkStart w:id="1954" w:name="_Toc67390604"/>
      <w:bookmarkEnd w:id="1953"/>
      <w:r w:rsidRPr="006A74F8">
        <w:t xml:space="preserve">  </w:t>
      </w:r>
      <w:r w:rsidR="000541A9" w:rsidRPr="006A74F8">
        <w:t>The Measurement Law Review journey</w:t>
      </w:r>
      <w:bookmarkEnd w:id="1954"/>
    </w:p>
    <w:p w:rsidR="000541A9" w:rsidRPr="00461004" w:rsidRDefault="000541A9" w:rsidP="00461004">
      <w:pPr>
        <w:pStyle w:val="Heading3"/>
        <w:tabs>
          <w:tab w:val="left" w:pos="993"/>
        </w:tabs>
        <w:rPr>
          <w:rStyle w:val="normaltextrun1"/>
        </w:rPr>
      </w:pPr>
      <w:r w:rsidRPr="00461004">
        <w:rPr>
          <w:rStyle w:val="normaltextrun1"/>
        </w:rPr>
        <w:t xml:space="preserve">Packaging review and consumer survey </w:t>
      </w:r>
    </w:p>
    <w:p w:rsidR="000541A9" w:rsidRPr="006A74F8" w:rsidRDefault="000541A9" w:rsidP="000541A9">
      <w:r w:rsidRPr="006A74F8">
        <w:t>The Australian Government’s commitment to a regulation reform agenda to drive productivity and efficiency gains within the economy included reducing the regulatory burden for individuals, businesses</w:t>
      </w:r>
      <w:r w:rsidR="00FA1BE3" w:rsidRPr="006A74F8">
        <w:t>,</w:t>
      </w:r>
      <w:r w:rsidRPr="006A74F8">
        <w:t xml:space="preserve"> and the community. T</w:t>
      </w:r>
      <w:r w:rsidR="00CB6EBC" w:rsidRPr="006A74F8">
        <w:t>he d</w:t>
      </w:r>
      <w:r w:rsidRPr="006A74F8">
        <w:t>epartment reviewed Part 4 of the National Trade Measurement Regulations from 2015 to 2018.</w:t>
      </w:r>
      <w:r w:rsidR="00D3565A" w:rsidRPr="006A74F8">
        <w:rPr>
          <w:rStyle w:val="FootnoteReference"/>
        </w:rPr>
        <w:footnoteReference w:id="88"/>
      </w:r>
      <w:r w:rsidRPr="006A74F8">
        <w:t xml:space="preserve"> The purpose of the review was to identify where red tape could be cut without compromising the objectives of the national trade measurement system. </w:t>
      </w:r>
    </w:p>
    <w:p w:rsidR="000541A9" w:rsidRPr="006A74F8" w:rsidRDefault="000541A9" w:rsidP="000541A9">
      <w:r w:rsidRPr="006A74F8">
        <w:t xml:space="preserve">Part 4 defines how the measurements related to packaging are </w:t>
      </w:r>
      <w:r w:rsidR="00EE7E06" w:rsidRPr="006A74F8">
        <w:t>regulated</w:t>
      </w:r>
      <w:r w:rsidRPr="006A74F8">
        <w:t xml:space="preserve">. It describes how the name, address and measurement mark should be displayed. It states what expressions are prohibited on the package relating to measurements, and details whether the product matches the </w:t>
      </w:r>
      <w:r w:rsidR="009557F2" w:rsidRPr="006A74F8">
        <w:t>measurement</w:t>
      </w:r>
      <w:r w:rsidRPr="006A74F8">
        <w:t xml:space="preserve"> marking. The review of packaging regulations sought to determine whether regulations could be simplified, exemptions increased or decreased and if a principles-based approach should be adopted for regulations overseeing the measurement mark.</w:t>
      </w:r>
    </w:p>
    <w:p w:rsidR="000541A9" w:rsidRPr="006A74F8" w:rsidRDefault="00CB6EBC" w:rsidP="000541A9">
      <w:r w:rsidRPr="006A74F8">
        <w:t>The d</w:t>
      </w:r>
      <w:r w:rsidR="000541A9" w:rsidRPr="006A74F8">
        <w:t xml:space="preserve">epartment consulted with the public on the review through a discussion paper providing detail on the scope of the review and seeking feedback on Part 4, and a streamlined online survey addressing issues specific to the measurement mark labelling. Both consultations were open for comment </w:t>
      </w:r>
      <w:r w:rsidR="004E1D05" w:rsidRPr="006A74F8">
        <w:t>during</w:t>
      </w:r>
      <w:r w:rsidR="000541A9" w:rsidRPr="006A74F8">
        <w:t xml:space="preserve"> November </w:t>
      </w:r>
      <w:r w:rsidR="004E1D05" w:rsidRPr="006A74F8">
        <w:t>and</w:t>
      </w:r>
      <w:r w:rsidR="000541A9" w:rsidRPr="006A74F8">
        <w:t xml:space="preserve"> December 2015. During the consultation period 22 written submissions were received as well as 593 online survey respondents.</w:t>
      </w:r>
    </w:p>
    <w:p w:rsidR="000541A9" w:rsidRPr="006A74F8" w:rsidRDefault="000541A9" w:rsidP="000541A9">
      <w:r w:rsidRPr="006A74F8">
        <w:lastRenderedPageBreak/>
        <w:t>One-on-one meetings were also held with a range of businesses, industry associations and consumer groups. This included food manufacturers and labellers. The meetings focussed on discussing the potential cost of reforms and implementation issues</w:t>
      </w:r>
      <w:r w:rsidR="004E1D05" w:rsidRPr="006A74F8">
        <w:t>.</w:t>
      </w:r>
    </w:p>
    <w:p w:rsidR="000541A9" w:rsidRPr="006A74F8" w:rsidRDefault="000541A9" w:rsidP="000541A9">
      <w:r w:rsidRPr="006A74F8">
        <w:t>An options paper</w:t>
      </w:r>
      <w:r w:rsidRPr="006A74F8">
        <w:rPr>
          <w:rStyle w:val="FootnoteReference"/>
        </w:rPr>
        <w:footnoteReference w:id="89"/>
      </w:r>
      <w:r w:rsidRPr="006A74F8">
        <w:t xml:space="preserve"> presenting a range of considerations and a proposed approach to make the regulations more flexible was also open </w:t>
      </w:r>
      <w:r w:rsidR="004E1D05" w:rsidRPr="006A74F8">
        <w:t>for</w:t>
      </w:r>
      <w:r w:rsidRPr="006A74F8">
        <w:t xml:space="preserve"> public comment </w:t>
      </w:r>
      <w:r w:rsidR="004E1D05" w:rsidRPr="006A74F8">
        <w:t>during</w:t>
      </w:r>
      <w:r w:rsidRPr="006A74F8">
        <w:t xml:space="preserve"> May </w:t>
      </w:r>
      <w:r w:rsidR="004E1D05" w:rsidRPr="006A74F8">
        <w:t>and</w:t>
      </w:r>
      <w:r w:rsidRPr="006A74F8">
        <w:t xml:space="preserve"> June 2017. This paper sought views on options for improving the labelling re</w:t>
      </w:r>
      <w:r w:rsidR="001C3784" w:rsidRPr="006A74F8">
        <w:t xml:space="preserve">quirements in Part 4 of the </w:t>
      </w:r>
      <w:r w:rsidR="001C3784" w:rsidRPr="006A74F8">
        <w:rPr>
          <w:i/>
        </w:rPr>
        <w:t>National Trade Measurement Regulations 2009</w:t>
      </w:r>
      <w:r w:rsidRPr="006A74F8">
        <w:t xml:space="preserve">. </w:t>
      </w:r>
    </w:p>
    <w:p w:rsidR="000541A9" w:rsidRPr="006A74F8" w:rsidRDefault="000541A9" w:rsidP="000541A9">
      <w:r w:rsidRPr="006A74F8">
        <w:t xml:space="preserve">The </w:t>
      </w:r>
      <w:r w:rsidR="00CB6EBC" w:rsidRPr="006A74F8">
        <w:t xml:space="preserve">department </w:t>
      </w:r>
      <w:r w:rsidRPr="006A74F8">
        <w:t>also commissioned ORIMA Research to investigate the importance and usage of the measurement mark on packaged fast moving consumer goods (FMCG) products as part of wider agenda to reduce potentially unnecessary Government regulation.</w:t>
      </w:r>
      <w:r w:rsidRPr="006A74F8">
        <w:rPr>
          <w:rStyle w:val="FootnoteReference"/>
        </w:rPr>
        <w:footnoteReference w:id="90"/>
      </w:r>
      <w:r w:rsidRPr="006A74F8">
        <w:t xml:space="preserve"> ORIMA undertook two research stages:  </w:t>
      </w:r>
    </w:p>
    <w:p w:rsidR="000541A9" w:rsidRPr="006A74F8" w:rsidRDefault="000541A9" w:rsidP="00A4582F">
      <w:pPr>
        <w:pStyle w:val="ListParagraph"/>
        <w:numPr>
          <w:ilvl w:val="0"/>
          <w:numId w:val="41"/>
        </w:numPr>
      </w:pPr>
      <w:r w:rsidRPr="006A74F8">
        <w:t>A series of 25 in-store qualitative intercept interviews</w:t>
      </w:r>
      <w:r w:rsidR="008D3650" w:rsidRPr="006A74F8">
        <w:t xml:space="preserve"> (15 minutes each)</w:t>
      </w:r>
      <w:r w:rsidRPr="006A74F8">
        <w:t xml:space="preserve"> with consumers in the midst of a purchase decision at one of four retail environments (supermarkets, pharmacies, hardware stores and liquor stores); and  </w:t>
      </w:r>
    </w:p>
    <w:p w:rsidR="000541A9" w:rsidRPr="006A74F8" w:rsidRDefault="000541A9" w:rsidP="003960BC">
      <w:pPr>
        <w:pStyle w:val="ListParagraph"/>
        <w:numPr>
          <w:ilvl w:val="0"/>
          <w:numId w:val="41"/>
        </w:numPr>
      </w:pPr>
      <w:r w:rsidRPr="006A74F8">
        <w:t>A 15 minute online quantitative survey of 1,593 respondents, representative of the demographic profile of the general population.</w:t>
      </w:r>
    </w:p>
    <w:p w:rsidR="000541A9" w:rsidRPr="006A74F8" w:rsidRDefault="000541A9" w:rsidP="000541A9">
      <w:pPr>
        <w:rPr>
          <w:rFonts w:cs="Arial"/>
        </w:rPr>
      </w:pPr>
      <w:r w:rsidRPr="006A74F8">
        <w:t>In 2018, the packaging review was incorporated into the broader Measurement Law Review.</w:t>
      </w:r>
      <w:r w:rsidRPr="006A74F8">
        <w:rPr>
          <w:rFonts w:cs="Arial"/>
          <w:szCs w:val="24"/>
        </w:rPr>
        <w:t xml:space="preserve"> </w:t>
      </w:r>
    </w:p>
    <w:p w:rsidR="000541A9" w:rsidRPr="006A74F8" w:rsidRDefault="000541A9" w:rsidP="003E0740">
      <w:pPr>
        <w:pStyle w:val="Heading3"/>
        <w:tabs>
          <w:tab w:val="left" w:pos="993"/>
        </w:tabs>
      </w:pPr>
      <w:r w:rsidRPr="006A74F8">
        <w:t>MLR thematic review and public consultation</w:t>
      </w:r>
    </w:p>
    <w:p w:rsidR="000541A9" w:rsidRPr="006A74F8" w:rsidRDefault="000541A9" w:rsidP="000541A9">
      <w:r w:rsidRPr="006A74F8">
        <w:t xml:space="preserve">The former Assistant Minister for Industry, Innovation and Science, the Hon Craig Laundy MP launched the </w:t>
      </w:r>
      <w:r w:rsidR="003E7653" w:rsidRPr="006A74F8">
        <w:t>Measurement Law R</w:t>
      </w:r>
      <w:r w:rsidRPr="006A74F8">
        <w:t>eview in November 2017.</w:t>
      </w:r>
      <w:r w:rsidRPr="006A74F8">
        <w:rPr>
          <w:rStyle w:val="FootnoteReference"/>
        </w:rPr>
        <w:footnoteReference w:id="91"/>
      </w:r>
      <w:r w:rsidR="00F231C6" w:rsidRPr="006A74F8">
        <w:t xml:space="preserve"> </w:t>
      </w:r>
      <w:r w:rsidR="00E92420" w:rsidRPr="006A74F8">
        <w:t>T</w:t>
      </w:r>
      <w:r w:rsidRPr="006A74F8">
        <w:t xml:space="preserve">he review team analysed the legislation and divided it into </w:t>
      </w:r>
      <w:r w:rsidR="003E7653" w:rsidRPr="006A74F8">
        <w:t xml:space="preserve">the following </w:t>
      </w:r>
      <w:r w:rsidRPr="006A74F8">
        <w:t xml:space="preserve">6 thematic areas for the purposes of public consultation: scope, traceability, measuring instruments, measurement-based transactions, third party arrangements and compliance and enforcement arrangements. </w:t>
      </w:r>
    </w:p>
    <w:p w:rsidR="000541A9" w:rsidRPr="006A74F8" w:rsidRDefault="009E4D08" w:rsidP="000541A9">
      <w:bookmarkStart w:id="1955" w:name="_Consultation_to_date"/>
      <w:bookmarkStart w:id="1956" w:name="_Public_consultation_(2017"/>
      <w:bookmarkEnd w:id="1955"/>
      <w:bookmarkEnd w:id="1956"/>
      <w:r w:rsidRPr="006A74F8">
        <w:t>An</w:t>
      </w:r>
      <w:r w:rsidR="000541A9" w:rsidRPr="006A74F8">
        <w:t xml:space="preserve"> </w:t>
      </w:r>
      <w:r w:rsidRPr="006A74F8">
        <w:t xml:space="preserve">initial </w:t>
      </w:r>
      <w:r w:rsidR="000541A9" w:rsidRPr="006A74F8">
        <w:t xml:space="preserve">workshop was held </w:t>
      </w:r>
      <w:r w:rsidRPr="006A74F8">
        <w:t xml:space="preserve">in November 2017 </w:t>
      </w:r>
      <w:r w:rsidR="000541A9" w:rsidRPr="006A74F8">
        <w:t>with 36 different agencies from government, peak industry bodies and consumer groups to raise awareness and advise on the key principles of the review. Further engagements and briefings held included:</w:t>
      </w:r>
    </w:p>
    <w:p w:rsidR="000541A9" w:rsidRPr="006A74F8" w:rsidRDefault="000541A9" w:rsidP="009E4D08">
      <w:pPr>
        <w:pStyle w:val="ListParagraph"/>
        <w:numPr>
          <w:ilvl w:val="0"/>
          <w:numId w:val="11"/>
        </w:numPr>
      </w:pPr>
      <w:r w:rsidRPr="006A74F8">
        <w:t>Approximately 30 workshops, forums and presentations, and over 50 one-on-one direct meetings with state and territory jurisdictions, government agencies and regulators, industry (including peak industry bodies) and consumer groups</w:t>
      </w:r>
      <w:r w:rsidR="00F231C6" w:rsidRPr="006A74F8">
        <w:t>.</w:t>
      </w:r>
    </w:p>
    <w:p w:rsidR="000541A9" w:rsidRPr="006A74F8" w:rsidRDefault="000541A9" w:rsidP="009E4D08">
      <w:pPr>
        <w:pStyle w:val="ListParagraph"/>
        <w:numPr>
          <w:ilvl w:val="0"/>
          <w:numId w:val="11"/>
        </w:numPr>
      </w:pPr>
      <w:r w:rsidRPr="006A74F8">
        <w:t>International engagement including direct meetings with counterpart national measurement organisations from 5 economies and a presentation on the review to delegates from 21 economies</w:t>
      </w:r>
      <w:r w:rsidR="00F231C6" w:rsidRPr="006A74F8">
        <w:t>.</w:t>
      </w:r>
    </w:p>
    <w:p w:rsidR="000541A9" w:rsidRPr="006A74F8" w:rsidRDefault="00CB6EBC" w:rsidP="000541A9">
      <w:r w:rsidRPr="006A74F8">
        <w:t>The d</w:t>
      </w:r>
      <w:r w:rsidR="000541A9" w:rsidRPr="006A74F8">
        <w:t>epartment also consulted with the public through:</w:t>
      </w:r>
    </w:p>
    <w:p w:rsidR="000541A9" w:rsidRPr="006A74F8" w:rsidRDefault="000541A9" w:rsidP="009E4D08">
      <w:pPr>
        <w:pStyle w:val="ListParagraph"/>
        <w:numPr>
          <w:ilvl w:val="0"/>
          <w:numId w:val="10"/>
        </w:numPr>
      </w:pPr>
      <w:r w:rsidRPr="006A74F8">
        <w:t xml:space="preserve">Six discussion papers </w:t>
      </w:r>
      <w:r w:rsidR="003E7653" w:rsidRPr="006A74F8">
        <w:t xml:space="preserve">released in 2018 and 2019 </w:t>
      </w:r>
      <w:r w:rsidRPr="006A74F8">
        <w:t>seeking feedback on Australia’s current measurement framework</w:t>
      </w:r>
      <w:r w:rsidR="008A5925" w:rsidRPr="006A74F8">
        <w:t>, focussing on</w:t>
      </w:r>
      <w:r w:rsidR="00F231C6" w:rsidRPr="006A74F8">
        <w:t>:</w:t>
      </w:r>
    </w:p>
    <w:p w:rsidR="000541A9" w:rsidRPr="006A74F8" w:rsidRDefault="000541A9" w:rsidP="009E4D08">
      <w:pPr>
        <w:pStyle w:val="ListParagraph"/>
        <w:numPr>
          <w:ilvl w:val="1"/>
          <w:numId w:val="10"/>
        </w:numPr>
      </w:pPr>
      <w:r w:rsidRPr="006A74F8">
        <w:t>Scope of Australia’s Measurement Laws</w:t>
      </w:r>
    </w:p>
    <w:p w:rsidR="000541A9" w:rsidRPr="006A74F8" w:rsidRDefault="000541A9" w:rsidP="009E4D08">
      <w:pPr>
        <w:pStyle w:val="ListParagraph"/>
        <w:numPr>
          <w:ilvl w:val="1"/>
          <w:numId w:val="10"/>
        </w:numPr>
      </w:pPr>
      <w:r w:rsidRPr="006A74F8">
        <w:rPr>
          <w:rFonts w:ascii="Calibri" w:hAnsi="Calibri" w:cs="Calibri"/>
        </w:rPr>
        <w:t>Traceable Measurement</w:t>
      </w:r>
    </w:p>
    <w:p w:rsidR="000541A9" w:rsidRPr="006A74F8" w:rsidRDefault="000541A9" w:rsidP="009E4D08">
      <w:pPr>
        <w:pStyle w:val="ListParagraph"/>
        <w:numPr>
          <w:ilvl w:val="1"/>
          <w:numId w:val="10"/>
        </w:numPr>
      </w:pPr>
      <w:r w:rsidRPr="006A74F8">
        <w:rPr>
          <w:rFonts w:ascii="Calibri" w:hAnsi="Calibri" w:cs="Calibri"/>
        </w:rPr>
        <w:t xml:space="preserve">Measuring Instruments </w:t>
      </w:r>
    </w:p>
    <w:p w:rsidR="000541A9" w:rsidRPr="006A74F8" w:rsidRDefault="000541A9" w:rsidP="009E4D08">
      <w:pPr>
        <w:pStyle w:val="ListParagraph"/>
        <w:numPr>
          <w:ilvl w:val="1"/>
          <w:numId w:val="10"/>
        </w:numPr>
      </w:pPr>
      <w:r w:rsidRPr="006A74F8">
        <w:rPr>
          <w:rFonts w:ascii="Calibri" w:hAnsi="Calibri" w:cs="Calibri"/>
        </w:rPr>
        <w:lastRenderedPageBreak/>
        <w:t>Measurement-Based Transactions</w:t>
      </w:r>
    </w:p>
    <w:p w:rsidR="000541A9" w:rsidRPr="006A74F8" w:rsidRDefault="000541A9" w:rsidP="009E4D08">
      <w:pPr>
        <w:pStyle w:val="ListParagraph"/>
        <w:numPr>
          <w:ilvl w:val="1"/>
          <w:numId w:val="10"/>
        </w:numPr>
      </w:pPr>
      <w:r w:rsidRPr="006A74F8">
        <w:rPr>
          <w:rFonts w:ascii="Calibri" w:hAnsi="Calibri" w:cs="Calibri"/>
        </w:rPr>
        <w:t xml:space="preserve">Third Party Arrangements </w:t>
      </w:r>
    </w:p>
    <w:p w:rsidR="000541A9" w:rsidRPr="006A74F8" w:rsidRDefault="000541A9" w:rsidP="00F26BA8">
      <w:pPr>
        <w:pStyle w:val="ListParagraph"/>
        <w:numPr>
          <w:ilvl w:val="1"/>
          <w:numId w:val="10"/>
        </w:numPr>
        <w:spacing w:after="120"/>
        <w:ind w:left="1434" w:hanging="357"/>
        <w:contextualSpacing w:val="0"/>
      </w:pPr>
      <w:r w:rsidRPr="006A74F8">
        <w:rPr>
          <w:rFonts w:ascii="Calibri" w:hAnsi="Calibri" w:cs="Calibri"/>
        </w:rPr>
        <w:t xml:space="preserve">Compliance Arrangements </w:t>
      </w:r>
    </w:p>
    <w:p w:rsidR="000541A9" w:rsidRPr="006A74F8" w:rsidRDefault="000541A9" w:rsidP="009E4D08">
      <w:pPr>
        <w:pStyle w:val="ListParagraph"/>
        <w:numPr>
          <w:ilvl w:val="0"/>
          <w:numId w:val="40"/>
        </w:numPr>
      </w:pPr>
      <w:r w:rsidRPr="006A74F8">
        <w:rPr>
          <w:rStyle w:val="normaltextrun1"/>
          <w:rFonts w:ascii="Calibri" w:hAnsi="Calibri" w:cs="Calibri"/>
          <w:bCs/>
        </w:rPr>
        <w:t xml:space="preserve">A series of forums held with </w:t>
      </w:r>
      <w:r w:rsidR="001962A8" w:rsidRPr="006A74F8">
        <w:rPr>
          <w:rStyle w:val="normaltextrun1"/>
          <w:rFonts w:ascii="Calibri" w:hAnsi="Calibri" w:cs="Calibri"/>
          <w:bCs/>
        </w:rPr>
        <w:t>ATPs</w:t>
      </w:r>
      <w:r w:rsidRPr="006A74F8">
        <w:rPr>
          <w:rStyle w:val="FootnoteReference"/>
          <w:rFonts w:eastAsiaTheme="majorEastAsia" w:cs="Calibri"/>
        </w:rPr>
        <w:footnoteReference w:id="92"/>
      </w:r>
      <w:r w:rsidRPr="006A74F8">
        <w:rPr>
          <w:rStyle w:val="normaltextrun1"/>
          <w:rFonts w:ascii="Calibri" w:hAnsi="Calibri" w:cs="Calibri"/>
          <w:bCs/>
        </w:rPr>
        <w:t xml:space="preserve"> across Australia</w:t>
      </w:r>
      <w:r w:rsidR="00F231C6" w:rsidRPr="006A74F8">
        <w:rPr>
          <w:rStyle w:val="normaltextrun1"/>
          <w:rFonts w:ascii="Calibri" w:hAnsi="Calibri" w:cs="Calibri"/>
          <w:bCs/>
        </w:rPr>
        <w:t xml:space="preserve"> in November and December 2019</w:t>
      </w:r>
      <w:r w:rsidR="00F41719" w:rsidRPr="006A74F8">
        <w:rPr>
          <w:rStyle w:val="normaltextrun1"/>
          <w:rFonts w:ascii="Calibri" w:hAnsi="Calibri" w:cs="Calibri"/>
          <w:bCs/>
        </w:rPr>
        <w:t xml:space="preserve">. </w:t>
      </w:r>
      <w:r w:rsidRPr="006A74F8">
        <w:rPr>
          <w:rFonts w:ascii="Calibri" w:hAnsi="Calibri" w:cs="Calibri"/>
        </w:rPr>
        <w:t>A total of 123 participants attended the forums which were held in Melbourne, Adelaide, Sydney, Brisbane and Perth.</w:t>
      </w:r>
    </w:p>
    <w:p w:rsidR="000541A9" w:rsidRPr="006A74F8" w:rsidRDefault="00CB6EBC" w:rsidP="000541A9">
      <w:r w:rsidRPr="006A74F8">
        <w:t>The d</w:t>
      </w:r>
      <w:r w:rsidR="000541A9" w:rsidRPr="006A74F8">
        <w:t>epartment received 103 submissions to the discussion papers. The papers and the submissions (other than those marked as confidential) are available on the department’s website along with a summary.</w:t>
      </w:r>
      <w:r w:rsidR="000541A9" w:rsidRPr="006A74F8">
        <w:rPr>
          <w:rStyle w:val="FootnoteReference"/>
        </w:rPr>
        <w:footnoteReference w:id="93"/>
      </w:r>
    </w:p>
    <w:p w:rsidR="000541A9" w:rsidRPr="006A74F8" w:rsidRDefault="000541A9" w:rsidP="003E0740">
      <w:pPr>
        <w:pStyle w:val="Heading3"/>
        <w:tabs>
          <w:tab w:val="left" w:pos="993"/>
        </w:tabs>
      </w:pPr>
      <w:r w:rsidRPr="006A74F8">
        <w:t>Economic analysis and industry survey</w:t>
      </w:r>
    </w:p>
    <w:p w:rsidR="000541A9" w:rsidRPr="006A74F8" w:rsidRDefault="000541A9" w:rsidP="000541A9">
      <w:pPr>
        <w:rPr>
          <w:rStyle w:val="normaltextrun1"/>
          <w:rFonts w:ascii="Calibri" w:hAnsi="Calibri" w:cs="Calibri"/>
        </w:rPr>
      </w:pPr>
      <w:r w:rsidRPr="006A74F8">
        <w:rPr>
          <w:rStyle w:val="normaltextrun1"/>
          <w:rFonts w:ascii="Calibri" w:hAnsi="Calibri" w:cs="Calibri"/>
        </w:rPr>
        <w:t xml:space="preserve">An independent </w:t>
      </w:r>
      <w:r w:rsidR="00EB69D4" w:rsidRPr="006A74F8">
        <w:rPr>
          <w:rStyle w:val="normaltextrun1"/>
          <w:rFonts w:ascii="Calibri" w:hAnsi="Calibri" w:cs="Calibri"/>
        </w:rPr>
        <w:t xml:space="preserve">economic </w:t>
      </w:r>
      <w:r w:rsidR="00A23CE7" w:rsidRPr="006A74F8">
        <w:rPr>
          <w:rFonts w:cstheme="minorHAnsi"/>
          <w:szCs w:val="24"/>
        </w:rPr>
        <w:t>analysis</w:t>
      </w:r>
      <w:r w:rsidRPr="006A74F8">
        <w:rPr>
          <w:rFonts w:cstheme="minorHAnsi"/>
          <w:szCs w:val="24"/>
        </w:rPr>
        <w:t xml:space="preserve"> </w:t>
      </w:r>
      <w:r w:rsidR="008E1FD4" w:rsidRPr="006A74F8">
        <w:rPr>
          <w:rStyle w:val="normaltextrun1"/>
          <w:rFonts w:ascii="Calibri" w:hAnsi="Calibri" w:cs="Calibri"/>
        </w:rPr>
        <w:t xml:space="preserve">conducted </w:t>
      </w:r>
      <w:r w:rsidR="00A23CE7" w:rsidRPr="006A74F8">
        <w:rPr>
          <w:rStyle w:val="normaltextrun1"/>
          <w:rFonts w:ascii="Calibri" w:hAnsi="Calibri" w:cs="Calibri"/>
          <w:bCs/>
        </w:rPr>
        <w:t xml:space="preserve">by Ernst &amp; Young </w:t>
      </w:r>
      <w:r w:rsidR="008E1FD4" w:rsidRPr="006A74F8">
        <w:rPr>
          <w:rStyle w:val="normaltextrun1"/>
          <w:rFonts w:ascii="Calibri" w:hAnsi="Calibri" w:cs="Calibri"/>
        </w:rPr>
        <w:t>in 2019/2020</w:t>
      </w:r>
      <w:r w:rsidR="00410D9C" w:rsidRPr="006A74F8">
        <w:rPr>
          <w:rStyle w:val="FootnoteReference"/>
          <w:rFonts w:cs="Calibri"/>
        </w:rPr>
        <w:t xml:space="preserve"> </w:t>
      </w:r>
      <w:r w:rsidR="00410D9C" w:rsidRPr="006A74F8">
        <w:rPr>
          <w:rStyle w:val="FootnoteReference"/>
          <w:rFonts w:cs="Calibri"/>
        </w:rPr>
        <w:footnoteReference w:id="94"/>
      </w:r>
      <w:r w:rsidR="008E1FD4" w:rsidRPr="006A74F8">
        <w:rPr>
          <w:rStyle w:val="normaltextrun1"/>
          <w:rFonts w:ascii="Calibri" w:hAnsi="Calibri" w:cs="Calibri"/>
        </w:rPr>
        <w:t xml:space="preserve"> </w:t>
      </w:r>
      <w:r w:rsidRPr="006A74F8">
        <w:rPr>
          <w:rStyle w:val="normaltextrun1"/>
          <w:rFonts w:ascii="Calibri" w:hAnsi="Calibri" w:cs="Calibri"/>
        </w:rPr>
        <w:t>estimated the baseline value of the measurement framework to be significant</w:t>
      </w:r>
      <w:r w:rsidR="007031EB" w:rsidRPr="006A74F8">
        <w:rPr>
          <w:rStyle w:val="normaltextrun1"/>
          <w:rFonts w:ascii="Calibri" w:hAnsi="Calibri" w:cs="Calibri"/>
        </w:rPr>
        <w:t>,</w:t>
      </w:r>
      <w:r w:rsidR="00A23CE7" w:rsidRPr="006A74F8">
        <w:rPr>
          <w:rStyle w:val="normaltextrun1"/>
          <w:rFonts w:ascii="Calibri" w:hAnsi="Calibri" w:cs="Calibri"/>
          <w:bCs/>
        </w:rPr>
        <w:t xml:space="preserve"> </w:t>
      </w:r>
      <w:r w:rsidR="007031EB" w:rsidRPr="006A74F8">
        <w:rPr>
          <w:rStyle w:val="normaltextrun1"/>
          <w:rFonts w:ascii="Calibri" w:hAnsi="Calibri" w:cs="Calibri"/>
          <w:bCs/>
        </w:rPr>
        <w:t xml:space="preserve">with the benefits </w:t>
      </w:r>
      <w:r w:rsidRPr="006A74F8">
        <w:rPr>
          <w:rStyle w:val="normaltextrun1"/>
          <w:rFonts w:ascii="Calibri" w:hAnsi="Calibri" w:cs="Calibri"/>
          <w:bCs/>
        </w:rPr>
        <w:t>far outweigh</w:t>
      </w:r>
      <w:r w:rsidR="007031EB" w:rsidRPr="006A74F8">
        <w:rPr>
          <w:rStyle w:val="normaltextrun1"/>
          <w:rFonts w:ascii="Calibri" w:hAnsi="Calibri" w:cs="Calibri"/>
          <w:bCs/>
        </w:rPr>
        <w:t>ing</w:t>
      </w:r>
      <w:r w:rsidRPr="006A74F8">
        <w:rPr>
          <w:rStyle w:val="normaltextrun1"/>
          <w:rFonts w:ascii="Calibri" w:hAnsi="Calibri" w:cs="Calibri"/>
        </w:rPr>
        <w:t xml:space="preserve"> the costs of the system</w:t>
      </w:r>
      <w:r w:rsidR="00A23CE7" w:rsidRPr="006A74F8">
        <w:rPr>
          <w:rStyle w:val="normaltextrun1"/>
          <w:rFonts w:ascii="Calibri" w:hAnsi="Calibri" w:cs="Calibri"/>
          <w:bCs/>
        </w:rPr>
        <w:t>:</w:t>
      </w:r>
    </w:p>
    <w:p w:rsidR="00A23CE7" w:rsidRPr="006A74F8" w:rsidRDefault="00AF72B0" w:rsidP="00A23CE7">
      <w:pPr>
        <w:pStyle w:val="ListParagraph"/>
        <w:numPr>
          <w:ilvl w:val="0"/>
          <w:numId w:val="10"/>
        </w:numPr>
      </w:pPr>
      <w:r w:rsidRPr="006A74F8">
        <w:rPr>
          <w:rFonts w:cstheme="minorHAnsi"/>
          <w:szCs w:val="24"/>
        </w:rPr>
        <w:t xml:space="preserve">This </w:t>
      </w:r>
      <w:r w:rsidR="000541A9" w:rsidRPr="006A74F8">
        <w:rPr>
          <w:rFonts w:cstheme="minorHAnsi"/>
          <w:szCs w:val="24"/>
        </w:rPr>
        <w:t xml:space="preserve">analysis of </w:t>
      </w:r>
      <w:r w:rsidR="000541A9" w:rsidRPr="006A74F8">
        <w:rPr>
          <w:rFonts w:ascii="Calibri" w:hAnsi="Calibri" w:cs="Calibri"/>
        </w:rPr>
        <w:t>the</w:t>
      </w:r>
      <w:r w:rsidR="000541A9" w:rsidRPr="006A74F8">
        <w:rPr>
          <w:rFonts w:cstheme="minorHAnsi"/>
          <w:szCs w:val="24"/>
        </w:rPr>
        <w:t xml:space="preserve"> measurement framework found that between 1984/85 and 2017/18, measurement regulation cumulatively contributed between </w:t>
      </w:r>
      <w:r w:rsidR="000541A9" w:rsidRPr="006A74F8">
        <w:rPr>
          <w:rFonts w:cstheme="minorHAnsi"/>
          <w:i/>
          <w:szCs w:val="24"/>
        </w:rPr>
        <w:t>$66.9 billion and $141.8 billion to quantifiable overall economic growth</w:t>
      </w:r>
      <w:r w:rsidR="000541A9" w:rsidRPr="006A74F8">
        <w:rPr>
          <w:rFonts w:cstheme="minorHAnsi"/>
          <w:szCs w:val="24"/>
        </w:rPr>
        <w:t xml:space="preserve"> in Australia, or between 5.72% and 12.12% of GDP growth.</w:t>
      </w:r>
      <w:r w:rsidR="000541A9" w:rsidRPr="006A74F8">
        <w:rPr>
          <w:rStyle w:val="FootnoteReference"/>
          <w:rFonts w:eastAsiaTheme="minorEastAsia" w:cstheme="minorHAnsi"/>
          <w:szCs w:val="24"/>
        </w:rPr>
        <w:footnoteReference w:id="95"/>
      </w:r>
      <w:r w:rsidR="000541A9" w:rsidRPr="006A74F8">
        <w:rPr>
          <w:rFonts w:cstheme="minorHAnsi"/>
          <w:szCs w:val="24"/>
        </w:rPr>
        <w:t xml:space="preserve"> </w:t>
      </w:r>
    </w:p>
    <w:p w:rsidR="000541A9" w:rsidRPr="006A74F8" w:rsidRDefault="00A23CE7" w:rsidP="00A23CE7">
      <w:pPr>
        <w:pStyle w:val="ListParagraph"/>
        <w:numPr>
          <w:ilvl w:val="0"/>
          <w:numId w:val="10"/>
        </w:numPr>
        <w:rPr>
          <w:rFonts w:cstheme="minorHAnsi"/>
          <w:b/>
          <w:szCs w:val="24"/>
        </w:rPr>
      </w:pPr>
      <w:r w:rsidRPr="006A74F8">
        <w:t>The report found that m</w:t>
      </w:r>
      <w:r w:rsidR="000541A9" w:rsidRPr="006A74F8">
        <w:rPr>
          <w:rFonts w:cstheme="minorHAnsi"/>
          <w:szCs w:val="24"/>
        </w:rPr>
        <w:t>easurement regulation supports economic output across all sectors of the economy.</w:t>
      </w:r>
      <w:r w:rsidR="000541A9" w:rsidRPr="006A74F8">
        <w:rPr>
          <w:rStyle w:val="FootnoteReference"/>
          <w:rFonts w:eastAsiaTheme="minorEastAsia" w:cstheme="minorHAnsi"/>
          <w:szCs w:val="24"/>
        </w:rPr>
        <w:footnoteReference w:id="96"/>
      </w:r>
      <w:r w:rsidR="000541A9" w:rsidRPr="006A74F8">
        <w:rPr>
          <w:rFonts w:cstheme="minorHAnsi"/>
          <w:szCs w:val="24"/>
        </w:rPr>
        <w:t xml:space="preserve"> It also provides important non-quantifiable benefits in areas such as product safety, environmental benefits, healthcare, law and order, defence and security, consumer confidence and international trade.</w:t>
      </w:r>
    </w:p>
    <w:p w:rsidR="000541A9" w:rsidRPr="006A74F8" w:rsidRDefault="000541A9" w:rsidP="00A23CE7">
      <w:pPr>
        <w:pStyle w:val="ListParagraph"/>
        <w:numPr>
          <w:ilvl w:val="0"/>
          <w:numId w:val="10"/>
        </w:numPr>
        <w:rPr>
          <w:rFonts w:cstheme="minorHAnsi"/>
          <w:b/>
          <w:szCs w:val="24"/>
        </w:rPr>
      </w:pPr>
      <w:r w:rsidRPr="006A74F8">
        <w:rPr>
          <w:rFonts w:cstheme="minorHAnsi"/>
          <w:szCs w:val="24"/>
        </w:rPr>
        <w:t xml:space="preserve">The quantifiable benefits </w:t>
      </w:r>
      <w:r w:rsidR="00AF72B0" w:rsidRPr="006A74F8">
        <w:rPr>
          <w:rFonts w:cstheme="minorHAnsi"/>
          <w:szCs w:val="24"/>
        </w:rPr>
        <w:t xml:space="preserve">of the measurement system </w:t>
      </w:r>
      <w:r w:rsidR="00A23CE7" w:rsidRPr="006A74F8">
        <w:rPr>
          <w:rFonts w:cstheme="minorHAnsi"/>
          <w:szCs w:val="24"/>
        </w:rPr>
        <w:t>were considered</w:t>
      </w:r>
      <w:r w:rsidRPr="006A74F8">
        <w:rPr>
          <w:rFonts w:cstheme="minorHAnsi"/>
          <w:szCs w:val="24"/>
        </w:rPr>
        <w:t xml:space="preserve"> large compared to the modest </w:t>
      </w:r>
      <w:r w:rsidRPr="006A74F8">
        <w:rPr>
          <w:rFonts w:cstheme="minorHAnsi"/>
          <w:i/>
          <w:szCs w:val="24"/>
        </w:rPr>
        <w:t>average annual cost of around $200 million</w:t>
      </w:r>
      <w:r w:rsidRPr="006A74F8">
        <w:rPr>
          <w:rFonts w:cstheme="minorHAnsi"/>
          <w:szCs w:val="24"/>
        </w:rPr>
        <w:t>. This is comprised of the costs to government and third parties to administer the framework estimated to be around $80 million, plus the maximum estimated annual costs to business of around $120 million for pattern approval and verifications.</w:t>
      </w:r>
    </w:p>
    <w:p w:rsidR="000541A9" w:rsidRPr="006A74F8" w:rsidRDefault="00AF72B0" w:rsidP="00A23CE7">
      <w:pPr>
        <w:pStyle w:val="ListParagraph"/>
        <w:numPr>
          <w:ilvl w:val="0"/>
          <w:numId w:val="10"/>
        </w:numPr>
        <w:rPr>
          <w:rFonts w:ascii="Calibri" w:eastAsiaTheme="majorEastAsia" w:hAnsi="Calibri" w:cs="Calibri"/>
        </w:rPr>
      </w:pPr>
      <w:r w:rsidRPr="006A74F8">
        <w:rPr>
          <w:rFonts w:ascii="Calibri" w:eastAsiaTheme="majorEastAsia" w:hAnsi="Calibri" w:cs="Calibri"/>
        </w:rPr>
        <w:t xml:space="preserve">Because of the significant benefits of the measurement system, </w:t>
      </w:r>
      <w:r w:rsidRPr="006A74F8">
        <w:rPr>
          <w:rFonts w:ascii="Calibri" w:eastAsiaTheme="majorEastAsia" w:hAnsi="Calibri" w:cs="Calibri"/>
          <w:bCs/>
        </w:rPr>
        <w:t>r</w:t>
      </w:r>
      <w:r w:rsidR="000541A9" w:rsidRPr="006A74F8">
        <w:rPr>
          <w:rFonts w:ascii="Calibri" w:eastAsiaTheme="majorEastAsia" w:hAnsi="Calibri" w:cs="Calibri"/>
          <w:bCs/>
        </w:rPr>
        <w:t>egardless</w:t>
      </w:r>
      <w:r w:rsidR="000541A9" w:rsidRPr="006A74F8">
        <w:rPr>
          <w:rFonts w:ascii="Calibri" w:eastAsiaTheme="majorEastAsia" w:hAnsi="Calibri" w:cs="Calibri"/>
        </w:rPr>
        <w:t xml:space="preserve"> of the assumptions used in estimating burden, </w:t>
      </w:r>
      <w:r w:rsidR="00A23CE7" w:rsidRPr="006A74F8">
        <w:rPr>
          <w:rFonts w:ascii="Calibri" w:eastAsiaTheme="majorEastAsia" w:hAnsi="Calibri" w:cs="Calibri"/>
          <w:bCs/>
        </w:rPr>
        <w:t xml:space="preserve">the analysis indicated that </w:t>
      </w:r>
      <w:r w:rsidR="000541A9" w:rsidRPr="006A74F8">
        <w:rPr>
          <w:rFonts w:ascii="Calibri" w:eastAsiaTheme="majorEastAsia" w:hAnsi="Calibri" w:cs="Calibri"/>
        </w:rPr>
        <w:t xml:space="preserve">it is highly unlikely that the costs of the measurement </w:t>
      </w:r>
      <w:r w:rsidR="000541A9" w:rsidRPr="006A74F8">
        <w:rPr>
          <w:rFonts w:cstheme="minorHAnsi"/>
          <w:szCs w:val="24"/>
        </w:rPr>
        <w:t>framework</w:t>
      </w:r>
      <w:r w:rsidR="000541A9" w:rsidRPr="006A74F8">
        <w:rPr>
          <w:rFonts w:ascii="Calibri" w:eastAsiaTheme="majorEastAsia" w:hAnsi="Calibri" w:cs="Calibri"/>
        </w:rPr>
        <w:t xml:space="preserve"> would ever come close to approximating its benefits. This means that there will always be a </w:t>
      </w:r>
      <w:r w:rsidR="000541A9" w:rsidRPr="006A74F8">
        <w:rPr>
          <w:rFonts w:ascii="Calibri" w:eastAsiaTheme="majorEastAsia" w:hAnsi="Calibri" w:cs="Calibri"/>
          <w:b/>
        </w:rPr>
        <w:t>net benefit</w:t>
      </w:r>
      <w:r w:rsidR="000541A9" w:rsidRPr="006A74F8">
        <w:rPr>
          <w:rFonts w:ascii="Calibri" w:eastAsiaTheme="majorEastAsia" w:hAnsi="Calibri" w:cs="Calibri"/>
        </w:rPr>
        <w:t xml:space="preserve"> that can be argued in favour of measurement regulation.</w:t>
      </w:r>
    </w:p>
    <w:p w:rsidR="000541A9" w:rsidRPr="006A74F8" w:rsidRDefault="000541A9" w:rsidP="000541A9">
      <w:pPr>
        <w:rPr>
          <w:rStyle w:val="normaltextrun1"/>
          <w:rFonts w:cstheme="minorHAnsi"/>
          <w:bCs/>
        </w:rPr>
      </w:pPr>
      <w:r w:rsidRPr="006A74F8">
        <w:rPr>
          <w:rStyle w:val="normaltextrun1"/>
          <w:rFonts w:cstheme="minorHAnsi"/>
        </w:rPr>
        <w:t>Industry consultations were also used to inform the economic analysis of Australia’s measurement legislation. This included a</w:t>
      </w:r>
      <w:r w:rsidRPr="006A74F8">
        <w:rPr>
          <w:rFonts w:cstheme="minorHAnsi"/>
        </w:rPr>
        <w:t xml:space="preserve"> survey to assess the level of engagement of industry with the measurement system which gathered responses from 562 businesses across different industry sectors. Survey responses were used to help assess the </w:t>
      </w:r>
      <w:r w:rsidRPr="006A74F8">
        <w:rPr>
          <w:rStyle w:val="normaltextrun1"/>
          <w:rFonts w:cstheme="minorHAnsi"/>
        </w:rPr>
        <w:t>regulatory burden, benefits and costs associated with the current measurement regulations.</w:t>
      </w:r>
      <w:r w:rsidRPr="006A74F8">
        <w:rPr>
          <w:rStyle w:val="normaltextrun1"/>
          <w:rFonts w:cstheme="minorHAnsi"/>
          <w:bCs/>
        </w:rPr>
        <w:t xml:space="preserve">  </w:t>
      </w:r>
    </w:p>
    <w:p w:rsidR="000541A9" w:rsidRPr="006A74F8" w:rsidRDefault="000541A9" w:rsidP="0091002F">
      <w:pPr>
        <w:pStyle w:val="ListParagraph"/>
        <w:numPr>
          <w:ilvl w:val="0"/>
          <w:numId w:val="12"/>
        </w:numPr>
        <w:rPr>
          <w:rStyle w:val="normaltextrun1"/>
          <w:rFonts w:cstheme="minorHAnsi"/>
        </w:rPr>
      </w:pPr>
      <w:r w:rsidRPr="006A74F8">
        <w:rPr>
          <w:rStyle w:val="normaltextrun1"/>
          <w:rFonts w:cstheme="minorHAnsi"/>
        </w:rPr>
        <w:lastRenderedPageBreak/>
        <w:t>In 2019, the regulated community was estimated to include approximately 860,000 businesses, or around 37% of all businesses trading.</w:t>
      </w:r>
    </w:p>
    <w:p w:rsidR="000541A9" w:rsidRPr="006A74F8" w:rsidRDefault="000541A9" w:rsidP="0091002F">
      <w:pPr>
        <w:pStyle w:val="ListParagraph"/>
        <w:numPr>
          <w:ilvl w:val="0"/>
          <w:numId w:val="12"/>
        </w:numPr>
        <w:autoSpaceDE w:val="0"/>
        <w:autoSpaceDN w:val="0"/>
        <w:adjustRightInd w:val="0"/>
        <w:spacing w:after="0" w:line="240" w:lineRule="auto"/>
        <w:rPr>
          <w:rFonts w:cstheme="minorHAnsi"/>
          <w:i/>
          <w:color w:val="000000"/>
        </w:rPr>
        <w:sectPr w:rsidR="000541A9" w:rsidRPr="006A74F8" w:rsidSect="00EC61D8">
          <w:pgSz w:w="11906" w:h="16838"/>
          <w:pgMar w:top="1440" w:right="1440" w:bottom="1440" w:left="1440" w:header="708" w:footer="352" w:gutter="0"/>
          <w:cols w:space="708"/>
          <w:docGrid w:linePitch="360"/>
        </w:sectPr>
      </w:pPr>
      <w:r w:rsidRPr="006A74F8">
        <w:rPr>
          <w:rFonts w:cstheme="minorHAnsi"/>
          <w:color w:val="000000"/>
        </w:rPr>
        <w:t xml:space="preserve">An estimate of the total stock of measuring instruments in use in Australia suggests that approximately 124 million instruments are owned by businesses. Of this number, approximately 54% are pattern approved. </w:t>
      </w:r>
      <w:r w:rsidRPr="006A74F8">
        <w:rPr>
          <w:rFonts w:cstheme="minorHAnsi"/>
          <w:i/>
          <w:color w:val="000000"/>
        </w:rPr>
        <w:t xml:space="preserve">These estimates are indicative only and are subject to the limitations of available data. </w:t>
      </w:r>
    </w:p>
    <w:p w:rsidR="00717E90" w:rsidRPr="006A74F8" w:rsidRDefault="00C60FFD" w:rsidP="00717E90">
      <w:pPr>
        <w:pStyle w:val="Heading1"/>
      </w:pPr>
      <w:bookmarkStart w:id="1957" w:name="_Appendix_4:_When"/>
      <w:bookmarkStart w:id="1958" w:name="_Toc81997310"/>
      <w:bookmarkStart w:id="1959" w:name="_Toc81998083"/>
      <w:bookmarkStart w:id="1960" w:name="_Toc82011847"/>
      <w:bookmarkStart w:id="1961" w:name="_Toc82512693"/>
      <w:bookmarkStart w:id="1962" w:name="_Toc82516161"/>
      <w:bookmarkStart w:id="1963" w:name="_Toc82519112"/>
      <w:bookmarkStart w:id="1964" w:name="_Toc82706650"/>
      <w:bookmarkStart w:id="1965" w:name="_Toc82790539"/>
      <w:bookmarkStart w:id="1966" w:name="_Toc82791058"/>
      <w:bookmarkStart w:id="1967" w:name="_Toc82792369"/>
      <w:bookmarkStart w:id="1968" w:name="_Toc83290751"/>
      <w:bookmarkStart w:id="1969" w:name="_Toc83292760"/>
      <w:bookmarkStart w:id="1970" w:name="_Toc83293531"/>
      <w:bookmarkEnd w:id="1957"/>
      <w:r w:rsidRPr="006A74F8" w:rsidDel="00717E90">
        <w:lastRenderedPageBreak/>
        <w:t xml:space="preserve">Appendix </w:t>
      </w:r>
      <w:r w:rsidR="00266F0F" w:rsidRPr="006A74F8">
        <w:t>3</w:t>
      </w:r>
      <w:bookmarkStart w:id="1971" w:name="_Appendix_5:_Impacts"/>
      <w:bookmarkStart w:id="1972" w:name="_Toc81919620"/>
      <w:bookmarkStart w:id="1973" w:name="_Toc81919894"/>
      <w:bookmarkStart w:id="1974" w:name="_Toc81921171"/>
      <w:bookmarkStart w:id="1975" w:name="_Toc81923736"/>
      <w:bookmarkStart w:id="1976" w:name="_Toc81923773"/>
      <w:bookmarkStart w:id="1977" w:name="_Toc63062604"/>
      <w:bookmarkStart w:id="1978" w:name="_Ref63104381"/>
      <w:bookmarkStart w:id="1979" w:name="_Toc64641228"/>
      <w:bookmarkStart w:id="1980" w:name="_Toc64647170"/>
      <w:bookmarkStart w:id="1981" w:name="_Toc64558464"/>
      <w:bookmarkStart w:id="1982" w:name="_Toc64557484"/>
      <w:bookmarkStart w:id="1983" w:name="_Toc64562209"/>
      <w:bookmarkStart w:id="1984" w:name="_Toc64562465"/>
      <w:bookmarkStart w:id="1985" w:name="_Toc64640258"/>
      <w:bookmarkStart w:id="1986" w:name="_Toc64888342"/>
      <w:bookmarkStart w:id="1987" w:name="_Toc64888716"/>
      <w:bookmarkStart w:id="1988" w:name="_Toc64892991"/>
      <w:bookmarkStart w:id="1989" w:name="_Toc64895651"/>
      <w:bookmarkStart w:id="1990" w:name="_Toc64900877"/>
      <w:bookmarkStart w:id="1991" w:name="_Toc64903124"/>
      <w:bookmarkStart w:id="1992" w:name="_Toc64904082"/>
      <w:bookmarkStart w:id="1993" w:name="_Toc64904285"/>
      <w:bookmarkStart w:id="1994" w:name="_Toc64904747"/>
      <w:bookmarkStart w:id="1995" w:name="_Toc64905261"/>
      <w:bookmarkStart w:id="1996" w:name="_Toc64964019"/>
      <w:bookmarkStart w:id="1997" w:name="_Toc64974636"/>
      <w:bookmarkStart w:id="1998" w:name="_Toc64976318"/>
      <w:bookmarkStart w:id="1999" w:name="_Toc65149698"/>
      <w:bookmarkStart w:id="2000" w:name="_Toc65163455"/>
      <w:bookmarkStart w:id="2001" w:name="_Toc65491095"/>
      <w:bookmarkStart w:id="2002" w:name="_Toc65504831"/>
      <w:bookmarkStart w:id="2003" w:name="_Toc65757914"/>
      <w:bookmarkStart w:id="2004" w:name="_Toc65769509"/>
      <w:bookmarkStart w:id="2005" w:name="_Toc65766877"/>
      <w:bookmarkStart w:id="2006" w:name="_Toc65772651"/>
      <w:bookmarkStart w:id="2007" w:name="_Toc66435708"/>
      <w:bookmarkStart w:id="2008" w:name="_Toc66436497"/>
      <w:bookmarkStart w:id="2009" w:name="_Toc66437708"/>
      <w:bookmarkStart w:id="2010" w:name="_Toc66440047"/>
      <w:bookmarkStart w:id="2011" w:name="_Toc66442250"/>
      <w:bookmarkStart w:id="2012" w:name="_Toc66451919"/>
      <w:bookmarkStart w:id="2013" w:name="_Toc66459196"/>
      <w:bookmarkStart w:id="2014" w:name="_Toc66460250"/>
      <w:bookmarkStart w:id="2015" w:name="_Toc67305398"/>
      <w:bookmarkStart w:id="2016" w:name="_Toc67306312"/>
      <w:bookmarkStart w:id="2017" w:name="_Toc67306762"/>
      <w:bookmarkStart w:id="2018" w:name="_Toc67313614"/>
      <w:bookmarkStart w:id="2019" w:name="_Toc67320807"/>
      <w:bookmarkStart w:id="2020" w:name="_Toc67321960"/>
      <w:bookmarkStart w:id="2021" w:name="_Toc67324425"/>
      <w:bookmarkStart w:id="2022" w:name="_Toc67326586"/>
      <w:bookmarkStart w:id="2023" w:name="_Toc67649124"/>
      <w:bookmarkStart w:id="2024" w:name="_Toc67650108"/>
      <w:bookmarkStart w:id="2025" w:name="_Toc67650363"/>
      <w:bookmarkStart w:id="2026" w:name="_Toc67650655"/>
      <w:bookmarkStart w:id="2027" w:name="_Toc67652975"/>
      <w:bookmarkStart w:id="2028" w:name="_Toc67653060"/>
      <w:bookmarkStart w:id="2029" w:name="_Toc67653492"/>
      <w:bookmarkStart w:id="2030" w:name="_Toc67653555"/>
      <w:bookmarkStart w:id="2031" w:name="_Toc67649972"/>
      <w:bookmarkStart w:id="2032" w:name="_Toc67654058"/>
      <w:bookmarkStart w:id="2033" w:name="_Toc67654365"/>
      <w:bookmarkStart w:id="2034" w:name="_Toc67654582"/>
      <w:bookmarkStart w:id="2035" w:name="_Toc67656189"/>
      <w:bookmarkStart w:id="2036" w:name="_Toc67656951"/>
      <w:bookmarkStart w:id="2037" w:name="_Toc67659250"/>
      <w:bookmarkStart w:id="2038" w:name="_Toc67659751"/>
      <w:bookmarkStart w:id="2039" w:name="_Toc67661718"/>
      <w:bookmarkStart w:id="2040" w:name="_Toc67662809"/>
      <w:bookmarkStart w:id="2041" w:name="_Toc67662950"/>
      <w:bookmarkStart w:id="2042" w:name="_Toc67664137"/>
      <w:bookmarkStart w:id="2043" w:name="_Toc67664456"/>
      <w:bookmarkStart w:id="2044" w:name="_Toc67667183"/>
      <w:bookmarkStart w:id="2045" w:name="_Toc67668256"/>
      <w:bookmarkStart w:id="2046" w:name="_Toc67669163"/>
      <w:bookmarkStart w:id="2047" w:name="_Toc67665774"/>
      <w:bookmarkStart w:id="2048" w:name="_Toc67912163"/>
      <w:bookmarkStart w:id="2049" w:name="_Toc67922244"/>
      <w:bookmarkStart w:id="2050" w:name="_Toc67929103"/>
      <w:bookmarkStart w:id="2051" w:name="_Toc67929397"/>
      <w:bookmarkStart w:id="2052" w:name="_Toc67929622"/>
      <w:bookmarkStart w:id="2053" w:name="_Toc67927099"/>
      <w:bookmarkStart w:id="2054" w:name="_Toc68011264"/>
      <w:bookmarkStart w:id="2055" w:name="_Toc68011322"/>
      <w:bookmarkEnd w:id="25"/>
      <w:bookmarkEnd w:id="26"/>
      <w:bookmarkEnd w:id="1950"/>
      <w:bookmarkEnd w:id="1951"/>
      <w:bookmarkEnd w:id="1952"/>
      <w:bookmarkEnd w:id="1971"/>
      <w:r w:rsidR="00717E90" w:rsidRPr="006A74F8">
        <w:t>: When changes would occur</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2"/>
      <w:bookmarkEnd w:id="1973"/>
      <w:bookmarkEnd w:id="1974"/>
      <w:bookmarkEnd w:id="1975"/>
      <w:bookmarkEnd w:id="1976"/>
    </w:p>
    <w:p w:rsidR="00717E90" w:rsidRPr="006A74F8" w:rsidRDefault="00717E90" w:rsidP="00717E90">
      <w:pPr>
        <w:pStyle w:val="Caption"/>
        <w:keepNext/>
      </w:pPr>
      <w:r w:rsidRPr="006A74F8">
        <w:t>Table A</w:t>
      </w:r>
      <w:r w:rsidR="003608D6" w:rsidRPr="006A74F8">
        <w:t>3</w:t>
      </w:r>
      <w:r w:rsidRPr="006A74F8">
        <w:t xml:space="preserve">- </w:t>
      </w:r>
      <w:r w:rsidRPr="006A74F8">
        <w:rPr>
          <w:noProof/>
        </w:rPr>
        <w:fldChar w:fldCharType="begin"/>
      </w:r>
      <w:r w:rsidRPr="006A74F8">
        <w:rPr>
          <w:noProof/>
        </w:rPr>
        <w:instrText xml:space="preserve"> SEQ Table_A4- \* ARABIC </w:instrText>
      </w:r>
      <w:r w:rsidRPr="006A74F8">
        <w:rPr>
          <w:noProof/>
        </w:rPr>
        <w:fldChar w:fldCharType="separate"/>
      </w:r>
      <w:r w:rsidR="0033017F">
        <w:rPr>
          <w:noProof/>
        </w:rPr>
        <w:t>1</w:t>
      </w:r>
      <w:r w:rsidRPr="006A74F8">
        <w:rPr>
          <w:noProof/>
        </w:rPr>
        <w:fldChar w:fldCharType="end"/>
      </w:r>
      <w:r w:rsidRPr="006A74F8">
        <w:t>: When changes would occur</w:t>
      </w:r>
    </w:p>
    <w:tbl>
      <w:tblPr>
        <w:tblW w:w="19385" w:type="dxa"/>
        <w:tblLook w:val="04A0" w:firstRow="1" w:lastRow="0" w:firstColumn="1" w:lastColumn="0" w:noHBand="0" w:noVBand="1"/>
        <w:tblCaption w:val="Appendix 3 - Table showing when changes would occur"/>
        <w:tblDescription w:val="The table describes the timing of proposed changes under each option for thematic area of the legislation. &#10;Reading left to right it describes the thematic area, then the changes from day one under reform option one, then further changes under option one that will undergo further consulation. It then descirbes these two categories for options two and three. "/>
      </w:tblPr>
      <w:tblGrid>
        <w:gridCol w:w="2294"/>
        <w:gridCol w:w="3696"/>
        <w:gridCol w:w="2255"/>
        <w:gridCol w:w="3404"/>
        <w:gridCol w:w="2542"/>
        <w:gridCol w:w="2822"/>
        <w:gridCol w:w="2372"/>
      </w:tblGrid>
      <w:tr w:rsidR="00717E90" w:rsidRPr="006A74F8" w:rsidTr="00717E90">
        <w:trPr>
          <w:trHeight w:val="515"/>
          <w:tblHeader/>
        </w:trPr>
        <w:tc>
          <w:tcPr>
            <w:tcW w:w="2227" w:type="dxa"/>
            <w:vMerge w:val="restart"/>
            <w:tcBorders>
              <w:top w:val="single" w:sz="4" w:space="0" w:color="auto"/>
              <w:left w:val="single" w:sz="4" w:space="0" w:color="auto"/>
              <w:bottom w:val="single" w:sz="4" w:space="0" w:color="auto"/>
              <w:right w:val="single" w:sz="4" w:space="0" w:color="auto"/>
              <w:tl2br w:val="single" w:sz="4" w:space="0" w:color="auto"/>
            </w:tcBorders>
          </w:tcPr>
          <w:p w:rsidR="00717E90" w:rsidRPr="006A74F8" w:rsidRDefault="00717E90" w:rsidP="00717E90">
            <w:pPr>
              <w:ind w:left="720"/>
              <w:rPr>
                <w:b/>
              </w:rPr>
            </w:pPr>
            <w:r w:rsidRPr="006A74F8">
              <w:rPr>
                <w:b/>
              </w:rPr>
              <w:t>Changes</w:t>
            </w:r>
            <w:r w:rsidRPr="006A74F8">
              <w:rPr>
                <w:b/>
              </w:rPr>
              <w:br/>
            </w:r>
            <w:r w:rsidRPr="006A74F8">
              <w:rPr>
                <w:b/>
              </w:rPr>
              <w:br/>
            </w:r>
            <w:r w:rsidRPr="006A74F8">
              <w:rPr>
                <w:b/>
              </w:rPr>
              <w:br/>
              <w:t>Area</w:t>
            </w:r>
          </w:p>
        </w:tc>
        <w:tc>
          <w:tcPr>
            <w:tcW w:w="5973" w:type="dxa"/>
            <w:gridSpan w:val="2"/>
            <w:tcBorders>
              <w:top w:val="single" w:sz="4" w:space="0" w:color="auto"/>
              <w:left w:val="single" w:sz="4" w:space="0" w:color="auto"/>
              <w:bottom w:val="single" w:sz="4" w:space="0" w:color="auto"/>
              <w:right w:val="single" w:sz="4" w:space="0" w:color="auto"/>
            </w:tcBorders>
            <w:shd w:val="clear" w:color="auto" w:fill="1F3864"/>
          </w:tcPr>
          <w:p w:rsidR="00717E90" w:rsidRPr="006A74F8" w:rsidRDefault="00717E90" w:rsidP="001F79E5">
            <w:pPr>
              <w:ind w:left="720"/>
              <w:rPr>
                <w:b/>
              </w:rPr>
            </w:pPr>
            <w:r w:rsidRPr="006A74F8">
              <w:rPr>
                <w:b/>
              </w:rPr>
              <w:t xml:space="preserve">Reform option 1: Streamline </w:t>
            </w:r>
            <w:r w:rsidR="001F79E5" w:rsidRPr="006A74F8">
              <w:rPr>
                <w:b/>
              </w:rPr>
              <w:t>with minimal change</w:t>
            </w:r>
          </w:p>
        </w:tc>
        <w:tc>
          <w:tcPr>
            <w:tcW w:w="5970" w:type="dxa"/>
            <w:gridSpan w:val="2"/>
            <w:tcBorders>
              <w:top w:val="single" w:sz="4" w:space="0" w:color="auto"/>
              <w:left w:val="single" w:sz="4" w:space="0" w:color="auto"/>
              <w:bottom w:val="single" w:sz="4" w:space="0" w:color="auto"/>
              <w:right w:val="single" w:sz="4" w:space="0" w:color="auto"/>
            </w:tcBorders>
            <w:shd w:val="clear" w:color="auto" w:fill="1F3864"/>
          </w:tcPr>
          <w:p w:rsidR="00717E90" w:rsidRPr="006A74F8" w:rsidRDefault="00717E90" w:rsidP="001F79E5">
            <w:pPr>
              <w:ind w:left="720"/>
              <w:rPr>
                <w:b/>
              </w:rPr>
            </w:pPr>
            <w:r w:rsidRPr="006A74F8">
              <w:rPr>
                <w:b/>
              </w:rPr>
              <w:t xml:space="preserve">Reform option 2: Flexible and </w:t>
            </w:r>
            <w:r w:rsidR="001F79E5" w:rsidRPr="006A74F8">
              <w:rPr>
                <w:b/>
              </w:rPr>
              <w:t>future focused</w:t>
            </w:r>
          </w:p>
        </w:tc>
        <w:tc>
          <w:tcPr>
            <w:tcW w:w="5215" w:type="dxa"/>
            <w:gridSpan w:val="2"/>
            <w:tcBorders>
              <w:top w:val="single" w:sz="4" w:space="0" w:color="auto"/>
              <w:left w:val="single" w:sz="4" w:space="0" w:color="auto"/>
              <w:bottom w:val="single" w:sz="4" w:space="0" w:color="auto"/>
              <w:right w:val="single" w:sz="4" w:space="0" w:color="auto"/>
            </w:tcBorders>
            <w:shd w:val="clear" w:color="auto" w:fill="1F3864"/>
          </w:tcPr>
          <w:p w:rsidR="00717E90" w:rsidRPr="006A74F8" w:rsidRDefault="00717E90" w:rsidP="001F79E5">
            <w:pPr>
              <w:ind w:left="720"/>
              <w:rPr>
                <w:b/>
              </w:rPr>
            </w:pPr>
            <w:r w:rsidRPr="006A74F8">
              <w:rPr>
                <w:b/>
              </w:rPr>
              <w:t xml:space="preserve">Reform option 3: Flexible with </w:t>
            </w:r>
            <w:r w:rsidR="001F79E5" w:rsidRPr="006A74F8">
              <w:rPr>
                <w:b/>
              </w:rPr>
              <w:t>additional regulatory powers</w:t>
            </w:r>
          </w:p>
        </w:tc>
      </w:tr>
      <w:tr w:rsidR="00717E90" w:rsidRPr="006A74F8" w:rsidTr="00717E90">
        <w:trPr>
          <w:trHeight w:val="177"/>
          <w:tblHeader/>
        </w:trPr>
        <w:tc>
          <w:tcPr>
            <w:tcW w:w="2227" w:type="dxa"/>
            <w:vMerge/>
            <w:tcBorders>
              <w:top w:val="single" w:sz="4" w:space="0" w:color="auto"/>
              <w:left w:val="single" w:sz="4" w:space="0" w:color="auto"/>
              <w:bottom w:val="single" w:sz="4" w:space="0" w:color="auto"/>
              <w:right w:val="single" w:sz="4" w:space="0" w:color="auto"/>
              <w:tl2br w:val="single" w:sz="4" w:space="0" w:color="auto"/>
            </w:tcBorders>
          </w:tcPr>
          <w:p w:rsidR="00717E90" w:rsidRPr="006A74F8" w:rsidRDefault="00717E90" w:rsidP="00717E90">
            <w:pPr>
              <w:ind w:left="720"/>
            </w:pPr>
          </w:p>
        </w:tc>
        <w:tc>
          <w:tcPr>
            <w:tcW w:w="3711" w:type="dxa"/>
            <w:tcBorders>
              <w:top w:val="single" w:sz="4" w:space="0" w:color="auto"/>
              <w:left w:val="single" w:sz="4" w:space="0" w:color="auto"/>
              <w:bottom w:val="single" w:sz="4" w:space="0" w:color="auto"/>
              <w:right w:val="single" w:sz="4" w:space="0" w:color="auto"/>
            </w:tcBorders>
            <w:shd w:val="clear" w:color="auto" w:fill="B0E9FF"/>
            <w:vAlign w:val="center"/>
          </w:tcPr>
          <w:p w:rsidR="00717E90" w:rsidRPr="006A74F8" w:rsidRDefault="00717E90" w:rsidP="00717E90">
            <w:pPr>
              <w:ind w:left="720" w:right="-55"/>
              <w:contextualSpacing/>
              <w:rPr>
                <w:b/>
                <w:sz w:val="18"/>
              </w:rPr>
            </w:pPr>
            <w:r w:rsidRPr="006A74F8">
              <w:rPr>
                <w:b/>
                <w:sz w:val="18"/>
              </w:rPr>
              <w:t>Change from day 1</w:t>
            </w:r>
          </w:p>
        </w:tc>
        <w:tc>
          <w:tcPr>
            <w:tcW w:w="2262" w:type="dxa"/>
            <w:tcBorders>
              <w:top w:val="single" w:sz="4" w:space="0" w:color="auto"/>
              <w:left w:val="single" w:sz="4" w:space="0" w:color="auto"/>
              <w:bottom w:val="single" w:sz="4" w:space="0" w:color="auto"/>
              <w:right w:val="single" w:sz="4" w:space="0" w:color="auto"/>
            </w:tcBorders>
            <w:shd w:val="clear" w:color="auto" w:fill="B0E9FF"/>
            <w:vAlign w:val="center"/>
          </w:tcPr>
          <w:p w:rsidR="00717E90" w:rsidRPr="006A74F8" w:rsidRDefault="00717E90" w:rsidP="00717E90">
            <w:pPr>
              <w:ind w:right="-108"/>
              <w:contextualSpacing/>
              <w:rPr>
                <w:b/>
                <w:sz w:val="18"/>
              </w:rPr>
            </w:pPr>
            <w:r w:rsidRPr="006A74F8">
              <w:rPr>
                <w:b/>
                <w:sz w:val="18"/>
              </w:rPr>
              <w:t>Further consultation/RIS process for:</w:t>
            </w:r>
          </w:p>
        </w:tc>
        <w:tc>
          <w:tcPr>
            <w:tcW w:w="3419" w:type="dxa"/>
            <w:tcBorders>
              <w:top w:val="single" w:sz="4" w:space="0" w:color="auto"/>
              <w:left w:val="single" w:sz="4" w:space="0" w:color="auto"/>
              <w:bottom w:val="single" w:sz="4" w:space="0" w:color="auto"/>
              <w:right w:val="single" w:sz="4" w:space="0" w:color="auto"/>
            </w:tcBorders>
            <w:shd w:val="clear" w:color="auto" w:fill="B0E9FF"/>
            <w:vAlign w:val="center"/>
          </w:tcPr>
          <w:p w:rsidR="00717E90" w:rsidRPr="006A74F8" w:rsidRDefault="00717E90" w:rsidP="00717E90">
            <w:pPr>
              <w:ind w:left="720" w:right="-108"/>
              <w:contextualSpacing/>
              <w:rPr>
                <w:b/>
                <w:sz w:val="18"/>
              </w:rPr>
            </w:pPr>
            <w:r w:rsidRPr="006A74F8">
              <w:rPr>
                <w:b/>
                <w:sz w:val="18"/>
              </w:rPr>
              <w:t>Change from day 1</w:t>
            </w:r>
          </w:p>
        </w:tc>
        <w:tc>
          <w:tcPr>
            <w:tcW w:w="2551" w:type="dxa"/>
            <w:tcBorders>
              <w:top w:val="single" w:sz="4" w:space="0" w:color="auto"/>
              <w:left w:val="single" w:sz="4" w:space="0" w:color="auto"/>
              <w:bottom w:val="single" w:sz="4" w:space="0" w:color="auto"/>
              <w:right w:val="single" w:sz="4" w:space="0" w:color="auto"/>
            </w:tcBorders>
            <w:shd w:val="clear" w:color="auto" w:fill="B0E9FF"/>
            <w:vAlign w:val="center"/>
          </w:tcPr>
          <w:p w:rsidR="00717E90" w:rsidRPr="006A74F8" w:rsidRDefault="00717E90" w:rsidP="00717E90">
            <w:pPr>
              <w:ind w:right="-8"/>
              <w:contextualSpacing/>
              <w:rPr>
                <w:b/>
                <w:sz w:val="18"/>
              </w:rPr>
            </w:pPr>
            <w:r w:rsidRPr="006A74F8">
              <w:rPr>
                <w:b/>
                <w:sz w:val="18"/>
              </w:rPr>
              <w:t>Further consultation/RIS process for:</w:t>
            </w:r>
          </w:p>
        </w:tc>
        <w:tc>
          <w:tcPr>
            <w:tcW w:w="2835" w:type="dxa"/>
            <w:tcBorders>
              <w:top w:val="single" w:sz="4" w:space="0" w:color="auto"/>
              <w:left w:val="single" w:sz="4" w:space="0" w:color="auto"/>
              <w:bottom w:val="single" w:sz="4" w:space="0" w:color="auto"/>
              <w:right w:val="single" w:sz="4" w:space="0" w:color="auto"/>
            </w:tcBorders>
            <w:shd w:val="clear" w:color="auto" w:fill="B0E9FF"/>
            <w:vAlign w:val="center"/>
          </w:tcPr>
          <w:p w:rsidR="00717E90" w:rsidRPr="006A74F8" w:rsidRDefault="00717E90" w:rsidP="00717E90">
            <w:pPr>
              <w:ind w:right="-38"/>
              <w:contextualSpacing/>
              <w:rPr>
                <w:b/>
                <w:sz w:val="18"/>
              </w:rPr>
            </w:pPr>
            <w:r w:rsidRPr="006A74F8">
              <w:rPr>
                <w:b/>
                <w:sz w:val="18"/>
              </w:rPr>
              <w:t>Change from day 1</w:t>
            </w:r>
          </w:p>
        </w:tc>
        <w:tc>
          <w:tcPr>
            <w:tcW w:w="2380" w:type="dxa"/>
            <w:tcBorders>
              <w:top w:val="single" w:sz="4" w:space="0" w:color="auto"/>
              <w:left w:val="single" w:sz="4" w:space="0" w:color="auto"/>
              <w:bottom w:val="single" w:sz="4" w:space="0" w:color="auto"/>
              <w:right w:val="single" w:sz="4" w:space="0" w:color="auto"/>
            </w:tcBorders>
            <w:shd w:val="clear" w:color="auto" w:fill="B0E9FF"/>
            <w:vAlign w:val="center"/>
          </w:tcPr>
          <w:p w:rsidR="00717E90" w:rsidRPr="006A74F8" w:rsidRDefault="00717E90" w:rsidP="00717E90">
            <w:pPr>
              <w:ind w:right="-108"/>
              <w:contextualSpacing/>
              <w:rPr>
                <w:b/>
                <w:sz w:val="18"/>
              </w:rPr>
            </w:pPr>
            <w:r w:rsidRPr="006A74F8">
              <w:rPr>
                <w:b/>
                <w:sz w:val="18"/>
              </w:rPr>
              <w:t>Further consultation/RIS process for:</w:t>
            </w:r>
          </w:p>
        </w:tc>
      </w:tr>
      <w:tr w:rsidR="00717E90" w:rsidRPr="006A74F8" w:rsidTr="00717E90">
        <w:trPr>
          <w:trHeight w:val="1737"/>
        </w:trPr>
        <w:tc>
          <w:tcPr>
            <w:tcW w:w="2227" w:type="dxa"/>
            <w:tcBorders>
              <w:top w:val="single" w:sz="4" w:space="0" w:color="auto"/>
              <w:left w:val="single" w:sz="4" w:space="0" w:color="auto"/>
              <w:bottom w:val="single" w:sz="4" w:space="0" w:color="auto"/>
              <w:right w:val="single" w:sz="4" w:space="0" w:color="auto"/>
            </w:tcBorders>
            <w:shd w:val="clear" w:color="auto" w:fill="BEBFC1" w:themeFill="accent1" w:themeFillTint="99"/>
          </w:tcPr>
          <w:p w:rsidR="00717E90" w:rsidRPr="006A74F8" w:rsidRDefault="00717E90" w:rsidP="00717E90">
            <w:pPr>
              <w:ind w:left="720"/>
              <w:rPr>
                <w:b/>
              </w:rPr>
            </w:pPr>
            <w:r w:rsidRPr="006A74F8">
              <w:rPr>
                <w:b/>
              </w:rPr>
              <w:t>Traceability</w:t>
            </w:r>
          </w:p>
        </w:tc>
        <w:tc>
          <w:tcPr>
            <w:tcW w:w="3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ind w:right="-9"/>
              <w:rPr>
                <w:rFonts w:eastAsia="Calibri" w:cstheme="minorHAnsi"/>
                <w:sz w:val="18"/>
                <w:szCs w:val="18"/>
              </w:rPr>
            </w:pPr>
            <w:r w:rsidRPr="006A74F8">
              <w:rPr>
                <w:rFonts w:eastAsia="Calibri" w:cstheme="minorHAnsi"/>
                <w:sz w:val="18"/>
                <w:szCs w:val="16"/>
              </w:rPr>
              <w:t>Improved legislative clarity about the role of NMI and set criteria</w:t>
            </w:r>
            <w:r w:rsidRPr="006A74F8">
              <w:rPr>
                <w:rFonts w:eastAsia="Calibri" w:cstheme="minorHAnsi"/>
                <w:sz w:val="18"/>
                <w:szCs w:val="18"/>
              </w:rPr>
              <w:t xml:space="preserve"> for acceptance of traceability pathway/mechanisms.</w:t>
            </w:r>
          </w:p>
          <w:p w:rsidR="00717E90" w:rsidRPr="006A74F8" w:rsidRDefault="00717E90" w:rsidP="00717E90">
            <w:pPr>
              <w:spacing w:afterLines="50" w:after="120"/>
              <w:ind w:right="-9"/>
              <w:rPr>
                <w:rFonts w:eastAsiaTheme="minorEastAsia" w:cstheme="minorHAnsi"/>
                <w:sz w:val="18"/>
                <w:szCs w:val="16"/>
              </w:rPr>
            </w:pPr>
            <w:r w:rsidRPr="006A74F8">
              <w:rPr>
                <w:rFonts w:eastAsia="Calibri" w:cstheme="minorHAnsi"/>
                <w:sz w:val="18"/>
                <w:szCs w:val="16"/>
              </w:rPr>
              <w:t>Chemical and biological measurements:</w:t>
            </w:r>
          </w:p>
          <w:p w:rsidR="00717E90" w:rsidRPr="006A74F8" w:rsidRDefault="00717E90" w:rsidP="00717E90">
            <w:pPr>
              <w:pStyle w:val="ListParagraph"/>
              <w:numPr>
                <w:ilvl w:val="0"/>
                <w:numId w:val="6"/>
              </w:numPr>
              <w:spacing w:afterLines="50" w:after="120"/>
              <w:ind w:right="-9" w:hanging="210"/>
              <w:rPr>
                <w:rFonts w:eastAsiaTheme="minorEastAsia" w:cstheme="minorHAnsi"/>
                <w:sz w:val="18"/>
                <w:szCs w:val="16"/>
              </w:rPr>
            </w:pPr>
            <w:r w:rsidRPr="006A74F8">
              <w:rPr>
                <w:rFonts w:eastAsia="Calibri" w:cstheme="minorHAnsi"/>
                <w:sz w:val="18"/>
                <w:szCs w:val="16"/>
              </w:rPr>
              <w:t>Recognition of a broader suite of measurement types (including additional ALUMs)</w:t>
            </w:r>
          </w:p>
          <w:p w:rsidR="00717E90" w:rsidRPr="006A74F8" w:rsidRDefault="00717E90" w:rsidP="00717E90">
            <w:pPr>
              <w:pStyle w:val="ListParagraph"/>
              <w:numPr>
                <w:ilvl w:val="0"/>
                <w:numId w:val="6"/>
              </w:numPr>
              <w:spacing w:afterLines="50" w:after="120"/>
              <w:ind w:right="-9" w:hanging="210"/>
              <w:rPr>
                <w:rFonts w:eastAsiaTheme="minorEastAsia" w:cstheme="minorHAnsi"/>
                <w:sz w:val="18"/>
                <w:szCs w:val="16"/>
              </w:rPr>
            </w:pPr>
            <w:r w:rsidRPr="006A74F8">
              <w:rPr>
                <w:rFonts w:eastAsia="Calibri" w:cstheme="minorHAnsi"/>
                <w:sz w:val="18"/>
                <w:szCs w:val="16"/>
              </w:rPr>
              <w:t xml:space="preserve">Greater international alignment </w:t>
            </w:r>
          </w:p>
          <w:p w:rsidR="00717E90" w:rsidRPr="006A74F8" w:rsidRDefault="00717E90" w:rsidP="00717E90">
            <w:pPr>
              <w:spacing w:afterLines="50" w:after="120"/>
              <w:rPr>
                <w:rFonts w:eastAsia="Calibri" w:cstheme="minorHAnsi"/>
                <w:sz w:val="18"/>
                <w:szCs w:val="18"/>
              </w:rPr>
            </w:pPr>
            <w:r w:rsidRPr="006A74F8">
              <w:rPr>
                <w:rFonts w:eastAsia="Calibri" w:cstheme="minorHAnsi"/>
                <w:sz w:val="18"/>
                <w:szCs w:val="18"/>
              </w:rPr>
              <w:t xml:space="preserve">Expansion of traceability mechanisms to include: </w:t>
            </w:r>
          </w:p>
          <w:p w:rsidR="00717E90" w:rsidRPr="006A74F8" w:rsidRDefault="00717E90" w:rsidP="00717E90">
            <w:pPr>
              <w:pStyle w:val="ListParagraph"/>
              <w:numPr>
                <w:ilvl w:val="0"/>
                <w:numId w:val="66"/>
              </w:numPr>
              <w:spacing w:afterLines="50" w:after="120"/>
              <w:ind w:left="176" w:hanging="142"/>
              <w:rPr>
                <w:rFonts w:eastAsiaTheme="minorEastAsia" w:cstheme="minorHAnsi"/>
                <w:sz w:val="18"/>
                <w:szCs w:val="18"/>
              </w:rPr>
            </w:pPr>
            <w:r w:rsidRPr="006A74F8">
              <w:rPr>
                <w:rFonts w:eastAsia="Calibri" w:cstheme="minorHAnsi"/>
                <w:sz w:val="18"/>
                <w:szCs w:val="18"/>
              </w:rPr>
              <w:t>measurement methods</w:t>
            </w:r>
          </w:p>
          <w:p w:rsidR="00717E90" w:rsidRPr="006A74F8" w:rsidRDefault="00717E90" w:rsidP="00717E90">
            <w:pPr>
              <w:pStyle w:val="ListParagraph"/>
              <w:numPr>
                <w:ilvl w:val="0"/>
                <w:numId w:val="66"/>
              </w:numPr>
              <w:spacing w:afterLines="50" w:after="120"/>
              <w:ind w:left="176" w:hanging="142"/>
              <w:rPr>
                <w:rFonts w:eastAsia="Calibri" w:cstheme="minorHAnsi"/>
                <w:sz w:val="18"/>
                <w:szCs w:val="18"/>
              </w:rPr>
            </w:pPr>
            <w:r w:rsidRPr="006A74F8">
              <w:rPr>
                <w:rFonts w:eastAsia="Calibri" w:cstheme="minorHAnsi"/>
                <w:sz w:val="18"/>
                <w:szCs w:val="18"/>
              </w:rPr>
              <w:t>method-dependent measurements</w:t>
            </w:r>
          </w:p>
          <w:p w:rsidR="00717E90" w:rsidRPr="006A74F8" w:rsidRDefault="00717E90" w:rsidP="00717E90">
            <w:pPr>
              <w:pStyle w:val="ListParagraph"/>
              <w:numPr>
                <w:ilvl w:val="0"/>
                <w:numId w:val="66"/>
              </w:numPr>
              <w:spacing w:afterLines="50" w:after="120"/>
              <w:ind w:left="176" w:hanging="142"/>
              <w:rPr>
                <w:rFonts w:eastAsiaTheme="minorEastAsia" w:cstheme="minorHAnsi"/>
                <w:sz w:val="18"/>
                <w:szCs w:val="18"/>
              </w:rPr>
            </w:pPr>
            <w:r w:rsidRPr="006A74F8">
              <w:rPr>
                <w:rFonts w:eastAsia="Calibri" w:cstheme="minorHAnsi"/>
                <w:sz w:val="18"/>
                <w:szCs w:val="18"/>
              </w:rPr>
              <w:t>reference</w:t>
            </w:r>
            <w:r w:rsidRPr="006A74F8">
              <w:rPr>
                <w:rFonts w:eastAsiaTheme="minorEastAsia" w:cstheme="minorHAnsi"/>
                <w:sz w:val="18"/>
                <w:szCs w:val="18"/>
              </w:rPr>
              <w:t xml:space="preserve"> </w:t>
            </w:r>
            <w:r w:rsidRPr="006A74F8">
              <w:rPr>
                <w:rFonts w:eastAsia="Calibri" w:cstheme="minorHAnsi"/>
                <w:sz w:val="18"/>
                <w:szCs w:val="18"/>
              </w:rPr>
              <w:t>methods for material properties</w:t>
            </w:r>
          </w:p>
          <w:p w:rsidR="00717E90" w:rsidRPr="006A74F8" w:rsidRDefault="00717E90" w:rsidP="00717E90">
            <w:pPr>
              <w:pStyle w:val="ListParagraph"/>
              <w:numPr>
                <w:ilvl w:val="0"/>
                <w:numId w:val="66"/>
              </w:numPr>
              <w:spacing w:afterLines="50" w:after="120"/>
              <w:ind w:left="176" w:hanging="142"/>
              <w:rPr>
                <w:rFonts w:eastAsiaTheme="minorEastAsia" w:cstheme="minorHAnsi"/>
                <w:sz w:val="18"/>
                <w:szCs w:val="18"/>
              </w:rPr>
            </w:pPr>
            <w:r w:rsidRPr="006A74F8">
              <w:rPr>
                <w:rFonts w:eastAsia="Calibri" w:cstheme="minorHAnsi"/>
                <w:sz w:val="18"/>
                <w:szCs w:val="18"/>
              </w:rPr>
              <w:t xml:space="preserve">potentially recognising some </w:t>
            </w:r>
            <w:r w:rsidR="001F2A64">
              <w:rPr>
                <w:rFonts w:eastAsia="Calibri" w:cstheme="minorHAnsi"/>
                <w:sz w:val="18"/>
                <w:szCs w:val="18"/>
              </w:rPr>
              <w:t>Key Comparison Database (</w:t>
            </w:r>
            <w:r w:rsidRPr="006A74F8">
              <w:rPr>
                <w:rFonts w:eastAsia="Calibri" w:cstheme="minorHAnsi"/>
                <w:sz w:val="18"/>
                <w:szCs w:val="18"/>
              </w:rPr>
              <w:t>KCDB</w:t>
            </w:r>
            <w:r w:rsidR="001F2A64">
              <w:rPr>
                <w:rFonts w:eastAsia="Calibri" w:cstheme="minorHAnsi"/>
                <w:sz w:val="18"/>
                <w:szCs w:val="18"/>
              </w:rPr>
              <w:t>)</w:t>
            </w:r>
            <w:r w:rsidRPr="006A74F8">
              <w:rPr>
                <w:rFonts w:eastAsia="Calibri" w:cstheme="minorHAnsi"/>
                <w:sz w:val="18"/>
                <w:szCs w:val="18"/>
              </w:rPr>
              <w:t xml:space="preserve"> entries as Australian Certified Reference Materials (ACRMs)</w:t>
            </w:r>
          </w:p>
          <w:p w:rsidR="00717E90" w:rsidRPr="006A74F8" w:rsidRDefault="00717E90" w:rsidP="006305DD">
            <w:pPr>
              <w:pStyle w:val="ListParagraph"/>
              <w:numPr>
                <w:ilvl w:val="0"/>
                <w:numId w:val="66"/>
              </w:numPr>
              <w:spacing w:afterLines="50" w:after="120"/>
              <w:ind w:left="176" w:hanging="142"/>
              <w:rPr>
                <w:rFonts w:eastAsia="Calibri" w:cstheme="minorHAnsi"/>
                <w:sz w:val="18"/>
                <w:szCs w:val="18"/>
              </w:rPr>
            </w:pPr>
            <w:r w:rsidRPr="006A74F8">
              <w:rPr>
                <w:rFonts w:eastAsia="Calibri" w:cstheme="minorHAnsi"/>
                <w:sz w:val="18"/>
                <w:szCs w:val="18"/>
              </w:rPr>
              <w:t xml:space="preserve">Greater international alignment </w:t>
            </w:r>
          </w:p>
        </w:tc>
        <w:tc>
          <w:tcPr>
            <w:tcW w:w="2262"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eastAsia="Calibri" w:cstheme="minorHAnsi"/>
                <w:sz w:val="18"/>
                <w:szCs w:val="18"/>
              </w:rPr>
            </w:pPr>
            <w:r w:rsidRPr="006A74F8">
              <w:rPr>
                <w:rFonts w:eastAsia="Calibri" w:cstheme="minorHAnsi"/>
                <w:sz w:val="18"/>
                <w:szCs w:val="16"/>
              </w:rPr>
              <w:t xml:space="preserve">Reviewing processes for certification of </w:t>
            </w:r>
            <w:r w:rsidR="00C46976" w:rsidRPr="006A74F8">
              <w:rPr>
                <w:rFonts w:eastAsia="Calibri" w:cstheme="minorHAnsi"/>
                <w:sz w:val="18"/>
                <w:szCs w:val="16"/>
              </w:rPr>
              <w:t xml:space="preserve">reference </w:t>
            </w:r>
            <w:r w:rsidRPr="006A74F8">
              <w:rPr>
                <w:rFonts w:eastAsia="Calibri" w:cstheme="minorHAnsi"/>
                <w:sz w:val="18"/>
                <w:szCs w:val="16"/>
              </w:rPr>
              <w:t xml:space="preserve">standards and reference </w:t>
            </w:r>
            <w:r w:rsidRPr="006A74F8">
              <w:rPr>
                <w:rFonts w:eastAsiaTheme="minorEastAsia" w:cstheme="minorHAnsi"/>
                <w:sz w:val="18"/>
                <w:szCs w:val="16"/>
              </w:rPr>
              <w:t>materials</w:t>
            </w:r>
            <w:r w:rsidRPr="006A74F8">
              <w:rPr>
                <w:rFonts w:eastAsia="Calibri" w:cstheme="minorHAnsi"/>
                <w:sz w:val="18"/>
                <w:szCs w:val="18"/>
              </w:rPr>
              <w:t>.</w:t>
            </w:r>
          </w:p>
          <w:p w:rsidR="00717E90" w:rsidRPr="006A74F8" w:rsidRDefault="00717E90" w:rsidP="00717E90">
            <w:pPr>
              <w:spacing w:afterLines="50" w:after="120"/>
              <w:ind w:left="720"/>
              <w:rPr>
                <w:rFonts w:eastAsiaTheme="minorEastAsia" w:cstheme="minorHAnsi"/>
                <w:sz w:val="18"/>
                <w:szCs w:val="18"/>
              </w:rPr>
            </w:pP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rPr>
                <w:rFonts w:eastAsiaTheme="minorEastAsia" w:cstheme="minorHAnsi"/>
                <w:sz w:val="18"/>
                <w:szCs w:val="18"/>
              </w:rPr>
            </w:pPr>
            <w:r w:rsidRPr="006A74F8">
              <w:rPr>
                <w:rFonts w:eastAsia="Calibri" w:cstheme="minorHAnsi"/>
                <w:sz w:val="18"/>
                <w:szCs w:val="16"/>
              </w:rPr>
              <w:t xml:space="preserve">As in option 1 plus: </w:t>
            </w:r>
          </w:p>
          <w:p w:rsidR="00717E90" w:rsidRPr="006A74F8" w:rsidRDefault="00717E90" w:rsidP="00717E90">
            <w:pPr>
              <w:rPr>
                <w:rFonts w:eastAsiaTheme="minorEastAsia" w:cstheme="minorHAnsi"/>
                <w:sz w:val="18"/>
                <w:szCs w:val="18"/>
              </w:rPr>
            </w:pPr>
            <w:r w:rsidRPr="006A74F8">
              <w:rPr>
                <w:rFonts w:eastAsia="Calibri" w:cstheme="minorHAnsi"/>
                <w:sz w:val="18"/>
                <w:szCs w:val="16"/>
              </w:rPr>
              <w:t>Ability for head</w:t>
            </w:r>
            <w:r w:rsidRPr="006A74F8">
              <w:rPr>
                <w:rFonts w:eastAsiaTheme="minorEastAsia" w:cstheme="minorHAnsi"/>
                <w:sz w:val="18"/>
                <w:szCs w:val="16"/>
              </w:rPr>
              <w:t xml:space="preserve"> </w:t>
            </w:r>
            <w:r w:rsidRPr="006A74F8">
              <w:rPr>
                <w:rFonts w:eastAsia="Calibri" w:cstheme="minorHAnsi"/>
                <w:sz w:val="18"/>
                <w:szCs w:val="18"/>
              </w:rPr>
              <w:t xml:space="preserve">of power to recognize additional traceability frameworks: </w:t>
            </w:r>
          </w:p>
          <w:p w:rsidR="00717E90" w:rsidRPr="006A74F8" w:rsidRDefault="00717E90" w:rsidP="00717E90">
            <w:pPr>
              <w:pStyle w:val="ListParagraph"/>
              <w:numPr>
                <w:ilvl w:val="0"/>
                <w:numId w:val="6"/>
              </w:numPr>
              <w:spacing w:afterLines="50" w:after="120"/>
              <w:ind w:right="-9" w:hanging="210"/>
              <w:rPr>
                <w:rFonts w:eastAsia="Calibri" w:cstheme="minorHAnsi"/>
                <w:sz w:val="18"/>
                <w:szCs w:val="16"/>
              </w:rPr>
            </w:pPr>
            <w:r w:rsidRPr="006A74F8">
              <w:rPr>
                <w:rFonts w:eastAsia="Calibri" w:cstheme="minorHAnsi"/>
                <w:sz w:val="18"/>
                <w:szCs w:val="16"/>
              </w:rPr>
              <w:t>Flexibility to accommodate other pathways over time</w:t>
            </w:r>
          </w:p>
          <w:p w:rsidR="00717E90" w:rsidRPr="006A74F8" w:rsidRDefault="00717E90" w:rsidP="00717E90">
            <w:pPr>
              <w:pStyle w:val="ListParagraph"/>
              <w:numPr>
                <w:ilvl w:val="0"/>
                <w:numId w:val="6"/>
              </w:numPr>
              <w:spacing w:afterLines="50" w:after="120"/>
              <w:ind w:right="-9" w:hanging="210"/>
              <w:rPr>
                <w:rFonts w:eastAsiaTheme="minorEastAsia" w:cstheme="minorHAnsi"/>
                <w:sz w:val="18"/>
                <w:szCs w:val="18"/>
              </w:rPr>
            </w:pPr>
            <w:r w:rsidRPr="006A74F8">
              <w:rPr>
                <w:rFonts w:eastAsia="Calibri" w:cstheme="minorHAnsi"/>
                <w:sz w:val="18"/>
                <w:szCs w:val="16"/>
              </w:rPr>
              <w:t>Facilitate</w:t>
            </w:r>
            <w:r w:rsidRPr="006A74F8">
              <w:rPr>
                <w:rFonts w:eastAsiaTheme="minorEastAsia" w:cstheme="minorHAnsi"/>
                <w:sz w:val="18"/>
                <w:szCs w:val="18"/>
              </w:rPr>
              <w:t xml:space="preserve"> adoption of new technology</w:t>
            </w:r>
          </w:p>
          <w:p w:rsidR="00717E90" w:rsidRPr="006A74F8" w:rsidRDefault="00717E90" w:rsidP="00717E90">
            <w:pPr>
              <w:pStyle w:val="ListParagraph"/>
              <w:numPr>
                <w:ilvl w:val="0"/>
                <w:numId w:val="6"/>
              </w:numPr>
              <w:spacing w:afterLines="50" w:after="120"/>
              <w:ind w:right="-9" w:hanging="210"/>
              <w:rPr>
                <w:rFonts w:eastAsiaTheme="minorEastAsia" w:cstheme="minorHAnsi"/>
                <w:sz w:val="18"/>
                <w:szCs w:val="18"/>
              </w:rPr>
            </w:pPr>
            <w:r w:rsidRPr="006A74F8">
              <w:rPr>
                <w:rFonts w:eastAsia="Calibri" w:cstheme="minorHAnsi"/>
                <w:sz w:val="18"/>
                <w:szCs w:val="16"/>
              </w:rPr>
              <w:t>Provide oversight of</w:t>
            </w:r>
            <w:r w:rsidRPr="006A74F8">
              <w:rPr>
                <w:rFonts w:eastAsiaTheme="minorEastAsia" w:cstheme="minorHAnsi"/>
                <w:sz w:val="18"/>
                <w:szCs w:val="16"/>
              </w:rPr>
              <w:t xml:space="preserve"> </w:t>
            </w:r>
            <w:r w:rsidRPr="006A74F8">
              <w:rPr>
                <w:rFonts w:eastAsiaTheme="minorEastAsia" w:cstheme="minorHAnsi"/>
                <w:sz w:val="18"/>
                <w:szCs w:val="18"/>
              </w:rPr>
              <w:t>Commonwealth government measurement needs</w:t>
            </w:r>
          </w:p>
          <w:p w:rsidR="00717E90" w:rsidRPr="006A74F8" w:rsidRDefault="00717E90" w:rsidP="00717E90">
            <w:pPr>
              <w:rPr>
                <w:rFonts w:eastAsia="Calibri" w:cstheme="minorHAnsi"/>
                <w:sz w:val="18"/>
                <w:szCs w:val="16"/>
              </w:rPr>
            </w:pPr>
            <w:r w:rsidRPr="006A74F8">
              <w:rPr>
                <w:rFonts w:eastAsia="Calibri" w:cstheme="minorHAnsi"/>
                <w:sz w:val="18"/>
                <w:szCs w:val="16"/>
              </w:rPr>
              <w:t>Increased powers for Chief Metrologist to:</w:t>
            </w:r>
          </w:p>
          <w:p w:rsidR="00717E90" w:rsidRPr="006A74F8" w:rsidRDefault="00717E90" w:rsidP="00717E90">
            <w:pPr>
              <w:pStyle w:val="ListParagraph"/>
              <w:numPr>
                <w:ilvl w:val="0"/>
                <w:numId w:val="6"/>
              </w:numPr>
              <w:spacing w:afterLines="50" w:after="120"/>
              <w:ind w:right="-9" w:hanging="210"/>
              <w:rPr>
                <w:rFonts w:eastAsia="Calibri" w:cstheme="minorHAnsi"/>
                <w:sz w:val="18"/>
                <w:szCs w:val="16"/>
              </w:rPr>
            </w:pPr>
            <w:r w:rsidRPr="006A74F8">
              <w:rPr>
                <w:rFonts w:eastAsia="Calibri" w:cstheme="minorHAnsi"/>
                <w:sz w:val="18"/>
                <w:szCs w:val="16"/>
              </w:rPr>
              <w:t xml:space="preserve">Determine additional traceability </w:t>
            </w:r>
            <w:r w:rsidR="003651AE" w:rsidRPr="006A74F8">
              <w:rPr>
                <w:rFonts w:eastAsia="Calibri" w:cstheme="minorHAnsi"/>
                <w:sz w:val="18"/>
                <w:szCs w:val="16"/>
              </w:rPr>
              <w:t>pathways</w:t>
            </w:r>
            <w:r w:rsidRPr="006A74F8">
              <w:rPr>
                <w:rFonts w:eastAsia="Calibri" w:cstheme="minorHAnsi"/>
                <w:sz w:val="18"/>
                <w:szCs w:val="16"/>
              </w:rPr>
              <w:t xml:space="preserve">, </w:t>
            </w:r>
            <w:r w:rsidR="00100CA1" w:rsidRPr="006A74F8">
              <w:rPr>
                <w:rFonts w:eastAsia="Calibri" w:cstheme="minorHAnsi"/>
                <w:sz w:val="18"/>
                <w:szCs w:val="16"/>
              </w:rPr>
              <w:t xml:space="preserve">primary </w:t>
            </w:r>
            <w:r w:rsidR="003651AE" w:rsidRPr="006A74F8">
              <w:rPr>
                <w:rFonts w:eastAsia="Calibri" w:cstheme="minorHAnsi"/>
                <w:sz w:val="18"/>
                <w:szCs w:val="16"/>
              </w:rPr>
              <w:t xml:space="preserve">measurement </w:t>
            </w:r>
            <w:r w:rsidRPr="006A74F8">
              <w:rPr>
                <w:rFonts w:eastAsia="Calibri" w:cstheme="minorHAnsi"/>
                <w:sz w:val="18"/>
                <w:szCs w:val="16"/>
              </w:rPr>
              <w:t>standards, methods, systems, instruments</w:t>
            </w:r>
          </w:p>
          <w:p w:rsidR="00717E90" w:rsidRPr="006A74F8" w:rsidRDefault="00717E90" w:rsidP="00717E90">
            <w:pPr>
              <w:pStyle w:val="ListParagraph"/>
              <w:numPr>
                <w:ilvl w:val="0"/>
                <w:numId w:val="6"/>
              </w:numPr>
              <w:spacing w:afterLines="50" w:after="120"/>
              <w:ind w:right="-9" w:hanging="210"/>
              <w:rPr>
                <w:rFonts w:eastAsia="Calibri" w:cstheme="minorHAnsi"/>
                <w:sz w:val="18"/>
                <w:szCs w:val="16"/>
              </w:rPr>
            </w:pPr>
            <w:r w:rsidRPr="006A74F8">
              <w:rPr>
                <w:rFonts w:eastAsia="Calibri" w:cstheme="minorHAnsi"/>
                <w:sz w:val="18"/>
                <w:szCs w:val="16"/>
              </w:rPr>
              <w:t xml:space="preserve">Revoke and revalidate traceability </w:t>
            </w:r>
            <w:r w:rsidR="003651AE" w:rsidRPr="006A74F8">
              <w:rPr>
                <w:rFonts w:eastAsia="Calibri" w:cstheme="minorHAnsi"/>
                <w:sz w:val="18"/>
                <w:szCs w:val="16"/>
              </w:rPr>
              <w:t>pathways</w:t>
            </w:r>
          </w:p>
          <w:p w:rsidR="00717E90" w:rsidRPr="006A74F8" w:rsidRDefault="00717E90" w:rsidP="00717E90">
            <w:pPr>
              <w:pStyle w:val="ListParagraph"/>
              <w:numPr>
                <w:ilvl w:val="0"/>
                <w:numId w:val="6"/>
              </w:numPr>
              <w:spacing w:afterLines="50" w:after="120"/>
              <w:ind w:right="-9" w:hanging="210"/>
              <w:rPr>
                <w:rFonts w:eastAsia="Calibri" w:cstheme="minorHAnsi"/>
                <w:sz w:val="18"/>
                <w:szCs w:val="16"/>
              </w:rPr>
            </w:pPr>
            <w:r w:rsidRPr="006A74F8">
              <w:rPr>
                <w:rFonts w:eastAsia="Calibri" w:cstheme="minorHAnsi"/>
                <w:sz w:val="18"/>
                <w:szCs w:val="16"/>
              </w:rPr>
              <w:t>Recognise traceability paths other than SI units</w:t>
            </w:r>
          </w:p>
          <w:p w:rsidR="00717E90" w:rsidRPr="006A74F8" w:rsidRDefault="00717E90" w:rsidP="00717E90">
            <w:pPr>
              <w:pStyle w:val="ListParagraph"/>
              <w:numPr>
                <w:ilvl w:val="0"/>
                <w:numId w:val="6"/>
              </w:numPr>
              <w:spacing w:afterLines="50" w:after="120"/>
              <w:ind w:right="-9" w:hanging="210"/>
              <w:rPr>
                <w:rFonts w:eastAsiaTheme="minorEastAsia" w:cstheme="minorHAnsi"/>
                <w:sz w:val="18"/>
                <w:szCs w:val="18"/>
              </w:rPr>
            </w:pPr>
            <w:r w:rsidRPr="006A74F8">
              <w:rPr>
                <w:rFonts w:eastAsia="Calibri" w:cstheme="minorHAnsi"/>
                <w:sz w:val="18"/>
                <w:szCs w:val="16"/>
              </w:rPr>
              <w:t>Determine additional ALUMs to support method dependent measurement</w:t>
            </w:r>
          </w:p>
        </w:tc>
        <w:tc>
          <w:tcPr>
            <w:tcW w:w="2551"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eastAsia="Calibri" w:cstheme="minorHAnsi"/>
                <w:sz w:val="18"/>
                <w:szCs w:val="16"/>
              </w:rPr>
            </w:pPr>
            <w:r w:rsidRPr="006A74F8">
              <w:rPr>
                <w:rFonts w:eastAsia="Calibri" w:cstheme="minorHAnsi"/>
                <w:sz w:val="18"/>
                <w:szCs w:val="16"/>
              </w:rPr>
              <w:t>Recognition of additional:</w:t>
            </w:r>
          </w:p>
          <w:p w:rsidR="00717E90" w:rsidRPr="006A74F8" w:rsidRDefault="00717E90" w:rsidP="00717E90">
            <w:pPr>
              <w:pStyle w:val="ListParagraph"/>
              <w:numPr>
                <w:ilvl w:val="0"/>
                <w:numId w:val="6"/>
              </w:numPr>
              <w:spacing w:afterLines="50" w:after="120"/>
              <w:ind w:hanging="141"/>
              <w:rPr>
                <w:rFonts w:eastAsia="Calibri" w:cstheme="minorHAnsi"/>
                <w:sz w:val="18"/>
                <w:szCs w:val="16"/>
              </w:rPr>
            </w:pPr>
            <w:r w:rsidRPr="006A74F8">
              <w:rPr>
                <w:rFonts w:eastAsia="Calibri" w:cstheme="minorHAnsi"/>
                <w:sz w:val="18"/>
                <w:szCs w:val="16"/>
              </w:rPr>
              <w:t>Traceability frameworks</w:t>
            </w:r>
          </w:p>
          <w:p w:rsidR="00717E90" w:rsidRPr="006A74F8" w:rsidRDefault="00717E90" w:rsidP="00717E90">
            <w:pPr>
              <w:pStyle w:val="ListParagraph"/>
              <w:numPr>
                <w:ilvl w:val="0"/>
                <w:numId w:val="6"/>
              </w:numPr>
              <w:spacing w:afterLines="50" w:after="120"/>
              <w:ind w:hanging="141"/>
              <w:rPr>
                <w:rFonts w:eastAsiaTheme="minorEastAsia" w:cstheme="minorHAnsi"/>
                <w:sz w:val="18"/>
                <w:szCs w:val="16"/>
              </w:rPr>
            </w:pPr>
            <w:r w:rsidRPr="006A74F8">
              <w:rPr>
                <w:rFonts w:eastAsia="Calibri" w:cstheme="minorHAnsi"/>
                <w:sz w:val="18"/>
                <w:szCs w:val="16"/>
              </w:rPr>
              <w:t>ALUMs</w:t>
            </w:r>
          </w:p>
          <w:p w:rsidR="00717E90" w:rsidRPr="006A74F8" w:rsidRDefault="00717E90" w:rsidP="00717E90">
            <w:pPr>
              <w:spacing w:afterLines="50" w:after="120"/>
              <w:rPr>
                <w:rFonts w:eastAsia="Calibri" w:cstheme="minorHAnsi"/>
                <w:sz w:val="18"/>
                <w:szCs w:val="16"/>
              </w:rPr>
            </w:pPr>
            <w:r w:rsidRPr="006A74F8">
              <w:rPr>
                <w:rFonts w:eastAsia="Calibri" w:cstheme="minorHAnsi"/>
                <w:sz w:val="18"/>
                <w:szCs w:val="16"/>
              </w:rPr>
              <w:t>Determination, recognition or revocation of traceability pathways.</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rPr>
                <w:rFonts w:cstheme="minorHAnsi"/>
                <w:sz w:val="18"/>
                <w:szCs w:val="18"/>
              </w:rPr>
            </w:pPr>
            <w:r w:rsidRPr="006A74F8">
              <w:rPr>
                <w:rFonts w:cstheme="minorHAnsi"/>
                <w:sz w:val="18"/>
                <w:szCs w:val="16"/>
              </w:rPr>
              <w:t>As in option 2 with broader coverage to</w:t>
            </w:r>
            <w:r w:rsidRPr="006A74F8">
              <w:rPr>
                <w:rFonts w:eastAsiaTheme="minorEastAsia" w:cstheme="minorHAnsi"/>
                <w:sz w:val="18"/>
                <w:szCs w:val="16"/>
              </w:rPr>
              <w:t xml:space="preserve"> </w:t>
            </w:r>
            <w:r w:rsidRPr="006A74F8">
              <w:rPr>
                <w:rFonts w:cstheme="minorHAnsi"/>
                <w:sz w:val="18"/>
                <w:szCs w:val="18"/>
              </w:rPr>
              <w:t>include measurement used for regulatory purposes.</w:t>
            </w:r>
          </w:p>
          <w:p w:rsidR="00717E90" w:rsidRPr="006A74F8" w:rsidRDefault="00717E90" w:rsidP="00717E90">
            <w:pPr>
              <w:spacing w:afterLines="50" w:after="120"/>
              <w:rPr>
                <w:rFonts w:eastAsiaTheme="minorEastAsia" w:cstheme="minorHAnsi"/>
                <w:sz w:val="18"/>
                <w:szCs w:val="18"/>
              </w:rPr>
            </w:pPr>
            <w:r w:rsidRPr="006A74F8">
              <w:rPr>
                <w:rFonts w:cstheme="minorHAnsi"/>
                <w:sz w:val="18"/>
                <w:szCs w:val="16"/>
              </w:rPr>
              <w:t>Legislation</w:t>
            </w:r>
            <w:r w:rsidRPr="006A74F8">
              <w:rPr>
                <w:rFonts w:cstheme="minorHAnsi"/>
                <w:sz w:val="18"/>
                <w:szCs w:val="18"/>
              </w:rPr>
              <w:t xml:space="preserve"> provides NMI with a reserve power to compel a certain traceability path for </w:t>
            </w:r>
            <w:r w:rsidR="006848FD" w:rsidRPr="006A74F8">
              <w:rPr>
                <w:rFonts w:cstheme="minorHAnsi"/>
                <w:sz w:val="18"/>
                <w:szCs w:val="18"/>
              </w:rPr>
              <w:t xml:space="preserve">a </w:t>
            </w:r>
            <w:r w:rsidRPr="006A74F8">
              <w:rPr>
                <w:rFonts w:cstheme="minorHAnsi"/>
                <w:sz w:val="18"/>
                <w:szCs w:val="18"/>
              </w:rPr>
              <w:t>particular area or application that is outside its current scope</w:t>
            </w:r>
            <w:r w:rsidRPr="006A74F8">
              <w:rPr>
                <w:rFonts w:eastAsiaTheme="minorEastAsia" w:cstheme="minorHAnsi"/>
                <w:sz w:val="18"/>
                <w:szCs w:val="18"/>
              </w:rPr>
              <w:t>.</w:t>
            </w:r>
          </w:p>
          <w:p w:rsidR="00717E90" w:rsidRPr="006A74F8" w:rsidRDefault="00717E90" w:rsidP="00717E90">
            <w:pPr>
              <w:spacing w:afterLines="50" w:after="120"/>
              <w:ind w:left="344" w:hanging="210"/>
              <w:rPr>
                <w:rFonts w:cstheme="minorHAnsi"/>
                <w:sz w:val="18"/>
                <w:szCs w:val="18"/>
              </w:rPr>
            </w:pPr>
          </w:p>
        </w:tc>
        <w:tc>
          <w:tcPr>
            <w:tcW w:w="2380"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eastAsiaTheme="minorEastAsia" w:cstheme="minorHAnsi"/>
                <w:sz w:val="18"/>
                <w:szCs w:val="18"/>
              </w:rPr>
            </w:pPr>
            <w:r w:rsidRPr="006A74F8">
              <w:rPr>
                <w:rFonts w:eastAsia="Calibri" w:cstheme="minorHAnsi"/>
                <w:sz w:val="18"/>
                <w:szCs w:val="16"/>
              </w:rPr>
              <w:t>Assessment of measurement needs with policy owners to ensure appropriate capability support via ATPs in</w:t>
            </w:r>
            <w:r w:rsidRPr="006A74F8">
              <w:rPr>
                <w:rFonts w:eastAsiaTheme="minorEastAsia" w:cstheme="minorHAnsi"/>
                <w:sz w:val="18"/>
                <w:szCs w:val="16"/>
              </w:rPr>
              <w:t xml:space="preserve"> </w:t>
            </w:r>
            <w:r w:rsidRPr="006A74F8">
              <w:rPr>
                <w:rFonts w:eastAsia="Calibri" w:cstheme="minorHAnsi"/>
                <w:sz w:val="18"/>
                <w:szCs w:val="18"/>
              </w:rPr>
              <w:t>areas of expanded scope.</w:t>
            </w:r>
          </w:p>
          <w:p w:rsidR="00717E90" w:rsidRPr="006A74F8" w:rsidRDefault="00717E90" w:rsidP="00717E90">
            <w:pPr>
              <w:spacing w:afterLines="50" w:after="120"/>
              <w:ind w:left="720"/>
              <w:rPr>
                <w:rFonts w:cstheme="minorHAnsi"/>
                <w:sz w:val="18"/>
                <w:szCs w:val="16"/>
              </w:rPr>
            </w:pPr>
          </w:p>
        </w:tc>
      </w:tr>
      <w:tr w:rsidR="00717E90" w:rsidRPr="006A74F8" w:rsidTr="00717E90">
        <w:trPr>
          <w:trHeight w:val="1249"/>
        </w:trPr>
        <w:tc>
          <w:tcPr>
            <w:tcW w:w="2227" w:type="dxa"/>
            <w:tcBorders>
              <w:top w:val="single" w:sz="4" w:space="0" w:color="auto"/>
              <w:left w:val="single" w:sz="4" w:space="0" w:color="auto"/>
              <w:bottom w:val="single" w:sz="4" w:space="0" w:color="auto"/>
              <w:right w:val="single" w:sz="4" w:space="0" w:color="auto"/>
            </w:tcBorders>
            <w:shd w:val="clear" w:color="auto" w:fill="BEBFC1" w:themeFill="accent1" w:themeFillTint="99"/>
          </w:tcPr>
          <w:p w:rsidR="00717E90" w:rsidRPr="006A74F8" w:rsidRDefault="00717E90" w:rsidP="00717E90">
            <w:pPr>
              <w:ind w:left="720"/>
              <w:rPr>
                <w:b/>
              </w:rPr>
            </w:pPr>
            <w:r w:rsidRPr="006A74F8">
              <w:rPr>
                <w:b/>
              </w:rPr>
              <w:t xml:space="preserve">Measuring Instruments </w:t>
            </w:r>
          </w:p>
        </w:tc>
        <w:tc>
          <w:tcPr>
            <w:tcW w:w="3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8827F3" w:rsidP="00717E90">
            <w:pPr>
              <w:spacing w:afterLines="50" w:after="120"/>
              <w:ind w:right="-9"/>
              <w:rPr>
                <w:rFonts w:eastAsiaTheme="minorEastAsia" w:cstheme="minorHAnsi"/>
                <w:sz w:val="18"/>
                <w:szCs w:val="16"/>
              </w:rPr>
            </w:pPr>
            <w:r w:rsidRPr="006A74F8">
              <w:rPr>
                <w:rFonts w:eastAsia="Calibri" w:cstheme="minorHAnsi"/>
                <w:sz w:val="18"/>
                <w:szCs w:val="16"/>
              </w:rPr>
              <w:t xml:space="preserve">Retain existing arrangements </w:t>
            </w:r>
            <w:r w:rsidR="00717E90" w:rsidRPr="006A74F8">
              <w:rPr>
                <w:rFonts w:eastAsia="Calibri" w:cstheme="minorHAnsi"/>
                <w:sz w:val="18"/>
                <w:szCs w:val="16"/>
              </w:rPr>
              <w:t xml:space="preserve">(pattern approval and verification), with </w:t>
            </w:r>
            <w:r w:rsidR="00717E90" w:rsidRPr="006A74F8">
              <w:rPr>
                <w:rFonts w:eastAsiaTheme="minorEastAsia" w:cstheme="minorHAnsi"/>
                <w:sz w:val="18"/>
                <w:szCs w:val="16"/>
              </w:rPr>
              <w:t>the</w:t>
            </w:r>
            <w:r w:rsidR="00717E90" w:rsidRPr="006A74F8">
              <w:rPr>
                <w:rFonts w:eastAsia="Calibri" w:cstheme="minorHAnsi"/>
                <w:sz w:val="18"/>
                <w:szCs w:val="16"/>
              </w:rPr>
              <w:t xml:space="preserve"> ability to provide exemptions</w:t>
            </w:r>
            <w:r w:rsidR="00717E90" w:rsidRPr="006A74F8">
              <w:rPr>
                <w:rFonts w:eastAsiaTheme="minorEastAsia" w:cstheme="minorHAnsi"/>
                <w:sz w:val="18"/>
                <w:szCs w:val="16"/>
              </w:rPr>
              <w:t>.</w:t>
            </w:r>
          </w:p>
          <w:p w:rsidR="00717E90" w:rsidRPr="006A74F8" w:rsidRDefault="00717E90" w:rsidP="00717E90">
            <w:pPr>
              <w:spacing w:afterLines="50" w:after="120"/>
              <w:ind w:right="-9"/>
              <w:rPr>
                <w:rFonts w:cstheme="minorHAnsi"/>
                <w:sz w:val="18"/>
                <w:szCs w:val="16"/>
              </w:rPr>
            </w:pPr>
            <w:r w:rsidRPr="006A74F8">
              <w:rPr>
                <w:rFonts w:eastAsia="Calibri" w:cstheme="minorHAnsi"/>
                <w:sz w:val="18"/>
                <w:szCs w:val="16"/>
              </w:rPr>
              <w:t>Electronic and physical verification marks permitted.</w:t>
            </w:r>
          </w:p>
          <w:p w:rsidR="00717E90" w:rsidRPr="006A74F8" w:rsidRDefault="00717E90" w:rsidP="00717E90">
            <w:pPr>
              <w:spacing w:afterLines="50" w:after="120"/>
              <w:ind w:right="-9"/>
              <w:rPr>
                <w:rFonts w:cstheme="minorHAnsi"/>
                <w:sz w:val="18"/>
                <w:szCs w:val="16"/>
              </w:rPr>
            </w:pPr>
            <w:r w:rsidRPr="006A74F8">
              <w:rPr>
                <w:rFonts w:cstheme="minorHAnsi"/>
                <w:sz w:val="18"/>
                <w:szCs w:val="16"/>
              </w:rPr>
              <w:t>Provision</w:t>
            </w:r>
            <w:r w:rsidRPr="006A74F8">
              <w:rPr>
                <w:rFonts w:eastAsia="Calibri" w:cstheme="minorHAnsi"/>
                <w:sz w:val="18"/>
                <w:szCs w:val="16"/>
              </w:rPr>
              <w:t xml:space="preserve"> to apply conditions to certificates</w:t>
            </w:r>
            <w:r w:rsidR="008827F3" w:rsidRPr="006A74F8">
              <w:rPr>
                <w:rFonts w:eastAsia="Calibri" w:cstheme="minorHAnsi"/>
                <w:sz w:val="18"/>
                <w:szCs w:val="16"/>
              </w:rPr>
              <w:t>, or issue permits</w:t>
            </w:r>
            <w:r w:rsidRPr="006A74F8">
              <w:rPr>
                <w:rFonts w:eastAsia="Calibri" w:cstheme="minorHAnsi"/>
                <w:sz w:val="18"/>
                <w:szCs w:val="16"/>
              </w:rPr>
              <w:t xml:space="preserve"> – to be on a case-by-case basis</w:t>
            </w:r>
            <w:r w:rsidRPr="006A74F8">
              <w:rPr>
                <w:rFonts w:cstheme="minorHAnsi"/>
                <w:sz w:val="18"/>
                <w:szCs w:val="16"/>
              </w:rPr>
              <w:t>.</w:t>
            </w:r>
          </w:p>
        </w:tc>
        <w:tc>
          <w:tcPr>
            <w:tcW w:w="2262"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eastAsia="Calibri" w:cstheme="minorHAnsi"/>
                <w:sz w:val="18"/>
                <w:szCs w:val="16"/>
              </w:rPr>
            </w:pPr>
            <w:r w:rsidRPr="006A74F8">
              <w:rPr>
                <w:rFonts w:eastAsia="Calibri" w:cstheme="minorHAnsi"/>
                <w:sz w:val="18"/>
                <w:szCs w:val="16"/>
              </w:rPr>
              <w:t>Exemptions for instruments from requirements and appropriate trial periods and review.</w:t>
            </w:r>
          </w:p>
          <w:p w:rsidR="00717E90" w:rsidRPr="006A74F8" w:rsidRDefault="00717E90" w:rsidP="00717E90">
            <w:pPr>
              <w:spacing w:afterLines="50" w:after="120"/>
              <w:rPr>
                <w:rFonts w:cstheme="minorHAnsi"/>
                <w:sz w:val="18"/>
                <w:szCs w:val="16"/>
              </w:rPr>
            </w:pPr>
            <w:r w:rsidRPr="006A74F8">
              <w:rPr>
                <w:rFonts w:eastAsiaTheme="minorEastAsia" w:cstheme="minorHAnsi"/>
                <w:sz w:val="18"/>
                <w:szCs w:val="16"/>
              </w:rPr>
              <w:t>Suitability</w:t>
            </w:r>
            <w:r w:rsidRPr="006A74F8">
              <w:rPr>
                <w:rFonts w:eastAsia="Calibri" w:cstheme="minorHAnsi"/>
                <w:sz w:val="18"/>
                <w:szCs w:val="16"/>
              </w:rPr>
              <w:t xml:space="preserve"> of existing exemptions.</w:t>
            </w:r>
            <w:r w:rsidRPr="006A74F8">
              <w:rPr>
                <w:rFonts w:cstheme="minorHAnsi"/>
                <w:sz w:val="18"/>
                <w:szCs w:val="16"/>
              </w:rPr>
              <w:t xml:space="preserve"> </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C3F98" w:rsidRPr="006A74F8" w:rsidRDefault="00717E90" w:rsidP="00717E90">
            <w:pPr>
              <w:spacing w:afterLines="50" w:after="120"/>
              <w:rPr>
                <w:rFonts w:eastAsiaTheme="minorEastAsia" w:cstheme="minorHAnsi"/>
                <w:sz w:val="18"/>
                <w:szCs w:val="16"/>
              </w:rPr>
            </w:pPr>
            <w:r w:rsidRPr="006A74F8">
              <w:rPr>
                <w:rFonts w:eastAsia="Calibri" w:cstheme="minorHAnsi"/>
                <w:sz w:val="18"/>
                <w:szCs w:val="16"/>
              </w:rPr>
              <w:t xml:space="preserve">Retain existing arrangements (pattern approval and verification) as default but </w:t>
            </w:r>
            <w:r w:rsidR="00683197" w:rsidRPr="006A74F8">
              <w:rPr>
                <w:rFonts w:eastAsia="Calibri" w:cstheme="minorHAnsi"/>
                <w:sz w:val="18"/>
                <w:szCs w:val="16"/>
              </w:rPr>
              <w:t xml:space="preserve">able to </w:t>
            </w:r>
            <w:r w:rsidRPr="006A74F8">
              <w:rPr>
                <w:rFonts w:eastAsia="Calibri" w:cstheme="minorHAnsi"/>
                <w:sz w:val="18"/>
                <w:szCs w:val="16"/>
              </w:rPr>
              <w:t>introduce alternative flexible control pathways for</w:t>
            </w:r>
            <w:r w:rsidRPr="006A74F8">
              <w:rPr>
                <w:rFonts w:eastAsiaTheme="minorEastAsia" w:cstheme="minorHAnsi"/>
                <w:sz w:val="18"/>
                <w:szCs w:val="16"/>
              </w:rPr>
              <w:t xml:space="preserve"> </w:t>
            </w:r>
            <w:r w:rsidRPr="006A74F8">
              <w:rPr>
                <w:rFonts w:eastAsia="Calibri" w:cstheme="minorHAnsi"/>
                <w:sz w:val="18"/>
                <w:szCs w:val="16"/>
              </w:rPr>
              <w:t>instruments used for trade</w:t>
            </w:r>
            <w:r w:rsidR="00683197" w:rsidRPr="006A74F8">
              <w:rPr>
                <w:rFonts w:eastAsia="Calibri" w:cstheme="minorHAnsi"/>
                <w:sz w:val="18"/>
                <w:szCs w:val="16"/>
              </w:rPr>
              <w:t xml:space="preserve"> in future</w:t>
            </w:r>
            <w:r w:rsidRPr="006A74F8">
              <w:rPr>
                <w:rFonts w:eastAsia="Calibri" w:cstheme="minorHAnsi"/>
                <w:sz w:val="18"/>
                <w:szCs w:val="16"/>
              </w:rPr>
              <w:t>.</w:t>
            </w:r>
            <w:r w:rsidRPr="006A74F8">
              <w:rPr>
                <w:rFonts w:eastAsiaTheme="minorEastAsia" w:cstheme="minorHAnsi"/>
                <w:sz w:val="18"/>
                <w:szCs w:val="16"/>
              </w:rPr>
              <w:t xml:space="preserve"> </w:t>
            </w:r>
          </w:p>
          <w:p w:rsidR="00717E90" w:rsidRPr="006A74F8" w:rsidRDefault="006305DD" w:rsidP="00717E90">
            <w:pPr>
              <w:spacing w:afterLines="50" w:after="120"/>
              <w:rPr>
                <w:rFonts w:eastAsiaTheme="minorEastAsia" w:cstheme="minorHAnsi"/>
                <w:sz w:val="18"/>
                <w:szCs w:val="16"/>
              </w:rPr>
            </w:pPr>
            <w:r w:rsidRPr="006A74F8">
              <w:rPr>
                <w:rFonts w:eastAsiaTheme="minorEastAsia" w:cstheme="minorHAnsi"/>
                <w:sz w:val="18"/>
                <w:szCs w:val="16"/>
              </w:rPr>
              <w:t>Provision to issue permits and provisional certificates.</w:t>
            </w:r>
          </w:p>
          <w:p w:rsidR="00717E90" w:rsidRPr="006A74F8" w:rsidRDefault="00717E90" w:rsidP="00717E90">
            <w:pPr>
              <w:spacing w:afterLines="50" w:after="120"/>
              <w:rPr>
                <w:rFonts w:cstheme="minorHAnsi"/>
                <w:sz w:val="18"/>
                <w:szCs w:val="16"/>
              </w:rPr>
            </w:pPr>
            <w:r w:rsidRPr="006A74F8">
              <w:rPr>
                <w:rFonts w:eastAsia="Calibri" w:cstheme="minorHAnsi"/>
                <w:sz w:val="18"/>
                <w:szCs w:val="16"/>
              </w:rPr>
              <w:t>Provision for other regulators to adopt instrument pathways for their purposes.</w:t>
            </w:r>
          </w:p>
          <w:p w:rsidR="00717E90" w:rsidRPr="006A74F8" w:rsidRDefault="00717E90" w:rsidP="00717E90">
            <w:pPr>
              <w:spacing w:afterLines="50" w:after="120"/>
              <w:rPr>
                <w:rFonts w:eastAsiaTheme="minorEastAsia" w:cstheme="minorHAnsi"/>
                <w:sz w:val="18"/>
                <w:szCs w:val="16"/>
              </w:rPr>
            </w:pPr>
            <w:r w:rsidRPr="006A74F8">
              <w:rPr>
                <w:rFonts w:cstheme="minorHAnsi"/>
                <w:sz w:val="18"/>
                <w:szCs w:val="16"/>
              </w:rPr>
              <w:t>Electronic</w:t>
            </w:r>
            <w:r w:rsidRPr="006A74F8">
              <w:rPr>
                <w:rFonts w:eastAsia="Calibri" w:cstheme="minorHAnsi"/>
                <w:sz w:val="18"/>
                <w:szCs w:val="16"/>
              </w:rPr>
              <w:t xml:space="preserve"> and physical verification marks permitted.</w:t>
            </w:r>
          </w:p>
        </w:tc>
        <w:tc>
          <w:tcPr>
            <w:tcW w:w="2551"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cstheme="minorHAnsi"/>
                <w:sz w:val="18"/>
                <w:szCs w:val="16"/>
              </w:rPr>
            </w:pPr>
            <w:r w:rsidRPr="006A74F8">
              <w:rPr>
                <w:rFonts w:eastAsia="Calibri" w:cstheme="minorHAnsi"/>
                <w:sz w:val="18"/>
                <w:szCs w:val="16"/>
              </w:rPr>
              <w:t>Implementation of flexible control pathways for instruments used for trade to</w:t>
            </w:r>
            <w:r w:rsidRPr="006A74F8">
              <w:rPr>
                <w:rFonts w:cstheme="minorHAnsi"/>
                <w:sz w:val="18"/>
                <w:szCs w:val="16"/>
              </w:rPr>
              <w:t xml:space="preserve"> </w:t>
            </w:r>
            <w:r w:rsidR="006305DD" w:rsidRPr="006A74F8">
              <w:rPr>
                <w:rFonts w:eastAsia="Calibri" w:cstheme="minorHAnsi"/>
                <w:sz w:val="18"/>
                <w:szCs w:val="16"/>
              </w:rPr>
              <w:t>be introduced where appropriate</w:t>
            </w:r>
            <w:r w:rsidRPr="006A74F8">
              <w:rPr>
                <w:rFonts w:eastAsia="Calibri" w:cstheme="minorHAnsi"/>
                <w:sz w:val="18"/>
                <w:szCs w:val="16"/>
              </w:rPr>
              <w:t xml:space="preserve"> following data collection, risk assessment and consultation.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rPr>
                <w:rFonts w:eastAsiaTheme="minorEastAsia" w:cstheme="minorHAnsi"/>
                <w:sz w:val="18"/>
                <w:szCs w:val="16"/>
              </w:rPr>
            </w:pPr>
            <w:r w:rsidRPr="006A74F8">
              <w:rPr>
                <w:rFonts w:cstheme="minorHAnsi"/>
                <w:sz w:val="18"/>
                <w:szCs w:val="16"/>
              </w:rPr>
              <w:t>As in option 2.</w:t>
            </w:r>
          </w:p>
          <w:p w:rsidR="00717E90" w:rsidRPr="006A74F8" w:rsidRDefault="00717E90" w:rsidP="006848FD">
            <w:pPr>
              <w:spacing w:afterLines="50" w:after="120"/>
              <w:rPr>
                <w:rFonts w:eastAsia="Calibri" w:cstheme="minorHAnsi"/>
                <w:sz w:val="18"/>
                <w:szCs w:val="16"/>
              </w:rPr>
            </w:pPr>
            <w:r w:rsidRPr="006A74F8">
              <w:rPr>
                <w:rFonts w:eastAsia="Calibri" w:cstheme="minorHAnsi"/>
                <w:sz w:val="18"/>
                <w:szCs w:val="16"/>
              </w:rPr>
              <w:t>Broad powers to directly regulate measurement-based activity, including measuring instruments relied on by other regulators.</w:t>
            </w:r>
          </w:p>
        </w:tc>
        <w:tc>
          <w:tcPr>
            <w:tcW w:w="2380"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eastAsia="Calibri" w:cstheme="minorHAnsi"/>
                <w:sz w:val="18"/>
                <w:szCs w:val="16"/>
              </w:rPr>
            </w:pPr>
            <w:r w:rsidRPr="006A74F8">
              <w:rPr>
                <w:rFonts w:eastAsia="Calibri" w:cstheme="minorHAnsi"/>
                <w:sz w:val="18"/>
                <w:szCs w:val="16"/>
              </w:rPr>
              <w:t>Determination of appropriate application of power to non-trade measurement-based activity with other regulators.</w:t>
            </w:r>
          </w:p>
          <w:p w:rsidR="00717E90" w:rsidRPr="006A74F8" w:rsidRDefault="00717E90" w:rsidP="00717E90">
            <w:pPr>
              <w:spacing w:afterLines="50" w:after="120"/>
              <w:rPr>
                <w:rFonts w:cstheme="minorHAnsi"/>
                <w:sz w:val="18"/>
                <w:szCs w:val="16"/>
              </w:rPr>
            </w:pPr>
            <w:r w:rsidRPr="006A74F8">
              <w:rPr>
                <w:rFonts w:eastAsiaTheme="minorEastAsia" w:cstheme="minorHAnsi"/>
                <w:sz w:val="18"/>
                <w:szCs w:val="16"/>
              </w:rPr>
              <w:t>Accommodation</w:t>
            </w:r>
            <w:r w:rsidRPr="006A74F8">
              <w:rPr>
                <w:rFonts w:eastAsia="Calibri" w:cstheme="minorHAnsi"/>
                <w:sz w:val="18"/>
                <w:szCs w:val="16"/>
              </w:rPr>
              <w:t xml:space="preserve"> of certificates with a broader application</w:t>
            </w:r>
          </w:p>
        </w:tc>
      </w:tr>
      <w:tr w:rsidR="00717E90" w:rsidRPr="006A74F8" w:rsidTr="00717E90">
        <w:trPr>
          <w:trHeight w:val="477"/>
        </w:trPr>
        <w:tc>
          <w:tcPr>
            <w:tcW w:w="2227" w:type="dxa"/>
            <w:tcBorders>
              <w:top w:val="single" w:sz="4" w:space="0" w:color="auto"/>
              <w:left w:val="single" w:sz="4" w:space="0" w:color="auto"/>
              <w:bottom w:val="single" w:sz="4" w:space="0" w:color="auto"/>
              <w:right w:val="single" w:sz="4" w:space="0" w:color="auto"/>
            </w:tcBorders>
            <w:shd w:val="clear" w:color="auto" w:fill="BEBFC1" w:themeFill="accent1" w:themeFillTint="99"/>
          </w:tcPr>
          <w:p w:rsidR="00717E90" w:rsidRPr="006A74F8" w:rsidRDefault="00717E90" w:rsidP="00AC5504">
            <w:pPr>
              <w:ind w:left="720"/>
              <w:rPr>
                <w:b/>
              </w:rPr>
            </w:pPr>
            <w:r w:rsidRPr="006A74F8">
              <w:rPr>
                <w:b/>
              </w:rPr>
              <w:t>Measurement-Based Transactions</w:t>
            </w:r>
          </w:p>
        </w:tc>
        <w:tc>
          <w:tcPr>
            <w:tcW w:w="3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ind w:right="-9"/>
              <w:rPr>
                <w:rFonts w:eastAsiaTheme="minorEastAsia" w:cstheme="minorHAnsi"/>
                <w:sz w:val="18"/>
                <w:szCs w:val="16"/>
              </w:rPr>
            </w:pPr>
            <w:r w:rsidRPr="006A74F8">
              <w:rPr>
                <w:rFonts w:cstheme="minorHAnsi"/>
                <w:sz w:val="18"/>
                <w:szCs w:val="16"/>
              </w:rPr>
              <w:t xml:space="preserve">Prohibition on false or misleading measurement </w:t>
            </w:r>
            <w:r w:rsidRPr="006A74F8">
              <w:rPr>
                <w:rFonts w:eastAsiaTheme="minorEastAsia" w:cstheme="minorHAnsi"/>
                <w:sz w:val="18"/>
                <w:szCs w:val="16"/>
              </w:rPr>
              <w:t>statements</w:t>
            </w:r>
            <w:r w:rsidRPr="006A74F8">
              <w:rPr>
                <w:rFonts w:eastAsia="Calibri" w:cstheme="minorHAnsi"/>
                <w:sz w:val="18"/>
                <w:szCs w:val="16"/>
              </w:rPr>
              <w:t xml:space="preserve"> for sale and purchase of goods.</w:t>
            </w:r>
          </w:p>
          <w:p w:rsidR="00717E90" w:rsidRPr="006A74F8" w:rsidRDefault="00717E90" w:rsidP="00717E90">
            <w:pPr>
              <w:spacing w:afterLines="50" w:after="120"/>
              <w:ind w:right="-9"/>
              <w:rPr>
                <w:rFonts w:cstheme="minorHAnsi"/>
                <w:sz w:val="18"/>
                <w:szCs w:val="16"/>
              </w:rPr>
            </w:pPr>
            <w:r w:rsidRPr="006A74F8">
              <w:rPr>
                <w:rFonts w:eastAsia="Calibri" w:cstheme="minorHAnsi"/>
                <w:sz w:val="18"/>
                <w:szCs w:val="16"/>
              </w:rPr>
              <w:t xml:space="preserve">Principles-based marking requirements for packaged products. Ability to </w:t>
            </w:r>
            <w:r w:rsidRPr="006A74F8">
              <w:rPr>
                <w:rFonts w:eastAsiaTheme="minorEastAsia" w:cstheme="minorHAnsi"/>
                <w:sz w:val="18"/>
                <w:szCs w:val="16"/>
              </w:rPr>
              <w:t>exempt</w:t>
            </w:r>
            <w:r w:rsidRPr="006A74F8">
              <w:rPr>
                <w:rFonts w:eastAsia="Calibri" w:cstheme="minorHAnsi"/>
                <w:sz w:val="18"/>
                <w:szCs w:val="16"/>
              </w:rPr>
              <w:t xml:space="preserve"> packaged products from marking requirements (cosmetics from day 1). </w:t>
            </w:r>
          </w:p>
          <w:p w:rsidR="00717E90" w:rsidRPr="006A74F8" w:rsidRDefault="00717E90" w:rsidP="00717E90">
            <w:pPr>
              <w:spacing w:afterLines="50" w:after="120"/>
              <w:ind w:right="-9"/>
              <w:rPr>
                <w:rFonts w:eastAsia="Calibri" w:cstheme="minorHAnsi"/>
                <w:sz w:val="18"/>
                <w:szCs w:val="16"/>
              </w:rPr>
            </w:pPr>
            <w:r w:rsidRPr="006A74F8">
              <w:rPr>
                <w:rFonts w:eastAsia="Calibri" w:cstheme="minorHAnsi"/>
                <w:sz w:val="18"/>
                <w:szCs w:val="16"/>
              </w:rPr>
              <w:t>Streamlined approach to unit of measurement requirements for packaged products.</w:t>
            </w:r>
          </w:p>
          <w:p w:rsidR="00717E90" w:rsidRPr="006A74F8" w:rsidRDefault="00717E90" w:rsidP="00717E90">
            <w:pPr>
              <w:spacing w:afterLines="50" w:after="120"/>
              <w:ind w:right="-9"/>
              <w:rPr>
                <w:rFonts w:cstheme="minorHAnsi"/>
                <w:sz w:val="18"/>
                <w:szCs w:val="16"/>
              </w:rPr>
            </w:pPr>
            <w:r w:rsidRPr="006A74F8">
              <w:rPr>
                <w:rFonts w:eastAsia="Calibri" w:cstheme="minorHAnsi"/>
                <w:sz w:val="18"/>
                <w:szCs w:val="16"/>
              </w:rPr>
              <w:lastRenderedPageBreak/>
              <w:t xml:space="preserve">Streamlined approach </w:t>
            </w:r>
            <w:r w:rsidRPr="006A74F8">
              <w:rPr>
                <w:rFonts w:cstheme="minorHAnsi"/>
                <w:sz w:val="18"/>
                <w:szCs w:val="16"/>
              </w:rPr>
              <w:t xml:space="preserve">to requirements for use of measuring instruments for trade. Measuring instruments used to pack random weight products to be </w:t>
            </w:r>
            <w:r w:rsidR="00CC3F98" w:rsidRPr="006A74F8">
              <w:rPr>
                <w:rFonts w:cstheme="minorHAnsi"/>
                <w:sz w:val="18"/>
                <w:szCs w:val="16"/>
              </w:rPr>
              <w:t xml:space="preserve">pattern </w:t>
            </w:r>
            <w:r w:rsidRPr="006A74F8">
              <w:rPr>
                <w:rFonts w:cstheme="minorHAnsi"/>
                <w:sz w:val="18"/>
                <w:szCs w:val="16"/>
              </w:rPr>
              <w:t xml:space="preserve">approved. </w:t>
            </w:r>
          </w:p>
        </w:tc>
        <w:tc>
          <w:tcPr>
            <w:tcW w:w="2262"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rPr>
                <w:rFonts w:eastAsia="Calibri" w:cstheme="minorHAnsi"/>
                <w:sz w:val="18"/>
                <w:szCs w:val="16"/>
              </w:rPr>
            </w:pPr>
            <w:r w:rsidRPr="006A74F8">
              <w:rPr>
                <w:rFonts w:eastAsia="Calibri" w:cstheme="minorHAnsi"/>
                <w:sz w:val="18"/>
                <w:szCs w:val="16"/>
              </w:rPr>
              <w:lastRenderedPageBreak/>
              <w:t>Further exemptions for</w:t>
            </w:r>
            <w:r w:rsidR="00E7793A" w:rsidRPr="006A74F8">
              <w:rPr>
                <w:rFonts w:eastAsia="Calibri" w:cstheme="minorHAnsi"/>
                <w:sz w:val="18"/>
                <w:szCs w:val="16"/>
              </w:rPr>
              <w:t xml:space="preserve"> c</w:t>
            </w:r>
            <w:r w:rsidRPr="006A74F8">
              <w:rPr>
                <w:rFonts w:eastAsia="Calibri" w:cstheme="minorHAnsi"/>
                <w:sz w:val="18"/>
                <w:szCs w:val="16"/>
              </w:rPr>
              <w:t>ategories of products from measurement marking presentational requirements, beyond those introduced on day 1.</w:t>
            </w:r>
          </w:p>
          <w:p w:rsidR="00717E90" w:rsidRPr="006A74F8" w:rsidRDefault="00E7793A" w:rsidP="00717E90">
            <w:pPr>
              <w:rPr>
                <w:rFonts w:eastAsia="Calibri" w:cstheme="minorHAnsi"/>
                <w:sz w:val="18"/>
                <w:szCs w:val="16"/>
              </w:rPr>
            </w:pPr>
            <w:r w:rsidRPr="006A74F8">
              <w:rPr>
                <w:rFonts w:eastAsia="Calibri" w:cstheme="minorHAnsi"/>
                <w:sz w:val="18"/>
                <w:szCs w:val="16"/>
              </w:rPr>
              <w:t>Review t</w:t>
            </w:r>
            <w:r w:rsidR="00717E90" w:rsidRPr="006A74F8">
              <w:rPr>
                <w:rFonts w:eastAsia="Calibri" w:cstheme="minorHAnsi"/>
                <w:sz w:val="18"/>
                <w:szCs w:val="16"/>
              </w:rPr>
              <w:t xml:space="preserve">he need for, and scope of, requirements to sell particular products by reference to measurement. </w:t>
            </w:r>
            <w:r w:rsidR="00717E90" w:rsidRPr="006A74F8">
              <w:rPr>
                <w:rFonts w:eastAsia="Calibri" w:cstheme="minorHAnsi"/>
                <w:sz w:val="18"/>
                <w:szCs w:val="16"/>
              </w:rPr>
              <w:lastRenderedPageBreak/>
              <w:t>(e.g. meat and certain types of alcohol).</w:t>
            </w:r>
          </w:p>
          <w:p w:rsidR="0063515E" w:rsidRPr="006A74F8" w:rsidRDefault="0063515E" w:rsidP="00717E90">
            <w:pPr>
              <w:rPr>
                <w:rFonts w:eastAsia="Calibri" w:cstheme="minorHAnsi"/>
                <w:sz w:val="18"/>
                <w:szCs w:val="16"/>
              </w:rPr>
            </w:pPr>
            <w:r w:rsidRPr="006A74F8">
              <w:rPr>
                <w:rFonts w:eastAsia="Calibri" w:cstheme="minorHAnsi"/>
                <w:sz w:val="18"/>
                <w:szCs w:val="16"/>
              </w:rPr>
              <w:t>Additional presentational requirements for the measurement mark for particular categories of products.</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rPr>
                <w:rFonts w:eastAsiaTheme="minorEastAsia" w:cstheme="minorHAnsi"/>
                <w:sz w:val="18"/>
                <w:szCs w:val="16"/>
              </w:rPr>
            </w:pPr>
            <w:r w:rsidRPr="006A74F8">
              <w:rPr>
                <w:rFonts w:cstheme="minorHAnsi"/>
                <w:sz w:val="18"/>
                <w:szCs w:val="16"/>
              </w:rPr>
              <w:lastRenderedPageBreak/>
              <w:t>As in option 1.</w:t>
            </w:r>
          </w:p>
          <w:p w:rsidR="00717E90" w:rsidRPr="006A74F8" w:rsidRDefault="00717E90" w:rsidP="00717E90">
            <w:pPr>
              <w:spacing w:afterLines="50" w:after="120"/>
              <w:rPr>
                <w:rFonts w:eastAsia="Calibri" w:cstheme="minorHAnsi"/>
                <w:sz w:val="18"/>
                <w:szCs w:val="16"/>
              </w:rPr>
            </w:pPr>
            <w:r w:rsidRPr="006A74F8">
              <w:rPr>
                <w:rFonts w:eastAsia="Calibri" w:cstheme="minorHAnsi"/>
                <w:sz w:val="18"/>
                <w:szCs w:val="16"/>
              </w:rPr>
              <w:t xml:space="preserve">Principles-based approach for: </w:t>
            </w:r>
          </w:p>
          <w:p w:rsidR="00717E90" w:rsidRPr="006A74F8" w:rsidRDefault="00717E90" w:rsidP="00717E90">
            <w:pPr>
              <w:pStyle w:val="ListParagraph"/>
              <w:numPr>
                <w:ilvl w:val="0"/>
                <w:numId w:val="281"/>
              </w:numPr>
              <w:ind w:left="290" w:hanging="218"/>
              <w:rPr>
                <w:rFonts w:eastAsia="Calibri" w:cstheme="minorHAnsi"/>
                <w:sz w:val="18"/>
                <w:szCs w:val="16"/>
              </w:rPr>
            </w:pPr>
            <w:r w:rsidRPr="006A74F8">
              <w:rPr>
                <w:rFonts w:eastAsia="Calibri" w:cstheme="minorHAnsi"/>
                <w:sz w:val="18"/>
                <w:szCs w:val="16"/>
              </w:rPr>
              <w:t>Correct use of measuring instruments for trade</w:t>
            </w:r>
          </w:p>
          <w:p w:rsidR="00717E90" w:rsidRPr="006A74F8" w:rsidRDefault="00717E90" w:rsidP="00717E90">
            <w:pPr>
              <w:pStyle w:val="ListParagraph"/>
              <w:numPr>
                <w:ilvl w:val="0"/>
                <w:numId w:val="281"/>
              </w:numPr>
              <w:ind w:left="290" w:hanging="218"/>
              <w:rPr>
                <w:rFonts w:eastAsia="Calibri" w:cstheme="minorHAnsi"/>
                <w:sz w:val="18"/>
                <w:szCs w:val="16"/>
              </w:rPr>
            </w:pPr>
            <w:r w:rsidRPr="006A74F8">
              <w:rPr>
                <w:rFonts w:eastAsia="Calibri" w:cstheme="minorHAnsi"/>
                <w:sz w:val="18"/>
                <w:szCs w:val="16"/>
              </w:rPr>
              <w:t>Presentational requirements for measurement mark</w:t>
            </w:r>
            <w:r w:rsidRPr="006A74F8">
              <w:rPr>
                <w:rFonts w:eastAsiaTheme="minorEastAsia" w:cstheme="minorHAnsi"/>
                <w:sz w:val="18"/>
                <w:szCs w:val="16"/>
              </w:rPr>
              <w:t xml:space="preserve"> </w:t>
            </w:r>
            <w:r w:rsidRPr="006A74F8">
              <w:rPr>
                <w:rFonts w:eastAsia="Calibri" w:cstheme="minorHAnsi"/>
                <w:sz w:val="18"/>
                <w:szCs w:val="16"/>
              </w:rPr>
              <w:t>on packaged products</w:t>
            </w:r>
          </w:p>
          <w:p w:rsidR="00717E90" w:rsidRPr="006A74F8" w:rsidRDefault="00717E90" w:rsidP="00717E90">
            <w:pPr>
              <w:pStyle w:val="ListParagraph"/>
              <w:numPr>
                <w:ilvl w:val="0"/>
                <w:numId w:val="281"/>
              </w:numPr>
              <w:ind w:left="290" w:hanging="218"/>
              <w:rPr>
                <w:rFonts w:eastAsia="Calibri" w:cstheme="minorHAnsi"/>
                <w:sz w:val="18"/>
                <w:szCs w:val="16"/>
              </w:rPr>
            </w:pPr>
            <w:r w:rsidRPr="006A74F8">
              <w:rPr>
                <w:rFonts w:cstheme="minorHAnsi"/>
                <w:sz w:val="18"/>
                <w:szCs w:val="16"/>
              </w:rPr>
              <w:t>Appropriate</w:t>
            </w:r>
            <w:r w:rsidRPr="006A74F8">
              <w:rPr>
                <w:rFonts w:eastAsia="Calibri" w:cstheme="minorHAnsi"/>
                <w:sz w:val="18"/>
                <w:szCs w:val="16"/>
              </w:rPr>
              <w:t xml:space="preserve"> measurement unit to be used to make packaged products</w:t>
            </w:r>
          </w:p>
          <w:p w:rsidR="00717E90" w:rsidRPr="006A74F8" w:rsidRDefault="00717E90" w:rsidP="00717E90">
            <w:pPr>
              <w:ind w:left="720" w:hanging="210"/>
              <w:rPr>
                <w:rFonts w:eastAsiaTheme="minorEastAsia" w:cstheme="minorHAnsi"/>
                <w:sz w:val="18"/>
                <w:szCs w:val="16"/>
              </w:rPr>
            </w:pPr>
          </w:p>
        </w:tc>
        <w:tc>
          <w:tcPr>
            <w:tcW w:w="2551"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eastAsiaTheme="minorEastAsia" w:cstheme="minorHAnsi"/>
                <w:sz w:val="18"/>
                <w:szCs w:val="16"/>
              </w:rPr>
            </w:pPr>
            <w:r w:rsidRPr="006A74F8">
              <w:rPr>
                <w:rFonts w:cstheme="minorHAnsi"/>
                <w:sz w:val="18"/>
                <w:szCs w:val="16"/>
              </w:rPr>
              <w:lastRenderedPageBreak/>
              <w:t>As in option 1.</w:t>
            </w:r>
          </w:p>
          <w:p w:rsidR="00717E90" w:rsidRPr="006A74F8" w:rsidRDefault="00717E90" w:rsidP="00717E90">
            <w:pPr>
              <w:spacing w:afterLines="50" w:after="120"/>
              <w:rPr>
                <w:rFonts w:cstheme="minorHAnsi"/>
                <w:sz w:val="18"/>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rPr>
                <w:rFonts w:eastAsiaTheme="minorEastAsia" w:cstheme="minorHAnsi"/>
                <w:sz w:val="18"/>
                <w:szCs w:val="16"/>
              </w:rPr>
            </w:pPr>
            <w:r w:rsidRPr="006A74F8">
              <w:rPr>
                <w:rFonts w:cstheme="minorHAnsi"/>
                <w:sz w:val="18"/>
                <w:szCs w:val="16"/>
              </w:rPr>
              <w:t>As in option 2.</w:t>
            </w:r>
          </w:p>
          <w:p w:rsidR="00717E90" w:rsidRPr="006A74F8" w:rsidRDefault="00717E90" w:rsidP="00717E90">
            <w:pPr>
              <w:spacing w:afterLines="50" w:after="120"/>
              <w:ind w:left="720" w:hanging="210"/>
              <w:rPr>
                <w:rFonts w:cstheme="minorHAnsi"/>
                <w:sz w:val="18"/>
                <w:szCs w:val="16"/>
              </w:rPr>
            </w:pPr>
          </w:p>
        </w:tc>
        <w:tc>
          <w:tcPr>
            <w:tcW w:w="2380"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cstheme="minorHAnsi"/>
                <w:sz w:val="18"/>
                <w:szCs w:val="16"/>
              </w:rPr>
            </w:pPr>
            <w:r w:rsidRPr="006A74F8">
              <w:rPr>
                <w:rFonts w:cstheme="minorHAnsi"/>
                <w:sz w:val="18"/>
                <w:szCs w:val="16"/>
              </w:rPr>
              <w:t>As in option 2.</w:t>
            </w:r>
          </w:p>
          <w:p w:rsidR="00717E90" w:rsidRPr="006A74F8" w:rsidRDefault="00717E90" w:rsidP="00717E90">
            <w:pPr>
              <w:spacing w:afterLines="50" w:after="120"/>
              <w:rPr>
                <w:rFonts w:eastAsiaTheme="minorEastAsia" w:cstheme="minorHAnsi"/>
                <w:sz w:val="18"/>
                <w:szCs w:val="16"/>
              </w:rPr>
            </w:pPr>
            <w:r w:rsidRPr="006A74F8">
              <w:rPr>
                <w:rFonts w:eastAsia="Calibri" w:cstheme="minorHAnsi"/>
                <w:sz w:val="18"/>
                <w:szCs w:val="16"/>
              </w:rPr>
              <w:t xml:space="preserve">Development of expectations and guidance to distinguish NMI’s specialist regulatory role for trade from its </w:t>
            </w:r>
            <w:r w:rsidRPr="006A74F8">
              <w:rPr>
                <w:rFonts w:eastAsiaTheme="minorEastAsia" w:cstheme="minorHAnsi"/>
                <w:sz w:val="18"/>
                <w:szCs w:val="16"/>
              </w:rPr>
              <w:t>generalist</w:t>
            </w:r>
            <w:r w:rsidRPr="006A74F8">
              <w:rPr>
                <w:rFonts w:eastAsia="Calibri" w:cstheme="minorHAnsi"/>
                <w:sz w:val="18"/>
                <w:szCs w:val="16"/>
              </w:rPr>
              <w:t xml:space="preserve"> role</w:t>
            </w:r>
            <w:r w:rsidRPr="006A74F8">
              <w:rPr>
                <w:rFonts w:eastAsiaTheme="minorEastAsia" w:cstheme="minorHAnsi"/>
                <w:sz w:val="18"/>
                <w:szCs w:val="16"/>
              </w:rPr>
              <w:t>.</w:t>
            </w:r>
          </w:p>
          <w:p w:rsidR="00717E90" w:rsidRPr="006A74F8" w:rsidRDefault="00717E90" w:rsidP="00717E90">
            <w:pPr>
              <w:spacing w:afterLines="50" w:after="120"/>
              <w:ind w:left="720" w:hanging="210"/>
              <w:rPr>
                <w:rFonts w:cstheme="minorHAnsi"/>
                <w:sz w:val="18"/>
                <w:szCs w:val="16"/>
              </w:rPr>
            </w:pPr>
          </w:p>
        </w:tc>
      </w:tr>
      <w:tr w:rsidR="00717E90" w:rsidRPr="006A74F8" w:rsidTr="00717E90">
        <w:trPr>
          <w:trHeight w:val="1435"/>
        </w:trPr>
        <w:tc>
          <w:tcPr>
            <w:tcW w:w="2227" w:type="dxa"/>
            <w:tcBorders>
              <w:top w:val="single" w:sz="4" w:space="0" w:color="auto"/>
              <w:left w:val="single" w:sz="4" w:space="0" w:color="auto"/>
              <w:bottom w:val="single" w:sz="4" w:space="0" w:color="auto"/>
              <w:right w:val="single" w:sz="4" w:space="0" w:color="auto"/>
            </w:tcBorders>
            <w:shd w:val="clear" w:color="auto" w:fill="BEBFC1" w:themeFill="accent1" w:themeFillTint="99"/>
          </w:tcPr>
          <w:p w:rsidR="00717E90" w:rsidRPr="006A74F8" w:rsidRDefault="00717E90" w:rsidP="00717E90">
            <w:pPr>
              <w:ind w:left="720"/>
              <w:rPr>
                <w:b/>
              </w:rPr>
            </w:pPr>
            <w:r w:rsidRPr="006A74F8">
              <w:rPr>
                <w:b/>
              </w:rPr>
              <w:t>Third Parties</w:t>
            </w:r>
          </w:p>
        </w:tc>
        <w:tc>
          <w:tcPr>
            <w:tcW w:w="3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ind w:right="-9"/>
              <w:rPr>
                <w:rFonts w:cstheme="minorHAnsi"/>
                <w:sz w:val="18"/>
                <w:szCs w:val="16"/>
              </w:rPr>
            </w:pPr>
            <w:r w:rsidRPr="006A74F8">
              <w:rPr>
                <w:rFonts w:cstheme="minorHAnsi"/>
                <w:sz w:val="18"/>
                <w:szCs w:val="16"/>
              </w:rPr>
              <w:t>Transitional arrangement for existing appointments.</w:t>
            </w:r>
          </w:p>
          <w:p w:rsidR="00717E90" w:rsidRPr="006A74F8" w:rsidRDefault="00717E90" w:rsidP="00717E90">
            <w:pPr>
              <w:spacing w:afterLines="50" w:after="120"/>
              <w:ind w:right="-9"/>
              <w:rPr>
                <w:rFonts w:eastAsiaTheme="minorEastAsia" w:cstheme="minorHAnsi"/>
                <w:sz w:val="18"/>
                <w:szCs w:val="16"/>
              </w:rPr>
            </w:pPr>
            <w:r w:rsidRPr="006A74F8">
              <w:rPr>
                <w:rFonts w:cstheme="minorHAnsi"/>
                <w:sz w:val="18"/>
                <w:szCs w:val="16"/>
              </w:rPr>
              <w:t xml:space="preserve">Six types of ATP that may be appointed to be condensed to </w:t>
            </w:r>
            <w:r w:rsidR="009C6CC9" w:rsidRPr="006A74F8">
              <w:rPr>
                <w:rFonts w:cstheme="minorHAnsi"/>
                <w:sz w:val="18"/>
                <w:szCs w:val="16"/>
              </w:rPr>
              <w:t>4</w:t>
            </w:r>
            <w:r w:rsidRPr="006A74F8">
              <w:rPr>
                <w:rFonts w:cstheme="minorHAnsi"/>
                <w:sz w:val="18"/>
                <w:szCs w:val="16"/>
              </w:rPr>
              <w:t xml:space="preserve"> types.</w:t>
            </w:r>
          </w:p>
          <w:p w:rsidR="00717E90" w:rsidRPr="006A74F8" w:rsidRDefault="009C6CC9" w:rsidP="00717E90">
            <w:pPr>
              <w:spacing w:afterLines="50" w:after="120"/>
              <w:ind w:right="-9"/>
              <w:rPr>
                <w:rFonts w:eastAsiaTheme="minorEastAsia" w:cstheme="minorHAnsi"/>
                <w:sz w:val="18"/>
                <w:szCs w:val="16"/>
              </w:rPr>
            </w:pPr>
            <w:r w:rsidRPr="006A74F8">
              <w:rPr>
                <w:rFonts w:eastAsiaTheme="minorEastAsia" w:cstheme="minorHAnsi"/>
                <w:sz w:val="18"/>
                <w:szCs w:val="16"/>
              </w:rPr>
              <w:t>Servicing Licensee subclasses</w:t>
            </w:r>
            <w:r w:rsidR="00717E90" w:rsidRPr="006A74F8">
              <w:rPr>
                <w:rFonts w:eastAsia="Calibri" w:cstheme="minorHAnsi"/>
                <w:sz w:val="18"/>
                <w:szCs w:val="16"/>
              </w:rPr>
              <w:t xml:space="preserve"> streamlined based on </w:t>
            </w:r>
            <w:r w:rsidRPr="006A74F8">
              <w:rPr>
                <w:rFonts w:eastAsia="Calibri" w:cstheme="minorHAnsi"/>
                <w:sz w:val="18"/>
                <w:szCs w:val="16"/>
              </w:rPr>
              <w:t>competency categories and test method</w:t>
            </w:r>
            <w:r w:rsidR="00717E90" w:rsidRPr="006A74F8">
              <w:rPr>
                <w:rFonts w:eastAsia="Calibri" w:cstheme="minorHAnsi"/>
                <w:sz w:val="18"/>
                <w:szCs w:val="16"/>
              </w:rPr>
              <w:t xml:space="preserve">, rather than instrument class. </w:t>
            </w:r>
          </w:p>
        </w:tc>
        <w:tc>
          <w:tcPr>
            <w:tcW w:w="2262"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eastAsiaTheme="minorEastAsia" w:cstheme="minorHAnsi"/>
                <w:sz w:val="18"/>
                <w:szCs w:val="16"/>
              </w:rPr>
            </w:pPr>
            <w:r w:rsidRPr="006A74F8">
              <w:rPr>
                <w:rFonts w:eastAsia="Calibri" w:cstheme="minorHAnsi"/>
                <w:sz w:val="18"/>
                <w:szCs w:val="16"/>
              </w:rPr>
              <w:t>Transition arrangements for existing appointments that will eventually shift</w:t>
            </w:r>
            <w:r w:rsidRPr="006A74F8">
              <w:rPr>
                <w:rFonts w:eastAsiaTheme="minorEastAsia" w:cstheme="minorHAnsi"/>
                <w:sz w:val="18"/>
                <w:szCs w:val="16"/>
              </w:rPr>
              <w:t xml:space="preserve"> to</w:t>
            </w:r>
            <w:r w:rsidRPr="006A74F8">
              <w:rPr>
                <w:rFonts w:eastAsia="Calibri" w:cstheme="minorHAnsi"/>
                <w:sz w:val="18"/>
                <w:szCs w:val="16"/>
              </w:rPr>
              <w:t xml:space="preserve"> the new </w:t>
            </w:r>
            <w:r w:rsidRPr="006A74F8">
              <w:rPr>
                <w:rFonts w:eastAsiaTheme="minorEastAsia" w:cstheme="minorHAnsi"/>
                <w:sz w:val="18"/>
                <w:szCs w:val="16"/>
              </w:rPr>
              <w:t>system</w:t>
            </w:r>
            <w:r w:rsidRPr="006A74F8">
              <w:rPr>
                <w:rFonts w:eastAsia="Calibri" w:cstheme="minorHAnsi"/>
                <w:sz w:val="18"/>
                <w:szCs w:val="16"/>
              </w:rPr>
              <w:t>.</w:t>
            </w:r>
          </w:p>
          <w:p w:rsidR="00717E90" w:rsidRPr="006A74F8" w:rsidRDefault="00717E90" w:rsidP="00717E90">
            <w:pPr>
              <w:spacing w:afterLines="50" w:after="120"/>
              <w:rPr>
                <w:rFonts w:eastAsia="Calibri" w:cstheme="minorHAnsi"/>
                <w:sz w:val="18"/>
                <w:szCs w:val="16"/>
              </w:rPr>
            </w:pPr>
            <w:r w:rsidRPr="006A74F8">
              <w:rPr>
                <w:rFonts w:eastAsia="Calibri" w:cstheme="minorHAnsi"/>
                <w:sz w:val="18"/>
                <w:szCs w:val="16"/>
              </w:rPr>
              <w:t>Establishment of processes and systems enabling additional reporting requirements for UMVs.</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DD0D9C" w:rsidP="00717E90">
            <w:pPr>
              <w:spacing w:afterLines="50" w:after="120"/>
              <w:rPr>
                <w:rFonts w:eastAsiaTheme="minorEastAsia" w:cstheme="minorHAnsi"/>
                <w:sz w:val="18"/>
                <w:szCs w:val="16"/>
              </w:rPr>
            </w:pPr>
            <w:r w:rsidRPr="006A74F8">
              <w:rPr>
                <w:rFonts w:cstheme="minorHAnsi"/>
                <w:sz w:val="18"/>
                <w:szCs w:val="16"/>
              </w:rPr>
              <w:t>T</w:t>
            </w:r>
            <w:r w:rsidR="00717E90" w:rsidRPr="006A74F8">
              <w:rPr>
                <w:rFonts w:cstheme="minorHAnsi"/>
                <w:sz w:val="18"/>
                <w:szCs w:val="16"/>
              </w:rPr>
              <w:t xml:space="preserve">ransition </w:t>
            </w:r>
            <w:r w:rsidRPr="006A74F8">
              <w:rPr>
                <w:rFonts w:cstheme="minorHAnsi"/>
                <w:sz w:val="18"/>
                <w:szCs w:val="16"/>
              </w:rPr>
              <w:t>arrangement</w:t>
            </w:r>
            <w:r w:rsidR="00137832">
              <w:rPr>
                <w:rFonts w:cstheme="minorHAnsi"/>
                <w:sz w:val="18"/>
                <w:szCs w:val="16"/>
              </w:rPr>
              <w:t>s</w:t>
            </w:r>
            <w:r w:rsidRPr="006A74F8">
              <w:rPr>
                <w:rFonts w:cstheme="minorHAnsi"/>
                <w:sz w:val="18"/>
                <w:szCs w:val="16"/>
              </w:rPr>
              <w:t xml:space="preserve"> for existing appointment documentation to move to new documentation for single appointment mechanism. </w:t>
            </w:r>
          </w:p>
          <w:p w:rsidR="00717E90" w:rsidRPr="006A74F8" w:rsidRDefault="00717E90" w:rsidP="00717E90">
            <w:pPr>
              <w:spacing w:afterLines="50" w:after="120"/>
              <w:rPr>
                <w:rFonts w:cstheme="minorHAnsi"/>
                <w:sz w:val="18"/>
                <w:szCs w:val="16"/>
              </w:rPr>
            </w:pPr>
            <w:r w:rsidRPr="006A74F8">
              <w:rPr>
                <w:rFonts w:cstheme="minorHAnsi"/>
                <w:sz w:val="18"/>
                <w:szCs w:val="16"/>
              </w:rPr>
              <w:t xml:space="preserve">Single </w:t>
            </w:r>
            <w:r w:rsidR="007A1F95" w:rsidRPr="006A74F8">
              <w:rPr>
                <w:rFonts w:cstheme="minorHAnsi"/>
                <w:sz w:val="18"/>
                <w:szCs w:val="16"/>
              </w:rPr>
              <w:t xml:space="preserve">mechanism to appoint </w:t>
            </w:r>
            <w:r w:rsidRPr="006A74F8">
              <w:rPr>
                <w:rFonts w:cstheme="minorHAnsi"/>
                <w:sz w:val="18"/>
                <w:szCs w:val="16"/>
              </w:rPr>
              <w:t>ATP</w:t>
            </w:r>
            <w:r w:rsidR="007A1F95" w:rsidRPr="006A74F8">
              <w:rPr>
                <w:rFonts w:cstheme="minorHAnsi"/>
                <w:sz w:val="18"/>
                <w:szCs w:val="16"/>
              </w:rPr>
              <w:t>s</w:t>
            </w:r>
            <w:r w:rsidRPr="006A74F8">
              <w:rPr>
                <w:rFonts w:cstheme="minorHAnsi"/>
                <w:sz w:val="18"/>
                <w:szCs w:val="16"/>
              </w:rPr>
              <w:t xml:space="preserve"> with detail of </w:t>
            </w:r>
            <w:r w:rsidR="007A1F95" w:rsidRPr="006A74F8">
              <w:rPr>
                <w:rFonts w:cstheme="minorHAnsi"/>
                <w:sz w:val="18"/>
                <w:szCs w:val="16"/>
              </w:rPr>
              <w:t>function</w:t>
            </w:r>
            <w:r w:rsidRPr="006A74F8">
              <w:rPr>
                <w:rFonts w:cstheme="minorHAnsi"/>
                <w:sz w:val="18"/>
                <w:szCs w:val="16"/>
              </w:rPr>
              <w:t xml:space="preserve"> specified in </w:t>
            </w:r>
            <w:r w:rsidR="007A1F95" w:rsidRPr="006A74F8">
              <w:rPr>
                <w:rFonts w:cstheme="minorHAnsi"/>
                <w:sz w:val="18"/>
                <w:szCs w:val="16"/>
              </w:rPr>
              <w:t>the regulations (will align with functions for current ATP types)</w:t>
            </w:r>
            <w:r w:rsidRPr="006A74F8">
              <w:rPr>
                <w:rFonts w:cstheme="minorHAnsi"/>
                <w:sz w:val="18"/>
                <w:szCs w:val="16"/>
              </w:rPr>
              <w:t xml:space="preserve">. </w:t>
            </w:r>
            <w:r w:rsidR="00136186" w:rsidRPr="006A74F8">
              <w:rPr>
                <w:rFonts w:cstheme="minorHAnsi"/>
                <w:sz w:val="18"/>
                <w:szCs w:val="16"/>
              </w:rPr>
              <w:t>Future flexibility to appoint ATPs to perform new types of functions.</w:t>
            </w:r>
          </w:p>
          <w:p w:rsidR="007269BB" w:rsidRPr="006A74F8" w:rsidRDefault="007269BB" w:rsidP="00717E90">
            <w:pPr>
              <w:spacing w:afterLines="50" w:after="120"/>
              <w:rPr>
                <w:rFonts w:cstheme="minorHAnsi"/>
                <w:sz w:val="18"/>
                <w:szCs w:val="16"/>
              </w:rPr>
            </w:pPr>
            <w:r w:rsidRPr="006A74F8">
              <w:rPr>
                <w:rFonts w:cstheme="minorHAnsi"/>
                <w:sz w:val="18"/>
                <w:szCs w:val="16"/>
              </w:rPr>
              <w:t>Servicing Licensee subclasses streamlined and based on competency categories and test method.</w:t>
            </w:r>
          </w:p>
          <w:p w:rsidR="00717E90" w:rsidRPr="006A74F8" w:rsidRDefault="00717E90" w:rsidP="00717E90">
            <w:pPr>
              <w:spacing w:afterLines="50" w:after="120"/>
              <w:rPr>
                <w:rFonts w:cstheme="minorHAnsi"/>
                <w:sz w:val="18"/>
                <w:szCs w:val="16"/>
              </w:rPr>
            </w:pPr>
            <w:r w:rsidRPr="006A74F8">
              <w:rPr>
                <w:rFonts w:cstheme="minorHAnsi"/>
                <w:sz w:val="18"/>
                <w:szCs w:val="16"/>
              </w:rPr>
              <w:t>Provision to enable the use of general licences for certain measurement functions and activities</w:t>
            </w:r>
            <w:r w:rsidR="007A1F95" w:rsidRPr="006A74F8">
              <w:rPr>
                <w:rFonts w:cstheme="minorHAnsi"/>
                <w:sz w:val="18"/>
                <w:szCs w:val="16"/>
              </w:rPr>
              <w:t xml:space="preserve"> in future</w:t>
            </w:r>
            <w:r w:rsidRPr="006A74F8">
              <w:rPr>
                <w:rFonts w:cstheme="minorHAnsi"/>
                <w:sz w:val="18"/>
                <w:szCs w:val="16"/>
              </w:rPr>
              <w:t>.</w:t>
            </w:r>
          </w:p>
        </w:tc>
        <w:tc>
          <w:tcPr>
            <w:tcW w:w="2551" w:type="dxa"/>
            <w:tcBorders>
              <w:top w:val="single" w:sz="4" w:space="0" w:color="auto"/>
              <w:left w:val="single" w:sz="4" w:space="0" w:color="auto"/>
              <w:bottom w:val="single" w:sz="4" w:space="0" w:color="auto"/>
              <w:right w:val="single" w:sz="4" w:space="0" w:color="auto"/>
            </w:tcBorders>
          </w:tcPr>
          <w:p w:rsidR="00BD67AC" w:rsidRPr="006A74F8" w:rsidRDefault="00D52F93" w:rsidP="00717E90">
            <w:pPr>
              <w:spacing w:afterLines="50" w:after="120"/>
              <w:rPr>
                <w:rFonts w:eastAsia="Calibri" w:cstheme="minorHAnsi"/>
                <w:sz w:val="18"/>
                <w:szCs w:val="16"/>
              </w:rPr>
            </w:pPr>
            <w:r w:rsidRPr="006A74F8">
              <w:rPr>
                <w:rFonts w:eastAsia="Calibri" w:cstheme="minorHAnsi"/>
                <w:sz w:val="18"/>
                <w:szCs w:val="16"/>
              </w:rPr>
              <w:t xml:space="preserve">Establishment of processes for appointment of new </w:t>
            </w:r>
            <w:r w:rsidR="00791C08" w:rsidRPr="006A74F8">
              <w:rPr>
                <w:rFonts w:eastAsia="Calibri" w:cstheme="minorHAnsi"/>
                <w:sz w:val="18"/>
                <w:szCs w:val="16"/>
              </w:rPr>
              <w:t>types of</w:t>
            </w:r>
            <w:r w:rsidRPr="006A74F8">
              <w:rPr>
                <w:rFonts w:eastAsia="Calibri" w:cstheme="minorHAnsi"/>
                <w:sz w:val="18"/>
                <w:szCs w:val="16"/>
              </w:rPr>
              <w:t xml:space="preserve"> ATP functions </w:t>
            </w:r>
          </w:p>
          <w:p w:rsidR="00717E90" w:rsidRPr="006A74F8" w:rsidRDefault="00717E90" w:rsidP="00717E90">
            <w:pPr>
              <w:spacing w:afterLines="50" w:after="120"/>
              <w:rPr>
                <w:rFonts w:eastAsia="Calibri" w:cstheme="minorHAnsi"/>
                <w:sz w:val="18"/>
                <w:szCs w:val="16"/>
              </w:rPr>
            </w:pPr>
            <w:r w:rsidRPr="006A74F8">
              <w:rPr>
                <w:rFonts w:eastAsia="Calibri" w:cstheme="minorHAnsi"/>
                <w:sz w:val="18"/>
                <w:szCs w:val="16"/>
              </w:rPr>
              <w:t xml:space="preserve">Establishment of processes, systems and supporting material for introduction of general licences. </w:t>
            </w:r>
          </w:p>
          <w:p w:rsidR="00717E90" w:rsidRPr="006A74F8" w:rsidRDefault="00717E90" w:rsidP="00717E90">
            <w:pPr>
              <w:spacing w:afterLines="50" w:after="120"/>
              <w:rPr>
                <w:rFonts w:cstheme="minorHAnsi"/>
                <w:sz w:val="18"/>
                <w:szCs w:val="16"/>
              </w:rPr>
            </w:pPr>
            <w:r w:rsidRPr="006A74F8">
              <w:rPr>
                <w:rFonts w:eastAsia="Calibri" w:cstheme="minorHAnsi"/>
                <w:sz w:val="18"/>
                <w:szCs w:val="16"/>
              </w:rPr>
              <w:t>Establishment of processes and systems enabling additional reporting requirements for UMVs and LMAs.</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rPr>
                <w:rFonts w:eastAsiaTheme="minorEastAsia" w:cstheme="minorHAnsi"/>
                <w:sz w:val="18"/>
                <w:szCs w:val="16"/>
              </w:rPr>
            </w:pPr>
            <w:r w:rsidRPr="006A74F8">
              <w:rPr>
                <w:rFonts w:cstheme="minorHAnsi"/>
                <w:sz w:val="18"/>
                <w:szCs w:val="16"/>
              </w:rPr>
              <w:t>As in option 2.</w:t>
            </w:r>
          </w:p>
          <w:p w:rsidR="00717E90" w:rsidRPr="006A74F8" w:rsidRDefault="00717E90" w:rsidP="00717E90">
            <w:pPr>
              <w:spacing w:afterLines="50" w:after="120"/>
              <w:ind w:left="720" w:hanging="210"/>
              <w:rPr>
                <w:rFonts w:cstheme="minorHAnsi"/>
                <w:sz w:val="18"/>
                <w:szCs w:val="16"/>
              </w:rPr>
            </w:pPr>
          </w:p>
        </w:tc>
        <w:tc>
          <w:tcPr>
            <w:tcW w:w="2380"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eastAsiaTheme="minorEastAsia" w:cstheme="minorHAnsi"/>
                <w:sz w:val="18"/>
                <w:szCs w:val="16"/>
              </w:rPr>
            </w:pPr>
            <w:r w:rsidRPr="006A74F8">
              <w:rPr>
                <w:rFonts w:cstheme="minorHAnsi"/>
                <w:sz w:val="18"/>
                <w:szCs w:val="16"/>
              </w:rPr>
              <w:t>As in option 2.</w:t>
            </w:r>
          </w:p>
          <w:p w:rsidR="00717E90" w:rsidRPr="006A74F8" w:rsidRDefault="00717E90" w:rsidP="00717E90">
            <w:pPr>
              <w:spacing w:afterLines="50" w:after="120"/>
              <w:rPr>
                <w:rFonts w:cstheme="minorHAnsi"/>
                <w:sz w:val="18"/>
                <w:szCs w:val="16"/>
              </w:rPr>
            </w:pPr>
            <w:r w:rsidRPr="006A74F8">
              <w:rPr>
                <w:rFonts w:eastAsia="Calibri" w:cstheme="minorHAnsi"/>
                <w:sz w:val="18"/>
                <w:szCs w:val="16"/>
              </w:rPr>
              <w:t>Determination and review of the extent of the ability of ATPs to provide measurement services more broadly.</w:t>
            </w:r>
          </w:p>
        </w:tc>
      </w:tr>
      <w:tr w:rsidR="00717E90" w:rsidRPr="006A74F8" w:rsidTr="00717E90">
        <w:trPr>
          <w:trHeight w:val="1858"/>
        </w:trPr>
        <w:tc>
          <w:tcPr>
            <w:tcW w:w="2227" w:type="dxa"/>
            <w:tcBorders>
              <w:top w:val="single" w:sz="4" w:space="0" w:color="auto"/>
              <w:left w:val="single" w:sz="4" w:space="0" w:color="auto"/>
              <w:bottom w:val="single" w:sz="4" w:space="0" w:color="auto"/>
              <w:right w:val="single" w:sz="4" w:space="0" w:color="auto"/>
            </w:tcBorders>
            <w:shd w:val="clear" w:color="auto" w:fill="BEBFC1" w:themeFill="accent1" w:themeFillTint="99"/>
          </w:tcPr>
          <w:p w:rsidR="00717E90" w:rsidRPr="006A74F8" w:rsidRDefault="00717E90" w:rsidP="00717E90">
            <w:pPr>
              <w:ind w:left="720"/>
              <w:rPr>
                <w:b/>
              </w:rPr>
            </w:pPr>
            <w:r w:rsidRPr="006A74F8">
              <w:rPr>
                <w:b/>
              </w:rPr>
              <w:t>Compliance and Enforcement</w:t>
            </w:r>
          </w:p>
        </w:tc>
        <w:tc>
          <w:tcPr>
            <w:tcW w:w="3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ind w:right="-9"/>
              <w:rPr>
                <w:rFonts w:eastAsiaTheme="minorEastAsia" w:cstheme="minorHAnsi"/>
                <w:sz w:val="18"/>
                <w:szCs w:val="16"/>
              </w:rPr>
            </w:pPr>
            <w:r w:rsidRPr="006A74F8">
              <w:rPr>
                <w:rFonts w:eastAsia="Calibri" w:cstheme="minorHAnsi"/>
                <w:sz w:val="18"/>
                <w:szCs w:val="16"/>
              </w:rPr>
              <w:t xml:space="preserve">Contemporary and flexible compliance and enforcement options in addition to </w:t>
            </w:r>
            <w:r w:rsidRPr="006A74F8">
              <w:rPr>
                <w:rFonts w:eastAsiaTheme="minorEastAsia" w:cstheme="minorHAnsi"/>
                <w:sz w:val="18"/>
                <w:szCs w:val="16"/>
              </w:rPr>
              <w:t>existing</w:t>
            </w:r>
            <w:r w:rsidRPr="006A74F8">
              <w:rPr>
                <w:rFonts w:eastAsia="Calibri" w:cstheme="minorHAnsi"/>
                <w:sz w:val="18"/>
                <w:szCs w:val="16"/>
              </w:rPr>
              <w:t xml:space="preserve"> arrangements.</w:t>
            </w:r>
          </w:p>
          <w:p w:rsidR="00717E90" w:rsidRPr="006A74F8" w:rsidRDefault="00717E90" w:rsidP="00717E90">
            <w:pPr>
              <w:spacing w:afterLines="50" w:after="120"/>
              <w:ind w:right="-9"/>
              <w:rPr>
                <w:rFonts w:cstheme="minorHAnsi"/>
                <w:sz w:val="18"/>
                <w:szCs w:val="16"/>
              </w:rPr>
            </w:pPr>
            <w:r w:rsidRPr="006A74F8">
              <w:rPr>
                <w:rFonts w:eastAsia="Calibri" w:cstheme="minorHAnsi"/>
                <w:sz w:val="18"/>
                <w:szCs w:val="16"/>
              </w:rPr>
              <w:t>Retention of current inspector’s powers or adoption of standardised powers.</w:t>
            </w:r>
          </w:p>
        </w:tc>
        <w:tc>
          <w:tcPr>
            <w:tcW w:w="2262"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cstheme="minorHAnsi"/>
                <w:sz w:val="18"/>
                <w:szCs w:val="16"/>
              </w:rPr>
            </w:pPr>
            <w:r w:rsidRPr="006A74F8">
              <w:rPr>
                <w:rFonts w:cstheme="minorHAnsi"/>
                <w:sz w:val="18"/>
                <w:szCs w:val="16"/>
              </w:rPr>
              <w:t>None.</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rPr>
                <w:rFonts w:eastAsiaTheme="minorEastAsia" w:cstheme="minorHAnsi"/>
                <w:sz w:val="18"/>
                <w:szCs w:val="16"/>
              </w:rPr>
            </w:pPr>
            <w:r w:rsidRPr="006A74F8">
              <w:rPr>
                <w:rFonts w:eastAsia="Calibri" w:cstheme="minorHAnsi"/>
                <w:sz w:val="18"/>
                <w:szCs w:val="16"/>
              </w:rPr>
              <w:t>As in option 1.</w:t>
            </w:r>
          </w:p>
          <w:p w:rsidR="00717E90" w:rsidRPr="006A74F8" w:rsidRDefault="00717E90" w:rsidP="00717E90">
            <w:pPr>
              <w:spacing w:afterLines="50" w:after="120"/>
              <w:rPr>
                <w:rFonts w:eastAsia="Calibri" w:cstheme="minorHAnsi"/>
                <w:sz w:val="18"/>
                <w:szCs w:val="16"/>
              </w:rPr>
            </w:pPr>
            <w:r w:rsidRPr="006A74F8">
              <w:rPr>
                <w:rFonts w:eastAsia="Calibri" w:cstheme="minorHAnsi"/>
                <w:sz w:val="18"/>
                <w:szCs w:val="16"/>
              </w:rPr>
              <w:t xml:space="preserve">Mechanisms to accommodate enforceable </w:t>
            </w:r>
            <w:r w:rsidR="008828D0" w:rsidRPr="006A74F8">
              <w:rPr>
                <w:rFonts w:eastAsia="Calibri" w:cstheme="minorHAnsi"/>
                <w:sz w:val="18"/>
                <w:szCs w:val="16"/>
              </w:rPr>
              <w:t>i</w:t>
            </w:r>
            <w:r w:rsidRPr="006A74F8">
              <w:rPr>
                <w:rFonts w:eastAsia="Calibri" w:cstheme="minorHAnsi"/>
                <w:sz w:val="18"/>
                <w:szCs w:val="16"/>
              </w:rPr>
              <w:t xml:space="preserve">ndustry </w:t>
            </w:r>
            <w:r w:rsidR="008828D0" w:rsidRPr="006A74F8">
              <w:rPr>
                <w:rFonts w:eastAsia="Calibri" w:cstheme="minorHAnsi"/>
                <w:sz w:val="18"/>
                <w:szCs w:val="16"/>
              </w:rPr>
              <w:t>c</w:t>
            </w:r>
            <w:r w:rsidRPr="006A74F8">
              <w:rPr>
                <w:rFonts w:eastAsia="Calibri" w:cstheme="minorHAnsi"/>
                <w:sz w:val="18"/>
                <w:szCs w:val="16"/>
              </w:rPr>
              <w:t xml:space="preserve">odes of </w:t>
            </w:r>
            <w:r w:rsidR="008828D0" w:rsidRPr="006A74F8">
              <w:rPr>
                <w:rFonts w:eastAsia="Calibri" w:cstheme="minorHAnsi"/>
                <w:sz w:val="18"/>
                <w:szCs w:val="16"/>
              </w:rPr>
              <w:t>c</w:t>
            </w:r>
            <w:r w:rsidRPr="006A74F8">
              <w:rPr>
                <w:rFonts w:eastAsia="Calibri" w:cstheme="minorHAnsi"/>
                <w:sz w:val="18"/>
                <w:szCs w:val="16"/>
              </w:rPr>
              <w:t xml:space="preserve">onduct. </w:t>
            </w:r>
          </w:p>
          <w:p w:rsidR="00717E90" w:rsidRPr="006A74F8" w:rsidRDefault="00717E90" w:rsidP="00717E90">
            <w:pPr>
              <w:spacing w:afterLines="50" w:after="120"/>
              <w:rPr>
                <w:rFonts w:cstheme="minorHAnsi"/>
                <w:sz w:val="18"/>
                <w:szCs w:val="16"/>
              </w:rPr>
            </w:pPr>
            <w:r w:rsidRPr="006A74F8">
              <w:rPr>
                <w:rFonts w:cstheme="minorHAnsi"/>
                <w:sz w:val="18"/>
                <w:szCs w:val="16"/>
              </w:rPr>
              <w:t>Ability</w:t>
            </w:r>
            <w:r w:rsidRPr="006A74F8">
              <w:rPr>
                <w:rFonts w:eastAsia="Calibri" w:cstheme="minorHAnsi"/>
                <w:sz w:val="18"/>
                <w:szCs w:val="16"/>
              </w:rPr>
              <w:t xml:space="preserve"> to issue recalls on measuring instruments and packaged products</w:t>
            </w:r>
          </w:p>
        </w:tc>
        <w:tc>
          <w:tcPr>
            <w:tcW w:w="2551"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eastAsiaTheme="minorEastAsia" w:cstheme="minorHAnsi"/>
                <w:sz w:val="18"/>
                <w:szCs w:val="16"/>
              </w:rPr>
            </w:pPr>
            <w:r w:rsidRPr="006A74F8">
              <w:rPr>
                <w:rFonts w:eastAsia="Calibri" w:cstheme="minorHAnsi"/>
                <w:sz w:val="18"/>
                <w:szCs w:val="16"/>
              </w:rPr>
              <w:t xml:space="preserve">Development of </w:t>
            </w:r>
            <w:r w:rsidR="00447AB3" w:rsidRPr="006A74F8">
              <w:rPr>
                <w:rFonts w:eastAsia="Calibri" w:cstheme="minorHAnsi"/>
                <w:sz w:val="18"/>
                <w:szCs w:val="16"/>
              </w:rPr>
              <w:t>i</w:t>
            </w:r>
            <w:r w:rsidRPr="006A74F8">
              <w:rPr>
                <w:rFonts w:eastAsia="Calibri" w:cstheme="minorHAnsi"/>
                <w:sz w:val="18"/>
                <w:szCs w:val="16"/>
              </w:rPr>
              <w:t>ndustry-based solutions, such as enforceable codes of conduct.</w:t>
            </w:r>
          </w:p>
          <w:p w:rsidR="00717E90" w:rsidRPr="006A74F8" w:rsidRDefault="00717E90" w:rsidP="00717E90">
            <w:pPr>
              <w:spacing w:afterLines="50" w:after="120"/>
              <w:ind w:left="720" w:hanging="210"/>
              <w:rPr>
                <w:rFonts w:cstheme="minorHAnsi"/>
                <w:sz w:val="18"/>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7E90" w:rsidRPr="006A74F8" w:rsidRDefault="00717E90" w:rsidP="00717E90">
            <w:pPr>
              <w:spacing w:afterLines="50" w:after="120"/>
              <w:rPr>
                <w:rFonts w:eastAsiaTheme="minorEastAsia" w:cstheme="minorHAnsi"/>
                <w:sz w:val="18"/>
                <w:szCs w:val="16"/>
              </w:rPr>
            </w:pPr>
            <w:r w:rsidRPr="006A74F8">
              <w:rPr>
                <w:rFonts w:cstheme="minorHAnsi"/>
                <w:sz w:val="18"/>
                <w:szCs w:val="16"/>
              </w:rPr>
              <w:t>As in option 2.</w:t>
            </w:r>
            <w:r w:rsidRPr="006A74F8">
              <w:rPr>
                <w:rFonts w:eastAsia="Calibri" w:cstheme="minorHAnsi"/>
                <w:sz w:val="18"/>
                <w:szCs w:val="16"/>
              </w:rPr>
              <w:t xml:space="preserve"> </w:t>
            </w:r>
          </w:p>
          <w:p w:rsidR="00717E90" w:rsidRPr="006A74F8" w:rsidRDefault="00717E90" w:rsidP="004B3F4B">
            <w:pPr>
              <w:spacing w:afterLines="50" w:after="120"/>
              <w:rPr>
                <w:rFonts w:cstheme="minorHAnsi"/>
                <w:sz w:val="18"/>
                <w:szCs w:val="16"/>
              </w:rPr>
            </w:pPr>
            <w:r w:rsidRPr="006A74F8">
              <w:rPr>
                <w:rFonts w:eastAsia="Calibri" w:cstheme="minorHAnsi"/>
                <w:sz w:val="18"/>
                <w:szCs w:val="16"/>
              </w:rPr>
              <w:t xml:space="preserve">Ability </w:t>
            </w:r>
            <w:r w:rsidR="004B3F4B" w:rsidRPr="006A74F8">
              <w:rPr>
                <w:rFonts w:eastAsia="Calibri" w:cstheme="minorHAnsi"/>
                <w:sz w:val="18"/>
                <w:szCs w:val="16"/>
              </w:rPr>
              <w:t xml:space="preserve">for NMI to intervene in the </w:t>
            </w:r>
            <w:r w:rsidRPr="006A74F8">
              <w:rPr>
                <w:rFonts w:eastAsia="Calibri" w:cstheme="minorHAnsi"/>
                <w:sz w:val="18"/>
                <w:szCs w:val="16"/>
              </w:rPr>
              <w:t xml:space="preserve">regulation of measurement-based activities outside the </w:t>
            </w:r>
            <w:r w:rsidRPr="006A74F8">
              <w:rPr>
                <w:rFonts w:cstheme="minorHAnsi"/>
                <w:sz w:val="18"/>
                <w:szCs w:val="16"/>
              </w:rPr>
              <w:t>trade context,</w:t>
            </w:r>
            <w:r w:rsidRPr="006A74F8">
              <w:rPr>
                <w:rFonts w:eastAsia="Calibri" w:cstheme="minorHAnsi"/>
                <w:sz w:val="18"/>
                <w:szCs w:val="16"/>
              </w:rPr>
              <w:t xml:space="preserve"> where needed</w:t>
            </w:r>
            <w:r w:rsidRPr="006A74F8">
              <w:rPr>
                <w:rFonts w:cstheme="minorHAnsi"/>
                <w:sz w:val="18"/>
                <w:szCs w:val="16"/>
              </w:rPr>
              <w:t>.</w:t>
            </w:r>
            <w:r w:rsidRPr="006A74F8">
              <w:rPr>
                <w:rFonts w:eastAsia="Calibri" w:cstheme="minorHAnsi"/>
                <w:sz w:val="18"/>
                <w:szCs w:val="16"/>
              </w:rPr>
              <w:t xml:space="preserve"> </w:t>
            </w:r>
          </w:p>
        </w:tc>
        <w:tc>
          <w:tcPr>
            <w:tcW w:w="2380" w:type="dxa"/>
            <w:tcBorders>
              <w:top w:val="single" w:sz="4" w:space="0" w:color="auto"/>
              <w:left w:val="single" w:sz="4" w:space="0" w:color="auto"/>
              <w:bottom w:val="single" w:sz="4" w:space="0" w:color="auto"/>
              <w:right w:val="single" w:sz="4" w:space="0" w:color="auto"/>
            </w:tcBorders>
          </w:tcPr>
          <w:p w:rsidR="00717E90" w:rsidRPr="006A74F8" w:rsidRDefault="00717E90" w:rsidP="00717E90">
            <w:pPr>
              <w:spacing w:afterLines="50" w:after="120"/>
              <w:rPr>
                <w:rFonts w:eastAsiaTheme="minorEastAsia" w:cstheme="minorHAnsi"/>
                <w:sz w:val="18"/>
                <w:szCs w:val="16"/>
              </w:rPr>
            </w:pPr>
            <w:r w:rsidRPr="006A74F8">
              <w:rPr>
                <w:rFonts w:cstheme="minorHAnsi"/>
                <w:sz w:val="18"/>
                <w:szCs w:val="16"/>
              </w:rPr>
              <w:t>As in option 2.</w:t>
            </w:r>
          </w:p>
          <w:p w:rsidR="00717E90" w:rsidRPr="006A74F8" w:rsidRDefault="00717E90" w:rsidP="00717E90">
            <w:pPr>
              <w:spacing w:afterLines="50" w:after="120"/>
              <w:rPr>
                <w:rFonts w:eastAsiaTheme="minorEastAsia" w:cstheme="minorHAnsi"/>
                <w:sz w:val="18"/>
                <w:szCs w:val="16"/>
              </w:rPr>
            </w:pPr>
            <w:r w:rsidRPr="006A74F8">
              <w:rPr>
                <w:rFonts w:eastAsia="Calibri" w:cstheme="minorHAnsi"/>
                <w:sz w:val="18"/>
                <w:szCs w:val="16"/>
              </w:rPr>
              <w:t>Development of expectations and guidance to distinguish NMI’s specialist regulatory role for trade from its generalist role.</w:t>
            </w:r>
          </w:p>
        </w:tc>
      </w:tr>
    </w:tbl>
    <w:p w:rsidR="00717E90" w:rsidRPr="006A74F8" w:rsidRDefault="00717E90" w:rsidP="00717E90">
      <w:pPr>
        <w:sectPr w:rsidR="00717E90" w:rsidRPr="006A74F8" w:rsidSect="00EC61D8">
          <w:pgSz w:w="23814" w:h="16839" w:orient="landscape" w:code="8"/>
          <w:pgMar w:top="1440" w:right="1440" w:bottom="1440" w:left="1440" w:header="709" w:footer="0" w:gutter="0"/>
          <w:cols w:space="708"/>
          <w:docGrid w:linePitch="360"/>
        </w:sectPr>
      </w:pPr>
    </w:p>
    <w:p w:rsidR="000D1CF3" w:rsidRPr="006A74F8" w:rsidRDefault="000D1CF3" w:rsidP="00732824">
      <w:pPr>
        <w:pStyle w:val="Heading1"/>
      </w:pPr>
      <w:bookmarkStart w:id="2056" w:name="_Toc81919621"/>
      <w:bookmarkStart w:id="2057" w:name="_Toc81919895"/>
      <w:bookmarkStart w:id="2058" w:name="_Toc81921172"/>
      <w:bookmarkStart w:id="2059" w:name="_Toc81923737"/>
      <w:bookmarkStart w:id="2060" w:name="_Toc81923774"/>
      <w:bookmarkStart w:id="2061" w:name="_Toc81997311"/>
      <w:bookmarkStart w:id="2062" w:name="_Toc81998084"/>
      <w:bookmarkStart w:id="2063" w:name="_Toc82011848"/>
      <w:bookmarkStart w:id="2064" w:name="_Toc82512694"/>
      <w:bookmarkStart w:id="2065" w:name="_Toc82516162"/>
      <w:bookmarkStart w:id="2066" w:name="_Toc82519113"/>
      <w:bookmarkStart w:id="2067" w:name="_Toc82706651"/>
      <w:bookmarkStart w:id="2068" w:name="_Toc82790540"/>
      <w:bookmarkStart w:id="2069" w:name="_Toc82791059"/>
      <w:bookmarkStart w:id="2070" w:name="_Toc82792370"/>
      <w:bookmarkStart w:id="2071" w:name="_Toc83290752"/>
      <w:bookmarkStart w:id="2072" w:name="_Toc83292761"/>
      <w:bookmarkStart w:id="2073" w:name="_Toc83293532"/>
      <w:r w:rsidRPr="006A74F8">
        <w:lastRenderedPageBreak/>
        <w:t>A</w:t>
      </w:r>
      <w:r w:rsidR="00C60FFD" w:rsidRPr="006A74F8">
        <w:t xml:space="preserve">ppendix </w:t>
      </w:r>
      <w:r w:rsidR="00266F0F" w:rsidRPr="006A74F8">
        <w:t>4</w:t>
      </w:r>
      <w:r w:rsidRPr="006A74F8">
        <w:t xml:space="preserve">: </w:t>
      </w:r>
      <w:r w:rsidR="0083664B" w:rsidRPr="006A74F8">
        <w:t xml:space="preserve">Impacts on </w:t>
      </w:r>
      <w:r w:rsidR="0043533E" w:rsidRPr="006A74F8">
        <w:t>c</w:t>
      </w:r>
      <w:r w:rsidRPr="006A74F8">
        <w:t>onsumers</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rsidR="000D1CF3" w:rsidRPr="006A74F8" w:rsidRDefault="00FE4DE1" w:rsidP="00732824">
      <w:pPr>
        <w:pStyle w:val="Heading2"/>
      </w:pPr>
      <w:bookmarkStart w:id="2074" w:name="_Toc64895652"/>
      <w:bookmarkStart w:id="2075" w:name="_Toc64900878"/>
      <w:bookmarkStart w:id="2076" w:name="_Toc64903125"/>
      <w:bookmarkStart w:id="2077" w:name="_Toc64904083"/>
      <w:bookmarkStart w:id="2078" w:name="_Toc64904286"/>
      <w:bookmarkStart w:id="2079" w:name="_Toc64904748"/>
      <w:bookmarkStart w:id="2080" w:name="_Toc64905262"/>
      <w:bookmarkStart w:id="2081" w:name="_Toc64964020"/>
      <w:bookmarkStart w:id="2082" w:name="_Toc64974637"/>
      <w:bookmarkStart w:id="2083" w:name="_Toc64976319"/>
      <w:bookmarkStart w:id="2084" w:name="_Toc65149699"/>
      <w:bookmarkStart w:id="2085" w:name="_Toc67390607"/>
      <w:r>
        <w:t xml:space="preserve"> </w:t>
      </w:r>
      <w:r w:rsidR="000D1CF3" w:rsidRPr="006A74F8">
        <w:t>Key impacts on</w:t>
      </w:r>
      <w:r w:rsidR="0043533E" w:rsidRPr="006A74F8">
        <w:t xml:space="preserve"> c</w:t>
      </w:r>
      <w:r w:rsidR="000D1CF3" w:rsidRPr="006A74F8">
        <w:t>onsumers</w:t>
      </w:r>
      <w:bookmarkEnd w:id="2074"/>
      <w:bookmarkEnd w:id="2075"/>
      <w:bookmarkEnd w:id="2076"/>
      <w:bookmarkEnd w:id="2077"/>
      <w:bookmarkEnd w:id="2078"/>
      <w:bookmarkEnd w:id="2079"/>
      <w:bookmarkEnd w:id="2080"/>
      <w:bookmarkEnd w:id="2081"/>
      <w:bookmarkEnd w:id="2082"/>
      <w:bookmarkEnd w:id="2083"/>
      <w:bookmarkEnd w:id="2084"/>
      <w:bookmarkEnd w:id="2085"/>
    </w:p>
    <w:p w:rsidR="003B5BE3" w:rsidRPr="006A74F8" w:rsidRDefault="003B5BE3" w:rsidP="003B5BE3">
      <w:pPr>
        <w:pStyle w:val="Caption"/>
        <w:keepNext/>
      </w:pPr>
      <w:r w:rsidRPr="006A74F8">
        <w:t>Table A</w:t>
      </w:r>
      <w:r w:rsidR="0091548A" w:rsidRPr="006A74F8">
        <w:t>4</w:t>
      </w:r>
      <w:r w:rsidRPr="006A74F8">
        <w:t xml:space="preserve">- </w:t>
      </w:r>
      <w:r w:rsidR="009853E6" w:rsidRPr="006A74F8">
        <w:rPr>
          <w:noProof/>
        </w:rPr>
        <w:fldChar w:fldCharType="begin"/>
      </w:r>
      <w:r w:rsidR="009853E6" w:rsidRPr="006A74F8">
        <w:rPr>
          <w:noProof/>
        </w:rPr>
        <w:instrText xml:space="preserve"> SEQ Table_A5- \* ARABIC </w:instrText>
      </w:r>
      <w:r w:rsidR="009853E6" w:rsidRPr="006A74F8">
        <w:rPr>
          <w:noProof/>
        </w:rPr>
        <w:fldChar w:fldCharType="separate"/>
      </w:r>
      <w:r w:rsidR="0033017F">
        <w:rPr>
          <w:noProof/>
        </w:rPr>
        <w:t>1</w:t>
      </w:r>
      <w:r w:rsidR="009853E6" w:rsidRPr="006A74F8">
        <w:rPr>
          <w:noProof/>
        </w:rPr>
        <w:fldChar w:fldCharType="end"/>
      </w:r>
      <w:r w:rsidRPr="006A74F8">
        <w:t xml:space="preserve">: </w:t>
      </w:r>
      <w:r w:rsidR="004B3F4B" w:rsidRPr="006A74F8">
        <w:t>Summary of k</w:t>
      </w:r>
      <w:r w:rsidRPr="006A74F8">
        <w:t>ey impacts on consumers</w:t>
      </w:r>
    </w:p>
    <w:tbl>
      <w:tblPr>
        <w:tblStyle w:val="PlainTable2"/>
        <w:tblW w:w="8875" w:type="dxa"/>
        <w:tblLook w:val="04A0" w:firstRow="1" w:lastRow="0" w:firstColumn="1" w:lastColumn="0" w:noHBand="0" w:noVBand="1"/>
        <w:tblCaption w:val="Table A5- 1: Key impacts on consumers"/>
        <w:tblDescription w:val="Summary of the key impacts on consumers.                                                                     Consumer confidence. Option 1 rated +1, slight beneficial. Options 2 and 3 rated +2 moderate beneficial. Greater coverage of trade measurement provisions: Expansion of coverage for false or misleading measurement to include purchase of goods under option 1, and services under options 2 and 3. Includes mechanism to cover non-trade measurement applications under option 3.                                                                                                                          Easy to compare products. Options 1-3 rated 0, neutral. Products able to be sold by different measurements: Ability to compare value of like products where sold by different measurements (e.g. number vs. weight) is expected to be similar in practice to the status quo for all options. Some flexibility is provided under option 2 and 3 for industry, but the quantity provided must still provide adequate information to the purchaser. Risk of misuse is further mitigated by NMI being able to specify a particular unit.                                            Getting what you pay for. Options 1-3 rated +2 moderate beneficial. Compliance and enforcement: Ability for government to achieve fairer and more effective compliance outcomes through the use of tailored and strengthened compliance and enforcement tools.                                                          Time burden. Option 1 rated 0, neutral. Options 2 and 3 rated -1, slight adverse. Packaging: Potential time burden to locate the measurement mark if not presented on the front of packaged products. Impacts limited where Unit Pricing Code in effect.                                                                                                           Average. Options 1-3 rated +0.75, slight benefit. All reform options will provide a slight benefit to this stakeholder group. Options 2 and 3 provide greater coverage of measurement transactions. Adverse impacts of changes to labelling requirements are increased slightly under options 2 and 3, compared with option 1.                                                    "/>
      </w:tblPr>
      <w:tblGrid>
        <w:gridCol w:w="1797"/>
        <w:gridCol w:w="671"/>
        <w:gridCol w:w="671"/>
        <w:gridCol w:w="671"/>
        <w:gridCol w:w="5065"/>
      </w:tblGrid>
      <w:tr w:rsidR="007F6329" w:rsidRPr="006A74F8" w:rsidTr="007F632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12" w:space="0" w:color="auto"/>
            </w:tcBorders>
            <w:vAlign w:val="center"/>
          </w:tcPr>
          <w:p w:rsidR="007F6329" w:rsidRPr="006A74F8" w:rsidRDefault="007F6329" w:rsidP="007F6329">
            <w:pPr>
              <w:framePr w:hSpace="180" w:wrap="around" w:vAnchor="text" w:hAnchor="margin" w:y="27"/>
            </w:pPr>
            <w:r w:rsidRPr="006A74F8">
              <w:t>Impact</w:t>
            </w:r>
          </w:p>
        </w:tc>
        <w:tc>
          <w:tcPr>
            <w:tcW w:w="1899" w:type="dxa"/>
            <w:gridSpan w:val="3"/>
            <w:tcBorders>
              <w:top w:val="single" w:sz="12" w:space="0" w:color="auto"/>
              <w:bottom w:val="nil"/>
            </w:tcBorders>
            <w:vAlign w:val="center"/>
          </w:tcPr>
          <w:p w:rsidR="007F6329" w:rsidRPr="006A74F8" w:rsidRDefault="007F6329" w:rsidP="007F6329">
            <w:pPr>
              <w:framePr w:hSpace="180" w:wrap="around" w:vAnchor="text" w:hAnchor="margin" w:y="27"/>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61" w:type="dxa"/>
            <w:vMerge w:val="restart"/>
            <w:tcBorders>
              <w:top w:val="single" w:sz="12" w:space="0" w:color="auto"/>
            </w:tcBorders>
            <w:vAlign w:val="center"/>
          </w:tcPr>
          <w:p w:rsidR="007F6329" w:rsidRPr="006A74F8" w:rsidRDefault="007F6329" w:rsidP="007F6329">
            <w:pPr>
              <w:framePr w:hSpace="180" w:wrap="around" w:vAnchor="text" w:hAnchor="margin" w:y="27"/>
              <w:cnfStyle w:val="100000000000" w:firstRow="1" w:lastRow="0" w:firstColumn="0" w:lastColumn="0" w:oddVBand="0" w:evenVBand="0" w:oddHBand="0" w:evenHBand="0" w:firstRowFirstColumn="0" w:firstRowLastColumn="0" w:lastRowFirstColumn="0" w:lastRowLastColumn="0"/>
            </w:pPr>
            <w:r w:rsidRPr="006A74F8">
              <w:t>Explanation</w:t>
            </w:r>
          </w:p>
        </w:tc>
      </w:tr>
      <w:tr w:rsidR="007F6329" w:rsidRPr="006A74F8" w:rsidTr="007F632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15" w:type="dxa"/>
            <w:vMerge/>
            <w:tcBorders>
              <w:bottom w:val="double" w:sz="4" w:space="0" w:color="auto"/>
            </w:tcBorders>
          </w:tcPr>
          <w:p w:rsidR="007F6329" w:rsidRPr="006A74F8" w:rsidRDefault="007F6329" w:rsidP="007F6329">
            <w:pPr>
              <w:framePr w:hSpace="180" w:wrap="around" w:vAnchor="text" w:hAnchor="margin" w:y="27"/>
            </w:pPr>
          </w:p>
        </w:tc>
        <w:tc>
          <w:tcPr>
            <w:tcW w:w="633" w:type="dxa"/>
            <w:tcBorders>
              <w:top w:val="nil"/>
              <w:bottom w:val="double" w:sz="4" w:space="0" w:color="auto"/>
            </w:tcBorders>
          </w:tcPr>
          <w:p w:rsidR="007F6329" w:rsidRPr="006A74F8" w:rsidRDefault="007F6329" w:rsidP="007F6329">
            <w:pPr>
              <w:framePr w:hSpace="180" w:wrap="around" w:vAnchor="text" w:hAnchor="margin" w:y="27"/>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7F6329" w:rsidRPr="006A74F8" w:rsidRDefault="007F6329" w:rsidP="007F6329">
            <w:pPr>
              <w:framePr w:hSpace="180" w:wrap="around" w:vAnchor="text" w:hAnchor="margin" w:y="27"/>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7F6329" w:rsidRPr="006A74F8" w:rsidRDefault="007F6329" w:rsidP="007F6329">
            <w:pPr>
              <w:framePr w:hSpace="180" w:wrap="around" w:vAnchor="text" w:hAnchor="margin" w:y="27"/>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61" w:type="dxa"/>
            <w:vMerge/>
            <w:tcBorders>
              <w:bottom w:val="double" w:sz="4" w:space="0" w:color="auto"/>
            </w:tcBorders>
          </w:tcPr>
          <w:p w:rsidR="007F6329" w:rsidRPr="006A74F8" w:rsidRDefault="007F6329" w:rsidP="007F6329">
            <w:pPr>
              <w:framePr w:hSpace="180" w:wrap="around" w:vAnchor="text" w:hAnchor="margin" w:y="27"/>
              <w:cnfStyle w:val="100000000000" w:firstRow="1" w:lastRow="0" w:firstColumn="0" w:lastColumn="0" w:oddVBand="0" w:evenVBand="0" w:oddHBand="0" w:evenHBand="0" w:firstRowFirstColumn="0" w:firstRowLastColumn="0" w:lastRowFirstColumn="0" w:lastRowLastColumn="0"/>
            </w:pPr>
          </w:p>
        </w:tc>
      </w:tr>
      <w:tr w:rsidR="007F6329" w:rsidRPr="006A74F8" w:rsidTr="007F6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Borders>
              <w:top w:val="double" w:sz="4" w:space="0" w:color="auto"/>
            </w:tcBorders>
            <w:vAlign w:val="center"/>
          </w:tcPr>
          <w:p w:rsidR="007F6329" w:rsidRPr="006A74F8" w:rsidRDefault="007F6329" w:rsidP="007F6329">
            <w:pPr>
              <w:framePr w:hSpace="180" w:wrap="around" w:vAnchor="text" w:hAnchor="margin" w:y="27"/>
              <w:rPr>
                <w:rFonts w:ascii="Calibri" w:eastAsia="Calibri" w:hAnsi="Calibri"/>
                <w:b w:val="0"/>
                <w:sz w:val="20"/>
                <w:szCs w:val="20"/>
              </w:rPr>
            </w:pPr>
            <w:r w:rsidRPr="006A74F8">
              <w:rPr>
                <w:rFonts w:ascii="Calibri" w:eastAsia="Calibri" w:hAnsi="Calibri"/>
                <w:b w:val="0"/>
                <w:sz w:val="20"/>
                <w:szCs w:val="20"/>
              </w:rPr>
              <w:t>Consumer confidence</w:t>
            </w:r>
          </w:p>
        </w:tc>
        <w:tc>
          <w:tcPr>
            <w:tcW w:w="633" w:type="dxa"/>
            <w:tcBorders>
              <w:top w:val="double" w:sz="4" w:space="0" w:color="auto"/>
              <w:right w:val="single" w:sz="4" w:space="0" w:color="FFFFFF" w:themeColor="background1"/>
            </w:tcBorders>
            <w:shd w:val="clear" w:color="auto" w:fill="ACD7CA"/>
            <w:vAlign w:val="center"/>
          </w:tcPr>
          <w:p w:rsidR="007F6329" w:rsidRPr="006A74F8"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shd w:val="clear" w:color="auto" w:fill="ACD7CA"/>
              </w:rPr>
              <w:t>+1</w:t>
            </w:r>
          </w:p>
        </w:tc>
        <w:tc>
          <w:tcPr>
            <w:tcW w:w="633" w:type="dxa"/>
            <w:tcBorders>
              <w:top w:val="double" w:sz="4" w:space="0" w:color="auto"/>
              <w:left w:val="single" w:sz="4" w:space="0" w:color="FFFFFF" w:themeColor="background1"/>
              <w:right w:val="single" w:sz="4" w:space="0" w:color="FFFFFF" w:themeColor="background1"/>
            </w:tcBorders>
            <w:shd w:val="clear" w:color="auto" w:fill="398E98"/>
            <w:vAlign w:val="center"/>
          </w:tcPr>
          <w:p w:rsidR="007F6329" w:rsidRPr="006A74F8"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+2</w:t>
            </w:r>
          </w:p>
        </w:tc>
        <w:tc>
          <w:tcPr>
            <w:tcW w:w="633" w:type="dxa"/>
            <w:tcBorders>
              <w:top w:val="double" w:sz="4" w:space="0" w:color="auto"/>
              <w:left w:val="single" w:sz="4" w:space="0" w:color="FFFFFF" w:themeColor="background1"/>
            </w:tcBorders>
            <w:shd w:val="clear" w:color="auto" w:fill="398E98"/>
            <w:vAlign w:val="center"/>
          </w:tcPr>
          <w:p w:rsidR="007F6329" w:rsidRPr="006A74F8"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+2</w:t>
            </w:r>
          </w:p>
        </w:tc>
        <w:tc>
          <w:tcPr>
            <w:tcW w:w="5161" w:type="dxa"/>
            <w:tcBorders>
              <w:top w:val="double" w:sz="4" w:space="0" w:color="auto"/>
            </w:tcBorders>
            <w:vAlign w:val="center"/>
          </w:tcPr>
          <w:p w:rsidR="007F6329" w:rsidRPr="006A74F8" w:rsidRDefault="007F6329" w:rsidP="007F6329">
            <w:pPr>
              <w:framePr w:hSpace="180" w:wrap="around" w:vAnchor="text" w:hAnchor="margin" w:y="27"/>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6A74F8">
              <w:rPr>
                <w:rFonts w:ascii="Calibri" w:eastAsia="Calibri" w:hAnsi="Calibri"/>
                <w:b/>
                <w:sz w:val="20"/>
                <w:szCs w:val="20"/>
              </w:rPr>
              <w:t xml:space="preserve">Greater coverage of trade measurement provisions: </w:t>
            </w:r>
            <w:r w:rsidRPr="006A74F8">
              <w:rPr>
                <w:rFonts w:ascii="Calibri" w:eastAsia="Calibri" w:hAnsi="Calibri"/>
                <w:sz w:val="20"/>
                <w:szCs w:val="20"/>
              </w:rPr>
              <w:t>Expansion of coverage for false or misleading measurement to include purchase of goods under option 1, and services under options 2 and 3. Includes mechanism to cover non-trade measurement applications under option 3.</w:t>
            </w:r>
          </w:p>
        </w:tc>
      </w:tr>
      <w:tr w:rsidR="007F6329" w:rsidRPr="006A74F8" w:rsidTr="007F6329">
        <w:tc>
          <w:tcPr>
            <w:cnfStyle w:val="001000000000" w:firstRow="0" w:lastRow="0" w:firstColumn="1" w:lastColumn="0" w:oddVBand="0" w:evenVBand="0" w:oddHBand="0" w:evenHBand="0" w:firstRowFirstColumn="0" w:firstRowLastColumn="0" w:lastRowFirstColumn="0" w:lastRowLastColumn="0"/>
            <w:tcW w:w="1815" w:type="dxa"/>
            <w:vAlign w:val="center"/>
          </w:tcPr>
          <w:p w:rsidR="007F6329" w:rsidRPr="006A74F8" w:rsidRDefault="007F6329" w:rsidP="007F6329">
            <w:pPr>
              <w:framePr w:hSpace="180" w:wrap="around" w:vAnchor="text" w:hAnchor="margin" w:y="27"/>
              <w:rPr>
                <w:rFonts w:ascii="Calibri" w:eastAsia="Calibri" w:hAnsi="Calibri"/>
                <w:b w:val="0"/>
                <w:sz w:val="20"/>
                <w:szCs w:val="20"/>
              </w:rPr>
            </w:pPr>
            <w:r w:rsidRPr="006A74F8">
              <w:rPr>
                <w:rFonts w:ascii="Calibri" w:eastAsia="Calibri" w:hAnsi="Calibri"/>
                <w:b w:val="0"/>
                <w:sz w:val="20"/>
                <w:szCs w:val="20"/>
              </w:rPr>
              <w:t xml:space="preserve">Easy to compare </w:t>
            </w:r>
          </w:p>
          <w:p w:rsidR="007F6329" w:rsidRPr="006A74F8" w:rsidRDefault="007F6329" w:rsidP="007F6329">
            <w:pPr>
              <w:framePr w:hSpace="180" w:wrap="around" w:vAnchor="text" w:hAnchor="margin" w:y="27"/>
              <w:rPr>
                <w:rFonts w:ascii="Calibri" w:eastAsia="Calibri" w:hAnsi="Calibri"/>
                <w:b w:val="0"/>
                <w:sz w:val="20"/>
                <w:szCs w:val="20"/>
              </w:rPr>
            </w:pPr>
            <w:r w:rsidRPr="006A74F8">
              <w:rPr>
                <w:rFonts w:ascii="Calibri" w:eastAsia="Calibri" w:hAnsi="Calibri"/>
                <w:b w:val="0"/>
                <w:sz w:val="20"/>
                <w:szCs w:val="20"/>
              </w:rPr>
              <w:t>products</w:t>
            </w:r>
          </w:p>
        </w:tc>
        <w:tc>
          <w:tcPr>
            <w:tcW w:w="633" w:type="dxa"/>
            <w:tcBorders>
              <w:right w:val="single" w:sz="4" w:space="0" w:color="FFFFFF" w:themeColor="background1"/>
            </w:tcBorders>
            <w:shd w:val="clear" w:color="auto" w:fill="FFFFC5"/>
            <w:vAlign w:val="center"/>
          </w:tcPr>
          <w:p w:rsidR="007F6329" w:rsidRPr="006A74F8"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0</w:t>
            </w:r>
          </w:p>
        </w:tc>
        <w:tc>
          <w:tcPr>
            <w:tcW w:w="633" w:type="dxa"/>
            <w:tcBorders>
              <w:left w:val="single" w:sz="4" w:space="0" w:color="FFFFFF" w:themeColor="background1"/>
              <w:right w:val="single" w:sz="4" w:space="0" w:color="FFFFFF" w:themeColor="background1"/>
            </w:tcBorders>
            <w:shd w:val="clear" w:color="auto" w:fill="FFFFC5"/>
            <w:vAlign w:val="center"/>
          </w:tcPr>
          <w:p w:rsidR="007F6329" w:rsidRPr="006A74F8"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0</w:t>
            </w:r>
          </w:p>
        </w:tc>
        <w:tc>
          <w:tcPr>
            <w:tcW w:w="633" w:type="dxa"/>
            <w:tcBorders>
              <w:left w:val="single" w:sz="4" w:space="0" w:color="FFFFFF" w:themeColor="background1"/>
            </w:tcBorders>
            <w:shd w:val="clear" w:color="auto" w:fill="FFFFC5"/>
            <w:vAlign w:val="center"/>
          </w:tcPr>
          <w:p w:rsidR="007F6329" w:rsidRPr="006A74F8"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0</w:t>
            </w:r>
          </w:p>
        </w:tc>
        <w:tc>
          <w:tcPr>
            <w:tcW w:w="5161" w:type="dxa"/>
            <w:vAlign w:val="center"/>
          </w:tcPr>
          <w:p w:rsidR="007F6329" w:rsidRPr="006A74F8" w:rsidRDefault="007F6329" w:rsidP="007F6329">
            <w:pPr>
              <w:framePr w:hSpace="180" w:wrap="around" w:vAnchor="text" w:hAnchor="margin" w:y="27"/>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6A74F8">
              <w:rPr>
                <w:rFonts w:ascii="Calibri" w:eastAsia="Calibri" w:hAnsi="Calibri"/>
                <w:b/>
                <w:sz w:val="20"/>
                <w:szCs w:val="20"/>
              </w:rPr>
              <w:t>Products able to be sold by different measurements:</w:t>
            </w:r>
            <w:r w:rsidRPr="006A74F8">
              <w:rPr>
                <w:rFonts w:ascii="Calibri" w:eastAsia="Calibri" w:hAnsi="Calibri"/>
                <w:sz w:val="20"/>
                <w:szCs w:val="20"/>
              </w:rPr>
              <w:t xml:space="preserve"> Ability to compare value of like products where sold by different measurements (e.g. number vs. weight) is expected to be similar in practice to the status quo for all options. Some flexibility is provided under option 2 and 3 for industry,</w:t>
            </w:r>
            <w:r w:rsidRPr="006A74F8">
              <w:rPr>
                <w:rFonts w:ascii="Calibri" w:eastAsia="Calibri" w:hAnsi="Calibri"/>
                <w:b/>
                <w:sz w:val="20"/>
                <w:szCs w:val="20"/>
              </w:rPr>
              <w:t xml:space="preserve"> </w:t>
            </w:r>
            <w:r w:rsidRPr="006A74F8">
              <w:rPr>
                <w:rFonts w:ascii="Calibri" w:eastAsia="Calibri" w:hAnsi="Calibri"/>
                <w:sz w:val="20"/>
                <w:szCs w:val="20"/>
              </w:rPr>
              <w:t>but the quantity provided must still provide adequate information to the purchaser. Risk of misuse is further mitigated by NMI being able to specify a particular unit.</w:t>
            </w:r>
          </w:p>
        </w:tc>
      </w:tr>
      <w:tr w:rsidR="007F6329" w:rsidRPr="006A74F8" w:rsidTr="007F6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vAlign w:val="center"/>
          </w:tcPr>
          <w:p w:rsidR="007F6329" w:rsidRPr="006A74F8" w:rsidRDefault="007F6329" w:rsidP="007F6329">
            <w:pPr>
              <w:framePr w:hSpace="180" w:wrap="around" w:vAnchor="text" w:hAnchor="margin" w:y="27"/>
              <w:rPr>
                <w:rFonts w:ascii="Calibri" w:eastAsia="Calibri" w:hAnsi="Calibri"/>
                <w:b w:val="0"/>
                <w:sz w:val="20"/>
                <w:szCs w:val="20"/>
              </w:rPr>
            </w:pPr>
            <w:r w:rsidRPr="006A74F8">
              <w:rPr>
                <w:rFonts w:ascii="Calibri" w:eastAsia="Calibri" w:hAnsi="Calibri"/>
                <w:b w:val="0"/>
                <w:sz w:val="20"/>
                <w:szCs w:val="20"/>
              </w:rPr>
              <w:t>Getting what you pay for</w:t>
            </w:r>
          </w:p>
        </w:tc>
        <w:tc>
          <w:tcPr>
            <w:tcW w:w="633" w:type="dxa"/>
            <w:tcBorders>
              <w:right w:val="single" w:sz="4" w:space="0" w:color="FFFFFF" w:themeColor="background1"/>
            </w:tcBorders>
            <w:shd w:val="clear" w:color="auto" w:fill="398E98"/>
            <w:vAlign w:val="center"/>
          </w:tcPr>
          <w:p w:rsidR="007F6329" w:rsidRPr="006A74F8"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+2</w:t>
            </w:r>
          </w:p>
        </w:tc>
        <w:tc>
          <w:tcPr>
            <w:tcW w:w="633" w:type="dxa"/>
            <w:tcBorders>
              <w:left w:val="single" w:sz="4" w:space="0" w:color="FFFFFF" w:themeColor="background1"/>
              <w:right w:val="single" w:sz="4" w:space="0" w:color="FFFFFF" w:themeColor="background1"/>
            </w:tcBorders>
            <w:shd w:val="clear" w:color="auto" w:fill="398E98"/>
            <w:vAlign w:val="center"/>
          </w:tcPr>
          <w:p w:rsidR="007F6329" w:rsidRPr="006A74F8"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+2</w:t>
            </w:r>
          </w:p>
        </w:tc>
        <w:tc>
          <w:tcPr>
            <w:tcW w:w="633" w:type="dxa"/>
            <w:tcBorders>
              <w:left w:val="single" w:sz="4" w:space="0" w:color="FFFFFF" w:themeColor="background1"/>
            </w:tcBorders>
            <w:shd w:val="clear" w:color="auto" w:fill="398E98"/>
            <w:vAlign w:val="center"/>
          </w:tcPr>
          <w:p w:rsidR="007F6329" w:rsidRPr="006A74F8"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+2</w:t>
            </w:r>
          </w:p>
        </w:tc>
        <w:tc>
          <w:tcPr>
            <w:tcW w:w="5161" w:type="dxa"/>
            <w:vAlign w:val="center"/>
          </w:tcPr>
          <w:p w:rsidR="007F6329" w:rsidRPr="006A74F8" w:rsidRDefault="007F6329" w:rsidP="007F6329">
            <w:pPr>
              <w:framePr w:hSpace="180" w:wrap="around" w:vAnchor="text" w:hAnchor="margin" w:y="27"/>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6A74F8">
              <w:rPr>
                <w:rFonts w:ascii="Calibri" w:eastAsia="Calibri" w:hAnsi="Calibri"/>
                <w:b/>
                <w:sz w:val="20"/>
                <w:szCs w:val="20"/>
              </w:rPr>
              <w:t>Compliance and enforcement</w:t>
            </w:r>
            <w:r w:rsidRPr="006A74F8">
              <w:rPr>
                <w:rFonts w:ascii="Calibri" w:eastAsia="Calibri" w:hAnsi="Calibri"/>
                <w:sz w:val="20"/>
                <w:szCs w:val="20"/>
              </w:rPr>
              <w:t xml:space="preserve">: </w:t>
            </w:r>
            <w:r w:rsidRPr="006A74F8">
              <w:rPr>
                <w:sz w:val="20"/>
                <w:szCs w:val="20"/>
              </w:rPr>
              <w:t xml:space="preserve">Ability for government to achieve fairer and more effective compliance outcomes through the use of tailored and strengthened compliance and enforcement tools. </w:t>
            </w:r>
          </w:p>
        </w:tc>
      </w:tr>
      <w:tr w:rsidR="007F6329" w:rsidRPr="006A74F8" w:rsidTr="007F6329">
        <w:tc>
          <w:tcPr>
            <w:cnfStyle w:val="001000000000" w:firstRow="0" w:lastRow="0" w:firstColumn="1" w:lastColumn="0" w:oddVBand="0" w:evenVBand="0" w:oddHBand="0" w:evenHBand="0" w:firstRowFirstColumn="0" w:firstRowLastColumn="0" w:lastRowFirstColumn="0" w:lastRowLastColumn="0"/>
            <w:tcW w:w="1815" w:type="dxa"/>
            <w:vAlign w:val="center"/>
          </w:tcPr>
          <w:p w:rsidR="007F6329" w:rsidRPr="006A74F8" w:rsidRDefault="007F6329" w:rsidP="007F6329">
            <w:pPr>
              <w:framePr w:hSpace="180" w:wrap="around" w:vAnchor="text" w:hAnchor="margin" w:y="27"/>
              <w:rPr>
                <w:rFonts w:ascii="Calibri" w:eastAsia="Calibri" w:hAnsi="Calibri"/>
                <w:b w:val="0"/>
                <w:sz w:val="20"/>
                <w:szCs w:val="20"/>
              </w:rPr>
            </w:pPr>
            <w:r w:rsidRPr="006A74F8">
              <w:rPr>
                <w:rFonts w:ascii="Calibri" w:eastAsia="Calibri" w:hAnsi="Calibri"/>
                <w:b w:val="0"/>
                <w:sz w:val="20"/>
                <w:szCs w:val="20"/>
              </w:rPr>
              <w:t>Time burden</w:t>
            </w:r>
          </w:p>
        </w:tc>
        <w:tc>
          <w:tcPr>
            <w:tcW w:w="633" w:type="dxa"/>
            <w:tcBorders>
              <w:right w:val="single" w:sz="4" w:space="0" w:color="FFFFFF" w:themeColor="background1"/>
            </w:tcBorders>
            <w:shd w:val="clear" w:color="auto" w:fill="FFFFC5"/>
            <w:vAlign w:val="center"/>
          </w:tcPr>
          <w:p w:rsidR="007F6329" w:rsidRPr="006A74F8"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0</w:t>
            </w:r>
          </w:p>
        </w:tc>
        <w:tc>
          <w:tcPr>
            <w:tcW w:w="633" w:type="dxa"/>
            <w:tcBorders>
              <w:left w:val="single" w:sz="4" w:space="0" w:color="FFFFFF" w:themeColor="background1"/>
              <w:right w:val="single" w:sz="4" w:space="0" w:color="FFFFFF" w:themeColor="background1"/>
            </w:tcBorders>
            <w:shd w:val="clear" w:color="auto" w:fill="FFBC79"/>
            <w:vAlign w:val="center"/>
          </w:tcPr>
          <w:p w:rsidR="007F6329" w:rsidRPr="006A74F8"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w:t>
            </w:r>
          </w:p>
        </w:tc>
        <w:tc>
          <w:tcPr>
            <w:tcW w:w="633" w:type="dxa"/>
            <w:tcBorders>
              <w:left w:val="single" w:sz="4" w:space="0" w:color="FFFFFF" w:themeColor="background1"/>
            </w:tcBorders>
            <w:shd w:val="clear" w:color="auto" w:fill="FFBC79"/>
            <w:vAlign w:val="center"/>
          </w:tcPr>
          <w:p w:rsidR="007F6329" w:rsidRPr="006A74F8"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w:t>
            </w:r>
          </w:p>
        </w:tc>
        <w:tc>
          <w:tcPr>
            <w:tcW w:w="5161" w:type="dxa"/>
            <w:vAlign w:val="center"/>
          </w:tcPr>
          <w:p w:rsidR="007F6329" w:rsidRPr="006A74F8" w:rsidRDefault="007F6329" w:rsidP="007F6329">
            <w:pPr>
              <w:framePr w:hSpace="180" w:wrap="around" w:vAnchor="text" w:hAnchor="margin" w:y="27"/>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6A74F8">
              <w:rPr>
                <w:rFonts w:ascii="Calibri" w:eastAsia="Calibri" w:hAnsi="Calibri"/>
                <w:b/>
                <w:sz w:val="20"/>
                <w:szCs w:val="20"/>
              </w:rPr>
              <w:t>Packaging</w:t>
            </w:r>
            <w:r w:rsidRPr="006A74F8">
              <w:rPr>
                <w:rFonts w:ascii="Calibri" w:eastAsia="Calibri" w:hAnsi="Calibri"/>
                <w:sz w:val="20"/>
                <w:szCs w:val="20"/>
              </w:rPr>
              <w:t>: Potential time burden to locate the measurement mark if not presented on the front of packaged products. Impacts limited where Unit Pricing Code in effect.</w:t>
            </w:r>
          </w:p>
        </w:tc>
      </w:tr>
      <w:tr w:rsidR="007F6329" w:rsidRPr="006A74F8" w:rsidTr="007F6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Borders>
              <w:bottom w:val="single" w:sz="12" w:space="0" w:color="auto"/>
            </w:tcBorders>
            <w:vAlign w:val="center"/>
          </w:tcPr>
          <w:p w:rsidR="007F6329" w:rsidRPr="006A74F8" w:rsidRDefault="007F6329" w:rsidP="007F6329">
            <w:pPr>
              <w:framePr w:hSpace="180" w:wrap="around" w:vAnchor="text" w:hAnchor="margin" w:y="27"/>
              <w:rPr>
                <w:rFonts w:ascii="Calibri" w:eastAsia="Calibri" w:hAnsi="Calibri"/>
                <w:sz w:val="20"/>
                <w:szCs w:val="20"/>
              </w:rPr>
            </w:pPr>
            <w:r w:rsidRPr="006A74F8">
              <w:rPr>
                <w:rFonts w:ascii="Calibri" w:eastAsia="Calibri" w:hAnsi="Calibri"/>
                <w:sz w:val="20"/>
                <w:szCs w:val="20"/>
              </w:rPr>
              <w:t xml:space="preserve">Average </w:t>
            </w:r>
          </w:p>
        </w:tc>
        <w:tc>
          <w:tcPr>
            <w:tcW w:w="633" w:type="dxa"/>
            <w:tcBorders>
              <w:bottom w:val="single" w:sz="12" w:space="0" w:color="auto"/>
              <w:right w:val="single" w:sz="4" w:space="0" w:color="FFFFFF" w:themeColor="background1"/>
            </w:tcBorders>
            <w:shd w:val="clear" w:color="auto" w:fill="ACD7CA"/>
            <w:vAlign w:val="center"/>
          </w:tcPr>
          <w:p w:rsidR="007F6329" w:rsidRPr="006A74F8"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633" w:type="dxa"/>
            <w:tcBorders>
              <w:left w:val="single" w:sz="4" w:space="0" w:color="FFFFFF" w:themeColor="background1"/>
              <w:bottom w:val="single" w:sz="12" w:space="0" w:color="auto"/>
              <w:right w:val="single" w:sz="4" w:space="0" w:color="FFFFFF" w:themeColor="background1"/>
            </w:tcBorders>
            <w:shd w:val="clear" w:color="auto" w:fill="ACD7CA"/>
            <w:vAlign w:val="center"/>
          </w:tcPr>
          <w:p w:rsidR="007F6329" w:rsidRPr="006A74F8"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633" w:type="dxa"/>
            <w:tcBorders>
              <w:left w:val="single" w:sz="4" w:space="0" w:color="FFFFFF" w:themeColor="background1"/>
              <w:bottom w:val="single" w:sz="12" w:space="0" w:color="auto"/>
            </w:tcBorders>
            <w:shd w:val="clear" w:color="auto" w:fill="ACD7CA"/>
            <w:vAlign w:val="center"/>
          </w:tcPr>
          <w:p w:rsidR="007F6329" w:rsidRPr="006A74F8"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5161" w:type="dxa"/>
            <w:tcBorders>
              <w:bottom w:val="single" w:sz="12" w:space="0" w:color="auto"/>
            </w:tcBorders>
            <w:vAlign w:val="center"/>
          </w:tcPr>
          <w:p w:rsidR="007F6329" w:rsidRPr="006A74F8" w:rsidRDefault="007F6329" w:rsidP="007F6329">
            <w:pPr>
              <w:framePr w:hSpace="180" w:wrap="around" w:vAnchor="text" w:hAnchor="margin" w:y="27"/>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6A74F8">
              <w:rPr>
                <w:rFonts w:ascii="Calibri" w:eastAsia="Calibri" w:hAnsi="Calibri"/>
                <w:sz w:val="20"/>
                <w:szCs w:val="20"/>
              </w:rPr>
              <w:t>All reform options will provide a slight benefit to this stakeholder group. Options 2 and 3 provide greater coverage of measurement transactions. Adverse impacts of changes to labelling requirements are increased slightly under options 2 and 3, compared with option 1.</w:t>
            </w:r>
          </w:p>
        </w:tc>
      </w:tr>
    </w:tbl>
    <w:p w:rsidR="007F6329" w:rsidRPr="006A74F8" w:rsidRDefault="007F6329" w:rsidP="00FB2798">
      <w:pPr>
        <w:pStyle w:val="NoSpacing"/>
        <w:framePr w:hSpace="180" w:wrap="around" w:vAnchor="text" w:hAnchor="margin" w:y="27"/>
        <w:rPr>
          <w:rFonts w:eastAsia="Calibri"/>
          <w:b/>
          <w:lang w:eastAsia="en-AU"/>
        </w:rPr>
      </w:pPr>
    </w:p>
    <w:p w:rsidR="005907D1" w:rsidRPr="006A74F8" w:rsidRDefault="00FB2798" w:rsidP="00FB2798">
      <w:pPr>
        <w:pStyle w:val="NoSpacing"/>
        <w:framePr w:hSpace="180" w:wrap="around" w:vAnchor="text" w:hAnchor="margin" w:y="27"/>
        <w:ind w:left="-142"/>
        <w:jc w:val="center"/>
        <w:rPr>
          <w:rFonts w:eastAsia="Calibri"/>
          <w:b/>
          <w:lang w:eastAsia="en-AU"/>
        </w:rPr>
      </w:pPr>
      <w:r w:rsidRPr="006A74F8">
        <w:rPr>
          <w:noProof/>
          <w:lang w:val="en-AU" w:eastAsia="en-AU"/>
        </w:rPr>
        <w:drawing>
          <wp:inline distT="0" distB="0" distL="0" distR="0" wp14:anchorId="2B79B356" wp14:editId="469C7703">
            <wp:extent cx="5648400" cy="910800"/>
            <wp:effectExtent l="0" t="0" r="0" b="0"/>
            <wp:docPr id="27" name="Picture 27"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0">
                      <a:extLst>
                        <a:ext uri="{28A0092B-C50C-407E-A947-70E740481C1C}">
                          <a14:useLocalDpi xmlns:a14="http://schemas.microsoft.com/office/drawing/2010/main" val="0"/>
                        </a:ext>
                      </a:extLst>
                    </a:blip>
                    <a:stretch>
                      <a:fillRect/>
                    </a:stretch>
                  </pic:blipFill>
                  <pic:spPr>
                    <a:xfrm>
                      <a:off x="0" y="0"/>
                      <a:ext cx="5648400" cy="910800"/>
                    </a:xfrm>
                    <a:prstGeom prst="rect">
                      <a:avLst/>
                    </a:prstGeom>
                  </pic:spPr>
                </pic:pic>
              </a:graphicData>
            </a:graphic>
          </wp:inline>
        </w:drawing>
      </w:r>
    </w:p>
    <w:p w:rsidR="005907D1" w:rsidRPr="006A74F8" w:rsidRDefault="00E22623" w:rsidP="004A1594">
      <w:r w:rsidRPr="006A74F8">
        <w:br w:type="page"/>
      </w:r>
    </w:p>
    <w:p w:rsidR="00F41719" w:rsidRPr="006A74F8" w:rsidRDefault="000D1CF3" w:rsidP="00FE4DE1">
      <w:pPr>
        <w:pStyle w:val="Heading3"/>
        <w:tabs>
          <w:tab w:val="left" w:pos="993"/>
        </w:tabs>
      </w:pPr>
      <w:r w:rsidRPr="006A74F8">
        <w:lastRenderedPageBreak/>
        <w:t>Consumer Confidence</w:t>
      </w:r>
    </w:p>
    <w:tbl>
      <w:tblPr>
        <w:tblStyle w:val="PlainTable2"/>
        <w:tblW w:w="8875" w:type="dxa"/>
        <w:tblLook w:val="04A0" w:firstRow="1" w:lastRow="0" w:firstColumn="1" w:lastColumn="0" w:noHBand="0" w:noVBand="1"/>
        <w:tblCaption w:val="12.1.1 Consumer confidence"/>
        <w:tblDescription w:val="Impact of reform options on consumer confidence. Option 1 rated +1, slight beneficial. Options 2 and 3 rated +2 moderate beneficial. Greater coverage of trade measurement provisions: Expansion of coverage for false or misleading measurement to include purchase of goods under option 1, and services under options 2 and 3. Includes mechanism to cover non-trade measurement applications under option 3.                                         "/>
      </w:tblPr>
      <w:tblGrid>
        <w:gridCol w:w="1815"/>
        <w:gridCol w:w="633"/>
        <w:gridCol w:w="633"/>
        <w:gridCol w:w="633"/>
        <w:gridCol w:w="5161"/>
      </w:tblGrid>
      <w:tr w:rsidR="008F1834" w:rsidRPr="006A74F8" w:rsidTr="00A96BB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12" w:space="0" w:color="auto"/>
            </w:tcBorders>
            <w:vAlign w:val="center"/>
          </w:tcPr>
          <w:p w:rsidR="008F1834" w:rsidRPr="006A74F8" w:rsidRDefault="008F1834" w:rsidP="00A96BB4">
            <w:r w:rsidRPr="006A74F8">
              <w:t>Impact</w:t>
            </w:r>
          </w:p>
        </w:tc>
        <w:tc>
          <w:tcPr>
            <w:tcW w:w="1899" w:type="dxa"/>
            <w:gridSpan w:val="3"/>
            <w:tcBorders>
              <w:top w:val="single" w:sz="12" w:space="0" w:color="auto"/>
              <w:bottom w:val="nil"/>
            </w:tcBorders>
            <w:vAlign w:val="center"/>
          </w:tcPr>
          <w:p w:rsidR="008F1834" w:rsidRPr="006A74F8" w:rsidRDefault="008F1834" w:rsidP="00A96BB4">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61" w:type="dxa"/>
            <w:vMerge w:val="restart"/>
            <w:tcBorders>
              <w:top w:val="single" w:sz="12" w:space="0" w:color="auto"/>
            </w:tcBorders>
            <w:vAlign w:val="center"/>
          </w:tcPr>
          <w:p w:rsidR="008F1834" w:rsidRPr="006A74F8" w:rsidRDefault="008F1834" w:rsidP="00A96BB4">
            <w:pPr>
              <w:cnfStyle w:val="100000000000" w:firstRow="1" w:lastRow="0" w:firstColumn="0" w:lastColumn="0" w:oddVBand="0" w:evenVBand="0" w:oddHBand="0" w:evenHBand="0" w:firstRowFirstColumn="0" w:firstRowLastColumn="0" w:lastRowFirstColumn="0" w:lastRowLastColumn="0"/>
            </w:pPr>
            <w:r w:rsidRPr="006A74F8">
              <w:t>Explanation</w:t>
            </w:r>
          </w:p>
        </w:tc>
      </w:tr>
      <w:tr w:rsidR="008F1834" w:rsidRPr="006A74F8" w:rsidTr="00A96BB4">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15" w:type="dxa"/>
            <w:vMerge/>
            <w:tcBorders>
              <w:bottom w:val="double" w:sz="4" w:space="0" w:color="auto"/>
            </w:tcBorders>
          </w:tcPr>
          <w:p w:rsidR="008F1834" w:rsidRPr="006A74F8" w:rsidRDefault="008F1834" w:rsidP="00A96BB4"/>
        </w:tc>
        <w:tc>
          <w:tcPr>
            <w:tcW w:w="633" w:type="dxa"/>
            <w:tcBorders>
              <w:top w:val="nil"/>
              <w:bottom w:val="double" w:sz="4" w:space="0" w:color="auto"/>
            </w:tcBorders>
          </w:tcPr>
          <w:p w:rsidR="008F1834" w:rsidRPr="006A74F8" w:rsidRDefault="008F1834"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8F1834" w:rsidRPr="006A74F8" w:rsidRDefault="008F1834"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8F1834" w:rsidRPr="006A74F8" w:rsidRDefault="008F1834"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61" w:type="dxa"/>
            <w:vMerge/>
            <w:tcBorders>
              <w:bottom w:val="double" w:sz="4" w:space="0" w:color="auto"/>
            </w:tcBorders>
          </w:tcPr>
          <w:p w:rsidR="008F1834" w:rsidRPr="006A74F8" w:rsidRDefault="008F1834" w:rsidP="00A96BB4">
            <w:pPr>
              <w:cnfStyle w:val="100000000000" w:firstRow="1" w:lastRow="0" w:firstColumn="0" w:lastColumn="0" w:oddVBand="0" w:evenVBand="0" w:oddHBand="0" w:evenHBand="0" w:firstRowFirstColumn="0" w:firstRowLastColumn="0" w:lastRowFirstColumn="0" w:lastRowLastColumn="0"/>
            </w:pPr>
          </w:p>
        </w:tc>
      </w:tr>
      <w:tr w:rsidR="008F1834" w:rsidRPr="006A74F8" w:rsidTr="00A9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Borders>
              <w:top w:val="double" w:sz="4" w:space="0" w:color="auto"/>
            </w:tcBorders>
            <w:vAlign w:val="center"/>
          </w:tcPr>
          <w:p w:rsidR="008F1834" w:rsidRPr="006A74F8" w:rsidRDefault="008F1834" w:rsidP="00A96BB4">
            <w:pPr>
              <w:rPr>
                <w:rFonts w:ascii="Calibri" w:eastAsia="Calibri" w:hAnsi="Calibri"/>
                <w:b w:val="0"/>
                <w:sz w:val="20"/>
                <w:szCs w:val="20"/>
              </w:rPr>
            </w:pPr>
            <w:r w:rsidRPr="006A74F8">
              <w:rPr>
                <w:rFonts w:ascii="Calibri" w:eastAsia="Calibri" w:hAnsi="Calibri"/>
                <w:b w:val="0"/>
                <w:sz w:val="20"/>
                <w:szCs w:val="20"/>
              </w:rPr>
              <w:t>Consumer confidence</w:t>
            </w:r>
          </w:p>
        </w:tc>
        <w:tc>
          <w:tcPr>
            <w:tcW w:w="633" w:type="dxa"/>
            <w:tcBorders>
              <w:top w:val="double" w:sz="4" w:space="0" w:color="auto"/>
              <w:right w:val="single" w:sz="4" w:space="0" w:color="FFFFFF" w:themeColor="background1"/>
            </w:tcBorders>
            <w:shd w:val="clear" w:color="auto" w:fill="ACD7CA"/>
            <w:vAlign w:val="center"/>
          </w:tcPr>
          <w:p w:rsidR="008F1834" w:rsidRPr="006A74F8" w:rsidRDefault="008F1834"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shd w:val="clear" w:color="auto" w:fill="ACD7CA"/>
              </w:rPr>
              <w:t>+1</w:t>
            </w:r>
          </w:p>
        </w:tc>
        <w:tc>
          <w:tcPr>
            <w:tcW w:w="633" w:type="dxa"/>
            <w:tcBorders>
              <w:top w:val="double" w:sz="4" w:space="0" w:color="auto"/>
              <w:left w:val="single" w:sz="4" w:space="0" w:color="FFFFFF" w:themeColor="background1"/>
              <w:right w:val="single" w:sz="4" w:space="0" w:color="FFFFFF" w:themeColor="background1"/>
            </w:tcBorders>
            <w:shd w:val="clear" w:color="auto" w:fill="398E98"/>
            <w:vAlign w:val="center"/>
          </w:tcPr>
          <w:p w:rsidR="008F1834" w:rsidRPr="006A74F8" w:rsidRDefault="008F1834"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33" w:type="dxa"/>
            <w:tcBorders>
              <w:top w:val="double" w:sz="4" w:space="0" w:color="auto"/>
              <w:left w:val="single" w:sz="4" w:space="0" w:color="FFFFFF" w:themeColor="background1"/>
            </w:tcBorders>
            <w:shd w:val="clear" w:color="auto" w:fill="398E98"/>
            <w:vAlign w:val="center"/>
          </w:tcPr>
          <w:p w:rsidR="008F1834" w:rsidRPr="006A74F8" w:rsidRDefault="008F1834"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5161" w:type="dxa"/>
            <w:tcBorders>
              <w:top w:val="double" w:sz="4" w:space="0" w:color="auto"/>
            </w:tcBorders>
            <w:vAlign w:val="center"/>
          </w:tcPr>
          <w:p w:rsidR="008F1834" w:rsidRPr="006A74F8" w:rsidRDefault="008F1834" w:rsidP="00A96BB4">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6A74F8">
              <w:rPr>
                <w:rFonts w:ascii="Calibri" w:eastAsia="Calibri" w:hAnsi="Calibri"/>
                <w:b/>
                <w:sz w:val="20"/>
                <w:szCs w:val="20"/>
              </w:rPr>
              <w:t xml:space="preserve">Greater coverage of trade measurement provisions: </w:t>
            </w:r>
            <w:r w:rsidRPr="006A74F8">
              <w:rPr>
                <w:rFonts w:ascii="Calibri" w:eastAsia="Calibri" w:hAnsi="Calibri"/>
                <w:sz w:val="20"/>
                <w:szCs w:val="20"/>
              </w:rPr>
              <w:t>Expansion of coverage for false or misleading measurement to include purchase of goods under option 1, and services under options 2 and 3. Includes mechanism to cover non-trade measurement applications under option 3.</w:t>
            </w:r>
          </w:p>
        </w:tc>
      </w:tr>
    </w:tbl>
    <w:p w:rsidR="000D1CF3" w:rsidRPr="006A74F8" w:rsidRDefault="00B12B68" w:rsidP="008554B6">
      <w:pPr>
        <w:spacing w:before="240"/>
      </w:pPr>
      <w:r w:rsidRPr="006A74F8">
        <w:t>Measurement legislation currently prohibits</w:t>
      </w:r>
      <w:r w:rsidR="000D1CF3" w:rsidRPr="006A74F8">
        <w:t xml:space="preserve"> measurement shortfalls</w:t>
      </w:r>
      <w:r w:rsidRPr="006A74F8">
        <w:t xml:space="preserve"> (i.e. where the actual measurement of a product is less than the stated amount)</w:t>
      </w:r>
      <w:r w:rsidR="000D1CF3" w:rsidRPr="006A74F8">
        <w:t xml:space="preserve"> in the sale of goods. This leaves transactions such as the purchase of goods by a trader (e.g. gold buying) and the sale and purchase of services (e.g. freight) without similar protections. Under </w:t>
      </w:r>
      <w:r w:rsidR="000D1CF3" w:rsidRPr="006A74F8">
        <w:rPr>
          <w:b/>
        </w:rPr>
        <w:t>all reform options</w:t>
      </w:r>
      <w:r w:rsidR="000D1CF3" w:rsidRPr="006A74F8">
        <w:t xml:space="preserve">, provisions would </w:t>
      </w:r>
      <w:r w:rsidR="00DD5377" w:rsidRPr="006A74F8">
        <w:t>cover</w:t>
      </w:r>
      <w:r w:rsidR="000D1CF3" w:rsidRPr="006A74F8">
        <w:t xml:space="preserve"> false </w:t>
      </w:r>
      <w:r w:rsidR="00B177BB" w:rsidRPr="006A74F8">
        <w:t xml:space="preserve">or </w:t>
      </w:r>
      <w:r w:rsidR="000D1CF3" w:rsidRPr="006A74F8">
        <w:t xml:space="preserve">misleading measurement representations, rather than “shortfalls”, </w:t>
      </w:r>
      <w:r w:rsidR="00DD5377" w:rsidRPr="006A74F8">
        <w:t>adopting</w:t>
      </w:r>
      <w:r w:rsidR="000D1CF3" w:rsidRPr="006A74F8">
        <w:t xml:space="preserve"> a more principles-based approach. Under </w:t>
      </w:r>
      <w:r w:rsidR="000D1CF3" w:rsidRPr="006A74F8">
        <w:rPr>
          <w:b/>
        </w:rPr>
        <w:t>option 1</w:t>
      </w:r>
      <w:r w:rsidR="000D1CF3" w:rsidRPr="006A74F8">
        <w:t xml:space="preserve"> the purchase of goods would be covered, providing the same assurances for consumers whether they are buying or selling (e.g. purchasing gold from a trader as well as selling unwanted gold to a gold buyer). Under </w:t>
      </w:r>
      <w:r w:rsidR="000D1CF3" w:rsidRPr="006A74F8">
        <w:rPr>
          <w:b/>
        </w:rPr>
        <w:t>options 2 and 3</w:t>
      </w:r>
      <w:r w:rsidR="000D1CF3" w:rsidRPr="006A74F8">
        <w:t xml:space="preserve"> the sale and purchase of measurement-based goods and services would be covered, providing assurance to consumers against false </w:t>
      </w:r>
      <w:r w:rsidR="00B177BB" w:rsidRPr="006A74F8">
        <w:t xml:space="preserve">or </w:t>
      </w:r>
      <w:r w:rsidR="000D1CF3" w:rsidRPr="006A74F8">
        <w:t xml:space="preserve">misleading measurements statements when they are buying and selling goods and services (e.g. where freight is charged based on measurement). </w:t>
      </w:r>
      <w:r w:rsidR="00555CE4" w:rsidRPr="006A74F8">
        <w:rPr>
          <w:b/>
        </w:rPr>
        <w:t xml:space="preserve">Option 3 </w:t>
      </w:r>
      <w:r w:rsidR="00555CE4" w:rsidRPr="006A74F8">
        <w:t xml:space="preserve">also benefits from the ability to cover false </w:t>
      </w:r>
      <w:r w:rsidR="00B177BB" w:rsidRPr="006A74F8">
        <w:t xml:space="preserve">or </w:t>
      </w:r>
      <w:r w:rsidR="00555CE4" w:rsidRPr="006A74F8">
        <w:t>misleading measurement statements, where needed, for non-trade measurement applications.</w:t>
      </w:r>
    </w:p>
    <w:p w:rsidR="00FD49EC" w:rsidRPr="006A74F8" w:rsidRDefault="0094503B" w:rsidP="00FD7AC9">
      <w:r w:rsidRPr="006A74F8">
        <w:t xml:space="preserve">There is a net benefit to consumer confidence under </w:t>
      </w:r>
      <w:r w:rsidRPr="006A74F8">
        <w:rPr>
          <w:b/>
        </w:rPr>
        <w:t>all options</w:t>
      </w:r>
      <w:r w:rsidRPr="006A74F8">
        <w:t xml:space="preserve">, </w:t>
      </w:r>
      <w:r w:rsidR="00FD49EC" w:rsidRPr="006A74F8">
        <w:t xml:space="preserve">providing broader assurances that consumers can shop with confidence knowing there is an expectation that the measurements they are getting are correct. This benefit is slightly greater under </w:t>
      </w:r>
      <w:r w:rsidR="00FD49EC" w:rsidRPr="006A74F8">
        <w:rPr>
          <w:b/>
        </w:rPr>
        <w:t>options 2 and 3</w:t>
      </w:r>
      <w:r w:rsidR="00FD49EC" w:rsidRPr="006A74F8">
        <w:t xml:space="preserve"> than </w:t>
      </w:r>
      <w:r w:rsidR="00FD49EC" w:rsidRPr="006A74F8">
        <w:rPr>
          <w:b/>
        </w:rPr>
        <w:t>option 1</w:t>
      </w:r>
      <w:r w:rsidR="00FD49EC" w:rsidRPr="006A74F8">
        <w:t xml:space="preserve"> due to the inclusion of services.</w:t>
      </w:r>
    </w:p>
    <w:p w:rsidR="000D1CF3" w:rsidRPr="006A74F8" w:rsidRDefault="000D1CF3" w:rsidP="00FE4DE1">
      <w:pPr>
        <w:pStyle w:val="Heading3"/>
        <w:tabs>
          <w:tab w:val="left" w:pos="993"/>
        </w:tabs>
      </w:pPr>
      <w:r w:rsidRPr="006A74F8">
        <w:t>Easy to compare products</w:t>
      </w:r>
    </w:p>
    <w:tbl>
      <w:tblPr>
        <w:tblStyle w:val="PlainTable2"/>
        <w:tblW w:w="8875" w:type="dxa"/>
        <w:tblLook w:val="04A0" w:firstRow="1" w:lastRow="0" w:firstColumn="1" w:lastColumn="0" w:noHBand="0" w:noVBand="1"/>
        <w:tblCaption w:val="12.1.2 Easy to compare products"/>
        <w:tblDescription w:val="Impact of reform options on easy to compare products. Easy to compare products - Options 1-3 are rated 0, neutral. Products able to be sold by different measurements: Ability to compare value of like products where sold by different measurements (e.g. number vs. weight) is expected to be similar in practice to the status quo for all options. Some flexibility is provided under option 2 and 3 for industry, but the quantity provided must still provide adequate information to the purchaser. Risk of misuse is further mitigated by NMI being able to specify a particular unit.  "/>
      </w:tblPr>
      <w:tblGrid>
        <w:gridCol w:w="1815"/>
        <w:gridCol w:w="633"/>
        <w:gridCol w:w="633"/>
        <w:gridCol w:w="633"/>
        <w:gridCol w:w="5161"/>
      </w:tblGrid>
      <w:tr w:rsidR="008554B6" w:rsidRPr="006A74F8" w:rsidTr="00A96BB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12" w:space="0" w:color="auto"/>
            </w:tcBorders>
            <w:vAlign w:val="center"/>
          </w:tcPr>
          <w:p w:rsidR="008554B6" w:rsidRPr="006A74F8" w:rsidRDefault="008554B6" w:rsidP="00A96BB4">
            <w:r w:rsidRPr="006A74F8">
              <w:t>Impact</w:t>
            </w:r>
          </w:p>
        </w:tc>
        <w:tc>
          <w:tcPr>
            <w:tcW w:w="1899" w:type="dxa"/>
            <w:gridSpan w:val="3"/>
            <w:tcBorders>
              <w:top w:val="single" w:sz="12" w:space="0" w:color="auto"/>
              <w:bottom w:val="nil"/>
            </w:tcBorders>
            <w:vAlign w:val="center"/>
          </w:tcPr>
          <w:p w:rsidR="008554B6" w:rsidRPr="006A74F8" w:rsidRDefault="008554B6" w:rsidP="00A96BB4">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61" w:type="dxa"/>
            <w:vMerge w:val="restart"/>
            <w:tcBorders>
              <w:top w:val="single" w:sz="12" w:space="0" w:color="auto"/>
            </w:tcBorders>
            <w:vAlign w:val="center"/>
          </w:tcPr>
          <w:p w:rsidR="008554B6" w:rsidRPr="006A74F8" w:rsidRDefault="008554B6" w:rsidP="00A96BB4">
            <w:pPr>
              <w:cnfStyle w:val="100000000000" w:firstRow="1" w:lastRow="0" w:firstColumn="0" w:lastColumn="0" w:oddVBand="0" w:evenVBand="0" w:oddHBand="0" w:evenHBand="0" w:firstRowFirstColumn="0" w:firstRowLastColumn="0" w:lastRowFirstColumn="0" w:lastRowLastColumn="0"/>
            </w:pPr>
            <w:r w:rsidRPr="006A74F8">
              <w:t>Explanation</w:t>
            </w:r>
          </w:p>
        </w:tc>
      </w:tr>
      <w:tr w:rsidR="008554B6" w:rsidRPr="006A74F8" w:rsidTr="00A96BB4">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15" w:type="dxa"/>
            <w:vMerge/>
            <w:tcBorders>
              <w:bottom w:val="double" w:sz="4" w:space="0" w:color="auto"/>
            </w:tcBorders>
          </w:tcPr>
          <w:p w:rsidR="008554B6" w:rsidRPr="006A74F8" w:rsidRDefault="008554B6" w:rsidP="00A96BB4"/>
        </w:tc>
        <w:tc>
          <w:tcPr>
            <w:tcW w:w="633" w:type="dxa"/>
            <w:tcBorders>
              <w:top w:val="nil"/>
              <w:bottom w:val="double" w:sz="4" w:space="0" w:color="auto"/>
            </w:tcBorders>
          </w:tcPr>
          <w:p w:rsidR="008554B6" w:rsidRPr="006A74F8" w:rsidRDefault="008554B6"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8554B6" w:rsidRPr="006A74F8" w:rsidRDefault="008554B6"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8554B6" w:rsidRPr="006A74F8" w:rsidRDefault="008554B6"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61" w:type="dxa"/>
            <w:vMerge/>
            <w:tcBorders>
              <w:bottom w:val="double" w:sz="4" w:space="0" w:color="auto"/>
            </w:tcBorders>
          </w:tcPr>
          <w:p w:rsidR="008554B6" w:rsidRPr="006A74F8" w:rsidRDefault="008554B6" w:rsidP="00A96BB4">
            <w:pPr>
              <w:cnfStyle w:val="100000000000" w:firstRow="1" w:lastRow="0" w:firstColumn="0" w:lastColumn="0" w:oddVBand="0" w:evenVBand="0" w:oddHBand="0" w:evenHBand="0" w:firstRowFirstColumn="0" w:firstRowLastColumn="0" w:lastRowFirstColumn="0" w:lastRowLastColumn="0"/>
            </w:pPr>
          </w:p>
        </w:tc>
      </w:tr>
      <w:tr w:rsidR="008554B6" w:rsidRPr="006A74F8" w:rsidTr="00A9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vAlign w:val="center"/>
          </w:tcPr>
          <w:p w:rsidR="008554B6" w:rsidRPr="006A74F8" w:rsidRDefault="008554B6" w:rsidP="00A96BB4">
            <w:pPr>
              <w:rPr>
                <w:rFonts w:ascii="Calibri" w:eastAsia="Calibri" w:hAnsi="Calibri"/>
                <w:b w:val="0"/>
                <w:sz w:val="20"/>
                <w:szCs w:val="20"/>
              </w:rPr>
            </w:pPr>
            <w:r w:rsidRPr="006A74F8">
              <w:rPr>
                <w:rFonts w:ascii="Calibri" w:eastAsia="Calibri" w:hAnsi="Calibri"/>
                <w:b w:val="0"/>
                <w:sz w:val="20"/>
                <w:szCs w:val="20"/>
              </w:rPr>
              <w:t xml:space="preserve">Easy to compare </w:t>
            </w:r>
          </w:p>
          <w:p w:rsidR="008554B6" w:rsidRPr="006A74F8" w:rsidRDefault="008554B6" w:rsidP="00A96BB4">
            <w:pPr>
              <w:rPr>
                <w:rFonts w:ascii="Calibri" w:eastAsia="Calibri" w:hAnsi="Calibri"/>
                <w:b w:val="0"/>
                <w:sz w:val="20"/>
                <w:szCs w:val="20"/>
              </w:rPr>
            </w:pPr>
            <w:r w:rsidRPr="006A74F8">
              <w:rPr>
                <w:rFonts w:ascii="Calibri" w:eastAsia="Calibri" w:hAnsi="Calibri"/>
                <w:b w:val="0"/>
                <w:sz w:val="20"/>
                <w:szCs w:val="20"/>
              </w:rPr>
              <w:t>products</w:t>
            </w:r>
          </w:p>
        </w:tc>
        <w:tc>
          <w:tcPr>
            <w:tcW w:w="633" w:type="dxa"/>
            <w:tcBorders>
              <w:right w:val="single" w:sz="4" w:space="0" w:color="FFFFFF" w:themeColor="background1"/>
            </w:tcBorders>
            <w:shd w:val="clear" w:color="auto" w:fill="FFFFC5"/>
            <w:vAlign w:val="center"/>
          </w:tcPr>
          <w:p w:rsidR="008554B6" w:rsidRPr="006A74F8" w:rsidRDefault="008554B6"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w:t>
            </w:r>
          </w:p>
        </w:tc>
        <w:tc>
          <w:tcPr>
            <w:tcW w:w="633" w:type="dxa"/>
            <w:tcBorders>
              <w:left w:val="single" w:sz="4" w:space="0" w:color="FFFFFF" w:themeColor="background1"/>
              <w:right w:val="single" w:sz="4" w:space="0" w:color="FFFFFF" w:themeColor="background1"/>
            </w:tcBorders>
            <w:shd w:val="clear" w:color="auto" w:fill="FFFFC5"/>
            <w:vAlign w:val="center"/>
          </w:tcPr>
          <w:p w:rsidR="008554B6" w:rsidRPr="006A74F8" w:rsidRDefault="008554B6"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w:t>
            </w:r>
          </w:p>
        </w:tc>
        <w:tc>
          <w:tcPr>
            <w:tcW w:w="633" w:type="dxa"/>
            <w:tcBorders>
              <w:left w:val="single" w:sz="4" w:space="0" w:color="FFFFFF" w:themeColor="background1"/>
            </w:tcBorders>
            <w:shd w:val="clear" w:color="auto" w:fill="FFFFC5"/>
            <w:vAlign w:val="center"/>
          </w:tcPr>
          <w:p w:rsidR="008554B6" w:rsidRPr="006A74F8" w:rsidRDefault="008554B6"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w:t>
            </w:r>
          </w:p>
        </w:tc>
        <w:tc>
          <w:tcPr>
            <w:tcW w:w="5161" w:type="dxa"/>
            <w:vAlign w:val="center"/>
          </w:tcPr>
          <w:p w:rsidR="008554B6" w:rsidRPr="006A74F8" w:rsidRDefault="008554B6" w:rsidP="00A96BB4">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6A74F8">
              <w:rPr>
                <w:rFonts w:ascii="Calibri" w:eastAsia="Calibri" w:hAnsi="Calibri"/>
                <w:b/>
                <w:sz w:val="20"/>
                <w:szCs w:val="20"/>
              </w:rPr>
              <w:t>Products able to be sold by different measurements:</w:t>
            </w:r>
            <w:r w:rsidRPr="006A74F8">
              <w:rPr>
                <w:rFonts w:ascii="Calibri" w:eastAsia="Calibri" w:hAnsi="Calibri"/>
                <w:sz w:val="20"/>
                <w:szCs w:val="20"/>
              </w:rPr>
              <w:t xml:space="preserve"> Ability to compare value of like products where sold by different measurements (e.g. number vs. weight) is expected to be similar in practice to the status quo for all options. Some flexibility is provided under option 2 and 3 for industry,</w:t>
            </w:r>
            <w:r w:rsidRPr="006A74F8">
              <w:rPr>
                <w:rFonts w:ascii="Calibri" w:eastAsia="Calibri" w:hAnsi="Calibri"/>
                <w:b/>
                <w:sz w:val="20"/>
                <w:szCs w:val="20"/>
              </w:rPr>
              <w:t xml:space="preserve"> </w:t>
            </w:r>
            <w:r w:rsidRPr="006A74F8">
              <w:rPr>
                <w:rFonts w:ascii="Calibri" w:eastAsia="Calibri" w:hAnsi="Calibri"/>
                <w:sz w:val="20"/>
                <w:szCs w:val="20"/>
              </w:rPr>
              <w:t>but the quantity provided must still provide adequate information to the purchaser. Risk of misuse is further mitigated by NMI being able to specify a particular unit.</w:t>
            </w:r>
          </w:p>
        </w:tc>
      </w:tr>
    </w:tbl>
    <w:p w:rsidR="00421A36" w:rsidRPr="006A74F8" w:rsidRDefault="00421A36" w:rsidP="008554B6">
      <w:pPr>
        <w:spacing w:before="120" w:after="240"/>
      </w:pPr>
      <w:r w:rsidRPr="006A74F8">
        <w:t>Where goods are being sold by reference to measurement (e.g. 1 kg of apples, 2 L of milk, 2.5 metres of rope or 4 avocados) there</w:t>
      </w:r>
      <w:r w:rsidR="003E65D3" w:rsidRPr="006A74F8">
        <w:t xml:space="preserve"> i</w:t>
      </w:r>
      <w:r w:rsidRPr="006A74F8">
        <w:t>s a tension that needs to be balanced, between providing consistency in the measurement units used for packaged and non-packaged products, and providing flexibility to enable businesses to adapt to changing industry practices and consumer preferences.</w:t>
      </w:r>
    </w:p>
    <w:p w:rsidR="00DB559E" w:rsidRPr="006A74F8" w:rsidRDefault="00BC5ADD" w:rsidP="008554B6">
      <w:pPr>
        <w:spacing w:before="120" w:after="240"/>
      </w:pPr>
      <w:r w:rsidRPr="006A74F8">
        <w:t xml:space="preserve">Where </w:t>
      </w:r>
      <w:r w:rsidRPr="006A74F8">
        <w:rPr>
          <w:b/>
        </w:rPr>
        <w:t>non-packaged products</w:t>
      </w:r>
      <w:r w:rsidRPr="006A74F8">
        <w:t xml:space="preserve"> are sold by measurement, the </w:t>
      </w:r>
      <w:r w:rsidRPr="006A74F8">
        <w:rPr>
          <w:b/>
        </w:rPr>
        <w:t xml:space="preserve">status quo </w:t>
      </w:r>
      <w:r w:rsidR="00F156EF" w:rsidRPr="006A74F8">
        <w:t>approach</w:t>
      </w:r>
      <w:r w:rsidR="00F156EF" w:rsidRPr="006A74F8">
        <w:rPr>
          <w:b/>
        </w:rPr>
        <w:t xml:space="preserve"> </w:t>
      </w:r>
      <w:r w:rsidRPr="006A74F8">
        <w:t xml:space="preserve">will apply across </w:t>
      </w:r>
      <w:r w:rsidRPr="006A74F8">
        <w:rPr>
          <w:b/>
        </w:rPr>
        <w:t xml:space="preserve">all reform options </w:t>
      </w:r>
      <w:r w:rsidRPr="006A74F8">
        <w:t xml:space="preserve">regarding requirements relating to the unit of measurement. </w:t>
      </w:r>
      <w:r w:rsidR="0050390D" w:rsidRPr="006A74F8">
        <w:t xml:space="preserve">The objective of </w:t>
      </w:r>
      <w:r w:rsidR="0050390D" w:rsidRPr="006A74F8">
        <w:lastRenderedPageBreak/>
        <w:t xml:space="preserve">these requirements will be preserved </w:t>
      </w:r>
      <w:r w:rsidR="009D477B" w:rsidRPr="006A74F8">
        <w:t>but</w:t>
      </w:r>
      <w:r w:rsidR="0050390D" w:rsidRPr="006A74F8">
        <w:t xml:space="preserve"> the specific detail may be simplified so that requirements are easier to understand for business and consumers. </w:t>
      </w:r>
      <w:r w:rsidR="00840D3F" w:rsidRPr="006A74F8">
        <w:t>This includes requirements for products to be sold by a particular unit price (e.g. per kg when sold by mass)</w:t>
      </w:r>
      <w:r w:rsidR="00582CF2" w:rsidRPr="006A74F8">
        <w:t xml:space="preserve"> and permissible units of measurement.</w:t>
      </w:r>
      <w:r w:rsidRPr="006A74F8">
        <w:t xml:space="preserve"> </w:t>
      </w:r>
      <w:r w:rsidR="001F0A9E" w:rsidRPr="006A74F8">
        <w:t>The legislation will include the ability</w:t>
      </w:r>
      <w:r w:rsidRPr="006A74F8">
        <w:t xml:space="preserve"> to prescribe a particular unit of measurement be used in relation to certain products where there is a need to address an issue in the market to ensure consumers have access to suitable measurement information.</w:t>
      </w:r>
      <w:r w:rsidR="008D3443" w:rsidRPr="006A74F8">
        <w:t xml:space="preserve"> </w:t>
      </w:r>
    </w:p>
    <w:p w:rsidR="000D1CF3" w:rsidRPr="006A74F8" w:rsidRDefault="000D1CF3" w:rsidP="00FD7AC9">
      <w:r w:rsidRPr="006A74F8">
        <w:rPr>
          <w:b/>
        </w:rPr>
        <w:t>Packaged products</w:t>
      </w:r>
      <w:r w:rsidRPr="006A74F8">
        <w:t xml:space="preserve"> must currently be sold by either </w:t>
      </w:r>
      <w:r w:rsidR="008B1B98" w:rsidRPr="006A74F8">
        <w:t>weight</w:t>
      </w:r>
      <w:r w:rsidRPr="006A74F8">
        <w:t xml:space="preserve"> or volume, depending on whether they are a solid or liquid</w:t>
      </w:r>
      <w:r w:rsidR="00D40D46" w:rsidRPr="006A74F8">
        <w:t xml:space="preserve">. </w:t>
      </w:r>
      <w:r w:rsidR="007A6639" w:rsidRPr="006A74F8">
        <w:t>These</w:t>
      </w:r>
      <w:r w:rsidR="00995EF3" w:rsidRPr="006A74F8">
        <w:t xml:space="preserve"> requirements generally mean that the price of like products are determined by reference to the same measurement, making them </w:t>
      </w:r>
      <w:r w:rsidR="007A6639" w:rsidRPr="006A74F8">
        <w:t>easier</w:t>
      </w:r>
      <w:r w:rsidR="00995EF3" w:rsidRPr="006A74F8">
        <w:t xml:space="preserve"> to compare and determine value for money</w:t>
      </w:r>
      <w:r w:rsidR="007A6639" w:rsidRPr="006A74F8">
        <w:t xml:space="preserve">. </w:t>
      </w:r>
      <w:r w:rsidR="00D40D46" w:rsidRPr="006A74F8">
        <w:t xml:space="preserve">Approval can be granted </w:t>
      </w:r>
      <w:r w:rsidR="001C4691" w:rsidRPr="006A74F8">
        <w:t xml:space="preserve">(the ‘Secretary’s list’) </w:t>
      </w:r>
      <w:r w:rsidR="00D40D46" w:rsidRPr="006A74F8">
        <w:t xml:space="preserve">for products </w:t>
      </w:r>
      <w:r w:rsidR="00995EF3" w:rsidRPr="006A74F8">
        <w:t xml:space="preserve">to </w:t>
      </w:r>
      <w:r w:rsidR="00147C55" w:rsidRPr="006A74F8">
        <w:t>be sold by</w:t>
      </w:r>
      <w:r w:rsidRPr="006A74F8">
        <w:t xml:space="preserve"> an alternative </w:t>
      </w:r>
      <w:r w:rsidR="002C47D0" w:rsidRPr="006A74F8">
        <w:t>unit</w:t>
      </w:r>
      <w:r w:rsidRPr="006A74F8">
        <w:t xml:space="preserve"> of measurement</w:t>
      </w:r>
      <w:r w:rsidR="00147C55" w:rsidRPr="006A74F8">
        <w:t xml:space="preserve"> (e.g. </w:t>
      </w:r>
      <w:r w:rsidR="00995EF3" w:rsidRPr="006A74F8">
        <w:t>number</w:t>
      </w:r>
      <w:r w:rsidRPr="006A74F8">
        <w:t>, linear measurement or area measurement</w:t>
      </w:r>
      <w:r w:rsidR="00147C55" w:rsidRPr="006A74F8">
        <w:t xml:space="preserve">) where a significant portion of businesses in Australia sell the product by that unit of </w:t>
      </w:r>
      <w:r w:rsidR="00995EF3" w:rsidRPr="006A74F8">
        <w:t>measurement</w:t>
      </w:r>
      <w:r w:rsidR="0061039E" w:rsidRPr="006A74F8">
        <w:t>.</w:t>
      </w:r>
      <w:r w:rsidR="006627A4" w:rsidRPr="006A74F8">
        <w:t xml:space="preserve"> </w:t>
      </w:r>
      <w:r w:rsidR="0061039E" w:rsidRPr="006A74F8">
        <w:t>H</w:t>
      </w:r>
      <w:r w:rsidR="006627A4" w:rsidRPr="006A74F8">
        <w:t>owever for this</w:t>
      </w:r>
      <w:r w:rsidR="0061039E" w:rsidRPr="006A74F8">
        <w:t xml:space="preserve"> requirement to be met</w:t>
      </w:r>
      <w:r w:rsidR="006627A4" w:rsidRPr="006A74F8" w:rsidDel="0061039E">
        <w:t xml:space="preserve"> </w:t>
      </w:r>
      <w:r w:rsidR="006627A4" w:rsidRPr="006A74F8">
        <w:t>a significant portion of business</w:t>
      </w:r>
      <w:r w:rsidR="006A33C7" w:rsidRPr="006A74F8">
        <w:t>es</w:t>
      </w:r>
      <w:r w:rsidR="006627A4" w:rsidRPr="006A74F8">
        <w:t xml:space="preserve"> would need to be in breach of current requirements</w:t>
      </w:r>
      <w:r w:rsidR="00995EF3" w:rsidRPr="006A74F8">
        <w:t xml:space="preserve">. </w:t>
      </w:r>
      <w:r w:rsidR="006627A4" w:rsidRPr="006A74F8">
        <w:t>W</w:t>
      </w:r>
      <w:r w:rsidR="002C47D0" w:rsidRPr="006A74F8">
        <w:t xml:space="preserve">here </w:t>
      </w:r>
      <w:r w:rsidR="007266B8" w:rsidRPr="006A74F8">
        <w:t xml:space="preserve">products have been approved to be sold by alternative </w:t>
      </w:r>
      <w:r w:rsidR="008B05FA" w:rsidRPr="006A74F8">
        <w:t xml:space="preserve">units </w:t>
      </w:r>
      <w:r w:rsidR="007266B8" w:rsidRPr="006A74F8">
        <w:t xml:space="preserve">this </w:t>
      </w:r>
      <w:r w:rsidR="00147C55" w:rsidRPr="006A74F8">
        <w:t>can result</w:t>
      </w:r>
      <w:r w:rsidR="007266B8" w:rsidRPr="006A74F8">
        <w:t xml:space="preserve"> in a situation where like products may be sold by different units of measurement (e.g. weight or number)</w:t>
      </w:r>
      <w:r w:rsidR="006627A4" w:rsidRPr="006A74F8">
        <w:t>, however</w:t>
      </w:r>
      <w:r w:rsidR="008B05FA" w:rsidRPr="006A74F8">
        <w:t xml:space="preserve"> flexibility to sell products by alternative units is needed to meet the changing needs of industry and consumers.</w:t>
      </w:r>
      <w:r w:rsidR="00316A3D" w:rsidRPr="006A74F8">
        <w:t xml:space="preserve"> </w:t>
      </w:r>
      <w:r w:rsidR="008B05FA" w:rsidRPr="006A74F8">
        <w:t>T</w:t>
      </w:r>
      <w:r w:rsidR="006627A4" w:rsidRPr="006A74F8">
        <w:t>he current</w:t>
      </w:r>
      <w:r w:rsidRPr="006A74F8">
        <w:t xml:space="preserve"> process associated with the approval of alternative </w:t>
      </w:r>
      <w:r w:rsidR="008B05FA" w:rsidRPr="006A74F8">
        <w:t xml:space="preserve">units </w:t>
      </w:r>
      <w:r w:rsidR="001C4691" w:rsidRPr="006A74F8">
        <w:t>(the ‘Secretary’s list’)</w:t>
      </w:r>
      <w:r w:rsidRPr="006A74F8">
        <w:t xml:space="preserve"> is burdensome and confusing for industry</w:t>
      </w:r>
      <w:r w:rsidR="006627A4" w:rsidRPr="006A74F8">
        <w:t xml:space="preserve"> </w:t>
      </w:r>
      <w:r w:rsidR="007A6639" w:rsidRPr="006A74F8">
        <w:t>and</w:t>
      </w:r>
      <w:r w:rsidRPr="006A74F8" w:rsidDel="008B05FA">
        <w:t xml:space="preserve"> </w:t>
      </w:r>
      <w:r w:rsidRPr="006A74F8">
        <w:t xml:space="preserve">can lead to products being sold </w:t>
      </w:r>
      <w:r w:rsidR="00995EF3" w:rsidRPr="006A74F8">
        <w:t>without a proper measurement representation</w:t>
      </w:r>
      <w:r w:rsidRPr="006A74F8">
        <w:t>, creating confusion for consumers</w:t>
      </w:r>
      <w:r w:rsidR="008B05FA" w:rsidRPr="006A74F8">
        <w:t>.</w:t>
      </w:r>
      <w:r w:rsidR="006627A4" w:rsidRPr="006A74F8">
        <w:t xml:space="preserve"> </w:t>
      </w:r>
      <w:r w:rsidRPr="006A74F8">
        <w:t xml:space="preserve"> </w:t>
      </w:r>
    </w:p>
    <w:p w:rsidR="00DD5940" w:rsidRPr="006A74F8" w:rsidRDefault="007A6639" w:rsidP="00FD7AC9">
      <w:r w:rsidRPr="006A74F8">
        <w:rPr>
          <w:b/>
        </w:rPr>
        <w:t xml:space="preserve">Option 1 </w:t>
      </w:r>
      <w:r w:rsidRPr="006A74F8">
        <w:t xml:space="preserve">will streamline the </w:t>
      </w:r>
      <w:r w:rsidR="007B21A7" w:rsidRPr="006A74F8">
        <w:t xml:space="preserve">‘Secretary’s list’ </w:t>
      </w:r>
      <w:r w:rsidRPr="006A74F8">
        <w:t>process for allowing packaged products to be sold by alternative units of measurement</w:t>
      </w:r>
      <w:r w:rsidR="002716B2" w:rsidRPr="006A74F8">
        <w:t xml:space="preserve">, increasing transparency and removing some of the confusion identified in the current process. For </w:t>
      </w:r>
      <w:r w:rsidR="002716B2" w:rsidRPr="006A74F8">
        <w:rPr>
          <w:b/>
        </w:rPr>
        <w:t>options 2 and 3</w:t>
      </w:r>
      <w:r w:rsidR="00055EA0" w:rsidRPr="006A74F8">
        <w:t xml:space="preserve">, rather than maintaining the </w:t>
      </w:r>
      <w:r w:rsidR="00A82C37" w:rsidRPr="006A74F8">
        <w:t>approval</w:t>
      </w:r>
      <w:r w:rsidR="00055EA0" w:rsidRPr="006A74F8">
        <w:t xml:space="preserve"> </w:t>
      </w:r>
      <w:r w:rsidR="00993F6E" w:rsidRPr="006A74F8">
        <w:t xml:space="preserve">approach </w:t>
      </w:r>
      <w:r w:rsidR="0034134B" w:rsidRPr="006A74F8">
        <w:t>(the ‘Secretary’s list’)</w:t>
      </w:r>
      <w:r w:rsidR="00993F6E" w:rsidRPr="006A74F8">
        <w:t xml:space="preserve"> under the </w:t>
      </w:r>
      <w:r w:rsidR="00993F6E" w:rsidRPr="006A74F8">
        <w:rPr>
          <w:b/>
        </w:rPr>
        <w:t xml:space="preserve">status quo </w:t>
      </w:r>
      <w:r w:rsidR="00993F6E" w:rsidRPr="006A74F8">
        <w:t xml:space="preserve">and </w:t>
      </w:r>
      <w:r w:rsidR="00993F6E" w:rsidRPr="006A74F8">
        <w:rPr>
          <w:b/>
        </w:rPr>
        <w:t>option 1</w:t>
      </w:r>
      <w:r w:rsidR="00993F6E" w:rsidRPr="006A74F8">
        <w:t>,</w:t>
      </w:r>
      <w:r w:rsidR="00055EA0" w:rsidRPr="006A74F8">
        <w:t xml:space="preserve"> the requirements for the units of measurement for packaged products</w:t>
      </w:r>
      <w:r w:rsidR="00993F6E" w:rsidRPr="006A74F8">
        <w:t xml:space="preserve"> would align with those set out in OIML Recommendation 79</w:t>
      </w:r>
      <w:r w:rsidR="00271CE4" w:rsidRPr="006A74F8">
        <w:t>.</w:t>
      </w:r>
      <w:r w:rsidR="00993F6E" w:rsidRPr="006A74F8">
        <w:rPr>
          <w:rStyle w:val="FootnoteReference"/>
        </w:rPr>
        <w:footnoteReference w:id="97"/>
      </w:r>
      <w:r w:rsidR="00993F6E" w:rsidRPr="006A74F8">
        <w:t xml:space="preserve"> This would include default units such as volume for liquid and mass for solid, but also allow for “</w:t>
      </w:r>
      <w:r w:rsidR="00993F6E" w:rsidRPr="006A74F8">
        <w:rPr>
          <w:i/>
        </w:rPr>
        <w:t>quantities based firmly on established general consumer usage and trade custom if such quantities provide adequate information to the purchaser</w:t>
      </w:r>
      <w:r w:rsidR="00993F6E" w:rsidRPr="006A74F8">
        <w:t xml:space="preserve"> </w:t>
      </w:r>
      <w:r w:rsidR="00993F6E" w:rsidRPr="006A74F8">
        <w:rPr>
          <w:i/>
        </w:rPr>
        <w:t>(for example, linear measurement, semi-solid or viscous product by volume, or number, may be used where it meets this requirement)</w:t>
      </w:r>
      <w:r w:rsidR="00993F6E" w:rsidRPr="006A74F8">
        <w:t>.</w:t>
      </w:r>
      <w:r w:rsidR="00167394" w:rsidRPr="006A74F8">
        <w:t>”</w:t>
      </w:r>
      <w:r w:rsidR="00993F6E" w:rsidRPr="006A74F8">
        <w:t xml:space="preserve"> NMI would issue guidance material to help explain this requirement, however it would leave much of the determination to industry, unlike the </w:t>
      </w:r>
      <w:r w:rsidR="00993F6E" w:rsidRPr="006A74F8">
        <w:rPr>
          <w:b/>
        </w:rPr>
        <w:t>status quo</w:t>
      </w:r>
      <w:r w:rsidR="00993F6E" w:rsidRPr="006A74F8">
        <w:t xml:space="preserve"> and </w:t>
      </w:r>
      <w:r w:rsidR="00993F6E" w:rsidRPr="006A74F8">
        <w:rPr>
          <w:b/>
        </w:rPr>
        <w:t xml:space="preserve">option 1 </w:t>
      </w:r>
      <w:r w:rsidR="00993F6E" w:rsidRPr="006A74F8">
        <w:t>where the alternative method has to be approved before it can be used.</w:t>
      </w:r>
      <w:r w:rsidR="00DD5940" w:rsidRPr="006A74F8">
        <w:t xml:space="preserve"> </w:t>
      </w:r>
      <w:r w:rsidR="001F0A9E" w:rsidRPr="006A74F8">
        <w:rPr>
          <w:b/>
        </w:rPr>
        <w:t>O</w:t>
      </w:r>
      <w:r w:rsidR="00DD5940" w:rsidRPr="006A74F8">
        <w:rPr>
          <w:b/>
        </w:rPr>
        <w:t xml:space="preserve">ption 2 and 3 </w:t>
      </w:r>
      <w:r w:rsidR="001F0A9E" w:rsidRPr="006A74F8">
        <w:t xml:space="preserve">will include the ability </w:t>
      </w:r>
      <w:r w:rsidR="00137832">
        <w:t xml:space="preserve">to </w:t>
      </w:r>
      <w:r w:rsidR="00DD5940" w:rsidRPr="006A74F8">
        <w:t>introduc</w:t>
      </w:r>
      <w:r w:rsidR="001F0A9E" w:rsidRPr="006A74F8">
        <w:t>e</w:t>
      </w:r>
      <w:r w:rsidR="00DD5940" w:rsidRPr="006A74F8">
        <w:t xml:space="preserve"> requirements, where a need is identified, </w:t>
      </w:r>
      <w:r w:rsidR="00DD5940" w:rsidRPr="006A74F8" w:rsidDel="00B72B01">
        <w:t>for</w:t>
      </w:r>
      <w:r w:rsidR="00DD5940" w:rsidRPr="006A74F8">
        <w:t xml:space="preserve"> certain packaged products to be sold by a particular unit of measurement. This will provide confidence that when a unit of measurement being used by industry creates an issue in the market</w:t>
      </w:r>
      <w:r w:rsidR="00E930BD" w:rsidRPr="006A74F8">
        <w:t>, is impractical to quantify,</w:t>
      </w:r>
      <w:r w:rsidR="00DD5940" w:rsidRPr="006A74F8">
        <w:t xml:space="preserve"> or disproportionally disadvantages consumers an appropriate unit can be prescribed to address the issue.</w:t>
      </w:r>
    </w:p>
    <w:tbl>
      <w:tblPr>
        <w:tblW w:w="0" w:type="auto"/>
        <w:tblLook w:val="04A0" w:firstRow="1" w:lastRow="0" w:firstColumn="1" w:lastColumn="0" w:noHBand="0" w:noVBand="1"/>
      </w:tblPr>
      <w:tblGrid>
        <w:gridCol w:w="9017"/>
      </w:tblGrid>
      <w:tr w:rsidR="00F95663" w:rsidRPr="006A74F8" w:rsidTr="00293A94">
        <w:tc>
          <w:tcPr>
            <w:tcW w:w="9017" w:type="dxa"/>
          </w:tcPr>
          <w:p w:rsidR="00F95663" w:rsidRPr="006A74F8" w:rsidRDefault="00F95663" w:rsidP="006C37D1">
            <w:pPr>
              <w:ind w:left="-108"/>
            </w:pPr>
            <w:r w:rsidRPr="006A74F8">
              <w:t>The introduction of the Unit Pricing Code</w:t>
            </w:r>
            <w:r w:rsidR="00C317C7" w:rsidRPr="006A74F8">
              <w:t xml:space="preserve"> (UPC)</w:t>
            </w:r>
            <w:r w:rsidR="00510C78" w:rsidRPr="006A74F8">
              <w:rPr>
                <w:rStyle w:val="FootnoteReference"/>
              </w:rPr>
              <w:footnoteReference w:id="98"/>
            </w:r>
            <w:r w:rsidRPr="006A74F8">
              <w:t xml:space="preserve"> has helped to make products easier to compare for consumers by providing information regarding the price per unit of measurement (e.g. per </w:t>
            </w:r>
            <w:r w:rsidR="00AF440F" w:rsidRPr="006A74F8">
              <w:t>100</w:t>
            </w:r>
            <w:r w:rsidR="00263FDF" w:rsidRPr="006A74F8">
              <w:t xml:space="preserve"> </w:t>
            </w:r>
            <w:r w:rsidRPr="006A74F8">
              <w:t>g or 10</w:t>
            </w:r>
            <w:r w:rsidR="00AF440F" w:rsidRPr="006A74F8">
              <w:t>0</w:t>
            </w:r>
            <w:r w:rsidR="00263FDF" w:rsidRPr="006A74F8">
              <w:t xml:space="preserve"> </w:t>
            </w:r>
            <w:r w:rsidRPr="006A74F8">
              <w:t xml:space="preserve">mL). However, the UPC is only voluntary for smaller stores and </w:t>
            </w:r>
            <w:r w:rsidR="005A5D92" w:rsidRPr="006A74F8">
              <w:t xml:space="preserve">only applies to certain types of retailers </w:t>
            </w:r>
            <w:r w:rsidRPr="006A74F8">
              <w:t xml:space="preserve">so </w:t>
            </w:r>
            <w:r w:rsidR="00E61046" w:rsidRPr="006A74F8">
              <w:t>this information is not always available (e.g. hardware stores, pharmacies, service station grocery items).</w:t>
            </w:r>
            <w:r w:rsidRPr="006A74F8">
              <w:t xml:space="preserve"> </w:t>
            </w:r>
            <w:r w:rsidR="00E61046" w:rsidRPr="006A74F8">
              <w:t>S</w:t>
            </w:r>
            <w:r w:rsidRPr="006A74F8">
              <w:t>ome consumers, particularly those in rural and remote communities, may not benefit from this additional information. The UPC also does not help to compare like products when they are sold by different units of measurement (e.g. a 200</w:t>
            </w:r>
            <w:r w:rsidR="00D14025" w:rsidRPr="006A74F8">
              <w:t xml:space="preserve"> </w:t>
            </w:r>
            <w:r w:rsidRPr="006A74F8">
              <w:t xml:space="preserve">g pack of </w:t>
            </w:r>
            <w:r w:rsidRPr="006A74F8">
              <w:lastRenderedPageBreak/>
              <w:t xml:space="preserve">sweet corn will have a unit price “per </w:t>
            </w:r>
            <w:r w:rsidR="00AF440F" w:rsidRPr="006A74F8">
              <w:t>100</w:t>
            </w:r>
            <w:r w:rsidR="00D14025" w:rsidRPr="006A74F8">
              <w:t xml:space="preserve"> </w:t>
            </w:r>
            <w:r w:rsidRPr="006A74F8">
              <w:t xml:space="preserve">g”, however a 4 pack of sweet corn will have a unit price “per each” cob of corn). </w:t>
            </w:r>
          </w:p>
        </w:tc>
      </w:tr>
    </w:tbl>
    <w:p w:rsidR="00346FEB" w:rsidRPr="006A74F8" w:rsidRDefault="00BD0D16" w:rsidP="00FD7AC9">
      <w:r w:rsidRPr="006A74F8">
        <w:lastRenderedPageBreak/>
        <w:t>While t</w:t>
      </w:r>
      <w:r w:rsidR="00346FEB" w:rsidRPr="006A74F8">
        <w:t xml:space="preserve">he proposed approaches under </w:t>
      </w:r>
      <w:r w:rsidR="00346FEB" w:rsidRPr="006A74F8">
        <w:rPr>
          <w:b/>
        </w:rPr>
        <w:t>all reform options</w:t>
      </w:r>
      <w:r w:rsidR="00346FEB" w:rsidRPr="006A74F8">
        <w:t xml:space="preserve">, in particular for </w:t>
      </w:r>
      <w:r w:rsidR="00346FEB" w:rsidRPr="006A74F8">
        <w:rPr>
          <w:b/>
        </w:rPr>
        <w:t>options 2 and 3</w:t>
      </w:r>
      <w:r w:rsidR="00346FEB" w:rsidRPr="006A74F8">
        <w:t xml:space="preserve">, </w:t>
      </w:r>
      <w:r w:rsidRPr="006A74F8">
        <w:t>differ</w:t>
      </w:r>
      <w:r w:rsidR="00346FEB" w:rsidRPr="006A74F8">
        <w:t xml:space="preserve"> to the </w:t>
      </w:r>
      <w:r w:rsidR="00346FEB" w:rsidRPr="006A74F8">
        <w:rPr>
          <w:b/>
        </w:rPr>
        <w:t>status quo</w:t>
      </w:r>
      <w:r w:rsidRPr="006A74F8">
        <w:t>,</w:t>
      </w:r>
      <w:r w:rsidR="00346FEB" w:rsidRPr="006A74F8">
        <w:rPr>
          <w:b/>
        </w:rPr>
        <w:t xml:space="preserve"> </w:t>
      </w:r>
      <w:r w:rsidRPr="006A74F8">
        <w:t>they</w:t>
      </w:r>
      <w:r w:rsidR="00346FEB" w:rsidRPr="006A74F8">
        <w:t xml:space="preserve"> not </w:t>
      </w:r>
      <w:r w:rsidR="00A82C37" w:rsidRPr="006A74F8">
        <w:t>expected</w:t>
      </w:r>
      <w:r w:rsidR="00346FEB" w:rsidRPr="006A74F8">
        <w:t xml:space="preserve"> to result in a significant change to how the requirements operate in practice. It is recognised that </w:t>
      </w:r>
      <w:r w:rsidRPr="006A74F8">
        <w:t xml:space="preserve">allowing industry the flexibility to use alternative units of measurement can result in like products being sold by different units of measurement, which then impacts consumers’ ability to compare products to determine value for money. </w:t>
      </w:r>
      <w:r w:rsidR="00E355B2" w:rsidRPr="006A74F8">
        <w:t>This flexibility under options 2 and 3 is not expected to result in a material change for consumers</w:t>
      </w:r>
      <w:r w:rsidR="000C2B56" w:rsidRPr="006A74F8">
        <w:t xml:space="preserve">. If it did become a problem then </w:t>
      </w:r>
      <w:r w:rsidR="00E355B2" w:rsidRPr="006A74F8">
        <w:t>the risk of misuse is mitigated by NMI being able to specify a particular unit</w:t>
      </w:r>
      <w:r w:rsidR="000C2B56" w:rsidRPr="006A74F8">
        <w:t xml:space="preserve"> that needs to be used</w:t>
      </w:r>
      <w:r w:rsidR="00E355B2" w:rsidRPr="006A74F8">
        <w:t xml:space="preserve">. </w:t>
      </w:r>
    </w:p>
    <w:p w:rsidR="00A86C91" w:rsidRPr="006A74F8" w:rsidRDefault="00826F55" w:rsidP="00A86C91">
      <w:r w:rsidRPr="006A74F8">
        <w:t xml:space="preserve">The impact for </w:t>
      </w:r>
      <w:r w:rsidRPr="006A74F8">
        <w:rPr>
          <w:b/>
        </w:rPr>
        <w:t>all reform options</w:t>
      </w:r>
      <w:r w:rsidRPr="006A74F8">
        <w:t xml:space="preserve"> has been assessed as neutral as </w:t>
      </w:r>
      <w:r w:rsidR="00FE1392" w:rsidRPr="006A74F8">
        <w:t>the</w:t>
      </w:r>
      <w:r w:rsidRPr="006A74F8">
        <w:t xml:space="preserve"> new requirements for the unit of measurement </w:t>
      </w:r>
      <w:r w:rsidR="00065B12" w:rsidRPr="006A74F8">
        <w:t xml:space="preserve">are expected to </w:t>
      </w:r>
      <w:r w:rsidRPr="006A74F8">
        <w:t xml:space="preserve">operate similarly to existing requirements. </w:t>
      </w:r>
    </w:p>
    <w:p w:rsidR="003E65D3" w:rsidRPr="006A74F8" w:rsidRDefault="003E65D3" w:rsidP="003E65D3">
      <w:pPr>
        <w:shd w:val="clear" w:color="auto" w:fill="DFF3F3" w:themeFill="accent4" w:themeFillTint="33"/>
        <w:spacing w:before="120" w:after="240"/>
      </w:pPr>
      <w:r w:rsidRPr="006A74F8">
        <w:t>Existing requirements to sell certain products by reference to measurement (e.g. meat, certain types of alcohol, LPG and wholesale fuel from a terminal according to volume at 15</w:t>
      </w:r>
      <w:r w:rsidRPr="006A74F8">
        <w:rPr>
          <w:rFonts w:cstheme="minorHAnsi"/>
        </w:rPr>
        <w:t>°</w:t>
      </w:r>
      <w:r w:rsidRPr="006A74F8">
        <w:t>C) will be retained, but simplified so they are easier to understand. A detailed review of these requirements, in particular those for meat and alcohol, will occur at a later date through additional consultation.</w:t>
      </w:r>
    </w:p>
    <w:p w:rsidR="000D1CF3" w:rsidRPr="006A74F8" w:rsidRDefault="000D1CF3" w:rsidP="00FE4DE1">
      <w:pPr>
        <w:pStyle w:val="Heading3"/>
        <w:tabs>
          <w:tab w:val="left" w:pos="993"/>
        </w:tabs>
      </w:pPr>
      <w:r w:rsidRPr="006A74F8">
        <w:t>Getting what you pay for</w:t>
      </w:r>
    </w:p>
    <w:tbl>
      <w:tblPr>
        <w:tblStyle w:val="PlainTable2"/>
        <w:tblW w:w="8875" w:type="dxa"/>
        <w:tblLook w:val="04A0" w:firstRow="1" w:lastRow="0" w:firstColumn="1" w:lastColumn="0" w:noHBand="0" w:noVBand="1"/>
        <w:tblCaption w:val="12.1.3 Getting what you pay for"/>
        <w:tblDescription w:val="Impact of reform options on getting what you pay for. Options 1-3 are rated +2 moderate beneficial. Compliance and enforcement: Ability for government to achieve fairer and more effective compliance outcomes through the use of tailored and strengthened compliance and enforcement tools.   "/>
      </w:tblPr>
      <w:tblGrid>
        <w:gridCol w:w="1815"/>
        <w:gridCol w:w="633"/>
        <w:gridCol w:w="633"/>
        <w:gridCol w:w="633"/>
        <w:gridCol w:w="5161"/>
      </w:tblGrid>
      <w:tr w:rsidR="00586C4A" w:rsidRPr="006A74F8" w:rsidTr="00A96BB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12" w:space="0" w:color="auto"/>
            </w:tcBorders>
            <w:vAlign w:val="center"/>
          </w:tcPr>
          <w:p w:rsidR="00586C4A" w:rsidRPr="006A74F8" w:rsidRDefault="00586C4A" w:rsidP="00A96BB4">
            <w:r w:rsidRPr="006A74F8">
              <w:t>Impact</w:t>
            </w:r>
          </w:p>
        </w:tc>
        <w:tc>
          <w:tcPr>
            <w:tcW w:w="1899" w:type="dxa"/>
            <w:gridSpan w:val="3"/>
            <w:tcBorders>
              <w:top w:val="single" w:sz="12" w:space="0" w:color="auto"/>
              <w:bottom w:val="nil"/>
            </w:tcBorders>
            <w:vAlign w:val="center"/>
          </w:tcPr>
          <w:p w:rsidR="00586C4A" w:rsidRPr="006A74F8" w:rsidRDefault="00586C4A" w:rsidP="00A96BB4">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61" w:type="dxa"/>
            <w:vMerge w:val="restart"/>
            <w:tcBorders>
              <w:top w:val="single" w:sz="12" w:space="0" w:color="auto"/>
            </w:tcBorders>
            <w:vAlign w:val="center"/>
          </w:tcPr>
          <w:p w:rsidR="00586C4A" w:rsidRPr="006A74F8" w:rsidRDefault="00586C4A" w:rsidP="00A96BB4">
            <w:pPr>
              <w:cnfStyle w:val="100000000000" w:firstRow="1" w:lastRow="0" w:firstColumn="0" w:lastColumn="0" w:oddVBand="0" w:evenVBand="0" w:oddHBand="0" w:evenHBand="0" w:firstRowFirstColumn="0" w:firstRowLastColumn="0" w:lastRowFirstColumn="0" w:lastRowLastColumn="0"/>
            </w:pPr>
            <w:r w:rsidRPr="006A74F8">
              <w:t>Explanation</w:t>
            </w:r>
          </w:p>
        </w:tc>
      </w:tr>
      <w:tr w:rsidR="00586C4A" w:rsidRPr="006A74F8" w:rsidTr="00A96BB4">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15" w:type="dxa"/>
            <w:vMerge/>
            <w:tcBorders>
              <w:bottom w:val="double" w:sz="4" w:space="0" w:color="auto"/>
            </w:tcBorders>
          </w:tcPr>
          <w:p w:rsidR="00586C4A" w:rsidRPr="006A74F8" w:rsidRDefault="00586C4A" w:rsidP="00A96BB4"/>
        </w:tc>
        <w:tc>
          <w:tcPr>
            <w:tcW w:w="633" w:type="dxa"/>
            <w:tcBorders>
              <w:top w:val="nil"/>
              <w:bottom w:val="double" w:sz="4" w:space="0" w:color="auto"/>
            </w:tcBorders>
          </w:tcPr>
          <w:p w:rsidR="00586C4A" w:rsidRPr="006A74F8"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586C4A" w:rsidRPr="006A74F8"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586C4A" w:rsidRPr="006A74F8"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61" w:type="dxa"/>
            <w:vMerge/>
            <w:tcBorders>
              <w:bottom w:val="double" w:sz="4" w:space="0" w:color="auto"/>
            </w:tcBorders>
          </w:tcPr>
          <w:p w:rsidR="00586C4A" w:rsidRPr="006A74F8" w:rsidRDefault="00586C4A" w:rsidP="00A96BB4">
            <w:pPr>
              <w:cnfStyle w:val="100000000000" w:firstRow="1" w:lastRow="0" w:firstColumn="0" w:lastColumn="0" w:oddVBand="0" w:evenVBand="0" w:oddHBand="0" w:evenHBand="0" w:firstRowFirstColumn="0" w:firstRowLastColumn="0" w:lastRowFirstColumn="0" w:lastRowLastColumn="0"/>
            </w:pPr>
          </w:p>
        </w:tc>
      </w:tr>
      <w:tr w:rsidR="00586C4A" w:rsidRPr="006A74F8" w:rsidTr="00A9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vAlign w:val="center"/>
          </w:tcPr>
          <w:p w:rsidR="00586C4A" w:rsidRPr="006A74F8" w:rsidRDefault="00586C4A" w:rsidP="00A96BB4">
            <w:pPr>
              <w:rPr>
                <w:rFonts w:ascii="Calibri" w:eastAsia="Calibri" w:hAnsi="Calibri"/>
                <w:b w:val="0"/>
                <w:sz w:val="20"/>
                <w:szCs w:val="20"/>
              </w:rPr>
            </w:pPr>
            <w:r w:rsidRPr="006A74F8">
              <w:rPr>
                <w:rFonts w:ascii="Calibri" w:eastAsia="Calibri" w:hAnsi="Calibri"/>
                <w:b w:val="0"/>
                <w:sz w:val="20"/>
                <w:szCs w:val="20"/>
              </w:rPr>
              <w:t>Getting what you pay for</w:t>
            </w:r>
          </w:p>
        </w:tc>
        <w:tc>
          <w:tcPr>
            <w:tcW w:w="633" w:type="dxa"/>
            <w:tcBorders>
              <w:right w:val="single" w:sz="4" w:space="0" w:color="FFFFFF" w:themeColor="background1"/>
            </w:tcBorders>
            <w:shd w:val="clear" w:color="auto" w:fill="398E98"/>
            <w:vAlign w:val="center"/>
          </w:tcPr>
          <w:p w:rsidR="00586C4A" w:rsidRPr="006A74F8"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33" w:type="dxa"/>
            <w:tcBorders>
              <w:left w:val="single" w:sz="4" w:space="0" w:color="FFFFFF" w:themeColor="background1"/>
              <w:right w:val="single" w:sz="4" w:space="0" w:color="FFFFFF" w:themeColor="background1"/>
            </w:tcBorders>
            <w:shd w:val="clear" w:color="auto" w:fill="398E98"/>
            <w:vAlign w:val="center"/>
          </w:tcPr>
          <w:p w:rsidR="00586C4A" w:rsidRPr="006A74F8"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33" w:type="dxa"/>
            <w:tcBorders>
              <w:left w:val="single" w:sz="4" w:space="0" w:color="FFFFFF" w:themeColor="background1"/>
            </w:tcBorders>
            <w:shd w:val="clear" w:color="auto" w:fill="398E98"/>
            <w:vAlign w:val="center"/>
          </w:tcPr>
          <w:p w:rsidR="00586C4A" w:rsidRPr="006A74F8"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5161" w:type="dxa"/>
            <w:vAlign w:val="center"/>
          </w:tcPr>
          <w:p w:rsidR="00586C4A" w:rsidRPr="006A74F8" w:rsidRDefault="00586C4A" w:rsidP="00A96BB4">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6A74F8">
              <w:rPr>
                <w:rFonts w:ascii="Calibri" w:eastAsia="Calibri" w:hAnsi="Calibri"/>
                <w:b/>
                <w:sz w:val="20"/>
                <w:szCs w:val="20"/>
              </w:rPr>
              <w:t>Compliance and enforcement</w:t>
            </w:r>
            <w:r w:rsidRPr="006A74F8">
              <w:rPr>
                <w:rFonts w:ascii="Calibri" w:eastAsia="Calibri" w:hAnsi="Calibri"/>
                <w:sz w:val="20"/>
                <w:szCs w:val="20"/>
              </w:rPr>
              <w:t xml:space="preserve">: </w:t>
            </w:r>
            <w:r w:rsidRPr="006A74F8">
              <w:rPr>
                <w:sz w:val="20"/>
                <w:szCs w:val="20"/>
              </w:rPr>
              <w:t xml:space="preserve">Ability for government to achieve fairer and more effective compliance outcomes through the use of tailored and strengthened compliance and enforcement tools. </w:t>
            </w:r>
          </w:p>
        </w:tc>
      </w:tr>
    </w:tbl>
    <w:p w:rsidR="008C4EAB" w:rsidRPr="006A74F8" w:rsidRDefault="00FD3396" w:rsidP="00586C4A">
      <w:pPr>
        <w:spacing w:before="240"/>
      </w:pPr>
      <w:r w:rsidRPr="006A74F8">
        <w:t xml:space="preserve">The framework currently provides NMI with a </w:t>
      </w:r>
      <w:r w:rsidR="00647703" w:rsidRPr="006A74F8">
        <w:t>limited</w:t>
      </w:r>
      <w:r w:rsidR="001375F4" w:rsidRPr="006A74F8">
        <w:t xml:space="preserve"> </w:t>
      </w:r>
      <w:r w:rsidRPr="006A74F8">
        <w:t>suite of complia</w:t>
      </w:r>
      <w:r w:rsidR="001375F4" w:rsidRPr="006A74F8">
        <w:t xml:space="preserve">nce and enforcement tools. </w:t>
      </w:r>
      <w:r w:rsidR="00647703" w:rsidRPr="006A74F8">
        <w:t>This</w:t>
      </w:r>
      <w:r w:rsidR="001375F4" w:rsidRPr="006A74F8">
        <w:t xml:space="preserve">, at times, </w:t>
      </w:r>
      <w:r w:rsidR="00647703" w:rsidRPr="006A74F8">
        <w:t xml:space="preserve">can impact the effectiveness of NMI’s compliance and enforcement action as the right tool is not always available to </w:t>
      </w:r>
      <w:r w:rsidR="009243D3" w:rsidRPr="006A74F8">
        <w:t>maximise the likelihood of achieving</w:t>
      </w:r>
      <w:r w:rsidR="00647703" w:rsidRPr="006A74F8">
        <w:t xml:space="preserve"> the desired compliance outcome. </w:t>
      </w:r>
    </w:p>
    <w:p w:rsidR="008C4EAB" w:rsidRPr="006A74F8" w:rsidRDefault="00FD3396" w:rsidP="00732824">
      <w:r w:rsidRPr="006A74F8">
        <w:t xml:space="preserve">Under </w:t>
      </w:r>
      <w:r w:rsidRPr="006A74F8">
        <w:rPr>
          <w:b/>
        </w:rPr>
        <w:t>all reform options</w:t>
      </w:r>
      <w:r w:rsidRPr="006A74F8">
        <w:t xml:space="preserve"> the suite of compliance and enforcement tools available to NMI would be expanded to support a more tailored and collaborative approach. Compliance tools that enable NMI to work with industry to correct non-compliances and </w:t>
      </w:r>
      <w:r w:rsidR="00E2648E" w:rsidRPr="006A74F8">
        <w:t xml:space="preserve">influence </w:t>
      </w:r>
      <w:r w:rsidRPr="006A74F8">
        <w:t xml:space="preserve">broader industry behavioural change will help achieve better compliance outcomes for consumers. </w:t>
      </w:r>
      <w:r w:rsidR="008C4EAB" w:rsidRPr="006A74F8">
        <w:t>Fines will be more appropriately tailored to the seriousness of the contravention and whether the person</w:t>
      </w:r>
      <w:r w:rsidR="006F6B78">
        <w:t xml:space="preserve"> contravening</w:t>
      </w:r>
      <w:r w:rsidR="008C4EAB" w:rsidRPr="006A74F8">
        <w:t xml:space="preserve"> is an individual, a small business or a large corporation. </w:t>
      </w:r>
      <w:r w:rsidRPr="006A74F8">
        <w:t xml:space="preserve">The inclusion of strengthened enforcement tools provide continued assurance to consumers that serious contraventions and systemic non-compliance with be met with appropriate action. </w:t>
      </w:r>
    </w:p>
    <w:p w:rsidR="00FD3396" w:rsidRPr="006A74F8" w:rsidRDefault="00FD3396" w:rsidP="00732824">
      <w:r w:rsidRPr="006A74F8">
        <w:t xml:space="preserve">Under </w:t>
      </w:r>
      <w:r w:rsidRPr="006A74F8">
        <w:rPr>
          <w:b/>
        </w:rPr>
        <w:t>option</w:t>
      </w:r>
      <w:r w:rsidR="0019350A" w:rsidRPr="006A74F8">
        <w:rPr>
          <w:b/>
        </w:rPr>
        <w:t>s</w:t>
      </w:r>
      <w:r w:rsidRPr="006A74F8">
        <w:rPr>
          <w:b/>
        </w:rPr>
        <w:t xml:space="preserve"> 2</w:t>
      </w:r>
      <w:r w:rsidRPr="006A74F8">
        <w:t xml:space="preserve"> </w:t>
      </w:r>
      <w:r w:rsidR="0019350A" w:rsidRPr="006A74F8">
        <w:rPr>
          <w:b/>
        </w:rPr>
        <w:t>and 3</w:t>
      </w:r>
      <w:r w:rsidRPr="006A74F8">
        <w:t xml:space="preserve"> enforceable industry codes of conduct and recall powers are also included</w:t>
      </w:r>
      <w:r w:rsidR="0019350A" w:rsidRPr="006A74F8">
        <w:t xml:space="preserve"> to further </w:t>
      </w:r>
      <w:r w:rsidR="007927A2" w:rsidRPr="006A74F8">
        <w:t>supplement</w:t>
      </w:r>
      <w:r w:rsidR="0019350A" w:rsidRPr="006A74F8">
        <w:t xml:space="preserve"> the compliance and enforcement tools available</w:t>
      </w:r>
      <w:r w:rsidR="007927A2" w:rsidRPr="006A74F8">
        <w:t xml:space="preserve"> under </w:t>
      </w:r>
      <w:r w:rsidR="007927A2" w:rsidRPr="006A74F8">
        <w:rPr>
          <w:b/>
        </w:rPr>
        <w:t>option 1</w:t>
      </w:r>
      <w:r w:rsidRPr="006A74F8">
        <w:t xml:space="preserve">. Industry codes of conduct will </w:t>
      </w:r>
      <w:r w:rsidR="0019350A" w:rsidRPr="006A74F8">
        <w:t>give</w:t>
      </w:r>
      <w:r w:rsidRPr="006A74F8">
        <w:t xml:space="preserve"> NMI </w:t>
      </w:r>
      <w:r w:rsidR="0019350A" w:rsidRPr="006A74F8">
        <w:t>the ability</w:t>
      </w:r>
      <w:r w:rsidRPr="006A74F8">
        <w:t xml:space="preserve"> to better target compliance issues in particular sectors </w:t>
      </w:r>
      <w:r w:rsidR="0019350A" w:rsidRPr="006A74F8">
        <w:t>where broader industry issues are identified.</w:t>
      </w:r>
      <w:r w:rsidRPr="006A74F8">
        <w:t xml:space="preserve"> The inclusion of recall powers will provide </w:t>
      </w:r>
      <w:r w:rsidR="0019350A" w:rsidRPr="006A74F8">
        <w:t>additional</w:t>
      </w:r>
      <w:r w:rsidRPr="006A74F8">
        <w:t xml:space="preserve"> post-market assurances for packages and measuring instruments where large scale issues are identified (e.g. to support the inclusion of more flexible pre-market controls of measuring instruments, this could be balanced by recall powers to remove non-compliant instruments from the market).</w:t>
      </w:r>
      <w:r w:rsidR="0019350A" w:rsidRPr="006A74F8">
        <w:t xml:space="preserve"> The </w:t>
      </w:r>
      <w:r w:rsidR="0019350A" w:rsidRPr="006A74F8">
        <w:lastRenderedPageBreak/>
        <w:t xml:space="preserve">inclusion of these additional tools under </w:t>
      </w:r>
      <w:r w:rsidR="0019350A" w:rsidRPr="006A74F8">
        <w:rPr>
          <w:b/>
        </w:rPr>
        <w:t>options 2 and 3</w:t>
      </w:r>
      <w:r w:rsidR="0019350A" w:rsidRPr="006A74F8">
        <w:t xml:space="preserve"> are not thought to significantly </w:t>
      </w:r>
      <w:r w:rsidR="005378AF" w:rsidRPr="006A74F8">
        <w:t>change</w:t>
      </w:r>
      <w:r w:rsidR="0019350A" w:rsidRPr="006A74F8">
        <w:t xml:space="preserve"> the overall benefit </w:t>
      </w:r>
      <w:r w:rsidR="001C6683" w:rsidRPr="006A74F8">
        <w:t xml:space="preserve">described for </w:t>
      </w:r>
      <w:r w:rsidR="001C6683" w:rsidRPr="006A74F8">
        <w:rPr>
          <w:b/>
        </w:rPr>
        <w:t>option 1</w:t>
      </w:r>
      <w:r w:rsidR="001C6683" w:rsidRPr="006A74F8">
        <w:t>.</w:t>
      </w:r>
    </w:p>
    <w:p w:rsidR="005E1D27" w:rsidRPr="006A74F8" w:rsidRDefault="00B52DFA" w:rsidP="00732824">
      <w:r w:rsidRPr="006A74F8">
        <w:t xml:space="preserve">Across </w:t>
      </w:r>
      <w:r w:rsidRPr="006A74F8">
        <w:rPr>
          <w:b/>
        </w:rPr>
        <w:t xml:space="preserve">all </w:t>
      </w:r>
      <w:r w:rsidR="00054D3D" w:rsidRPr="006A74F8">
        <w:rPr>
          <w:b/>
        </w:rPr>
        <w:t>reform</w:t>
      </w:r>
      <w:r w:rsidRPr="006A74F8">
        <w:rPr>
          <w:b/>
        </w:rPr>
        <w:t xml:space="preserve"> options</w:t>
      </w:r>
      <w:r w:rsidRPr="006A74F8">
        <w:t>, compliance and enforcement activities will benefit from the removal of the secrecy provision contained in s</w:t>
      </w:r>
      <w:r w:rsidR="007927A2" w:rsidRPr="006A74F8">
        <w:t>ection</w:t>
      </w:r>
      <w:r w:rsidRPr="006A74F8">
        <w:t xml:space="preserve"> 19H of the </w:t>
      </w:r>
      <w:r w:rsidRPr="006A74F8">
        <w:rPr>
          <w:i/>
        </w:rPr>
        <w:t>N</w:t>
      </w:r>
      <w:r w:rsidR="005378AF" w:rsidRPr="006A74F8">
        <w:rPr>
          <w:i/>
        </w:rPr>
        <w:t xml:space="preserve">ational </w:t>
      </w:r>
      <w:r w:rsidRPr="006A74F8">
        <w:rPr>
          <w:i/>
        </w:rPr>
        <w:t>M</w:t>
      </w:r>
      <w:r w:rsidR="005378AF" w:rsidRPr="006A74F8">
        <w:rPr>
          <w:i/>
        </w:rPr>
        <w:t xml:space="preserve">easurement </w:t>
      </w:r>
      <w:r w:rsidRPr="006A74F8">
        <w:rPr>
          <w:i/>
        </w:rPr>
        <w:t>Act</w:t>
      </w:r>
      <w:r w:rsidR="005378AF" w:rsidRPr="006A74F8">
        <w:rPr>
          <w:i/>
        </w:rPr>
        <w:t xml:space="preserve"> 1960</w:t>
      </w:r>
      <w:r w:rsidRPr="006A74F8">
        <w:t>. This provision currently prohibits NMI from sharing information</w:t>
      </w:r>
      <w:r w:rsidR="00CC56D3" w:rsidRPr="006A74F8">
        <w:t>,</w:t>
      </w:r>
      <w:r w:rsidRPr="006A74F8">
        <w:t xml:space="preserve"> as well as communicating the outcomes of investigations and releasing details of enforcement actions taken. Removing this provision will enable NMI to share this information more easily, where appropriate, and clearly signal where it is taking corrective action. This will encourage greater compliance with requirements and provide confidence to consumers that they are getting what they pay for.</w:t>
      </w:r>
      <w:r w:rsidR="001C6683" w:rsidRPr="006A74F8">
        <w:t xml:space="preserve"> </w:t>
      </w:r>
    </w:p>
    <w:p w:rsidR="00B52DFA" w:rsidRPr="006A74F8" w:rsidRDefault="003319D7" w:rsidP="00732824">
      <w:r w:rsidRPr="006A74F8">
        <w:t xml:space="preserve">Across </w:t>
      </w:r>
      <w:r w:rsidRPr="006A74F8">
        <w:rPr>
          <w:b/>
        </w:rPr>
        <w:t>all reform options</w:t>
      </w:r>
      <w:r w:rsidRPr="006A74F8">
        <w:t xml:space="preserve">, the </w:t>
      </w:r>
      <w:r w:rsidR="001C6683" w:rsidRPr="006A74F8">
        <w:t xml:space="preserve">change in the overall benefit to consumers </w:t>
      </w:r>
      <w:r w:rsidRPr="006A74F8">
        <w:t xml:space="preserve">from NMI having enhanced compliance and enforcement tools </w:t>
      </w:r>
      <w:r w:rsidR="001C6683" w:rsidRPr="006A74F8">
        <w:t xml:space="preserve">is </w:t>
      </w:r>
      <w:r w:rsidRPr="006A74F8">
        <w:t xml:space="preserve">considered to be moderately beneficial. </w:t>
      </w:r>
    </w:p>
    <w:p w:rsidR="000D1CF3" w:rsidRPr="006A74F8" w:rsidRDefault="000D1CF3" w:rsidP="00FE4DE1">
      <w:pPr>
        <w:pStyle w:val="Heading3"/>
        <w:tabs>
          <w:tab w:val="left" w:pos="993"/>
        </w:tabs>
      </w:pPr>
      <w:r w:rsidRPr="006A74F8">
        <w:t>Time Burden (packaged products)</w:t>
      </w:r>
    </w:p>
    <w:tbl>
      <w:tblPr>
        <w:tblStyle w:val="PlainTable2"/>
        <w:tblW w:w="8875" w:type="dxa"/>
        <w:tblLook w:val="04A0" w:firstRow="1" w:lastRow="0" w:firstColumn="1" w:lastColumn="0" w:noHBand="0" w:noVBand="1"/>
        <w:tblCaption w:val="12.1.4 Time burden (packaged products)"/>
        <w:tblDescription w:val="Impact of reform options on time burden - Option 1 is rated 0, neutral. Options 2 and 3 are rated -1, slight adverse. Packaging: Potential time burden to locate the measurement mark if not presented on the front of packaged products. Impacts limited where Unit Pricing Code in effect.  "/>
      </w:tblPr>
      <w:tblGrid>
        <w:gridCol w:w="1815"/>
        <w:gridCol w:w="633"/>
        <w:gridCol w:w="633"/>
        <w:gridCol w:w="633"/>
        <w:gridCol w:w="5161"/>
      </w:tblGrid>
      <w:tr w:rsidR="00586C4A" w:rsidRPr="006A74F8" w:rsidTr="00A96BB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12" w:space="0" w:color="auto"/>
            </w:tcBorders>
            <w:vAlign w:val="center"/>
          </w:tcPr>
          <w:p w:rsidR="00586C4A" w:rsidRPr="006A74F8" w:rsidRDefault="00586C4A" w:rsidP="00A96BB4">
            <w:r w:rsidRPr="006A74F8">
              <w:t>Impact</w:t>
            </w:r>
          </w:p>
        </w:tc>
        <w:tc>
          <w:tcPr>
            <w:tcW w:w="1899" w:type="dxa"/>
            <w:gridSpan w:val="3"/>
            <w:tcBorders>
              <w:top w:val="single" w:sz="12" w:space="0" w:color="auto"/>
              <w:bottom w:val="nil"/>
            </w:tcBorders>
            <w:vAlign w:val="center"/>
          </w:tcPr>
          <w:p w:rsidR="00586C4A" w:rsidRPr="006A74F8" w:rsidRDefault="00586C4A" w:rsidP="00A96BB4">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61" w:type="dxa"/>
            <w:vMerge w:val="restart"/>
            <w:tcBorders>
              <w:top w:val="single" w:sz="12" w:space="0" w:color="auto"/>
            </w:tcBorders>
            <w:vAlign w:val="center"/>
          </w:tcPr>
          <w:p w:rsidR="00586C4A" w:rsidRPr="006A74F8" w:rsidRDefault="00586C4A" w:rsidP="00A96BB4">
            <w:pPr>
              <w:cnfStyle w:val="100000000000" w:firstRow="1" w:lastRow="0" w:firstColumn="0" w:lastColumn="0" w:oddVBand="0" w:evenVBand="0" w:oddHBand="0" w:evenHBand="0" w:firstRowFirstColumn="0" w:firstRowLastColumn="0" w:lastRowFirstColumn="0" w:lastRowLastColumn="0"/>
            </w:pPr>
            <w:r w:rsidRPr="006A74F8">
              <w:t>Explanation</w:t>
            </w:r>
          </w:p>
        </w:tc>
      </w:tr>
      <w:tr w:rsidR="00586C4A" w:rsidRPr="006A74F8" w:rsidTr="00A96BB4">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15" w:type="dxa"/>
            <w:vMerge/>
            <w:tcBorders>
              <w:bottom w:val="double" w:sz="4" w:space="0" w:color="auto"/>
            </w:tcBorders>
          </w:tcPr>
          <w:p w:rsidR="00586C4A" w:rsidRPr="006A74F8" w:rsidRDefault="00586C4A" w:rsidP="00A96BB4"/>
        </w:tc>
        <w:tc>
          <w:tcPr>
            <w:tcW w:w="633" w:type="dxa"/>
            <w:tcBorders>
              <w:top w:val="nil"/>
              <w:bottom w:val="double" w:sz="4" w:space="0" w:color="auto"/>
            </w:tcBorders>
          </w:tcPr>
          <w:p w:rsidR="00586C4A" w:rsidRPr="006A74F8"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586C4A" w:rsidRPr="006A74F8"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586C4A" w:rsidRPr="006A74F8"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61" w:type="dxa"/>
            <w:vMerge/>
            <w:tcBorders>
              <w:bottom w:val="double" w:sz="4" w:space="0" w:color="auto"/>
            </w:tcBorders>
          </w:tcPr>
          <w:p w:rsidR="00586C4A" w:rsidRPr="006A74F8" w:rsidRDefault="00586C4A" w:rsidP="00A96BB4">
            <w:pPr>
              <w:cnfStyle w:val="100000000000" w:firstRow="1" w:lastRow="0" w:firstColumn="0" w:lastColumn="0" w:oddVBand="0" w:evenVBand="0" w:oddHBand="0" w:evenHBand="0" w:firstRowFirstColumn="0" w:firstRowLastColumn="0" w:lastRowFirstColumn="0" w:lastRowLastColumn="0"/>
            </w:pPr>
          </w:p>
        </w:tc>
      </w:tr>
      <w:tr w:rsidR="00586C4A" w:rsidRPr="006A74F8" w:rsidTr="00A9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vAlign w:val="center"/>
          </w:tcPr>
          <w:p w:rsidR="00586C4A" w:rsidRPr="006A74F8" w:rsidRDefault="00586C4A" w:rsidP="00A96BB4">
            <w:pPr>
              <w:rPr>
                <w:rFonts w:ascii="Calibri" w:eastAsia="Calibri" w:hAnsi="Calibri"/>
                <w:b w:val="0"/>
                <w:sz w:val="20"/>
                <w:szCs w:val="20"/>
              </w:rPr>
            </w:pPr>
            <w:r w:rsidRPr="006A74F8">
              <w:rPr>
                <w:rFonts w:ascii="Calibri" w:eastAsia="Calibri" w:hAnsi="Calibri"/>
                <w:b w:val="0"/>
                <w:sz w:val="20"/>
                <w:szCs w:val="20"/>
              </w:rPr>
              <w:t>Time burden</w:t>
            </w:r>
          </w:p>
        </w:tc>
        <w:tc>
          <w:tcPr>
            <w:tcW w:w="633" w:type="dxa"/>
            <w:tcBorders>
              <w:right w:val="single" w:sz="4" w:space="0" w:color="FFFFFF" w:themeColor="background1"/>
            </w:tcBorders>
            <w:shd w:val="clear" w:color="auto" w:fill="FFFFC5"/>
            <w:vAlign w:val="center"/>
          </w:tcPr>
          <w:p w:rsidR="00586C4A" w:rsidRPr="006A74F8"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0</w:t>
            </w:r>
          </w:p>
        </w:tc>
        <w:tc>
          <w:tcPr>
            <w:tcW w:w="633" w:type="dxa"/>
            <w:tcBorders>
              <w:left w:val="single" w:sz="4" w:space="0" w:color="FFFFFF" w:themeColor="background1"/>
              <w:right w:val="single" w:sz="4" w:space="0" w:color="FFFFFF" w:themeColor="background1"/>
            </w:tcBorders>
            <w:shd w:val="clear" w:color="auto" w:fill="FFBC79"/>
            <w:vAlign w:val="center"/>
          </w:tcPr>
          <w:p w:rsidR="00586C4A" w:rsidRPr="006A74F8"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33" w:type="dxa"/>
            <w:tcBorders>
              <w:left w:val="single" w:sz="4" w:space="0" w:color="FFFFFF" w:themeColor="background1"/>
            </w:tcBorders>
            <w:shd w:val="clear" w:color="auto" w:fill="FFBC79"/>
            <w:vAlign w:val="center"/>
          </w:tcPr>
          <w:p w:rsidR="00586C4A" w:rsidRPr="006A74F8"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5161" w:type="dxa"/>
            <w:vAlign w:val="center"/>
          </w:tcPr>
          <w:p w:rsidR="00586C4A" w:rsidRPr="006A74F8" w:rsidRDefault="00586C4A" w:rsidP="00A96BB4">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6A74F8">
              <w:rPr>
                <w:rFonts w:ascii="Calibri" w:eastAsia="Calibri" w:hAnsi="Calibri"/>
                <w:b/>
                <w:sz w:val="20"/>
                <w:szCs w:val="20"/>
              </w:rPr>
              <w:t>Packaging</w:t>
            </w:r>
            <w:r w:rsidRPr="006A74F8">
              <w:rPr>
                <w:rFonts w:ascii="Calibri" w:eastAsia="Calibri" w:hAnsi="Calibri"/>
                <w:sz w:val="20"/>
                <w:szCs w:val="20"/>
              </w:rPr>
              <w:t>: Potential time burden to locate the measurement mark if not presented on the front of packaged products. Impacts limited where Unit Pricing Code in effect.</w:t>
            </w:r>
          </w:p>
        </w:tc>
      </w:tr>
    </w:tbl>
    <w:p w:rsidR="00D06CE1" w:rsidRPr="006A74F8" w:rsidRDefault="00EC7BDC" w:rsidP="00586C4A">
      <w:pPr>
        <w:spacing w:before="240"/>
        <w:rPr>
          <w:rFonts w:cstheme="minorHAnsi"/>
        </w:rPr>
      </w:pPr>
      <w:r w:rsidRPr="006A74F8">
        <w:rPr>
          <w:rStyle w:val="normaltextrun"/>
          <w:rFonts w:ascii="Calibri" w:hAnsi="Calibri" w:cs="Calibri"/>
          <w:color w:val="000000"/>
          <w:shd w:val="clear" w:color="auto" w:fill="FFFFFF"/>
        </w:rPr>
        <w:t xml:space="preserve">Relaxing the current presentational requirements for the measurement mark on packaged products may </w:t>
      </w:r>
      <w:r w:rsidR="00441FB2" w:rsidRPr="006A74F8">
        <w:rPr>
          <w:rStyle w:val="normaltextrun"/>
          <w:rFonts w:ascii="Calibri" w:hAnsi="Calibri" w:cs="Calibri"/>
          <w:color w:val="000000"/>
          <w:shd w:val="clear" w:color="auto" w:fill="FFFFFF"/>
        </w:rPr>
        <w:t xml:space="preserve">result in </w:t>
      </w:r>
      <w:r w:rsidRPr="006A74F8">
        <w:rPr>
          <w:rStyle w:val="normaltextrun"/>
          <w:rFonts w:ascii="Calibri" w:hAnsi="Calibri" w:cs="Calibri"/>
          <w:color w:val="000000"/>
          <w:shd w:val="clear" w:color="auto" w:fill="FFFFFF"/>
        </w:rPr>
        <w:t>a time burden for consumers to locate the measurement mark.</w:t>
      </w:r>
      <w:r w:rsidR="002A1887" w:rsidRPr="006A74F8">
        <w:rPr>
          <w:rFonts w:cstheme="minorHAnsi"/>
        </w:rPr>
        <w:t xml:space="preserve"> </w:t>
      </w:r>
      <w:r w:rsidR="00FD3396" w:rsidRPr="006A74F8">
        <w:t xml:space="preserve">The current measurement marking regulations are highly prescriptive, requiring front of pack labelling and specific font characteristics, size and placement.  </w:t>
      </w:r>
    </w:p>
    <w:p w:rsidR="00FD3396" w:rsidRPr="006A74F8" w:rsidRDefault="00FD3396" w:rsidP="00732824">
      <w:r w:rsidRPr="006A74F8">
        <w:rPr>
          <w:b/>
        </w:rPr>
        <w:t>All reform options</w:t>
      </w:r>
      <w:r w:rsidRPr="006A74F8">
        <w:t xml:space="preserve"> will introduce a more principles-based approach for the prominent and legible display of the measurement mark on packaged goods.</w:t>
      </w:r>
    </w:p>
    <w:p w:rsidR="00863C1A" w:rsidRPr="006A74F8" w:rsidRDefault="00FD3396" w:rsidP="00732824">
      <w:r w:rsidRPr="006A74F8">
        <w:t xml:space="preserve">Consumers need to be able to access measurement information on packaged products in order to compare products and inform their purchasing decisions. </w:t>
      </w:r>
      <w:r w:rsidR="00863C1A" w:rsidRPr="006A74F8">
        <w:rPr>
          <w:b/>
        </w:rPr>
        <w:t>All reform options</w:t>
      </w:r>
      <w:r w:rsidR="00AB7A69" w:rsidRPr="006A74F8">
        <w:t xml:space="preserve"> require the prominent and legible display of the measurement mark</w:t>
      </w:r>
      <w:r w:rsidR="00863C1A" w:rsidRPr="006A74F8">
        <w:t xml:space="preserve"> and</w:t>
      </w:r>
      <w:r w:rsidR="00AB7A69" w:rsidRPr="006A74F8">
        <w:t xml:space="preserve"> retain</w:t>
      </w:r>
      <w:r w:rsidR="00AB7A69" w:rsidRPr="006A74F8" w:rsidDel="00863C1A">
        <w:t xml:space="preserve"> </w:t>
      </w:r>
      <w:r w:rsidR="00AB7A69" w:rsidRPr="006A74F8">
        <w:t>m</w:t>
      </w:r>
      <w:r w:rsidR="00AB7A69" w:rsidRPr="006A74F8">
        <w:rPr>
          <w:rFonts w:ascii="Calibri" w:hAnsi="Calibri" w:cs="Calibri"/>
        </w:rPr>
        <w:t>inimum height (font size)</w:t>
      </w:r>
      <w:r w:rsidR="00AB7A69" w:rsidRPr="006A74F8">
        <w:rPr>
          <w:rFonts w:ascii="Calibri" w:hAnsi="Calibri" w:cs="Calibri"/>
          <w:color w:val="000000"/>
          <w:lang w:val="en-US"/>
        </w:rPr>
        <w:t xml:space="preserve"> and a </w:t>
      </w:r>
      <w:r w:rsidR="00AB7A69" w:rsidRPr="006A74F8">
        <w:rPr>
          <w:rFonts w:ascii="Calibri" w:hAnsi="Calibri" w:cs="Calibri"/>
        </w:rPr>
        <w:t>distinct contrast with background colour.</w:t>
      </w:r>
      <w:r w:rsidR="00863C1A" w:rsidRPr="006A74F8">
        <w:rPr>
          <w:rFonts w:ascii="Calibri" w:hAnsi="Calibri" w:cs="Calibri"/>
        </w:rPr>
        <w:t xml:space="preserve"> </w:t>
      </w:r>
      <w:r w:rsidR="00863C1A" w:rsidRPr="006A74F8">
        <w:rPr>
          <w:rFonts w:ascii="Calibri" w:hAnsi="Calibri" w:cs="Calibri"/>
          <w:b/>
        </w:rPr>
        <w:t xml:space="preserve">Option 1 </w:t>
      </w:r>
      <w:r w:rsidR="00863C1A" w:rsidRPr="006A74F8">
        <w:rPr>
          <w:rFonts w:ascii="Calibri" w:hAnsi="Calibri" w:cs="Calibri"/>
        </w:rPr>
        <w:t xml:space="preserve">also retains the </w:t>
      </w:r>
      <w:r w:rsidR="00863C1A" w:rsidRPr="006A74F8">
        <w:t xml:space="preserve">prescriptive requirements for front of pack marking (in line with OIML R79), however, </w:t>
      </w:r>
      <w:r w:rsidR="00863C1A" w:rsidRPr="006A74F8">
        <w:rPr>
          <w:b/>
        </w:rPr>
        <w:t xml:space="preserve">options 2 and 3 </w:t>
      </w:r>
      <w:r w:rsidR="00863C1A" w:rsidRPr="006A74F8">
        <w:t>remove the prescriptive front of pack requirement for all products.</w:t>
      </w:r>
    </w:p>
    <w:p w:rsidR="00AF5435" w:rsidRPr="006A74F8" w:rsidRDefault="00AB7A69" w:rsidP="00732824">
      <w:r w:rsidRPr="006A74F8">
        <w:rPr>
          <w:rFonts w:ascii="Calibri" w:hAnsi="Calibri" w:cs="Calibri"/>
        </w:rPr>
        <w:t>A power</w:t>
      </w:r>
      <w:r w:rsidR="00DD521D" w:rsidRPr="006A74F8">
        <w:rPr>
          <w:rFonts w:ascii="Calibri" w:hAnsi="Calibri" w:cs="Calibri"/>
        </w:rPr>
        <w:t xml:space="preserve"> to exempt </w:t>
      </w:r>
      <w:r w:rsidRPr="006A74F8">
        <w:rPr>
          <w:rFonts w:ascii="Calibri" w:hAnsi="Calibri" w:cs="Calibri"/>
        </w:rPr>
        <w:t xml:space="preserve">particular types of </w:t>
      </w:r>
      <w:r w:rsidR="00DD521D" w:rsidRPr="006A74F8">
        <w:rPr>
          <w:rFonts w:ascii="Calibri" w:hAnsi="Calibri" w:cs="Calibri"/>
        </w:rPr>
        <w:t xml:space="preserve">products </w:t>
      </w:r>
      <w:r w:rsidRPr="006A74F8">
        <w:rPr>
          <w:rFonts w:ascii="Calibri" w:hAnsi="Calibri" w:cs="Calibri"/>
        </w:rPr>
        <w:t>will be included, which will initially</w:t>
      </w:r>
      <w:r w:rsidR="00DD521D" w:rsidRPr="006A74F8">
        <w:rPr>
          <w:rFonts w:ascii="Calibri" w:hAnsi="Calibri" w:cs="Calibri"/>
        </w:rPr>
        <w:t xml:space="preserve"> i</w:t>
      </w:r>
      <w:r w:rsidR="00FD3396" w:rsidRPr="006A74F8">
        <w:rPr>
          <w:rFonts w:ascii="Calibri" w:hAnsi="Calibri" w:cs="Calibri"/>
        </w:rPr>
        <w:t>n</w:t>
      </w:r>
      <w:r w:rsidR="00DD521D" w:rsidRPr="006A74F8">
        <w:rPr>
          <w:rFonts w:ascii="Calibri" w:hAnsi="Calibri" w:cs="Calibri"/>
        </w:rPr>
        <w:t xml:space="preserve">clude </w:t>
      </w:r>
      <w:r w:rsidRPr="006A74F8">
        <w:rPr>
          <w:rFonts w:ascii="Calibri" w:hAnsi="Calibri" w:cs="Calibri"/>
        </w:rPr>
        <w:t>an</w:t>
      </w:r>
      <w:r w:rsidR="00FD3396" w:rsidRPr="006A74F8">
        <w:rPr>
          <w:rFonts w:ascii="Calibri" w:hAnsi="Calibri" w:cs="Calibri"/>
        </w:rPr>
        <w:t xml:space="preserve"> exemption for cosmetic products</w:t>
      </w:r>
      <w:r w:rsidR="00B20116" w:rsidRPr="006A74F8">
        <w:rPr>
          <w:rFonts w:ascii="Calibri" w:hAnsi="Calibri" w:cs="Calibri"/>
        </w:rPr>
        <w:t xml:space="preserve"> </w:t>
      </w:r>
      <w:r w:rsidRPr="006A74F8">
        <w:rPr>
          <w:rFonts w:ascii="Calibri" w:hAnsi="Calibri" w:cs="Calibri"/>
        </w:rPr>
        <w:t>and retain</w:t>
      </w:r>
      <w:r w:rsidR="00B20116" w:rsidRPr="006A74F8">
        <w:rPr>
          <w:rFonts w:ascii="Calibri" w:hAnsi="Calibri" w:cs="Calibri"/>
        </w:rPr>
        <w:t xml:space="preserve"> existing exemptions </w:t>
      </w:r>
      <w:r w:rsidR="00144F1F" w:rsidRPr="006A74F8">
        <w:rPr>
          <w:rFonts w:ascii="Calibri" w:hAnsi="Calibri" w:cs="Calibri"/>
        </w:rPr>
        <w:t xml:space="preserve">(e.g. </w:t>
      </w:r>
      <w:r w:rsidR="00B20116" w:rsidRPr="006A74F8">
        <w:rPr>
          <w:rFonts w:ascii="Calibri" w:hAnsi="Calibri" w:cs="Calibri"/>
        </w:rPr>
        <w:t xml:space="preserve">for </w:t>
      </w:r>
      <w:r w:rsidRPr="006A74F8">
        <w:rPr>
          <w:rFonts w:ascii="Calibri" w:hAnsi="Calibri" w:cs="Calibri"/>
        </w:rPr>
        <w:t xml:space="preserve">packaged </w:t>
      </w:r>
      <w:r w:rsidR="00B20116" w:rsidRPr="006A74F8">
        <w:t>automotive parts</w:t>
      </w:r>
      <w:r w:rsidR="00733610" w:rsidRPr="006A74F8">
        <w:t>,</w:t>
      </w:r>
      <w:r w:rsidR="00016ADE" w:rsidRPr="006A74F8">
        <w:rPr>
          <w:rStyle w:val="FootnoteReference"/>
        </w:rPr>
        <w:footnoteReference w:id="99"/>
      </w:r>
      <w:r w:rsidR="00144F1F" w:rsidRPr="006A74F8">
        <w:t xml:space="preserve"> </w:t>
      </w:r>
      <w:r w:rsidRPr="006A74F8">
        <w:t>wine bottles</w:t>
      </w:r>
      <w:r w:rsidR="00016ADE" w:rsidRPr="006A74F8">
        <w:rPr>
          <w:rStyle w:val="FootnoteReference"/>
        </w:rPr>
        <w:footnoteReference w:id="100"/>
      </w:r>
      <w:r w:rsidR="00144F1F" w:rsidRPr="006A74F8">
        <w:t xml:space="preserve"> and prescription therapeutic goods</w:t>
      </w:r>
      <w:r w:rsidR="00144F1F" w:rsidRPr="006A74F8">
        <w:rPr>
          <w:rStyle w:val="FootnoteReference"/>
        </w:rPr>
        <w:footnoteReference w:id="101"/>
      </w:r>
      <w:r w:rsidR="00144F1F" w:rsidRPr="006A74F8">
        <w:t xml:space="preserve">). </w:t>
      </w:r>
      <w:r w:rsidRPr="006A74F8">
        <w:rPr>
          <w:rFonts w:ascii="Calibri" w:hAnsi="Calibri" w:cs="Calibri"/>
        </w:rPr>
        <w:t>This</w:t>
      </w:r>
      <w:r w:rsidR="00FD3396" w:rsidRPr="006A74F8">
        <w:rPr>
          <w:rFonts w:ascii="Calibri" w:hAnsi="Calibri" w:cs="Calibri"/>
        </w:rPr>
        <w:t xml:space="preserve"> </w:t>
      </w:r>
      <w:r w:rsidR="00FD3396" w:rsidRPr="006A74F8">
        <w:t xml:space="preserve">means </w:t>
      </w:r>
      <w:r w:rsidRPr="006A74F8">
        <w:t xml:space="preserve">for exempted products </w:t>
      </w:r>
      <w:r w:rsidR="00FD3396" w:rsidRPr="006A74F8">
        <w:t xml:space="preserve">the measurement mark can be placed anywhere on the </w:t>
      </w:r>
      <w:r w:rsidR="00325EE3" w:rsidRPr="006A74F8">
        <w:t>package</w:t>
      </w:r>
      <w:r w:rsidR="0065446E" w:rsidRPr="006A74F8">
        <w:t>, provided the placement of the measurement mark is prominent and legible</w:t>
      </w:r>
      <w:r w:rsidR="00733610" w:rsidRPr="006A74F8">
        <w:t>.</w:t>
      </w:r>
      <w:r w:rsidR="004E7DBC" w:rsidRPr="006A74F8">
        <w:rPr>
          <w:rStyle w:val="FootnoteReference"/>
        </w:rPr>
        <w:footnoteReference w:id="102"/>
      </w:r>
      <w:r w:rsidR="00FA354C" w:rsidRPr="006A74F8">
        <w:t xml:space="preserve"> A mechanism will also be introduced to enable deemed </w:t>
      </w:r>
      <w:r w:rsidR="00D302E4" w:rsidRPr="006A74F8">
        <w:t>compliance pathways where</w:t>
      </w:r>
      <w:r w:rsidR="00FA354C" w:rsidRPr="006A74F8">
        <w:t xml:space="preserve"> certain types of packaged products </w:t>
      </w:r>
      <w:r w:rsidR="00D302E4" w:rsidRPr="006A74F8">
        <w:t>satisfy other specified</w:t>
      </w:r>
      <w:r w:rsidR="00FA354C" w:rsidRPr="006A74F8">
        <w:t xml:space="preserve"> labelling requirements</w:t>
      </w:r>
      <w:r w:rsidR="0051638F" w:rsidRPr="006A74F8">
        <w:t xml:space="preserve"> (e.g. non-prescription therapeutic goods)</w:t>
      </w:r>
      <w:r w:rsidR="00FA354C" w:rsidRPr="006A74F8">
        <w:t>.</w:t>
      </w:r>
      <w:r w:rsidR="0051638F" w:rsidRPr="006A74F8">
        <w:t xml:space="preserve"> This means</w:t>
      </w:r>
      <w:r w:rsidR="00FA354C" w:rsidRPr="006A74F8">
        <w:t xml:space="preserve"> non-prescription </w:t>
      </w:r>
      <w:r w:rsidR="00FA354C" w:rsidRPr="006A74F8">
        <w:lastRenderedPageBreak/>
        <w:t xml:space="preserve">therapeutic goods </w:t>
      </w:r>
      <w:r w:rsidR="0051638F" w:rsidRPr="006A74F8">
        <w:t>would</w:t>
      </w:r>
      <w:r w:rsidR="00FA354C" w:rsidRPr="006A74F8">
        <w:t xml:space="preserve"> be deemed to comply with the measurement labelling requirements provided they comply with relevant TGA labelling requirements</w:t>
      </w:r>
      <w:r w:rsidR="00733610" w:rsidRPr="006A74F8">
        <w:t>.</w:t>
      </w:r>
      <w:r w:rsidR="00ED2F76" w:rsidRPr="006A74F8">
        <w:rPr>
          <w:rStyle w:val="FootnoteReference"/>
        </w:rPr>
        <w:footnoteReference w:id="103"/>
      </w:r>
      <w:r w:rsidR="00863C1A" w:rsidRPr="006A74F8">
        <w:t xml:space="preserve"> Under the reform options it is also possible to introduce </w:t>
      </w:r>
      <w:r w:rsidR="007F6963" w:rsidRPr="006A74F8">
        <w:t>requirements</w:t>
      </w:r>
      <w:r w:rsidR="00863C1A" w:rsidRPr="006A74F8">
        <w:t xml:space="preserve"> for certain types of products to address market failures.</w:t>
      </w:r>
    </w:p>
    <w:p w:rsidR="00636419" w:rsidRPr="006A74F8" w:rsidRDefault="00361905" w:rsidP="00732824">
      <w:r w:rsidRPr="006A74F8">
        <w:t>While it is recognised that having</w:t>
      </w:r>
      <w:r w:rsidR="00EE0910" w:rsidRPr="006A74F8">
        <w:t xml:space="preserve"> the measurement</w:t>
      </w:r>
      <w:r w:rsidRPr="006A74F8">
        <w:t xml:space="preserve"> mark on the front of the package </w:t>
      </w:r>
      <w:r w:rsidR="00EE0910" w:rsidRPr="006A74F8">
        <w:t>may make</w:t>
      </w:r>
      <w:r w:rsidRPr="006A74F8">
        <w:t xml:space="preserve"> it easy to identify with minimal effort, m</w:t>
      </w:r>
      <w:r w:rsidR="00FD3396" w:rsidRPr="006A74F8">
        <w:t>arket research conducted by ORIMA Research</w:t>
      </w:r>
      <w:r w:rsidR="00405BBE" w:rsidRPr="006A74F8">
        <w:rPr>
          <w:rStyle w:val="FootnoteReference"/>
        </w:rPr>
        <w:footnoteReference w:id="104"/>
      </w:r>
      <w:r w:rsidR="00405BBE" w:rsidRPr="006A74F8">
        <w:t xml:space="preserve"> as part of the Packaging Review</w:t>
      </w:r>
      <w:r w:rsidR="00AC0627" w:rsidRPr="006A74F8">
        <w:rPr>
          <w:rStyle w:val="FootnoteReference"/>
        </w:rPr>
        <w:footnoteReference w:id="105"/>
      </w:r>
      <w:r w:rsidR="00FD3396" w:rsidRPr="006A74F8">
        <w:t xml:space="preserve"> demonstrated consumers do not consider the measurement mark among the most useful type of information on the front of packages</w:t>
      </w:r>
      <w:r w:rsidR="00636419" w:rsidRPr="006A74F8">
        <w:t>:</w:t>
      </w:r>
    </w:p>
    <w:p w:rsidR="00732824" w:rsidRPr="006A74F8" w:rsidRDefault="00636419" w:rsidP="00442DA4">
      <w:pPr>
        <w:pStyle w:val="ListParagraph"/>
        <w:numPr>
          <w:ilvl w:val="0"/>
          <w:numId w:val="68"/>
        </w:numPr>
      </w:pPr>
      <w:r w:rsidRPr="006A74F8">
        <w:t>For non-food products:</w:t>
      </w:r>
    </w:p>
    <w:p w:rsidR="00732824" w:rsidRPr="006A74F8" w:rsidRDefault="00FD3396" w:rsidP="00442DA4">
      <w:pPr>
        <w:pStyle w:val="ListParagraph"/>
        <w:numPr>
          <w:ilvl w:val="1"/>
          <w:numId w:val="68"/>
        </w:numPr>
      </w:pPr>
      <w:r w:rsidRPr="006A74F8">
        <w:t xml:space="preserve">The measurement mark ranked equal sixth out of eight different types of information that could be placed on the front of </w:t>
      </w:r>
      <w:r w:rsidR="00636419" w:rsidRPr="006A74F8">
        <w:t>package</w:t>
      </w:r>
      <w:r w:rsidRPr="006A74F8">
        <w:t xml:space="preserve"> (9 per cent </w:t>
      </w:r>
      <w:r w:rsidR="00CD6669" w:rsidRPr="006A74F8">
        <w:t xml:space="preserve">of </w:t>
      </w:r>
      <w:r w:rsidRPr="006A74F8">
        <w:t>respondents)</w:t>
      </w:r>
      <w:r w:rsidR="00C631ED" w:rsidRPr="006A74F8">
        <w:t>.</w:t>
      </w:r>
    </w:p>
    <w:p w:rsidR="00732824" w:rsidRPr="006A74F8" w:rsidRDefault="00C631ED" w:rsidP="00442DA4">
      <w:pPr>
        <w:pStyle w:val="ListParagraph"/>
        <w:numPr>
          <w:ilvl w:val="1"/>
          <w:numId w:val="68"/>
        </w:numPr>
      </w:pPr>
      <w:r w:rsidRPr="006A74F8">
        <w:t>A</w:t>
      </w:r>
      <w:r w:rsidR="00FD3396" w:rsidRPr="006A74F8">
        <w:t xml:space="preserve"> safety claim (20 per cent </w:t>
      </w:r>
      <w:r w:rsidR="00566DC0" w:rsidRPr="006A74F8">
        <w:t xml:space="preserve">of </w:t>
      </w:r>
      <w:r w:rsidR="00FD3396" w:rsidRPr="006A74F8">
        <w:t xml:space="preserve">respondents) ranked the highest, followed closely by allergen information (16 per cent </w:t>
      </w:r>
      <w:r w:rsidR="00566DC0" w:rsidRPr="006A74F8">
        <w:t>of</w:t>
      </w:r>
      <w:r w:rsidR="00FD3396" w:rsidRPr="006A74F8">
        <w:t xml:space="preserve"> respondents)</w:t>
      </w:r>
      <w:r w:rsidR="00405BBE" w:rsidRPr="006A74F8">
        <w:t xml:space="preserve">, both of which are not </w:t>
      </w:r>
      <w:r w:rsidR="003A217F" w:rsidRPr="006A74F8">
        <w:t xml:space="preserve">required to be </w:t>
      </w:r>
      <w:r w:rsidR="00405BBE" w:rsidRPr="006A74F8">
        <w:t>on the front of package</w:t>
      </w:r>
      <w:r w:rsidR="00FD3396" w:rsidRPr="006A74F8">
        <w:t>.</w:t>
      </w:r>
    </w:p>
    <w:p w:rsidR="00732824" w:rsidRPr="006A74F8" w:rsidRDefault="00636419" w:rsidP="00442DA4">
      <w:pPr>
        <w:pStyle w:val="ListParagraph"/>
        <w:numPr>
          <w:ilvl w:val="0"/>
          <w:numId w:val="68"/>
        </w:numPr>
      </w:pPr>
      <w:r w:rsidRPr="006A74F8">
        <w:t>For food products:</w:t>
      </w:r>
    </w:p>
    <w:p w:rsidR="00732824" w:rsidRPr="006A74F8" w:rsidRDefault="00636419" w:rsidP="00442DA4">
      <w:pPr>
        <w:pStyle w:val="ListParagraph"/>
        <w:numPr>
          <w:ilvl w:val="1"/>
          <w:numId w:val="68"/>
        </w:numPr>
      </w:pPr>
      <w:r w:rsidRPr="006A74F8">
        <w:t>The measurement mark ranked fifth out of eight different types of information that could be placed on the front of package</w:t>
      </w:r>
      <w:r w:rsidR="00566DC0" w:rsidRPr="006A74F8">
        <w:t xml:space="preserve"> (11</w:t>
      </w:r>
      <w:r w:rsidRPr="006A74F8">
        <w:t> per cent</w:t>
      </w:r>
      <w:r w:rsidR="00566DC0" w:rsidRPr="006A74F8">
        <w:t xml:space="preserve"> of</w:t>
      </w:r>
      <w:r w:rsidRPr="006A74F8">
        <w:t xml:space="preserve"> respondents)</w:t>
      </w:r>
      <w:r w:rsidR="00C631ED" w:rsidRPr="006A74F8">
        <w:t>.</w:t>
      </w:r>
    </w:p>
    <w:p w:rsidR="00636419" w:rsidRPr="006A74F8" w:rsidRDefault="00566DC0" w:rsidP="00442DA4">
      <w:pPr>
        <w:pStyle w:val="ListParagraph"/>
        <w:numPr>
          <w:ilvl w:val="1"/>
          <w:numId w:val="68"/>
        </w:numPr>
      </w:pPr>
      <w:r w:rsidRPr="006A74F8">
        <w:t xml:space="preserve">Country of Origin (21 per cent of respondents) ranked the highest, closely followed by expiry date (16 per cent of respondents), ingredient claims (15 per cent of respondents) and nutrition claims (14 per cent of respondents). </w:t>
      </w:r>
      <w:r w:rsidR="00EA0632" w:rsidRPr="006A74F8">
        <w:t>None</w:t>
      </w:r>
      <w:r w:rsidRPr="006A74F8">
        <w:t xml:space="preserve"> of these </w:t>
      </w:r>
      <w:r w:rsidR="0016101A" w:rsidRPr="006A74F8">
        <w:t>are</w:t>
      </w:r>
      <w:r w:rsidRPr="006A74F8">
        <w:t xml:space="preserve"> required to be on the front of package.</w:t>
      </w:r>
    </w:p>
    <w:p w:rsidR="00FD3396" w:rsidRPr="006A74F8" w:rsidRDefault="0099155E" w:rsidP="00732824">
      <w:r w:rsidRPr="006A74F8">
        <w:t xml:space="preserve">Even with the option of increased flexibility, businesses may decide not to alter their labelling as any package labelling compliant with current requirements will continue to be compliant under new arrangements. </w:t>
      </w:r>
      <w:r w:rsidR="00FD3396" w:rsidRPr="006A74F8">
        <w:t>Given the measurement mark will remain on product packages, it is assumed that consumers wanting to access this information will still do so, at the cost of their own additional time. However, the relatively widespread use of unit pricing by grocery retailers raises questions about the importance of the measurement mark for consumers to make informed choices about value for money. Unit pricing is the display of a price of goods per unit of measure (i.e. per 100 grams, per kilogram, per litre or per item). Unit pricing has been mandatory since 2009 for larger store-based grocery retailers and online grocery retailers, though other grocery retailers can voluntarily opt-in to the scheme. Unit pricing offers a better method for determining the value for money compared with using the measurement mark and is mandated for stores 1000 m</w:t>
      </w:r>
      <w:r w:rsidR="00FD3396" w:rsidRPr="006A74F8">
        <w:rPr>
          <w:vertAlign w:val="superscript"/>
        </w:rPr>
        <w:t>2</w:t>
      </w:r>
      <w:r w:rsidR="00FD3396" w:rsidRPr="006A74F8">
        <w:t xml:space="preserve"> or greater in size.</w:t>
      </w:r>
      <w:r w:rsidR="00FD3396" w:rsidRPr="006A74F8">
        <w:rPr>
          <w:rStyle w:val="FootnoteReference"/>
        </w:rPr>
        <w:footnoteReference w:id="106"/>
      </w:r>
    </w:p>
    <w:p w:rsidR="00FD3396" w:rsidRPr="006A74F8" w:rsidRDefault="00FD3396" w:rsidP="00732824">
      <w:r w:rsidRPr="006A74F8">
        <w:t xml:space="preserve">If there is no unit price available there may be a small increased time burden for consumers to locate the measurement mark and compare products to obtain value for money. This time burden may be increased for </w:t>
      </w:r>
      <w:r w:rsidRPr="006A74F8">
        <w:rPr>
          <w:b/>
        </w:rPr>
        <w:t>options 2 and 3</w:t>
      </w:r>
      <w:r w:rsidR="00C21D65" w:rsidRPr="006A74F8">
        <w:t>,</w:t>
      </w:r>
      <w:r w:rsidRPr="006A74F8">
        <w:t xml:space="preserve"> in comparison to </w:t>
      </w:r>
      <w:r w:rsidRPr="006A74F8">
        <w:rPr>
          <w:b/>
        </w:rPr>
        <w:t>option 1</w:t>
      </w:r>
      <w:r w:rsidRPr="006A74F8">
        <w:t xml:space="preserve"> that only exempts </w:t>
      </w:r>
      <w:r w:rsidR="00C21D65" w:rsidRPr="006A74F8">
        <w:t>certain</w:t>
      </w:r>
      <w:r w:rsidRPr="006A74F8">
        <w:t xml:space="preserve"> products </w:t>
      </w:r>
      <w:r w:rsidR="00C21D65" w:rsidRPr="006A74F8">
        <w:t xml:space="preserve">(e.g. </w:t>
      </w:r>
      <w:r w:rsidRPr="006A74F8">
        <w:t>cosmetic</w:t>
      </w:r>
      <w:r w:rsidR="00C21D65" w:rsidRPr="006A74F8">
        <w:t>s)</w:t>
      </w:r>
      <w:r w:rsidRPr="006A74F8">
        <w:t xml:space="preserve"> from the front of pack requirement. The time burden would not be applicable to online sales.</w:t>
      </w:r>
    </w:p>
    <w:p w:rsidR="00A766E8" w:rsidRPr="006A74F8" w:rsidRDefault="00AC0627" w:rsidP="00FE4DE1">
      <w:pPr>
        <w:pStyle w:val="Heading4"/>
        <w:tabs>
          <w:tab w:val="left" w:pos="1134"/>
        </w:tabs>
      </w:pPr>
      <w:r w:rsidRPr="006A74F8">
        <w:lastRenderedPageBreak/>
        <w:t>Consumer Costs</w:t>
      </w:r>
    </w:p>
    <w:p w:rsidR="00915B07" w:rsidRPr="006A74F8" w:rsidRDefault="00715323" w:rsidP="00732824">
      <w:r w:rsidRPr="006A74F8">
        <w:t xml:space="preserve">To calculate the </w:t>
      </w:r>
      <w:r w:rsidR="00E963C8" w:rsidRPr="006A74F8">
        <w:t>consumer time burden cost</w:t>
      </w:r>
      <w:r w:rsidRPr="006A74F8">
        <w:t xml:space="preserve">, </w:t>
      </w:r>
      <w:r w:rsidR="00AF0758" w:rsidRPr="006A74F8">
        <w:t>a</w:t>
      </w:r>
      <w:r w:rsidRPr="006A74F8">
        <w:t xml:space="preserve"> </w:t>
      </w:r>
      <w:r w:rsidR="00EC7BDC" w:rsidRPr="006A74F8">
        <w:t xml:space="preserve">similar </w:t>
      </w:r>
      <w:r w:rsidR="00AF0758" w:rsidRPr="006A74F8">
        <w:t>process</w:t>
      </w:r>
      <w:r w:rsidRPr="006A74F8">
        <w:t xml:space="preserve"> was used to calculate the consumer impact in the post-implementation review of unit pricing</w:t>
      </w:r>
      <w:r w:rsidRPr="006A74F8">
        <w:rPr>
          <w:rStyle w:val="FootnoteReference"/>
        </w:rPr>
        <w:footnoteReference w:id="107"/>
      </w:r>
      <w:r w:rsidRPr="006A74F8">
        <w:t xml:space="preserve"> and in the Country of Origin (CoOL) regulation impact statement</w:t>
      </w:r>
      <w:r w:rsidR="003076BC" w:rsidRPr="006A74F8">
        <w:t>.</w:t>
      </w:r>
      <w:r w:rsidRPr="006A74F8">
        <w:rPr>
          <w:rStyle w:val="FootnoteReference"/>
        </w:rPr>
        <w:footnoteReference w:id="108"/>
      </w:r>
      <w:r w:rsidR="003076BC" w:rsidRPr="006A74F8">
        <w:t xml:space="preserve"> </w:t>
      </w:r>
      <w:r w:rsidR="002A38D8" w:rsidRPr="006A74F8">
        <w:t>This analysis</w:t>
      </w:r>
      <w:r w:rsidR="003076BC" w:rsidRPr="006A74F8">
        <w:t xml:space="preserve"> is </w:t>
      </w:r>
      <w:r w:rsidR="002A38D8" w:rsidRPr="006A74F8">
        <w:t>contained</w:t>
      </w:r>
      <w:r w:rsidR="003076BC" w:rsidRPr="006A74F8">
        <w:t xml:space="preserve"> in </w:t>
      </w:r>
      <w:hyperlink w:anchor="_Appendix_9:_Costing" w:history="1">
        <w:r w:rsidR="00C11B00" w:rsidRPr="006F6B78">
          <w:rPr>
            <w:rStyle w:val="Hyperlink"/>
          </w:rPr>
          <w:t xml:space="preserve">Appendix </w:t>
        </w:r>
        <w:r w:rsidR="00C95DD8" w:rsidRPr="006F6B78">
          <w:rPr>
            <w:rStyle w:val="Hyperlink"/>
          </w:rPr>
          <w:t>9</w:t>
        </w:r>
      </w:hyperlink>
      <w:r w:rsidR="002A38D8" w:rsidRPr="006A74F8">
        <w:t>,</w:t>
      </w:r>
      <w:r w:rsidR="00B64516" w:rsidRPr="006A74F8">
        <w:t xml:space="preserve"> and </w:t>
      </w:r>
      <w:r w:rsidR="002A38D8" w:rsidRPr="006A74F8">
        <w:t>outlines how the</w:t>
      </w:r>
      <w:r w:rsidR="00FD6751" w:rsidRPr="006A74F8">
        <w:t xml:space="preserve"> cost to consumers under each option is estimated to be:</w:t>
      </w:r>
      <w:r w:rsidR="00915B07" w:rsidRPr="006A74F8">
        <w:t xml:space="preserve"> </w:t>
      </w:r>
    </w:p>
    <w:p w:rsidR="00915B07" w:rsidRPr="006A74F8" w:rsidRDefault="00DB1A64" w:rsidP="006144FA">
      <w:pPr>
        <w:pStyle w:val="Caption"/>
        <w:keepNext/>
      </w:pPr>
      <w:r w:rsidRPr="006A74F8">
        <w:t xml:space="preserve">Table A4- </w:t>
      </w:r>
      <w:r w:rsidR="00480B0E">
        <w:fldChar w:fldCharType="begin"/>
      </w:r>
      <w:r w:rsidR="00480B0E">
        <w:instrText xml:space="preserve"> SEQ Table_A8- \* ARABIC </w:instrText>
      </w:r>
      <w:r w:rsidR="00480B0E">
        <w:fldChar w:fldCharType="separate"/>
      </w:r>
      <w:r w:rsidR="0033017F">
        <w:rPr>
          <w:noProof/>
        </w:rPr>
        <w:t>1</w:t>
      </w:r>
      <w:r w:rsidR="00480B0E">
        <w:fldChar w:fldCharType="end"/>
      </w:r>
      <w:r w:rsidRPr="006A74F8">
        <w:t>: Cost to consumers under each option</w:t>
      </w:r>
    </w:p>
    <w:tbl>
      <w:tblPr>
        <w:tblpPr w:leftFromText="180" w:rightFromText="180" w:vertAnchor="text" w:horzAnchor="page" w:tblpX="1856" w:tblpY="213"/>
        <w:tblW w:w="0" w:type="auto"/>
        <w:tblBorders>
          <w:top w:val="single" w:sz="8" w:space="0" w:color="auto"/>
          <w:bottom w:val="single" w:sz="8" w:space="0" w:color="auto"/>
        </w:tblBorders>
        <w:tblLook w:val="04A0" w:firstRow="1" w:lastRow="0" w:firstColumn="1" w:lastColumn="0" w:noHBand="0" w:noVBand="1"/>
        <w:tblCaption w:val="Consumer costs"/>
        <w:tblDescription w:val="Consumers cost impact under each option is estimated to be - $0.1 million for option 1, $0.9 million for option 2,  $0.9 million for option 3."/>
      </w:tblPr>
      <w:tblGrid>
        <w:gridCol w:w="2863"/>
        <w:gridCol w:w="1084"/>
        <w:gridCol w:w="1084"/>
        <w:gridCol w:w="3191"/>
      </w:tblGrid>
      <w:tr w:rsidR="00FD6751" w:rsidRPr="006A74F8" w:rsidTr="00517AFF">
        <w:trPr>
          <w:trHeight w:val="454"/>
        </w:trPr>
        <w:tc>
          <w:tcPr>
            <w:tcW w:w="2863" w:type="dxa"/>
            <w:vAlign w:val="center"/>
          </w:tcPr>
          <w:p w:rsidR="00FD6751" w:rsidRPr="006A74F8" w:rsidRDefault="00FD6751" w:rsidP="00FD7AC9">
            <w:pPr>
              <w:contextualSpacing/>
              <w:rPr>
                <w:rFonts w:cs="Arial"/>
                <w:b/>
              </w:rPr>
            </w:pPr>
            <w:r w:rsidRPr="006A74F8">
              <w:rPr>
                <w:rFonts w:cs="Arial"/>
                <w:b/>
              </w:rPr>
              <w:t xml:space="preserve">Impact </w:t>
            </w:r>
          </w:p>
        </w:tc>
        <w:tc>
          <w:tcPr>
            <w:tcW w:w="1084" w:type="dxa"/>
            <w:vAlign w:val="center"/>
          </w:tcPr>
          <w:p w:rsidR="00FD6751" w:rsidRPr="006A74F8" w:rsidRDefault="00FD6751" w:rsidP="00FD7AC9">
            <w:pPr>
              <w:contextualSpacing/>
              <w:rPr>
                <w:rFonts w:cs="Arial"/>
                <w:b/>
              </w:rPr>
            </w:pPr>
            <w:r w:rsidRPr="006A74F8">
              <w:rPr>
                <w:rFonts w:cs="Arial"/>
                <w:b/>
              </w:rPr>
              <w:t>Option 1</w:t>
            </w:r>
          </w:p>
        </w:tc>
        <w:tc>
          <w:tcPr>
            <w:tcW w:w="1084" w:type="dxa"/>
            <w:vAlign w:val="center"/>
          </w:tcPr>
          <w:p w:rsidR="00FD6751" w:rsidRPr="006A74F8" w:rsidRDefault="00FD6751" w:rsidP="00FD7AC9">
            <w:pPr>
              <w:contextualSpacing/>
              <w:rPr>
                <w:rFonts w:cs="Arial"/>
                <w:b/>
              </w:rPr>
            </w:pPr>
            <w:r w:rsidRPr="006A74F8">
              <w:rPr>
                <w:rFonts w:cs="Arial"/>
                <w:b/>
              </w:rPr>
              <w:t>Option 2</w:t>
            </w:r>
          </w:p>
        </w:tc>
        <w:tc>
          <w:tcPr>
            <w:tcW w:w="3191" w:type="dxa"/>
            <w:vAlign w:val="center"/>
          </w:tcPr>
          <w:p w:rsidR="00FD6751" w:rsidRPr="006A74F8" w:rsidRDefault="00FD6751" w:rsidP="00FD7AC9">
            <w:pPr>
              <w:contextualSpacing/>
              <w:rPr>
                <w:rFonts w:cs="Arial"/>
                <w:b/>
              </w:rPr>
            </w:pPr>
            <w:r w:rsidRPr="006A74F8">
              <w:rPr>
                <w:rFonts w:cs="Arial"/>
                <w:b/>
              </w:rPr>
              <w:t>Option 3</w:t>
            </w:r>
          </w:p>
        </w:tc>
      </w:tr>
      <w:tr w:rsidR="00FD6751" w:rsidRPr="006A74F8" w:rsidTr="00517AFF">
        <w:trPr>
          <w:trHeight w:val="527"/>
        </w:trPr>
        <w:tc>
          <w:tcPr>
            <w:tcW w:w="2863" w:type="dxa"/>
            <w:vAlign w:val="center"/>
          </w:tcPr>
          <w:p w:rsidR="00FD6751" w:rsidRPr="006A74F8" w:rsidRDefault="00FD6751" w:rsidP="00FD7AC9">
            <w:pPr>
              <w:contextualSpacing/>
              <w:rPr>
                <w:rFonts w:cs="Arial"/>
              </w:rPr>
            </w:pPr>
            <w:r w:rsidRPr="006A74F8">
              <w:rPr>
                <w:rFonts w:cs="Arial"/>
              </w:rPr>
              <w:t>Consumer Costs</w:t>
            </w:r>
          </w:p>
        </w:tc>
        <w:tc>
          <w:tcPr>
            <w:tcW w:w="1084" w:type="dxa"/>
            <w:vAlign w:val="center"/>
          </w:tcPr>
          <w:p w:rsidR="00FD6751" w:rsidRPr="006A74F8" w:rsidRDefault="00FD6751" w:rsidP="00FD7AC9">
            <w:pPr>
              <w:contextualSpacing/>
              <w:rPr>
                <w:rFonts w:cs="Arial"/>
              </w:rPr>
            </w:pPr>
            <w:r w:rsidRPr="006A74F8">
              <w:rPr>
                <w:rFonts w:cs="Arial"/>
              </w:rPr>
              <w:t>+$0.1 m</w:t>
            </w:r>
          </w:p>
        </w:tc>
        <w:tc>
          <w:tcPr>
            <w:tcW w:w="1084" w:type="dxa"/>
            <w:vAlign w:val="center"/>
          </w:tcPr>
          <w:p w:rsidR="00FD6751" w:rsidRPr="006A74F8" w:rsidRDefault="00547970" w:rsidP="00FD7AC9">
            <w:pPr>
              <w:contextualSpacing/>
              <w:rPr>
                <w:rFonts w:cs="Arial"/>
              </w:rPr>
            </w:pPr>
            <w:r w:rsidRPr="006A74F8">
              <w:rPr>
                <w:rFonts w:cs="Arial"/>
              </w:rPr>
              <w:t>+$0.9</w:t>
            </w:r>
            <w:r w:rsidR="00FD6751" w:rsidRPr="006A74F8">
              <w:rPr>
                <w:rFonts w:cs="Arial"/>
              </w:rPr>
              <w:t xml:space="preserve"> m</w:t>
            </w:r>
          </w:p>
        </w:tc>
        <w:tc>
          <w:tcPr>
            <w:tcW w:w="3191" w:type="dxa"/>
            <w:vAlign w:val="center"/>
          </w:tcPr>
          <w:p w:rsidR="00FD6751" w:rsidRPr="006A74F8" w:rsidRDefault="00547970" w:rsidP="00FD7AC9">
            <w:pPr>
              <w:contextualSpacing/>
              <w:rPr>
                <w:rFonts w:cs="Arial"/>
              </w:rPr>
            </w:pPr>
            <w:r w:rsidRPr="006A74F8">
              <w:rPr>
                <w:rFonts w:cs="Arial"/>
              </w:rPr>
              <w:t>+$0.9</w:t>
            </w:r>
            <w:r w:rsidR="00FD6751" w:rsidRPr="006A74F8">
              <w:rPr>
                <w:rFonts w:cs="Arial"/>
              </w:rPr>
              <w:t xml:space="preserve"> m</w:t>
            </w:r>
          </w:p>
        </w:tc>
      </w:tr>
    </w:tbl>
    <w:p w:rsidR="00636419" w:rsidRPr="006A74F8" w:rsidRDefault="00636419">
      <w:pPr>
        <w:spacing w:after="0" w:line="240" w:lineRule="auto"/>
      </w:pPr>
    </w:p>
    <w:p w:rsidR="00AD4E2E" w:rsidRPr="006A74F8" w:rsidRDefault="00AD4E2E" w:rsidP="00AD4E2E">
      <w:pPr>
        <w:spacing w:after="0" w:line="240" w:lineRule="auto"/>
        <w:rPr>
          <w:rFonts w:asciiTheme="majorHAnsi" w:eastAsiaTheme="majorEastAsia" w:hAnsiTheme="majorHAnsi" w:cstheme="majorBidi"/>
          <w:color w:val="005677" w:themeColor="text2"/>
          <w:sz w:val="48"/>
          <w:szCs w:val="32"/>
        </w:rPr>
      </w:pPr>
      <w:bookmarkStart w:id="2086" w:name="_Appendix_6:_Impacts"/>
      <w:bookmarkStart w:id="2087" w:name="_Toc63062605"/>
      <w:bookmarkStart w:id="2088" w:name="_Ref63104387"/>
      <w:bookmarkStart w:id="2089" w:name="_Toc64558465"/>
      <w:bookmarkStart w:id="2090" w:name="_Toc64557485"/>
      <w:bookmarkStart w:id="2091" w:name="_Toc64562210"/>
      <w:bookmarkStart w:id="2092" w:name="_Toc64562466"/>
      <w:bookmarkStart w:id="2093" w:name="_Toc64640259"/>
      <w:bookmarkStart w:id="2094" w:name="_Toc64641229"/>
      <w:bookmarkStart w:id="2095" w:name="_Toc64647171"/>
      <w:bookmarkStart w:id="2096" w:name="_Toc64888343"/>
      <w:bookmarkStart w:id="2097" w:name="_Toc64888717"/>
      <w:bookmarkStart w:id="2098" w:name="_Toc64892992"/>
      <w:bookmarkStart w:id="2099" w:name="_Toc64895662"/>
      <w:bookmarkStart w:id="2100" w:name="_Toc64900888"/>
      <w:bookmarkStart w:id="2101" w:name="_Toc64903135"/>
      <w:bookmarkStart w:id="2102" w:name="_Toc64904093"/>
      <w:bookmarkStart w:id="2103" w:name="_Toc64904296"/>
      <w:bookmarkStart w:id="2104" w:name="_Toc64904758"/>
      <w:bookmarkStart w:id="2105" w:name="_Toc64905272"/>
      <w:bookmarkStart w:id="2106" w:name="_Toc64964021"/>
      <w:bookmarkStart w:id="2107" w:name="_Toc64974638"/>
      <w:bookmarkStart w:id="2108" w:name="_Toc64976320"/>
      <w:bookmarkStart w:id="2109" w:name="_Toc65149700"/>
      <w:bookmarkStart w:id="2110" w:name="_Toc65163456"/>
      <w:bookmarkStart w:id="2111" w:name="_Ref65439999"/>
      <w:bookmarkStart w:id="2112" w:name="_Toc65491096"/>
      <w:bookmarkStart w:id="2113" w:name="_Toc65504832"/>
      <w:bookmarkStart w:id="2114" w:name="_Toc65757915"/>
      <w:bookmarkStart w:id="2115" w:name="_Toc65769510"/>
      <w:bookmarkStart w:id="2116" w:name="_Toc65766878"/>
      <w:bookmarkStart w:id="2117" w:name="_Toc65772652"/>
      <w:bookmarkStart w:id="2118" w:name="_Toc66435709"/>
      <w:bookmarkStart w:id="2119" w:name="_Toc66436498"/>
      <w:bookmarkStart w:id="2120" w:name="_Toc66437709"/>
      <w:bookmarkStart w:id="2121" w:name="_Toc66440048"/>
      <w:bookmarkStart w:id="2122" w:name="_Toc66442251"/>
      <w:bookmarkStart w:id="2123" w:name="_Toc66451920"/>
      <w:bookmarkStart w:id="2124" w:name="_Toc66459197"/>
      <w:bookmarkStart w:id="2125" w:name="_Toc66460251"/>
      <w:bookmarkStart w:id="2126" w:name="_Toc67305399"/>
      <w:bookmarkStart w:id="2127" w:name="_Toc67306313"/>
      <w:bookmarkStart w:id="2128" w:name="_Toc67306763"/>
      <w:bookmarkStart w:id="2129" w:name="_Toc67313615"/>
      <w:bookmarkStart w:id="2130" w:name="_Toc67320808"/>
      <w:bookmarkStart w:id="2131" w:name="_Toc67321961"/>
      <w:bookmarkStart w:id="2132" w:name="_Toc67324426"/>
      <w:bookmarkStart w:id="2133" w:name="_Toc67326587"/>
      <w:bookmarkStart w:id="2134" w:name="_Toc67649125"/>
      <w:bookmarkStart w:id="2135" w:name="_Toc67650109"/>
      <w:bookmarkStart w:id="2136" w:name="_Toc67650364"/>
      <w:bookmarkStart w:id="2137" w:name="_Toc67650656"/>
      <w:bookmarkStart w:id="2138" w:name="_Toc67652976"/>
      <w:bookmarkStart w:id="2139" w:name="_Toc67653061"/>
      <w:bookmarkStart w:id="2140" w:name="_Toc67653493"/>
      <w:bookmarkStart w:id="2141" w:name="_Toc67653556"/>
      <w:bookmarkStart w:id="2142" w:name="_Toc67649973"/>
      <w:bookmarkStart w:id="2143" w:name="_Toc67654059"/>
      <w:bookmarkStart w:id="2144" w:name="_Toc67654366"/>
      <w:bookmarkStart w:id="2145" w:name="_Toc67654583"/>
      <w:bookmarkStart w:id="2146" w:name="_Toc67656190"/>
      <w:bookmarkStart w:id="2147" w:name="_Toc67656952"/>
      <w:bookmarkStart w:id="2148" w:name="_Toc67659251"/>
      <w:bookmarkStart w:id="2149" w:name="_Toc67659752"/>
      <w:bookmarkStart w:id="2150" w:name="_Toc67661719"/>
      <w:bookmarkStart w:id="2151" w:name="_Toc67662810"/>
      <w:bookmarkStart w:id="2152" w:name="_Toc67662951"/>
      <w:bookmarkStart w:id="2153" w:name="_Toc67664457"/>
      <w:bookmarkStart w:id="2154" w:name="_Toc67667184"/>
      <w:bookmarkStart w:id="2155" w:name="_Toc67668257"/>
      <w:bookmarkStart w:id="2156" w:name="_Toc67669164"/>
      <w:bookmarkStart w:id="2157" w:name="_Toc67665775"/>
      <w:bookmarkStart w:id="2158" w:name="_Toc67912164"/>
      <w:bookmarkStart w:id="2159" w:name="_Toc67922245"/>
      <w:bookmarkStart w:id="2160" w:name="_Toc67929104"/>
      <w:bookmarkStart w:id="2161" w:name="_Toc67929398"/>
      <w:bookmarkStart w:id="2162" w:name="_Toc67929623"/>
      <w:bookmarkStart w:id="2163" w:name="_Toc67927100"/>
      <w:bookmarkStart w:id="2164" w:name="_Toc68011265"/>
      <w:bookmarkStart w:id="2165" w:name="_Toc68011323"/>
      <w:bookmarkStart w:id="2166" w:name="_Toc81919624"/>
      <w:bookmarkStart w:id="2167" w:name="_Toc81919898"/>
      <w:bookmarkStart w:id="2168" w:name="_Toc81921173"/>
      <w:bookmarkStart w:id="2169" w:name="_Toc81923740"/>
      <w:bookmarkStart w:id="2170" w:name="_Toc81923775"/>
      <w:bookmarkStart w:id="2171" w:name="_Toc81997314"/>
      <w:bookmarkStart w:id="2172" w:name="_Toc81998087"/>
      <w:bookmarkStart w:id="2173" w:name="_Toc82011849"/>
      <w:bookmarkStart w:id="2174" w:name="_Toc82512697"/>
      <w:bookmarkStart w:id="2175" w:name="_Toc82516165"/>
      <w:bookmarkStart w:id="2176" w:name="_Toc82519114"/>
      <w:bookmarkStart w:id="2177" w:name="_Toc82706652"/>
      <w:bookmarkEnd w:id="2086"/>
      <w:r w:rsidRPr="006A74F8">
        <w:br w:type="page"/>
      </w:r>
    </w:p>
    <w:p w:rsidR="000D1CF3" w:rsidRPr="006A74F8" w:rsidRDefault="000D1CF3" w:rsidP="00586A20">
      <w:pPr>
        <w:pStyle w:val="Heading1"/>
        <w:ind w:left="709" w:hanging="709"/>
      </w:pPr>
      <w:bookmarkStart w:id="2178" w:name="_Toc82790541"/>
      <w:bookmarkStart w:id="2179" w:name="_Toc82791060"/>
      <w:bookmarkStart w:id="2180" w:name="_Toc82792371"/>
      <w:bookmarkStart w:id="2181" w:name="_Toc83290753"/>
      <w:bookmarkStart w:id="2182" w:name="_Toc83292762"/>
      <w:bookmarkStart w:id="2183" w:name="_Toc83293533"/>
      <w:r w:rsidRPr="006A74F8">
        <w:lastRenderedPageBreak/>
        <w:t xml:space="preserve">Appendix </w:t>
      </w:r>
      <w:r w:rsidR="00266F0F" w:rsidRPr="006A74F8">
        <w:t>5</w:t>
      </w:r>
      <w:r w:rsidRPr="006A74F8">
        <w:t xml:space="preserve">: </w:t>
      </w:r>
      <w:r w:rsidR="0083664B" w:rsidRPr="006A74F8">
        <w:t>Impacts on</w:t>
      </w:r>
      <w:r w:rsidR="0043533E" w:rsidRPr="006A74F8">
        <w:t xml:space="preserve"> </w:t>
      </w:r>
      <w:r w:rsidR="00847BFB" w:rsidRPr="006A74F8">
        <w:t>measuring instrument manufacturers, importers and distributors</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rsidR="008F7D32" w:rsidRPr="006A74F8" w:rsidRDefault="008F7D32" w:rsidP="00586A20">
      <w:pPr>
        <w:pStyle w:val="Heading2"/>
        <w:ind w:left="851" w:hanging="851"/>
        <w:rPr>
          <w:rFonts w:cstheme="minorHAnsi"/>
          <w:szCs w:val="18"/>
        </w:rPr>
      </w:pPr>
      <w:bookmarkStart w:id="2184" w:name="_Toc64895663"/>
      <w:bookmarkStart w:id="2185" w:name="_Toc64900889"/>
      <w:bookmarkStart w:id="2186" w:name="_Toc64903136"/>
      <w:bookmarkStart w:id="2187" w:name="_Toc64904094"/>
      <w:bookmarkStart w:id="2188" w:name="_Toc64904297"/>
      <w:bookmarkStart w:id="2189" w:name="_Toc64904759"/>
      <w:bookmarkStart w:id="2190" w:name="_Toc64905273"/>
      <w:bookmarkStart w:id="2191" w:name="_Toc64964022"/>
      <w:bookmarkStart w:id="2192" w:name="_Toc64974639"/>
      <w:bookmarkStart w:id="2193" w:name="_Toc64976321"/>
      <w:bookmarkStart w:id="2194" w:name="_Toc65149701"/>
      <w:bookmarkStart w:id="2195" w:name="_Toc67390609"/>
      <w:r w:rsidRPr="006A74F8">
        <w:t>Key impacts on industry – measuring instrument manufacturers</w:t>
      </w:r>
      <w:bookmarkEnd w:id="2184"/>
      <w:bookmarkEnd w:id="2185"/>
      <w:bookmarkEnd w:id="2186"/>
      <w:bookmarkEnd w:id="2187"/>
      <w:bookmarkEnd w:id="2188"/>
      <w:bookmarkEnd w:id="2189"/>
      <w:bookmarkEnd w:id="2190"/>
      <w:bookmarkEnd w:id="2191"/>
      <w:bookmarkEnd w:id="2192"/>
      <w:bookmarkEnd w:id="2193"/>
      <w:bookmarkEnd w:id="2194"/>
      <w:bookmarkEnd w:id="2195"/>
      <w:r w:rsidR="00A77B33" w:rsidRPr="006A74F8">
        <w:t>, importers and distributors</w:t>
      </w:r>
      <w:r w:rsidRPr="006A74F8">
        <w:t xml:space="preserve"> </w:t>
      </w:r>
    </w:p>
    <w:p w:rsidR="003B5BE3" w:rsidRPr="006A74F8" w:rsidRDefault="003B5BE3" w:rsidP="003B5BE3">
      <w:pPr>
        <w:pStyle w:val="Caption"/>
        <w:keepNext/>
      </w:pPr>
      <w:r w:rsidRPr="006A74F8">
        <w:t>Table A</w:t>
      </w:r>
      <w:r w:rsidR="00DC2853" w:rsidRPr="006A74F8">
        <w:t>5</w:t>
      </w:r>
      <w:r w:rsidRPr="006A74F8">
        <w:t xml:space="preserve">- </w:t>
      </w:r>
      <w:r w:rsidR="00480B0E">
        <w:fldChar w:fldCharType="begin"/>
      </w:r>
      <w:r w:rsidR="00480B0E">
        <w:instrText xml:space="preserve"> SEQ Table_A6- \* ARABIC </w:instrText>
      </w:r>
      <w:r w:rsidR="00480B0E">
        <w:fldChar w:fldCharType="separate"/>
      </w:r>
      <w:r w:rsidR="0033017F">
        <w:rPr>
          <w:noProof/>
        </w:rPr>
        <w:t>1</w:t>
      </w:r>
      <w:r w:rsidR="00480B0E">
        <w:fldChar w:fldCharType="end"/>
      </w:r>
      <w:r w:rsidRPr="006A74F8">
        <w:t xml:space="preserve">: </w:t>
      </w:r>
      <w:r w:rsidR="0087496F" w:rsidRPr="006A74F8">
        <w:t>Summary of k</w:t>
      </w:r>
      <w:r w:rsidRPr="006A74F8">
        <w:t>ey impacts on industry</w:t>
      </w:r>
      <w:r w:rsidR="00856E0C" w:rsidRPr="006A74F8">
        <w:t xml:space="preserve"> – </w:t>
      </w:r>
      <w:r w:rsidR="00847BFB" w:rsidRPr="006A74F8">
        <w:t>measuring instrument manufacturers, importers and distributors</w:t>
      </w:r>
    </w:p>
    <w:tbl>
      <w:tblPr>
        <w:tblStyle w:val="PlainTable23"/>
        <w:tblW w:w="8875" w:type="dxa"/>
        <w:tblLayout w:type="fixed"/>
        <w:tblLook w:val="04A0" w:firstRow="1" w:lastRow="0" w:firstColumn="1" w:lastColumn="0" w:noHBand="0" w:noVBand="1"/>
        <w:tblCaption w:val="Table A6- 1: Key impacts on industry-measuring instrument manufacturers"/>
        <w:tblDescription w:val="Flexible controls result in fit for purpose regulation rather than a ‘one-size-fits-all’ approach and reduced regulatory burden. Option one is rated +1, slight beneficial. Option 2 is rated +3, large beneficial. Option 3 is rated +2, moderate beneficial. &#10;Targeted Instrument Controls:  Manufacturers will benefit from exemptions, determinations and a flexible approach to regulating measuring instruments. Exemptions from controls provide some flexibility in option 1. A risk based approach is used in option 2 to determine the appropriate level of regulation of measuring instrument types and applications (detail to be settled following future consultation). Option 3 provides the flexibility of option 2 but with increased scope to support other regulators and may present manufacturers with additional cost and burden in some sectors.  &#10;&#10;Uncertainty arising from the flexibility. Option 1 is rated 0, neutral. Options 2 and 3 are rated -1, slight adverse. &#10;Flexibility provides less certainty and requires increased engagement: if a flexible approach to regulating is not well transitioned or managed this may create uncertainty for manufacturers regarding the regulatory requirements they will need to meet in future. While the default instrument controls under all options remain pattern approval and verification, considerations of alternatives will require increased engagement from instrument manufacturers.&#10;                                                 &#10;Faster entry to market reduces regulatory burden. Option 1 is rated +1, slight beneficial. Option 2 is rated +2, moderate beneficial. Option 3 is rated +1, slight beneficial.&#10;International alignment of instrument controls: Option 1 will enable streamlining (e.g. exemptions); options 2 and 3 will also enable recognition of overseas approvals (e.g. recognising overseas test results). Option 3 may introduce additional requirements to be met for certain non-trade instruments.  &#10;&#10;Tailored compliance. Options 1-3 are rated +1, slight beneficial.&#10;Compliance and Enforcement: Ability for government to take tailored and collaborative approach to compliance and enforcement provides better outcomes. Greater confidence to instrument manufacturers that they are competing on an even playing field.&#10;&#10;Reduced technical barriers for new and innovative measuring instruments. Option 1 is rated 0, neutral. Option 2 is rated +3, large beneficial. Option 3 is rated +2, moderate beneficial.&#10;A framework for supporting new measurement technologies: Options 2 and 3 both provide a pathway to integrate new and innovative measurement instruments into the measurement framework. Supports investment by instrument manufacturers in instruments integrating new measurement technologies. Option 3 may introduce additional requirements to be met for certain non-trade instruments.&#10;&#10;Average. Option 1 is rated +0.60, slight beneficial. Option 2 is rated +1.6, moderate beneficial. Option 3 is rated +1.0, slight beneficial.&#10;&#10;Options 1 and 3 provide slight benefit. Option 2 provides greater benefits for the manufacturers of measuring instruments and support for innovation&#10;"/>
      </w:tblPr>
      <w:tblGrid>
        <w:gridCol w:w="1876"/>
        <w:gridCol w:w="676"/>
        <w:gridCol w:w="709"/>
        <w:gridCol w:w="708"/>
        <w:gridCol w:w="4906"/>
      </w:tblGrid>
      <w:tr w:rsidR="0018372A" w:rsidRPr="006A74F8" w:rsidTr="001946E7">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rsidR="0018372A" w:rsidRPr="006A74F8" w:rsidRDefault="0018372A" w:rsidP="00723AFE">
            <w:r w:rsidRPr="006A74F8">
              <w:t>Impact</w:t>
            </w:r>
          </w:p>
        </w:tc>
        <w:tc>
          <w:tcPr>
            <w:tcW w:w="2093" w:type="dxa"/>
            <w:gridSpan w:val="3"/>
            <w:tcBorders>
              <w:top w:val="single" w:sz="12" w:space="0" w:color="auto"/>
              <w:bottom w:val="nil"/>
            </w:tcBorders>
            <w:vAlign w:val="center"/>
          </w:tcPr>
          <w:p w:rsidR="0018372A" w:rsidRPr="006A74F8" w:rsidRDefault="0018372A" w:rsidP="0018372A">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4906" w:type="dxa"/>
            <w:vMerge w:val="restart"/>
            <w:tcBorders>
              <w:top w:val="single" w:sz="12" w:space="0" w:color="auto"/>
            </w:tcBorders>
            <w:vAlign w:val="center"/>
          </w:tcPr>
          <w:p w:rsidR="0018372A" w:rsidRPr="006A74F8" w:rsidRDefault="0018372A" w:rsidP="0018372A">
            <w:pPr>
              <w:cnfStyle w:val="100000000000" w:firstRow="1" w:lastRow="0" w:firstColumn="0" w:lastColumn="0" w:oddVBand="0" w:evenVBand="0" w:oddHBand="0" w:evenHBand="0" w:firstRowFirstColumn="0" w:firstRowLastColumn="0" w:lastRowFirstColumn="0" w:lastRowLastColumn="0"/>
            </w:pPr>
            <w:r w:rsidRPr="006A74F8">
              <w:t>Explanation</w:t>
            </w:r>
          </w:p>
        </w:tc>
      </w:tr>
      <w:tr w:rsidR="0018372A" w:rsidRPr="006A74F8" w:rsidTr="00176A9A">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rsidR="0018372A" w:rsidRPr="006A74F8" w:rsidRDefault="0018372A" w:rsidP="0018372A"/>
        </w:tc>
        <w:tc>
          <w:tcPr>
            <w:tcW w:w="676" w:type="dxa"/>
            <w:tcBorders>
              <w:top w:val="nil"/>
              <w:bottom w:val="double" w:sz="4" w:space="0" w:color="7F7F7F" w:themeColor="text1" w:themeTint="80"/>
            </w:tcBorders>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b/>
              </w:rPr>
            </w:pPr>
            <w:r w:rsidRPr="006A74F8">
              <w:rPr>
                <w:b/>
              </w:rPr>
              <w:t>1</w:t>
            </w:r>
          </w:p>
        </w:tc>
        <w:tc>
          <w:tcPr>
            <w:tcW w:w="709" w:type="dxa"/>
            <w:tcBorders>
              <w:top w:val="nil"/>
              <w:bottom w:val="double" w:sz="4" w:space="0" w:color="7F7F7F" w:themeColor="text1" w:themeTint="80"/>
            </w:tcBorders>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b/>
              </w:rPr>
            </w:pPr>
            <w:r w:rsidRPr="006A74F8">
              <w:rPr>
                <w:b/>
              </w:rPr>
              <w:t>2</w:t>
            </w:r>
          </w:p>
        </w:tc>
        <w:tc>
          <w:tcPr>
            <w:tcW w:w="708" w:type="dxa"/>
            <w:tcBorders>
              <w:top w:val="nil"/>
              <w:bottom w:val="double" w:sz="4" w:space="0" w:color="7F7F7F" w:themeColor="text1" w:themeTint="80"/>
            </w:tcBorders>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b/>
              </w:rPr>
            </w:pPr>
            <w:r w:rsidRPr="006A74F8">
              <w:rPr>
                <w:b/>
              </w:rPr>
              <w:t>3</w:t>
            </w:r>
          </w:p>
        </w:tc>
        <w:tc>
          <w:tcPr>
            <w:tcW w:w="4906" w:type="dxa"/>
            <w:vMerge/>
            <w:tcBorders>
              <w:bottom w:val="double" w:sz="4" w:space="0" w:color="7F7F7F" w:themeColor="text1" w:themeTint="80"/>
            </w:tcBorders>
          </w:tcPr>
          <w:p w:rsidR="0018372A" w:rsidRPr="006A74F8" w:rsidRDefault="0018372A" w:rsidP="0018372A">
            <w:pPr>
              <w:cnfStyle w:val="000000100000" w:firstRow="0" w:lastRow="0" w:firstColumn="0" w:lastColumn="0" w:oddVBand="0" w:evenVBand="0" w:oddHBand="1" w:evenHBand="0" w:firstRowFirstColumn="0" w:firstRowLastColumn="0" w:lastRowFirstColumn="0" w:lastRowLastColumn="0"/>
            </w:pPr>
          </w:p>
        </w:tc>
      </w:tr>
      <w:tr w:rsidR="0018372A" w:rsidRPr="006A74F8" w:rsidTr="00176A9A">
        <w:tc>
          <w:tcPr>
            <w:cnfStyle w:val="001000000000" w:firstRow="0" w:lastRow="0" w:firstColumn="1" w:lastColumn="0" w:oddVBand="0" w:evenVBand="0" w:oddHBand="0" w:evenHBand="0" w:firstRowFirstColumn="0" w:firstRowLastColumn="0" w:lastRowFirstColumn="0" w:lastRowLastColumn="0"/>
            <w:tcW w:w="1876" w:type="dxa"/>
            <w:tcBorders>
              <w:top w:val="double" w:sz="4" w:space="0" w:color="7F7F7F" w:themeColor="text1" w:themeTint="80"/>
              <w:bottom w:val="single" w:sz="4" w:space="0" w:color="7F7F7F" w:themeColor="text1" w:themeTint="80"/>
            </w:tcBorders>
            <w:vAlign w:val="center"/>
          </w:tcPr>
          <w:p w:rsidR="0018372A" w:rsidRPr="006A74F8" w:rsidRDefault="0018372A" w:rsidP="0018372A">
            <w:pPr>
              <w:rPr>
                <w:rFonts w:asciiTheme="majorHAnsi" w:eastAsia="Calibri" w:hAnsiTheme="majorHAnsi" w:cstheme="majorHAnsi"/>
                <w:sz w:val="20"/>
                <w:szCs w:val="20"/>
              </w:rPr>
            </w:pPr>
            <w:r w:rsidRPr="006A74F8">
              <w:rPr>
                <w:rFonts w:asciiTheme="majorHAnsi" w:hAnsiTheme="majorHAnsi" w:cstheme="majorHAnsi"/>
                <w:sz w:val="20"/>
                <w:szCs w:val="20"/>
              </w:rPr>
              <w:t>Flexible controls result in fit for purpose regulation rather than a ‘one-size-fits-all’ approach and reduced regulatory burden</w:t>
            </w:r>
          </w:p>
        </w:tc>
        <w:tc>
          <w:tcPr>
            <w:tcW w:w="676" w:type="dxa"/>
            <w:tcBorders>
              <w:top w:val="double" w:sz="4" w:space="0" w:color="7F7F7F" w:themeColor="text1" w:themeTint="80"/>
              <w:bottom w:val="single" w:sz="4" w:space="0" w:color="7F7F7F" w:themeColor="text1" w:themeTint="80"/>
              <w:right w:val="single" w:sz="4" w:space="0" w:color="FFFFFF" w:themeColor="background1"/>
            </w:tcBorders>
            <w:shd w:val="clear" w:color="auto" w:fill="ACD7CA"/>
            <w:vAlign w:val="center"/>
          </w:tcPr>
          <w:p w:rsidR="0018372A" w:rsidRPr="006A74F8"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shd w:val="clear" w:color="auto" w:fill="ACD7CA"/>
              </w:rPr>
              <w:t>+1</w:t>
            </w:r>
          </w:p>
        </w:tc>
        <w:tc>
          <w:tcPr>
            <w:tcW w:w="709" w:type="dxa"/>
            <w:tcBorders>
              <w:top w:val="double" w:sz="4" w:space="0" w:color="7F7F7F" w:themeColor="text1" w:themeTint="80"/>
              <w:left w:val="single" w:sz="4" w:space="0" w:color="FFFFFF" w:themeColor="background1"/>
              <w:bottom w:val="single" w:sz="4" w:space="0" w:color="7F7F7F" w:themeColor="text1" w:themeTint="80"/>
              <w:right w:val="single" w:sz="4" w:space="0" w:color="FFFFFF" w:themeColor="background1"/>
            </w:tcBorders>
            <w:shd w:val="clear" w:color="auto" w:fill="0F4D4B"/>
            <w:vAlign w:val="center"/>
          </w:tcPr>
          <w:p w:rsidR="0018372A" w:rsidRPr="006A74F8"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+3</w:t>
            </w:r>
          </w:p>
        </w:tc>
        <w:tc>
          <w:tcPr>
            <w:tcW w:w="708" w:type="dxa"/>
            <w:tcBorders>
              <w:top w:val="double" w:sz="4" w:space="0" w:color="7F7F7F" w:themeColor="text1" w:themeTint="80"/>
              <w:left w:val="single" w:sz="4" w:space="0" w:color="FFFFFF" w:themeColor="background1"/>
              <w:bottom w:val="single" w:sz="4" w:space="0" w:color="7F7F7F" w:themeColor="text1" w:themeTint="80"/>
            </w:tcBorders>
            <w:shd w:val="clear" w:color="auto" w:fill="398E98"/>
            <w:vAlign w:val="center"/>
          </w:tcPr>
          <w:p w:rsidR="0018372A" w:rsidRPr="006A74F8"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+2</w:t>
            </w:r>
          </w:p>
        </w:tc>
        <w:tc>
          <w:tcPr>
            <w:tcW w:w="4906" w:type="dxa"/>
            <w:tcBorders>
              <w:top w:val="double" w:sz="4" w:space="0" w:color="7F7F7F" w:themeColor="text1" w:themeTint="80"/>
              <w:bottom w:val="single" w:sz="4" w:space="0" w:color="7F7F7F" w:themeColor="text1" w:themeTint="80"/>
            </w:tcBorders>
            <w:vAlign w:val="center"/>
          </w:tcPr>
          <w:p w:rsidR="0018372A" w:rsidRPr="006A74F8" w:rsidRDefault="0018372A" w:rsidP="00FB50E6">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Targeted Instrument Controls:</w:t>
            </w:r>
            <w:r w:rsidRPr="006A74F8">
              <w:rPr>
                <w:rFonts w:asciiTheme="majorHAnsi" w:hAnsiTheme="majorHAnsi" w:cstheme="majorHAnsi"/>
                <w:sz w:val="20"/>
                <w:szCs w:val="20"/>
              </w:rPr>
              <w:t xml:space="preserve"> </w:t>
            </w:r>
            <w:r w:rsidR="00FB50E6" w:rsidRPr="006A74F8">
              <w:rPr>
                <w:rFonts w:asciiTheme="majorHAnsi" w:hAnsiTheme="majorHAnsi" w:cstheme="majorHAnsi"/>
                <w:sz w:val="20"/>
                <w:szCs w:val="20"/>
              </w:rPr>
              <w:t xml:space="preserve">While </w:t>
            </w:r>
            <w:r w:rsidR="00194489" w:rsidRPr="006A74F8">
              <w:rPr>
                <w:rFonts w:asciiTheme="majorHAnsi" w:hAnsiTheme="majorHAnsi" w:cstheme="majorHAnsi"/>
                <w:sz w:val="20"/>
                <w:szCs w:val="20"/>
              </w:rPr>
              <w:t>p</w:t>
            </w:r>
            <w:r w:rsidR="00FB50E6" w:rsidRPr="006A74F8">
              <w:rPr>
                <w:rFonts w:asciiTheme="majorHAnsi" w:hAnsiTheme="majorHAnsi" w:cstheme="majorHAnsi"/>
                <w:sz w:val="20"/>
                <w:szCs w:val="20"/>
              </w:rPr>
              <w:t xml:space="preserve">attern </w:t>
            </w:r>
            <w:r w:rsidR="00194489" w:rsidRPr="006A74F8">
              <w:rPr>
                <w:rFonts w:asciiTheme="majorHAnsi" w:hAnsiTheme="majorHAnsi" w:cstheme="majorHAnsi"/>
                <w:sz w:val="20"/>
                <w:szCs w:val="20"/>
              </w:rPr>
              <w:t>a</w:t>
            </w:r>
            <w:r w:rsidR="00FB50E6" w:rsidRPr="006A74F8">
              <w:rPr>
                <w:rFonts w:asciiTheme="majorHAnsi" w:hAnsiTheme="majorHAnsi" w:cstheme="majorHAnsi"/>
                <w:sz w:val="20"/>
                <w:szCs w:val="20"/>
              </w:rPr>
              <w:t xml:space="preserve">pproval and </w:t>
            </w:r>
            <w:r w:rsidR="00194489" w:rsidRPr="006A74F8">
              <w:rPr>
                <w:rFonts w:asciiTheme="majorHAnsi" w:hAnsiTheme="majorHAnsi" w:cstheme="majorHAnsi"/>
                <w:sz w:val="20"/>
                <w:szCs w:val="20"/>
              </w:rPr>
              <w:t>v</w:t>
            </w:r>
            <w:r w:rsidR="004D1BB1" w:rsidRPr="006A74F8">
              <w:rPr>
                <w:rFonts w:asciiTheme="majorHAnsi" w:hAnsiTheme="majorHAnsi" w:cstheme="majorHAnsi"/>
                <w:sz w:val="20"/>
                <w:szCs w:val="20"/>
              </w:rPr>
              <w:t>erification</w:t>
            </w:r>
            <w:r w:rsidR="00FB50E6" w:rsidRPr="006A74F8">
              <w:rPr>
                <w:rFonts w:asciiTheme="majorHAnsi" w:hAnsiTheme="majorHAnsi" w:cstheme="majorHAnsi"/>
                <w:sz w:val="20"/>
                <w:szCs w:val="20"/>
              </w:rPr>
              <w:t xml:space="preserve"> will remain the </w:t>
            </w:r>
            <w:r w:rsidR="004D1BB1" w:rsidRPr="006A74F8">
              <w:rPr>
                <w:rFonts w:asciiTheme="majorHAnsi" w:hAnsiTheme="majorHAnsi" w:cstheme="majorHAnsi"/>
                <w:sz w:val="20"/>
                <w:szCs w:val="20"/>
              </w:rPr>
              <w:t>default</w:t>
            </w:r>
            <w:r w:rsidR="00FB50E6" w:rsidRPr="006A74F8">
              <w:rPr>
                <w:rFonts w:asciiTheme="majorHAnsi" w:hAnsiTheme="majorHAnsi" w:cstheme="majorHAnsi"/>
                <w:sz w:val="20"/>
                <w:szCs w:val="20"/>
              </w:rPr>
              <w:t xml:space="preserve"> pathway, in some circumstances </w:t>
            </w:r>
            <w:r w:rsidR="004D1BB1" w:rsidRPr="006A74F8">
              <w:rPr>
                <w:rFonts w:asciiTheme="majorHAnsi" w:hAnsiTheme="majorHAnsi" w:cstheme="majorHAnsi"/>
                <w:sz w:val="20"/>
                <w:szCs w:val="20"/>
              </w:rPr>
              <w:t>manufacturers</w:t>
            </w:r>
            <w:r w:rsidRPr="006A74F8">
              <w:rPr>
                <w:rFonts w:asciiTheme="majorHAnsi" w:hAnsiTheme="majorHAnsi" w:cstheme="majorHAnsi"/>
                <w:sz w:val="20"/>
                <w:szCs w:val="20"/>
              </w:rPr>
              <w:t xml:space="preserve"> will benefit from exemptions, determinations and a flexible approach to regulating measuring instruments. Exemptions from controls provide some </w:t>
            </w:r>
            <w:r w:rsidR="00A40103" w:rsidRPr="006A74F8">
              <w:rPr>
                <w:rFonts w:asciiTheme="majorHAnsi" w:hAnsiTheme="majorHAnsi" w:cstheme="majorHAnsi"/>
                <w:sz w:val="20"/>
                <w:szCs w:val="20"/>
              </w:rPr>
              <w:t xml:space="preserve">flexibility in option 1. </w:t>
            </w:r>
            <w:r w:rsidR="00075221" w:rsidRPr="006A74F8">
              <w:rPr>
                <w:rFonts w:asciiTheme="majorHAnsi" w:hAnsiTheme="majorHAnsi" w:cstheme="majorHAnsi"/>
                <w:sz w:val="20"/>
                <w:szCs w:val="20"/>
              </w:rPr>
              <w:t>O</w:t>
            </w:r>
            <w:r w:rsidRPr="006A74F8">
              <w:rPr>
                <w:rFonts w:asciiTheme="majorHAnsi" w:hAnsiTheme="majorHAnsi" w:cstheme="majorHAnsi"/>
                <w:sz w:val="20"/>
                <w:szCs w:val="20"/>
              </w:rPr>
              <w:t xml:space="preserve">ption 2 </w:t>
            </w:r>
            <w:r w:rsidR="00075221" w:rsidRPr="006A74F8">
              <w:rPr>
                <w:rFonts w:asciiTheme="majorHAnsi" w:hAnsiTheme="majorHAnsi" w:cstheme="majorHAnsi"/>
                <w:sz w:val="20"/>
                <w:szCs w:val="20"/>
              </w:rPr>
              <w:t xml:space="preserve">introduces alternative control mechanisms </w:t>
            </w:r>
            <w:r w:rsidRPr="006A74F8">
              <w:rPr>
                <w:rFonts w:asciiTheme="majorHAnsi" w:hAnsiTheme="majorHAnsi" w:cstheme="majorHAnsi"/>
                <w:sz w:val="20"/>
                <w:szCs w:val="20"/>
              </w:rPr>
              <w:t xml:space="preserve">to </w:t>
            </w:r>
            <w:r w:rsidR="00075221" w:rsidRPr="006A74F8">
              <w:rPr>
                <w:rFonts w:asciiTheme="majorHAnsi" w:hAnsiTheme="majorHAnsi" w:cstheme="majorHAnsi"/>
                <w:sz w:val="20"/>
                <w:szCs w:val="20"/>
              </w:rPr>
              <w:t>allow future flexibility</w:t>
            </w:r>
            <w:r w:rsidRPr="006A74F8">
              <w:rPr>
                <w:rFonts w:asciiTheme="majorHAnsi" w:hAnsiTheme="majorHAnsi" w:cstheme="majorHAnsi"/>
                <w:sz w:val="20"/>
                <w:szCs w:val="20"/>
              </w:rPr>
              <w:t xml:space="preserve"> </w:t>
            </w:r>
            <w:r w:rsidR="00075221" w:rsidRPr="006A74F8">
              <w:rPr>
                <w:rFonts w:asciiTheme="majorHAnsi" w:hAnsiTheme="majorHAnsi" w:cstheme="majorHAnsi"/>
                <w:sz w:val="20"/>
                <w:szCs w:val="20"/>
              </w:rPr>
              <w:t>for</w:t>
            </w:r>
            <w:r w:rsidRPr="006A74F8">
              <w:rPr>
                <w:rFonts w:asciiTheme="majorHAnsi" w:hAnsiTheme="majorHAnsi" w:cstheme="majorHAnsi"/>
                <w:sz w:val="20"/>
                <w:szCs w:val="20"/>
              </w:rPr>
              <w:t xml:space="preserve"> measuring instrument types and applications (</w:t>
            </w:r>
            <w:r w:rsidR="00075221" w:rsidRPr="006A74F8">
              <w:rPr>
                <w:rFonts w:asciiTheme="majorHAnsi" w:hAnsiTheme="majorHAnsi" w:cstheme="majorHAnsi"/>
                <w:sz w:val="20"/>
                <w:szCs w:val="20"/>
              </w:rPr>
              <w:t>subject to</w:t>
            </w:r>
            <w:r w:rsidRPr="006A74F8">
              <w:rPr>
                <w:rFonts w:asciiTheme="majorHAnsi" w:hAnsiTheme="majorHAnsi" w:cstheme="majorHAnsi"/>
                <w:sz w:val="20"/>
                <w:szCs w:val="20"/>
              </w:rPr>
              <w:t xml:space="preserve"> future consultation). Option 3 provides the flexibility of option 2 but with increased scope to support other regulators and may present manufacturers with additional cost and burden in some sectors.  </w:t>
            </w:r>
          </w:p>
        </w:tc>
      </w:tr>
      <w:tr w:rsidR="0018372A" w:rsidRPr="006A74F8"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vAlign w:val="center"/>
          </w:tcPr>
          <w:p w:rsidR="0018372A" w:rsidRPr="006A74F8" w:rsidRDefault="0018372A" w:rsidP="0018372A">
            <w:pPr>
              <w:rPr>
                <w:rFonts w:asciiTheme="majorHAnsi" w:eastAsia="Calibri" w:hAnsiTheme="majorHAnsi" w:cstheme="majorHAnsi"/>
                <w:sz w:val="20"/>
                <w:szCs w:val="20"/>
              </w:rPr>
            </w:pPr>
            <w:r w:rsidRPr="006A74F8">
              <w:rPr>
                <w:rFonts w:asciiTheme="majorHAnsi" w:hAnsiTheme="majorHAnsi" w:cstheme="majorHAnsi"/>
                <w:sz w:val="20"/>
                <w:szCs w:val="20"/>
              </w:rPr>
              <w:t xml:space="preserve">Uncertainty </w:t>
            </w:r>
            <w:r w:rsidR="00007E37" w:rsidRPr="006A74F8">
              <w:rPr>
                <w:rFonts w:asciiTheme="majorHAnsi" w:hAnsiTheme="majorHAnsi" w:cstheme="majorHAnsi"/>
                <w:sz w:val="20"/>
                <w:szCs w:val="20"/>
              </w:rPr>
              <w:t>and increased engagement</w:t>
            </w:r>
            <w:r w:rsidRPr="006A74F8">
              <w:rPr>
                <w:rFonts w:asciiTheme="majorHAnsi" w:hAnsiTheme="majorHAnsi" w:cstheme="majorHAnsi"/>
                <w:sz w:val="20"/>
                <w:szCs w:val="20"/>
              </w:rPr>
              <w:t xml:space="preserve"> arising from the flexibility </w:t>
            </w:r>
          </w:p>
        </w:tc>
        <w:tc>
          <w:tcPr>
            <w:tcW w:w="676" w:type="dxa"/>
            <w:tcBorders>
              <w:right w:val="single" w:sz="4" w:space="0" w:color="FFFFFF" w:themeColor="background1"/>
            </w:tcBorders>
            <w:shd w:val="clear" w:color="auto" w:fill="FFFFC5"/>
            <w:vAlign w:val="center"/>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0</w:t>
            </w:r>
          </w:p>
        </w:tc>
        <w:tc>
          <w:tcPr>
            <w:tcW w:w="709" w:type="dxa"/>
            <w:tcBorders>
              <w:left w:val="single" w:sz="4" w:space="0" w:color="FFFFFF" w:themeColor="background1"/>
              <w:right w:val="single" w:sz="4" w:space="0" w:color="FFFFFF" w:themeColor="background1"/>
            </w:tcBorders>
            <w:shd w:val="clear" w:color="auto" w:fill="FFBC79"/>
            <w:vAlign w:val="center"/>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708" w:type="dxa"/>
            <w:tcBorders>
              <w:left w:val="single" w:sz="4" w:space="0" w:color="FFFFFF" w:themeColor="background1"/>
            </w:tcBorders>
            <w:shd w:val="clear" w:color="auto" w:fill="FFBC79"/>
            <w:vAlign w:val="center"/>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4906" w:type="dxa"/>
            <w:vAlign w:val="center"/>
          </w:tcPr>
          <w:p w:rsidR="0018372A" w:rsidRPr="006A74F8" w:rsidRDefault="0018372A" w:rsidP="0007480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Flexibility provides less certainty and requires increased engagement:</w:t>
            </w:r>
            <w:r w:rsidRPr="006A74F8">
              <w:rPr>
                <w:rFonts w:asciiTheme="majorHAnsi" w:hAnsiTheme="majorHAnsi" w:cstheme="majorHAnsi"/>
                <w:sz w:val="20"/>
                <w:szCs w:val="20"/>
              </w:rPr>
              <w:t xml:space="preserve"> If a flexible approach to regulati</w:t>
            </w:r>
            <w:r w:rsidR="007927A2" w:rsidRPr="006A74F8">
              <w:rPr>
                <w:rFonts w:asciiTheme="majorHAnsi" w:hAnsiTheme="majorHAnsi" w:cstheme="majorHAnsi"/>
                <w:sz w:val="20"/>
                <w:szCs w:val="20"/>
              </w:rPr>
              <w:t>on</w:t>
            </w:r>
            <w:r w:rsidRPr="006A74F8">
              <w:rPr>
                <w:rFonts w:asciiTheme="majorHAnsi" w:hAnsiTheme="majorHAnsi" w:cstheme="majorHAnsi"/>
                <w:sz w:val="20"/>
                <w:szCs w:val="20"/>
              </w:rPr>
              <w:t xml:space="preserve"> is not well </w:t>
            </w:r>
            <w:r w:rsidR="00475CB8" w:rsidRPr="006A74F8">
              <w:rPr>
                <w:rFonts w:asciiTheme="majorHAnsi" w:hAnsiTheme="majorHAnsi" w:cstheme="majorHAnsi"/>
                <w:sz w:val="20"/>
                <w:szCs w:val="20"/>
              </w:rPr>
              <w:t>communicated,</w:t>
            </w:r>
            <w:r w:rsidRPr="006A74F8">
              <w:rPr>
                <w:rFonts w:asciiTheme="majorHAnsi" w:hAnsiTheme="majorHAnsi" w:cstheme="majorHAnsi"/>
                <w:sz w:val="20"/>
                <w:szCs w:val="20"/>
              </w:rPr>
              <w:t xml:space="preserve"> transitioned or managed this may create uncertainty for manufacturers regarding the regulatory requirements they will need to meet</w:t>
            </w:r>
            <w:r w:rsidRPr="006A74F8" w:rsidDel="00074809">
              <w:rPr>
                <w:rFonts w:asciiTheme="majorHAnsi" w:hAnsiTheme="majorHAnsi" w:cstheme="majorHAnsi"/>
                <w:sz w:val="20"/>
                <w:szCs w:val="20"/>
              </w:rPr>
              <w:t xml:space="preserve"> in future</w:t>
            </w:r>
            <w:r w:rsidRPr="006A74F8">
              <w:rPr>
                <w:rFonts w:asciiTheme="majorHAnsi" w:hAnsiTheme="majorHAnsi" w:cstheme="majorHAnsi"/>
                <w:sz w:val="20"/>
                <w:szCs w:val="20"/>
              </w:rPr>
              <w:t xml:space="preserve">. While the default instrument controls under all options remain </w:t>
            </w:r>
            <w:r w:rsidR="007A1D24" w:rsidRPr="006A74F8">
              <w:rPr>
                <w:rFonts w:asciiTheme="majorHAnsi" w:hAnsiTheme="majorHAnsi" w:cstheme="majorHAnsi"/>
                <w:sz w:val="20"/>
                <w:szCs w:val="20"/>
              </w:rPr>
              <w:t xml:space="preserve">for </w:t>
            </w:r>
            <w:r w:rsidRPr="006A74F8">
              <w:rPr>
                <w:rFonts w:asciiTheme="majorHAnsi" w:hAnsiTheme="majorHAnsi" w:cstheme="majorHAnsi"/>
                <w:sz w:val="20"/>
                <w:szCs w:val="20"/>
              </w:rPr>
              <w:t>pattern approval and verification, considerations of alternatives will require increased engagement from instrument manufacturers.</w:t>
            </w:r>
          </w:p>
        </w:tc>
      </w:tr>
      <w:tr w:rsidR="0018372A" w:rsidRPr="006A74F8" w:rsidTr="00176A9A">
        <w:tc>
          <w:tcPr>
            <w:cnfStyle w:val="001000000000" w:firstRow="0" w:lastRow="0" w:firstColumn="1" w:lastColumn="0" w:oddVBand="0" w:evenVBand="0" w:oddHBand="0" w:evenHBand="0" w:firstRowFirstColumn="0" w:firstRowLastColumn="0" w:lastRowFirstColumn="0" w:lastRowLastColumn="0"/>
            <w:tcW w:w="1876" w:type="dxa"/>
            <w:tcBorders>
              <w:top w:val="single" w:sz="4" w:space="0" w:color="7F7F7F" w:themeColor="text1" w:themeTint="80"/>
              <w:bottom w:val="single" w:sz="4" w:space="0" w:color="7F7F7F" w:themeColor="text1" w:themeTint="80"/>
            </w:tcBorders>
            <w:vAlign w:val="center"/>
          </w:tcPr>
          <w:p w:rsidR="0018372A" w:rsidRPr="006A74F8" w:rsidRDefault="0018372A" w:rsidP="0018372A">
            <w:pPr>
              <w:rPr>
                <w:rFonts w:asciiTheme="majorHAnsi" w:eastAsia="Calibri" w:hAnsiTheme="majorHAnsi" w:cstheme="majorHAnsi"/>
                <w:sz w:val="20"/>
                <w:szCs w:val="20"/>
              </w:rPr>
            </w:pPr>
            <w:r w:rsidRPr="006A74F8">
              <w:rPr>
                <w:rFonts w:asciiTheme="majorHAnsi" w:hAnsiTheme="majorHAnsi" w:cstheme="majorHAnsi"/>
                <w:color w:val="000000"/>
                <w:sz w:val="20"/>
                <w:szCs w:val="20"/>
                <w:lang w:val="en-US"/>
              </w:rPr>
              <w:t xml:space="preserve">Faster entry to market reduces regulatory burden </w:t>
            </w:r>
          </w:p>
        </w:tc>
        <w:tc>
          <w:tcPr>
            <w:tcW w:w="676" w:type="dxa"/>
            <w:tcBorders>
              <w:top w:val="single" w:sz="4" w:space="0" w:color="7F7F7F" w:themeColor="text1" w:themeTint="80"/>
              <w:bottom w:val="single" w:sz="4" w:space="0" w:color="7F7F7F" w:themeColor="text1" w:themeTint="80"/>
              <w:right w:val="single" w:sz="4" w:space="0" w:color="FFFFFF" w:themeColor="background1"/>
            </w:tcBorders>
            <w:shd w:val="clear" w:color="auto" w:fill="ACD7CA"/>
            <w:vAlign w:val="center"/>
          </w:tcPr>
          <w:p w:rsidR="0018372A" w:rsidRPr="006A74F8"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709"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shd w:val="clear" w:color="auto" w:fill="398E98"/>
            <w:vAlign w:val="center"/>
          </w:tcPr>
          <w:p w:rsidR="0018372A" w:rsidRPr="006A74F8"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+2</w:t>
            </w:r>
          </w:p>
        </w:tc>
        <w:tc>
          <w:tcPr>
            <w:tcW w:w="708" w:type="dxa"/>
            <w:tcBorders>
              <w:top w:val="single" w:sz="4" w:space="0" w:color="7F7F7F" w:themeColor="text1" w:themeTint="80"/>
              <w:left w:val="single" w:sz="4" w:space="0" w:color="FFFFFF" w:themeColor="background1"/>
              <w:bottom w:val="single" w:sz="4" w:space="0" w:color="7F7F7F" w:themeColor="text1" w:themeTint="80"/>
            </w:tcBorders>
            <w:shd w:val="clear" w:color="auto" w:fill="ACD7CA"/>
            <w:vAlign w:val="center"/>
          </w:tcPr>
          <w:p w:rsidR="0018372A" w:rsidRPr="006A74F8"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4906" w:type="dxa"/>
            <w:tcBorders>
              <w:top w:val="single" w:sz="4" w:space="0" w:color="7F7F7F" w:themeColor="text1" w:themeTint="80"/>
              <w:bottom w:val="single" w:sz="4" w:space="0" w:color="7F7F7F" w:themeColor="text1" w:themeTint="80"/>
            </w:tcBorders>
            <w:vAlign w:val="center"/>
          </w:tcPr>
          <w:p w:rsidR="0018372A" w:rsidRPr="006A74F8" w:rsidRDefault="0018372A" w:rsidP="0018372A">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International alignment of instrument controls</w:t>
            </w:r>
            <w:r w:rsidRPr="006A74F8">
              <w:rPr>
                <w:rFonts w:asciiTheme="majorHAnsi" w:hAnsiTheme="majorHAnsi" w:cstheme="majorHAnsi"/>
                <w:sz w:val="20"/>
                <w:szCs w:val="20"/>
              </w:rPr>
              <w:t xml:space="preserve">: Option 1 will enable streamlining (e.g. exemptions); options 2 and 3 will also enable </w:t>
            </w:r>
            <w:r w:rsidR="00502239" w:rsidRPr="006A74F8">
              <w:rPr>
                <w:rFonts w:asciiTheme="majorHAnsi" w:hAnsiTheme="majorHAnsi" w:cstheme="majorHAnsi"/>
                <w:sz w:val="20"/>
                <w:szCs w:val="20"/>
              </w:rPr>
              <w:t xml:space="preserve">acceptance </w:t>
            </w:r>
            <w:r w:rsidRPr="006A74F8">
              <w:rPr>
                <w:rFonts w:asciiTheme="majorHAnsi" w:hAnsiTheme="majorHAnsi" w:cstheme="majorHAnsi"/>
                <w:sz w:val="20"/>
                <w:szCs w:val="20"/>
              </w:rPr>
              <w:t xml:space="preserve">of overseas approvals (e.g. </w:t>
            </w:r>
            <w:r w:rsidR="00502239" w:rsidRPr="006A74F8">
              <w:rPr>
                <w:rFonts w:asciiTheme="majorHAnsi" w:hAnsiTheme="majorHAnsi" w:cstheme="majorHAnsi"/>
                <w:sz w:val="20"/>
                <w:szCs w:val="20"/>
              </w:rPr>
              <w:t xml:space="preserve">accepting </w:t>
            </w:r>
            <w:r w:rsidRPr="006A74F8">
              <w:rPr>
                <w:rFonts w:asciiTheme="majorHAnsi" w:hAnsiTheme="majorHAnsi" w:cstheme="majorHAnsi"/>
                <w:sz w:val="20"/>
                <w:szCs w:val="20"/>
              </w:rPr>
              <w:t xml:space="preserve">overseas test results). Option 3 may introduce additional requirements for certain non-trade instruments.  </w:t>
            </w:r>
          </w:p>
        </w:tc>
      </w:tr>
      <w:tr w:rsidR="0018372A" w:rsidRPr="006A74F8"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vAlign w:val="center"/>
          </w:tcPr>
          <w:p w:rsidR="0018372A" w:rsidRPr="006A74F8" w:rsidRDefault="0018372A" w:rsidP="0018372A">
            <w:pPr>
              <w:rPr>
                <w:rFonts w:asciiTheme="majorHAnsi" w:eastAsia="Calibri" w:hAnsiTheme="majorHAnsi" w:cstheme="majorHAnsi"/>
                <w:sz w:val="20"/>
                <w:szCs w:val="20"/>
              </w:rPr>
            </w:pPr>
            <w:r w:rsidRPr="006A74F8">
              <w:rPr>
                <w:rFonts w:asciiTheme="majorHAnsi" w:hAnsiTheme="majorHAnsi" w:cstheme="majorHAnsi"/>
                <w:sz w:val="20"/>
                <w:szCs w:val="20"/>
              </w:rPr>
              <w:t>Tailored compliance</w:t>
            </w:r>
          </w:p>
        </w:tc>
        <w:tc>
          <w:tcPr>
            <w:tcW w:w="676" w:type="dxa"/>
            <w:tcBorders>
              <w:right w:val="single" w:sz="4" w:space="0" w:color="FFFFFF" w:themeColor="background1"/>
            </w:tcBorders>
            <w:shd w:val="clear" w:color="auto" w:fill="ACD7CA"/>
            <w:vAlign w:val="center"/>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709" w:type="dxa"/>
            <w:tcBorders>
              <w:left w:val="single" w:sz="4" w:space="0" w:color="FFFFFF" w:themeColor="background1"/>
              <w:right w:val="single" w:sz="4" w:space="0" w:color="FFFFFF" w:themeColor="background1"/>
            </w:tcBorders>
            <w:shd w:val="clear" w:color="auto" w:fill="ACD7CA"/>
            <w:vAlign w:val="center"/>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708" w:type="dxa"/>
            <w:tcBorders>
              <w:left w:val="single" w:sz="4" w:space="0" w:color="FFFFFF" w:themeColor="background1"/>
            </w:tcBorders>
            <w:shd w:val="clear" w:color="auto" w:fill="ACD7CA"/>
            <w:vAlign w:val="center"/>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4906" w:type="dxa"/>
            <w:vAlign w:val="center"/>
          </w:tcPr>
          <w:p w:rsidR="0018372A" w:rsidRPr="006A74F8" w:rsidRDefault="0018372A" w:rsidP="0018372A">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Compliance and Enforcement</w:t>
            </w:r>
            <w:r w:rsidRPr="006A74F8">
              <w:rPr>
                <w:rFonts w:asciiTheme="majorHAnsi" w:hAnsiTheme="majorHAnsi" w:cstheme="majorHAnsi"/>
                <w:sz w:val="20"/>
                <w:szCs w:val="20"/>
              </w:rPr>
              <w:t xml:space="preserve">: Ability for government to take </w:t>
            </w:r>
            <w:r w:rsidR="00074809" w:rsidRPr="006A74F8">
              <w:rPr>
                <w:rFonts w:asciiTheme="majorHAnsi" w:hAnsiTheme="majorHAnsi" w:cstheme="majorHAnsi"/>
                <w:sz w:val="20"/>
                <w:szCs w:val="20"/>
              </w:rPr>
              <w:t xml:space="preserve">a </w:t>
            </w:r>
            <w:r w:rsidRPr="006A74F8">
              <w:rPr>
                <w:rFonts w:asciiTheme="majorHAnsi" w:hAnsiTheme="majorHAnsi" w:cstheme="majorHAnsi"/>
                <w:sz w:val="20"/>
                <w:szCs w:val="20"/>
              </w:rPr>
              <w:t>tailored and collaborative approach to compliance and enforcement provides better outcomes. Greater confidence to instrument manufacturers that they are competing on an even playing field.</w:t>
            </w:r>
          </w:p>
        </w:tc>
      </w:tr>
      <w:tr w:rsidR="0018372A" w:rsidRPr="006A74F8" w:rsidTr="00176A9A">
        <w:tc>
          <w:tcPr>
            <w:cnfStyle w:val="001000000000" w:firstRow="0" w:lastRow="0" w:firstColumn="1" w:lastColumn="0" w:oddVBand="0" w:evenVBand="0" w:oddHBand="0" w:evenHBand="0" w:firstRowFirstColumn="0" w:firstRowLastColumn="0" w:lastRowFirstColumn="0" w:lastRowLastColumn="0"/>
            <w:tcW w:w="1876" w:type="dxa"/>
            <w:tcBorders>
              <w:bottom w:val="single" w:sz="4" w:space="0" w:color="7F7F7F" w:themeColor="text1" w:themeTint="80"/>
            </w:tcBorders>
            <w:vAlign w:val="center"/>
          </w:tcPr>
          <w:p w:rsidR="0018372A" w:rsidRPr="006A74F8" w:rsidRDefault="0018372A" w:rsidP="0018372A">
            <w:pPr>
              <w:rPr>
                <w:rFonts w:asciiTheme="majorHAnsi" w:eastAsia="Calibri" w:hAnsiTheme="majorHAnsi" w:cstheme="majorHAnsi"/>
                <w:sz w:val="20"/>
                <w:szCs w:val="20"/>
              </w:rPr>
            </w:pPr>
            <w:r w:rsidRPr="006A74F8">
              <w:rPr>
                <w:rFonts w:asciiTheme="majorHAnsi" w:hAnsiTheme="majorHAnsi" w:cstheme="majorHAnsi"/>
                <w:sz w:val="20"/>
                <w:szCs w:val="20"/>
              </w:rPr>
              <w:t xml:space="preserve">Reduced technical barriers for new and innovative </w:t>
            </w:r>
            <w:r w:rsidRPr="006A74F8">
              <w:rPr>
                <w:rFonts w:asciiTheme="majorHAnsi" w:hAnsiTheme="majorHAnsi" w:cstheme="majorHAnsi"/>
                <w:sz w:val="20"/>
                <w:szCs w:val="20"/>
              </w:rPr>
              <w:lastRenderedPageBreak/>
              <w:t>measuring instruments</w:t>
            </w:r>
          </w:p>
        </w:tc>
        <w:tc>
          <w:tcPr>
            <w:tcW w:w="676" w:type="dxa"/>
            <w:tcBorders>
              <w:bottom w:val="single" w:sz="4" w:space="0" w:color="7F7F7F" w:themeColor="text1" w:themeTint="80"/>
              <w:right w:val="single" w:sz="4" w:space="0" w:color="FFFFFF" w:themeColor="background1"/>
            </w:tcBorders>
            <w:shd w:val="clear" w:color="auto" w:fill="FFFFC5"/>
            <w:vAlign w:val="center"/>
          </w:tcPr>
          <w:p w:rsidR="0018372A" w:rsidRPr="006A74F8"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lastRenderedPageBreak/>
              <w:t>0</w:t>
            </w:r>
          </w:p>
        </w:tc>
        <w:tc>
          <w:tcPr>
            <w:tcW w:w="709" w:type="dxa"/>
            <w:tcBorders>
              <w:left w:val="single" w:sz="4" w:space="0" w:color="FFFFFF" w:themeColor="background1"/>
              <w:bottom w:val="single" w:sz="4" w:space="0" w:color="7F7F7F" w:themeColor="text1" w:themeTint="80"/>
              <w:right w:val="single" w:sz="4" w:space="0" w:color="FFFFFF" w:themeColor="background1"/>
            </w:tcBorders>
            <w:shd w:val="clear" w:color="auto" w:fill="0F4D4B"/>
            <w:vAlign w:val="center"/>
          </w:tcPr>
          <w:p w:rsidR="0018372A" w:rsidRPr="006A74F8"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+3</w:t>
            </w:r>
          </w:p>
        </w:tc>
        <w:tc>
          <w:tcPr>
            <w:tcW w:w="708" w:type="dxa"/>
            <w:tcBorders>
              <w:left w:val="single" w:sz="4" w:space="0" w:color="FFFFFF" w:themeColor="background1"/>
              <w:bottom w:val="single" w:sz="4" w:space="0" w:color="7F7F7F" w:themeColor="text1" w:themeTint="80"/>
            </w:tcBorders>
            <w:shd w:val="clear" w:color="auto" w:fill="398E98"/>
            <w:vAlign w:val="center"/>
          </w:tcPr>
          <w:p w:rsidR="0018372A" w:rsidRPr="006A74F8"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+2</w:t>
            </w:r>
          </w:p>
        </w:tc>
        <w:tc>
          <w:tcPr>
            <w:tcW w:w="4906" w:type="dxa"/>
            <w:tcBorders>
              <w:bottom w:val="single" w:sz="4" w:space="0" w:color="7F7F7F" w:themeColor="text1" w:themeTint="80"/>
            </w:tcBorders>
            <w:vAlign w:val="center"/>
          </w:tcPr>
          <w:p w:rsidR="0018372A" w:rsidRPr="006A74F8" w:rsidRDefault="0018372A" w:rsidP="0018372A">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20"/>
                <w:szCs w:val="20"/>
              </w:rPr>
            </w:pPr>
            <w:r w:rsidRPr="006A74F8">
              <w:rPr>
                <w:rFonts w:asciiTheme="majorHAnsi" w:hAnsiTheme="majorHAnsi" w:cstheme="majorHAnsi"/>
                <w:b/>
                <w:sz w:val="20"/>
                <w:szCs w:val="20"/>
              </w:rPr>
              <w:t>A framework for supporting new measurement technologies</w:t>
            </w:r>
            <w:r w:rsidRPr="006A74F8">
              <w:rPr>
                <w:rFonts w:asciiTheme="majorHAnsi" w:hAnsiTheme="majorHAnsi" w:cstheme="majorHAnsi"/>
                <w:sz w:val="20"/>
                <w:szCs w:val="20"/>
              </w:rPr>
              <w:t xml:space="preserve">: Options 2 and 3 both provide a pathway to integrate new and innovative measurement instruments into the measurement framework. </w:t>
            </w:r>
            <w:r w:rsidR="00972081" w:rsidRPr="006A74F8">
              <w:rPr>
                <w:rFonts w:asciiTheme="majorHAnsi" w:hAnsiTheme="majorHAnsi" w:cstheme="majorHAnsi"/>
                <w:sz w:val="20"/>
                <w:szCs w:val="20"/>
              </w:rPr>
              <w:t>This s</w:t>
            </w:r>
            <w:r w:rsidRPr="006A74F8">
              <w:rPr>
                <w:rFonts w:asciiTheme="majorHAnsi" w:hAnsiTheme="majorHAnsi" w:cstheme="majorHAnsi"/>
                <w:sz w:val="20"/>
                <w:szCs w:val="20"/>
              </w:rPr>
              <w:t xml:space="preserve">upports </w:t>
            </w:r>
            <w:r w:rsidRPr="006A74F8">
              <w:rPr>
                <w:rFonts w:asciiTheme="majorHAnsi" w:hAnsiTheme="majorHAnsi" w:cstheme="majorHAnsi"/>
                <w:sz w:val="20"/>
                <w:szCs w:val="20"/>
              </w:rPr>
              <w:lastRenderedPageBreak/>
              <w:t>investment by instrument manufacturers in instruments integrating new measurement technologies. Option 3 may introduce additional requirements for certain non-trade instruments.</w:t>
            </w:r>
          </w:p>
        </w:tc>
      </w:tr>
      <w:tr w:rsidR="0018372A" w:rsidRPr="006A74F8"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Borders>
              <w:bottom w:val="single" w:sz="12" w:space="0" w:color="auto"/>
            </w:tcBorders>
            <w:vAlign w:val="center"/>
          </w:tcPr>
          <w:p w:rsidR="0018372A" w:rsidRPr="006A74F8" w:rsidRDefault="0018372A" w:rsidP="0018372A">
            <w:pPr>
              <w:rPr>
                <w:rFonts w:asciiTheme="majorHAnsi" w:eastAsia="Calibri" w:hAnsiTheme="majorHAnsi" w:cstheme="majorHAnsi"/>
                <w:sz w:val="20"/>
                <w:szCs w:val="20"/>
              </w:rPr>
            </w:pPr>
            <w:r w:rsidRPr="006A74F8">
              <w:rPr>
                <w:rFonts w:asciiTheme="majorHAnsi" w:eastAsia="Calibri" w:hAnsiTheme="majorHAnsi" w:cstheme="majorHAnsi"/>
                <w:sz w:val="20"/>
                <w:szCs w:val="20"/>
              </w:rPr>
              <w:lastRenderedPageBreak/>
              <w:t xml:space="preserve">Average </w:t>
            </w:r>
          </w:p>
        </w:tc>
        <w:tc>
          <w:tcPr>
            <w:tcW w:w="676" w:type="dxa"/>
            <w:tcBorders>
              <w:bottom w:val="single" w:sz="12" w:space="0" w:color="auto"/>
              <w:right w:val="single" w:sz="4" w:space="0" w:color="FFFFFF" w:themeColor="background1"/>
            </w:tcBorders>
            <w:shd w:val="clear" w:color="auto" w:fill="ACD7CA"/>
            <w:vAlign w:val="center"/>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+0.60</w:t>
            </w:r>
          </w:p>
        </w:tc>
        <w:tc>
          <w:tcPr>
            <w:tcW w:w="709" w:type="dxa"/>
            <w:tcBorders>
              <w:left w:val="single" w:sz="4" w:space="0" w:color="FFFFFF" w:themeColor="background1"/>
              <w:bottom w:val="single" w:sz="12" w:space="0" w:color="auto"/>
              <w:right w:val="single" w:sz="4" w:space="0" w:color="FFFFFF" w:themeColor="background1"/>
            </w:tcBorders>
            <w:shd w:val="clear" w:color="auto" w:fill="398E98"/>
            <w:vAlign w:val="center"/>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+1.60</w:t>
            </w:r>
          </w:p>
        </w:tc>
        <w:tc>
          <w:tcPr>
            <w:tcW w:w="708" w:type="dxa"/>
            <w:tcBorders>
              <w:left w:val="single" w:sz="4" w:space="0" w:color="FFFFFF" w:themeColor="background1"/>
              <w:bottom w:val="single" w:sz="12" w:space="0" w:color="auto"/>
            </w:tcBorders>
            <w:shd w:val="clear" w:color="auto" w:fill="ACD7CA"/>
            <w:vAlign w:val="center"/>
          </w:tcPr>
          <w:p w:rsidR="0018372A" w:rsidRPr="006A74F8"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+1.00</w:t>
            </w:r>
          </w:p>
        </w:tc>
        <w:tc>
          <w:tcPr>
            <w:tcW w:w="4906" w:type="dxa"/>
            <w:tcBorders>
              <w:bottom w:val="single" w:sz="12" w:space="0" w:color="auto"/>
            </w:tcBorders>
            <w:vAlign w:val="center"/>
          </w:tcPr>
          <w:p w:rsidR="0018372A" w:rsidRPr="006A74F8" w:rsidRDefault="0018372A" w:rsidP="0018372A">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sz w:val="20"/>
                <w:szCs w:val="20"/>
              </w:rPr>
              <w:t>Options 1 and 3 provide slight benefit. Option 2 provides greater benefits for the manufacturers of measuring instruments and support for innovation</w:t>
            </w:r>
          </w:p>
        </w:tc>
      </w:tr>
    </w:tbl>
    <w:p w:rsidR="0018372A" w:rsidRPr="006A74F8" w:rsidRDefault="0018372A" w:rsidP="0018372A"/>
    <w:tbl>
      <w:tblPr>
        <w:tblW w:w="9319" w:type="dxa"/>
        <w:tblLayout w:type="fixed"/>
        <w:tblLook w:val="04A0" w:firstRow="1" w:lastRow="0" w:firstColumn="1" w:lastColumn="0" w:noHBand="0" w:noVBand="1"/>
      </w:tblPr>
      <w:tblGrid>
        <w:gridCol w:w="9319"/>
      </w:tblGrid>
      <w:tr w:rsidR="00BA2AEB" w:rsidRPr="006A74F8" w:rsidTr="0018372A">
        <w:trPr>
          <w:trHeight w:val="860"/>
        </w:trPr>
        <w:tc>
          <w:tcPr>
            <w:tcW w:w="9319" w:type="dxa"/>
          </w:tcPr>
          <w:p w:rsidR="00385E2B" w:rsidRPr="006A74F8" w:rsidRDefault="0018372A" w:rsidP="00517AFF">
            <w:pPr>
              <w:ind w:left="-108"/>
              <w:rPr>
                <w:rFonts w:ascii="Calibri" w:eastAsia="Calibri" w:hAnsi="Calibri" w:cs="Calibri"/>
                <w:color w:val="000000"/>
                <w:sz w:val="20"/>
                <w:szCs w:val="21"/>
                <w:lang w:eastAsia="en-AU"/>
              </w:rPr>
            </w:pPr>
            <w:r w:rsidRPr="006A74F8">
              <w:rPr>
                <w:noProof/>
                <w:lang w:eastAsia="en-AU"/>
              </w:rPr>
              <w:drawing>
                <wp:inline distT="0" distB="0" distL="0" distR="0" wp14:anchorId="711FAE50" wp14:editId="676F37C2">
                  <wp:extent cx="5727600" cy="925200"/>
                  <wp:effectExtent l="0" t="0" r="0" b="0"/>
                  <wp:docPr id="28" name="Picture 28"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0">
                            <a:extLst>
                              <a:ext uri="{28A0092B-C50C-407E-A947-70E740481C1C}">
                                <a14:useLocalDpi xmlns:a14="http://schemas.microsoft.com/office/drawing/2010/main" val="0"/>
                              </a:ext>
                            </a:extLst>
                          </a:blip>
                          <a:stretch>
                            <a:fillRect/>
                          </a:stretch>
                        </pic:blipFill>
                        <pic:spPr>
                          <a:xfrm>
                            <a:off x="0" y="0"/>
                            <a:ext cx="5727600" cy="925200"/>
                          </a:xfrm>
                          <a:prstGeom prst="rect">
                            <a:avLst/>
                          </a:prstGeom>
                        </pic:spPr>
                      </pic:pic>
                    </a:graphicData>
                  </a:graphic>
                </wp:inline>
              </w:drawing>
            </w:r>
          </w:p>
          <w:p w:rsidR="00BA2AEB" w:rsidRPr="006A74F8" w:rsidRDefault="00BA2AEB" w:rsidP="00517AFF">
            <w:pPr>
              <w:ind w:left="-108"/>
              <w:rPr>
                <w:rFonts w:ascii="Calibri" w:eastAsia="Calibri" w:hAnsi="Calibri" w:cs="Calibri"/>
                <w:color w:val="000000"/>
                <w:sz w:val="20"/>
                <w:szCs w:val="21"/>
                <w:lang w:eastAsia="en-AU"/>
              </w:rPr>
            </w:pPr>
          </w:p>
        </w:tc>
      </w:tr>
    </w:tbl>
    <w:p w:rsidR="008F7D32" w:rsidRPr="006A74F8" w:rsidRDefault="008F7D32" w:rsidP="00696A4E">
      <w:pPr>
        <w:pStyle w:val="Heading3"/>
        <w:tabs>
          <w:tab w:val="left" w:pos="993"/>
        </w:tabs>
      </w:pPr>
      <w:r w:rsidRPr="006A74F8">
        <w:t xml:space="preserve">Flexible controls result in fit for purpose regulation </w:t>
      </w:r>
    </w:p>
    <w:tbl>
      <w:tblPr>
        <w:tblStyle w:val="PlainTable2"/>
        <w:tblW w:w="8875" w:type="dxa"/>
        <w:tblLayout w:type="fixed"/>
        <w:tblLook w:val="04A0" w:firstRow="1" w:lastRow="0" w:firstColumn="1" w:lastColumn="0" w:noHBand="0" w:noVBand="1"/>
        <w:tblCaption w:val="13.1.1 Flexible controls result in fit for purpose regulation "/>
        <w:tblDescription w:val="Impact of the reform options on flexible controls resulting in fit for purpose regulation rather than a ‘one-size-fits-all’ approach and reduced regulatory burden. Option one is rated +1, slight beneficial. Option 2 is rated +3, large beneficial. Option 3 is rated +2, moderate beneficial. &#10;"/>
      </w:tblPr>
      <w:tblGrid>
        <w:gridCol w:w="1876"/>
        <w:gridCol w:w="645"/>
        <w:gridCol w:w="644"/>
        <w:gridCol w:w="644"/>
        <w:gridCol w:w="5066"/>
      </w:tblGrid>
      <w:tr w:rsidR="00723AFE" w:rsidRPr="006A74F8" w:rsidTr="001946E7">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rsidR="00723AFE" w:rsidRPr="006A74F8" w:rsidRDefault="00723AFE" w:rsidP="00723AFE">
            <w:r w:rsidRPr="006A74F8">
              <w:t>Impact</w:t>
            </w:r>
          </w:p>
        </w:tc>
        <w:tc>
          <w:tcPr>
            <w:tcW w:w="1933" w:type="dxa"/>
            <w:gridSpan w:val="3"/>
            <w:tcBorders>
              <w:top w:val="single" w:sz="12" w:space="0" w:color="auto"/>
              <w:bottom w:val="nil"/>
            </w:tcBorders>
            <w:vAlign w:val="center"/>
          </w:tcPr>
          <w:p w:rsidR="00723AFE" w:rsidRPr="006A74F8" w:rsidRDefault="00723AFE" w:rsidP="00723AFE">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066" w:type="dxa"/>
            <w:vMerge w:val="restart"/>
            <w:tcBorders>
              <w:top w:val="single" w:sz="12" w:space="0" w:color="auto"/>
            </w:tcBorders>
            <w:vAlign w:val="center"/>
          </w:tcPr>
          <w:p w:rsidR="00723AFE" w:rsidRPr="006A74F8" w:rsidRDefault="00723AFE" w:rsidP="00723AFE">
            <w:pPr>
              <w:cnfStyle w:val="100000000000" w:firstRow="1" w:lastRow="0" w:firstColumn="0" w:lastColumn="0" w:oddVBand="0" w:evenVBand="0" w:oddHBand="0" w:evenHBand="0" w:firstRowFirstColumn="0" w:firstRowLastColumn="0" w:lastRowFirstColumn="0" w:lastRowLastColumn="0"/>
            </w:pPr>
            <w:r w:rsidRPr="006A74F8">
              <w:t>Explanation</w:t>
            </w:r>
          </w:p>
        </w:tc>
      </w:tr>
      <w:tr w:rsidR="00723AFE" w:rsidRPr="006A74F8" w:rsidTr="00723AF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rsidR="00723AFE" w:rsidRPr="006A74F8" w:rsidRDefault="00723AFE" w:rsidP="00723AFE"/>
        </w:tc>
        <w:tc>
          <w:tcPr>
            <w:tcW w:w="645" w:type="dxa"/>
            <w:tcBorders>
              <w:top w:val="nil"/>
              <w:bottom w:val="double" w:sz="4" w:space="0" w:color="7F7F7F" w:themeColor="text1" w:themeTint="80"/>
            </w:tcBorders>
          </w:tcPr>
          <w:p w:rsidR="00723AFE" w:rsidRPr="006A74F8"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sidRPr="006A74F8">
              <w:rPr>
                <w:b/>
              </w:rPr>
              <w:t>1</w:t>
            </w:r>
          </w:p>
        </w:tc>
        <w:tc>
          <w:tcPr>
            <w:tcW w:w="644" w:type="dxa"/>
            <w:tcBorders>
              <w:top w:val="nil"/>
              <w:bottom w:val="double" w:sz="4" w:space="0" w:color="7F7F7F" w:themeColor="text1" w:themeTint="80"/>
            </w:tcBorders>
          </w:tcPr>
          <w:p w:rsidR="00723AFE" w:rsidRPr="006A74F8"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sidRPr="006A74F8">
              <w:rPr>
                <w:b/>
              </w:rPr>
              <w:t>2</w:t>
            </w:r>
          </w:p>
        </w:tc>
        <w:tc>
          <w:tcPr>
            <w:tcW w:w="644" w:type="dxa"/>
            <w:tcBorders>
              <w:top w:val="nil"/>
              <w:bottom w:val="double" w:sz="4" w:space="0" w:color="7F7F7F" w:themeColor="text1" w:themeTint="80"/>
            </w:tcBorders>
          </w:tcPr>
          <w:p w:rsidR="00723AFE" w:rsidRPr="006A74F8"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sidRPr="006A74F8">
              <w:rPr>
                <w:b/>
              </w:rPr>
              <w:t>3</w:t>
            </w:r>
          </w:p>
        </w:tc>
        <w:tc>
          <w:tcPr>
            <w:tcW w:w="5066" w:type="dxa"/>
            <w:vMerge/>
            <w:tcBorders>
              <w:bottom w:val="double" w:sz="4" w:space="0" w:color="7F7F7F" w:themeColor="text1" w:themeTint="80"/>
            </w:tcBorders>
          </w:tcPr>
          <w:p w:rsidR="00723AFE" w:rsidRPr="006A74F8" w:rsidRDefault="00723AFE" w:rsidP="00723AFE">
            <w:pPr>
              <w:cnfStyle w:val="000000100000" w:firstRow="0" w:lastRow="0" w:firstColumn="0" w:lastColumn="0" w:oddVBand="0" w:evenVBand="0" w:oddHBand="1" w:evenHBand="0" w:firstRowFirstColumn="0" w:firstRowLastColumn="0" w:lastRowFirstColumn="0" w:lastRowLastColumn="0"/>
            </w:pPr>
          </w:p>
        </w:tc>
      </w:tr>
      <w:tr w:rsidR="00723AFE" w:rsidRPr="006A74F8" w:rsidTr="00723AFE">
        <w:tc>
          <w:tcPr>
            <w:cnfStyle w:val="001000000000" w:firstRow="0" w:lastRow="0" w:firstColumn="1" w:lastColumn="0" w:oddVBand="0" w:evenVBand="0" w:oddHBand="0" w:evenHBand="0" w:firstRowFirstColumn="0" w:firstRowLastColumn="0" w:lastRowFirstColumn="0" w:lastRowLastColumn="0"/>
            <w:tcW w:w="1876" w:type="dxa"/>
            <w:tcBorders>
              <w:top w:val="double" w:sz="4" w:space="0" w:color="7F7F7F" w:themeColor="text1" w:themeTint="80"/>
              <w:bottom w:val="single" w:sz="4" w:space="0" w:color="7F7F7F" w:themeColor="text1" w:themeTint="80"/>
            </w:tcBorders>
            <w:vAlign w:val="center"/>
          </w:tcPr>
          <w:p w:rsidR="00723AFE" w:rsidRPr="006A74F8" w:rsidRDefault="00723AFE" w:rsidP="00723AFE">
            <w:pPr>
              <w:rPr>
                <w:rFonts w:asciiTheme="majorHAnsi" w:eastAsia="Calibri" w:hAnsiTheme="majorHAnsi" w:cstheme="majorHAnsi"/>
                <w:b w:val="0"/>
                <w:sz w:val="20"/>
                <w:szCs w:val="20"/>
              </w:rPr>
            </w:pPr>
            <w:r w:rsidRPr="006A74F8">
              <w:rPr>
                <w:rFonts w:asciiTheme="majorHAnsi" w:hAnsiTheme="majorHAnsi" w:cstheme="majorHAnsi"/>
                <w:b w:val="0"/>
                <w:sz w:val="20"/>
                <w:szCs w:val="20"/>
              </w:rPr>
              <w:t>Flexible controls result in fit for purpose regulation rather than a ‘one-size-fits-all’ approach and reduced regulatory burden</w:t>
            </w:r>
          </w:p>
        </w:tc>
        <w:tc>
          <w:tcPr>
            <w:tcW w:w="645" w:type="dxa"/>
            <w:tcBorders>
              <w:top w:val="double" w:sz="4" w:space="0" w:color="7F7F7F" w:themeColor="text1" w:themeTint="80"/>
              <w:bottom w:val="single" w:sz="4" w:space="0" w:color="7F7F7F" w:themeColor="text1" w:themeTint="80"/>
              <w:right w:val="single" w:sz="4" w:space="0" w:color="FFFFFF" w:themeColor="background1"/>
            </w:tcBorders>
            <w:shd w:val="clear" w:color="auto" w:fill="ACD7CA"/>
            <w:vAlign w:val="center"/>
          </w:tcPr>
          <w:p w:rsidR="00723AFE" w:rsidRPr="006A74F8"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shd w:val="clear" w:color="auto" w:fill="ACD7CA"/>
              </w:rPr>
              <w:t>+1</w:t>
            </w:r>
          </w:p>
        </w:tc>
        <w:tc>
          <w:tcPr>
            <w:tcW w:w="644" w:type="dxa"/>
            <w:tcBorders>
              <w:top w:val="double" w:sz="4" w:space="0" w:color="7F7F7F" w:themeColor="text1" w:themeTint="80"/>
              <w:left w:val="single" w:sz="4" w:space="0" w:color="FFFFFF" w:themeColor="background1"/>
              <w:bottom w:val="single" w:sz="4" w:space="0" w:color="7F7F7F" w:themeColor="text1" w:themeTint="80"/>
              <w:right w:val="single" w:sz="4" w:space="0" w:color="FFFFFF" w:themeColor="background1"/>
            </w:tcBorders>
            <w:shd w:val="clear" w:color="auto" w:fill="0F4D4B"/>
            <w:vAlign w:val="center"/>
          </w:tcPr>
          <w:p w:rsidR="00723AFE" w:rsidRPr="006A74F8"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+3</w:t>
            </w:r>
          </w:p>
        </w:tc>
        <w:tc>
          <w:tcPr>
            <w:tcW w:w="644" w:type="dxa"/>
            <w:tcBorders>
              <w:top w:val="double" w:sz="4" w:space="0" w:color="7F7F7F" w:themeColor="text1" w:themeTint="80"/>
              <w:left w:val="single" w:sz="4" w:space="0" w:color="FFFFFF" w:themeColor="background1"/>
              <w:bottom w:val="single" w:sz="4" w:space="0" w:color="7F7F7F" w:themeColor="text1" w:themeTint="80"/>
            </w:tcBorders>
            <w:shd w:val="clear" w:color="auto" w:fill="398E98"/>
            <w:vAlign w:val="center"/>
          </w:tcPr>
          <w:p w:rsidR="00723AFE" w:rsidRPr="006A74F8"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+2</w:t>
            </w:r>
          </w:p>
        </w:tc>
        <w:tc>
          <w:tcPr>
            <w:tcW w:w="5066" w:type="dxa"/>
            <w:tcBorders>
              <w:top w:val="double" w:sz="4" w:space="0" w:color="7F7F7F" w:themeColor="text1" w:themeTint="80"/>
              <w:bottom w:val="single" w:sz="4" w:space="0" w:color="7F7F7F" w:themeColor="text1" w:themeTint="80"/>
            </w:tcBorders>
            <w:vAlign w:val="center"/>
          </w:tcPr>
          <w:p w:rsidR="00723AFE" w:rsidRPr="006A74F8" w:rsidRDefault="00723AFE" w:rsidP="00FB50E6">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Targeted Instrument Controls:</w:t>
            </w:r>
            <w:r w:rsidR="00FB50E6" w:rsidRPr="006A74F8">
              <w:rPr>
                <w:rFonts w:asciiTheme="majorHAnsi" w:hAnsiTheme="majorHAnsi" w:cstheme="majorHAnsi"/>
                <w:sz w:val="20"/>
                <w:szCs w:val="20"/>
              </w:rPr>
              <w:t xml:space="preserve"> While </w:t>
            </w:r>
            <w:r w:rsidR="00190B06" w:rsidRPr="006A74F8">
              <w:rPr>
                <w:rFonts w:asciiTheme="majorHAnsi" w:hAnsiTheme="majorHAnsi" w:cstheme="majorHAnsi"/>
                <w:sz w:val="20"/>
                <w:szCs w:val="20"/>
              </w:rPr>
              <w:t>pattern approval</w:t>
            </w:r>
            <w:r w:rsidR="00FB50E6" w:rsidRPr="006A74F8">
              <w:rPr>
                <w:rFonts w:asciiTheme="majorHAnsi" w:hAnsiTheme="majorHAnsi" w:cstheme="majorHAnsi"/>
                <w:sz w:val="20"/>
                <w:szCs w:val="20"/>
              </w:rPr>
              <w:t xml:space="preserve"> and </w:t>
            </w:r>
            <w:r w:rsidR="00190B06" w:rsidRPr="006A74F8">
              <w:rPr>
                <w:rFonts w:asciiTheme="majorHAnsi" w:hAnsiTheme="majorHAnsi" w:cstheme="majorHAnsi"/>
                <w:sz w:val="20"/>
                <w:szCs w:val="20"/>
              </w:rPr>
              <w:t>verification</w:t>
            </w:r>
            <w:r w:rsidR="00FB50E6" w:rsidRPr="006A74F8">
              <w:rPr>
                <w:rFonts w:asciiTheme="majorHAnsi" w:hAnsiTheme="majorHAnsi" w:cstheme="majorHAnsi"/>
                <w:sz w:val="20"/>
                <w:szCs w:val="20"/>
              </w:rPr>
              <w:t xml:space="preserve"> will remain the </w:t>
            </w:r>
            <w:r w:rsidR="00190B06" w:rsidRPr="006A74F8">
              <w:rPr>
                <w:rFonts w:asciiTheme="majorHAnsi" w:hAnsiTheme="majorHAnsi" w:cstheme="majorHAnsi"/>
                <w:sz w:val="20"/>
                <w:szCs w:val="20"/>
              </w:rPr>
              <w:t>default</w:t>
            </w:r>
            <w:r w:rsidR="00FB50E6" w:rsidRPr="006A74F8">
              <w:rPr>
                <w:rFonts w:asciiTheme="majorHAnsi" w:hAnsiTheme="majorHAnsi" w:cstheme="majorHAnsi"/>
                <w:sz w:val="20"/>
                <w:szCs w:val="20"/>
              </w:rPr>
              <w:t xml:space="preserve"> pathway, in some circumstances </w:t>
            </w:r>
            <w:r w:rsidR="00190B06" w:rsidRPr="006A74F8">
              <w:rPr>
                <w:rFonts w:asciiTheme="majorHAnsi" w:hAnsiTheme="majorHAnsi" w:cstheme="majorHAnsi"/>
                <w:sz w:val="20"/>
                <w:szCs w:val="20"/>
              </w:rPr>
              <w:t xml:space="preserve">manufacturers </w:t>
            </w:r>
            <w:r w:rsidRPr="006A74F8">
              <w:rPr>
                <w:rFonts w:asciiTheme="majorHAnsi" w:hAnsiTheme="majorHAnsi" w:cstheme="majorHAnsi"/>
                <w:sz w:val="20"/>
                <w:szCs w:val="20"/>
              </w:rPr>
              <w:t xml:space="preserve">will benefit from exemptions, determinations and a flexible approach to regulating measuring instruments. Exemptions from controls provide some </w:t>
            </w:r>
            <w:r w:rsidR="00A40103" w:rsidRPr="006A74F8">
              <w:rPr>
                <w:rFonts w:asciiTheme="majorHAnsi" w:hAnsiTheme="majorHAnsi" w:cstheme="majorHAnsi"/>
                <w:sz w:val="20"/>
                <w:szCs w:val="20"/>
              </w:rPr>
              <w:t xml:space="preserve">flexibility in option 1. </w:t>
            </w:r>
            <w:r w:rsidR="00190B06" w:rsidRPr="006A74F8">
              <w:rPr>
                <w:rFonts w:asciiTheme="majorHAnsi" w:hAnsiTheme="majorHAnsi" w:cstheme="majorHAnsi"/>
                <w:sz w:val="20"/>
                <w:szCs w:val="20"/>
              </w:rPr>
              <w:t xml:space="preserve">Option </w:t>
            </w:r>
            <w:r w:rsidRPr="006A74F8">
              <w:rPr>
                <w:rFonts w:asciiTheme="majorHAnsi" w:hAnsiTheme="majorHAnsi" w:cstheme="majorHAnsi"/>
                <w:sz w:val="20"/>
                <w:szCs w:val="20"/>
              </w:rPr>
              <w:t xml:space="preserve">2 </w:t>
            </w:r>
            <w:r w:rsidR="00475CB8" w:rsidRPr="006A74F8">
              <w:rPr>
                <w:rFonts w:asciiTheme="majorHAnsi" w:hAnsiTheme="majorHAnsi" w:cstheme="majorHAnsi"/>
                <w:sz w:val="20"/>
                <w:szCs w:val="20"/>
              </w:rPr>
              <w:t xml:space="preserve">introduces alternative control mechanisms to allow future </w:t>
            </w:r>
            <w:r w:rsidR="00190B06" w:rsidRPr="006A74F8">
              <w:rPr>
                <w:rFonts w:asciiTheme="majorHAnsi" w:hAnsiTheme="majorHAnsi" w:cstheme="majorHAnsi"/>
                <w:sz w:val="20"/>
                <w:szCs w:val="20"/>
              </w:rPr>
              <w:t xml:space="preserve">flexibility </w:t>
            </w:r>
            <w:r w:rsidR="00475CB8" w:rsidRPr="006A74F8">
              <w:rPr>
                <w:rFonts w:asciiTheme="majorHAnsi" w:hAnsiTheme="majorHAnsi" w:cstheme="majorHAnsi"/>
                <w:sz w:val="20"/>
                <w:szCs w:val="20"/>
              </w:rPr>
              <w:t>for</w:t>
            </w:r>
            <w:r w:rsidRPr="006A74F8">
              <w:rPr>
                <w:rFonts w:asciiTheme="majorHAnsi" w:hAnsiTheme="majorHAnsi" w:cstheme="majorHAnsi"/>
                <w:sz w:val="20"/>
                <w:szCs w:val="20"/>
              </w:rPr>
              <w:t xml:space="preserve"> measuring instrument types and applications (</w:t>
            </w:r>
            <w:r w:rsidR="00190B06" w:rsidRPr="006A74F8">
              <w:rPr>
                <w:rFonts w:asciiTheme="majorHAnsi" w:hAnsiTheme="majorHAnsi" w:cstheme="majorHAnsi"/>
                <w:sz w:val="20"/>
                <w:szCs w:val="20"/>
              </w:rPr>
              <w:t>subject</w:t>
            </w:r>
            <w:r w:rsidR="00475CB8" w:rsidRPr="006A74F8">
              <w:rPr>
                <w:rFonts w:asciiTheme="majorHAnsi" w:hAnsiTheme="majorHAnsi" w:cstheme="majorHAnsi"/>
                <w:sz w:val="20"/>
                <w:szCs w:val="20"/>
              </w:rPr>
              <w:t xml:space="preserve"> to</w:t>
            </w:r>
            <w:r w:rsidRPr="006A74F8">
              <w:rPr>
                <w:rFonts w:asciiTheme="majorHAnsi" w:hAnsiTheme="majorHAnsi" w:cstheme="majorHAnsi"/>
                <w:sz w:val="20"/>
                <w:szCs w:val="20"/>
              </w:rPr>
              <w:t xml:space="preserve"> future consultation). Option 3 provides the flexibility of option 2 but with increased scope to support other regulators and may present manufacturers with additional cost and burden in some sectors.</w:t>
            </w:r>
          </w:p>
        </w:tc>
      </w:tr>
    </w:tbl>
    <w:p w:rsidR="003A7E01" w:rsidRPr="006A74F8" w:rsidRDefault="008F7D32" w:rsidP="00723AFE">
      <w:pPr>
        <w:spacing w:before="240"/>
      </w:pPr>
      <w:r w:rsidRPr="006A74F8">
        <w:t>The current framework requires pattern approval and initial verification for measuring instruments</w:t>
      </w:r>
      <w:r w:rsidR="00DC2853" w:rsidRPr="006A74F8">
        <w:rPr>
          <w:rStyle w:val="FootnoteReference"/>
        </w:rPr>
        <w:footnoteReference w:id="109"/>
      </w:r>
      <w:r w:rsidRPr="006A74F8">
        <w:t xml:space="preserve"> used for trade purposes with no express </w:t>
      </w:r>
      <w:r w:rsidR="003903B9" w:rsidRPr="006A74F8">
        <w:t>power</w:t>
      </w:r>
      <w:r w:rsidRPr="006A74F8">
        <w:t xml:space="preserve"> to exempt </w:t>
      </w:r>
      <w:r w:rsidR="003903B9" w:rsidRPr="006A74F8">
        <w:t xml:space="preserve">particular instruments </w:t>
      </w:r>
      <w:r w:rsidRPr="006A74F8">
        <w:t>from these controls</w:t>
      </w:r>
      <w:r w:rsidR="00E7236A" w:rsidRPr="006A74F8">
        <w:t>. W</w:t>
      </w:r>
      <w:r w:rsidR="00275308" w:rsidRPr="006A74F8">
        <w:t xml:space="preserve">hile pattern approval and verification will remain the </w:t>
      </w:r>
      <w:r w:rsidR="00C860AB" w:rsidRPr="006A74F8">
        <w:t>default</w:t>
      </w:r>
      <w:r w:rsidR="00275308" w:rsidRPr="006A74F8">
        <w:t xml:space="preserve"> pathway under all options,</w:t>
      </w:r>
      <w:r w:rsidR="00C860AB" w:rsidRPr="006A74F8">
        <w:t xml:space="preserve"> </w:t>
      </w:r>
      <w:r w:rsidR="00275308" w:rsidRPr="006A74F8">
        <w:t>t</w:t>
      </w:r>
      <w:r w:rsidRPr="006A74F8">
        <w:t xml:space="preserve">his </w:t>
      </w:r>
      <w:r w:rsidR="00074809" w:rsidRPr="006A74F8">
        <w:t>‘</w:t>
      </w:r>
      <w:r w:rsidR="00D53E2C" w:rsidRPr="006A74F8">
        <w:t>one-size-fits-all</w:t>
      </w:r>
      <w:r w:rsidR="00074809" w:rsidRPr="006A74F8">
        <w:t>’</w:t>
      </w:r>
      <w:r w:rsidRPr="006A74F8">
        <w:t xml:space="preserve"> approach </w:t>
      </w:r>
      <w:r w:rsidR="00C031E7" w:rsidRPr="006A74F8">
        <w:t xml:space="preserve">is </w:t>
      </w:r>
      <w:r w:rsidRPr="006A74F8">
        <w:t xml:space="preserve">not </w:t>
      </w:r>
      <w:r w:rsidR="00275308" w:rsidRPr="006A74F8">
        <w:t>always</w:t>
      </w:r>
      <w:r w:rsidR="00B24D54" w:rsidRPr="006A74F8">
        <w:t xml:space="preserve"> suitable for all measuring instruments or circumstances.</w:t>
      </w:r>
      <w:r w:rsidRPr="006A74F8">
        <w:t xml:space="preserve"> Th</w:t>
      </w:r>
      <w:r w:rsidR="00C031E7" w:rsidRPr="006A74F8">
        <w:t>is</w:t>
      </w:r>
      <w:r w:rsidRPr="006A74F8">
        <w:t xml:space="preserve"> lack of flexibility creates barriers and assumptions that slows the adoption of instruments using innovative technology and results in regulatory burden for manufacturers. </w:t>
      </w:r>
      <w:r w:rsidR="003A7E01" w:rsidRPr="006A74F8">
        <w:t xml:space="preserve">It also restricts the use of instruments in the market to those that already have approval, meaning </w:t>
      </w:r>
      <w:r w:rsidR="003A7E01" w:rsidRPr="006A74F8">
        <w:lastRenderedPageBreak/>
        <w:t>businesses are</w:t>
      </w:r>
      <w:r w:rsidRPr="006A74F8">
        <w:t xml:space="preserve"> </w:t>
      </w:r>
      <w:r w:rsidR="003A7E01" w:rsidRPr="006A74F8">
        <w:t xml:space="preserve">unable to test the </w:t>
      </w:r>
      <w:r w:rsidR="003A7E01" w:rsidRPr="006A74F8">
        <w:rPr>
          <w:lang w:eastAsia="en-AU"/>
        </w:rPr>
        <w:t>viability of an idea or market demand prior to investing money in pattern approval.</w:t>
      </w:r>
    </w:p>
    <w:p w:rsidR="00FB50E6" w:rsidRPr="006A74F8" w:rsidRDefault="00FB50E6" w:rsidP="00A465B2">
      <w:r w:rsidRPr="006A74F8">
        <w:t xml:space="preserve">Two examples </w:t>
      </w:r>
      <w:r w:rsidR="00E7236A" w:rsidRPr="006A74F8">
        <w:t>include:</w:t>
      </w:r>
    </w:p>
    <w:p w:rsidR="002004F9" w:rsidRPr="006A74F8" w:rsidRDefault="00E7236A" w:rsidP="00DE547B">
      <w:pPr>
        <w:pStyle w:val="ListParagraph"/>
        <w:numPr>
          <w:ilvl w:val="0"/>
          <w:numId w:val="222"/>
        </w:numPr>
        <w:spacing w:before="240"/>
      </w:pPr>
      <w:r w:rsidRPr="006A74F8">
        <w:t>Electric Vehicle Charging</w:t>
      </w:r>
      <w:r w:rsidR="005C5630" w:rsidRPr="006A74F8">
        <w:t xml:space="preserve"> (see </w:t>
      </w:r>
      <w:hyperlink w:anchor="_New_pattern_approval" w:history="1">
        <w:r w:rsidR="005C5630" w:rsidRPr="006406FE">
          <w:rPr>
            <w:rStyle w:val="Hyperlink"/>
          </w:rPr>
          <w:t>section 5.4.</w:t>
        </w:r>
        <w:r w:rsidR="004C6124" w:rsidRPr="006406FE">
          <w:rPr>
            <w:rStyle w:val="Hyperlink"/>
          </w:rPr>
          <w:t>4</w:t>
        </w:r>
        <w:r w:rsidR="005C5630" w:rsidRPr="006406FE">
          <w:rPr>
            <w:rStyle w:val="Hyperlink"/>
          </w:rPr>
          <w:t>.2</w:t>
        </w:r>
        <w:r w:rsidR="004C6124" w:rsidRPr="006406FE">
          <w:rPr>
            <w:rStyle w:val="Hyperlink"/>
          </w:rPr>
          <w:t>.1</w:t>
        </w:r>
      </w:hyperlink>
      <w:r w:rsidR="005C5630" w:rsidRPr="006A74F8">
        <w:t>)</w:t>
      </w:r>
      <w:r w:rsidR="001708B4" w:rsidRPr="006A74F8">
        <w:t>: current measuring instrument controls limit the uptake of new and innovative technology.</w:t>
      </w:r>
      <w:r w:rsidR="005C5630" w:rsidRPr="006A74F8" w:rsidDel="005C5630">
        <w:t xml:space="preserve"> </w:t>
      </w:r>
    </w:p>
    <w:p w:rsidR="00E7236A" w:rsidRPr="006A74F8" w:rsidRDefault="00E7236A" w:rsidP="00DE547B">
      <w:pPr>
        <w:pStyle w:val="ListParagraph"/>
        <w:numPr>
          <w:ilvl w:val="0"/>
          <w:numId w:val="222"/>
        </w:numPr>
        <w:spacing w:before="240"/>
      </w:pPr>
      <w:r w:rsidRPr="006A74F8">
        <w:t>Liquid Detergent Dispensers</w:t>
      </w:r>
      <w:r w:rsidR="005C5630" w:rsidRPr="006A74F8">
        <w:t xml:space="preserve"> (see </w:t>
      </w:r>
      <w:hyperlink w:anchor="_Upfront_pattern_approval" w:history="1">
        <w:r w:rsidR="005C5630" w:rsidRPr="006406FE">
          <w:rPr>
            <w:rStyle w:val="Hyperlink"/>
          </w:rPr>
          <w:t>section 5.4.</w:t>
        </w:r>
        <w:r w:rsidR="004C6124" w:rsidRPr="006406FE">
          <w:rPr>
            <w:rStyle w:val="Hyperlink"/>
          </w:rPr>
          <w:t>4.2</w:t>
        </w:r>
        <w:r w:rsidR="005C5630" w:rsidRPr="006406FE">
          <w:rPr>
            <w:rStyle w:val="Hyperlink"/>
          </w:rPr>
          <w:t>.2</w:t>
        </w:r>
      </w:hyperlink>
      <w:r w:rsidR="005C5630" w:rsidRPr="006A74F8">
        <w:t>)</w:t>
      </w:r>
      <w:r w:rsidR="001708B4" w:rsidRPr="006A74F8">
        <w:t xml:space="preserve">: current measuring instrument controls limit business ability to test </w:t>
      </w:r>
      <w:r w:rsidR="0006559E" w:rsidRPr="006A74F8">
        <w:t xml:space="preserve">the </w:t>
      </w:r>
      <w:r w:rsidR="001708B4" w:rsidRPr="006A74F8">
        <w:t>viability of new and innovative concepts.</w:t>
      </w:r>
    </w:p>
    <w:p w:rsidR="008F7D32" w:rsidRPr="006A74F8" w:rsidRDefault="00D90080" w:rsidP="006F428D">
      <w:pPr>
        <w:rPr>
          <w:sz w:val="24"/>
        </w:rPr>
      </w:pPr>
      <w:r w:rsidRPr="006A74F8">
        <w:t>Under the options, t</w:t>
      </w:r>
      <w:r w:rsidR="008F7D32" w:rsidRPr="006A74F8">
        <w:t>here are two approaches to increase flexibility</w:t>
      </w:r>
      <w:r w:rsidRPr="006A74F8">
        <w:t xml:space="preserve"> in how measuring instruments are regulated</w:t>
      </w:r>
      <w:r w:rsidR="008F7D32" w:rsidRPr="006A74F8">
        <w:t>:</w:t>
      </w:r>
    </w:p>
    <w:p w:rsidR="008F7D32" w:rsidRPr="006A74F8" w:rsidRDefault="008F7D32" w:rsidP="006F428D">
      <w:pPr>
        <w:rPr>
          <w:rFonts w:eastAsia="Calibri" w:cstheme="minorHAnsi"/>
        </w:rPr>
      </w:pPr>
      <w:r w:rsidRPr="006A74F8">
        <w:t xml:space="preserve">Under </w:t>
      </w:r>
      <w:r w:rsidR="00033029" w:rsidRPr="006A74F8">
        <w:rPr>
          <w:b/>
        </w:rPr>
        <w:t>o</w:t>
      </w:r>
      <w:r w:rsidRPr="006A74F8">
        <w:rPr>
          <w:b/>
        </w:rPr>
        <w:t>ption 1</w:t>
      </w:r>
      <w:r w:rsidRPr="006A74F8">
        <w:t>, the Chief Metrologist will have the power to exempt</w:t>
      </w:r>
      <w:r w:rsidRPr="006A74F8">
        <w:rPr>
          <w:rFonts w:eastAsia="Calibri" w:cstheme="minorHAnsi"/>
        </w:rPr>
        <w:t xml:space="preserve"> instruments and components from the pattern approval or verification requirement</w:t>
      </w:r>
      <w:r w:rsidR="00E8773B" w:rsidRPr="006A74F8">
        <w:rPr>
          <w:rFonts w:eastAsia="Calibri" w:cstheme="minorHAnsi"/>
        </w:rPr>
        <w:t>s</w:t>
      </w:r>
      <w:r w:rsidRPr="006A74F8">
        <w:rPr>
          <w:rFonts w:eastAsia="Calibri" w:cstheme="minorHAnsi"/>
        </w:rPr>
        <w:t>; noting that components are not verified separately. An exemption</w:t>
      </w:r>
      <w:r w:rsidRPr="006A74F8">
        <w:rPr>
          <w:rFonts w:ascii="Calibri" w:eastAsia="Calibri" w:hAnsi="Calibri" w:cs="Calibri"/>
        </w:rPr>
        <w:t xml:space="preserve"> represents a reduction in regulatory burden for manufacturers.</w:t>
      </w:r>
      <w:r w:rsidRPr="006A74F8">
        <w:rPr>
          <w:rFonts w:eastAsia="Calibri" w:cstheme="minorHAnsi"/>
        </w:rPr>
        <w:t xml:space="preserve"> </w:t>
      </w:r>
    </w:p>
    <w:p w:rsidR="008F7D32" w:rsidRPr="006A74F8" w:rsidRDefault="008F7D32" w:rsidP="006F428D">
      <w:r w:rsidRPr="006A74F8">
        <w:t xml:space="preserve">Under </w:t>
      </w:r>
      <w:r w:rsidR="00033029" w:rsidRPr="006A74F8">
        <w:rPr>
          <w:b/>
        </w:rPr>
        <w:t>o</w:t>
      </w:r>
      <w:r w:rsidRPr="006A74F8">
        <w:rPr>
          <w:b/>
        </w:rPr>
        <w:t xml:space="preserve">ptions 2 and 3 </w:t>
      </w:r>
      <w:r w:rsidR="00F16D2D" w:rsidRPr="006A74F8">
        <w:t>the</w:t>
      </w:r>
      <w:r w:rsidRPr="006A74F8">
        <w:t xml:space="preserve"> new legislati</w:t>
      </w:r>
      <w:r w:rsidR="00F16D2D" w:rsidRPr="006A74F8">
        <w:t>on</w:t>
      </w:r>
      <w:r w:rsidRPr="006A74F8">
        <w:t xml:space="preserve"> will introduce </w:t>
      </w:r>
      <w:r w:rsidR="00F16D2D" w:rsidRPr="006A74F8">
        <w:t>the ability</w:t>
      </w:r>
      <w:r w:rsidRPr="006A74F8">
        <w:t xml:space="preserve"> to apply a range of metrological controls </w:t>
      </w:r>
      <w:r w:rsidR="008B5FA8" w:rsidRPr="006A74F8">
        <w:t xml:space="preserve">to </w:t>
      </w:r>
      <w:r w:rsidRPr="006A74F8">
        <w:t>measuring instruments used for trade and legal purposes.</w:t>
      </w:r>
      <w:r w:rsidR="008B5FA8" w:rsidRPr="006A74F8">
        <w:t xml:space="preserve"> Pattern approval and initial verification will remain the default controls and will likely stay as key controls for many types of measuring instruments, particularly for well-established instruments types and sectors where this approach is working well.</w:t>
      </w:r>
      <w:r w:rsidRPr="006A74F8">
        <w:t xml:space="preserve"> The </w:t>
      </w:r>
      <w:r w:rsidR="008B5FA8" w:rsidRPr="006A74F8">
        <w:t xml:space="preserve">legislation </w:t>
      </w:r>
      <w:r w:rsidRPr="006A74F8">
        <w:t xml:space="preserve">will establish </w:t>
      </w:r>
      <w:r w:rsidR="008B5FA8" w:rsidRPr="006A74F8">
        <w:t xml:space="preserve">alternative </w:t>
      </w:r>
      <w:r w:rsidRPr="006A74F8">
        <w:t xml:space="preserve">controls (both new and existing) </w:t>
      </w:r>
      <w:r w:rsidR="008B5FA8" w:rsidRPr="006A74F8">
        <w:t xml:space="preserve">that could be applied to measuring instruments, where appropriate. </w:t>
      </w:r>
      <w:r w:rsidR="004A7FC7" w:rsidRPr="006A74F8">
        <w:t xml:space="preserve">This replaces a </w:t>
      </w:r>
      <w:r w:rsidR="005B63B1" w:rsidRPr="006A74F8">
        <w:t>‘</w:t>
      </w:r>
      <w:r w:rsidRPr="006A74F8">
        <w:t>one</w:t>
      </w:r>
      <w:r w:rsidR="004A7FC7" w:rsidRPr="006A74F8">
        <w:t>-</w:t>
      </w:r>
      <w:r w:rsidRPr="006A74F8">
        <w:t>size</w:t>
      </w:r>
      <w:r w:rsidR="004A7FC7" w:rsidRPr="006A74F8">
        <w:t>-</w:t>
      </w:r>
      <w:r w:rsidRPr="006A74F8">
        <w:t>fits</w:t>
      </w:r>
      <w:r w:rsidR="004A7FC7" w:rsidRPr="006A74F8">
        <w:t>-</w:t>
      </w:r>
      <w:r w:rsidRPr="006A74F8">
        <w:t>all</w:t>
      </w:r>
      <w:r w:rsidR="005B63B1" w:rsidRPr="006A74F8">
        <w:t>’</w:t>
      </w:r>
      <w:r w:rsidRPr="006A74F8">
        <w:t xml:space="preserve"> approach </w:t>
      </w:r>
      <w:r w:rsidR="004A7FC7" w:rsidRPr="006A74F8">
        <w:t>with</w:t>
      </w:r>
      <w:r w:rsidRPr="006A74F8">
        <w:t xml:space="preserve"> a fit for purpose approach to regulating measuring instruments</w:t>
      </w:r>
      <w:r w:rsidR="008B5FA8" w:rsidRPr="006A74F8">
        <w:t>, accommodating new technologies and novel applications for measuring instruments now and in the future</w:t>
      </w:r>
      <w:r w:rsidRPr="006A74F8" w:rsidDel="008B5FA8">
        <w:t>.</w:t>
      </w:r>
      <w:r w:rsidRPr="006A74F8">
        <w:t xml:space="preserve"> Under this new approach:</w:t>
      </w:r>
    </w:p>
    <w:p w:rsidR="005F1826" w:rsidRPr="006A74F8" w:rsidRDefault="005F1826" w:rsidP="006764BF">
      <w:pPr>
        <w:pStyle w:val="ListParagraph"/>
        <w:numPr>
          <w:ilvl w:val="0"/>
          <w:numId w:val="290"/>
        </w:numPr>
        <w:tabs>
          <w:tab w:val="clear" w:pos="1440"/>
          <w:tab w:val="num" w:pos="709"/>
        </w:tabs>
        <w:ind w:left="709" w:hanging="425"/>
      </w:pPr>
      <w:r w:rsidRPr="006A74F8">
        <w:t>Pattern approval and verification remain the default controls</w:t>
      </w:r>
      <w:r w:rsidR="002F58D9" w:rsidRPr="006A74F8">
        <w:t>.</w:t>
      </w:r>
    </w:p>
    <w:p w:rsidR="00E478ED" w:rsidRPr="006A74F8" w:rsidRDefault="008B5FA8" w:rsidP="006764BF">
      <w:pPr>
        <w:pStyle w:val="ListParagraph"/>
        <w:numPr>
          <w:ilvl w:val="0"/>
          <w:numId w:val="290"/>
        </w:numPr>
        <w:tabs>
          <w:tab w:val="clear" w:pos="1440"/>
          <w:tab w:val="num" w:pos="709"/>
        </w:tabs>
        <w:ind w:left="709" w:hanging="425"/>
      </w:pPr>
      <w:r w:rsidRPr="006A74F8">
        <w:rPr>
          <w:rFonts w:ascii="Calibri" w:hAnsi="Calibri" w:cs="Calibri"/>
        </w:rPr>
        <w:t>All i</w:t>
      </w:r>
      <w:r w:rsidR="00E478ED" w:rsidRPr="006A74F8">
        <w:rPr>
          <w:rFonts w:ascii="Calibri" w:hAnsi="Calibri" w:cs="Calibri"/>
        </w:rPr>
        <w:t>nstruments would still need</w:t>
      </w:r>
      <w:r w:rsidR="005B63B1" w:rsidRPr="006A74F8">
        <w:rPr>
          <w:rFonts w:ascii="Calibri" w:hAnsi="Calibri" w:cs="Calibri"/>
        </w:rPr>
        <w:t xml:space="preserve"> to</w:t>
      </w:r>
      <w:r w:rsidR="00E478ED" w:rsidRPr="006A74F8">
        <w:rPr>
          <w:rFonts w:ascii="Calibri" w:hAnsi="Calibri" w:cs="Calibri"/>
        </w:rPr>
        <w:t xml:space="preserve"> be sufficiently accurate </w:t>
      </w:r>
      <w:r w:rsidRPr="006A74F8">
        <w:rPr>
          <w:rFonts w:ascii="Calibri" w:hAnsi="Calibri" w:cs="Calibri"/>
        </w:rPr>
        <w:t xml:space="preserve">when </w:t>
      </w:r>
      <w:r w:rsidR="00E478ED" w:rsidRPr="006A74F8">
        <w:rPr>
          <w:rFonts w:ascii="Calibri" w:hAnsi="Calibri" w:cs="Calibri"/>
        </w:rPr>
        <w:t>in use.</w:t>
      </w:r>
    </w:p>
    <w:p w:rsidR="006F428D" w:rsidRPr="006A74F8" w:rsidRDefault="008F7D32" w:rsidP="006764BF">
      <w:pPr>
        <w:pStyle w:val="ListParagraph"/>
        <w:numPr>
          <w:ilvl w:val="0"/>
          <w:numId w:val="290"/>
        </w:numPr>
        <w:tabs>
          <w:tab w:val="clear" w:pos="1440"/>
          <w:tab w:val="num" w:pos="709"/>
        </w:tabs>
        <w:ind w:left="709" w:hanging="425"/>
      </w:pPr>
      <w:r w:rsidRPr="006A74F8">
        <w:rPr>
          <w:rFonts w:ascii="Calibri" w:hAnsi="Calibri" w:cs="Calibri"/>
        </w:rPr>
        <w:t xml:space="preserve">The particular level of intervention </w:t>
      </w:r>
      <w:r w:rsidR="004A7FC7" w:rsidRPr="006A74F8">
        <w:rPr>
          <w:rFonts w:ascii="Calibri" w:hAnsi="Calibri" w:cs="Calibri"/>
        </w:rPr>
        <w:t xml:space="preserve">will </w:t>
      </w:r>
      <w:r w:rsidRPr="006A74F8">
        <w:rPr>
          <w:rFonts w:ascii="Calibri" w:hAnsi="Calibri" w:cs="Calibri"/>
        </w:rPr>
        <w:t xml:space="preserve">depend on the instrument type, industry sector, need, market failure and risk. </w:t>
      </w:r>
    </w:p>
    <w:p w:rsidR="006F428D" w:rsidRPr="006A74F8" w:rsidRDefault="008F7D32" w:rsidP="006764BF">
      <w:pPr>
        <w:pStyle w:val="ListParagraph"/>
        <w:numPr>
          <w:ilvl w:val="0"/>
          <w:numId w:val="290"/>
        </w:numPr>
        <w:tabs>
          <w:tab w:val="clear" w:pos="1440"/>
          <w:tab w:val="num" w:pos="709"/>
        </w:tabs>
        <w:ind w:left="709" w:hanging="425"/>
      </w:pPr>
      <w:r w:rsidRPr="006A74F8">
        <w:t>Stakeholder consultation (</w:t>
      </w:r>
      <w:r w:rsidRPr="006A74F8">
        <w:rPr>
          <w:rFonts w:ascii="Calibri" w:hAnsi="Calibri" w:cs="Calibri"/>
        </w:rPr>
        <w:t xml:space="preserve">with manufacturers, </w:t>
      </w:r>
      <w:r w:rsidR="00EE326B" w:rsidRPr="006A74F8">
        <w:t>business</w:t>
      </w:r>
      <w:r w:rsidRPr="006A74F8">
        <w:t>, consumers and other regulators), data collection, analysis and risk assessment will form the basis of any changes to the controls applied to instrument types</w:t>
      </w:r>
      <w:r w:rsidRPr="006A74F8">
        <w:rPr>
          <w:rFonts w:ascii="Calibri" w:hAnsi="Calibri" w:cs="Calibri"/>
        </w:rPr>
        <w:t xml:space="preserve">. </w:t>
      </w:r>
    </w:p>
    <w:p w:rsidR="00975403" w:rsidRPr="006A74F8" w:rsidRDefault="00975403" w:rsidP="006764BF">
      <w:pPr>
        <w:pStyle w:val="ListParagraph"/>
        <w:numPr>
          <w:ilvl w:val="0"/>
          <w:numId w:val="290"/>
        </w:numPr>
        <w:tabs>
          <w:tab w:val="clear" w:pos="1440"/>
          <w:tab w:val="num" w:pos="709"/>
        </w:tabs>
        <w:ind w:left="709" w:hanging="425"/>
      </w:pPr>
      <w:r w:rsidRPr="006A74F8">
        <w:t>Any future changes to controls will need to demonstrate a net benefit to the measurement system as a whole, and be implemented to minimise regulatory burden.</w:t>
      </w:r>
    </w:p>
    <w:p w:rsidR="00D62150" w:rsidRPr="006A74F8" w:rsidRDefault="00C521E7" w:rsidP="00696A4E">
      <w:pPr>
        <w:pStyle w:val="Heading4"/>
        <w:tabs>
          <w:tab w:val="left" w:pos="1134"/>
        </w:tabs>
      </w:pPr>
      <w:r w:rsidRPr="006A74F8">
        <w:t>Changes to r</w:t>
      </w:r>
      <w:r w:rsidR="00D62150" w:rsidRPr="006A74F8">
        <w:t xml:space="preserve">egulatory burden </w:t>
      </w:r>
    </w:p>
    <w:p w:rsidR="003D2AEB" w:rsidRPr="006A74F8" w:rsidRDefault="00DE4E39" w:rsidP="006F428D">
      <w:r w:rsidRPr="006A74F8">
        <w:t>P</w:t>
      </w:r>
      <w:r w:rsidR="008F7D32" w:rsidRPr="006A74F8">
        <w:t xml:space="preserve">attern approval and verification will remain the </w:t>
      </w:r>
      <w:r w:rsidR="00D245B4" w:rsidRPr="006A74F8">
        <w:t xml:space="preserve">default </w:t>
      </w:r>
      <w:r w:rsidR="008F7D32" w:rsidRPr="006A74F8">
        <w:t xml:space="preserve">mechanisms of control across all </w:t>
      </w:r>
      <w:r w:rsidR="00033029" w:rsidRPr="006A74F8">
        <w:t>o</w:t>
      </w:r>
      <w:r w:rsidR="008F7D32" w:rsidRPr="006A74F8">
        <w:t>ptions</w:t>
      </w:r>
      <w:r w:rsidRPr="006A74F8">
        <w:t>.</w:t>
      </w:r>
      <w:r w:rsidR="008F7D32" w:rsidRPr="006A74F8">
        <w:t xml:space="preserve"> </w:t>
      </w:r>
      <w:r w:rsidRPr="006A74F8">
        <w:t>However</w:t>
      </w:r>
      <w:r w:rsidR="008F7D32" w:rsidRPr="006A74F8">
        <w:t xml:space="preserve">, a change in regulatory burden may occur </w:t>
      </w:r>
      <w:r w:rsidR="003A46AF" w:rsidRPr="006A74F8">
        <w:t>under</w:t>
      </w:r>
      <w:r w:rsidR="008F7D32" w:rsidRPr="006A74F8">
        <w:t xml:space="preserve"> </w:t>
      </w:r>
      <w:r w:rsidR="00033029" w:rsidRPr="006A74F8">
        <w:rPr>
          <w:b/>
        </w:rPr>
        <w:t>o</w:t>
      </w:r>
      <w:r w:rsidR="008F7D32" w:rsidRPr="006A74F8">
        <w:rPr>
          <w:b/>
        </w:rPr>
        <w:t>ption 1</w:t>
      </w:r>
      <w:r w:rsidR="008F7D32" w:rsidRPr="006A74F8">
        <w:t xml:space="preserve"> based on exemptions</w:t>
      </w:r>
      <w:r w:rsidR="00F17D8F" w:rsidRPr="006A74F8">
        <w:t>, permits</w:t>
      </w:r>
      <w:r w:rsidR="008F7D32" w:rsidRPr="006A74F8">
        <w:t xml:space="preserve"> or </w:t>
      </w:r>
      <w:r w:rsidR="00F17D8F" w:rsidRPr="006A74F8">
        <w:t>provisional certificates</w:t>
      </w:r>
      <w:r w:rsidR="007E0BE8" w:rsidRPr="006A74F8">
        <w:t>,</w:t>
      </w:r>
      <w:r w:rsidR="00F17D8F" w:rsidRPr="006A74F8">
        <w:t xml:space="preserve"> </w:t>
      </w:r>
      <w:r w:rsidR="008F7D32" w:rsidRPr="006A74F8">
        <w:t xml:space="preserve">and </w:t>
      </w:r>
      <w:r w:rsidR="003A46AF" w:rsidRPr="006A74F8">
        <w:t>under</w:t>
      </w:r>
      <w:r w:rsidR="008F7D32" w:rsidRPr="006A74F8">
        <w:t xml:space="preserve"> </w:t>
      </w:r>
      <w:r w:rsidR="00033029" w:rsidRPr="006A74F8">
        <w:rPr>
          <w:b/>
        </w:rPr>
        <w:t>o</w:t>
      </w:r>
      <w:r w:rsidR="008F7D32" w:rsidRPr="006A74F8">
        <w:rPr>
          <w:b/>
        </w:rPr>
        <w:t>ptions 2 and 3</w:t>
      </w:r>
      <w:r w:rsidR="008F7D32" w:rsidRPr="006A74F8">
        <w:t xml:space="preserve"> </w:t>
      </w:r>
      <w:r w:rsidR="003A46AF" w:rsidRPr="006A74F8">
        <w:t xml:space="preserve">where alternative requirements are established </w:t>
      </w:r>
      <w:r w:rsidR="008F7D32" w:rsidRPr="006A74F8">
        <w:t xml:space="preserve">based on a risk assessment of instrument types and other factors. </w:t>
      </w:r>
    </w:p>
    <w:p w:rsidR="008F7D32" w:rsidRPr="006A74F8" w:rsidRDefault="00D06D1D" w:rsidP="006F428D">
      <w:r w:rsidRPr="006A74F8">
        <w:t xml:space="preserve">Where </w:t>
      </w:r>
      <w:r w:rsidRPr="006A74F8">
        <w:rPr>
          <w:b/>
        </w:rPr>
        <w:t>pattern approval and verification requirements continue</w:t>
      </w:r>
      <w:r w:rsidRPr="006A74F8">
        <w:t xml:space="preserve"> to apply and no other controls are imposed t</w:t>
      </w:r>
      <w:r w:rsidR="008F7D32" w:rsidRPr="006A74F8">
        <w:t>here would be no change in burden.</w:t>
      </w:r>
    </w:p>
    <w:p w:rsidR="008F7D32" w:rsidRPr="006A74F8" w:rsidRDefault="008F7D32" w:rsidP="006F428D">
      <w:r w:rsidRPr="006A74F8">
        <w:t xml:space="preserve">Where </w:t>
      </w:r>
      <w:r w:rsidRPr="006A74F8">
        <w:rPr>
          <w:b/>
        </w:rPr>
        <w:t xml:space="preserve">an exemption </w:t>
      </w:r>
      <w:r w:rsidR="004C271F" w:rsidRPr="006A74F8">
        <w:rPr>
          <w:b/>
        </w:rPr>
        <w:t xml:space="preserve">from pattern approval requirements </w:t>
      </w:r>
      <w:r w:rsidRPr="006A74F8">
        <w:rPr>
          <w:b/>
        </w:rPr>
        <w:t>is granted</w:t>
      </w:r>
      <w:r w:rsidR="007B75FF" w:rsidRPr="006A74F8">
        <w:rPr>
          <w:b/>
        </w:rPr>
        <w:t xml:space="preserve"> or where pattern approval is </w:t>
      </w:r>
      <w:r w:rsidR="00846622" w:rsidRPr="006A74F8">
        <w:rPr>
          <w:b/>
        </w:rPr>
        <w:t>replaced with an alternative control</w:t>
      </w:r>
      <w:r w:rsidRPr="006A74F8">
        <w:t>, the</w:t>
      </w:r>
      <w:r w:rsidR="004C271F" w:rsidRPr="006A74F8">
        <w:t>re would be a reduction in the regulatory burden for instrument manufacturers resulting from:</w:t>
      </w:r>
      <w:r w:rsidRPr="006A74F8">
        <w:t xml:space="preserve"> </w:t>
      </w:r>
    </w:p>
    <w:p w:rsidR="006F428D" w:rsidRPr="006A74F8" w:rsidRDefault="008F7D32" w:rsidP="00846622">
      <w:pPr>
        <w:pStyle w:val="ListParagraph"/>
        <w:numPr>
          <w:ilvl w:val="0"/>
          <w:numId w:val="88"/>
        </w:numPr>
      </w:pPr>
      <w:r w:rsidRPr="006A74F8">
        <w:t xml:space="preserve">reduced cost </w:t>
      </w:r>
      <w:r w:rsidR="004C271F" w:rsidRPr="006A74F8">
        <w:t>and time associated with making an</w:t>
      </w:r>
      <w:r w:rsidRPr="006A74F8">
        <w:t xml:space="preserve"> application </w:t>
      </w:r>
      <w:r w:rsidR="004C271F" w:rsidRPr="006A74F8">
        <w:t>seeking a pattern</w:t>
      </w:r>
      <w:r w:rsidRPr="006A74F8">
        <w:t xml:space="preserve"> approval </w:t>
      </w:r>
    </w:p>
    <w:p w:rsidR="006F428D" w:rsidRPr="006A74F8" w:rsidRDefault="008F7D32" w:rsidP="00846622">
      <w:pPr>
        <w:pStyle w:val="ListParagraph"/>
        <w:numPr>
          <w:ilvl w:val="0"/>
          <w:numId w:val="88"/>
        </w:numPr>
      </w:pPr>
      <w:r w:rsidRPr="006A74F8">
        <w:lastRenderedPageBreak/>
        <w:t>reduced time required to review the pattern approval certificate</w:t>
      </w:r>
      <w:r w:rsidR="009E2C83" w:rsidRPr="006A74F8">
        <w:t>.</w:t>
      </w:r>
    </w:p>
    <w:p w:rsidR="00607127" w:rsidRPr="006A74F8" w:rsidRDefault="00607127" w:rsidP="00517AFF">
      <w:r w:rsidRPr="006A74F8">
        <w:t xml:space="preserve">Where </w:t>
      </w:r>
      <w:r w:rsidRPr="006A74F8">
        <w:rPr>
          <w:b/>
        </w:rPr>
        <w:t xml:space="preserve">an exemption from verification is determined or </w:t>
      </w:r>
      <w:r w:rsidR="00846622" w:rsidRPr="006A74F8">
        <w:rPr>
          <w:b/>
        </w:rPr>
        <w:t>replaced with an alternative control</w:t>
      </w:r>
      <w:r w:rsidRPr="006A74F8">
        <w:t>, there would be a reduction in the regulatory burden for trading businesses and ATPs resulting from:</w:t>
      </w:r>
    </w:p>
    <w:p w:rsidR="00607127" w:rsidRPr="006A74F8" w:rsidRDefault="00607127" w:rsidP="00846622">
      <w:pPr>
        <w:pStyle w:val="ListParagraph"/>
        <w:numPr>
          <w:ilvl w:val="0"/>
          <w:numId w:val="131"/>
        </w:numPr>
      </w:pPr>
      <w:r w:rsidRPr="006A74F8">
        <w:t>reduced cost of verification for trading businesses</w:t>
      </w:r>
    </w:p>
    <w:p w:rsidR="00607127" w:rsidRPr="006A74F8" w:rsidRDefault="00607127" w:rsidP="00846622">
      <w:pPr>
        <w:pStyle w:val="ListParagraph"/>
        <w:numPr>
          <w:ilvl w:val="0"/>
          <w:numId w:val="131"/>
        </w:numPr>
      </w:pPr>
      <w:r w:rsidRPr="006A74F8">
        <w:t>reduced cost to the ATP associated with providing the verification service, recordkeeping, affixing verification marks and reporting the verification to NMI</w:t>
      </w:r>
      <w:r w:rsidR="009E2C83" w:rsidRPr="006A74F8">
        <w:t>.</w:t>
      </w:r>
    </w:p>
    <w:p w:rsidR="003565D5" w:rsidRPr="006A74F8" w:rsidRDefault="003565D5" w:rsidP="006F428D">
      <w:pPr>
        <w:shd w:val="clear" w:color="auto" w:fill="DFF3F3" w:themeFill="accent4" w:themeFillTint="33"/>
        <w:rPr>
          <w:b/>
        </w:rPr>
      </w:pPr>
      <w:r w:rsidRPr="006A74F8">
        <w:rPr>
          <w:b/>
        </w:rPr>
        <w:t xml:space="preserve">Regulatory </w:t>
      </w:r>
      <w:r w:rsidR="002C1C5A" w:rsidRPr="006A74F8">
        <w:rPr>
          <w:b/>
        </w:rPr>
        <w:t>burden e</w:t>
      </w:r>
      <w:r w:rsidRPr="006A74F8">
        <w:rPr>
          <w:b/>
        </w:rPr>
        <w:t>stimate reduction</w:t>
      </w:r>
      <w:r w:rsidR="00DD3DAC" w:rsidRPr="006A74F8">
        <w:rPr>
          <w:b/>
        </w:rPr>
        <w:t xml:space="preserve"> based on pattern approval</w:t>
      </w:r>
    </w:p>
    <w:p w:rsidR="006F428D" w:rsidRPr="006A74F8" w:rsidRDefault="00DF155D" w:rsidP="006F428D">
      <w:pPr>
        <w:shd w:val="clear" w:color="auto" w:fill="DFF3F3" w:themeFill="accent4" w:themeFillTint="33"/>
      </w:pPr>
      <w:r w:rsidRPr="006A74F8">
        <w:t>The</w:t>
      </w:r>
      <w:r w:rsidR="00A246F1" w:rsidRPr="006A74F8">
        <w:t xml:space="preserve"> status quo</w:t>
      </w:r>
      <w:r w:rsidRPr="006A74F8">
        <w:t xml:space="preserve"> cost of p</w:t>
      </w:r>
      <w:r w:rsidR="00B54002" w:rsidRPr="006A74F8">
        <w:t>attern approval</w:t>
      </w:r>
      <w:r w:rsidRPr="006A74F8">
        <w:t xml:space="preserve"> of</w:t>
      </w:r>
      <w:r w:rsidR="00B54002" w:rsidRPr="006A74F8">
        <w:t xml:space="preserve"> measuring instrument</w:t>
      </w:r>
      <w:r w:rsidRPr="006A74F8">
        <w:t>s to the</w:t>
      </w:r>
      <w:r w:rsidR="00B54002" w:rsidRPr="006A74F8">
        <w:t xml:space="preserve"> manufacturing sector</w:t>
      </w:r>
      <w:r w:rsidRPr="006A74F8">
        <w:t xml:space="preserve"> is estimated to be </w:t>
      </w:r>
      <w:r w:rsidR="00AD6B78" w:rsidRPr="006A74F8">
        <w:rPr>
          <w:b/>
        </w:rPr>
        <w:t>$</w:t>
      </w:r>
      <w:r w:rsidR="00E368CE" w:rsidRPr="006A74F8">
        <w:rPr>
          <w:b/>
        </w:rPr>
        <w:t>0.</w:t>
      </w:r>
      <w:r w:rsidR="00AD6B78" w:rsidRPr="006A74F8">
        <w:rPr>
          <w:b/>
        </w:rPr>
        <w:t>18</w:t>
      </w:r>
      <w:r w:rsidR="00E368CE" w:rsidRPr="006A74F8">
        <w:rPr>
          <w:b/>
        </w:rPr>
        <w:t>m</w:t>
      </w:r>
      <w:r w:rsidR="00AE09BC" w:rsidRPr="006A74F8">
        <w:rPr>
          <w:b/>
        </w:rPr>
        <w:t xml:space="preserve"> </w:t>
      </w:r>
      <w:r w:rsidR="00AE09BC" w:rsidRPr="006A74F8">
        <w:t>(combined annual application cost)</w:t>
      </w:r>
      <w:r w:rsidR="00B54002" w:rsidRPr="006A74F8">
        <w:t xml:space="preserve">. </w:t>
      </w:r>
      <w:r w:rsidR="00607127" w:rsidRPr="006A74F8">
        <w:t xml:space="preserve">The status quo cost of verification to trading businesses is </w:t>
      </w:r>
      <w:r w:rsidR="00431FFA" w:rsidRPr="006A74F8">
        <w:t>approximately</w:t>
      </w:r>
      <w:r w:rsidR="00607127" w:rsidRPr="006A74F8">
        <w:t xml:space="preserve"> </w:t>
      </w:r>
      <w:r w:rsidR="00607127" w:rsidRPr="006A74F8">
        <w:rPr>
          <w:b/>
        </w:rPr>
        <w:t>$</w:t>
      </w:r>
      <w:r w:rsidR="008911AF" w:rsidRPr="006A74F8">
        <w:rPr>
          <w:b/>
        </w:rPr>
        <w:t>7</w:t>
      </w:r>
      <w:r w:rsidR="00431FFA" w:rsidRPr="006A74F8">
        <w:rPr>
          <w:b/>
        </w:rPr>
        <w:t>.06</w:t>
      </w:r>
      <w:r w:rsidR="002D42D8" w:rsidRPr="006A74F8">
        <w:rPr>
          <w:b/>
        </w:rPr>
        <w:t>m</w:t>
      </w:r>
      <w:r w:rsidR="00607127" w:rsidRPr="006A74F8">
        <w:t xml:space="preserve">. </w:t>
      </w:r>
      <w:r w:rsidR="00B54002" w:rsidRPr="006A74F8">
        <w:t>Reductions to regulatory burden would be dependent on the number of measuring instruments that are exempt from pattern approval</w:t>
      </w:r>
      <w:r w:rsidR="00607127" w:rsidRPr="006A74F8">
        <w:t xml:space="preserve"> and/or verification</w:t>
      </w:r>
      <w:r w:rsidR="002D42D8" w:rsidRPr="006A74F8">
        <w:t xml:space="preserve"> </w:t>
      </w:r>
      <w:r w:rsidR="00B54002" w:rsidRPr="006A74F8">
        <w:t>(</w:t>
      </w:r>
      <w:r w:rsidR="00517AFF" w:rsidRPr="006A74F8">
        <w:t xml:space="preserve">all </w:t>
      </w:r>
      <w:r w:rsidR="005310F2" w:rsidRPr="006A74F8">
        <w:t xml:space="preserve">reform </w:t>
      </w:r>
      <w:r w:rsidR="00033029" w:rsidRPr="006A74F8">
        <w:t>o</w:t>
      </w:r>
      <w:r w:rsidR="00B54002" w:rsidRPr="006A74F8">
        <w:t>ption</w:t>
      </w:r>
      <w:r w:rsidR="00517AFF" w:rsidRPr="006A74F8">
        <w:t>s</w:t>
      </w:r>
      <w:r w:rsidR="00B54002" w:rsidRPr="006A74F8">
        <w:t xml:space="preserve">) or </w:t>
      </w:r>
      <w:r w:rsidR="00B54002" w:rsidRPr="006A74F8" w:rsidDel="00C46027">
        <w:t xml:space="preserve">for </w:t>
      </w:r>
      <w:r w:rsidR="00B54002" w:rsidRPr="006A74F8">
        <w:t xml:space="preserve">which </w:t>
      </w:r>
      <w:r w:rsidR="00517AFF" w:rsidRPr="006A74F8">
        <w:t xml:space="preserve">alternative mechanisms of control </w:t>
      </w:r>
      <w:r w:rsidR="00C46027" w:rsidRPr="006A74F8">
        <w:t>(</w:t>
      </w:r>
      <w:r w:rsidR="00517AFF" w:rsidRPr="006A74F8">
        <w:t xml:space="preserve">other than </w:t>
      </w:r>
      <w:r w:rsidR="00B54002" w:rsidRPr="006A74F8">
        <w:t>pattern approval</w:t>
      </w:r>
      <w:r w:rsidR="00CD026D" w:rsidRPr="006A74F8">
        <w:t xml:space="preserve"> or</w:t>
      </w:r>
      <w:r w:rsidR="00B54002" w:rsidRPr="006A74F8">
        <w:t xml:space="preserve"> </w:t>
      </w:r>
      <w:r w:rsidR="00607127" w:rsidRPr="006A74F8">
        <w:t>verification</w:t>
      </w:r>
      <w:r w:rsidR="00C46027" w:rsidRPr="006A74F8">
        <w:t>)</w:t>
      </w:r>
      <w:r w:rsidR="00607127" w:rsidRPr="006A74F8">
        <w:t xml:space="preserve"> </w:t>
      </w:r>
      <w:r w:rsidR="00CD026D" w:rsidRPr="006A74F8">
        <w:t>are established</w:t>
      </w:r>
      <w:r w:rsidR="00B54002" w:rsidRPr="006A74F8">
        <w:t xml:space="preserve"> (</w:t>
      </w:r>
      <w:r w:rsidR="00033029" w:rsidRPr="006A74F8">
        <w:t>o</w:t>
      </w:r>
      <w:r w:rsidR="00B54002" w:rsidRPr="006A74F8">
        <w:t>ption</w:t>
      </w:r>
      <w:r w:rsidR="00CD026D" w:rsidRPr="006A74F8">
        <w:t>s</w:t>
      </w:r>
      <w:r w:rsidR="00B54002" w:rsidRPr="006A74F8">
        <w:t xml:space="preserve"> 2</w:t>
      </w:r>
      <w:r w:rsidR="00CD026D" w:rsidRPr="006A74F8">
        <w:t xml:space="preserve"> and 3</w:t>
      </w:r>
      <w:r w:rsidR="00B54002" w:rsidRPr="006A74F8">
        <w:t>).</w:t>
      </w:r>
    </w:p>
    <w:p w:rsidR="003565D5" w:rsidRPr="006A74F8" w:rsidRDefault="00FE5805" w:rsidP="006F428D">
      <w:pPr>
        <w:shd w:val="clear" w:color="auto" w:fill="DFF3F3" w:themeFill="accent4" w:themeFillTint="33"/>
      </w:pPr>
      <w:r w:rsidRPr="006A74F8">
        <w:t xml:space="preserve">Refer to </w:t>
      </w:r>
      <w:hyperlink w:anchor="_Appendix_12:_Costing" w:history="1">
        <w:r w:rsidRPr="001F2A64">
          <w:rPr>
            <w:rStyle w:val="Hyperlink"/>
          </w:rPr>
          <w:t xml:space="preserve">Appendix </w:t>
        </w:r>
        <w:r w:rsidR="00B72928" w:rsidRPr="001F2A64">
          <w:rPr>
            <w:rStyle w:val="Hyperlink"/>
          </w:rPr>
          <w:t>1</w:t>
        </w:r>
        <w:r w:rsidR="006A3B1C" w:rsidRPr="001F2A64">
          <w:rPr>
            <w:rStyle w:val="Hyperlink"/>
          </w:rPr>
          <w:t>1</w:t>
        </w:r>
        <w:r w:rsidRPr="001F2A64">
          <w:rPr>
            <w:rStyle w:val="Hyperlink"/>
          </w:rPr>
          <w:t>: Costing the regulatory burden from pattern approval</w:t>
        </w:r>
        <w:r w:rsidR="00C11B00" w:rsidRPr="001F2A64">
          <w:rPr>
            <w:rStyle w:val="Hyperlink"/>
          </w:rPr>
          <w:t>.</w:t>
        </w:r>
        <w:r w:rsidRPr="001F2A64">
          <w:rPr>
            <w:rStyle w:val="Hyperlink"/>
          </w:rPr>
          <w:t xml:space="preserve"> </w:t>
        </w:r>
      </w:hyperlink>
      <w:r w:rsidRPr="006A74F8">
        <w:t xml:space="preserve"> </w:t>
      </w:r>
    </w:p>
    <w:p w:rsidR="00607127" w:rsidRPr="006A74F8" w:rsidRDefault="00607127" w:rsidP="006F428D">
      <w:pPr>
        <w:shd w:val="clear" w:color="auto" w:fill="DFF3F3" w:themeFill="accent4" w:themeFillTint="33"/>
      </w:pPr>
      <w:r w:rsidRPr="006A74F8">
        <w:t xml:space="preserve">Refer to </w:t>
      </w:r>
      <w:hyperlink w:anchor="_Appendix_14:_Costing" w:history="1">
        <w:r w:rsidRPr="001F2A64">
          <w:rPr>
            <w:rStyle w:val="Hyperlink"/>
          </w:rPr>
          <w:t>Appendix 1</w:t>
        </w:r>
        <w:r w:rsidR="006A3B1C" w:rsidRPr="001F2A64">
          <w:rPr>
            <w:rStyle w:val="Hyperlink"/>
          </w:rPr>
          <w:t>3</w:t>
        </w:r>
        <w:r w:rsidRPr="001F2A64">
          <w:rPr>
            <w:rStyle w:val="Hyperlink"/>
          </w:rPr>
          <w:t>: Costing the regulatory burden of mandatory verification</w:t>
        </w:r>
      </w:hyperlink>
      <w:r w:rsidRPr="006A74F8">
        <w:rPr>
          <w:rStyle w:val="Hyperlink"/>
        </w:rPr>
        <w:t xml:space="preserve"> </w:t>
      </w:r>
    </w:p>
    <w:p w:rsidR="008F7D32" w:rsidRPr="006A74F8" w:rsidRDefault="008F7D32" w:rsidP="006F428D">
      <w:r w:rsidRPr="006A74F8">
        <w:t xml:space="preserve">Where </w:t>
      </w:r>
      <w:r w:rsidR="00D06D1D" w:rsidRPr="006A74F8">
        <w:rPr>
          <w:b/>
        </w:rPr>
        <w:t>alternative control mechanisms are established</w:t>
      </w:r>
      <w:r w:rsidR="00D06D1D" w:rsidRPr="006A74F8">
        <w:t xml:space="preserve"> </w:t>
      </w:r>
      <w:r w:rsidR="001E2109" w:rsidRPr="006A74F8">
        <w:t xml:space="preserve">in future </w:t>
      </w:r>
      <w:r w:rsidR="00D06D1D" w:rsidRPr="006A74F8">
        <w:t>for particular measuring instruments, t</w:t>
      </w:r>
      <w:r w:rsidRPr="006A74F8">
        <w:t xml:space="preserve">he </w:t>
      </w:r>
      <w:r w:rsidR="00D06D1D" w:rsidRPr="006A74F8">
        <w:t xml:space="preserve">change in </w:t>
      </w:r>
      <w:r w:rsidRPr="006A74F8">
        <w:t xml:space="preserve">burden would </w:t>
      </w:r>
      <w:r w:rsidR="00D06D1D" w:rsidRPr="006A74F8">
        <w:t xml:space="preserve">depend on the new </w:t>
      </w:r>
      <w:r w:rsidRPr="006A74F8">
        <w:t xml:space="preserve">requirements </w:t>
      </w:r>
      <w:r w:rsidR="00D06D1D" w:rsidRPr="006A74F8">
        <w:t xml:space="preserve">imposed for those instruments. </w:t>
      </w:r>
      <w:r w:rsidR="00820F3F" w:rsidRPr="006A74F8">
        <w:t xml:space="preserve">Prior to changing the instrument controls </w:t>
      </w:r>
      <w:r w:rsidR="001E2109" w:rsidRPr="006A74F8">
        <w:t xml:space="preserve">for </w:t>
      </w:r>
      <w:r w:rsidR="00820F3F" w:rsidRPr="006A74F8">
        <w:t xml:space="preserve">a particular instrument type or its usage, further consultation would be undertaken, along with an assessment of the regulatory impacts that a </w:t>
      </w:r>
      <w:r w:rsidR="009C4A3D" w:rsidRPr="006A74F8">
        <w:t xml:space="preserve">particular </w:t>
      </w:r>
      <w:r w:rsidR="00820F3F" w:rsidRPr="006A74F8">
        <w:t xml:space="preserve">change may </w:t>
      </w:r>
      <w:r w:rsidR="009C4A3D" w:rsidRPr="006A74F8">
        <w:t>have</w:t>
      </w:r>
      <w:r w:rsidR="00820F3F" w:rsidRPr="006A74F8">
        <w:t xml:space="preserve">. </w:t>
      </w:r>
      <w:r w:rsidR="0097449A" w:rsidRPr="006A74F8">
        <w:t xml:space="preserve">It is not possible to quantify the change in </w:t>
      </w:r>
      <w:r w:rsidR="0048579A" w:rsidRPr="006A74F8">
        <w:t xml:space="preserve">regulatory burden </w:t>
      </w:r>
      <w:r w:rsidR="00DD3DAC" w:rsidRPr="006A74F8">
        <w:t>(other than</w:t>
      </w:r>
      <w:r w:rsidR="00A246F1" w:rsidRPr="006A74F8">
        <w:t xml:space="preserve"> provide a status quo estimate </w:t>
      </w:r>
      <w:r w:rsidR="00DD3DAC" w:rsidRPr="006A74F8">
        <w:t xml:space="preserve">for pattern approval) </w:t>
      </w:r>
      <w:r w:rsidR="0097449A" w:rsidRPr="006A74F8">
        <w:t xml:space="preserve">for the purposes of this RIS as the change in cost would depend on </w:t>
      </w:r>
      <w:r w:rsidR="00D06D1D" w:rsidRPr="006A74F8">
        <w:t xml:space="preserve">future </w:t>
      </w:r>
      <w:r w:rsidR="00324387" w:rsidRPr="006A74F8">
        <w:t xml:space="preserve">data collection, </w:t>
      </w:r>
      <w:r w:rsidR="0097449A" w:rsidRPr="006A74F8">
        <w:t>assessment and consultation</w:t>
      </w:r>
      <w:r w:rsidR="004A7FC7" w:rsidRPr="006A74F8">
        <w:t>.</w:t>
      </w:r>
    </w:p>
    <w:p w:rsidR="008F7D32" w:rsidRPr="006A74F8" w:rsidRDefault="008F7D32" w:rsidP="00696A4E">
      <w:pPr>
        <w:pStyle w:val="Heading3"/>
        <w:tabs>
          <w:tab w:val="left" w:pos="993"/>
        </w:tabs>
      </w:pPr>
      <w:r w:rsidRPr="006A74F8">
        <w:t xml:space="preserve">Uncertainty </w:t>
      </w:r>
      <w:r w:rsidR="000E6920" w:rsidRPr="006A74F8">
        <w:t xml:space="preserve">and increased engagement </w:t>
      </w:r>
      <w:r w:rsidR="008C14B5" w:rsidRPr="006A74F8">
        <w:t>arising from flexibility</w:t>
      </w:r>
    </w:p>
    <w:tbl>
      <w:tblPr>
        <w:tblStyle w:val="PlainTable2"/>
        <w:tblW w:w="8875" w:type="dxa"/>
        <w:tblLayout w:type="fixed"/>
        <w:tblLook w:val="04A0" w:firstRow="1" w:lastRow="0" w:firstColumn="1" w:lastColumn="0" w:noHBand="0" w:noVBand="1"/>
        <w:tblCaption w:val="13.1.3 Uncertainty and increased engagement from the risk based approach"/>
        <w:tblDescription w:val="Impact of the reform options on the uncertainty arising from the flexibility. Option 1 is rated 0, neutral. Options 2 and 3 are rated -1, slight adverse. &#10;Flexibility provides less certainty and requires increased engagement: if a flexible approach to regulating is not well transitioned or managed this may create uncertainty for manufacturers regarding the regulatory requirements they will need to meet in future. While the default instrument controls under all options remain pattern approval and verification, considerations of alternatives will require increased engagement from instrument manufacturers.&#10;                                                 "/>
      </w:tblPr>
      <w:tblGrid>
        <w:gridCol w:w="1876"/>
        <w:gridCol w:w="645"/>
        <w:gridCol w:w="644"/>
        <w:gridCol w:w="663"/>
        <w:gridCol w:w="5047"/>
      </w:tblGrid>
      <w:tr w:rsidR="00723AFE" w:rsidRPr="006A74F8" w:rsidTr="00972081">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rsidR="00723AFE" w:rsidRPr="006A74F8" w:rsidRDefault="00723AFE" w:rsidP="00723AFE">
            <w:r w:rsidRPr="006A74F8">
              <w:t>Impact</w:t>
            </w:r>
          </w:p>
        </w:tc>
        <w:tc>
          <w:tcPr>
            <w:tcW w:w="1952" w:type="dxa"/>
            <w:gridSpan w:val="3"/>
            <w:tcBorders>
              <w:top w:val="single" w:sz="12" w:space="0" w:color="auto"/>
              <w:bottom w:val="nil"/>
            </w:tcBorders>
            <w:vAlign w:val="center"/>
          </w:tcPr>
          <w:p w:rsidR="00723AFE" w:rsidRPr="006A74F8" w:rsidRDefault="00723AFE" w:rsidP="00723AFE">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047" w:type="dxa"/>
            <w:vMerge w:val="restart"/>
            <w:tcBorders>
              <w:top w:val="single" w:sz="12" w:space="0" w:color="auto"/>
            </w:tcBorders>
            <w:vAlign w:val="center"/>
          </w:tcPr>
          <w:p w:rsidR="00723AFE" w:rsidRPr="006A74F8" w:rsidRDefault="00723AFE" w:rsidP="00723AFE">
            <w:pPr>
              <w:cnfStyle w:val="100000000000" w:firstRow="1" w:lastRow="0" w:firstColumn="0" w:lastColumn="0" w:oddVBand="0" w:evenVBand="0" w:oddHBand="0" w:evenHBand="0" w:firstRowFirstColumn="0" w:firstRowLastColumn="0" w:lastRowFirstColumn="0" w:lastRowLastColumn="0"/>
            </w:pPr>
            <w:r w:rsidRPr="006A74F8">
              <w:t>Explanation</w:t>
            </w:r>
          </w:p>
        </w:tc>
      </w:tr>
      <w:tr w:rsidR="00723AFE" w:rsidRPr="006A74F8" w:rsidTr="0097208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rsidR="00723AFE" w:rsidRPr="006A74F8" w:rsidRDefault="00723AFE" w:rsidP="00723AFE"/>
        </w:tc>
        <w:tc>
          <w:tcPr>
            <w:tcW w:w="645" w:type="dxa"/>
            <w:tcBorders>
              <w:top w:val="nil"/>
              <w:bottom w:val="double" w:sz="4" w:space="0" w:color="7F7F7F" w:themeColor="text1" w:themeTint="80"/>
            </w:tcBorders>
          </w:tcPr>
          <w:p w:rsidR="00723AFE" w:rsidRPr="006A74F8"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sidRPr="006A74F8">
              <w:rPr>
                <w:b/>
              </w:rPr>
              <w:t>1</w:t>
            </w:r>
          </w:p>
        </w:tc>
        <w:tc>
          <w:tcPr>
            <w:tcW w:w="644" w:type="dxa"/>
            <w:tcBorders>
              <w:top w:val="nil"/>
              <w:bottom w:val="double" w:sz="4" w:space="0" w:color="7F7F7F" w:themeColor="text1" w:themeTint="80"/>
            </w:tcBorders>
          </w:tcPr>
          <w:p w:rsidR="00723AFE" w:rsidRPr="006A74F8"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sidRPr="006A74F8">
              <w:rPr>
                <w:b/>
              </w:rPr>
              <w:t>2</w:t>
            </w:r>
          </w:p>
        </w:tc>
        <w:tc>
          <w:tcPr>
            <w:tcW w:w="663" w:type="dxa"/>
            <w:tcBorders>
              <w:top w:val="nil"/>
              <w:bottom w:val="double" w:sz="4" w:space="0" w:color="7F7F7F" w:themeColor="text1" w:themeTint="80"/>
            </w:tcBorders>
          </w:tcPr>
          <w:p w:rsidR="00723AFE" w:rsidRPr="006A74F8"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sidRPr="006A74F8">
              <w:rPr>
                <w:b/>
              </w:rPr>
              <w:t>3</w:t>
            </w:r>
          </w:p>
        </w:tc>
        <w:tc>
          <w:tcPr>
            <w:tcW w:w="5047" w:type="dxa"/>
            <w:vMerge/>
            <w:tcBorders>
              <w:bottom w:val="double" w:sz="4" w:space="0" w:color="7F7F7F" w:themeColor="text1" w:themeTint="80"/>
            </w:tcBorders>
          </w:tcPr>
          <w:p w:rsidR="00723AFE" w:rsidRPr="006A74F8" w:rsidRDefault="00723AFE" w:rsidP="00723AFE">
            <w:pPr>
              <w:cnfStyle w:val="000000100000" w:firstRow="0" w:lastRow="0" w:firstColumn="0" w:lastColumn="0" w:oddVBand="0" w:evenVBand="0" w:oddHBand="1" w:evenHBand="0" w:firstRowFirstColumn="0" w:firstRowLastColumn="0" w:lastRowFirstColumn="0" w:lastRowLastColumn="0"/>
            </w:pPr>
          </w:p>
        </w:tc>
      </w:tr>
      <w:tr w:rsidR="00723AFE" w:rsidRPr="006A74F8" w:rsidTr="00972081">
        <w:tc>
          <w:tcPr>
            <w:cnfStyle w:val="001000000000" w:firstRow="0" w:lastRow="0" w:firstColumn="1" w:lastColumn="0" w:oddVBand="0" w:evenVBand="0" w:oddHBand="0" w:evenHBand="0" w:firstRowFirstColumn="0" w:firstRowLastColumn="0" w:lastRowFirstColumn="0" w:lastRowLastColumn="0"/>
            <w:tcW w:w="1876" w:type="dxa"/>
            <w:vAlign w:val="center"/>
          </w:tcPr>
          <w:p w:rsidR="00723AFE" w:rsidRPr="006A74F8" w:rsidRDefault="00723AFE" w:rsidP="00723AFE">
            <w:pPr>
              <w:rPr>
                <w:rFonts w:asciiTheme="majorHAnsi" w:eastAsia="Calibri" w:hAnsiTheme="majorHAnsi" w:cstheme="majorHAnsi"/>
                <w:b w:val="0"/>
                <w:sz w:val="20"/>
                <w:szCs w:val="20"/>
              </w:rPr>
            </w:pPr>
            <w:r w:rsidRPr="006A74F8">
              <w:rPr>
                <w:rFonts w:asciiTheme="majorHAnsi" w:hAnsiTheme="majorHAnsi" w:cstheme="majorHAnsi"/>
                <w:b w:val="0"/>
                <w:sz w:val="20"/>
                <w:szCs w:val="20"/>
              </w:rPr>
              <w:t xml:space="preserve">Uncertainty </w:t>
            </w:r>
            <w:r w:rsidR="00007E37" w:rsidRPr="006A74F8">
              <w:rPr>
                <w:rFonts w:asciiTheme="majorHAnsi" w:hAnsiTheme="majorHAnsi" w:cstheme="majorHAnsi"/>
                <w:b w:val="0"/>
                <w:sz w:val="20"/>
                <w:szCs w:val="20"/>
              </w:rPr>
              <w:t xml:space="preserve">and increased engagement </w:t>
            </w:r>
            <w:r w:rsidRPr="006A74F8">
              <w:rPr>
                <w:rFonts w:asciiTheme="majorHAnsi" w:hAnsiTheme="majorHAnsi" w:cstheme="majorHAnsi"/>
                <w:b w:val="0"/>
                <w:sz w:val="20"/>
                <w:szCs w:val="20"/>
              </w:rPr>
              <w:t xml:space="preserve">arising from the flexibility </w:t>
            </w:r>
          </w:p>
        </w:tc>
        <w:tc>
          <w:tcPr>
            <w:tcW w:w="645" w:type="dxa"/>
            <w:tcBorders>
              <w:right w:val="single" w:sz="4" w:space="0" w:color="FFFFFF" w:themeColor="background1"/>
            </w:tcBorders>
            <w:shd w:val="clear" w:color="auto" w:fill="FFFFC5"/>
            <w:vAlign w:val="center"/>
          </w:tcPr>
          <w:p w:rsidR="00723AFE" w:rsidRPr="006A74F8"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0</w:t>
            </w:r>
          </w:p>
        </w:tc>
        <w:tc>
          <w:tcPr>
            <w:tcW w:w="644" w:type="dxa"/>
            <w:tcBorders>
              <w:left w:val="single" w:sz="4" w:space="0" w:color="FFFFFF" w:themeColor="background1"/>
              <w:right w:val="single" w:sz="4" w:space="0" w:color="FFFFFF" w:themeColor="background1"/>
            </w:tcBorders>
            <w:shd w:val="clear" w:color="auto" w:fill="FFBC79"/>
            <w:vAlign w:val="center"/>
          </w:tcPr>
          <w:p w:rsidR="00723AFE" w:rsidRPr="006A74F8"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w:t>
            </w:r>
          </w:p>
        </w:tc>
        <w:tc>
          <w:tcPr>
            <w:tcW w:w="663" w:type="dxa"/>
            <w:tcBorders>
              <w:left w:val="single" w:sz="4" w:space="0" w:color="FFFFFF" w:themeColor="background1"/>
            </w:tcBorders>
            <w:shd w:val="clear" w:color="auto" w:fill="FFBC79"/>
            <w:vAlign w:val="center"/>
          </w:tcPr>
          <w:p w:rsidR="00723AFE" w:rsidRPr="006A74F8"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w:t>
            </w:r>
          </w:p>
        </w:tc>
        <w:tc>
          <w:tcPr>
            <w:tcW w:w="5047" w:type="dxa"/>
            <w:vAlign w:val="center"/>
          </w:tcPr>
          <w:p w:rsidR="00723AFE" w:rsidRPr="006A74F8" w:rsidRDefault="00723AFE" w:rsidP="00564858">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Flexibility provides less certainty and requires increased engagement:</w:t>
            </w:r>
            <w:r w:rsidRPr="006A74F8">
              <w:rPr>
                <w:rFonts w:asciiTheme="majorHAnsi" w:hAnsiTheme="majorHAnsi" w:cstheme="majorHAnsi"/>
                <w:sz w:val="20"/>
                <w:szCs w:val="20"/>
              </w:rPr>
              <w:t xml:space="preserve"> If a flexible approach to regulati</w:t>
            </w:r>
            <w:r w:rsidR="00502239" w:rsidRPr="006A74F8">
              <w:rPr>
                <w:rFonts w:asciiTheme="majorHAnsi" w:hAnsiTheme="majorHAnsi" w:cstheme="majorHAnsi"/>
                <w:sz w:val="20"/>
                <w:szCs w:val="20"/>
              </w:rPr>
              <w:t>on</w:t>
            </w:r>
            <w:r w:rsidRPr="006A74F8">
              <w:rPr>
                <w:rFonts w:asciiTheme="majorHAnsi" w:hAnsiTheme="majorHAnsi" w:cstheme="majorHAnsi"/>
                <w:sz w:val="20"/>
                <w:szCs w:val="20"/>
              </w:rPr>
              <w:t xml:space="preserve"> is not well </w:t>
            </w:r>
            <w:r w:rsidR="00475CB8" w:rsidRPr="006A74F8">
              <w:rPr>
                <w:rFonts w:asciiTheme="majorHAnsi" w:hAnsiTheme="majorHAnsi" w:cstheme="majorHAnsi"/>
                <w:sz w:val="20"/>
                <w:szCs w:val="20"/>
              </w:rPr>
              <w:t>communicated,</w:t>
            </w:r>
            <w:r w:rsidRPr="006A74F8">
              <w:rPr>
                <w:rFonts w:asciiTheme="majorHAnsi" w:hAnsiTheme="majorHAnsi" w:cstheme="majorHAnsi"/>
                <w:sz w:val="20"/>
                <w:szCs w:val="20"/>
              </w:rPr>
              <w:t xml:space="preserve"> transitioned or managed this may create uncertainty for manufacturers regarding the regulatory requirements they will need to meet in future. While the default instrument controls under all options remain pattern approval and verification, considerations of alternatives will require increased engagement from instrument manufacturers.</w:t>
            </w:r>
          </w:p>
        </w:tc>
      </w:tr>
    </w:tbl>
    <w:p w:rsidR="001466F2" w:rsidRPr="006A74F8" w:rsidRDefault="001466F2" w:rsidP="00723AFE">
      <w:pPr>
        <w:spacing w:before="240"/>
      </w:pPr>
      <w:r w:rsidRPr="006A74F8">
        <w:t>As outlined above, all reform options introduce additional flexibility regarding the control mechanisms used for instruments:</w:t>
      </w:r>
    </w:p>
    <w:p w:rsidR="006F428D" w:rsidRPr="006A74F8" w:rsidRDefault="001466F2" w:rsidP="00564858">
      <w:pPr>
        <w:pStyle w:val="ListParagraph"/>
        <w:numPr>
          <w:ilvl w:val="0"/>
          <w:numId w:val="40"/>
        </w:numPr>
      </w:pPr>
      <w:r w:rsidRPr="006A74F8">
        <w:rPr>
          <w:b/>
        </w:rPr>
        <w:t>Option 1</w:t>
      </w:r>
      <w:r w:rsidRPr="006A74F8">
        <w:t xml:space="preserve"> </w:t>
      </w:r>
      <w:r w:rsidR="00667859" w:rsidRPr="006A74F8">
        <w:t xml:space="preserve">uses </w:t>
      </w:r>
      <w:r w:rsidRPr="006A74F8">
        <w:t>pattern approval and verification as the core control mechanisms but enables exemptions to be granted</w:t>
      </w:r>
      <w:r w:rsidR="006F428D" w:rsidRPr="006A74F8">
        <w:t>.</w:t>
      </w:r>
    </w:p>
    <w:p w:rsidR="001466F2" w:rsidRPr="006A74F8" w:rsidRDefault="001466F2" w:rsidP="00564858">
      <w:pPr>
        <w:pStyle w:val="ListParagraph"/>
        <w:numPr>
          <w:ilvl w:val="0"/>
          <w:numId w:val="40"/>
        </w:numPr>
      </w:pPr>
      <w:r w:rsidRPr="006A74F8">
        <w:rPr>
          <w:b/>
        </w:rPr>
        <w:t>Options 2 and 3</w:t>
      </w:r>
      <w:r w:rsidRPr="006A74F8">
        <w:t xml:space="preserve"> have pattern approval and verification as the default mechanisms, but alternative control mechanisms can be established where appropriate and following consultations.</w:t>
      </w:r>
    </w:p>
    <w:p w:rsidR="00671D55" w:rsidRPr="006A74F8" w:rsidRDefault="00671D55" w:rsidP="006F428D">
      <w:r w:rsidRPr="006A74F8">
        <w:lastRenderedPageBreak/>
        <w:t xml:space="preserve">One consequence </w:t>
      </w:r>
      <w:r w:rsidR="001466F2" w:rsidRPr="006A74F8">
        <w:t xml:space="preserve">of </w:t>
      </w:r>
      <w:r w:rsidRPr="006A74F8">
        <w:t>th</w:t>
      </w:r>
      <w:r w:rsidR="001466F2" w:rsidRPr="006A74F8">
        <w:t xml:space="preserve">is </w:t>
      </w:r>
      <w:r w:rsidRPr="006A74F8">
        <w:t>flexibility is that it may introduce uncertainty for manufacturers</w:t>
      </w:r>
      <w:r w:rsidR="004D620A" w:rsidRPr="006A74F8">
        <w:t>, importer</w:t>
      </w:r>
      <w:r w:rsidR="002D686E" w:rsidRPr="006A74F8">
        <w:t>s</w:t>
      </w:r>
      <w:r w:rsidR="004D620A" w:rsidRPr="006A74F8">
        <w:t xml:space="preserve"> and distributo</w:t>
      </w:r>
      <w:r w:rsidR="00CF3EC9" w:rsidRPr="006A74F8">
        <w:t>rs</w:t>
      </w:r>
      <w:r w:rsidRPr="006A74F8">
        <w:t xml:space="preserve"> of instruments used in trade. In particular, whether:</w:t>
      </w:r>
    </w:p>
    <w:p w:rsidR="006F428D" w:rsidRPr="006A74F8" w:rsidRDefault="00671D55" w:rsidP="00254807">
      <w:pPr>
        <w:pStyle w:val="ListParagraph"/>
        <w:numPr>
          <w:ilvl w:val="0"/>
          <w:numId w:val="89"/>
        </w:numPr>
      </w:pPr>
      <w:r w:rsidRPr="006A74F8">
        <w:t>an instrument they produce may be granted an exemption from pattern approval or verification requirements (</w:t>
      </w:r>
      <w:r w:rsidRPr="006A74F8">
        <w:rPr>
          <w:b/>
        </w:rPr>
        <w:t>option 1</w:t>
      </w:r>
      <w:r w:rsidRPr="006A74F8">
        <w:t>); or whether</w:t>
      </w:r>
    </w:p>
    <w:p w:rsidR="00671D55" w:rsidRPr="006A74F8" w:rsidRDefault="00671D55" w:rsidP="00254807">
      <w:pPr>
        <w:pStyle w:val="ListParagraph"/>
        <w:numPr>
          <w:ilvl w:val="0"/>
          <w:numId w:val="89"/>
        </w:numPr>
      </w:pPr>
      <w:r w:rsidRPr="006A74F8">
        <w:t xml:space="preserve">a different configuration of controls </w:t>
      </w:r>
      <w:r w:rsidR="00576A6B" w:rsidRPr="006A74F8">
        <w:t xml:space="preserve">could </w:t>
      </w:r>
      <w:r w:rsidR="00FD52A5" w:rsidRPr="006A74F8">
        <w:t xml:space="preserve">be </w:t>
      </w:r>
      <w:r w:rsidRPr="006A74F8">
        <w:t>established</w:t>
      </w:r>
      <w:r w:rsidR="00576A6B" w:rsidRPr="006A74F8">
        <w:t>, where appropriate,</w:t>
      </w:r>
      <w:r w:rsidRPr="006A74F8">
        <w:t xml:space="preserve"> for instruments that they produce (</w:t>
      </w:r>
      <w:r w:rsidRPr="006A74F8">
        <w:rPr>
          <w:b/>
        </w:rPr>
        <w:t>options 2 and 3</w:t>
      </w:r>
      <w:r w:rsidRPr="006A74F8">
        <w:t>).</w:t>
      </w:r>
    </w:p>
    <w:p w:rsidR="001466F2" w:rsidRPr="006A74F8" w:rsidRDefault="001466F2" w:rsidP="006F428D">
      <w:r w:rsidRPr="006A74F8">
        <w:t xml:space="preserve">Under </w:t>
      </w:r>
      <w:r w:rsidRPr="006A74F8">
        <w:rPr>
          <w:b/>
        </w:rPr>
        <w:t>option 1</w:t>
      </w:r>
      <w:r w:rsidRPr="006A74F8">
        <w:t xml:space="preserve">, the impact of potentially being granted an exemption has been considered to have </w:t>
      </w:r>
      <w:r w:rsidR="00F17D8F" w:rsidRPr="006A74F8">
        <w:t xml:space="preserve">a </w:t>
      </w:r>
      <w:r w:rsidRPr="006A74F8">
        <w:t>neutral impact on uncertainty</w:t>
      </w:r>
      <w:r w:rsidR="00302EC9" w:rsidRPr="006A74F8">
        <w:t>. T</w:t>
      </w:r>
      <w:r w:rsidRPr="006A74F8">
        <w:t xml:space="preserve">his uncertainty can be mitigated through clear communication regarding the basis of exemptions from controls and when provisional approval certificates would be granted. </w:t>
      </w:r>
    </w:p>
    <w:p w:rsidR="00671D55" w:rsidRPr="006A74F8" w:rsidRDefault="00BF5B4E" w:rsidP="006F428D">
      <w:r w:rsidRPr="006A74F8">
        <w:t xml:space="preserve">Under </w:t>
      </w:r>
      <w:r w:rsidRPr="006A74F8">
        <w:rPr>
          <w:b/>
        </w:rPr>
        <w:t>o</w:t>
      </w:r>
      <w:r w:rsidR="008F7D32" w:rsidRPr="006A74F8">
        <w:rPr>
          <w:b/>
        </w:rPr>
        <w:t>ption</w:t>
      </w:r>
      <w:r w:rsidRPr="006A74F8">
        <w:rPr>
          <w:b/>
        </w:rPr>
        <w:t>s</w:t>
      </w:r>
      <w:r w:rsidR="008F7D32" w:rsidRPr="006A74F8">
        <w:rPr>
          <w:b/>
        </w:rPr>
        <w:t xml:space="preserve"> 2</w:t>
      </w:r>
      <w:r w:rsidRPr="006A74F8">
        <w:rPr>
          <w:b/>
        </w:rPr>
        <w:t xml:space="preserve"> and 3</w:t>
      </w:r>
      <w:r w:rsidR="008F7D32" w:rsidRPr="006A74F8">
        <w:t xml:space="preserve">, </w:t>
      </w:r>
      <w:r w:rsidRPr="006A74F8">
        <w:t>while pattern approval and verification remain the default instrument controls</w:t>
      </w:r>
      <w:r w:rsidR="0011002C" w:rsidRPr="006A74F8">
        <w:t>,</w:t>
      </w:r>
      <w:r w:rsidRPr="006A74F8">
        <w:t xml:space="preserve"> </w:t>
      </w:r>
      <w:r w:rsidR="008F7D32" w:rsidRPr="006A74F8">
        <w:t xml:space="preserve">uncertainty may arise </w:t>
      </w:r>
      <w:r w:rsidRPr="006A74F8">
        <w:t xml:space="preserve">due to the possibility that alternative </w:t>
      </w:r>
      <w:r w:rsidR="008F7D32" w:rsidRPr="006A74F8">
        <w:t xml:space="preserve">control pathways </w:t>
      </w:r>
      <w:r w:rsidRPr="006A74F8">
        <w:t xml:space="preserve">may be introduced for certain </w:t>
      </w:r>
      <w:r w:rsidR="008F7D32" w:rsidRPr="006A74F8">
        <w:t xml:space="preserve">measuring instruments used for trade. </w:t>
      </w:r>
      <w:r w:rsidRPr="006A74F8">
        <w:t>This impact has been assessed as slightly adverse on the basis that</w:t>
      </w:r>
      <w:r w:rsidR="00671D55" w:rsidRPr="006A74F8">
        <w:t>:</w:t>
      </w:r>
    </w:p>
    <w:p w:rsidR="0049368A" w:rsidRPr="006A74F8" w:rsidRDefault="0049368A" w:rsidP="0049368A">
      <w:pPr>
        <w:pStyle w:val="ListParagraph"/>
        <w:numPr>
          <w:ilvl w:val="0"/>
          <w:numId w:val="90"/>
        </w:numPr>
      </w:pPr>
      <w:r w:rsidRPr="006A74F8">
        <w:t xml:space="preserve">where alternative controls are considered, this will be based on data, risk assessment and consultation with relevant stakeholders </w:t>
      </w:r>
    </w:p>
    <w:p w:rsidR="006F428D" w:rsidRPr="006A74F8" w:rsidRDefault="0049368A" w:rsidP="0049368A">
      <w:pPr>
        <w:pStyle w:val="ListParagraph"/>
        <w:numPr>
          <w:ilvl w:val="0"/>
          <w:numId w:val="90"/>
        </w:numPr>
      </w:pPr>
      <w:r w:rsidRPr="006A74F8">
        <w:t>where appropriate</w:t>
      </w:r>
      <w:r w:rsidR="00BF5B4E" w:rsidRPr="006A74F8">
        <w:t>, a transition period would be used prior to phasing in the changes</w:t>
      </w:r>
      <w:r w:rsidR="000E6920" w:rsidRPr="006A74F8">
        <w:t xml:space="preserve">; and  </w:t>
      </w:r>
    </w:p>
    <w:p w:rsidR="00A66C6E" w:rsidRPr="006A74F8" w:rsidRDefault="0011002C" w:rsidP="0049368A">
      <w:pPr>
        <w:pStyle w:val="ListParagraph"/>
        <w:numPr>
          <w:ilvl w:val="0"/>
          <w:numId w:val="90"/>
        </w:numPr>
      </w:pPr>
      <w:r w:rsidRPr="006A74F8">
        <w:t>t</w:t>
      </w:r>
      <w:r w:rsidR="000E6920" w:rsidRPr="006A74F8">
        <w:t>he consultation process regarding alternative control mechanisms would require increased engagement from instrument manufacturers</w:t>
      </w:r>
      <w:r w:rsidR="0049368A" w:rsidRPr="006A74F8">
        <w:t xml:space="preserve">, </w:t>
      </w:r>
      <w:r w:rsidR="004D620A" w:rsidRPr="006A74F8">
        <w:t>importers and distributo</w:t>
      </w:r>
      <w:r w:rsidR="0049368A" w:rsidRPr="006A74F8">
        <w:t>rs</w:t>
      </w:r>
      <w:r w:rsidR="000E6920" w:rsidRPr="006A74F8">
        <w:t>.</w:t>
      </w:r>
    </w:p>
    <w:p w:rsidR="008F7D32" w:rsidRPr="006A74F8" w:rsidRDefault="008F7D32" w:rsidP="00F23BB7">
      <w:pPr>
        <w:pStyle w:val="Heading3"/>
        <w:tabs>
          <w:tab w:val="left" w:pos="993"/>
        </w:tabs>
        <w:ind w:left="993" w:hanging="993"/>
      </w:pPr>
      <w:r w:rsidRPr="006A74F8">
        <w:t xml:space="preserve">Faster entry to market for instruments reduces regulatory </w:t>
      </w:r>
      <w:r w:rsidR="00696A4E">
        <w:t xml:space="preserve">   </w:t>
      </w:r>
      <w:r w:rsidRPr="006A74F8">
        <w:t>burden</w:t>
      </w:r>
    </w:p>
    <w:tbl>
      <w:tblPr>
        <w:tblStyle w:val="PlainTable2"/>
        <w:tblW w:w="8875" w:type="dxa"/>
        <w:tblLayout w:type="fixed"/>
        <w:tblLook w:val="04A0" w:firstRow="1" w:lastRow="0" w:firstColumn="1" w:lastColumn="0" w:noHBand="0" w:noVBand="1"/>
        <w:tblCaption w:val="13.1.4 Faster entry to market reduces regulatory burden"/>
        <w:tblDescription w:val="Impact of the reform options on faster entry to market reduces regulatory burden. Option 1 is rated +1, slight beneficial. Option 2 is rated +2, moderate beneficial. Option 3 is rated +1, slight beneficial.&#10;International alignment of instrument controls: Option 1 will enable streamlining (e.g. exemptions); options 2 and 3 will also enable recognition of overseas approvals (e.g. recognising overseas test results). Option 3 may introduce additional requirements to be met for certain non-trade instruments. "/>
      </w:tblPr>
      <w:tblGrid>
        <w:gridCol w:w="1876"/>
        <w:gridCol w:w="645"/>
        <w:gridCol w:w="644"/>
        <w:gridCol w:w="644"/>
        <w:gridCol w:w="5066"/>
      </w:tblGrid>
      <w:tr w:rsidR="00C54FF1" w:rsidRPr="006A74F8" w:rsidTr="0032040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rsidR="00C54FF1" w:rsidRPr="006A74F8" w:rsidRDefault="00C54FF1" w:rsidP="00426BA0">
            <w:r w:rsidRPr="006A74F8">
              <w:t>Impact</w:t>
            </w:r>
          </w:p>
        </w:tc>
        <w:tc>
          <w:tcPr>
            <w:tcW w:w="1933" w:type="dxa"/>
            <w:gridSpan w:val="3"/>
            <w:tcBorders>
              <w:top w:val="single" w:sz="12" w:space="0" w:color="auto"/>
              <w:bottom w:val="nil"/>
            </w:tcBorders>
            <w:vAlign w:val="center"/>
          </w:tcPr>
          <w:p w:rsidR="00C54FF1" w:rsidRPr="006A74F8" w:rsidRDefault="00C54FF1" w:rsidP="00426BA0">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066" w:type="dxa"/>
            <w:vMerge w:val="restart"/>
            <w:tcBorders>
              <w:top w:val="single" w:sz="12" w:space="0" w:color="auto"/>
            </w:tcBorders>
            <w:vAlign w:val="center"/>
          </w:tcPr>
          <w:p w:rsidR="00C54FF1" w:rsidRPr="006A74F8" w:rsidRDefault="00C54FF1" w:rsidP="00426BA0">
            <w:pPr>
              <w:cnfStyle w:val="100000000000" w:firstRow="1" w:lastRow="0" w:firstColumn="0" w:lastColumn="0" w:oddVBand="0" w:evenVBand="0" w:oddHBand="0" w:evenHBand="0" w:firstRowFirstColumn="0" w:firstRowLastColumn="0" w:lastRowFirstColumn="0" w:lastRowLastColumn="0"/>
            </w:pPr>
            <w:r w:rsidRPr="006A74F8">
              <w:t>Explanation</w:t>
            </w:r>
          </w:p>
        </w:tc>
      </w:tr>
      <w:tr w:rsidR="00C54FF1" w:rsidRPr="006A74F8" w:rsidTr="00426BA0">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rsidR="00C54FF1" w:rsidRPr="006A74F8" w:rsidRDefault="00C54FF1" w:rsidP="00426BA0"/>
        </w:tc>
        <w:tc>
          <w:tcPr>
            <w:tcW w:w="645" w:type="dxa"/>
            <w:tcBorders>
              <w:top w:val="nil"/>
              <w:bottom w:val="double" w:sz="4" w:space="0" w:color="7F7F7F" w:themeColor="text1" w:themeTint="80"/>
            </w:tcBorders>
          </w:tcPr>
          <w:p w:rsidR="00C54FF1" w:rsidRPr="006A74F8"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A74F8">
              <w:rPr>
                <w:b/>
              </w:rPr>
              <w:t>1</w:t>
            </w:r>
          </w:p>
        </w:tc>
        <w:tc>
          <w:tcPr>
            <w:tcW w:w="644" w:type="dxa"/>
            <w:tcBorders>
              <w:top w:val="nil"/>
              <w:bottom w:val="double" w:sz="4" w:space="0" w:color="7F7F7F" w:themeColor="text1" w:themeTint="80"/>
            </w:tcBorders>
          </w:tcPr>
          <w:p w:rsidR="00C54FF1" w:rsidRPr="006A74F8"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A74F8">
              <w:rPr>
                <w:b/>
              </w:rPr>
              <w:t>2</w:t>
            </w:r>
          </w:p>
        </w:tc>
        <w:tc>
          <w:tcPr>
            <w:tcW w:w="644" w:type="dxa"/>
            <w:tcBorders>
              <w:top w:val="nil"/>
              <w:bottom w:val="double" w:sz="4" w:space="0" w:color="7F7F7F" w:themeColor="text1" w:themeTint="80"/>
            </w:tcBorders>
          </w:tcPr>
          <w:p w:rsidR="00C54FF1" w:rsidRPr="006A74F8"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A74F8">
              <w:rPr>
                <w:b/>
              </w:rPr>
              <w:t>3</w:t>
            </w:r>
          </w:p>
        </w:tc>
        <w:tc>
          <w:tcPr>
            <w:tcW w:w="5066" w:type="dxa"/>
            <w:vMerge/>
            <w:tcBorders>
              <w:bottom w:val="double" w:sz="4" w:space="0" w:color="7F7F7F" w:themeColor="text1" w:themeTint="80"/>
            </w:tcBorders>
          </w:tcPr>
          <w:p w:rsidR="00C54FF1" w:rsidRPr="006A74F8" w:rsidRDefault="00C54FF1" w:rsidP="00426BA0">
            <w:pPr>
              <w:cnfStyle w:val="000000100000" w:firstRow="0" w:lastRow="0" w:firstColumn="0" w:lastColumn="0" w:oddVBand="0" w:evenVBand="0" w:oddHBand="1" w:evenHBand="0" w:firstRowFirstColumn="0" w:firstRowLastColumn="0" w:lastRowFirstColumn="0" w:lastRowLastColumn="0"/>
            </w:pPr>
          </w:p>
        </w:tc>
      </w:tr>
      <w:tr w:rsidR="00C54FF1" w:rsidRPr="006A74F8" w:rsidTr="00426BA0">
        <w:tc>
          <w:tcPr>
            <w:cnfStyle w:val="001000000000" w:firstRow="0" w:lastRow="0" w:firstColumn="1" w:lastColumn="0" w:oddVBand="0" w:evenVBand="0" w:oddHBand="0" w:evenHBand="0" w:firstRowFirstColumn="0" w:firstRowLastColumn="0" w:lastRowFirstColumn="0" w:lastRowLastColumn="0"/>
            <w:tcW w:w="1876" w:type="dxa"/>
            <w:tcBorders>
              <w:top w:val="single" w:sz="4" w:space="0" w:color="7F7F7F" w:themeColor="text1" w:themeTint="80"/>
              <w:bottom w:val="single" w:sz="4" w:space="0" w:color="7F7F7F" w:themeColor="text1" w:themeTint="80"/>
            </w:tcBorders>
            <w:vAlign w:val="center"/>
          </w:tcPr>
          <w:p w:rsidR="00C54FF1" w:rsidRPr="006A74F8" w:rsidRDefault="00C54FF1" w:rsidP="00426BA0">
            <w:pPr>
              <w:rPr>
                <w:rFonts w:asciiTheme="majorHAnsi" w:eastAsia="Calibri" w:hAnsiTheme="majorHAnsi" w:cstheme="majorHAnsi"/>
                <w:b w:val="0"/>
                <w:sz w:val="20"/>
                <w:szCs w:val="20"/>
              </w:rPr>
            </w:pPr>
            <w:r w:rsidRPr="006A74F8">
              <w:rPr>
                <w:rFonts w:asciiTheme="majorHAnsi" w:hAnsiTheme="majorHAnsi" w:cstheme="majorHAnsi"/>
                <w:b w:val="0"/>
                <w:color w:val="000000"/>
                <w:sz w:val="20"/>
                <w:szCs w:val="20"/>
                <w:lang w:val="en-US"/>
              </w:rPr>
              <w:t xml:space="preserve">Faster entry to market reduces regulatory burden </w:t>
            </w:r>
          </w:p>
        </w:tc>
        <w:tc>
          <w:tcPr>
            <w:tcW w:w="645" w:type="dxa"/>
            <w:tcBorders>
              <w:top w:val="single" w:sz="4" w:space="0" w:color="7F7F7F" w:themeColor="text1" w:themeTint="80"/>
              <w:bottom w:val="single" w:sz="4" w:space="0" w:color="7F7F7F" w:themeColor="text1" w:themeTint="80"/>
              <w:right w:val="single" w:sz="4" w:space="0" w:color="FFFFFF" w:themeColor="background1"/>
            </w:tcBorders>
            <w:shd w:val="clear" w:color="auto" w:fill="ACD7CA"/>
            <w:vAlign w:val="center"/>
          </w:tcPr>
          <w:p w:rsidR="00C54FF1" w:rsidRPr="006A74F8"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644"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shd w:val="clear" w:color="auto" w:fill="398E98"/>
            <w:vAlign w:val="center"/>
          </w:tcPr>
          <w:p w:rsidR="00C54FF1" w:rsidRPr="006A74F8"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+2</w:t>
            </w:r>
          </w:p>
        </w:tc>
        <w:tc>
          <w:tcPr>
            <w:tcW w:w="644" w:type="dxa"/>
            <w:tcBorders>
              <w:top w:val="single" w:sz="4" w:space="0" w:color="7F7F7F" w:themeColor="text1" w:themeTint="80"/>
              <w:left w:val="single" w:sz="4" w:space="0" w:color="FFFFFF" w:themeColor="background1"/>
              <w:bottom w:val="single" w:sz="4" w:space="0" w:color="7F7F7F" w:themeColor="text1" w:themeTint="80"/>
            </w:tcBorders>
            <w:shd w:val="clear" w:color="auto" w:fill="ACD7CA"/>
            <w:vAlign w:val="center"/>
          </w:tcPr>
          <w:p w:rsidR="00C54FF1" w:rsidRPr="006A74F8"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5066" w:type="dxa"/>
            <w:tcBorders>
              <w:top w:val="single" w:sz="4" w:space="0" w:color="7F7F7F" w:themeColor="text1" w:themeTint="80"/>
              <w:bottom w:val="single" w:sz="4" w:space="0" w:color="7F7F7F" w:themeColor="text1" w:themeTint="80"/>
            </w:tcBorders>
            <w:vAlign w:val="center"/>
          </w:tcPr>
          <w:p w:rsidR="00C54FF1" w:rsidRPr="006A74F8" w:rsidRDefault="00C54FF1" w:rsidP="00A1247A">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International alignment of instrument controls</w:t>
            </w:r>
            <w:r w:rsidRPr="006A74F8">
              <w:rPr>
                <w:rFonts w:asciiTheme="majorHAnsi" w:hAnsiTheme="majorHAnsi" w:cstheme="majorHAnsi"/>
                <w:sz w:val="20"/>
                <w:szCs w:val="20"/>
              </w:rPr>
              <w:t xml:space="preserve">: Option 1 will enable streamlining (e.g. exemptions); options 2 and 3 will also enable </w:t>
            </w:r>
            <w:r w:rsidR="002A115E" w:rsidRPr="006A74F8">
              <w:rPr>
                <w:rFonts w:asciiTheme="majorHAnsi" w:hAnsiTheme="majorHAnsi" w:cstheme="majorHAnsi"/>
                <w:sz w:val="20"/>
                <w:szCs w:val="20"/>
              </w:rPr>
              <w:t xml:space="preserve">acceptance </w:t>
            </w:r>
            <w:r w:rsidRPr="006A74F8">
              <w:rPr>
                <w:rFonts w:asciiTheme="majorHAnsi" w:hAnsiTheme="majorHAnsi" w:cstheme="majorHAnsi"/>
                <w:sz w:val="20"/>
                <w:szCs w:val="20"/>
              </w:rPr>
              <w:t xml:space="preserve">of overseas approvals (e.g. </w:t>
            </w:r>
            <w:r w:rsidR="002A115E" w:rsidRPr="006A74F8">
              <w:rPr>
                <w:rFonts w:asciiTheme="majorHAnsi" w:hAnsiTheme="majorHAnsi" w:cstheme="majorHAnsi"/>
                <w:sz w:val="20"/>
                <w:szCs w:val="20"/>
              </w:rPr>
              <w:t xml:space="preserve">accepting </w:t>
            </w:r>
            <w:r w:rsidRPr="006A74F8">
              <w:rPr>
                <w:rFonts w:asciiTheme="majorHAnsi" w:hAnsiTheme="majorHAnsi" w:cstheme="majorHAnsi"/>
                <w:sz w:val="20"/>
                <w:szCs w:val="20"/>
              </w:rPr>
              <w:t xml:space="preserve">overseas test results). Option 3 may introduce additional requirements for certain non-trade instruments.  </w:t>
            </w:r>
          </w:p>
        </w:tc>
      </w:tr>
    </w:tbl>
    <w:p w:rsidR="008F7D32" w:rsidRPr="006A74F8" w:rsidRDefault="008F7D32" w:rsidP="00C54FF1">
      <w:pPr>
        <w:spacing w:before="240"/>
        <w:rPr>
          <w:lang w:val="en-US"/>
        </w:rPr>
      </w:pPr>
      <w:r w:rsidRPr="006A74F8">
        <w:rPr>
          <w:lang w:val="en-US"/>
        </w:rPr>
        <w:t>Currently, a measuring instrument must be of an approved pattern before it can be supplied, sold or used for trade purposes</w:t>
      </w:r>
      <w:r w:rsidR="00BA7EEB" w:rsidRPr="006A74F8">
        <w:rPr>
          <w:lang w:val="en-US"/>
        </w:rPr>
        <w:t>.</w:t>
      </w:r>
      <w:r w:rsidR="00885BD0" w:rsidRPr="006A74F8">
        <w:rPr>
          <w:rStyle w:val="FootnoteReference"/>
          <w:lang w:val="en-US"/>
        </w:rPr>
        <w:footnoteReference w:id="110"/>
      </w:r>
      <w:r w:rsidRPr="006A74F8">
        <w:rPr>
          <w:lang w:val="en-US"/>
        </w:rPr>
        <w:t xml:space="preserve"> There are two approaches to speed up entry to market and both provide reductions to regulatory burden: </w:t>
      </w:r>
    </w:p>
    <w:p w:rsidR="008F7D32" w:rsidRPr="006A74F8" w:rsidRDefault="008F7D32" w:rsidP="006F428D">
      <w:r w:rsidRPr="006A74F8">
        <w:rPr>
          <w:rStyle w:val="normaltextrun1"/>
          <w:rFonts w:ascii="Calibri" w:hAnsi="Calibri" w:cs="Calibri"/>
          <w:b/>
        </w:rPr>
        <w:t>Option 1</w:t>
      </w:r>
      <w:r w:rsidRPr="006A74F8">
        <w:rPr>
          <w:rStyle w:val="normaltextrun1"/>
          <w:rFonts w:ascii="Calibri" w:hAnsi="Calibri" w:cs="Calibri"/>
        </w:rPr>
        <w:t xml:space="preserve"> provides manufacturers</w:t>
      </w:r>
      <w:r w:rsidR="004D620A" w:rsidRPr="006A74F8">
        <w:rPr>
          <w:rStyle w:val="normaltextrun1"/>
          <w:rFonts w:ascii="Calibri" w:hAnsi="Calibri" w:cs="Calibri"/>
        </w:rPr>
        <w:t>, importers and distributors</w:t>
      </w:r>
      <w:r w:rsidRPr="006A74F8">
        <w:rPr>
          <w:rStyle w:val="normaltextrun1"/>
          <w:rFonts w:ascii="Calibri" w:hAnsi="Calibri" w:cs="Calibri"/>
        </w:rPr>
        <w:t xml:space="preserve"> with reductions in regulatory burden through some </w:t>
      </w:r>
      <w:r w:rsidRPr="006A74F8">
        <w:rPr>
          <w:rFonts w:eastAsia="Calibri"/>
        </w:rPr>
        <w:t>s</w:t>
      </w:r>
      <w:r w:rsidRPr="006A74F8">
        <w:rPr>
          <w:rFonts w:eastAsia="Calibri" w:cstheme="minorHAnsi"/>
        </w:rPr>
        <w:t>treamlining of approvals by the Chief Metrologist</w:t>
      </w:r>
      <w:r w:rsidR="008B5F53" w:rsidRPr="006A74F8">
        <w:rPr>
          <w:rFonts w:eastAsia="Calibri" w:cstheme="minorHAnsi"/>
        </w:rPr>
        <w:t>. For example</w:t>
      </w:r>
      <w:r w:rsidRPr="006A74F8">
        <w:rPr>
          <w:rFonts w:eastAsia="Calibri" w:cstheme="minorHAnsi"/>
        </w:rPr>
        <w:t>:</w:t>
      </w:r>
    </w:p>
    <w:p w:rsidR="008F7D32" w:rsidRPr="006A74F8" w:rsidRDefault="008F7D32" w:rsidP="00DE295F">
      <w:pPr>
        <w:pStyle w:val="ListParagraph"/>
        <w:numPr>
          <w:ilvl w:val="0"/>
          <w:numId w:val="289"/>
        </w:numPr>
        <w:rPr>
          <w:strike/>
        </w:rPr>
      </w:pPr>
      <w:r w:rsidRPr="006A74F8">
        <w:t>Exempting instruments where the risk assessment and cost</w:t>
      </w:r>
      <w:r w:rsidR="00BA7EEB" w:rsidRPr="006A74F8">
        <w:t xml:space="preserve"> </w:t>
      </w:r>
      <w:r w:rsidRPr="006A74F8">
        <w:t>/</w:t>
      </w:r>
      <w:r w:rsidR="00BA7EEB" w:rsidRPr="006A74F8">
        <w:t xml:space="preserve"> </w:t>
      </w:r>
      <w:r w:rsidRPr="006A74F8">
        <w:t xml:space="preserve">benefits justified doing so, e.g. </w:t>
      </w:r>
      <w:r w:rsidR="00E478ED" w:rsidRPr="006A74F8">
        <w:t xml:space="preserve">exempting </w:t>
      </w:r>
      <w:r w:rsidR="008B5F53" w:rsidRPr="006A74F8">
        <w:t xml:space="preserve">certain </w:t>
      </w:r>
      <w:r w:rsidRPr="006A74F8">
        <w:t>simple measures</w:t>
      </w:r>
      <w:r w:rsidR="00E478ED" w:rsidRPr="006A74F8">
        <w:t xml:space="preserve"> </w:t>
      </w:r>
      <w:r w:rsidR="004D620A" w:rsidRPr="006A74F8">
        <w:t xml:space="preserve">from </w:t>
      </w:r>
      <w:r w:rsidR="00E478ED" w:rsidRPr="006A74F8">
        <w:t>verification requirements</w:t>
      </w:r>
      <w:r w:rsidRPr="006A74F8">
        <w:t>;</w:t>
      </w:r>
      <w:r w:rsidRPr="006A74F8">
        <w:rPr>
          <w:strike/>
        </w:rPr>
        <w:t xml:space="preserve"> </w:t>
      </w:r>
    </w:p>
    <w:p w:rsidR="008F7D32" w:rsidRPr="006A74F8" w:rsidRDefault="008F7D32" w:rsidP="00DE295F">
      <w:pPr>
        <w:pStyle w:val="ListParagraph"/>
        <w:numPr>
          <w:ilvl w:val="0"/>
          <w:numId w:val="289"/>
        </w:numPr>
      </w:pPr>
      <w:r w:rsidRPr="006A74F8">
        <w:rPr>
          <w:rFonts w:ascii="Calibri" w:eastAsia="Calibri" w:hAnsi="Calibri" w:cs="Calibri"/>
        </w:rPr>
        <w:t xml:space="preserve">Expressly enabling </w:t>
      </w:r>
      <w:r w:rsidR="009C4A3D" w:rsidRPr="006A74F8">
        <w:rPr>
          <w:rFonts w:ascii="Calibri" w:eastAsia="Calibri" w:hAnsi="Calibri" w:cs="Calibri"/>
        </w:rPr>
        <w:t xml:space="preserve">pattern approval </w:t>
      </w:r>
      <w:r w:rsidRPr="006A74F8">
        <w:rPr>
          <w:rFonts w:ascii="Calibri" w:eastAsia="Calibri" w:hAnsi="Calibri" w:cs="Calibri"/>
        </w:rPr>
        <w:t xml:space="preserve">certificates to have specific conditions which can operate in different ways; and </w:t>
      </w:r>
    </w:p>
    <w:p w:rsidR="008F7D32" w:rsidRPr="006A74F8" w:rsidRDefault="008F7D32" w:rsidP="00DE295F">
      <w:pPr>
        <w:pStyle w:val="ListParagraph"/>
        <w:numPr>
          <w:ilvl w:val="0"/>
          <w:numId w:val="289"/>
        </w:numPr>
      </w:pPr>
      <w:r w:rsidRPr="006A74F8">
        <w:rPr>
          <w:rFonts w:ascii="Calibri" w:eastAsia="Calibri" w:hAnsi="Calibri" w:cs="Calibri"/>
        </w:rPr>
        <w:t xml:space="preserve">Approving components of instruments. </w:t>
      </w:r>
    </w:p>
    <w:p w:rsidR="008F7D32" w:rsidRPr="006A74F8" w:rsidRDefault="008F7D32" w:rsidP="006F428D">
      <w:pPr>
        <w:rPr>
          <w:color w:val="000000"/>
          <w:lang w:val="en-US"/>
        </w:rPr>
      </w:pPr>
      <w:r w:rsidRPr="006A74F8">
        <w:rPr>
          <w:rStyle w:val="normaltextrun1"/>
          <w:rFonts w:ascii="Calibri" w:hAnsi="Calibri" w:cs="Calibri"/>
          <w:b/>
        </w:rPr>
        <w:lastRenderedPageBreak/>
        <w:t>Options 2 and 3</w:t>
      </w:r>
      <w:r w:rsidRPr="006A74F8">
        <w:rPr>
          <w:rStyle w:val="normaltextrun1"/>
          <w:rFonts w:ascii="Calibri" w:hAnsi="Calibri" w:cs="Calibri"/>
        </w:rPr>
        <w:t xml:space="preserve"> would, on a case-by-case risk assessment, allow for </w:t>
      </w:r>
      <w:r w:rsidR="000367AE" w:rsidRPr="006A74F8">
        <w:rPr>
          <w:rStyle w:val="normaltextrun1"/>
          <w:rFonts w:ascii="Calibri" w:hAnsi="Calibri" w:cs="Calibri"/>
        </w:rPr>
        <w:t>the possibility of accepting</w:t>
      </w:r>
      <w:r w:rsidRPr="006A74F8">
        <w:rPr>
          <w:rStyle w:val="normaltextrun1"/>
          <w:rFonts w:ascii="Calibri" w:hAnsi="Calibri" w:cs="Calibri"/>
        </w:rPr>
        <w:t xml:space="preserve"> overseas approvals, </w:t>
      </w:r>
      <w:r w:rsidRPr="006A74F8">
        <w:t>utilising overseas evaluations</w:t>
      </w:r>
      <w:r w:rsidR="00386F51" w:rsidRPr="006A74F8">
        <w:t>,</w:t>
      </w:r>
      <w:r w:rsidRPr="006A74F8">
        <w:t xml:space="preserve"> and utilising overseas test results</w:t>
      </w:r>
      <w:r w:rsidR="009C4A3D" w:rsidRPr="006A74F8">
        <w:t>.</w:t>
      </w:r>
      <w:r w:rsidR="009C4A3D" w:rsidRPr="006A74F8">
        <w:rPr>
          <w:rStyle w:val="normaltextrun1"/>
          <w:rFonts w:ascii="Calibri" w:hAnsi="Calibri" w:cs="Calibri"/>
        </w:rPr>
        <w:t xml:space="preserve"> </w:t>
      </w:r>
      <w:r w:rsidRPr="006A74F8">
        <w:rPr>
          <w:rStyle w:val="normaltextrun1"/>
          <w:rFonts w:ascii="Calibri" w:hAnsi="Calibri" w:cs="Calibri"/>
        </w:rPr>
        <w:t>To incr</w:t>
      </w:r>
      <w:r w:rsidRPr="006A74F8">
        <w:t>e</w:t>
      </w:r>
      <w:r w:rsidRPr="006A74F8">
        <w:rPr>
          <w:rStyle w:val="normaltextrun1"/>
          <w:rFonts w:ascii="Calibri" w:hAnsi="Calibri" w:cs="Calibri"/>
        </w:rPr>
        <w:t>ase international</w:t>
      </w:r>
      <w:r w:rsidR="00BA7EEB" w:rsidRPr="006A74F8">
        <w:rPr>
          <w:rStyle w:val="normaltextrun1"/>
          <w:rFonts w:ascii="Calibri" w:hAnsi="Calibri" w:cs="Calibri"/>
        </w:rPr>
        <w:t xml:space="preserve"> </w:t>
      </w:r>
      <w:r w:rsidRPr="006A74F8">
        <w:rPr>
          <w:rStyle w:val="normaltextrun1"/>
          <w:rFonts w:ascii="Calibri" w:hAnsi="Calibri" w:cs="Calibri"/>
        </w:rPr>
        <w:t>/</w:t>
      </w:r>
      <w:r w:rsidR="00BA7EEB" w:rsidRPr="006A74F8">
        <w:rPr>
          <w:rStyle w:val="normaltextrun1"/>
          <w:rFonts w:ascii="Calibri" w:hAnsi="Calibri" w:cs="Calibri"/>
        </w:rPr>
        <w:t xml:space="preserve"> </w:t>
      </w:r>
      <w:r w:rsidRPr="006A74F8">
        <w:rPr>
          <w:rStyle w:val="normaltextrun1"/>
          <w:rFonts w:ascii="Calibri" w:hAnsi="Calibri" w:cs="Calibri"/>
        </w:rPr>
        <w:t xml:space="preserve">mutual </w:t>
      </w:r>
      <w:r w:rsidR="004E0D88" w:rsidRPr="006A74F8">
        <w:rPr>
          <w:rStyle w:val="normaltextrun1"/>
          <w:rFonts w:ascii="Calibri" w:hAnsi="Calibri" w:cs="Calibri"/>
        </w:rPr>
        <w:t>acceptance</w:t>
      </w:r>
      <w:r w:rsidRPr="006A74F8">
        <w:rPr>
          <w:rStyle w:val="normaltextrun1"/>
          <w:rFonts w:ascii="Calibri" w:hAnsi="Calibri" w:cs="Calibri"/>
        </w:rPr>
        <w:t xml:space="preserve">, this has </w:t>
      </w:r>
      <w:r w:rsidR="00386F51" w:rsidRPr="006A74F8">
        <w:rPr>
          <w:rStyle w:val="normaltextrun1"/>
          <w:rFonts w:ascii="Calibri" w:hAnsi="Calibri" w:cs="Calibri"/>
        </w:rPr>
        <w:t xml:space="preserve">the </w:t>
      </w:r>
      <w:r w:rsidRPr="006A74F8">
        <w:rPr>
          <w:rStyle w:val="normaltextrun1"/>
          <w:rFonts w:ascii="Calibri" w:hAnsi="Calibri" w:cs="Calibri"/>
        </w:rPr>
        <w:t xml:space="preserve">potential to </w:t>
      </w:r>
      <w:r w:rsidRPr="006A74F8">
        <w:rPr>
          <w:color w:val="000000"/>
          <w:lang w:val="en-US"/>
        </w:rPr>
        <w:t>be broader than pattern approval specifications aligned with OIML and</w:t>
      </w:r>
      <w:r w:rsidR="00386F51" w:rsidRPr="006A74F8">
        <w:rPr>
          <w:color w:val="000000"/>
          <w:lang w:val="en-US"/>
        </w:rPr>
        <w:t xml:space="preserve"> may</w:t>
      </w:r>
      <w:r w:rsidR="00A933BA">
        <w:rPr>
          <w:color w:val="000000"/>
          <w:lang w:val="en-US"/>
        </w:rPr>
        <w:t xml:space="preserve"> include</w:t>
      </w:r>
      <w:r w:rsidR="000367AE" w:rsidRPr="006A74F8">
        <w:rPr>
          <w:color w:val="000000"/>
          <w:lang w:val="en-US"/>
        </w:rPr>
        <w:t xml:space="preserve"> </w:t>
      </w:r>
      <w:r w:rsidRPr="006A74F8">
        <w:rPr>
          <w:color w:val="000000"/>
          <w:lang w:val="en-US"/>
        </w:rPr>
        <w:t>recogni</w:t>
      </w:r>
      <w:r w:rsidR="000367AE" w:rsidRPr="006A74F8">
        <w:rPr>
          <w:color w:val="000000"/>
          <w:lang w:val="en-US"/>
        </w:rPr>
        <w:t>s</w:t>
      </w:r>
      <w:r w:rsidR="00386F51" w:rsidRPr="006A74F8">
        <w:rPr>
          <w:color w:val="000000"/>
          <w:lang w:val="en-US"/>
        </w:rPr>
        <w:t>ing</w:t>
      </w:r>
      <w:r w:rsidR="000367AE" w:rsidRPr="006A74F8">
        <w:rPr>
          <w:color w:val="000000"/>
          <w:lang w:val="en-US"/>
        </w:rPr>
        <w:t xml:space="preserve"> </w:t>
      </w:r>
      <w:r w:rsidRPr="006A74F8">
        <w:rPr>
          <w:color w:val="000000"/>
          <w:lang w:val="en-US"/>
        </w:rPr>
        <w:t xml:space="preserve">verification and conformance assessments performed overseas.  </w:t>
      </w:r>
    </w:p>
    <w:p w:rsidR="00083904" w:rsidRPr="006A74F8" w:rsidRDefault="00C521E7" w:rsidP="00EF0F58">
      <w:pPr>
        <w:pStyle w:val="Heading4"/>
        <w:tabs>
          <w:tab w:val="left" w:pos="1134"/>
        </w:tabs>
      </w:pPr>
      <w:r w:rsidRPr="006A74F8">
        <w:t>Changes to r</w:t>
      </w:r>
      <w:r w:rsidR="00083904" w:rsidRPr="006A74F8">
        <w:t>egulatory burden</w:t>
      </w:r>
    </w:p>
    <w:p w:rsidR="009C4A3D" w:rsidRPr="006A74F8" w:rsidRDefault="008F7D32" w:rsidP="006F428D">
      <w:pPr>
        <w:rPr>
          <w:lang w:val="en-US"/>
        </w:rPr>
      </w:pPr>
      <w:r w:rsidRPr="006A74F8">
        <w:rPr>
          <w:lang w:val="en-US"/>
        </w:rPr>
        <w:t xml:space="preserve">The change in regulatory burden is difficult to </w:t>
      </w:r>
      <w:r w:rsidR="00083904" w:rsidRPr="006A74F8">
        <w:rPr>
          <w:lang w:val="en-US"/>
        </w:rPr>
        <w:t>quantify</w:t>
      </w:r>
      <w:r w:rsidR="009C4A3D" w:rsidRPr="006A74F8">
        <w:rPr>
          <w:lang w:val="en-US"/>
        </w:rPr>
        <w:t xml:space="preserve"> as it would be contingent upon further consultation and analysis. </w:t>
      </w:r>
    </w:p>
    <w:p w:rsidR="006F428D" w:rsidRPr="006A74F8" w:rsidRDefault="009C4A3D" w:rsidP="00E71979">
      <w:pPr>
        <w:rPr>
          <w:color w:val="000000"/>
          <w:lang w:val="en-US"/>
        </w:rPr>
      </w:pPr>
      <w:r w:rsidRPr="006A74F8">
        <w:rPr>
          <w:lang w:val="en-US"/>
        </w:rPr>
        <w:t>The r</w:t>
      </w:r>
      <w:r w:rsidR="00A40A4F" w:rsidRPr="006A74F8">
        <w:rPr>
          <w:lang w:val="en-US"/>
        </w:rPr>
        <w:t xml:space="preserve">egulatory burden </w:t>
      </w:r>
      <w:r w:rsidRPr="006A74F8">
        <w:rPr>
          <w:lang w:val="en-US"/>
        </w:rPr>
        <w:t>would</w:t>
      </w:r>
      <w:r w:rsidR="00A40A4F" w:rsidRPr="006A74F8">
        <w:rPr>
          <w:lang w:val="en-US"/>
        </w:rPr>
        <w:t xml:space="preserve"> </w:t>
      </w:r>
      <w:r w:rsidRPr="006A74F8">
        <w:rPr>
          <w:lang w:val="en-US"/>
        </w:rPr>
        <w:t xml:space="preserve">likely </w:t>
      </w:r>
      <w:r w:rsidR="00A40A4F" w:rsidRPr="006A74F8">
        <w:rPr>
          <w:lang w:val="en-US"/>
        </w:rPr>
        <w:t xml:space="preserve">decrease </w:t>
      </w:r>
      <w:r w:rsidRPr="006A74F8">
        <w:rPr>
          <w:lang w:val="en-US"/>
        </w:rPr>
        <w:t>to some degree under</w:t>
      </w:r>
      <w:r w:rsidR="000960AD" w:rsidRPr="006A74F8">
        <w:rPr>
          <w:lang w:val="en-US"/>
        </w:rPr>
        <w:t xml:space="preserve"> </w:t>
      </w:r>
      <w:r w:rsidR="000960AD" w:rsidRPr="006A74F8">
        <w:rPr>
          <w:b/>
          <w:lang w:val="en-US"/>
        </w:rPr>
        <w:t xml:space="preserve">Option 1 </w:t>
      </w:r>
      <w:r w:rsidR="00A40A4F" w:rsidRPr="006A74F8">
        <w:rPr>
          <w:lang w:val="en-US"/>
        </w:rPr>
        <w:t>through</w:t>
      </w:r>
      <w:r w:rsidR="00E71979" w:rsidRPr="006A74F8">
        <w:rPr>
          <w:lang w:val="en-US"/>
        </w:rPr>
        <w:t xml:space="preserve"> for example, </w:t>
      </w:r>
      <w:r w:rsidR="006F428D" w:rsidRPr="006A74F8">
        <w:rPr>
          <w:color w:val="000000"/>
          <w:lang w:val="en-US"/>
        </w:rPr>
        <w:t>e</w:t>
      </w:r>
      <w:r w:rsidR="00A40A4F" w:rsidRPr="006A74F8">
        <w:rPr>
          <w:color w:val="000000"/>
          <w:lang w:val="en-US"/>
        </w:rPr>
        <w:t>xemption</w:t>
      </w:r>
      <w:r w:rsidRPr="006A74F8">
        <w:rPr>
          <w:color w:val="000000"/>
          <w:lang w:val="en-US"/>
        </w:rPr>
        <w:t>s</w:t>
      </w:r>
      <w:r w:rsidR="006B3FCB" w:rsidRPr="006A74F8">
        <w:rPr>
          <w:color w:val="000000"/>
          <w:lang w:val="en-US"/>
        </w:rPr>
        <w:t>,</w:t>
      </w:r>
      <w:r w:rsidR="00A40A4F" w:rsidRPr="006A74F8">
        <w:rPr>
          <w:color w:val="000000"/>
          <w:lang w:val="en-US"/>
        </w:rPr>
        <w:t xml:space="preserve"> which would remove the</w:t>
      </w:r>
      <w:r w:rsidR="00083904" w:rsidRPr="006A74F8">
        <w:rPr>
          <w:color w:val="000000"/>
          <w:lang w:val="en-US"/>
        </w:rPr>
        <w:t xml:space="preserve"> </w:t>
      </w:r>
      <w:r w:rsidR="00A40A4F" w:rsidRPr="006A74F8">
        <w:rPr>
          <w:color w:val="000000"/>
          <w:lang w:val="en-US"/>
        </w:rPr>
        <w:t xml:space="preserve">cost of application for pattern </w:t>
      </w:r>
      <w:r w:rsidR="00083904" w:rsidRPr="006A74F8">
        <w:rPr>
          <w:color w:val="000000"/>
          <w:lang w:val="en-US"/>
        </w:rPr>
        <w:t>approval</w:t>
      </w:r>
      <w:r w:rsidR="008302E2" w:rsidRPr="006A74F8">
        <w:rPr>
          <w:color w:val="000000"/>
          <w:lang w:val="en-US"/>
        </w:rPr>
        <w:t xml:space="preserve"> and</w:t>
      </w:r>
      <w:r w:rsidR="00A40A4F" w:rsidRPr="006A74F8">
        <w:rPr>
          <w:color w:val="000000"/>
          <w:lang w:val="en-US"/>
        </w:rPr>
        <w:t xml:space="preserve"> time to review the approval certificate</w:t>
      </w:r>
      <w:r w:rsidR="00E478ED" w:rsidRPr="006A74F8">
        <w:rPr>
          <w:color w:val="000000"/>
          <w:lang w:val="en-US"/>
        </w:rPr>
        <w:t>. Other requirements would still apply.</w:t>
      </w:r>
    </w:p>
    <w:p w:rsidR="008F7D32" w:rsidRPr="00A1247A" w:rsidRDefault="009C4A3D" w:rsidP="006F428D">
      <w:pPr>
        <w:rPr>
          <w:lang w:val="en-US"/>
        </w:rPr>
      </w:pPr>
      <w:r w:rsidRPr="006A74F8">
        <w:rPr>
          <w:lang w:val="en-US"/>
        </w:rPr>
        <w:t>The c</w:t>
      </w:r>
      <w:r w:rsidR="00002DAB" w:rsidRPr="006A74F8">
        <w:rPr>
          <w:lang w:val="en-US"/>
        </w:rPr>
        <w:t>hange in regulatory</w:t>
      </w:r>
      <w:r w:rsidR="00083904" w:rsidRPr="006A74F8">
        <w:rPr>
          <w:lang w:val="en-US"/>
        </w:rPr>
        <w:t xml:space="preserve"> burden</w:t>
      </w:r>
      <w:r w:rsidR="008F7D32" w:rsidRPr="006A74F8">
        <w:rPr>
          <w:lang w:val="en-US"/>
        </w:rPr>
        <w:t xml:space="preserve"> </w:t>
      </w:r>
      <w:r w:rsidR="000960AD" w:rsidRPr="006A74F8">
        <w:rPr>
          <w:lang w:val="en-US"/>
        </w:rPr>
        <w:t xml:space="preserve">in </w:t>
      </w:r>
      <w:r w:rsidR="000960AD" w:rsidRPr="006A74F8">
        <w:rPr>
          <w:b/>
          <w:lang w:val="en-US"/>
        </w:rPr>
        <w:t>Options 2 and 3</w:t>
      </w:r>
      <w:r w:rsidR="008F7D32" w:rsidRPr="006A74F8">
        <w:rPr>
          <w:lang w:val="en-US"/>
        </w:rPr>
        <w:t xml:space="preserve"> would depend on the controls for particular </w:t>
      </w:r>
      <w:r w:rsidR="008F7D32" w:rsidRPr="00A1247A">
        <w:rPr>
          <w:lang w:val="en-US"/>
        </w:rPr>
        <w:t xml:space="preserve">instrument types </w:t>
      </w:r>
      <w:r w:rsidR="00A40A4F" w:rsidRPr="00A1247A">
        <w:rPr>
          <w:lang w:val="en-US"/>
        </w:rPr>
        <w:t>based on a risk assessment and consultation</w:t>
      </w:r>
      <w:r w:rsidR="008F7D32" w:rsidRPr="00A1247A">
        <w:rPr>
          <w:lang w:val="en-US"/>
        </w:rPr>
        <w:t xml:space="preserve">. </w:t>
      </w:r>
      <w:r w:rsidR="00083904" w:rsidRPr="00A1247A">
        <w:rPr>
          <w:lang w:val="en-US"/>
        </w:rPr>
        <w:t xml:space="preserve"> </w:t>
      </w:r>
    </w:p>
    <w:p w:rsidR="00A1247A" w:rsidRPr="00815180" w:rsidRDefault="00A1247A" w:rsidP="00A1247A">
      <w:pPr>
        <w:rPr>
          <w:lang w:val="en-US"/>
        </w:rPr>
      </w:pPr>
      <w:r w:rsidRPr="00A1247A">
        <w:rPr>
          <w:u w:val="single"/>
          <w:lang w:val="en-US"/>
        </w:rPr>
        <w:t>Example</w:t>
      </w:r>
      <w:r w:rsidRPr="00A1247A">
        <w:rPr>
          <w:lang w:val="en-US"/>
        </w:rPr>
        <w:t xml:space="preserve">: NMI determines that overseas test results should be accepted from a particular and appropriately accredited institute or laboratory </w:t>
      </w:r>
      <w:r>
        <w:rPr>
          <w:lang w:val="en-US"/>
        </w:rPr>
        <w:t>following</w:t>
      </w:r>
      <w:r w:rsidRPr="00A1247A">
        <w:rPr>
          <w:lang w:val="en-US"/>
        </w:rPr>
        <w:t xml:space="preserve"> a specific risk assessment. The manufacturer still requires certification in Australia but can use the test result from the overseas laboratory. There would be a reduction in testing costs in Australia.</w:t>
      </w:r>
    </w:p>
    <w:p w:rsidR="005E0419" w:rsidRPr="006A74F8" w:rsidRDefault="005E0419" w:rsidP="006F428D">
      <w:pPr>
        <w:rPr>
          <w:b/>
        </w:rPr>
      </w:pPr>
      <w:r w:rsidRPr="006A74F8">
        <w:rPr>
          <w:b/>
        </w:rPr>
        <w:t>Regulatory Burden Estimate reduction based on pattern approval</w:t>
      </w:r>
    </w:p>
    <w:p w:rsidR="00485D53" w:rsidRPr="006A74F8" w:rsidRDefault="005E0419" w:rsidP="00320404">
      <w:r w:rsidRPr="006A74F8">
        <w:t>The</w:t>
      </w:r>
      <w:r w:rsidR="00A246F1" w:rsidRPr="006A74F8">
        <w:t xml:space="preserve"> status quo</w:t>
      </w:r>
      <w:r w:rsidRPr="006A74F8">
        <w:t xml:space="preserve"> cost of pattern approval </w:t>
      </w:r>
      <w:r w:rsidR="009359F9" w:rsidRPr="006A74F8">
        <w:t>applications for</w:t>
      </w:r>
      <w:r w:rsidRPr="006A74F8">
        <w:t xml:space="preserve"> measuring instruments to the </w:t>
      </w:r>
      <w:r w:rsidR="00D26E32" w:rsidRPr="006A74F8">
        <w:t>manufactures, importers and distributors of measuring instruments</w:t>
      </w:r>
      <w:r w:rsidRPr="006A74F8">
        <w:t xml:space="preserve"> is estimated to be </w:t>
      </w:r>
      <w:r w:rsidR="00AD6B78" w:rsidRPr="006A74F8">
        <w:t>$</w:t>
      </w:r>
      <w:r w:rsidR="00E368CE" w:rsidRPr="006A74F8">
        <w:t>0.</w:t>
      </w:r>
      <w:r w:rsidR="00AD6B78" w:rsidRPr="006A74F8">
        <w:t>18</w:t>
      </w:r>
      <w:r w:rsidR="00E368CE" w:rsidRPr="006A74F8">
        <w:t>m</w:t>
      </w:r>
      <w:r w:rsidR="009359F9" w:rsidRPr="006A74F8">
        <w:t xml:space="preserve"> (</w:t>
      </w:r>
      <w:r w:rsidR="00AE09BC" w:rsidRPr="006A74F8">
        <w:t xml:space="preserve">combined </w:t>
      </w:r>
      <w:r w:rsidR="009359F9" w:rsidRPr="006A74F8">
        <w:t xml:space="preserve">annual </w:t>
      </w:r>
      <w:r w:rsidR="00AE09BC" w:rsidRPr="006A74F8">
        <w:t xml:space="preserve">application </w:t>
      </w:r>
      <w:r w:rsidR="009359F9" w:rsidRPr="006A74F8">
        <w:t>cost)</w:t>
      </w:r>
      <w:r w:rsidRPr="006A74F8">
        <w:t>. Reductions to regulatory burden would be dependent on the number of measuring instruments that are</w:t>
      </w:r>
      <w:r w:rsidR="00485D53" w:rsidRPr="006A74F8">
        <w:t>:</w:t>
      </w:r>
    </w:p>
    <w:p w:rsidR="00485D53" w:rsidRPr="006A74F8" w:rsidRDefault="005E0419" w:rsidP="00485D53">
      <w:pPr>
        <w:pStyle w:val="ListParagraph"/>
        <w:numPr>
          <w:ilvl w:val="0"/>
          <w:numId w:val="282"/>
        </w:numPr>
      </w:pPr>
      <w:r w:rsidRPr="006A74F8">
        <w:t>exempt from pattern approval (</w:t>
      </w:r>
      <w:r w:rsidR="00105530" w:rsidRPr="006A74F8">
        <w:rPr>
          <w:b/>
        </w:rPr>
        <w:t>all reform options</w:t>
      </w:r>
      <w:r w:rsidRPr="006A74F8">
        <w:t xml:space="preserve">) </w:t>
      </w:r>
    </w:p>
    <w:p w:rsidR="00485D53" w:rsidRPr="006A74F8" w:rsidRDefault="00485D53" w:rsidP="00485D53">
      <w:pPr>
        <w:pStyle w:val="ListParagraph"/>
        <w:numPr>
          <w:ilvl w:val="0"/>
          <w:numId w:val="282"/>
        </w:numPr>
      </w:pPr>
      <w:r w:rsidRPr="006A74F8">
        <w:t xml:space="preserve">subject to </w:t>
      </w:r>
      <w:r w:rsidR="005E0419" w:rsidRPr="006A74F8">
        <w:t xml:space="preserve">an overseas pattern approval </w:t>
      </w:r>
      <w:r w:rsidRPr="006A74F8">
        <w:t xml:space="preserve">being </w:t>
      </w:r>
      <w:r w:rsidR="005E0419" w:rsidRPr="006A74F8">
        <w:t>recognised</w:t>
      </w:r>
      <w:r w:rsidRPr="006A74F8">
        <w:t xml:space="preserve"> (</w:t>
      </w:r>
      <w:r w:rsidRPr="006A74F8">
        <w:rPr>
          <w:b/>
        </w:rPr>
        <w:t>options 2 and 3</w:t>
      </w:r>
      <w:r w:rsidRPr="006A74F8">
        <w:t>)</w:t>
      </w:r>
      <w:r w:rsidR="005E0419" w:rsidRPr="006A74F8">
        <w:t xml:space="preserve"> </w:t>
      </w:r>
    </w:p>
    <w:p w:rsidR="00105530" w:rsidRPr="006A74F8" w:rsidRDefault="00485D53" w:rsidP="00485D53">
      <w:pPr>
        <w:pStyle w:val="ListParagraph"/>
        <w:numPr>
          <w:ilvl w:val="0"/>
          <w:numId w:val="282"/>
        </w:numPr>
      </w:pPr>
      <w:r w:rsidRPr="006A74F8">
        <w:t>not required to be</w:t>
      </w:r>
      <w:r w:rsidR="005E0419" w:rsidRPr="006A74F8">
        <w:t xml:space="preserve"> pattern approv</w:t>
      </w:r>
      <w:r w:rsidRPr="006A74F8">
        <w:t>ed</w:t>
      </w:r>
      <w:r w:rsidR="005E0419" w:rsidRPr="006A74F8">
        <w:t xml:space="preserve"> </w:t>
      </w:r>
      <w:r w:rsidR="00246F17" w:rsidRPr="006A74F8">
        <w:t xml:space="preserve">based </w:t>
      </w:r>
      <w:r w:rsidR="005E0419" w:rsidRPr="006A74F8">
        <w:t xml:space="preserve">on risk assessment </w:t>
      </w:r>
      <w:r w:rsidRPr="006A74F8">
        <w:t>and consultation</w:t>
      </w:r>
      <w:r w:rsidR="005E0419" w:rsidRPr="006A74F8">
        <w:t xml:space="preserve"> (</w:t>
      </w:r>
      <w:r w:rsidR="00033029" w:rsidRPr="006A74F8">
        <w:rPr>
          <w:b/>
        </w:rPr>
        <w:t>o</w:t>
      </w:r>
      <w:r w:rsidR="005E0419" w:rsidRPr="006A74F8">
        <w:rPr>
          <w:b/>
        </w:rPr>
        <w:t>ption</w:t>
      </w:r>
      <w:r w:rsidR="00D26E32" w:rsidRPr="006A74F8">
        <w:rPr>
          <w:b/>
        </w:rPr>
        <w:t>s</w:t>
      </w:r>
      <w:r w:rsidR="005E0419" w:rsidRPr="006A74F8">
        <w:rPr>
          <w:b/>
        </w:rPr>
        <w:t xml:space="preserve"> 2</w:t>
      </w:r>
      <w:r w:rsidR="00D26E32" w:rsidRPr="006A74F8">
        <w:rPr>
          <w:b/>
        </w:rPr>
        <w:t xml:space="preserve"> and 3</w:t>
      </w:r>
      <w:r w:rsidR="005E0419" w:rsidRPr="006A74F8">
        <w:t>).</w:t>
      </w:r>
      <w:r w:rsidR="00414A63" w:rsidRPr="006A74F8">
        <w:t xml:space="preserve"> </w:t>
      </w:r>
    </w:p>
    <w:p w:rsidR="00A86C91" w:rsidRPr="006A74F8" w:rsidRDefault="005E0419" w:rsidP="00105530">
      <w:r w:rsidRPr="006A74F8">
        <w:t xml:space="preserve">Refer to </w:t>
      </w:r>
      <w:hyperlink w:anchor="_Appendix_12:_Costing" w:history="1">
        <w:r w:rsidR="00E6215B" w:rsidRPr="006A74F8">
          <w:rPr>
            <w:rStyle w:val="Hyperlink"/>
          </w:rPr>
          <w:t>Appendix 1</w:t>
        </w:r>
        <w:r w:rsidR="00485D53" w:rsidRPr="006A74F8">
          <w:rPr>
            <w:rStyle w:val="Hyperlink"/>
          </w:rPr>
          <w:t>1</w:t>
        </w:r>
        <w:r w:rsidR="00E6215B" w:rsidRPr="006A74F8">
          <w:rPr>
            <w:rStyle w:val="Hyperlink"/>
          </w:rPr>
          <w:t>: Costing the regulatory burden from pattern approval</w:t>
        </w:r>
      </w:hyperlink>
      <w:r w:rsidR="0015782B" w:rsidRPr="006A74F8">
        <w:rPr>
          <w:rStyle w:val="Hyperlink"/>
        </w:rPr>
        <w:t>.</w:t>
      </w:r>
      <w:r w:rsidR="00E6215B" w:rsidRPr="006A74F8">
        <w:rPr>
          <w:rStyle w:val="Hyperlink"/>
        </w:rPr>
        <w:t xml:space="preserve"> </w:t>
      </w:r>
    </w:p>
    <w:p w:rsidR="008F7D32" w:rsidRPr="006A74F8" w:rsidRDefault="008F7D32" w:rsidP="00EF0F58">
      <w:pPr>
        <w:pStyle w:val="Heading3"/>
        <w:tabs>
          <w:tab w:val="left" w:pos="993"/>
        </w:tabs>
      </w:pPr>
      <w:r w:rsidRPr="006A74F8">
        <w:t xml:space="preserve">Tailored compliance </w:t>
      </w:r>
    </w:p>
    <w:tbl>
      <w:tblPr>
        <w:tblStyle w:val="PlainTable2"/>
        <w:tblW w:w="8875" w:type="dxa"/>
        <w:tblLayout w:type="fixed"/>
        <w:tblLook w:val="04A0" w:firstRow="1" w:lastRow="0" w:firstColumn="1" w:lastColumn="0" w:noHBand="0" w:noVBand="1"/>
        <w:tblCaption w:val="13.1.5 Tailored Complaince"/>
        <w:tblDescription w:val="Impact of reform options on tailored compliance. Options 1-3 are rated +1, slight beneficial.&#10;Compliance and Enforcement: Ability for government to take tailored and collaborative approach to compliance and enforcement provides better outcomes. Greater confidence to instrument manufacturers that they are competing on an even playing field.&#10;"/>
      </w:tblPr>
      <w:tblGrid>
        <w:gridCol w:w="1876"/>
        <w:gridCol w:w="645"/>
        <w:gridCol w:w="644"/>
        <w:gridCol w:w="644"/>
        <w:gridCol w:w="5066"/>
      </w:tblGrid>
      <w:tr w:rsidR="00C54FF1" w:rsidRPr="006A74F8" w:rsidTr="0032040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rsidR="00C54FF1" w:rsidRPr="006A74F8" w:rsidRDefault="00C54FF1" w:rsidP="00426BA0">
            <w:r w:rsidRPr="006A74F8">
              <w:t>Impact</w:t>
            </w:r>
          </w:p>
        </w:tc>
        <w:tc>
          <w:tcPr>
            <w:tcW w:w="1933" w:type="dxa"/>
            <w:gridSpan w:val="3"/>
            <w:tcBorders>
              <w:top w:val="single" w:sz="12" w:space="0" w:color="auto"/>
              <w:bottom w:val="nil"/>
            </w:tcBorders>
            <w:vAlign w:val="center"/>
          </w:tcPr>
          <w:p w:rsidR="00C54FF1" w:rsidRPr="006A74F8" w:rsidRDefault="00C54FF1" w:rsidP="00426BA0">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066" w:type="dxa"/>
            <w:vMerge w:val="restart"/>
            <w:tcBorders>
              <w:top w:val="single" w:sz="12" w:space="0" w:color="auto"/>
            </w:tcBorders>
            <w:vAlign w:val="center"/>
          </w:tcPr>
          <w:p w:rsidR="00C54FF1" w:rsidRPr="006A74F8" w:rsidRDefault="00C54FF1" w:rsidP="00426BA0">
            <w:pPr>
              <w:cnfStyle w:val="100000000000" w:firstRow="1" w:lastRow="0" w:firstColumn="0" w:lastColumn="0" w:oddVBand="0" w:evenVBand="0" w:oddHBand="0" w:evenHBand="0" w:firstRowFirstColumn="0" w:firstRowLastColumn="0" w:lastRowFirstColumn="0" w:lastRowLastColumn="0"/>
            </w:pPr>
            <w:r w:rsidRPr="006A74F8">
              <w:t>Explanation</w:t>
            </w:r>
          </w:p>
        </w:tc>
      </w:tr>
      <w:tr w:rsidR="00C54FF1" w:rsidRPr="006A74F8" w:rsidTr="00426BA0">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rsidR="00C54FF1" w:rsidRPr="006A74F8" w:rsidRDefault="00C54FF1" w:rsidP="00426BA0"/>
        </w:tc>
        <w:tc>
          <w:tcPr>
            <w:tcW w:w="645" w:type="dxa"/>
            <w:tcBorders>
              <w:top w:val="nil"/>
              <w:bottom w:val="double" w:sz="4" w:space="0" w:color="7F7F7F" w:themeColor="text1" w:themeTint="80"/>
            </w:tcBorders>
          </w:tcPr>
          <w:p w:rsidR="00C54FF1" w:rsidRPr="006A74F8"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A74F8">
              <w:rPr>
                <w:b/>
              </w:rPr>
              <w:t>1</w:t>
            </w:r>
          </w:p>
        </w:tc>
        <w:tc>
          <w:tcPr>
            <w:tcW w:w="644" w:type="dxa"/>
            <w:tcBorders>
              <w:top w:val="nil"/>
              <w:bottom w:val="double" w:sz="4" w:space="0" w:color="7F7F7F" w:themeColor="text1" w:themeTint="80"/>
            </w:tcBorders>
          </w:tcPr>
          <w:p w:rsidR="00C54FF1" w:rsidRPr="006A74F8"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A74F8">
              <w:rPr>
                <w:b/>
              </w:rPr>
              <w:t>2</w:t>
            </w:r>
          </w:p>
        </w:tc>
        <w:tc>
          <w:tcPr>
            <w:tcW w:w="644" w:type="dxa"/>
            <w:tcBorders>
              <w:top w:val="nil"/>
              <w:bottom w:val="double" w:sz="4" w:space="0" w:color="7F7F7F" w:themeColor="text1" w:themeTint="80"/>
            </w:tcBorders>
          </w:tcPr>
          <w:p w:rsidR="00C54FF1" w:rsidRPr="006A74F8"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A74F8">
              <w:rPr>
                <w:b/>
              </w:rPr>
              <w:t>3</w:t>
            </w:r>
          </w:p>
        </w:tc>
        <w:tc>
          <w:tcPr>
            <w:tcW w:w="5066" w:type="dxa"/>
            <w:vMerge/>
            <w:tcBorders>
              <w:bottom w:val="double" w:sz="4" w:space="0" w:color="7F7F7F" w:themeColor="text1" w:themeTint="80"/>
            </w:tcBorders>
          </w:tcPr>
          <w:p w:rsidR="00C54FF1" w:rsidRPr="006A74F8" w:rsidRDefault="00C54FF1" w:rsidP="00426BA0">
            <w:pPr>
              <w:cnfStyle w:val="000000100000" w:firstRow="0" w:lastRow="0" w:firstColumn="0" w:lastColumn="0" w:oddVBand="0" w:evenVBand="0" w:oddHBand="1" w:evenHBand="0" w:firstRowFirstColumn="0" w:firstRowLastColumn="0" w:lastRowFirstColumn="0" w:lastRowLastColumn="0"/>
            </w:pPr>
          </w:p>
        </w:tc>
      </w:tr>
      <w:tr w:rsidR="00C54FF1" w:rsidRPr="006A74F8" w:rsidTr="00972081">
        <w:trPr>
          <w:cantSplit/>
        </w:trPr>
        <w:tc>
          <w:tcPr>
            <w:cnfStyle w:val="001000000000" w:firstRow="0" w:lastRow="0" w:firstColumn="1" w:lastColumn="0" w:oddVBand="0" w:evenVBand="0" w:oddHBand="0" w:evenHBand="0" w:firstRowFirstColumn="0" w:firstRowLastColumn="0" w:lastRowFirstColumn="0" w:lastRowLastColumn="0"/>
            <w:tcW w:w="1876" w:type="dxa"/>
            <w:vAlign w:val="center"/>
          </w:tcPr>
          <w:p w:rsidR="00C54FF1" w:rsidRPr="006A74F8" w:rsidRDefault="00C54FF1" w:rsidP="00426BA0">
            <w:pPr>
              <w:rPr>
                <w:rFonts w:asciiTheme="majorHAnsi" w:eastAsia="Calibri" w:hAnsiTheme="majorHAnsi" w:cstheme="majorHAnsi"/>
                <w:b w:val="0"/>
                <w:sz w:val="20"/>
                <w:szCs w:val="20"/>
              </w:rPr>
            </w:pPr>
            <w:r w:rsidRPr="006A74F8">
              <w:rPr>
                <w:rFonts w:asciiTheme="majorHAnsi" w:hAnsiTheme="majorHAnsi" w:cstheme="majorHAnsi"/>
                <w:b w:val="0"/>
                <w:sz w:val="20"/>
                <w:szCs w:val="20"/>
              </w:rPr>
              <w:t>Tailored compliance</w:t>
            </w:r>
          </w:p>
        </w:tc>
        <w:tc>
          <w:tcPr>
            <w:tcW w:w="645" w:type="dxa"/>
            <w:tcBorders>
              <w:right w:val="single" w:sz="4" w:space="0" w:color="FFFFFF" w:themeColor="background1"/>
            </w:tcBorders>
            <w:shd w:val="clear" w:color="auto" w:fill="ACD7CA"/>
            <w:vAlign w:val="center"/>
          </w:tcPr>
          <w:p w:rsidR="00C54FF1" w:rsidRPr="006A74F8"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644" w:type="dxa"/>
            <w:tcBorders>
              <w:left w:val="single" w:sz="4" w:space="0" w:color="FFFFFF" w:themeColor="background1"/>
              <w:right w:val="single" w:sz="4" w:space="0" w:color="FFFFFF" w:themeColor="background1"/>
            </w:tcBorders>
            <w:shd w:val="clear" w:color="auto" w:fill="ACD7CA"/>
            <w:vAlign w:val="center"/>
          </w:tcPr>
          <w:p w:rsidR="00C54FF1" w:rsidRPr="006A74F8"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644" w:type="dxa"/>
            <w:tcBorders>
              <w:left w:val="single" w:sz="4" w:space="0" w:color="FFFFFF" w:themeColor="background1"/>
            </w:tcBorders>
            <w:shd w:val="clear" w:color="auto" w:fill="ACD7CA"/>
            <w:vAlign w:val="center"/>
          </w:tcPr>
          <w:p w:rsidR="00C54FF1" w:rsidRPr="006A74F8"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5066" w:type="dxa"/>
            <w:vAlign w:val="center"/>
          </w:tcPr>
          <w:p w:rsidR="00C54FF1" w:rsidRPr="006A74F8" w:rsidRDefault="00C54FF1" w:rsidP="00426BA0">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Compliance and Enforcement</w:t>
            </w:r>
            <w:r w:rsidRPr="006A74F8">
              <w:rPr>
                <w:rFonts w:asciiTheme="majorHAnsi" w:hAnsiTheme="majorHAnsi" w:cstheme="majorHAnsi"/>
                <w:sz w:val="20"/>
                <w:szCs w:val="20"/>
              </w:rPr>
              <w:t xml:space="preserve">: Ability for government to take </w:t>
            </w:r>
            <w:r w:rsidR="00386F51" w:rsidRPr="006A74F8">
              <w:rPr>
                <w:rFonts w:asciiTheme="majorHAnsi" w:hAnsiTheme="majorHAnsi" w:cstheme="majorHAnsi"/>
                <w:sz w:val="20"/>
                <w:szCs w:val="20"/>
              </w:rPr>
              <w:t xml:space="preserve">a </w:t>
            </w:r>
            <w:r w:rsidRPr="006A74F8">
              <w:rPr>
                <w:rFonts w:asciiTheme="majorHAnsi" w:hAnsiTheme="majorHAnsi" w:cstheme="majorHAnsi"/>
                <w:sz w:val="20"/>
                <w:szCs w:val="20"/>
              </w:rPr>
              <w:t>tailored and collaborative approach to compliance and enforcement provides better outcomes. Greater confidence to instrument manufacturers that they are competing on an even playing field.</w:t>
            </w:r>
          </w:p>
        </w:tc>
      </w:tr>
    </w:tbl>
    <w:p w:rsidR="008F7D32" w:rsidRPr="006A74F8" w:rsidRDefault="008F7D32" w:rsidP="00C54FF1">
      <w:pPr>
        <w:spacing w:before="240"/>
      </w:pPr>
      <w:r w:rsidRPr="006A74F8">
        <w:t xml:space="preserve">Under </w:t>
      </w:r>
      <w:r w:rsidRPr="006A74F8">
        <w:rPr>
          <w:b/>
        </w:rPr>
        <w:t>all reform options</w:t>
      </w:r>
      <w:r w:rsidRPr="006A74F8">
        <w:t xml:space="preserve"> there will be a range of different controls regarding measuring instruments used for trade and regulatory purposes, a number of which will have an impact on the requirements that </w:t>
      </w:r>
      <w:r w:rsidR="00847BFB" w:rsidRPr="006A74F8">
        <w:t>measuring instrument manufacturers, importers and distributors</w:t>
      </w:r>
      <w:r w:rsidRPr="006A74F8">
        <w:t xml:space="preserve"> need to meet. The framework currently provides NMI with a limited suite of compliance and enforcement tools. This limits the effectiveness of compliance and enforcement action, impacting NMI’s ability to achieve positive </w:t>
      </w:r>
      <w:r w:rsidRPr="006A74F8">
        <w:lastRenderedPageBreak/>
        <w:t xml:space="preserve">compliance outcomes. Under </w:t>
      </w:r>
      <w:r w:rsidRPr="006A74F8">
        <w:rPr>
          <w:b/>
        </w:rPr>
        <w:t>all reform options</w:t>
      </w:r>
      <w:r w:rsidRPr="006A74F8">
        <w:t xml:space="preserve"> the suite of compliance and enforcement tools available to NMI would be expanded to support a more tailored and collaborative approach for </w:t>
      </w:r>
      <w:r w:rsidR="00847BFB" w:rsidRPr="006A74F8">
        <w:t>measuring instrument manufacturers, importers and distributors</w:t>
      </w:r>
      <w:r w:rsidRPr="006A74F8">
        <w:t xml:space="preserve">. Relevant monitoring powers would be included to enable post-market examination and testing of individual measuring instruments to ensure they continue to comply with relevant requirements. This will provide greater confidence to </w:t>
      </w:r>
      <w:r w:rsidR="007E0914" w:rsidRPr="006A74F8">
        <w:t>industry</w:t>
      </w:r>
      <w:r w:rsidRPr="006A74F8">
        <w:t xml:space="preserve"> that they are competing on an even playing field.</w:t>
      </w:r>
    </w:p>
    <w:p w:rsidR="003857D3" w:rsidRPr="006A74F8" w:rsidRDefault="008F7D32" w:rsidP="00E71979">
      <w:r w:rsidRPr="006A74F8">
        <w:t xml:space="preserve">Under </w:t>
      </w:r>
      <w:r w:rsidRPr="006A74F8">
        <w:rPr>
          <w:b/>
        </w:rPr>
        <w:t>options 2</w:t>
      </w:r>
      <w:r w:rsidRPr="006A74F8">
        <w:t xml:space="preserve"> </w:t>
      </w:r>
      <w:r w:rsidRPr="006A74F8">
        <w:rPr>
          <w:b/>
        </w:rPr>
        <w:t>and 3</w:t>
      </w:r>
      <w:r w:rsidRPr="006A74F8">
        <w:t xml:space="preserve"> enforceable </w:t>
      </w:r>
      <w:r w:rsidR="00184B02">
        <w:t>industry codes</w:t>
      </w:r>
      <w:r w:rsidRPr="006A74F8">
        <w:t xml:space="preserve"> of </w:t>
      </w:r>
      <w:r w:rsidR="00184B02">
        <w:t>c</w:t>
      </w:r>
      <w:r w:rsidRPr="006A74F8">
        <w:t xml:space="preserve">onduct and recall powers are also included. </w:t>
      </w:r>
      <w:r w:rsidR="00405AE5">
        <w:t>I</w:t>
      </w:r>
      <w:r w:rsidR="005A5BE8" w:rsidRPr="006A74F8">
        <w:t xml:space="preserve">ndustry </w:t>
      </w:r>
      <w:r w:rsidR="00184B02">
        <w:t>codes</w:t>
      </w:r>
      <w:r w:rsidRPr="006A74F8">
        <w:t xml:space="preserve"> of </w:t>
      </w:r>
      <w:r w:rsidR="00184B02">
        <w:t>c</w:t>
      </w:r>
      <w:r w:rsidRPr="006A74F8">
        <w:t xml:space="preserve">onduct </w:t>
      </w:r>
      <w:r w:rsidR="005A5BE8" w:rsidRPr="006A74F8">
        <w:t xml:space="preserve">would be accommodated under </w:t>
      </w:r>
      <w:r w:rsidR="005A5BE8" w:rsidRPr="006A74F8">
        <w:rPr>
          <w:b/>
        </w:rPr>
        <w:t>options 2 and 3</w:t>
      </w:r>
      <w:r w:rsidR="005A5BE8" w:rsidRPr="006A74F8">
        <w:t xml:space="preserve"> and could be either</w:t>
      </w:r>
      <w:r w:rsidRPr="006A74F8">
        <w:t xml:space="preserve"> voluntary</w:t>
      </w:r>
      <w:r w:rsidR="005A5BE8" w:rsidRPr="006A74F8">
        <w:t xml:space="preserve"> or mandatory. The legislation will</w:t>
      </w:r>
      <w:r w:rsidR="00616A06" w:rsidRPr="006A74F8">
        <w:t xml:space="preserve"> also</w:t>
      </w:r>
      <w:r w:rsidR="005A5BE8" w:rsidRPr="006A74F8">
        <w:t xml:space="preserve"> include mechanisms to make </w:t>
      </w:r>
      <w:r w:rsidR="00616A06" w:rsidRPr="006A74F8">
        <w:t xml:space="preserve">these </w:t>
      </w:r>
      <w:r w:rsidR="00184B02">
        <w:t>i</w:t>
      </w:r>
      <w:r w:rsidR="00184B02" w:rsidRPr="006A74F8">
        <w:t xml:space="preserve">ndustry </w:t>
      </w:r>
      <w:r w:rsidR="00184B02">
        <w:t>codes</w:t>
      </w:r>
      <w:r w:rsidR="005A5BE8" w:rsidRPr="006A74F8">
        <w:t xml:space="preserve"> of </w:t>
      </w:r>
      <w:r w:rsidR="00184B02">
        <w:t>c</w:t>
      </w:r>
      <w:r w:rsidR="00184B02" w:rsidRPr="006A74F8">
        <w:t>onduct</w:t>
      </w:r>
      <w:r w:rsidR="005A5BE8" w:rsidRPr="006A74F8">
        <w:t xml:space="preserve"> enforceable, meaning compliance and enforcement action could be taken in relation to a breach </w:t>
      </w:r>
      <w:r w:rsidR="00616A06" w:rsidRPr="006A74F8">
        <w:t>of</w:t>
      </w:r>
      <w:r w:rsidR="005A5BE8" w:rsidRPr="006A74F8">
        <w:t xml:space="preserve"> </w:t>
      </w:r>
      <w:r w:rsidR="00616A06" w:rsidRPr="006A74F8">
        <w:t xml:space="preserve">an </w:t>
      </w:r>
      <w:r w:rsidR="00184B02">
        <w:t>i</w:t>
      </w:r>
      <w:r w:rsidR="00184B02" w:rsidRPr="006A74F8">
        <w:t xml:space="preserve">ndustry </w:t>
      </w:r>
      <w:r w:rsidR="00184B02">
        <w:t>code</w:t>
      </w:r>
      <w:r w:rsidR="005A5BE8" w:rsidRPr="006A74F8">
        <w:t xml:space="preserve"> of </w:t>
      </w:r>
      <w:r w:rsidR="00184B02">
        <w:t>c</w:t>
      </w:r>
      <w:r w:rsidR="00184B02" w:rsidRPr="006A74F8">
        <w:t>onduct</w:t>
      </w:r>
      <w:r w:rsidR="00616A06" w:rsidRPr="006A74F8">
        <w:t>.</w:t>
      </w:r>
      <w:r w:rsidR="005A5BE8" w:rsidRPr="006A74F8">
        <w:t xml:space="preserve"> </w:t>
      </w:r>
      <w:r w:rsidR="00616A06" w:rsidRPr="006A74F8">
        <w:t xml:space="preserve">Being able to accommodate </w:t>
      </w:r>
      <w:r w:rsidR="00184B02">
        <w:t>i</w:t>
      </w:r>
      <w:r w:rsidR="00184B02" w:rsidRPr="006A74F8">
        <w:t xml:space="preserve">ndustry </w:t>
      </w:r>
      <w:r w:rsidR="00184B02">
        <w:t>codes</w:t>
      </w:r>
      <w:r w:rsidRPr="006A74F8">
        <w:t xml:space="preserve"> of </w:t>
      </w:r>
      <w:r w:rsidR="00184B02">
        <w:t>c</w:t>
      </w:r>
      <w:r w:rsidR="00184B02" w:rsidRPr="006A74F8">
        <w:t>onduct</w:t>
      </w:r>
      <w:r w:rsidRPr="006A74F8">
        <w:t xml:space="preserve"> will enable NMI to target compliance issues in particular sectors and </w:t>
      </w:r>
      <w:r w:rsidR="00616A06" w:rsidRPr="006A74F8">
        <w:t xml:space="preserve">provide </w:t>
      </w:r>
      <w:r w:rsidRPr="006A74F8">
        <w:t>a more collaborative approach to risk-based compliance</w:t>
      </w:r>
      <w:r w:rsidR="00616A06" w:rsidRPr="006A74F8">
        <w:t xml:space="preserve">, potentially </w:t>
      </w:r>
      <w:r w:rsidR="00616A06" w:rsidRPr="006A74F8" w:rsidDel="00AB1A93">
        <w:t>freeing up</w:t>
      </w:r>
      <w:r w:rsidR="00616A06" w:rsidRPr="006A74F8">
        <w:t xml:space="preserve"> NMI </w:t>
      </w:r>
      <w:r w:rsidR="00616A06" w:rsidRPr="006A74F8" w:rsidDel="00AB1A93">
        <w:t xml:space="preserve">resources </w:t>
      </w:r>
      <w:r w:rsidR="00616A06" w:rsidRPr="006A74F8">
        <w:t xml:space="preserve">to </w:t>
      </w:r>
      <w:r w:rsidR="00AF38B6" w:rsidRPr="006A74F8">
        <w:t xml:space="preserve">focus </w:t>
      </w:r>
      <w:r w:rsidR="00616A06" w:rsidRPr="006A74F8">
        <w:t xml:space="preserve">compliance action in </w:t>
      </w:r>
      <w:r w:rsidR="00AF38B6" w:rsidRPr="006A74F8">
        <w:t>other</w:t>
      </w:r>
      <w:r w:rsidR="00616A06" w:rsidRPr="006A74F8">
        <w:t xml:space="preserve"> higher risk areas. </w:t>
      </w:r>
      <w:r w:rsidRPr="006A74F8">
        <w:t>The inclusion of recall powers will provide greater post-market assurances for measuring instruments where large scale issues are identified (e.g. to support the inclusion of more flexible pre-market controls of measuring instruments, recall powers can be utilised to remove faulty instruments from the market). Where a recall is required for an instrument, the compliance cost of the recall will largely be borne by the instrument manufacturer or supplier</w:t>
      </w:r>
      <w:r w:rsidR="00A54A7E" w:rsidRPr="006A74F8">
        <w:t xml:space="preserve">, although this </w:t>
      </w:r>
      <w:r w:rsidRPr="006A74F8">
        <w:t xml:space="preserve">may depend upon the contractual terms of the supply of the instruments, and the location of the manufacturer. </w:t>
      </w:r>
      <w:r w:rsidR="00A54A7E" w:rsidRPr="006A74F8">
        <w:t>Importantly</w:t>
      </w:r>
      <w:r w:rsidRPr="006A74F8">
        <w:t>, NMI would take a risk-based approach to issu</w:t>
      </w:r>
      <w:r w:rsidR="00AB1A93" w:rsidRPr="006A74F8">
        <w:t>ing</w:t>
      </w:r>
      <w:r w:rsidRPr="006A74F8">
        <w:t xml:space="preserve"> a recall</w:t>
      </w:r>
      <w:r w:rsidR="00AB1A93" w:rsidRPr="006A74F8">
        <w:t>. Such a decision</w:t>
      </w:r>
      <w:r w:rsidRPr="006A74F8" w:rsidDel="00AB1A93">
        <w:t xml:space="preserve"> </w:t>
      </w:r>
      <w:r w:rsidRPr="006A74F8">
        <w:t>would include an assessment of the potential harm to consumers and businesses, as well as any flow on costs to businesses not party to the contravention.</w:t>
      </w:r>
    </w:p>
    <w:p w:rsidR="008F7D32" w:rsidRPr="006A74F8" w:rsidRDefault="008F7D32" w:rsidP="00352864">
      <w:pPr>
        <w:pStyle w:val="Heading3"/>
        <w:ind w:left="993" w:hanging="993"/>
      </w:pPr>
      <w:r w:rsidRPr="006A74F8">
        <w:t xml:space="preserve">Reduced technical barriers for </w:t>
      </w:r>
      <w:r w:rsidR="00EF0F58">
        <w:t xml:space="preserve">new and innovative measuring </w:t>
      </w:r>
      <w:r w:rsidRPr="006A74F8">
        <w:t xml:space="preserve">instruments </w:t>
      </w:r>
    </w:p>
    <w:tbl>
      <w:tblPr>
        <w:tblStyle w:val="PlainTable2"/>
        <w:tblW w:w="8875" w:type="dxa"/>
        <w:tblLayout w:type="fixed"/>
        <w:tblLook w:val="04A0" w:firstRow="1" w:lastRow="0" w:firstColumn="1" w:lastColumn="0" w:noHBand="0" w:noVBand="1"/>
        <w:tblCaption w:val="13.1.6 Reduced technical barriers for new and innovative measuring instruments"/>
        <w:tblDescription w:val="Impact of reform options on reduced technical barriers for new and innovative measuring instruments. Option 1 is rated 0, neutral. Option 2 is rated +3, large beneficial. Option 3 is rated +2, moderate beneficial.&#10;A framework for supporting new measurement technologies: Options 2 and 3 both provide a pathway to integrate new and innovative measurement instruments into the measurement framework. Supports investment by instrument manufacturers in instruments integrating new measurement technologies. Option 3 may introduce additional requirements to be met for certain non-trade instruments.&#10;"/>
      </w:tblPr>
      <w:tblGrid>
        <w:gridCol w:w="1876"/>
        <w:gridCol w:w="645"/>
        <w:gridCol w:w="644"/>
        <w:gridCol w:w="644"/>
        <w:gridCol w:w="5066"/>
      </w:tblGrid>
      <w:tr w:rsidR="00C54FF1" w:rsidRPr="006A74F8" w:rsidTr="0032040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rsidR="00C54FF1" w:rsidRPr="006A74F8" w:rsidRDefault="00C54FF1" w:rsidP="00426BA0">
            <w:r w:rsidRPr="006A74F8">
              <w:t>Impact</w:t>
            </w:r>
          </w:p>
        </w:tc>
        <w:tc>
          <w:tcPr>
            <w:tcW w:w="1933" w:type="dxa"/>
            <w:gridSpan w:val="3"/>
            <w:tcBorders>
              <w:top w:val="single" w:sz="12" w:space="0" w:color="auto"/>
              <w:bottom w:val="nil"/>
            </w:tcBorders>
            <w:vAlign w:val="center"/>
          </w:tcPr>
          <w:p w:rsidR="00C54FF1" w:rsidRPr="006A74F8" w:rsidRDefault="00C54FF1" w:rsidP="00426BA0">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066" w:type="dxa"/>
            <w:vMerge w:val="restart"/>
            <w:tcBorders>
              <w:top w:val="single" w:sz="12" w:space="0" w:color="auto"/>
            </w:tcBorders>
            <w:vAlign w:val="center"/>
          </w:tcPr>
          <w:p w:rsidR="00C54FF1" w:rsidRPr="006A74F8" w:rsidRDefault="00C54FF1" w:rsidP="00426BA0">
            <w:pPr>
              <w:cnfStyle w:val="100000000000" w:firstRow="1" w:lastRow="0" w:firstColumn="0" w:lastColumn="0" w:oddVBand="0" w:evenVBand="0" w:oddHBand="0" w:evenHBand="0" w:firstRowFirstColumn="0" w:firstRowLastColumn="0" w:lastRowFirstColumn="0" w:lastRowLastColumn="0"/>
            </w:pPr>
            <w:r w:rsidRPr="006A74F8">
              <w:t>Explanation</w:t>
            </w:r>
          </w:p>
        </w:tc>
      </w:tr>
      <w:tr w:rsidR="00C54FF1" w:rsidRPr="006A74F8" w:rsidTr="00426BA0">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rsidR="00C54FF1" w:rsidRPr="006A74F8" w:rsidRDefault="00C54FF1" w:rsidP="00426BA0"/>
        </w:tc>
        <w:tc>
          <w:tcPr>
            <w:tcW w:w="645" w:type="dxa"/>
            <w:tcBorders>
              <w:top w:val="nil"/>
              <w:bottom w:val="double" w:sz="4" w:space="0" w:color="7F7F7F" w:themeColor="text1" w:themeTint="80"/>
            </w:tcBorders>
          </w:tcPr>
          <w:p w:rsidR="00C54FF1" w:rsidRPr="006A74F8"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A74F8">
              <w:rPr>
                <w:b/>
              </w:rPr>
              <w:t>1</w:t>
            </w:r>
          </w:p>
        </w:tc>
        <w:tc>
          <w:tcPr>
            <w:tcW w:w="644" w:type="dxa"/>
            <w:tcBorders>
              <w:top w:val="nil"/>
              <w:bottom w:val="double" w:sz="4" w:space="0" w:color="7F7F7F" w:themeColor="text1" w:themeTint="80"/>
            </w:tcBorders>
          </w:tcPr>
          <w:p w:rsidR="00C54FF1" w:rsidRPr="006A74F8"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A74F8">
              <w:rPr>
                <w:b/>
              </w:rPr>
              <w:t>2</w:t>
            </w:r>
          </w:p>
        </w:tc>
        <w:tc>
          <w:tcPr>
            <w:tcW w:w="644" w:type="dxa"/>
            <w:tcBorders>
              <w:top w:val="nil"/>
              <w:bottom w:val="double" w:sz="4" w:space="0" w:color="7F7F7F" w:themeColor="text1" w:themeTint="80"/>
            </w:tcBorders>
          </w:tcPr>
          <w:p w:rsidR="00C54FF1" w:rsidRPr="006A74F8"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A74F8">
              <w:rPr>
                <w:b/>
              </w:rPr>
              <w:t>3</w:t>
            </w:r>
          </w:p>
        </w:tc>
        <w:tc>
          <w:tcPr>
            <w:tcW w:w="5066" w:type="dxa"/>
            <w:vMerge/>
            <w:tcBorders>
              <w:bottom w:val="double" w:sz="4" w:space="0" w:color="7F7F7F" w:themeColor="text1" w:themeTint="80"/>
            </w:tcBorders>
          </w:tcPr>
          <w:p w:rsidR="00C54FF1" w:rsidRPr="006A74F8" w:rsidRDefault="00C54FF1" w:rsidP="00426BA0">
            <w:pPr>
              <w:cnfStyle w:val="000000100000" w:firstRow="0" w:lastRow="0" w:firstColumn="0" w:lastColumn="0" w:oddVBand="0" w:evenVBand="0" w:oddHBand="1" w:evenHBand="0" w:firstRowFirstColumn="0" w:firstRowLastColumn="0" w:lastRowFirstColumn="0" w:lastRowLastColumn="0"/>
            </w:pPr>
          </w:p>
        </w:tc>
      </w:tr>
      <w:tr w:rsidR="00C54FF1" w:rsidRPr="006A74F8" w:rsidTr="00972081">
        <w:trPr>
          <w:cantSplit/>
        </w:trPr>
        <w:tc>
          <w:tcPr>
            <w:cnfStyle w:val="001000000000" w:firstRow="0" w:lastRow="0" w:firstColumn="1" w:lastColumn="0" w:oddVBand="0" w:evenVBand="0" w:oddHBand="0" w:evenHBand="0" w:firstRowFirstColumn="0" w:firstRowLastColumn="0" w:lastRowFirstColumn="0" w:lastRowLastColumn="0"/>
            <w:tcW w:w="1876" w:type="dxa"/>
            <w:tcBorders>
              <w:bottom w:val="single" w:sz="4" w:space="0" w:color="7F7F7F" w:themeColor="text1" w:themeTint="80"/>
            </w:tcBorders>
            <w:vAlign w:val="center"/>
          </w:tcPr>
          <w:p w:rsidR="00C54FF1" w:rsidRPr="006A74F8" w:rsidRDefault="00C54FF1" w:rsidP="00426BA0">
            <w:pPr>
              <w:rPr>
                <w:rFonts w:asciiTheme="majorHAnsi" w:eastAsia="Calibri" w:hAnsiTheme="majorHAnsi" w:cstheme="majorHAnsi"/>
                <w:b w:val="0"/>
                <w:sz w:val="20"/>
                <w:szCs w:val="20"/>
              </w:rPr>
            </w:pPr>
            <w:r w:rsidRPr="006A74F8">
              <w:rPr>
                <w:rFonts w:asciiTheme="majorHAnsi" w:hAnsiTheme="majorHAnsi" w:cstheme="majorHAnsi"/>
                <w:b w:val="0"/>
                <w:sz w:val="20"/>
                <w:szCs w:val="20"/>
              </w:rPr>
              <w:t>Reduced technical barriers for new and innovative measuring instruments</w:t>
            </w:r>
          </w:p>
        </w:tc>
        <w:tc>
          <w:tcPr>
            <w:tcW w:w="645" w:type="dxa"/>
            <w:tcBorders>
              <w:bottom w:val="single" w:sz="4" w:space="0" w:color="7F7F7F" w:themeColor="text1" w:themeTint="80"/>
              <w:right w:val="single" w:sz="4" w:space="0" w:color="FFFFFF" w:themeColor="background1"/>
            </w:tcBorders>
            <w:shd w:val="clear" w:color="auto" w:fill="FFFFC5"/>
            <w:vAlign w:val="center"/>
          </w:tcPr>
          <w:p w:rsidR="00C54FF1" w:rsidRPr="006A74F8"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0</w:t>
            </w:r>
          </w:p>
        </w:tc>
        <w:tc>
          <w:tcPr>
            <w:tcW w:w="644" w:type="dxa"/>
            <w:tcBorders>
              <w:left w:val="single" w:sz="4" w:space="0" w:color="FFFFFF" w:themeColor="background1"/>
              <w:bottom w:val="single" w:sz="4" w:space="0" w:color="7F7F7F" w:themeColor="text1" w:themeTint="80"/>
              <w:right w:val="single" w:sz="4" w:space="0" w:color="FFFFFF" w:themeColor="background1"/>
            </w:tcBorders>
            <w:shd w:val="clear" w:color="auto" w:fill="0F4D4B"/>
            <w:vAlign w:val="center"/>
          </w:tcPr>
          <w:p w:rsidR="00C54FF1" w:rsidRPr="006A74F8"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+3</w:t>
            </w:r>
          </w:p>
        </w:tc>
        <w:tc>
          <w:tcPr>
            <w:tcW w:w="644" w:type="dxa"/>
            <w:tcBorders>
              <w:left w:val="single" w:sz="4" w:space="0" w:color="FFFFFF" w:themeColor="background1"/>
              <w:bottom w:val="single" w:sz="4" w:space="0" w:color="7F7F7F" w:themeColor="text1" w:themeTint="80"/>
            </w:tcBorders>
            <w:shd w:val="clear" w:color="auto" w:fill="398E98"/>
            <w:vAlign w:val="center"/>
          </w:tcPr>
          <w:p w:rsidR="00C54FF1" w:rsidRPr="006A74F8"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+2</w:t>
            </w:r>
          </w:p>
        </w:tc>
        <w:tc>
          <w:tcPr>
            <w:tcW w:w="5066" w:type="dxa"/>
            <w:tcBorders>
              <w:bottom w:val="single" w:sz="4" w:space="0" w:color="7F7F7F" w:themeColor="text1" w:themeTint="80"/>
            </w:tcBorders>
            <w:vAlign w:val="center"/>
          </w:tcPr>
          <w:p w:rsidR="00C54FF1" w:rsidRPr="006A74F8" w:rsidRDefault="00C54FF1" w:rsidP="00D85F5B">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20"/>
                <w:szCs w:val="20"/>
              </w:rPr>
            </w:pPr>
            <w:r w:rsidRPr="006A74F8">
              <w:rPr>
                <w:rFonts w:asciiTheme="majorHAnsi" w:hAnsiTheme="majorHAnsi" w:cstheme="majorHAnsi"/>
                <w:b/>
                <w:sz w:val="20"/>
                <w:szCs w:val="20"/>
              </w:rPr>
              <w:t>A framework for supporting new measurement technologies</w:t>
            </w:r>
            <w:r w:rsidRPr="006A74F8">
              <w:rPr>
                <w:rFonts w:asciiTheme="majorHAnsi" w:hAnsiTheme="majorHAnsi" w:cstheme="majorHAnsi"/>
                <w:sz w:val="20"/>
                <w:szCs w:val="20"/>
              </w:rPr>
              <w:t xml:space="preserve">: Options 2 and 3 both provide a pathway to integrate new and innovative measurement instruments into the measurement framework. </w:t>
            </w:r>
            <w:r w:rsidR="00972081" w:rsidRPr="006A74F8">
              <w:rPr>
                <w:rFonts w:asciiTheme="majorHAnsi" w:hAnsiTheme="majorHAnsi" w:cstheme="majorHAnsi"/>
                <w:sz w:val="20"/>
                <w:szCs w:val="20"/>
              </w:rPr>
              <w:t>This s</w:t>
            </w:r>
            <w:r w:rsidRPr="006A74F8">
              <w:rPr>
                <w:rFonts w:asciiTheme="majorHAnsi" w:hAnsiTheme="majorHAnsi" w:cstheme="majorHAnsi"/>
                <w:sz w:val="20"/>
                <w:szCs w:val="20"/>
              </w:rPr>
              <w:t>upports investment by instrument manufacturers in instruments integrating new measurement technologies. Option 3 may introduce additional requirements for certain non-trade instruments.</w:t>
            </w:r>
          </w:p>
        </w:tc>
      </w:tr>
    </w:tbl>
    <w:p w:rsidR="008F7D32" w:rsidRPr="006A74F8" w:rsidRDefault="00D62384" w:rsidP="00C54FF1">
      <w:pPr>
        <w:spacing w:before="240"/>
      </w:pPr>
      <w:r w:rsidRPr="006A74F8">
        <w:t>New and innovative measuring i</w:t>
      </w:r>
      <w:r w:rsidR="008F7D32" w:rsidRPr="006A74F8">
        <w:t xml:space="preserve">nstruments used for trade purposes often lack a clear </w:t>
      </w:r>
      <w:r w:rsidR="00836C3E" w:rsidRPr="006A74F8">
        <w:t xml:space="preserve">approval </w:t>
      </w:r>
      <w:r w:rsidR="008F7D32" w:rsidRPr="006A74F8">
        <w:t xml:space="preserve">path </w:t>
      </w:r>
      <w:r w:rsidR="007C492F" w:rsidRPr="006A74F8">
        <w:t xml:space="preserve">under the measurement framework </w:t>
      </w:r>
      <w:r w:rsidR="008F7D32" w:rsidRPr="006A74F8">
        <w:t>to enter the market. The</w:t>
      </w:r>
      <w:r w:rsidR="00A63D8D" w:rsidRPr="006A74F8">
        <w:t>ir</w:t>
      </w:r>
      <w:r w:rsidR="008F7D32" w:rsidRPr="006A74F8">
        <w:t xml:space="preserve"> </w:t>
      </w:r>
      <w:r w:rsidR="00836C3E" w:rsidRPr="006A74F8">
        <w:t xml:space="preserve">existing </w:t>
      </w:r>
      <w:r w:rsidR="008F7D32" w:rsidRPr="006A74F8">
        <w:t xml:space="preserve">presence in the market highlights the need to establish a legislated pathway that will be responsive to novel and emerging </w:t>
      </w:r>
      <w:r w:rsidR="00285706" w:rsidRPr="006A74F8">
        <w:t xml:space="preserve">measuring </w:t>
      </w:r>
      <w:r w:rsidR="008F7D32" w:rsidRPr="006A74F8">
        <w:t>instrument types</w:t>
      </w:r>
      <w:r w:rsidR="00813D07" w:rsidRPr="006A74F8">
        <w:t>.</w:t>
      </w:r>
      <w:r w:rsidR="00813D07" w:rsidRPr="006A74F8">
        <w:rPr>
          <w:rStyle w:val="FootnoteReference"/>
        </w:rPr>
        <w:footnoteReference w:id="111"/>
      </w:r>
      <w:r w:rsidR="00813D07" w:rsidRPr="006A74F8">
        <w:t xml:space="preserve"> </w:t>
      </w:r>
      <w:r w:rsidR="008F7D32" w:rsidRPr="006A74F8">
        <w:t xml:space="preserve"> </w:t>
      </w:r>
    </w:p>
    <w:p w:rsidR="008F7D32" w:rsidRPr="006A74F8" w:rsidRDefault="008F7D32" w:rsidP="006F428D">
      <w:r w:rsidRPr="006A74F8">
        <w:rPr>
          <w:b/>
        </w:rPr>
        <w:t xml:space="preserve">Option 1 </w:t>
      </w:r>
      <w:r w:rsidRPr="006A74F8">
        <w:t xml:space="preserve">is likely to apply an administrative solution to such challenges, e.g. an exemption or </w:t>
      </w:r>
      <w:r w:rsidR="00E71979" w:rsidRPr="006A74F8">
        <w:t xml:space="preserve">taking a regulatory posture to not compel an </w:t>
      </w:r>
      <w:r w:rsidRPr="006A74F8">
        <w:t>approval. This is an inefficient approach over time</w:t>
      </w:r>
      <w:r w:rsidR="00274AFC" w:rsidRPr="006A74F8">
        <w:t xml:space="preserve"> as it does not remove the technical barrier</w:t>
      </w:r>
      <w:r w:rsidRPr="006A74F8">
        <w:t xml:space="preserve">.  </w:t>
      </w:r>
    </w:p>
    <w:p w:rsidR="008F7D32" w:rsidRPr="006A74F8" w:rsidRDefault="008F7D32" w:rsidP="006F428D">
      <w:pPr>
        <w:rPr>
          <w:rFonts w:cstheme="minorHAnsi"/>
          <w:b/>
        </w:rPr>
      </w:pPr>
      <w:r w:rsidRPr="006A74F8">
        <w:rPr>
          <w:b/>
        </w:rPr>
        <w:lastRenderedPageBreak/>
        <w:t xml:space="preserve">Option 2 </w:t>
      </w:r>
      <w:r w:rsidRPr="006A74F8">
        <w:t xml:space="preserve">would provide legislated </w:t>
      </w:r>
      <w:r w:rsidR="00834BC6" w:rsidRPr="006A74F8">
        <w:t>mechanisms</w:t>
      </w:r>
      <w:r w:rsidRPr="006A74F8" w:rsidDel="00834BC6">
        <w:t xml:space="preserve"> </w:t>
      </w:r>
      <w:r w:rsidRPr="006A74F8">
        <w:t xml:space="preserve">to </w:t>
      </w:r>
      <w:r w:rsidR="00834BC6" w:rsidRPr="006A74F8">
        <w:t xml:space="preserve">enable </w:t>
      </w:r>
      <w:r w:rsidRPr="006A74F8">
        <w:t>engage</w:t>
      </w:r>
      <w:r w:rsidR="00834BC6" w:rsidRPr="006A74F8">
        <w:t>ment</w:t>
      </w:r>
      <w:r w:rsidRPr="006A74F8">
        <w:t xml:space="preserve"> with new</w:t>
      </w:r>
      <w:r w:rsidR="00D62384" w:rsidRPr="006A74F8">
        <w:t xml:space="preserve"> and innovative measuring instruments used</w:t>
      </w:r>
      <w:r w:rsidRPr="006A74F8">
        <w:t xml:space="preserve"> in trade and </w:t>
      </w:r>
      <w:r w:rsidR="001342BB" w:rsidRPr="006A74F8">
        <w:t xml:space="preserve">for </w:t>
      </w:r>
      <w:r w:rsidRPr="006A74F8">
        <w:t>legal purposes. This recognition within the legal metrology system will be provided under the regulations and enabled by increased</w:t>
      </w:r>
      <w:r w:rsidRPr="006A74F8">
        <w:rPr>
          <w:rFonts w:cstheme="minorHAnsi"/>
        </w:rPr>
        <w:t xml:space="preserve"> powers for the </w:t>
      </w:r>
      <w:r w:rsidRPr="006A74F8">
        <w:t xml:space="preserve">Chief Metrologist. </w:t>
      </w:r>
      <w:r w:rsidRPr="006A74F8">
        <w:rPr>
          <w:b/>
        </w:rPr>
        <w:t>Option 2</w:t>
      </w:r>
      <w:r w:rsidRPr="006A74F8">
        <w:t xml:space="preserve"> will reduce regulatory burden (and/or red tape) over time as the legislation is enabled to engage </w:t>
      </w:r>
      <w:r w:rsidR="00EE439A" w:rsidRPr="006A74F8">
        <w:t xml:space="preserve">efficiently </w:t>
      </w:r>
      <w:r w:rsidRPr="006A74F8">
        <w:t>with new measurement technologies and techniques as they come into use.</w:t>
      </w:r>
    </w:p>
    <w:p w:rsidR="008F7D32" w:rsidRPr="006A74F8" w:rsidRDefault="008F7D32" w:rsidP="006F428D">
      <w:pPr>
        <w:rPr>
          <w:b/>
        </w:rPr>
      </w:pPr>
      <w:r w:rsidRPr="006A74F8">
        <w:t xml:space="preserve">Improvements from </w:t>
      </w:r>
      <w:r w:rsidR="00033029" w:rsidRPr="006A74F8">
        <w:rPr>
          <w:b/>
        </w:rPr>
        <w:t>o</w:t>
      </w:r>
      <w:r w:rsidRPr="006A74F8">
        <w:rPr>
          <w:b/>
        </w:rPr>
        <w:t>ption 2</w:t>
      </w:r>
      <w:r w:rsidRPr="006A74F8">
        <w:t xml:space="preserve"> will </w:t>
      </w:r>
      <w:r w:rsidR="001342BB" w:rsidRPr="006A74F8">
        <w:t xml:space="preserve">also apply </w:t>
      </w:r>
      <w:r w:rsidRPr="006A74F8">
        <w:t xml:space="preserve">to </w:t>
      </w:r>
      <w:r w:rsidR="00033029" w:rsidRPr="006A74F8">
        <w:rPr>
          <w:b/>
        </w:rPr>
        <w:t>o</w:t>
      </w:r>
      <w:r w:rsidRPr="006A74F8">
        <w:rPr>
          <w:b/>
        </w:rPr>
        <w:t xml:space="preserve">ption 3 </w:t>
      </w:r>
      <w:r w:rsidRPr="006A74F8">
        <w:t xml:space="preserve">for </w:t>
      </w:r>
      <w:r w:rsidR="00D62384" w:rsidRPr="006A74F8">
        <w:t xml:space="preserve">new and innovative measuring instruments </w:t>
      </w:r>
      <w:r w:rsidRPr="006A74F8">
        <w:t xml:space="preserve">that are applied for regulatory purposes. While this may be an opportunity for </w:t>
      </w:r>
      <w:r w:rsidR="002A5E9C" w:rsidRPr="006A74F8">
        <w:t xml:space="preserve">measuring instrument </w:t>
      </w:r>
      <w:r w:rsidRPr="006A74F8">
        <w:t>manufacturers</w:t>
      </w:r>
      <w:r w:rsidR="002A5E9C" w:rsidRPr="006A74F8">
        <w:t>, importers and distributors</w:t>
      </w:r>
      <w:r w:rsidRPr="006A74F8">
        <w:t xml:space="preserve">, additional </w:t>
      </w:r>
      <w:r w:rsidR="002A5E9C" w:rsidRPr="006A74F8">
        <w:t xml:space="preserve">regulatory </w:t>
      </w:r>
      <w:r w:rsidRPr="006A74F8">
        <w:t xml:space="preserve">requirements may be imposed by other regulators </w:t>
      </w:r>
      <w:r w:rsidR="00274AFC" w:rsidRPr="006A74F8">
        <w:t xml:space="preserve">and NMI </w:t>
      </w:r>
      <w:r w:rsidR="002A5E9C" w:rsidRPr="006A74F8">
        <w:t xml:space="preserve">that </w:t>
      </w:r>
      <w:r w:rsidRPr="006A74F8">
        <w:t xml:space="preserve">may result in </w:t>
      </w:r>
      <w:r w:rsidR="00A63D8D" w:rsidRPr="006A74F8">
        <w:t xml:space="preserve">an </w:t>
      </w:r>
      <w:r w:rsidRPr="006A74F8">
        <w:t>additional cost or burden</w:t>
      </w:r>
      <w:r w:rsidRPr="006A74F8">
        <w:rPr>
          <w:b/>
        </w:rPr>
        <w:t>.</w:t>
      </w:r>
    </w:p>
    <w:p w:rsidR="008F7D32" w:rsidRPr="006A74F8" w:rsidRDefault="008F7D32" w:rsidP="006F428D">
      <w:r w:rsidRPr="006A74F8">
        <w:t>To reduce technical barriers for</w:t>
      </w:r>
      <w:r w:rsidR="00D62384" w:rsidRPr="006A74F8">
        <w:t xml:space="preserve"> new and</w:t>
      </w:r>
      <w:r w:rsidRPr="006A74F8">
        <w:t xml:space="preserve"> innovative measuring instruments in trade</w:t>
      </w:r>
      <w:r w:rsidR="00A246F1" w:rsidRPr="006A74F8">
        <w:t xml:space="preserve"> and l</w:t>
      </w:r>
      <w:r w:rsidRPr="006A74F8">
        <w:t xml:space="preserve">egal applications, </w:t>
      </w:r>
      <w:r w:rsidR="00D03B56" w:rsidRPr="006A74F8">
        <w:rPr>
          <w:b/>
        </w:rPr>
        <w:t>o</w:t>
      </w:r>
      <w:r w:rsidRPr="006A74F8">
        <w:rPr>
          <w:b/>
        </w:rPr>
        <w:t>ption 2 and 3</w:t>
      </w:r>
      <w:r w:rsidRPr="006A74F8">
        <w:t xml:space="preserve"> will introduce </w:t>
      </w:r>
      <w:r w:rsidR="00F82E40" w:rsidRPr="006A74F8">
        <w:t xml:space="preserve">greater support for </w:t>
      </w:r>
      <w:r w:rsidR="00D62384" w:rsidRPr="006A74F8">
        <w:t xml:space="preserve">these </w:t>
      </w:r>
      <w:r w:rsidRPr="006A74F8">
        <w:t>instruments</w:t>
      </w:r>
      <w:r w:rsidR="00D62384" w:rsidRPr="006A74F8">
        <w:t xml:space="preserve"> to</w:t>
      </w:r>
      <w:r w:rsidR="00F82E40" w:rsidRPr="006A74F8">
        <w:t xml:space="preserve"> include</w:t>
      </w:r>
      <w:r w:rsidRPr="006A74F8">
        <w:t>:</w:t>
      </w:r>
      <w:r w:rsidR="001342BB" w:rsidRPr="006A74F8">
        <w:rPr>
          <w:rStyle w:val="FootnoteReference"/>
        </w:rPr>
        <w:footnoteReference w:id="112"/>
      </w:r>
    </w:p>
    <w:p w:rsidR="006F428D" w:rsidRPr="006A74F8" w:rsidRDefault="00F82E40" w:rsidP="00EE439A">
      <w:pPr>
        <w:pStyle w:val="ListParagraph"/>
        <w:numPr>
          <w:ilvl w:val="0"/>
          <w:numId w:val="93"/>
        </w:numPr>
        <w:spacing w:after="120" w:line="257" w:lineRule="auto"/>
      </w:pPr>
      <w:r w:rsidRPr="006A74F8">
        <w:t xml:space="preserve">a clearer pathway for </w:t>
      </w:r>
      <w:r w:rsidR="00F052EF" w:rsidRPr="006A74F8">
        <w:t xml:space="preserve">either </w:t>
      </w:r>
      <w:r w:rsidRPr="006A74F8">
        <w:t xml:space="preserve">seeking </w:t>
      </w:r>
      <w:r w:rsidR="00834BC6" w:rsidRPr="006A74F8">
        <w:t xml:space="preserve">pattern </w:t>
      </w:r>
      <w:r w:rsidRPr="006A74F8">
        <w:t>approval and verification</w:t>
      </w:r>
      <w:r w:rsidR="009B6277" w:rsidRPr="006A74F8">
        <w:t>,</w:t>
      </w:r>
      <w:r w:rsidRPr="006A74F8">
        <w:t xml:space="preserve"> or </w:t>
      </w:r>
      <w:r w:rsidR="009B6277" w:rsidRPr="006A74F8">
        <w:t>using</w:t>
      </w:r>
      <w:r w:rsidRPr="006A74F8">
        <w:t xml:space="preserve"> alternative control mechanisms for instruments containing new technologies</w:t>
      </w:r>
    </w:p>
    <w:p w:rsidR="006F428D" w:rsidRPr="006A74F8" w:rsidRDefault="00F82E40" w:rsidP="00EE439A">
      <w:pPr>
        <w:pStyle w:val="ListParagraph"/>
        <w:numPr>
          <w:ilvl w:val="0"/>
          <w:numId w:val="93"/>
        </w:numPr>
        <w:spacing w:after="120" w:line="257" w:lineRule="auto"/>
      </w:pPr>
      <w:r w:rsidRPr="006A74F8">
        <w:t xml:space="preserve">providing increased support for </w:t>
      </w:r>
      <w:r w:rsidR="008F7D32" w:rsidRPr="006A74F8">
        <w:t xml:space="preserve">traceability </w:t>
      </w:r>
      <w:r w:rsidR="007B5581" w:rsidRPr="006A74F8">
        <w:t>pathways relevant for</w:t>
      </w:r>
      <w:r w:rsidR="008F7D32" w:rsidRPr="006A74F8">
        <w:t xml:space="preserve"> </w:t>
      </w:r>
      <w:r w:rsidR="00D62384" w:rsidRPr="006A74F8">
        <w:t>new and innovative measuring instruments</w:t>
      </w:r>
    </w:p>
    <w:p w:rsidR="00F052EF" w:rsidRPr="006A74F8" w:rsidRDefault="00F052EF" w:rsidP="00EE439A">
      <w:pPr>
        <w:pStyle w:val="ListParagraph"/>
        <w:numPr>
          <w:ilvl w:val="0"/>
          <w:numId w:val="93"/>
        </w:numPr>
        <w:spacing w:after="120" w:line="257" w:lineRule="auto"/>
      </w:pPr>
      <w:r w:rsidRPr="006A74F8">
        <w:t>regulations to support confidence, security and integrity of measurement process</w:t>
      </w:r>
      <w:r w:rsidR="00C5066B" w:rsidRPr="006A74F8">
        <w:t>es</w:t>
      </w:r>
      <w:r w:rsidRPr="006A74F8">
        <w:t xml:space="preserve"> in </w:t>
      </w:r>
      <w:r w:rsidR="00D62384" w:rsidRPr="006A74F8">
        <w:t>new and innovative measuring instruments</w:t>
      </w:r>
      <w:r w:rsidRPr="006A74F8">
        <w:t>.</w:t>
      </w:r>
    </w:p>
    <w:p w:rsidR="008F7D32" w:rsidRPr="006A74F8" w:rsidRDefault="00F052EF" w:rsidP="006F428D">
      <w:pPr>
        <w:rPr>
          <w:rFonts w:cstheme="minorHAnsi"/>
        </w:rPr>
      </w:pPr>
      <w:r w:rsidRPr="006A74F8">
        <w:rPr>
          <w:rFonts w:cstheme="minorHAnsi"/>
        </w:rPr>
        <w:t xml:space="preserve">This will create a stronger </w:t>
      </w:r>
      <w:r w:rsidRPr="006A74F8">
        <w:t>pathway for the legal assurance of measurement results from innovative measuring instruments.</w:t>
      </w:r>
      <w:r w:rsidRPr="006A74F8">
        <w:rPr>
          <w:rFonts w:cstheme="minorHAnsi"/>
        </w:rPr>
        <w:t xml:space="preserve"> </w:t>
      </w:r>
      <w:r w:rsidR="008F7D32" w:rsidRPr="006A74F8">
        <w:rPr>
          <w:rFonts w:cstheme="minorHAnsi"/>
        </w:rPr>
        <w:t xml:space="preserve">This impact is </w:t>
      </w:r>
      <w:r w:rsidR="00813D07" w:rsidRPr="006A74F8">
        <w:rPr>
          <w:rFonts w:cstheme="minorHAnsi"/>
        </w:rPr>
        <w:t xml:space="preserve">considered </w:t>
      </w:r>
      <w:r w:rsidR="008F7D32" w:rsidRPr="006A74F8">
        <w:rPr>
          <w:rFonts w:cstheme="minorHAnsi"/>
        </w:rPr>
        <w:t xml:space="preserve">to be </w:t>
      </w:r>
      <w:r w:rsidR="00813D07" w:rsidRPr="006A74F8">
        <w:rPr>
          <w:rFonts w:cstheme="minorHAnsi"/>
        </w:rPr>
        <w:t xml:space="preserve">strongly </w:t>
      </w:r>
      <w:r w:rsidR="008F7D32" w:rsidRPr="006A74F8">
        <w:rPr>
          <w:rFonts w:cstheme="minorHAnsi"/>
        </w:rPr>
        <w:t xml:space="preserve">beneficial for </w:t>
      </w:r>
      <w:r w:rsidR="00847BFB" w:rsidRPr="006A74F8">
        <w:rPr>
          <w:rFonts w:cstheme="minorHAnsi"/>
        </w:rPr>
        <w:t>measuring instrument manufacturers, importers and distributors</w:t>
      </w:r>
      <w:r w:rsidR="008F7D32" w:rsidRPr="006A74F8">
        <w:rPr>
          <w:rFonts w:cstheme="minorHAnsi"/>
        </w:rPr>
        <w:t xml:space="preserve"> as it:</w:t>
      </w:r>
    </w:p>
    <w:p w:rsidR="008F7D32" w:rsidRPr="006A74F8" w:rsidRDefault="008F7D32" w:rsidP="00834BC6">
      <w:pPr>
        <w:pStyle w:val="ListParagraph"/>
        <w:numPr>
          <w:ilvl w:val="0"/>
          <w:numId w:val="94"/>
        </w:numPr>
        <w:spacing w:after="120" w:line="257" w:lineRule="auto"/>
        <w:rPr>
          <w:rFonts w:cstheme="minorHAnsi"/>
        </w:rPr>
      </w:pPr>
      <w:r w:rsidRPr="006A74F8">
        <w:t>creates market certainty and access for manufacturers of trade/legal measuring instruments applying new technologies and technique</w:t>
      </w:r>
      <w:r w:rsidR="001342BB" w:rsidRPr="006A74F8">
        <w:t>s</w:t>
      </w:r>
    </w:p>
    <w:p w:rsidR="008F7D32" w:rsidRPr="006A74F8" w:rsidRDefault="008F7D32" w:rsidP="00834BC6">
      <w:pPr>
        <w:pStyle w:val="ListParagraph"/>
        <w:numPr>
          <w:ilvl w:val="0"/>
          <w:numId w:val="94"/>
        </w:numPr>
        <w:spacing w:after="120" w:line="257" w:lineRule="auto"/>
        <w:rPr>
          <w:rFonts w:cstheme="minorHAnsi"/>
        </w:rPr>
      </w:pPr>
      <w:r w:rsidRPr="006A74F8">
        <w:rPr>
          <w:rFonts w:cstheme="minorHAnsi"/>
        </w:rPr>
        <w:t>supports investment in emerging innovative measurement</w:t>
      </w:r>
      <w:r w:rsidR="001342BB" w:rsidRPr="006A74F8">
        <w:rPr>
          <w:rFonts w:cstheme="minorHAnsi"/>
        </w:rPr>
        <w:t xml:space="preserve"> technologies and applications </w:t>
      </w:r>
      <w:r w:rsidRPr="006A74F8">
        <w:rPr>
          <w:rFonts w:cstheme="minorHAnsi"/>
        </w:rPr>
        <w:t>th</w:t>
      </w:r>
      <w:r w:rsidR="0015782B" w:rsidRPr="006A74F8">
        <w:rPr>
          <w:rFonts w:cstheme="minorHAnsi"/>
        </w:rPr>
        <w:t>r</w:t>
      </w:r>
      <w:r w:rsidRPr="006A74F8">
        <w:rPr>
          <w:rFonts w:cstheme="minorHAnsi"/>
        </w:rPr>
        <w:t>ough clear pathways for entry to market and compliance requirements</w:t>
      </w:r>
    </w:p>
    <w:p w:rsidR="008F7D32" w:rsidRPr="006A74F8" w:rsidRDefault="008F7D32" w:rsidP="00834BC6">
      <w:pPr>
        <w:pStyle w:val="ListParagraph"/>
        <w:numPr>
          <w:ilvl w:val="0"/>
          <w:numId w:val="94"/>
        </w:numPr>
        <w:spacing w:after="120" w:line="257" w:lineRule="auto"/>
        <w:rPr>
          <w:rFonts w:cstheme="minorHAnsi"/>
        </w:rPr>
      </w:pPr>
      <w:r w:rsidRPr="006A74F8">
        <w:rPr>
          <w:rFonts w:cstheme="minorHAnsi"/>
        </w:rPr>
        <w:t>encourages the entry of innovative measuring instruments into Australia</w:t>
      </w:r>
    </w:p>
    <w:p w:rsidR="008F7D32" w:rsidRPr="006A74F8" w:rsidRDefault="008F7D32" w:rsidP="00834BC6">
      <w:pPr>
        <w:pStyle w:val="ListParagraph"/>
        <w:numPr>
          <w:ilvl w:val="0"/>
          <w:numId w:val="94"/>
        </w:numPr>
        <w:spacing w:after="120" w:line="257" w:lineRule="auto"/>
        <w:rPr>
          <w:rFonts w:cstheme="minorHAnsi"/>
        </w:rPr>
      </w:pPr>
      <w:r w:rsidRPr="006A74F8">
        <w:rPr>
          <w:rFonts w:cstheme="minorHAnsi"/>
        </w:rPr>
        <w:t>identifies mechanisms of control appropriate for instruments using new technologies and techniques.</w:t>
      </w:r>
    </w:p>
    <w:p w:rsidR="006B3FCB" w:rsidRPr="006A74F8" w:rsidRDefault="00C521E7" w:rsidP="00F670F5">
      <w:pPr>
        <w:pStyle w:val="Heading4"/>
        <w:tabs>
          <w:tab w:val="left" w:pos="1134"/>
        </w:tabs>
      </w:pPr>
      <w:r w:rsidRPr="006A74F8">
        <w:t>Changes to r</w:t>
      </w:r>
      <w:r w:rsidR="006B3FCB" w:rsidRPr="006A74F8">
        <w:t>egulatory burden</w:t>
      </w:r>
    </w:p>
    <w:p w:rsidR="00F53A13" w:rsidRPr="006A74F8" w:rsidRDefault="00F052EF" w:rsidP="006F428D">
      <w:pPr>
        <w:rPr>
          <w:rFonts w:cstheme="minorHAnsi"/>
        </w:rPr>
      </w:pPr>
      <w:r w:rsidRPr="006A74F8">
        <w:rPr>
          <w:rFonts w:cstheme="minorHAnsi"/>
        </w:rPr>
        <w:t xml:space="preserve">Instruments incorporating novel instrument technologies will have different delays for approval and entry to market depending on the nature of </w:t>
      </w:r>
      <w:r w:rsidR="0015782B" w:rsidRPr="006A74F8">
        <w:rPr>
          <w:rFonts w:cstheme="minorHAnsi"/>
        </w:rPr>
        <w:t xml:space="preserve">the </w:t>
      </w:r>
      <w:r w:rsidRPr="006A74F8">
        <w:rPr>
          <w:rFonts w:cstheme="minorHAnsi"/>
        </w:rPr>
        <w:t xml:space="preserve">current barrier in the approval path. As such it is not possible to reliably cost the changes in </w:t>
      </w:r>
      <w:r w:rsidR="00F53A13" w:rsidRPr="006A74F8">
        <w:rPr>
          <w:rFonts w:cstheme="minorHAnsi"/>
        </w:rPr>
        <w:t>regulatory burden</w:t>
      </w:r>
      <w:r w:rsidRPr="006A74F8">
        <w:rPr>
          <w:rFonts w:cstheme="minorHAnsi"/>
        </w:rPr>
        <w:t xml:space="preserve">: </w:t>
      </w:r>
    </w:p>
    <w:p w:rsidR="006F428D" w:rsidRPr="006A74F8" w:rsidRDefault="00274AFC" w:rsidP="00BC73FA">
      <w:pPr>
        <w:pStyle w:val="ListParagraph"/>
        <w:numPr>
          <w:ilvl w:val="0"/>
          <w:numId w:val="92"/>
        </w:numPr>
      </w:pPr>
      <w:r w:rsidRPr="006A74F8">
        <w:rPr>
          <w:rFonts w:cstheme="minorHAnsi"/>
        </w:rPr>
        <w:t xml:space="preserve">Under </w:t>
      </w:r>
      <w:r w:rsidR="00033029" w:rsidRPr="006A74F8">
        <w:rPr>
          <w:rFonts w:cstheme="minorHAnsi"/>
          <w:b/>
        </w:rPr>
        <w:t>o</w:t>
      </w:r>
      <w:r w:rsidRPr="006A74F8">
        <w:rPr>
          <w:rFonts w:cstheme="minorHAnsi"/>
          <w:b/>
        </w:rPr>
        <w:t>ption 1</w:t>
      </w:r>
      <w:r w:rsidRPr="006A74F8">
        <w:rPr>
          <w:rFonts w:cstheme="minorHAnsi"/>
        </w:rPr>
        <w:t xml:space="preserve">, </w:t>
      </w:r>
      <w:r w:rsidRPr="006A74F8">
        <w:t xml:space="preserve">an administrative solution would look to reduce pre-market regulatory burden and delays in time-to-market for innovative measuring instruments. </w:t>
      </w:r>
    </w:p>
    <w:p w:rsidR="006F428D" w:rsidRPr="006A74F8" w:rsidRDefault="005E0419" w:rsidP="00BC73FA">
      <w:pPr>
        <w:pStyle w:val="ListParagraph"/>
        <w:numPr>
          <w:ilvl w:val="0"/>
          <w:numId w:val="92"/>
        </w:numPr>
        <w:rPr>
          <w:rStyle w:val="Hyperlink"/>
          <w:color w:val="auto"/>
          <w:u w:val="none"/>
        </w:rPr>
      </w:pPr>
      <w:r w:rsidRPr="006A74F8">
        <w:t xml:space="preserve">The </w:t>
      </w:r>
      <w:r w:rsidR="00A246F1" w:rsidRPr="006A74F8">
        <w:t xml:space="preserve">status quo </w:t>
      </w:r>
      <w:r w:rsidRPr="006A74F8">
        <w:t xml:space="preserve">cost of pattern approval of measuring instruments is estimated to be </w:t>
      </w:r>
      <w:r w:rsidR="00E71979" w:rsidRPr="006A74F8">
        <w:t>$</w:t>
      </w:r>
      <w:r w:rsidR="00E368CE" w:rsidRPr="006A74F8">
        <w:t>0.</w:t>
      </w:r>
      <w:r w:rsidR="00E71979" w:rsidRPr="006A74F8">
        <w:t>18</w:t>
      </w:r>
      <w:r w:rsidR="00E368CE" w:rsidRPr="006A74F8">
        <w:t>m</w:t>
      </w:r>
      <w:r w:rsidR="009359F9" w:rsidRPr="006A74F8">
        <w:t xml:space="preserve"> (</w:t>
      </w:r>
      <w:r w:rsidR="00AE09BC" w:rsidRPr="006A74F8">
        <w:t xml:space="preserve">combined </w:t>
      </w:r>
      <w:r w:rsidR="009359F9" w:rsidRPr="006A74F8">
        <w:t xml:space="preserve">annual </w:t>
      </w:r>
      <w:r w:rsidR="00AE09BC" w:rsidRPr="006A74F8">
        <w:t xml:space="preserve">application </w:t>
      </w:r>
      <w:r w:rsidR="009359F9" w:rsidRPr="006A74F8">
        <w:t>cost)</w:t>
      </w:r>
      <w:r w:rsidRPr="006A74F8">
        <w:t>.</w:t>
      </w:r>
      <w:r w:rsidR="00A246F1" w:rsidRPr="006A74F8">
        <w:t xml:space="preserve"> </w:t>
      </w:r>
      <w:r w:rsidR="00274AFC" w:rsidRPr="006A74F8">
        <w:t xml:space="preserve">For an estimate of reduction in burden, </w:t>
      </w:r>
      <w:r w:rsidR="00C64325" w:rsidRPr="006A74F8">
        <w:t xml:space="preserve">Refer to </w:t>
      </w:r>
      <w:hyperlink w:anchor="_Appendix_12:_Costing" w:history="1">
        <w:r w:rsidR="00C64325" w:rsidRPr="006A74F8">
          <w:rPr>
            <w:rStyle w:val="Hyperlink"/>
          </w:rPr>
          <w:t xml:space="preserve">Appendix </w:t>
        </w:r>
        <w:r w:rsidR="00B72928" w:rsidRPr="006A74F8">
          <w:rPr>
            <w:rStyle w:val="Hyperlink"/>
          </w:rPr>
          <w:t>1</w:t>
        </w:r>
        <w:r w:rsidR="004A63D7" w:rsidRPr="006A74F8">
          <w:rPr>
            <w:rStyle w:val="Hyperlink"/>
          </w:rPr>
          <w:t>1</w:t>
        </w:r>
        <w:r w:rsidR="00C64325" w:rsidRPr="006A74F8">
          <w:rPr>
            <w:rStyle w:val="Hyperlink"/>
          </w:rPr>
          <w:t xml:space="preserve">: Costing the regulatory </w:t>
        </w:r>
        <w:r w:rsidR="00C11B00" w:rsidRPr="006A74F8">
          <w:rPr>
            <w:rStyle w:val="Hyperlink"/>
          </w:rPr>
          <w:t>burden from pattern approval</w:t>
        </w:r>
      </w:hyperlink>
      <w:r w:rsidR="00C11B00" w:rsidRPr="006A74F8">
        <w:rPr>
          <w:rStyle w:val="Hyperlink"/>
        </w:rPr>
        <w:t>.</w:t>
      </w:r>
    </w:p>
    <w:p w:rsidR="006F428D" w:rsidRPr="006A74F8" w:rsidRDefault="00394DC2" w:rsidP="00BC73FA">
      <w:pPr>
        <w:pStyle w:val="ListParagraph"/>
        <w:numPr>
          <w:ilvl w:val="0"/>
          <w:numId w:val="92"/>
        </w:numPr>
        <w:rPr>
          <w:rFonts w:cstheme="minorHAnsi"/>
        </w:rPr>
      </w:pPr>
      <w:r w:rsidRPr="006A74F8">
        <w:rPr>
          <w:rFonts w:cstheme="minorHAnsi"/>
        </w:rPr>
        <w:t xml:space="preserve">Under </w:t>
      </w:r>
      <w:r w:rsidR="00033029" w:rsidRPr="006A74F8">
        <w:rPr>
          <w:rFonts w:cstheme="minorHAnsi"/>
          <w:b/>
        </w:rPr>
        <w:t>o</w:t>
      </w:r>
      <w:r w:rsidRPr="006A74F8">
        <w:rPr>
          <w:rFonts w:cstheme="minorHAnsi"/>
          <w:b/>
        </w:rPr>
        <w:t>ption 2</w:t>
      </w:r>
      <w:r w:rsidRPr="006A74F8">
        <w:rPr>
          <w:rFonts w:cstheme="minorHAnsi"/>
        </w:rPr>
        <w:t xml:space="preserve">, the </w:t>
      </w:r>
      <w:r w:rsidR="001D6A92" w:rsidRPr="006A74F8">
        <w:rPr>
          <w:rFonts w:cstheme="minorHAnsi"/>
        </w:rPr>
        <w:t xml:space="preserve">change in </w:t>
      </w:r>
      <w:r w:rsidRPr="006A74F8">
        <w:rPr>
          <w:rFonts w:cstheme="minorHAnsi"/>
        </w:rPr>
        <w:t xml:space="preserve">regulatory burden would </w:t>
      </w:r>
      <w:r w:rsidR="00C521E7" w:rsidRPr="006A74F8">
        <w:rPr>
          <w:rFonts w:cstheme="minorHAnsi"/>
        </w:rPr>
        <w:t>be determined</w:t>
      </w:r>
      <w:r w:rsidRPr="006A74F8">
        <w:rPr>
          <w:rFonts w:cstheme="minorHAnsi"/>
        </w:rPr>
        <w:t xml:space="preserve"> </w:t>
      </w:r>
      <w:r w:rsidRPr="006A74F8">
        <w:t xml:space="preserve">over time as innovative measuring instruments come into use. </w:t>
      </w:r>
      <w:r w:rsidR="008F7D32" w:rsidRPr="006A74F8">
        <w:rPr>
          <w:rFonts w:cstheme="minorHAnsi"/>
        </w:rPr>
        <w:t xml:space="preserve">The regulatory burden on </w:t>
      </w:r>
      <w:r w:rsidR="00BC73FA" w:rsidRPr="006A74F8">
        <w:rPr>
          <w:rFonts w:cstheme="minorHAnsi"/>
        </w:rPr>
        <w:t xml:space="preserve">measuring instrument </w:t>
      </w:r>
      <w:r w:rsidR="008F7D32" w:rsidRPr="006A74F8">
        <w:rPr>
          <w:rFonts w:cstheme="minorHAnsi"/>
        </w:rPr>
        <w:t>manufacturers</w:t>
      </w:r>
      <w:r w:rsidR="00BC73FA" w:rsidRPr="006A74F8">
        <w:rPr>
          <w:rFonts w:cstheme="minorHAnsi"/>
        </w:rPr>
        <w:t>, importers and distributors</w:t>
      </w:r>
      <w:r w:rsidR="008F7D32" w:rsidRPr="006A74F8">
        <w:rPr>
          <w:rFonts w:cstheme="minorHAnsi"/>
        </w:rPr>
        <w:t xml:space="preserve"> would involve controls commensurate to </w:t>
      </w:r>
      <w:r w:rsidR="00B00556" w:rsidRPr="006A74F8">
        <w:rPr>
          <w:rFonts w:cstheme="minorHAnsi"/>
        </w:rPr>
        <w:t xml:space="preserve">the </w:t>
      </w:r>
      <w:r w:rsidR="008F7D32" w:rsidRPr="006A74F8">
        <w:rPr>
          <w:rFonts w:cstheme="minorHAnsi"/>
        </w:rPr>
        <w:t>risk associated with the use of new technologies and techniques</w:t>
      </w:r>
      <w:r w:rsidR="001342BB" w:rsidRPr="006A74F8">
        <w:rPr>
          <w:rFonts w:cstheme="minorHAnsi"/>
        </w:rPr>
        <w:t xml:space="preserve">. </w:t>
      </w:r>
      <w:r w:rsidR="00DB0E15" w:rsidRPr="006A74F8">
        <w:rPr>
          <w:rFonts w:cstheme="minorHAnsi"/>
        </w:rPr>
        <w:t xml:space="preserve">For those </w:t>
      </w:r>
      <w:r w:rsidR="00DB0E15" w:rsidRPr="006A74F8">
        <w:rPr>
          <w:rFonts w:cstheme="minorHAnsi"/>
        </w:rPr>
        <w:lastRenderedPageBreak/>
        <w:t xml:space="preserve">instruments where there is a </w:t>
      </w:r>
      <w:r w:rsidR="001342BB" w:rsidRPr="006A74F8">
        <w:rPr>
          <w:rFonts w:cstheme="minorHAnsi"/>
        </w:rPr>
        <w:t>barrier</w:t>
      </w:r>
      <w:r w:rsidR="00DB0E15" w:rsidRPr="006A74F8">
        <w:rPr>
          <w:rFonts w:cstheme="minorHAnsi"/>
        </w:rPr>
        <w:t xml:space="preserve"> to obtaining pattern approval under the status quo due to an incomplete pathway, this may result in significant decrease in time for novel instruments to get to market. </w:t>
      </w:r>
    </w:p>
    <w:p w:rsidR="00085D78" w:rsidRPr="006A74F8" w:rsidRDefault="00394DC2" w:rsidP="00BC73FA">
      <w:pPr>
        <w:pStyle w:val="ListParagraph"/>
        <w:numPr>
          <w:ilvl w:val="0"/>
          <w:numId w:val="92"/>
        </w:numPr>
        <w:rPr>
          <w:rFonts w:cstheme="minorHAnsi"/>
        </w:rPr>
      </w:pPr>
      <w:r w:rsidRPr="006A74F8">
        <w:rPr>
          <w:rFonts w:cstheme="minorHAnsi"/>
          <w:b/>
        </w:rPr>
        <w:t>Option 3</w:t>
      </w:r>
      <w:r w:rsidR="00FE0562" w:rsidRPr="006A74F8">
        <w:rPr>
          <w:rFonts w:cstheme="minorHAnsi"/>
          <w:b/>
        </w:rPr>
        <w:t xml:space="preserve"> </w:t>
      </w:r>
      <w:r w:rsidR="00FE0562" w:rsidRPr="006A74F8">
        <w:rPr>
          <w:rFonts w:cstheme="minorHAnsi"/>
        </w:rPr>
        <w:t>is as for option 2</w:t>
      </w:r>
      <w:r w:rsidR="001D6A92" w:rsidRPr="006A74F8">
        <w:rPr>
          <w:rFonts w:cstheme="minorHAnsi"/>
        </w:rPr>
        <w:t xml:space="preserve"> </w:t>
      </w:r>
      <w:r w:rsidR="00FE0562" w:rsidRPr="006A74F8">
        <w:rPr>
          <w:rFonts w:cstheme="minorHAnsi"/>
        </w:rPr>
        <w:t>and</w:t>
      </w:r>
      <w:r w:rsidR="00FE0562" w:rsidRPr="006A74F8">
        <w:rPr>
          <w:rFonts w:cstheme="minorHAnsi"/>
          <w:b/>
        </w:rPr>
        <w:t xml:space="preserve"> </w:t>
      </w:r>
      <w:r w:rsidR="001D6A92" w:rsidRPr="006A74F8">
        <w:rPr>
          <w:rFonts w:cstheme="minorHAnsi"/>
        </w:rPr>
        <w:t>also introduce</w:t>
      </w:r>
      <w:r w:rsidR="009359F9" w:rsidRPr="006A74F8">
        <w:rPr>
          <w:rFonts w:cstheme="minorHAnsi"/>
        </w:rPr>
        <w:t>s</w:t>
      </w:r>
      <w:r w:rsidRPr="006A74F8">
        <w:rPr>
          <w:rFonts w:cstheme="minorHAnsi"/>
        </w:rPr>
        <w:t xml:space="preserve"> </w:t>
      </w:r>
      <w:r w:rsidR="001D6A92" w:rsidRPr="006A74F8">
        <w:rPr>
          <w:rFonts w:cstheme="minorHAnsi"/>
        </w:rPr>
        <w:t xml:space="preserve">the potential for </w:t>
      </w:r>
      <w:r w:rsidRPr="006A74F8">
        <w:t xml:space="preserve">additional regulatory requirements </w:t>
      </w:r>
      <w:r w:rsidR="001D6A92" w:rsidRPr="006A74F8">
        <w:t xml:space="preserve">to </w:t>
      </w:r>
      <w:r w:rsidRPr="006A74F8">
        <w:t xml:space="preserve">be imposed </w:t>
      </w:r>
      <w:r w:rsidR="001D6A92" w:rsidRPr="006A74F8">
        <w:t xml:space="preserve">to support </w:t>
      </w:r>
      <w:r w:rsidRPr="006A74F8">
        <w:t>other regulators</w:t>
      </w:r>
      <w:r w:rsidR="001D6A92" w:rsidRPr="006A74F8">
        <w:t>. This</w:t>
      </w:r>
      <w:r w:rsidRPr="006A74F8">
        <w:t xml:space="preserve"> may result in additional cost or burden upon manufacturers</w:t>
      </w:r>
      <w:r w:rsidR="00BC73FA" w:rsidRPr="006A74F8">
        <w:t>, importers and distributors</w:t>
      </w:r>
      <w:r w:rsidRPr="006A74F8">
        <w:t xml:space="preserve"> for</w:t>
      </w:r>
      <w:r w:rsidRPr="006A74F8">
        <w:rPr>
          <w:rFonts w:cstheme="minorHAnsi"/>
        </w:rPr>
        <w:t xml:space="preserve"> measuring instruments used for other regulatory purposes.  </w:t>
      </w:r>
    </w:p>
    <w:p w:rsidR="00394DC2" w:rsidRPr="006A74F8" w:rsidRDefault="00085D78" w:rsidP="00085D78">
      <w:pPr>
        <w:rPr>
          <w:rFonts w:cstheme="minorHAnsi"/>
        </w:rPr>
      </w:pPr>
      <w:r w:rsidRPr="006A74F8">
        <w:rPr>
          <w:rFonts w:cstheme="minorHAnsi"/>
        </w:rPr>
        <w:br w:type="page"/>
      </w:r>
    </w:p>
    <w:p w:rsidR="000D1CF3" w:rsidRPr="006A74F8" w:rsidRDefault="000D1CF3" w:rsidP="00586A20">
      <w:pPr>
        <w:pStyle w:val="Heading1"/>
        <w:ind w:left="709" w:hanging="709"/>
      </w:pPr>
      <w:bookmarkStart w:id="2196" w:name="_Appendix_7:_Impacts"/>
      <w:bookmarkStart w:id="2197" w:name="_Toc63062606"/>
      <w:bookmarkStart w:id="2198" w:name="_Ref63104390"/>
      <w:bookmarkStart w:id="2199" w:name="_Toc64558466"/>
      <w:bookmarkStart w:id="2200" w:name="_Toc64557486"/>
      <w:bookmarkStart w:id="2201" w:name="_Toc64562211"/>
      <w:bookmarkStart w:id="2202" w:name="_Toc64562467"/>
      <w:bookmarkStart w:id="2203" w:name="_Toc64640260"/>
      <w:bookmarkStart w:id="2204" w:name="_Toc64641230"/>
      <w:bookmarkStart w:id="2205" w:name="_Toc64647172"/>
      <w:bookmarkStart w:id="2206" w:name="_Toc64888344"/>
      <w:bookmarkStart w:id="2207" w:name="_Toc64888718"/>
      <w:bookmarkStart w:id="2208" w:name="_Toc64892993"/>
      <w:bookmarkStart w:id="2209" w:name="_Toc64895664"/>
      <w:bookmarkStart w:id="2210" w:name="_Toc64900890"/>
      <w:bookmarkStart w:id="2211" w:name="_Toc64903137"/>
      <w:bookmarkStart w:id="2212" w:name="_Toc64904095"/>
      <w:bookmarkStart w:id="2213" w:name="_Toc64904298"/>
      <w:bookmarkStart w:id="2214" w:name="_Toc64904760"/>
      <w:bookmarkStart w:id="2215" w:name="_Toc64905274"/>
      <w:bookmarkStart w:id="2216" w:name="_Toc64964023"/>
      <w:bookmarkStart w:id="2217" w:name="_Toc64974640"/>
      <w:bookmarkStart w:id="2218" w:name="_Toc64976322"/>
      <w:bookmarkStart w:id="2219" w:name="_Toc65149702"/>
      <w:bookmarkStart w:id="2220" w:name="_Toc65163457"/>
      <w:bookmarkStart w:id="2221" w:name="_Toc65491097"/>
      <w:bookmarkStart w:id="2222" w:name="_Toc65504833"/>
      <w:bookmarkStart w:id="2223" w:name="_Toc65757916"/>
      <w:bookmarkStart w:id="2224" w:name="_Toc65769511"/>
      <w:bookmarkStart w:id="2225" w:name="_Toc65766879"/>
      <w:bookmarkStart w:id="2226" w:name="_Toc65772653"/>
      <w:bookmarkStart w:id="2227" w:name="_Toc66435710"/>
      <w:bookmarkStart w:id="2228" w:name="_Toc66436499"/>
      <w:bookmarkStart w:id="2229" w:name="_Toc66437710"/>
      <w:bookmarkStart w:id="2230" w:name="_Toc66440049"/>
      <w:bookmarkStart w:id="2231" w:name="_Toc66442252"/>
      <w:bookmarkStart w:id="2232" w:name="_Toc66451921"/>
      <w:bookmarkStart w:id="2233" w:name="_Toc66459198"/>
      <w:bookmarkStart w:id="2234" w:name="_Toc66460252"/>
      <w:bookmarkStart w:id="2235" w:name="_Toc67305400"/>
      <w:bookmarkStart w:id="2236" w:name="_Toc67306314"/>
      <w:bookmarkStart w:id="2237" w:name="_Toc67306764"/>
      <w:bookmarkStart w:id="2238" w:name="_Toc67313616"/>
      <w:bookmarkStart w:id="2239" w:name="_Toc67320809"/>
      <w:bookmarkStart w:id="2240" w:name="_Toc67321962"/>
      <w:bookmarkStart w:id="2241" w:name="_Toc67324427"/>
      <w:bookmarkStart w:id="2242" w:name="_Toc67326588"/>
      <w:bookmarkStart w:id="2243" w:name="_Toc67649126"/>
      <w:bookmarkStart w:id="2244" w:name="_Toc67650110"/>
      <w:bookmarkStart w:id="2245" w:name="_Toc67650365"/>
      <w:bookmarkStart w:id="2246" w:name="_Toc67650657"/>
      <w:bookmarkStart w:id="2247" w:name="_Toc67652977"/>
      <w:bookmarkStart w:id="2248" w:name="_Toc67653062"/>
      <w:bookmarkStart w:id="2249" w:name="_Toc67653494"/>
      <w:bookmarkStart w:id="2250" w:name="_Toc67653557"/>
      <w:bookmarkStart w:id="2251" w:name="_Toc67649974"/>
      <w:bookmarkStart w:id="2252" w:name="_Toc67654060"/>
      <w:bookmarkStart w:id="2253" w:name="_Toc67654367"/>
      <w:bookmarkStart w:id="2254" w:name="_Toc67654584"/>
      <w:bookmarkStart w:id="2255" w:name="_Toc67656191"/>
      <w:bookmarkStart w:id="2256" w:name="_Toc67656953"/>
      <w:bookmarkStart w:id="2257" w:name="_Toc67659252"/>
      <w:bookmarkStart w:id="2258" w:name="_Toc67659753"/>
      <w:bookmarkStart w:id="2259" w:name="_Toc67661720"/>
      <w:bookmarkStart w:id="2260" w:name="_Toc67662811"/>
      <w:bookmarkStart w:id="2261" w:name="_Toc67662952"/>
      <w:bookmarkStart w:id="2262" w:name="_Toc67664458"/>
      <w:bookmarkStart w:id="2263" w:name="_Toc67667185"/>
      <w:bookmarkStart w:id="2264" w:name="_Toc67668258"/>
      <w:bookmarkStart w:id="2265" w:name="_Toc67669165"/>
      <w:bookmarkStart w:id="2266" w:name="_Toc67665776"/>
      <w:bookmarkStart w:id="2267" w:name="_Toc67912165"/>
      <w:bookmarkStart w:id="2268" w:name="_Toc67922246"/>
      <w:bookmarkStart w:id="2269" w:name="_Toc67929105"/>
      <w:bookmarkStart w:id="2270" w:name="_Toc67929399"/>
      <w:bookmarkStart w:id="2271" w:name="_Toc67929624"/>
      <w:bookmarkStart w:id="2272" w:name="_Toc67927101"/>
      <w:bookmarkStart w:id="2273" w:name="_Toc68011266"/>
      <w:bookmarkStart w:id="2274" w:name="_Toc68011324"/>
      <w:bookmarkStart w:id="2275" w:name="_Toc81919627"/>
      <w:bookmarkStart w:id="2276" w:name="_Toc81919901"/>
      <w:bookmarkStart w:id="2277" w:name="_Toc81921174"/>
      <w:bookmarkStart w:id="2278" w:name="_Toc81923743"/>
      <w:bookmarkStart w:id="2279" w:name="_Toc81923776"/>
      <w:bookmarkStart w:id="2280" w:name="_Toc81997317"/>
      <w:bookmarkStart w:id="2281" w:name="_Toc81998090"/>
      <w:bookmarkStart w:id="2282" w:name="_Toc82011850"/>
      <w:bookmarkStart w:id="2283" w:name="_Toc82512700"/>
      <w:bookmarkStart w:id="2284" w:name="_Toc82516168"/>
      <w:bookmarkStart w:id="2285" w:name="_Toc82519115"/>
      <w:bookmarkStart w:id="2286" w:name="_Toc82706653"/>
      <w:bookmarkStart w:id="2287" w:name="_Toc82790542"/>
      <w:bookmarkStart w:id="2288" w:name="_Toc82791061"/>
      <w:bookmarkStart w:id="2289" w:name="_Toc82792372"/>
      <w:bookmarkStart w:id="2290" w:name="_Toc83290754"/>
      <w:bookmarkStart w:id="2291" w:name="_Toc83292763"/>
      <w:bookmarkStart w:id="2292" w:name="_Toc83293534"/>
      <w:bookmarkEnd w:id="2196"/>
      <w:r w:rsidRPr="006A74F8">
        <w:lastRenderedPageBreak/>
        <w:t xml:space="preserve">Appendix </w:t>
      </w:r>
      <w:r w:rsidR="00266F0F" w:rsidRPr="006A74F8">
        <w:t>6</w:t>
      </w:r>
      <w:r w:rsidRPr="006A74F8">
        <w:t xml:space="preserve">: </w:t>
      </w:r>
      <w:r w:rsidR="0083664B" w:rsidRPr="006A74F8">
        <w:t>Impact</w:t>
      </w:r>
      <w:r w:rsidR="00E1215A" w:rsidRPr="006A74F8">
        <w:t>s</w:t>
      </w:r>
      <w:r w:rsidR="0083664B" w:rsidRPr="006A74F8">
        <w:t xml:space="preserve"> on</w:t>
      </w:r>
      <w:r w:rsidRPr="006A74F8">
        <w:t xml:space="preserve"> Authorised Third Parties</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rsidR="00515BA2" w:rsidRPr="006A74F8" w:rsidRDefault="00592F6C" w:rsidP="006F428D">
      <w:pPr>
        <w:pStyle w:val="Heading2"/>
      </w:pPr>
      <w:bookmarkStart w:id="2293" w:name="_Toc64895665"/>
      <w:bookmarkStart w:id="2294" w:name="_Toc64900891"/>
      <w:bookmarkStart w:id="2295" w:name="_Toc64903138"/>
      <w:bookmarkStart w:id="2296" w:name="_Toc64904096"/>
      <w:bookmarkStart w:id="2297" w:name="_Toc64904299"/>
      <w:bookmarkStart w:id="2298" w:name="_Toc64904761"/>
      <w:bookmarkStart w:id="2299" w:name="_Toc64905275"/>
      <w:bookmarkStart w:id="2300" w:name="_Toc64964024"/>
      <w:bookmarkStart w:id="2301" w:name="_Toc64974641"/>
      <w:bookmarkStart w:id="2302" w:name="_Toc64976323"/>
      <w:bookmarkStart w:id="2303" w:name="_Toc65149703"/>
      <w:bookmarkStart w:id="2304" w:name="_Toc67390611"/>
      <w:r w:rsidRPr="006A74F8">
        <w:t xml:space="preserve"> </w:t>
      </w:r>
      <w:r w:rsidR="00515BA2" w:rsidRPr="006A74F8">
        <w:t>Key impacts on industry – Authorised Third Parties</w:t>
      </w:r>
      <w:bookmarkEnd w:id="2293"/>
      <w:bookmarkEnd w:id="2294"/>
      <w:bookmarkEnd w:id="2295"/>
      <w:bookmarkEnd w:id="2296"/>
      <w:bookmarkEnd w:id="2297"/>
      <w:bookmarkEnd w:id="2298"/>
      <w:bookmarkEnd w:id="2299"/>
      <w:bookmarkEnd w:id="2300"/>
      <w:bookmarkEnd w:id="2301"/>
      <w:bookmarkEnd w:id="2302"/>
      <w:bookmarkEnd w:id="2303"/>
      <w:bookmarkEnd w:id="2304"/>
    </w:p>
    <w:p w:rsidR="003B5BE3" w:rsidRPr="006A74F8" w:rsidRDefault="003B5BE3" w:rsidP="003B5BE3">
      <w:pPr>
        <w:pStyle w:val="Caption"/>
        <w:keepNext/>
      </w:pPr>
      <w:r w:rsidRPr="006A74F8">
        <w:t xml:space="preserve">Table </w:t>
      </w:r>
      <w:r w:rsidR="00EC60A1" w:rsidRPr="006A74F8">
        <w:t>A6</w:t>
      </w:r>
      <w:r w:rsidRPr="006A74F8">
        <w:t xml:space="preserve">- </w:t>
      </w:r>
      <w:r w:rsidR="00480B0E">
        <w:fldChar w:fldCharType="begin"/>
      </w:r>
      <w:r w:rsidR="00480B0E">
        <w:instrText xml:space="preserve"> SEQ Table_A7- \* ARABIC </w:instrText>
      </w:r>
      <w:r w:rsidR="00480B0E">
        <w:fldChar w:fldCharType="separate"/>
      </w:r>
      <w:r w:rsidR="0033017F">
        <w:rPr>
          <w:noProof/>
        </w:rPr>
        <w:t>1</w:t>
      </w:r>
      <w:r w:rsidR="00480B0E">
        <w:fldChar w:fldCharType="end"/>
      </w:r>
      <w:r w:rsidRPr="006A74F8">
        <w:t xml:space="preserve">: </w:t>
      </w:r>
      <w:r w:rsidR="00D124F0" w:rsidRPr="006A74F8">
        <w:t>Summary of k</w:t>
      </w:r>
      <w:r w:rsidRPr="006A74F8">
        <w:t xml:space="preserve">ey impacts on </w:t>
      </w:r>
      <w:r w:rsidR="00856E0C" w:rsidRPr="006A74F8">
        <w:t xml:space="preserve">industry – </w:t>
      </w:r>
      <w:r w:rsidRPr="006A74F8">
        <w:t>Authorised Third Parties</w:t>
      </w:r>
    </w:p>
    <w:tbl>
      <w:tblPr>
        <w:tblStyle w:val="PlainTable2"/>
        <w:tblW w:w="8875" w:type="dxa"/>
        <w:tblLayout w:type="fixed"/>
        <w:tblLook w:val="04A0" w:firstRow="1" w:lastRow="0" w:firstColumn="1" w:lastColumn="0" w:noHBand="0" w:noVBand="1"/>
        <w:tblCaption w:val="Table A7- 1: Key impacts on industry - Authorised Third Parties (ATPs)"/>
        <w:tblDescription w:val="Appointment types are streamlined and more flexible. Option 1 rated +1, slight beneficial. Options 2 and 3 are rated +2, moderate benefit. &#10;Simplification and merger of appointment types: Under option 1, Certifying Authorities and Verifying Authorities are merged, while UMVs are merged with Servicing Licensees. This will align appointment types with similar functions, reducing administrative costs and simplifying arrangements for some ATPs. Under options 2 and 3 there is a single appointment type with details such as scope of appointment and conditions specified in the appointment documents. This provides greater flexibility in appointment type, enables appointment based on skillset, and would support emerging measurement needs and innovative instrument types.&#10;&#10;Fit for purpose competency pathways for ATPs. Options 1 to 3 are rated +1, slight beneficial. &#10;Across all options ATPs will continue to be appointed on the basis of competency or fitness to perform the task expected of them. NMI will have the flexibility to set the competency framework that is most appropriate to the role that a particular type of ATP will perform.  In some instances this may reduce the cost and time burden associated with maintaining multiple qualifications or accreditations in order to demonstrate competency.&#10;&#10;Flexibility where formal ATP appointment not appropriate. Option 1 is rated 0, neutral. Options 2 and 3 are rated +1, slight beneficial. General Licences: In future under options 2 and 3, a general licence could provide flexibility provide a mechanism offering a lower level of regulatory oversight than ATP appointment.  This more accessible approach may be applied to certain activities and functions where formal appointment is not appropriate.  Where this is an activity already covered by an ATP appointment, this would lead to reduced regulatory burden.  Where this is an activity not already covered by an ATP appointment this may increase regulatory burden. &#10;&#10;Additional reporting requirements for UMVs and LMAs leading to increased measurement confidence. Options 1 to 3 are rated -1, slight adverse.&#10;Common reporting requirements: UMVs (under all options) and LMAs (options 2 and 3) will be required to report to NMI after providing measurement services. There would be some level of administrative cost in doing so, however, this is not expected to be significant as UMVs and LMAs already have the information that would need to be reported. These changes would follow a transition period and development of an appropriate reporting framework.&#10;&#10;Average. Option 1 is rated +0.25, slight beneficial. Options 2 and 3 are rated +0.75, slight beneficial. &#10;Options 2 and 3 provide for ATPs to have a more flexible and innovative approach in their regulated activities and to reduce regulatory compliance costs. Regulation of ATPs will be streamlined in all three options and will reduce regulatory burden.&#10;&#10;Note: Under option 3 the regulatory requirements for ATPs may expand in to non–trade areas.  Where this occurs this may result in additional regulatory burden as compared with option 2. &#10;Note: Under option 3 the regulatory requirements for ATPs may expand in to non–trade areas.  Where this occurs this may result in additional regulatory burden as compared with option 2.&#10;"/>
      </w:tblPr>
      <w:tblGrid>
        <w:gridCol w:w="1830"/>
        <w:gridCol w:w="722"/>
        <w:gridCol w:w="709"/>
        <w:gridCol w:w="708"/>
        <w:gridCol w:w="4906"/>
      </w:tblGrid>
      <w:tr w:rsidR="00737490" w:rsidRPr="006A74F8" w:rsidTr="00176A9A">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12" w:space="0" w:color="auto"/>
            </w:tcBorders>
            <w:vAlign w:val="center"/>
          </w:tcPr>
          <w:p w:rsidR="00737490" w:rsidRPr="006A74F8" w:rsidRDefault="00737490" w:rsidP="00737490">
            <w:r w:rsidRPr="006A74F8">
              <w:t>Impact</w:t>
            </w:r>
          </w:p>
        </w:tc>
        <w:tc>
          <w:tcPr>
            <w:tcW w:w="2139" w:type="dxa"/>
            <w:gridSpan w:val="3"/>
            <w:tcBorders>
              <w:top w:val="single" w:sz="12" w:space="0" w:color="auto"/>
              <w:bottom w:val="nil"/>
            </w:tcBorders>
            <w:vAlign w:val="center"/>
          </w:tcPr>
          <w:p w:rsidR="00737490" w:rsidRPr="006A74F8" w:rsidRDefault="00737490" w:rsidP="00737490">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4906" w:type="dxa"/>
            <w:vMerge w:val="restart"/>
            <w:tcBorders>
              <w:top w:val="single" w:sz="12" w:space="0" w:color="auto"/>
            </w:tcBorders>
            <w:vAlign w:val="center"/>
          </w:tcPr>
          <w:p w:rsidR="00737490" w:rsidRPr="006A74F8" w:rsidRDefault="00737490" w:rsidP="00737490">
            <w:pPr>
              <w:cnfStyle w:val="100000000000" w:firstRow="1" w:lastRow="0" w:firstColumn="0" w:lastColumn="0" w:oddVBand="0" w:evenVBand="0" w:oddHBand="0" w:evenHBand="0" w:firstRowFirstColumn="0" w:firstRowLastColumn="0" w:lastRowFirstColumn="0" w:lastRowLastColumn="0"/>
            </w:pPr>
            <w:r w:rsidRPr="006A74F8">
              <w:t>Explanation</w:t>
            </w:r>
          </w:p>
        </w:tc>
      </w:tr>
      <w:tr w:rsidR="00737490" w:rsidRPr="006A74F8" w:rsidTr="00176A9A">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30" w:type="dxa"/>
            <w:vMerge/>
            <w:tcBorders>
              <w:bottom w:val="double" w:sz="4" w:space="0" w:color="auto"/>
            </w:tcBorders>
          </w:tcPr>
          <w:p w:rsidR="00737490" w:rsidRPr="006A74F8" w:rsidRDefault="00737490" w:rsidP="00737490"/>
        </w:tc>
        <w:tc>
          <w:tcPr>
            <w:tcW w:w="722" w:type="dxa"/>
            <w:tcBorders>
              <w:top w:val="nil"/>
              <w:bottom w:val="double" w:sz="4" w:space="0" w:color="auto"/>
            </w:tcBorders>
          </w:tcPr>
          <w:p w:rsidR="00737490" w:rsidRPr="006A74F8"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709" w:type="dxa"/>
            <w:tcBorders>
              <w:top w:val="nil"/>
              <w:bottom w:val="double" w:sz="4" w:space="0" w:color="auto"/>
            </w:tcBorders>
          </w:tcPr>
          <w:p w:rsidR="00737490" w:rsidRPr="006A74F8"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708" w:type="dxa"/>
            <w:tcBorders>
              <w:top w:val="nil"/>
              <w:bottom w:val="double" w:sz="4" w:space="0" w:color="auto"/>
            </w:tcBorders>
          </w:tcPr>
          <w:p w:rsidR="00737490" w:rsidRPr="006A74F8"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4906" w:type="dxa"/>
            <w:vMerge/>
            <w:tcBorders>
              <w:bottom w:val="double" w:sz="4" w:space="0" w:color="auto"/>
            </w:tcBorders>
          </w:tcPr>
          <w:p w:rsidR="00737490" w:rsidRPr="006A74F8" w:rsidRDefault="00737490" w:rsidP="00737490">
            <w:pPr>
              <w:cnfStyle w:val="100000000000" w:firstRow="1" w:lastRow="0" w:firstColumn="0" w:lastColumn="0" w:oddVBand="0" w:evenVBand="0" w:oddHBand="0" w:evenHBand="0" w:firstRowFirstColumn="0" w:firstRowLastColumn="0" w:lastRowFirstColumn="0" w:lastRowLastColumn="0"/>
            </w:pPr>
          </w:p>
        </w:tc>
      </w:tr>
      <w:tr w:rsidR="00737490" w:rsidRPr="006A74F8"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Borders>
              <w:top w:val="double" w:sz="4" w:space="0" w:color="auto"/>
            </w:tcBorders>
            <w:vAlign w:val="center"/>
          </w:tcPr>
          <w:p w:rsidR="00737490" w:rsidRPr="006A74F8" w:rsidRDefault="00737490" w:rsidP="00737490">
            <w:pPr>
              <w:rPr>
                <w:rFonts w:asciiTheme="majorHAnsi" w:eastAsia="Calibri" w:hAnsiTheme="majorHAnsi" w:cstheme="majorHAnsi"/>
                <w:b w:val="0"/>
                <w:sz w:val="20"/>
                <w:szCs w:val="20"/>
              </w:rPr>
            </w:pPr>
            <w:r w:rsidRPr="006A74F8">
              <w:rPr>
                <w:rFonts w:asciiTheme="majorHAnsi" w:hAnsiTheme="majorHAnsi" w:cstheme="majorHAnsi"/>
                <w:b w:val="0"/>
                <w:sz w:val="20"/>
                <w:szCs w:val="20"/>
              </w:rPr>
              <w:t xml:space="preserve">Appointment types are streamlined and </w:t>
            </w:r>
            <w:r w:rsidR="00DE13F0" w:rsidRPr="006A74F8">
              <w:rPr>
                <w:rFonts w:asciiTheme="majorHAnsi" w:hAnsiTheme="majorHAnsi" w:cstheme="majorHAnsi"/>
                <w:b w:val="0"/>
                <w:sz w:val="20"/>
                <w:szCs w:val="20"/>
              </w:rPr>
              <w:t xml:space="preserve">offer future </w:t>
            </w:r>
            <w:r w:rsidRPr="006A74F8">
              <w:rPr>
                <w:rFonts w:asciiTheme="majorHAnsi" w:hAnsiTheme="majorHAnsi" w:cstheme="majorHAnsi"/>
                <w:b w:val="0"/>
                <w:sz w:val="20"/>
                <w:szCs w:val="20"/>
              </w:rPr>
              <w:t>flexible</w:t>
            </w:r>
          </w:p>
        </w:tc>
        <w:tc>
          <w:tcPr>
            <w:tcW w:w="722" w:type="dxa"/>
            <w:tcBorders>
              <w:top w:val="double" w:sz="4" w:space="0" w:color="auto"/>
              <w:right w:val="single" w:sz="4" w:space="0" w:color="FFFFFF" w:themeColor="background1"/>
            </w:tcBorders>
            <w:shd w:val="clear" w:color="auto" w:fill="ACD7CA"/>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shd w:val="clear" w:color="auto" w:fill="ACD7CA"/>
              </w:rPr>
              <w:t>+1</w:t>
            </w:r>
          </w:p>
        </w:tc>
        <w:tc>
          <w:tcPr>
            <w:tcW w:w="709" w:type="dxa"/>
            <w:tcBorders>
              <w:top w:val="double" w:sz="4" w:space="0" w:color="auto"/>
              <w:left w:val="single" w:sz="4" w:space="0" w:color="FFFFFF" w:themeColor="background1"/>
              <w:right w:val="single" w:sz="4" w:space="0" w:color="FFFFFF" w:themeColor="background1"/>
            </w:tcBorders>
            <w:shd w:val="clear" w:color="auto" w:fill="398E98"/>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+2</w:t>
            </w:r>
          </w:p>
        </w:tc>
        <w:tc>
          <w:tcPr>
            <w:tcW w:w="708" w:type="dxa"/>
            <w:tcBorders>
              <w:top w:val="double" w:sz="4" w:space="0" w:color="auto"/>
              <w:left w:val="single" w:sz="4" w:space="0" w:color="FFFFFF" w:themeColor="background1"/>
            </w:tcBorders>
            <w:shd w:val="clear" w:color="auto" w:fill="398E98"/>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+2*</w:t>
            </w:r>
          </w:p>
        </w:tc>
        <w:tc>
          <w:tcPr>
            <w:tcW w:w="4906" w:type="dxa"/>
            <w:tcBorders>
              <w:top w:val="double" w:sz="4" w:space="0" w:color="auto"/>
            </w:tcBorders>
            <w:vAlign w:val="center"/>
          </w:tcPr>
          <w:p w:rsidR="00737490" w:rsidRPr="006A74F8" w:rsidRDefault="00737490" w:rsidP="00737490">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 xml:space="preserve">Simplification and merger of appointment types: </w:t>
            </w:r>
            <w:r w:rsidRPr="006A74F8">
              <w:rPr>
                <w:rFonts w:asciiTheme="majorHAnsi" w:hAnsiTheme="majorHAnsi" w:cstheme="majorHAnsi"/>
                <w:sz w:val="20"/>
                <w:szCs w:val="20"/>
              </w:rPr>
              <w:t xml:space="preserve">Under </w:t>
            </w:r>
            <w:r w:rsidRPr="006A74F8">
              <w:rPr>
                <w:rFonts w:asciiTheme="majorHAnsi" w:hAnsiTheme="majorHAnsi" w:cstheme="majorHAnsi"/>
                <w:b/>
                <w:sz w:val="20"/>
                <w:szCs w:val="20"/>
              </w:rPr>
              <w:t>option 1</w:t>
            </w:r>
            <w:r w:rsidRPr="006A74F8">
              <w:rPr>
                <w:rFonts w:asciiTheme="majorHAnsi" w:hAnsiTheme="majorHAnsi" w:cstheme="majorHAnsi"/>
                <w:sz w:val="20"/>
                <w:szCs w:val="20"/>
              </w:rPr>
              <w:t xml:space="preserve">, Certifying Authorities and Verifying Authorities are merged, while UMVs are merged with Servicing Licensees. This will align appointment types with similar functions, reducing administrative costs and simplifying arrangements for some ATPs. Under </w:t>
            </w:r>
            <w:r w:rsidRPr="006A74F8">
              <w:rPr>
                <w:rFonts w:asciiTheme="majorHAnsi" w:hAnsiTheme="majorHAnsi" w:cstheme="majorHAnsi"/>
                <w:b/>
                <w:sz w:val="20"/>
                <w:szCs w:val="20"/>
              </w:rPr>
              <w:t>options 2 and 3</w:t>
            </w:r>
            <w:r w:rsidRPr="006A74F8">
              <w:rPr>
                <w:rFonts w:asciiTheme="majorHAnsi" w:hAnsiTheme="majorHAnsi" w:cstheme="majorHAnsi"/>
                <w:sz w:val="20"/>
                <w:szCs w:val="20"/>
              </w:rPr>
              <w:t xml:space="preserve"> there is a single </w:t>
            </w:r>
            <w:r w:rsidR="003A3A9E" w:rsidRPr="006A74F8">
              <w:rPr>
                <w:rFonts w:asciiTheme="majorHAnsi" w:hAnsiTheme="majorHAnsi" w:cstheme="majorHAnsi"/>
                <w:sz w:val="20"/>
                <w:szCs w:val="20"/>
              </w:rPr>
              <w:t xml:space="preserve">legislative </w:t>
            </w:r>
            <w:r w:rsidR="00DE13F0" w:rsidRPr="006A74F8">
              <w:rPr>
                <w:rFonts w:asciiTheme="majorHAnsi" w:hAnsiTheme="majorHAnsi" w:cstheme="majorHAnsi"/>
                <w:sz w:val="20"/>
                <w:szCs w:val="20"/>
              </w:rPr>
              <w:t xml:space="preserve">mechanism to appoint ATPs to perform distinct functions </w:t>
            </w:r>
            <w:r w:rsidRPr="006A74F8">
              <w:rPr>
                <w:rFonts w:asciiTheme="majorHAnsi" w:hAnsiTheme="majorHAnsi" w:cstheme="majorHAnsi"/>
                <w:sz w:val="20"/>
                <w:szCs w:val="20"/>
              </w:rPr>
              <w:t xml:space="preserve">specified in the </w:t>
            </w:r>
            <w:r w:rsidR="00DE13F0" w:rsidRPr="006A74F8">
              <w:rPr>
                <w:rFonts w:asciiTheme="majorHAnsi" w:hAnsiTheme="majorHAnsi" w:cstheme="majorHAnsi"/>
                <w:sz w:val="20"/>
                <w:szCs w:val="20"/>
              </w:rPr>
              <w:t>regulations</w:t>
            </w:r>
            <w:r w:rsidRPr="006A74F8">
              <w:rPr>
                <w:rFonts w:asciiTheme="majorHAnsi" w:hAnsiTheme="majorHAnsi" w:cstheme="majorHAnsi"/>
                <w:sz w:val="20"/>
                <w:szCs w:val="20"/>
              </w:rPr>
              <w:t>.</w:t>
            </w:r>
            <w:r w:rsidRPr="006A74F8">
              <w:rPr>
                <w:rFonts w:asciiTheme="majorHAnsi" w:eastAsia="Calibri" w:hAnsiTheme="majorHAnsi" w:cstheme="majorHAnsi"/>
                <w:sz w:val="20"/>
                <w:szCs w:val="20"/>
              </w:rPr>
              <w:t xml:space="preserve"> </w:t>
            </w:r>
            <w:r w:rsidR="00EC6871" w:rsidRPr="006A74F8">
              <w:rPr>
                <w:rFonts w:asciiTheme="majorHAnsi" w:eastAsia="Calibri" w:hAnsiTheme="majorHAnsi" w:cstheme="majorHAnsi"/>
                <w:sz w:val="20"/>
                <w:szCs w:val="20"/>
              </w:rPr>
              <w:t>Ability to appoint ATPs to perform “general functions”</w:t>
            </w:r>
            <w:r w:rsidRPr="006A74F8">
              <w:rPr>
                <w:rFonts w:asciiTheme="majorHAnsi" w:hAnsiTheme="majorHAnsi" w:cstheme="majorHAnsi"/>
                <w:sz w:val="20"/>
                <w:szCs w:val="20"/>
              </w:rPr>
              <w:t xml:space="preserve"> provides greater flexibility </w:t>
            </w:r>
            <w:r w:rsidR="00EC6871" w:rsidRPr="006A74F8">
              <w:rPr>
                <w:rFonts w:asciiTheme="majorHAnsi" w:hAnsiTheme="majorHAnsi" w:cstheme="majorHAnsi"/>
                <w:sz w:val="20"/>
                <w:szCs w:val="20"/>
              </w:rPr>
              <w:t>to accommodate future measurement functions and activities</w:t>
            </w:r>
            <w:r w:rsidRPr="006A74F8">
              <w:rPr>
                <w:rFonts w:asciiTheme="majorHAnsi" w:hAnsiTheme="majorHAnsi" w:cstheme="majorHAnsi"/>
                <w:sz w:val="20"/>
                <w:szCs w:val="20"/>
              </w:rPr>
              <w:t xml:space="preserve"> </w:t>
            </w:r>
            <w:r w:rsidR="00EC6871" w:rsidRPr="006A74F8">
              <w:rPr>
                <w:rFonts w:asciiTheme="majorHAnsi" w:hAnsiTheme="majorHAnsi" w:cstheme="majorHAnsi"/>
                <w:sz w:val="20"/>
                <w:szCs w:val="20"/>
              </w:rPr>
              <w:t xml:space="preserve">to </w:t>
            </w:r>
            <w:r w:rsidRPr="006A74F8">
              <w:rPr>
                <w:rFonts w:asciiTheme="majorHAnsi" w:hAnsiTheme="majorHAnsi" w:cstheme="majorHAnsi"/>
                <w:sz w:val="20"/>
                <w:szCs w:val="20"/>
              </w:rPr>
              <w:t>support emerging measurement needs and innovative instrument types.</w:t>
            </w:r>
          </w:p>
        </w:tc>
      </w:tr>
      <w:tr w:rsidR="00737490" w:rsidRPr="006A74F8" w:rsidTr="00176A9A">
        <w:tc>
          <w:tcPr>
            <w:cnfStyle w:val="001000000000" w:firstRow="0" w:lastRow="0" w:firstColumn="1" w:lastColumn="0" w:oddVBand="0" w:evenVBand="0" w:oddHBand="0" w:evenHBand="0" w:firstRowFirstColumn="0" w:firstRowLastColumn="0" w:lastRowFirstColumn="0" w:lastRowLastColumn="0"/>
            <w:tcW w:w="1830" w:type="dxa"/>
            <w:vAlign w:val="center"/>
          </w:tcPr>
          <w:p w:rsidR="00737490" w:rsidRPr="006A74F8" w:rsidRDefault="00737490" w:rsidP="00737490">
            <w:pPr>
              <w:rPr>
                <w:rFonts w:asciiTheme="majorHAnsi" w:eastAsia="Calibri" w:hAnsiTheme="majorHAnsi" w:cstheme="majorHAnsi"/>
                <w:b w:val="0"/>
                <w:sz w:val="20"/>
                <w:szCs w:val="20"/>
              </w:rPr>
            </w:pPr>
            <w:r w:rsidRPr="006A74F8">
              <w:rPr>
                <w:rFonts w:asciiTheme="majorHAnsi" w:hAnsiTheme="majorHAnsi" w:cstheme="majorHAnsi"/>
                <w:b w:val="0"/>
                <w:sz w:val="20"/>
                <w:szCs w:val="20"/>
              </w:rPr>
              <w:t>Fit for purpose competency pathways for ATPs</w:t>
            </w:r>
          </w:p>
        </w:tc>
        <w:tc>
          <w:tcPr>
            <w:tcW w:w="722" w:type="dxa"/>
            <w:tcBorders>
              <w:right w:val="single" w:sz="4" w:space="0" w:color="FFFFFF" w:themeColor="background1"/>
            </w:tcBorders>
            <w:shd w:val="clear" w:color="auto" w:fill="ACD7CA"/>
            <w:vAlign w:val="center"/>
          </w:tcPr>
          <w:p w:rsidR="00737490" w:rsidRPr="006A74F8"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w:t>
            </w:r>
          </w:p>
        </w:tc>
        <w:tc>
          <w:tcPr>
            <w:tcW w:w="709" w:type="dxa"/>
            <w:tcBorders>
              <w:left w:val="single" w:sz="4" w:space="0" w:color="FFFFFF" w:themeColor="background1"/>
              <w:right w:val="single" w:sz="4" w:space="0" w:color="FFFFFF" w:themeColor="background1"/>
            </w:tcBorders>
            <w:shd w:val="clear" w:color="auto" w:fill="ACD7CA"/>
            <w:vAlign w:val="center"/>
          </w:tcPr>
          <w:p w:rsidR="00737490" w:rsidRPr="006A74F8"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w:t>
            </w:r>
          </w:p>
        </w:tc>
        <w:tc>
          <w:tcPr>
            <w:tcW w:w="708" w:type="dxa"/>
            <w:tcBorders>
              <w:left w:val="single" w:sz="4" w:space="0" w:color="FFFFFF" w:themeColor="background1"/>
            </w:tcBorders>
            <w:shd w:val="clear" w:color="auto" w:fill="ACD7CA"/>
            <w:vAlign w:val="center"/>
          </w:tcPr>
          <w:p w:rsidR="00737490" w:rsidRPr="006A74F8"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w:t>
            </w:r>
          </w:p>
        </w:tc>
        <w:tc>
          <w:tcPr>
            <w:tcW w:w="4906" w:type="dxa"/>
            <w:vAlign w:val="center"/>
          </w:tcPr>
          <w:p w:rsidR="00737490" w:rsidRPr="006A74F8" w:rsidRDefault="00737490" w:rsidP="00737490">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Fit for purpose competency pathways for ATPs</w:t>
            </w:r>
            <w:r w:rsidRPr="006A74F8">
              <w:rPr>
                <w:rFonts w:asciiTheme="majorHAnsi" w:hAnsiTheme="majorHAnsi" w:cstheme="majorHAnsi"/>
                <w:sz w:val="20"/>
                <w:szCs w:val="20"/>
              </w:rPr>
              <w:t xml:space="preserve">: Across </w:t>
            </w:r>
            <w:r w:rsidRPr="006A74F8">
              <w:rPr>
                <w:rFonts w:asciiTheme="majorHAnsi" w:hAnsiTheme="majorHAnsi" w:cstheme="majorHAnsi"/>
                <w:b/>
                <w:sz w:val="20"/>
                <w:szCs w:val="20"/>
              </w:rPr>
              <w:t>all options</w:t>
            </w:r>
            <w:r w:rsidRPr="006A74F8">
              <w:rPr>
                <w:rFonts w:asciiTheme="majorHAnsi" w:hAnsiTheme="majorHAnsi" w:cstheme="majorHAnsi"/>
                <w:sz w:val="20"/>
                <w:szCs w:val="20"/>
              </w:rPr>
              <w:t xml:space="preserve"> ATPs will continue to be appointed on the basis of competency or fitness to perform the task expected of them. </w:t>
            </w:r>
            <w:r w:rsidR="00B5063F" w:rsidRPr="006A74F8">
              <w:rPr>
                <w:rFonts w:asciiTheme="majorHAnsi" w:hAnsiTheme="majorHAnsi" w:cstheme="majorHAnsi"/>
                <w:sz w:val="20"/>
                <w:szCs w:val="20"/>
              </w:rPr>
              <w:t xml:space="preserve">Some </w:t>
            </w:r>
            <w:r w:rsidRPr="006A74F8">
              <w:rPr>
                <w:rFonts w:asciiTheme="majorHAnsi" w:hAnsiTheme="majorHAnsi" w:cstheme="majorHAnsi"/>
                <w:sz w:val="20"/>
                <w:szCs w:val="20"/>
              </w:rPr>
              <w:t xml:space="preserve">flexibility </w:t>
            </w:r>
            <w:r w:rsidR="00B5063F" w:rsidRPr="006A74F8">
              <w:rPr>
                <w:rFonts w:asciiTheme="majorHAnsi" w:hAnsiTheme="majorHAnsi" w:cstheme="majorHAnsi"/>
                <w:sz w:val="20"/>
                <w:szCs w:val="20"/>
              </w:rPr>
              <w:t xml:space="preserve">introduced as </w:t>
            </w:r>
            <w:r w:rsidRPr="006A74F8">
              <w:rPr>
                <w:rFonts w:asciiTheme="majorHAnsi" w:hAnsiTheme="majorHAnsi" w:cstheme="majorHAnsi"/>
                <w:sz w:val="20"/>
                <w:szCs w:val="20"/>
              </w:rPr>
              <w:t xml:space="preserve">to </w:t>
            </w:r>
            <w:r w:rsidR="00B5063F" w:rsidRPr="006A74F8">
              <w:rPr>
                <w:rFonts w:asciiTheme="majorHAnsi" w:hAnsiTheme="majorHAnsi" w:cstheme="majorHAnsi"/>
                <w:sz w:val="20"/>
                <w:szCs w:val="20"/>
              </w:rPr>
              <w:t>how competency can be demonstrated</w:t>
            </w:r>
            <w:r w:rsidRPr="006A74F8">
              <w:rPr>
                <w:rFonts w:asciiTheme="majorHAnsi" w:hAnsiTheme="majorHAnsi" w:cstheme="majorHAnsi"/>
                <w:sz w:val="20"/>
                <w:szCs w:val="20"/>
              </w:rPr>
              <w:t xml:space="preserve"> to </w:t>
            </w:r>
            <w:r w:rsidR="00B5063F" w:rsidRPr="006A74F8">
              <w:rPr>
                <w:rFonts w:asciiTheme="majorHAnsi" w:hAnsiTheme="majorHAnsi" w:cstheme="majorHAnsi"/>
                <w:sz w:val="20"/>
                <w:szCs w:val="20"/>
              </w:rPr>
              <w:t>accommodate future needs.</w:t>
            </w:r>
            <w:r w:rsidRPr="006A74F8">
              <w:rPr>
                <w:rFonts w:asciiTheme="majorHAnsi" w:hAnsiTheme="majorHAnsi" w:cstheme="majorHAnsi"/>
                <w:sz w:val="20"/>
                <w:szCs w:val="20"/>
              </w:rPr>
              <w:t xml:space="preserve"> </w:t>
            </w:r>
            <w:r w:rsidR="00B5063F" w:rsidRPr="006A74F8">
              <w:rPr>
                <w:rFonts w:asciiTheme="majorHAnsi" w:hAnsiTheme="majorHAnsi" w:cstheme="majorHAnsi"/>
                <w:sz w:val="20"/>
                <w:szCs w:val="20"/>
              </w:rPr>
              <w:t>Simplification of appointments and reduction in the number of licensing subclass categories</w:t>
            </w:r>
            <w:r w:rsidRPr="006A74F8">
              <w:rPr>
                <w:rFonts w:asciiTheme="majorHAnsi" w:hAnsiTheme="majorHAnsi" w:cstheme="majorHAnsi"/>
                <w:sz w:val="20"/>
                <w:szCs w:val="20"/>
              </w:rPr>
              <w:t xml:space="preserve"> may reduce the cost and time burden associated with maintaining multiple qualifications.</w:t>
            </w:r>
          </w:p>
        </w:tc>
      </w:tr>
      <w:tr w:rsidR="00737490" w:rsidRPr="006A74F8"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vAlign w:val="center"/>
          </w:tcPr>
          <w:p w:rsidR="00737490" w:rsidRPr="006A74F8" w:rsidRDefault="0059047C" w:rsidP="00737490">
            <w:pPr>
              <w:rPr>
                <w:rFonts w:asciiTheme="majorHAnsi" w:eastAsia="Calibri" w:hAnsiTheme="majorHAnsi" w:cstheme="majorHAnsi"/>
                <w:b w:val="0"/>
                <w:sz w:val="20"/>
                <w:szCs w:val="20"/>
              </w:rPr>
            </w:pPr>
            <w:r w:rsidRPr="006A74F8">
              <w:rPr>
                <w:rFonts w:asciiTheme="majorHAnsi" w:hAnsiTheme="majorHAnsi" w:cstheme="majorHAnsi"/>
                <w:b w:val="0"/>
                <w:sz w:val="20"/>
                <w:szCs w:val="20"/>
              </w:rPr>
              <w:t>General licences offer future f</w:t>
            </w:r>
            <w:r w:rsidR="00737490" w:rsidRPr="006A74F8">
              <w:rPr>
                <w:rFonts w:asciiTheme="majorHAnsi" w:hAnsiTheme="majorHAnsi" w:cstheme="majorHAnsi"/>
                <w:b w:val="0"/>
                <w:sz w:val="20"/>
                <w:szCs w:val="20"/>
              </w:rPr>
              <w:t>lexibility where formal ATP appointment not appropriate</w:t>
            </w:r>
          </w:p>
        </w:tc>
        <w:tc>
          <w:tcPr>
            <w:tcW w:w="722" w:type="dxa"/>
            <w:tcBorders>
              <w:right w:val="single" w:sz="4" w:space="0" w:color="FFFFFF" w:themeColor="background1"/>
            </w:tcBorders>
            <w:shd w:val="clear" w:color="auto" w:fill="FFFFC5"/>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w:t>
            </w:r>
          </w:p>
        </w:tc>
        <w:tc>
          <w:tcPr>
            <w:tcW w:w="709" w:type="dxa"/>
            <w:tcBorders>
              <w:left w:val="single" w:sz="4" w:space="0" w:color="FFFFFF" w:themeColor="background1"/>
              <w:right w:val="single" w:sz="4" w:space="0" w:color="FFFFFF" w:themeColor="background1"/>
            </w:tcBorders>
            <w:shd w:val="clear" w:color="auto" w:fill="ACD7CA"/>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+1</w:t>
            </w:r>
          </w:p>
        </w:tc>
        <w:tc>
          <w:tcPr>
            <w:tcW w:w="708" w:type="dxa"/>
            <w:tcBorders>
              <w:left w:val="single" w:sz="4" w:space="0" w:color="FFFFFF" w:themeColor="background1"/>
            </w:tcBorders>
            <w:shd w:val="clear" w:color="auto" w:fill="ACD7CA"/>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+1</w:t>
            </w:r>
          </w:p>
        </w:tc>
        <w:tc>
          <w:tcPr>
            <w:tcW w:w="4906" w:type="dxa"/>
            <w:vAlign w:val="center"/>
          </w:tcPr>
          <w:p w:rsidR="00737490" w:rsidRPr="006A74F8" w:rsidRDefault="00737490" w:rsidP="003F42BD">
            <w:pPr>
              <w:spacing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A74F8">
              <w:rPr>
                <w:rFonts w:asciiTheme="majorHAnsi" w:hAnsiTheme="majorHAnsi" w:cstheme="majorHAnsi"/>
                <w:b/>
                <w:sz w:val="20"/>
                <w:szCs w:val="20"/>
              </w:rPr>
              <w:t>General Licences</w:t>
            </w:r>
            <w:r w:rsidRPr="006A74F8">
              <w:rPr>
                <w:rFonts w:asciiTheme="majorHAnsi" w:hAnsiTheme="majorHAnsi" w:cstheme="majorHAnsi"/>
                <w:sz w:val="20"/>
                <w:szCs w:val="20"/>
              </w:rPr>
              <w:t xml:space="preserve">: </w:t>
            </w:r>
            <w:r w:rsidRPr="006A74F8" w:rsidDel="003F42BD">
              <w:rPr>
                <w:rFonts w:asciiTheme="majorHAnsi" w:hAnsiTheme="majorHAnsi" w:cstheme="majorHAnsi"/>
                <w:sz w:val="20"/>
                <w:szCs w:val="20"/>
              </w:rPr>
              <w:t xml:space="preserve">In future </w:t>
            </w:r>
            <w:r w:rsidRPr="006A74F8">
              <w:rPr>
                <w:rFonts w:asciiTheme="majorHAnsi" w:hAnsiTheme="majorHAnsi" w:cstheme="majorHAnsi"/>
                <w:sz w:val="20"/>
                <w:szCs w:val="20"/>
              </w:rPr>
              <w:t xml:space="preserve">under </w:t>
            </w:r>
            <w:r w:rsidRPr="006A74F8">
              <w:rPr>
                <w:rFonts w:asciiTheme="majorHAnsi" w:hAnsiTheme="majorHAnsi" w:cstheme="majorHAnsi"/>
                <w:b/>
                <w:sz w:val="20"/>
                <w:szCs w:val="20"/>
              </w:rPr>
              <w:t>options 2 and 3</w:t>
            </w:r>
            <w:r w:rsidRPr="006A74F8">
              <w:rPr>
                <w:rFonts w:asciiTheme="majorHAnsi" w:hAnsiTheme="majorHAnsi" w:cstheme="majorHAnsi"/>
                <w:sz w:val="20"/>
                <w:szCs w:val="20"/>
              </w:rPr>
              <w:t>, a general licence could provide a mechanism offering a lower level of regulatory oversight than ATP appointmen</w:t>
            </w:r>
            <w:r w:rsidR="00E43B9F" w:rsidRPr="006A74F8">
              <w:rPr>
                <w:rFonts w:asciiTheme="majorHAnsi" w:hAnsiTheme="majorHAnsi" w:cstheme="majorHAnsi"/>
                <w:sz w:val="20"/>
                <w:szCs w:val="20"/>
              </w:rPr>
              <w:t xml:space="preserve">t. </w:t>
            </w:r>
            <w:r w:rsidRPr="006A74F8">
              <w:rPr>
                <w:rFonts w:asciiTheme="majorHAnsi" w:hAnsiTheme="majorHAnsi" w:cstheme="majorHAnsi"/>
                <w:sz w:val="20"/>
                <w:szCs w:val="20"/>
              </w:rPr>
              <w:t>This more accessible approach may be applied to certain activities and functions where formal appointment is not appropriate.</w:t>
            </w:r>
            <w:r w:rsidR="00E43B9F" w:rsidRPr="006A74F8">
              <w:rPr>
                <w:rFonts w:asciiTheme="majorHAnsi" w:hAnsiTheme="majorHAnsi" w:cstheme="majorHAnsi"/>
                <w:sz w:val="20"/>
                <w:szCs w:val="20"/>
              </w:rPr>
              <w:t xml:space="preserve"> </w:t>
            </w:r>
            <w:r w:rsidRPr="006A74F8">
              <w:rPr>
                <w:rFonts w:asciiTheme="majorHAnsi" w:hAnsiTheme="majorHAnsi" w:cstheme="majorHAnsi"/>
                <w:sz w:val="20"/>
                <w:szCs w:val="20"/>
              </w:rPr>
              <w:t>Where this is an activity already covered by an ATP appointment, this would lead</w:t>
            </w:r>
            <w:r w:rsidR="00E43B9F" w:rsidRPr="006A74F8">
              <w:rPr>
                <w:rFonts w:asciiTheme="majorHAnsi" w:hAnsiTheme="majorHAnsi" w:cstheme="majorHAnsi"/>
                <w:sz w:val="20"/>
                <w:szCs w:val="20"/>
              </w:rPr>
              <w:t xml:space="preserve"> to reduced regulatory burden. </w:t>
            </w:r>
            <w:r w:rsidRPr="006A74F8">
              <w:rPr>
                <w:rFonts w:asciiTheme="majorHAnsi" w:hAnsiTheme="majorHAnsi" w:cstheme="majorHAnsi"/>
                <w:sz w:val="20"/>
                <w:szCs w:val="20"/>
              </w:rPr>
              <w:t>Where this is an activity not already covered by an</w:t>
            </w:r>
            <w:r w:rsidR="00E43B9F" w:rsidRPr="006A74F8">
              <w:rPr>
                <w:rFonts w:asciiTheme="majorHAnsi" w:hAnsiTheme="majorHAnsi" w:cstheme="majorHAnsi"/>
                <w:sz w:val="20"/>
                <w:szCs w:val="20"/>
              </w:rPr>
              <w:t xml:space="preserve"> </w:t>
            </w:r>
            <w:r w:rsidRPr="006A74F8">
              <w:rPr>
                <w:rFonts w:asciiTheme="majorHAnsi" w:hAnsiTheme="majorHAnsi" w:cstheme="majorHAnsi"/>
                <w:sz w:val="20"/>
                <w:szCs w:val="20"/>
              </w:rPr>
              <w:t xml:space="preserve">ATP appointment this may increase regulatory burden. </w:t>
            </w:r>
          </w:p>
        </w:tc>
      </w:tr>
      <w:tr w:rsidR="00737490" w:rsidRPr="006A74F8" w:rsidTr="00176A9A">
        <w:tc>
          <w:tcPr>
            <w:cnfStyle w:val="001000000000" w:firstRow="0" w:lastRow="0" w:firstColumn="1" w:lastColumn="0" w:oddVBand="0" w:evenVBand="0" w:oddHBand="0" w:evenHBand="0" w:firstRowFirstColumn="0" w:firstRowLastColumn="0" w:lastRowFirstColumn="0" w:lastRowLastColumn="0"/>
            <w:tcW w:w="1830" w:type="dxa"/>
            <w:vAlign w:val="center"/>
          </w:tcPr>
          <w:p w:rsidR="00737490" w:rsidRPr="006A74F8" w:rsidRDefault="00737490" w:rsidP="00737490">
            <w:pPr>
              <w:rPr>
                <w:rFonts w:asciiTheme="majorHAnsi" w:eastAsia="Calibri" w:hAnsiTheme="majorHAnsi" w:cstheme="majorHAnsi"/>
                <w:b w:val="0"/>
                <w:sz w:val="20"/>
                <w:szCs w:val="20"/>
              </w:rPr>
            </w:pPr>
            <w:r w:rsidRPr="006A74F8">
              <w:rPr>
                <w:rFonts w:asciiTheme="majorHAnsi" w:hAnsiTheme="majorHAnsi" w:cstheme="majorHAnsi"/>
                <w:b w:val="0"/>
                <w:sz w:val="20"/>
                <w:szCs w:val="20"/>
              </w:rPr>
              <w:t>Additional reporting requirements for UMVs and LMAs leading to increased measurement confidence</w:t>
            </w:r>
          </w:p>
        </w:tc>
        <w:tc>
          <w:tcPr>
            <w:tcW w:w="722" w:type="dxa"/>
            <w:tcBorders>
              <w:right w:val="single" w:sz="4" w:space="0" w:color="FFFFFF" w:themeColor="background1"/>
            </w:tcBorders>
            <w:shd w:val="clear" w:color="auto" w:fill="FFBC79"/>
            <w:vAlign w:val="center"/>
          </w:tcPr>
          <w:p w:rsidR="00737490" w:rsidRPr="006A74F8"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w:t>
            </w:r>
          </w:p>
        </w:tc>
        <w:tc>
          <w:tcPr>
            <w:tcW w:w="709" w:type="dxa"/>
            <w:tcBorders>
              <w:left w:val="single" w:sz="4" w:space="0" w:color="FFFFFF" w:themeColor="background1"/>
              <w:right w:val="single" w:sz="4" w:space="0" w:color="FFFFFF" w:themeColor="background1"/>
            </w:tcBorders>
            <w:shd w:val="clear" w:color="auto" w:fill="FFBC79"/>
            <w:vAlign w:val="center"/>
          </w:tcPr>
          <w:p w:rsidR="00737490" w:rsidRPr="006A74F8"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w:t>
            </w:r>
          </w:p>
        </w:tc>
        <w:tc>
          <w:tcPr>
            <w:tcW w:w="708" w:type="dxa"/>
            <w:tcBorders>
              <w:left w:val="single" w:sz="4" w:space="0" w:color="FFFFFF" w:themeColor="background1"/>
            </w:tcBorders>
            <w:shd w:val="clear" w:color="auto" w:fill="FFBC79"/>
            <w:vAlign w:val="center"/>
          </w:tcPr>
          <w:p w:rsidR="00737490" w:rsidRPr="006A74F8"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-1*</w:t>
            </w:r>
          </w:p>
        </w:tc>
        <w:tc>
          <w:tcPr>
            <w:tcW w:w="4906" w:type="dxa"/>
            <w:vAlign w:val="center"/>
          </w:tcPr>
          <w:p w:rsidR="00737490" w:rsidRPr="006A74F8" w:rsidRDefault="00737490" w:rsidP="00737490">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Common reporting requirements</w:t>
            </w:r>
            <w:r w:rsidRPr="006A74F8">
              <w:rPr>
                <w:rFonts w:asciiTheme="majorHAnsi" w:hAnsiTheme="majorHAnsi" w:cstheme="majorHAnsi"/>
                <w:sz w:val="20"/>
                <w:szCs w:val="20"/>
              </w:rPr>
              <w:t xml:space="preserve">: UMVs (under </w:t>
            </w:r>
            <w:r w:rsidRPr="006A74F8">
              <w:rPr>
                <w:rFonts w:asciiTheme="majorHAnsi" w:hAnsiTheme="majorHAnsi" w:cstheme="majorHAnsi"/>
                <w:b/>
                <w:sz w:val="20"/>
                <w:szCs w:val="20"/>
              </w:rPr>
              <w:t>all options</w:t>
            </w:r>
            <w:r w:rsidRPr="006A74F8">
              <w:rPr>
                <w:rFonts w:asciiTheme="majorHAnsi" w:hAnsiTheme="majorHAnsi" w:cstheme="majorHAnsi"/>
                <w:sz w:val="20"/>
                <w:szCs w:val="20"/>
              </w:rPr>
              <w:t>) and LMAs (</w:t>
            </w:r>
            <w:r w:rsidRPr="006A74F8">
              <w:rPr>
                <w:rFonts w:asciiTheme="majorHAnsi" w:hAnsiTheme="majorHAnsi" w:cstheme="majorHAnsi"/>
                <w:b/>
                <w:sz w:val="20"/>
                <w:szCs w:val="20"/>
              </w:rPr>
              <w:t>options 2 and 3</w:t>
            </w:r>
            <w:r w:rsidRPr="006A74F8">
              <w:rPr>
                <w:rFonts w:asciiTheme="majorHAnsi" w:hAnsiTheme="majorHAnsi" w:cstheme="majorHAnsi"/>
                <w:sz w:val="20"/>
                <w:szCs w:val="20"/>
              </w:rPr>
              <w:t>) will be required to report to NMI after providing measurement services. There would be some level of administrative cost in doing so, however, this is not expected to be significant as UMVs and LMAs</w:t>
            </w:r>
            <w:r w:rsidRPr="006A74F8" w:rsidDel="00AE14F0">
              <w:rPr>
                <w:rFonts w:asciiTheme="majorHAnsi" w:hAnsiTheme="majorHAnsi" w:cstheme="majorHAnsi"/>
                <w:sz w:val="20"/>
                <w:szCs w:val="20"/>
              </w:rPr>
              <w:t xml:space="preserve"> </w:t>
            </w:r>
            <w:r w:rsidRPr="006A74F8">
              <w:rPr>
                <w:rFonts w:asciiTheme="majorHAnsi" w:hAnsiTheme="majorHAnsi" w:cstheme="majorHAnsi"/>
                <w:sz w:val="20"/>
                <w:szCs w:val="20"/>
              </w:rPr>
              <w:t xml:space="preserve">already have the information that would need to be reported. These changes would follow </w:t>
            </w:r>
            <w:r w:rsidRPr="006A74F8">
              <w:rPr>
                <w:rFonts w:asciiTheme="majorHAnsi" w:hAnsiTheme="majorHAnsi" w:cstheme="majorHAnsi"/>
                <w:sz w:val="20"/>
                <w:szCs w:val="20"/>
              </w:rPr>
              <w:lastRenderedPageBreak/>
              <w:t>a transition period and development of an appropriate reporting framework.</w:t>
            </w:r>
          </w:p>
        </w:tc>
      </w:tr>
      <w:tr w:rsidR="00737490" w:rsidRPr="006A74F8"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Borders>
              <w:bottom w:val="single" w:sz="12" w:space="0" w:color="auto"/>
            </w:tcBorders>
            <w:vAlign w:val="center"/>
          </w:tcPr>
          <w:p w:rsidR="00737490" w:rsidRPr="006A74F8" w:rsidRDefault="00737490" w:rsidP="00737490">
            <w:pPr>
              <w:rPr>
                <w:rFonts w:asciiTheme="majorHAnsi" w:eastAsia="Calibri" w:hAnsiTheme="majorHAnsi" w:cstheme="majorHAnsi"/>
                <w:sz w:val="20"/>
                <w:szCs w:val="20"/>
              </w:rPr>
            </w:pPr>
            <w:r w:rsidRPr="006A74F8">
              <w:rPr>
                <w:rFonts w:asciiTheme="majorHAnsi" w:eastAsia="Calibri" w:hAnsiTheme="majorHAnsi" w:cstheme="majorHAnsi"/>
                <w:sz w:val="20"/>
                <w:szCs w:val="20"/>
              </w:rPr>
              <w:lastRenderedPageBreak/>
              <w:t xml:space="preserve">Average </w:t>
            </w:r>
          </w:p>
        </w:tc>
        <w:tc>
          <w:tcPr>
            <w:tcW w:w="722" w:type="dxa"/>
            <w:tcBorders>
              <w:bottom w:val="single" w:sz="12" w:space="0" w:color="auto"/>
              <w:right w:val="single" w:sz="4" w:space="0" w:color="FFFFFF" w:themeColor="background1"/>
            </w:tcBorders>
            <w:shd w:val="clear" w:color="auto" w:fill="FFFFC5"/>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+0.25</w:t>
            </w:r>
          </w:p>
        </w:tc>
        <w:tc>
          <w:tcPr>
            <w:tcW w:w="709" w:type="dxa"/>
            <w:tcBorders>
              <w:left w:val="single" w:sz="4" w:space="0" w:color="FFFFFF" w:themeColor="background1"/>
              <w:bottom w:val="single" w:sz="12" w:space="0" w:color="auto"/>
              <w:right w:val="single" w:sz="4" w:space="0" w:color="FFFFFF" w:themeColor="background1"/>
            </w:tcBorders>
            <w:shd w:val="clear" w:color="auto" w:fill="ACD7CA"/>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708" w:type="dxa"/>
            <w:tcBorders>
              <w:left w:val="single" w:sz="4" w:space="0" w:color="FFFFFF" w:themeColor="background1"/>
              <w:bottom w:val="single" w:sz="12" w:space="0" w:color="auto"/>
            </w:tcBorders>
            <w:shd w:val="clear" w:color="auto" w:fill="ACD7CA"/>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+0.75</w:t>
            </w:r>
          </w:p>
        </w:tc>
        <w:tc>
          <w:tcPr>
            <w:tcW w:w="4906" w:type="dxa"/>
            <w:tcBorders>
              <w:bottom w:val="single" w:sz="12" w:space="0" w:color="auto"/>
            </w:tcBorders>
            <w:vAlign w:val="center"/>
          </w:tcPr>
          <w:p w:rsidR="00737490" w:rsidRPr="006A74F8" w:rsidRDefault="00737490" w:rsidP="00737490">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sz w:val="20"/>
                <w:szCs w:val="20"/>
              </w:rPr>
              <w:t>Options 2 and 3 provide for ATPs to have a more flexible and innovative approach in their regulated activities and to reduce regulatory compliance costs. Regulation of ATPs will be streamlined in all three options and will reduce regulatory burden.</w:t>
            </w:r>
          </w:p>
        </w:tc>
      </w:tr>
    </w:tbl>
    <w:p w:rsidR="00515BA2" w:rsidRPr="006A74F8" w:rsidRDefault="00515BA2" w:rsidP="00FD7AC9">
      <w:pPr>
        <w:spacing w:after="120" w:line="240" w:lineRule="auto"/>
        <w:ind w:left="720"/>
        <w:rPr>
          <w:rFonts w:ascii="Calibri" w:eastAsia="Calibri" w:hAnsi="Calibri" w:cs="Calibri"/>
          <w:color w:val="000000"/>
          <w:sz w:val="20"/>
          <w:szCs w:val="21"/>
          <w:lang w:eastAsia="en-AU"/>
        </w:rPr>
      </w:pPr>
    </w:p>
    <w:p w:rsidR="00C1393B" w:rsidRPr="006A74F8" w:rsidRDefault="0017430C" w:rsidP="00A51257">
      <w:pPr>
        <w:spacing w:after="120" w:line="240" w:lineRule="auto"/>
        <w:rPr>
          <w:rFonts w:ascii="Calibri" w:eastAsia="Calibri" w:hAnsi="Calibri" w:cs="Calibri"/>
          <w:color w:val="000000"/>
          <w:sz w:val="20"/>
          <w:szCs w:val="21"/>
          <w:lang w:eastAsia="en-AU"/>
        </w:rPr>
      </w:pPr>
      <w:r w:rsidRPr="006A74F8">
        <w:rPr>
          <w:noProof/>
          <w:lang w:eastAsia="en-AU"/>
        </w:rPr>
        <w:drawing>
          <wp:inline distT="0" distB="0" distL="0" distR="0" wp14:anchorId="2DCCED13" wp14:editId="29AFCB12">
            <wp:extent cx="5727600" cy="925200"/>
            <wp:effectExtent l="0" t="0" r="0" b="0"/>
            <wp:docPr id="29" name="Picture 29"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0">
                      <a:extLst>
                        <a:ext uri="{28A0092B-C50C-407E-A947-70E740481C1C}">
                          <a14:useLocalDpi xmlns:a14="http://schemas.microsoft.com/office/drawing/2010/main" val="0"/>
                        </a:ext>
                      </a:extLst>
                    </a:blip>
                    <a:stretch>
                      <a:fillRect/>
                    </a:stretch>
                  </pic:blipFill>
                  <pic:spPr>
                    <a:xfrm>
                      <a:off x="0" y="0"/>
                      <a:ext cx="5727600" cy="925200"/>
                    </a:xfrm>
                    <a:prstGeom prst="rect">
                      <a:avLst/>
                    </a:prstGeom>
                  </pic:spPr>
                </pic:pic>
              </a:graphicData>
            </a:graphic>
          </wp:inline>
        </w:drawing>
      </w:r>
    </w:p>
    <w:p w:rsidR="00B777AE" w:rsidRPr="006A74F8" w:rsidRDefault="0082332D" w:rsidP="00365917">
      <w:bookmarkStart w:id="2305" w:name="_Toc64895675"/>
      <w:bookmarkStart w:id="2306" w:name="_Toc64900901"/>
      <w:bookmarkStart w:id="2307" w:name="_Toc64903148"/>
      <w:bookmarkStart w:id="2308" w:name="_Toc64904106"/>
      <w:bookmarkStart w:id="2309" w:name="_Toc64904309"/>
      <w:bookmarkStart w:id="2310" w:name="_Toc64904771"/>
      <w:bookmarkStart w:id="2311" w:name="_Toc64905285"/>
      <w:bookmarkStart w:id="2312" w:name="_Toc64964025"/>
      <w:bookmarkStart w:id="2313" w:name="_Toc64974642"/>
      <w:bookmarkStart w:id="2314" w:name="_Toc64976324"/>
      <w:bookmarkStart w:id="2315" w:name="_Toc65149704"/>
      <w:bookmarkStart w:id="2316" w:name="_Toc67390612"/>
      <w:r w:rsidRPr="006A74F8">
        <w:rPr>
          <w:b/>
        </w:rPr>
        <w:t xml:space="preserve">*Note: </w:t>
      </w:r>
      <w:r w:rsidRPr="006A74F8">
        <w:t>Under</w:t>
      </w:r>
      <w:r w:rsidRPr="006A74F8">
        <w:rPr>
          <w:b/>
        </w:rPr>
        <w:t xml:space="preserve"> option 3 </w:t>
      </w:r>
      <w:r w:rsidRPr="006A74F8">
        <w:t xml:space="preserve">the regulatory requirements for ATPs may expand in to non–trade areas.  Where this occurs this may result in additional regulatory burden as compared with </w:t>
      </w:r>
      <w:r w:rsidRPr="006A74F8">
        <w:rPr>
          <w:b/>
        </w:rPr>
        <w:t>option 2</w:t>
      </w:r>
      <w:r w:rsidRPr="006A74F8">
        <w:t>.</w:t>
      </w:r>
    </w:p>
    <w:p w:rsidR="00515BA2" w:rsidRPr="006A74F8" w:rsidRDefault="00515BA2" w:rsidP="001A31F0">
      <w:pPr>
        <w:pStyle w:val="Heading3"/>
        <w:tabs>
          <w:tab w:val="left" w:pos="993"/>
        </w:tabs>
        <w:ind w:left="993" w:hanging="993"/>
      </w:pPr>
      <w:r w:rsidRPr="006A74F8">
        <w:t xml:space="preserve">Appointment types are streamlined and </w:t>
      </w:r>
      <w:r w:rsidR="004D407E" w:rsidRPr="006A74F8">
        <w:t>offer future</w:t>
      </w:r>
      <w:r w:rsidRPr="006A74F8">
        <w:t xml:space="preserve"> </w:t>
      </w:r>
      <w:r w:rsidR="004D407E" w:rsidRPr="006A74F8">
        <w:t>flexibility</w:t>
      </w:r>
      <w:bookmarkEnd w:id="2305"/>
      <w:bookmarkEnd w:id="2306"/>
      <w:bookmarkEnd w:id="2307"/>
      <w:bookmarkEnd w:id="2308"/>
      <w:bookmarkEnd w:id="2309"/>
      <w:bookmarkEnd w:id="2310"/>
      <w:bookmarkEnd w:id="2311"/>
      <w:bookmarkEnd w:id="2312"/>
      <w:bookmarkEnd w:id="2313"/>
      <w:bookmarkEnd w:id="2314"/>
      <w:bookmarkEnd w:id="2315"/>
      <w:bookmarkEnd w:id="2316"/>
    </w:p>
    <w:tbl>
      <w:tblPr>
        <w:tblStyle w:val="PlainTable2"/>
        <w:tblW w:w="8875" w:type="dxa"/>
        <w:tblLayout w:type="fixed"/>
        <w:tblLook w:val="04A0" w:firstRow="1" w:lastRow="0" w:firstColumn="1" w:lastColumn="0" w:noHBand="0" w:noVBand="1"/>
        <w:tblCaption w:val="14.2 Appointment types are streamlined and more flexible."/>
        <w:tblDescription w:val="Impact of reform options on appointment types that are streamlined and more flexible. Option 1 rated +1, slight beneficial. Options 2 and 3 are rated +2, moderate benefit. &#10;Simplification and merger of appointment types: Under option 1, Certifying Authorities and Verifying Authorities are merged, while UMVs are merged with Servicing Licensees. This will align appointment types with similar functions, reducing administrative costs and simplifying arrangements for some ATPs. Under options 2 and 3 there is a single appointment type with details such as scope of appointment and conditions specified in the appointment documents. This provides greater flexibility in appointment type, enables appointment based on skillset, and would support emerging measurement needs and innovative instrument types.&#10;"/>
      </w:tblPr>
      <w:tblGrid>
        <w:gridCol w:w="1830"/>
        <w:gridCol w:w="635"/>
        <w:gridCol w:w="635"/>
        <w:gridCol w:w="635"/>
        <w:gridCol w:w="5140"/>
      </w:tblGrid>
      <w:tr w:rsidR="00737490" w:rsidRPr="006A74F8" w:rsidTr="00737490">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12" w:space="0" w:color="auto"/>
            </w:tcBorders>
            <w:vAlign w:val="center"/>
          </w:tcPr>
          <w:p w:rsidR="00737490" w:rsidRPr="006A74F8" w:rsidRDefault="00737490" w:rsidP="00737490">
            <w:r w:rsidRPr="006A74F8">
              <w:t>Impact</w:t>
            </w:r>
          </w:p>
        </w:tc>
        <w:tc>
          <w:tcPr>
            <w:tcW w:w="1905" w:type="dxa"/>
            <w:gridSpan w:val="3"/>
            <w:tcBorders>
              <w:top w:val="single" w:sz="12" w:space="0" w:color="auto"/>
              <w:bottom w:val="nil"/>
            </w:tcBorders>
            <w:vAlign w:val="center"/>
          </w:tcPr>
          <w:p w:rsidR="00737490" w:rsidRPr="006A74F8" w:rsidRDefault="00737490" w:rsidP="00737490">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40" w:type="dxa"/>
            <w:vMerge w:val="restart"/>
            <w:tcBorders>
              <w:top w:val="single" w:sz="12" w:space="0" w:color="auto"/>
            </w:tcBorders>
            <w:vAlign w:val="center"/>
          </w:tcPr>
          <w:p w:rsidR="00737490" w:rsidRPr="006A74F8" w:rsidRDefault="00737490" w:rsidP="00737490">
            <w:pPr>
              <w:cnfStyle w:val="100000000000" w:firstRow="1" w:lastRow="0" w:firstColumn="0" w:lastColumn="0" w:oddVBand="0" w:evenVBand="0" w:oddHBand="0" w:evenHBand="0" w:firstRowFirstColumn="0" w:firstRowLastColumn="0" w:lastRowFirstColumn="0" w:lastRowLastColumn="0"/>
            </w:pPr>
            <w:r w:rsidRPr="006A74F8">
              <w:t>Explanation</w:t>
            </w:r>
          </w:p>
        </w:tc>
      </w:tr>
      <w:tr w:rsidR="00737490" w:rsidRPr="006A74F8" w:rsidTr="00737490">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30" w:type="dxa"/>
            <w:vMerge/>
            <w:tcBorders>
              <w:bottom w:val="double" w:sz="4" w:space="0" w:color="auto"/>
            </w:tcBorders>
          </w:tcPr>
          <w:p w:rsidR="00737490" w:rsidRPr="006A74F8" w:rsidRDefault="00737490" w:rsidP="00737490"/>
        </w:tc>
        <w:tc>
          <w:tcPr>
            <w:tcW w:w="635" w:type="dxa"/>
            <w:tcBorders>
              <w:top w:val="nil"/>
              <w:bottom w:val="double" w:sz="4" w:space="0" w:color="auto"/>
            </w:tcBorders>
          </w:tcPr>
          <w:p w:rsidR="00737490" w:rsidRPr="006A74F8"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5" w:type="dxa"/>
            <w:tcBorders>
              <w:top w:val="nil"/>
              <w:bottom w:val="double" w:sz="4" w:space="0" w:color="auto"/>
            </w:tcBorders>
          </w:tcPr>
          <w:p w:rsidR="00737490" w:rsidRPr="006A74F8"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5" w:type="dxa"/>
            <w:tcBorders>
              <w:top w:val="nil"/>
              <w:bottom w:val="double" w:sz="4" w:space="0" w:color="auto"/>
            </w:tcBorders>
          </w:tcPr>
          <w:p w:rsidR="00737490" w:rsidRPr="006A74F8"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40" w:type="dxa"/>
            <w:vMerge/>
            <w:tcBorders>
              <w:bottom w:val="double" w:sz="4" w:space="0" w:color="auto"/>
            </w:tcBorders>
          </w:tcPr>
          <w:p w:rsidR="00737490" w:rsidRPr="006A74F8" w:rsidRDefault="00737490" w:rsidP="00737490">
            <w:pPr>
              <w:cnfStyle w:val="100000000000" w:firstRow="1" w:lastRow="0" w:firstColumn="0" w:lastColumn="0" w:oddVBand="0" w:evenVBand="0" w:oddHBand="0" w:evenHBand="0" w:firstRowFirstColumn="0" w:firstRowLastColumn="0" w:lastRowFirstColumn="0" w:lastRowLastColumn="0"/>
            </w:pPr>
          </w:p>
        </w:tc>
      </w:tr>
      <w:tr w:rsidR="00737490" w:rsidRPr="006A74F8" w:rsidTr="00737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Borders>
              <w:top w:val="double" w:sz="4" w:space="0" w:color="auto"/>
            </w:tcBorders>
            <w:vAlign w:val="center"/>
          </w:tcPr>
          <w:p w:rsidR="00737490" w:rsidRPr="006A74F8" w:rsidRDefault="00737490" w:rsidP="00737490">
            <w:pPr>
              <w:rPr>
                <w:rFonts w:asciiTheme="majorHAnsi" w:eastAsia="Calibri" w:hAnsiTheme="majorHAnsi" w:cstheme="majorHAnsi"/>
                <w:b w:val="0"/>
                <w:sz w:val="20"/>
                <w:szCs w:val="20"/>
              </w:rPr>
            </w:pPr>
            <w:r w:rsidRPr="006A74F8">
              <w:rPr>
                <w:rFonts w:asciiTheme="majorHAnsi" w:hAnsiTheme="majorHAnsi" w:cstheme="majorHAnsi"/>
                <w:b w:val="0"/>
                <w:sz w:val="20"/>
                <w:szCs w:val="20"/>
              </w:rPr>
              <w:t xml:space="preserve">Appointment types are streamlined and </w:t>
            </w:r>
            <w:r w:rsidR="00DE13F0" w:rsidRPr="006A74F8">
              <w:rPr>
                <w:rFonts w:asciiTheme="majorHAnsi" w:hAnsiTheme="majorHAnsi" w:cstheme="majorHAnsi"/>
                <w:b w:val="0"/>
                <w:sz w:val="20"/>
                <w:szCs w:val="20"/>
              </w:rPr>
              <w:t xml:space="preserve">offer </w:t>
            </w:r>
            <w:r w:rsidR="003A3A9E" w:rsidRPr="006A74F8">
              <w:rPr>
                <w:rFonts w:asciiTheme="majorHAnsi" w:hAnsiTheme="majorHAnsi" w:cstheme="majorHAnsi"/>
                <w:b w:val="0"/>
                <w:sz w:val="20"/>
                <w:szCs w:val="20"/>
              </w:rPr>
              <w:t xml:space="preserve">future </w:t>
            </w:r>
            <w:r w:rsidRPr="006A74F8">
              <w:rPr>
                <w:rFonts w:asciiTheme="majorHAnsi" w:hAnsiTheme="majorHAnsi" w:cstheme="majorHAnsi"/>
                <w:b w:val="0"/>
                <w:sz w:val="20"/>
                <w:szCs w:val="20"/>
              </w:rPr>
              <w:t>flexib</w:t>
            </w:r>
            <w:r w:rsidR="003A3A9E" w:rsidRPr="006A74F8">
              <w:rPr>
                <w:rFonts w:asciiTheme="majorHAnsi" w:hAnsiTheme="majorHAnsi" w:cstheme="majorHAnsi"/>
                <w:b w:val="0"/>
                <w:sz w:val="20"/>
                <w:szCs w:val="20"/>
              </w:rPr>
              <w:t>i</w:t>
            </w:r>
            <w:r w:rsidRPr="006A74F8">
              <w:rPr>
                <w:rFonts w:asciiTheme="majorHAnsi" w:hAnsiTheme="majorHAnsi" w:cstheme="majorHAnsi"/>
                <w:b w:val="0"/>
                <w:sz w:val="20"/>
                <w:szCs w:val="20"/>
              </w:rPr>
              <w:t>l</w:t>
            </w:r>
            <w:r w:rsidR="003A3A9E" w:rsidRPr="006A74F8">
              <w:rPr>
                <w:rFonts w:asciiTheme="majorHAnsi" w:hAnsiTheme="majorHAnsi" w:cstheme="majorHAnsi"/>
                <w:b w:val="0"/>
                <w:sz w:val="20"/>
                <w:szCs w:val="20"/>
              </w:rPr>
              <w:t>ity</w:t>
            </w:r>
          </w:p>
        </w:tc>
        <w:tc>
          <w:tcPr>
            <w:tcW w:w="635" w:type="dxa"/>
            <w:tcBorders>
              <w:top w:val="double" w:sz="4" w:space="0" w:color="auto"/>
              <w:right w:val="single" w:sz="4" w:space="0" w:color="FFFFFF" w:themeColor="background1"/>
            </w:tcBorders>
            <w:shd w:val="clear" w:color="auto" w:fill="ACD7CA"/>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shd w:val="clear" w:color="auto" w:fill="ACD7CA"/>
              </w:rPr>
              <w:t>+1</w:t>
            </w:r>
          </w:p>
        </w:tc>
        <w:tc>
          <w:tcPr>
            <w:tcW w:w="635" w:type="dxa"/>
            <w:tcBorders>
              <w:top w:val="double" w:sz="4" w:space="0" w:color="auto"/>
              <w:left w:val="single" w:sz="4" w:space="0" w:color="FFFFFF" w:themeColor="background1"/>
              <w:right w:val="single" w:sz="4" w:space="0" w:color="FFFFFF" w:themeColor="background1"/>
            </w:tcBorders>
            <w:shd w:val="clear" w:color="auto" w:fill="398E98"/>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35" w:type="dxa"/>
            <w:tcBorders>
              <w:top w:val="double" w:sz="4" w:space="0" w:color="auto"/>
              <w:left w:val="single" w:sz="4" w:space="0" w:color="FFFFFF" w:themeColor="background1"/>
            </w:tcBorders>
            <w:shd w:val="clear" w:color="auto" w:fill="398E98"/>
            <w:vAlign w:val="center"/>
          </w:tcPr>
          <w:p w:rsidR="00737490" w:rsidRPr="006A74F8"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5140" w:type="dxa"/>
            <w:tcBorders>
              <w:top w:val="double" w:sz="4" w:space="0" w:color="auto"/>
            </w:tcBorders>
            <w:vAlign w:val="center"/>
          </w:tcPr>
          <w:p w:rsidR="00737490" w:rsidRPr="006A74F8" w:rsidRDefault="00737490" w:rsidP="00D31320">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 xml:space="preserve">Simplification and merger of appointment types: </w:t>
            </w:r>
            <w:r w:rsidRPr="006A74F8">
              <w:rPr>
                <w:rFonts w:asciiTheme="majorHAnsi" w:hAnsiTheme="majorHAnsi" w:cstheme="majorHAnsi"/>
                <w:sz w:val="20"/>
                <w:szCs w:val="20"/>
              </w:rPr>
              <w:t xml:space="preserve">Under </w:t>
            </w:r>
            <w:r w:rsidRPr="006A74F8">
              <w:rPr>
                <w:rFonts w:asciiTheme="majorHAnsi" w:hAnsiTheme="majorHAnsi" w:cstheme="majorHAnsi"/>
                <w:b/>
                <w:sz w:val="20"/>
                <w:szCs w:val="20"/>
              </w:rPr>
              <w:t>option 1</w:t>
            </w:r>
            <w:r w:rsidRPr="006A74F8">
              <w:rPr>
                <w:rFonts w:asciiTheme="majorHAnsi" w:hAnsiTheme="majorHAnsi" w:cstheme="majorHAnsi"/>
                <w:sz w:val="20"/>
                <w:szCs w:val="20"/>
              </w:rPr>
              <w:t xml:space="preserve">, Certifying Authorities and Verifying Authorities are merged, while UMVs are merged with Servicing Licensees. This will align appointment types with similar functions, reducing administrative costs and simplifying arrangements for some ATPs. Under </w:t>
            </w:r>
            <w:r w:rsidRPr="006A74F8">
              <w:rPr>
                <w:rFonts w:asciiTheme="majorHAnsi" w:hAnsiTheme="majorHAnsi" w:cstheme="majorHAnsi"/>
                <w:b/>
                <w:sz w:val="20"/>
                <w:szCs w:val="20"/>
              </w:rPr>
              <w:t>options 2 and 3</w:t>
            </w:r>
            <w:r w:rsidRPr="006A74F8">
              <w:rPr>
                <w:rFonts w:asciiTheme="majorHAnsi" w:hAnsiTheme="majorHAnsi" w:cstheme="majorHAnsi"/>
                <w:sz w:val="20"/>
                <w:szCs w:val="20"/>
              </w:rPr>
              <w:t xml:space="preserve"> there is a single </w:t>
            </w:r>
            <w:r w:rsidR="00D31320" w:rsidRPr="006A74F8">
              <w:rPr>
                <w:rFonts w:asciiTheme="majorHAnsi" w:hAnsiTheme="majorHAnsi" w:cstheme="majorHAnsi"/>
                <w:sz w:val="20"/>
                <w:szCs w:val="20"/>
              </w:rPr>
              <w:t xml:space="preserve">legislative mechanism to appoint ATPs to perform distinct functions </w:t>
            </w:r>
            <w:r w:rsidRPr="006A74F8">
              <w:rPr>
                <w:rFonts w:asciiTheme="majorHAnsi" w:hAnsiTheme="majorHAnsi" w:cstheme="majorHAnsi"/>
                <w:sz w:val="20"/>
                <w:szCs w:val="20"/>
              </w:rPr>
              <w:t xml:space="preserve">specified in the </w:t>
            </w:r>
            <w:r w:rsidR="00085D78" w:rsidRPr="006A74F8">
              <w:rPr>
                <w:rFonts w:asciiTheme="majorHAnsi" w:hAnsiTheme="majorHAnsi" w:cstheme="majorHAnsi"/>
                <w:sz w:val="20"/>
                <w:szCs w:val="20"/>
              </w:rPr>
              <w:t>regulations.</w:t>
            </w:r>
            <w:r w:rsidRPr="006A74F8">
              <w:rPr>
                <w:rFonts w:asciiTheme="majorHAnsi" w:eastAsia="Calibri" w:hAnsiTheme="majorHAnsi" w:cstheme="majorHAnsi"/>
                <w:sz w:val="20"/>
                <w:szCs w:val="20"/>
              </w:rPr>
              <w:t xml:space="preserve"> </w:t>
            </w:r>
            <w:r w:rsidR="00D31320" w:rsidRPr="006A74F8">
              <w:rPr>
                <w:rFonts w:asciiTheme="majorHAnsi" w:eastAsia="Calibri" w:hAnsiTheme="majorHAnsi" w:cstheme="majorHAnsi"/>
                <w:sz w:val="20"/>
                <w:szCs w:val="20"/>
              </w:rPr>
              <w:t>Ability to appoint ATPs to perform “general functions”</w:t>
            </w:r>
            <w:r w:rsidRPr="006A74F8">
              <w:rPr>
                <w:rFonts w:asciiTheme="majorHAnsi" w:hAnsiTheme="majorHAnsi" w:cstheme="majorHAnsi"/>
                <w:sz w:val="20"/>
                <w:szCs w:val="20"/>
              </w:rPr>
              <w:t xml:space="preserve"> provides greater flexibility </w:t>
            </w:r>
            <w:r w:rsidR="00D31320" w:rsidRPr="006A74F8">
              <w:rPr>
                <w:rFonts w:asciiTheme="majorHAnsi" w:hAnsiTheme="majorHAnsi" w:cstheme="majorHAnsi"/>
                <w:sz w:val="20"/>
                <w:szCs w:val="20"/>
              </w:rPr>
              <w:t xml:space="preserve">to accommodate future measurement functions and </w:t>
            </w:r>
            <w:r w:rsidR="00085D78" w:rsidRPr="006A74F8">
              <w:rPr>
                <w:rFonts w:asciiTheme="majorHAnsi" w:hAnsiTheme="majorHAnsi" w:cstheme="majorHAnsi"/>
                <w:sz w:val="20"/>
                <w:szCs w:val="20"/>
              </w:rPr>
              <w:t>activities</w:t>
            </w:r>
            <w:r w:rsidR="00D31320" w:rsidRPr="006A74F8">
              <w:rPr>
                <w:rFonts w:asciiTheme="majorHAnsi" w:hAnsiTheme="majorHAnsi" w:cstheme="majorHAnsi"/>
                <w:sz w:val="20"/>
                <w:szCs w:val="20"/>
              </w:rPr>
              <w:t xml:space="preserve"> to</w:t>
            </w:r>
            <w:r w:rsidRPr="006A74F8">
              <w:rPr>
                <w:rFonts w:asciiTheme="majorHAnsi" w:hAnsiTheme="majorHAnsi" w:cstheme="majorHAnsi"/>
                <w:sz w:val="20"/>
                <w:szCs w:val="20"/>
              </w:rPr>
              <w:t xml:space="preserve"> support emerging measurement needs and innovative instrument types.</w:t>
            </w:r>
          </w:p>
        </w:tc>
      </w:tr>
    </w:tbl>
    <w:p w:rsidR="0064068F" w:rsidRPr="006A74F8" w:rsidRDefault="0064068F" w:rsidP="00FD7AC9">
      <w:pPr>
        <w:ind w:left="720"/>
      </w:pPr>
    </w:p>
    <w:p w:rsidR="00F803E9" w:rsidRPr="006A74F8" w:rsidRDefault="00F803E9" w:rsidP="00F803E9">
      <w:pPr>
        <w:shd w:val="clear" w:color="auto" w:fill="D1EEFF" w:themeFill="accent2" w:themeFillTint="1A"/>
      </w:pPr>
      <w:r w:rsidRPr="006A74F8">
        <w:t xml:space="preserve">Under </w:t>
      </w:r>
      <w:r w:rsidRPr="006A74F8">
        <w:rPr>
          <w:b/>
        </w:rPr>
        <w:t>all options</w:t>
      </w:r>
      <w:r w:rsidRPr="006A74F8">
        <w:t xml:space="preserve"> regulatory arrangements will be maintained that require key measurement services to be obtained from ATPs.</w:t>
      </w:r>
    </w:p>
    <w:p w:rsidR="00AC77D6" w:rsidRPr="006A74F8" w:rsidRDefault="00B069E8" w:rsidP="006F428D">
      <w:r w:rsidRPr="006A74F8">
        <w:rPr>
          <w:b/>
        </w:rPr>
        <w:t>A</w:t>
      </w:r>
      <w:r w:rsidR="0064068F" w:rsidRPr="006A74F8">
        <w:rPr>
          <w:b/>
        </w:rPr>
        <w:t xml:space="preserve">ll options </w:t>
      </w:r>
      <w:r w:rsidRPr="006A74F8">
        <w:t>include</w:t>
      </w:r>
      <w:r w:rsidR="0064068F" w:rsidRPr="006A74F8">
        <w:rPr>
          <w:b/>
        </w:rPr>
        <w:t xml:space="preserve"> </w:t>
      </w:r>
      <w:r w:rsidR="0064068F" w:rsidRPr="006A74F8">
        <w:t>degrees of</w:t>
      </w:r>
      <w:r w:rsidR="0064068F" w:rsidRPr="006A74F8">
        <w:rPr>
          <w:b/>
        </w:rPr>
        <w:t xml:space="preserve"> </w:t>
      </w:r>
      <w:r w:rsidR="0064068F" w:rsidRPr="006A74F8">
        <w:t xml:space="preserve">increased flexibility and </w:t>
      </w:r>
      <w:r w:rsidR="00A91539" w:rsidRPr="006A74F8">
        <w:t xml:space="preserve">some </w:t>
      </w:r>
      <w:r w:rsidR="0064068F" w:rsidRPr="006A74F8">
        <w:t>reduced prescription</w:t>
      </w:r>
      <w:r w:rsidR="005D5266" w:rsidRPr="006A74F8">
        <w:t xml:space="preserve"> regarding how ATP appointments are established</w:t>
      </w:r>
      <w:r w:rsidR="007A44EC" w:rsidRPr="006A74F8">
        <w:t xml:space="preserve">, with the scope of </w:t>
      </w:r>
      <w:r w:rsidR="0007208B" w:rsidRPr="006A74F8">
        <w:t>functions</w:t>
      </w:r>
      <w:r w:rsidR="007A44EC" w:rsidRPr="006A74F8">
        <w:t xml:space="preserve"> remaining the same</w:t>
      </w:r>
      <w:r w:rsidR="005D5266" w:rsidRPr="006A74F8">
        <w:t xml:space="preserve">. </w:t>
      </w:r>
      <w:r w:rsidR="007A44EC" w:rsidRPr="006A74F8">
        <w:t>Current arrangements for</w:t>
      </w:r>
      <w:r w:rsidR="005D5266" w:rsidRPr="006A74F8">
        <w:t xml:space="preserve"> e</w:t>
      </w:r>
      <w:r w:rsidR="0064068F" w:rsidRPr="006A74F8">
        <w:t xml:space="preserve">xisting appointments and </w:t>
      </w:r>
      <w:r w:rsidR="008C2B2F" w:rsidRPr="006A74F8">
        <w:t>licenc</w:t>
      </w:r>
      <w:r w:rsidR="0064068F" w:rsidRPr="006A74F8">
        <w:t xml:space="preserve">es will be maintained on </w:t>
      </w:r>
      <w:r w:rsidR="00A91539" w:rsidRPr="006A74F8">
        <w:t xml:space="preserve">introduction of </w:t>
      </w:r>
      <w:r w:rsidR="00094F33" w:rsidRPr="006A74F8">
        <w:t xml:space="preserve">the </w:t>
      </w:r>
      <w:r w:rsidR="00A91539" w:rsidRPr="006A74F8">
        <w:t>new legislation</w:t>
      </w:r>
      <w:r w:rsidR="0064068F" w:rsidRPr="006A74F8">
        <w:t>,</w:t>
      </w:r>
      <w:r w:rsidR="00AC77D6" w:rsidRPr="006A74F8">
        <w:t xml:space="preserve"> with transitional arrangements established to enable a smooth transition to new appointment </w:t>
      </w:r>
      <w:r w:rsidR="000E50A1" w:rsidRPr="006A74F8">
        <w:t xml:space="preserve">mechanisms </w:t>
      </w:r>
      <w:r w:rsidR="00AC77D6" w:rsidRPr="006A74F8">
        <w:t>over a period of time.</w:t>
      </w:r>
    </w:p>
    <w:p w:rsidR="00B36DC5" w:rsidRPr="006A74F8" w:rsidRDefault="0043533E" w:rsidP="00001B45">
      <w:pPr>
        <w:pStyle w:val="Heading4"/>
        <w:tabs>
          <w:tab w:val="left" w:pos="1134"/>
        </w:tabs>
        <w:rPr>
          <w:rFonts w:eastAsia="Arial"/>
        </w:rPr>
      </w:pPr>
      <w:r w:rsidRPr="006A74F8">
        <w:rPr>
          <w:rFonts w:eastAsia="Arial"/>
        </w:rPr>
        <w:lastRenderedPageBreak/>
        <w:t>Public w</w:t>
      </w:r>
      <w:r w:rsidR="008B42A4" w:rsidRPr="006A74F8">
        <w:rPr>
          <w:rFonts w:eastAsia="Arial"/>
        </w:rPr>
        <w:t>eighbridges</w:t>
      </w:r>
    </w:p>
    <w:p w:rsidR="006D2FCE" w:rsidRPr="006A74F8" w:rsidRDefault="00B36DC5" w:rsidP="006F428D">
      <w:r w:rsidRPr="006A74F8">
        <w:t xml:space="preserve">Under </w:t>
      </w:r>
      <w:r w:rsidR="008671A1" w:rsidRPr="006A74F8">
        <w:rPr>
          <w:b/>
        </w:rPr>
        <w:t>all options</w:t>
      </w:r>
      <w:r w:rsidRPr="006A74F8">
        <w:t xml:space="preserve"> </w:t>
      </w:r>
      <w:r w:rsidR="008D5F97" w:rsidRPr="006A74F8">
        <w:t>public weighbridges will continue as a separate licence class</w:t>
      </w:r>
      <w:r w:rsidR="008D5F97" w:rsidRPr="006A74F8" w:rsidDel="008D5F97">
        <w:t>.</w:t>
      </w:r>
      <w:r w:rsidR="008D5F97" w:rsidRPr="006A74F8">
        <w:t xml:space="preserve"> Regulatory</w:t>
      </w:r>
      <w:r w:rsidRPr="006A74F8">
        <w:t xml:space="preserve"> re</w:t>
      </w:r>
      <w:r w:rsidR="006D2FCE" w:rsidRPr="006A74F8">
        <w:t xml:space="preserve">quirements </w:t>
      </w:r>
      <w:r w:rsidR="00061621" w:rsidRPr="006A74F8">
        <w:t xml:space="preserve">on </w:t>
      </w:r>
      <w:r w:rsidR="009654C4" w:rsidRPr="006A74F8">
        <w:t xml:space="preserve">Public Weighbridge Licensees </w:t>
      </w:r>
      <w:r w:rsidR="002E4C41" w:rsidRPr="006A74F8">
        <w:t xml:space="preserve">and </w:t>
      </w:r>
      <w:r w:rsidR="00061621" w:rsidRPr="006A74F8">
        <w:t xml:space="preserve">operators </w:t>
      </w:r>
      <w:r w:rsidR="006D2FCE" w:rsidRPr="006A74F8">
        <w:t>would be streamlined</w:t>
      </w:r>
      <w:r w:rsidR="008D5F97" w:rsidRPr="006A74F8">
        <w:t>, simplified</w:t>
      </w:r>
      <w:r w:rsidR="008B42A4" w:rsidRPr="006A74F8">
        <w:t xml:space="preserve"> and </w:t>
      </w:r>
      <w:r w:rsidR="006D2FCE" w:rsidRPr="006A74F8">
        <w:t>made more principles</w:t>
      </w:r>
      <w:r w:rsidR="0015782B" w:rsidRPr="006A74F8">
        <w:t>-</w:t>
      </w:r>
      <w:r w:rsidR="006D2FCE" w:rsidRPr="006A74F8">
        <w:t>based with administrative guidance provided by NMI to assist operation.</w:t>
      </w:r>
      <w:r w:rsidR="00C2251A" w:rsidRPr="006A74F8">
        <w:t xml:space="preserve"> </w:t>
      </w:r>
    </w:p>
    <w:p w:rsidR="00996C41" w:rsidRPr="006A74F8" w:rsidRDefault="00B94A7C" w:rsidP="006F428D">
      <w:r w:rsidRPr="006A74F8">
        <w:t>Streamlined requirements for public weighbridge operati</w:t>
      </w:r>
      <w:r w:rsidR="00C45889" w:rsidRPr="006A74F8">
        <w:t>on</w:t>
      </w:r>
      <w:r w:rsidRPr="006A74F8">
        <w:t xml:space="preserve"> and licen</w:t>
      </w:r>
      <w:r w:rsidR="008A7D88" w:rsidRPr="006A74F8">
        <w:t>s</w:t>
      </w:r>
      <w:r w:rsidRPr="006A74F8">
        <w:t xml:space="preserve">ing arrangements would </w:t>
      </w:r>
      <w:r w:rsidR="009B5A43" w:rsidRPr="006A74F8">
        <w:t xml:space="preserve">slightly </w:t>
      </w:r>
      <w:r w:rsidRPr="006A74F8">
        <w:t>reduce administrative burden associated with running a public weighbridge.</w:t>
      </w:r>
      <w:r w:rsidR="00C45889" w:rsidRPr="006A74F8">
        <w:t xml:space="preserve"> </w:t>
      </w:r>
    </w:p>
    <w:p w:rsidR="00CA7D0D" w:rsidRPr="006A74F8" w:rsidRDefault="002043CD" w:rsidP="00001B45">
      <w:pPr>
        <w:pStyle w:val="Heading4"/>
        <w:tabs>
          <w:tab w:val="left" w:pos="1134"/>
        </w:tabs>
        <w:ind w:left="1134" w:hanging="1134"/>
        <w:rPr>
          <w:rFonts w:eastAsia="Arial"/>
        </w:rPr>
      </w:pPr>
      <w:r w:rsidRPr="006A74F8">
        <w:rPr>
          <w:rFonts w:eastAsia="Arial"/>
        </w:rPr>
        <w:t>Simplifying</w:t>
      </w:r>
      <w:r w:rsidR="00CA7D0D" w:rsidRPr="006A74F8">
        <w:rPr>
          <w:rFonts w:eastAsia="Arial"/>
        </w:rPr>
        <w:t xml:space="preserve"> </w:t>
      </w:r>
      <w:r w:rsidR="0067090B" w:rsidRPr="006A74F8">
        <w:rPr>
          <w:rFonts w:eastAsia="Arial"/>
        </w:rPr>
        <w:t xml:space="preserve">and </w:t>
      </w:r>
      <w:r w:rsidRPr="006A74F8">
        <w:rPr>
          <w:rFonts w:eastAsia="Arial"/>
        </w:rPr>
        <w:t xml:space="preserve">accommodating future </w:t>
      </w:r>
      <w:r w:rsidR="0067090B" w:rsidRPr="006A74F8">
        <w:rPr>
          <w:rFonts w:eastAsia="Arial"/>
        </w:rPr>
        <w:t>flexib</w:t>
      </w:r>
      <w:r w:rsidRPr="006A74F8">
        <w:rPr>
          <w:rFonts w:eastAsia="Arial"/>
        </w:rPr>
        <w:t>i</w:t>
      </w:r>
      <w:r w:rsidR="0067090B" w:rsidRPr="006A74F8">
        <w:rPr>
          <w:rFonts w:eastAsia="Arial"/>
        </w:rPr>
        <w:t>l</w:t>
      </w:r>
      <w:r w:rsidRPr="006A74F8">
        <w:rPr>
          <w:rFonts w:eastAsia="Arial"/>
        </w:rPr>
        <w:t>ity</w:t>
      </w:r>
      <w:r w:rsidR="0067090B" w:rsidRPr="006A74F8">
        <w:rPr>
          <w:rFonts w:eastAsia="Arial"/>
        </w:rPr>
        <w:t xml:space="preserve"> </w:t>
      </w:r>
      <w:r w:rsidRPr="006A74F8">
        <w:rPr>
          <w:rFonts w:eastAsia="Arial"/>
        </w:rPr>
        <w:t>for</w:t>
      </w:r>
      <w:r w:rsidR="0067090B" w:rsidRPr="006A74F8">
        <w:rPr>
          <w:rFonts w:eastAsia="Arial"/>
        </w:rPr>
        <w:t xml:space="preserve"> </w:t>
      </w:r>
      <w:r w:rsidR="00CA7D0D" w:rsidRPr="006A74F8">
        <w:rPr>
          <w:rFonts w:eastAsia="Arial"/>
        </w:rPr>
        <w:t>appointment types</w:t>
      </w:r>
    </w:p>
    <w:p w:rsidR="0067090B" w:rsidRPr="006A74F8" w:rsidRDefault="0067090B" w:rsidP="006F428D">
      <w:r w:rsidRPr="006A74F8">
        <w:t xml:space="preserve">Under </w:t>
      </w:r>
      <w:r w:rsidRPr="006A74F8">
        <w:rPr>
          <w:b/>
        </w:rPr>
        <w:t>all options</w:t>
      </w:r>
      <w:r w:rsidRPr="006A74F8">
        <w:t xml:space="preserve">, </w:t>
      </w:r>
      <w:r w:rsidR="00AD1AC2" w:rsidRPr="006A74F8">
        <w:t>existing categories of appointment functions (e.g. Servicing Licensees, Public Weighbridge Licensees, UMVs, Certifying Authorities, Verifying Authorities and Approving Authorities) will continue to exist, however some of the legislative arrangements may change (e.g. the mechanism used to appoint ATPs). T</w:t>
      </w:r>
      <w:r w:rsidRPr="006A74F8">
        <w:t xml:space="preserve">here will be a greater emphasis on describing </w:t>
      </w:r>
      <w:r w:rsidR="00AD1AC2" w:rsidRPr="006A74F8">
        <w:t>some functions</w:t>
      </w:r>
      <w:r w:rsidRPr="006A74F8">
        <w:t xml:space="preserve"> by reference to competency categories and test method,</w:t>
      </w:r>
      <w:r w:rsidRPr="006A74F8">
        <w:rPr>
          <w:rStyle w:val="FootnoteReference"/>
        </w:rPr>
        <w:footnoteReference w:id="113"/>
      </w:r>
      <w:r w:rsidRPr="006A74F8">
        <w:t xml:space="preserve"> rather than instrument classes based on particular instrument types and products. This</w:t>
      </w:r>
      <w:r w:rsidRPr="006A74F8" w:rsidDel="00AD1AC2">
        <w:t xml:space="preserve"> </w:t>
      </w:r>
      <w:r w:rsidR="00AD1AC2" w:rsidRPr="006A74F8">
        <w:t>may</w:t>
      </w:r>
      <w:r w:rsidRPr="006A74F8">
        <w:t xml:space="preserve"> provide </w:t>
      </w:r>
      <w:r w:rsidR="00AD1AC2" w:rsidRPr="006A74F8">
        <w:t xml:space="preserve">some </w:t>
      </w:r>
      <w:r w:rsidRPr="006A74F8">
        <w:t xml:space="preserve">administrative and cost savings </w:t>
      </w:r>
      <w:r w:rsidR="008E2156" w:rsidRPr="006A74F8">
        <w:t xml:space="preserve">to Servicing Licensees </w:t>
      </w:r>
      <w:r w:rsidRPr="006A74F8">
        <w:t xml:space="preserve">over time by combining </w:t>
      </w:r>
      <w:r w:rsidR="00C407D5" w:rsidRPr="006A74F8">
        <w:t xml:space="preserve">some </w:t>
      </w:r>
      <w:r w:rsidR="00AD1AC2" w:rsidRPr="006A74F8">
        <w:t xml:space="preserve">of the </w:t>
      </w:r>
      <w:r w:rsidR="008E2156" w:rsidRPr="006A74F8">
        <w:t>current</w:t>
      </w:r>
      <w:r w:rsidR="00C407D5" w:rsidRPr="006A74F8">
        <w:t xml:space="preserve"> licence </w:t>
      </w:r>
      <w:r w:rsidRPr="006A74F8">
        <w:t>classes</w:t>
      </w:r>
      <w:r w:rsidR="00C407D5" w:rsidRPr="006A74F8">
        <w:t xml:space="preserve"> and sub-classes</w:t>
      </w:r>
      <w:r w:rsidRPr="006A74F8">
        <w:t xml:space="preserve">. </w:t>
      </w:r>
    </w:p>
    <w:p w:rsidR="00B94A7C" w:rsidRPr="006A74F8" w:rsidRDefault="00B94A7C" w:rsidP="006F428D">
      <w:pPr>
        <w:spacing w:before="120" w:after="120" w:line="240" w:lineRule="auto"/>
      </w:pPr>
      <w:r w:rsidRPr="006A74F8">
        <w:t xml:space="preserve">Under </w:t>
      </w:r>
      <w:r w:rsidRPr="006A74F8">
        <w:rPr>
          <w:b/>
        </w:rPr>
        <w:t>option 1</w:t>
      </w:r>
      <w:r w:rsidRPr="006A74F8">
        <w:t xml:space="preserve"> similar appointment types will be merged to provide consistency in the requirements to be met and reduce duplication.</w:t>
      </w:r>
    </w:p>
    <w:p w:rsidR="00515BA2" w:rsidRPr="006A74F8" w:rsidRDefault="00515BA2" w:rsidP="00001B45">
      <w:pPr>
        <w:pStyle w:val="Heading4"/>
        <w:tabs>
          <w:tab w:val="left" w:pos="1134"/>
        </w:tabs>
        <w:rPr>
          <w:rFonts w:eastAsia="Arial"/>
        </w:rPr>
      </w:pPr>
      <w:r w:rsidRPr="006A74F8">
        <w:rPr>
          <w:rFonts w:eastAsia="Arial"/>
        </w:rPr>
        <w:t xml:space="preserve">Making </w:t>
      </w:r>
      <w:r w:rsidR="002B2443" w:rsidRPr="006A74F8">
        <w:rPr>
          <w:rFonts w:eastAsia="Arial"/>
        </w:rPr>
        <w:t>U</w:t>
      </w:r>
      <w:r w:rsidR="000A73B9" w:rsidRPr="006A74F8">
        <w:rPr>
          <w:rFonts w:eastAsia="Arial"/>
        </w:rPr>
        <w:t>tility Meter Verifier</w:t>
      </w:r>
      <w:r w:rsidR="002B2443" w:rsidRPr="006A74F8">
        <w:rPr>
          <w:rFonts w:eastAsia="Arial"/>
        </w:rPr>
        <w:t>s</w:t>
      </w:r>
      <w:r w:rsidRPr="006A74F8">
        <w:rPr>
          <w:rFonts w:eastAsia="Arial"/>
        </w:rPr>
        <w:t xml:space="preserve"> a class of Servicing Licence</w:t>
      </w:r>
    </w:p>
    <w:p w:rsidR="00515BA2" w:rsidRPr="006A74F8" w:rsidRDefault="002B2443" w:rsidP="006F428D">
      <w:pPr>
        <w:spacing w:before="120" w:after="120" w:line="240" w:lineRule="auto"/>
      </w:pPr>
      <w:r w:rsidRPr="006A74F8">
        <w:t>UMVs</w:t>
      </w:r>
      <w:r w:rsidR="009F34BE" w:rsidRPr="006A74F8">
        <w:t xml:space="preserve"> </w:t>
      </w:r>
      <w:r w:rsidR="00515BA2" w:rsidRPr="006A74F8">
        <w:rPr>
          <w:rFonts w:eastAsia="Arial" w:cs="Arial"/>
        </w:rPr>
        <w:t xml:space="preserve">and </w:t>
      </w:r>
      <w:r w:rsidR="009F34BE" w:rsidRPr="006A74F8">
        <w:rPr>
          <w:rFonts w:eastAsia="Arial" w:cs="Arial"/>
        </w:rPr>
        <w:t>S</w:t>
      </w:r>
      <w:r w:rsidR="00515BA2" w:rsidRPr="006A74F8">
        <w:rPr>
          <w:rFonts w:eastAsia="Arial" w:cs="Arial"/>
        </w:rPr>
        <w:t xml:space="preserve">ervicing </w:t>
      </w:r>
      <w:r w:rsidR="009F34BE" w:rsidRPr="006A74F8">
        <w:rPr>
          <w:rFonts w:eastAsia="Arial" w:cs="Arial"/>
        </w:rPr>
        <w:t>L</w:t>
      </w:r>
      <w:r w:rsidR="00515BA2" w:rsidRPr="006A74F8">
        <w:rPr>
          <w:rFonts w:eastAsia="Arial" w:cs="Arial"/>
        </w:rPr>
        <w:t>icensees are currently regulated separately</w:t>
      </w:r>
      <w:r w:rsidR="005A7CBB" w:rsidRPr="006A74F8">
        <w:rPr>
          <w:rFonts w:eastAsia="Arial" w:cs="Arial"/>
        </w:rPr>
        <w:t>,</w:t>
      </w:r>
      <w:r w:rsidR="00515BA2" w:rsidRPr="006A74F8">
        <w:rPr>
          <w:rFonts w:eastAsia="Arial" w:cs="Arial"/>
        </w:rPr>
        <w:t xml:space="preserve"> although their functions are similar. </w:t>
      </w:r>
      <w:r w:rsidR="00515BA2" w:rsidRPr="006A74F8">
        <w:t>Under</w:t>
      </w:r>
      <w:r w:rsidR="00515BA2" w:rsidRPr="006A74F8">
        <w:rPr>
          <w:b/>
        </w:rPr>
        <w:t xml:space="preserve"> option </w:t>
      </w:r>
      <w:r w:rsidR="005A7CBB" w:rsidRPr="006A74F8">
        <w:rPr>
          <w:b/>
        </w:rPr>
        <w:t>1</w:t>
      </w:r>
      <w:r w:rsidR="00515BA2" w:rsidRPr="006A74F8">
        <w:rPr>
          <w:b/>
        </w:rPr>
        <w:t xml:space="preserve"> </w:t>
      </w:r>
      <w:r w:rsidRPr="006A74F8">
        <w:t>UMVs</w:t>
      </w:r>
      <w:r w:rsidR="00515BA2" w:rsidRPr="006A74F8">
        <w:t xml:space="preserve"> will become a class of Servicing Licensee, aligning </w:t>
      </w:r>
      <w:r w:rsidR="00B94A7C" w:rsidRPr="006A74F8">
        <w:t xml:space="preserve">these </w:t>
      </w:r>
      <w:r w:rsidR="00515BA2" w:rsidRPr="006A74F8">
        <w:t>appointment</w:t>
      </w:r>
      <w:r w:rsidR="00B94A7C" w:rsidRPr="006A74F8">
        <w:t>s.</w:t>
      </w:r>
      <w:r w:rsidR="00515BA2" w:rsidRPr="006A74F8">
        <w:t xml:space="preserve">  </w:t>
      </w:r>
    </w:p>
    <w:p w:rsidR="00A25993" w:rsidRPr="006A74F8" w:rsidRDefault="00A25993" w:rsidP="006F428D">
      <w:r w:rsidRPr="006A74F8">
        <w:t>The alignment of appointment requirements would reduce costs for ATPs considering expanding their activities, potentially increasing the scope of services they can provide to clients</w:t>
      </w:r>
      <w:r w:rsidR="00CB081E" w:rsidRPr="006A74F8">
        <w:t xml:space="preserve"> due to less administrative and cost overhead associated with applying for a separate appointment</w:t>
      </w:r>
      <w:r w:rsidRPr="006A74F8">
        <w:t xml:space="preserve">. </w:t>
      </w:r>
    </w:p>
    <w:p w:rsidR="00515BA2" w:rsidRPr="006A74F8" w:rsidRDefault="00515BA2" w:rsidP="006F428D">
      <w:r w:rsidRPr="006A74F8">
        <w:t xml:space="preserve">This change </w:t>
      </w:r>
      <w:r w:rsidR="00A25993" w:rsidRPr="006A74F8">
        <w:t xml:space="preserve">also </w:t>
      </w:r>
      <w:r w:rsidRPr="006A74F8">
        <w:t xml:space="preserve">delivers greater regulatory oversight of </w:t>
      </w:r>
      <w:r w:rsidR="00426DEA" w:rsidRPr="006A74F8">
        <w:t>UMVs</w:t>
      </w:r>
      <w:r w:rsidR="009F34BE" w:rsidRPr="006A74F8">
        <w:t xml:space="preserve"> </w:t>
      </w:r>
      <w:r w:rsidRPr="006A74F8">
        <w:t xml:space="preserve">by </w:t>
      </w:r>
      <w:r w:rsidR="009F34BE" w:rsidRPr="006A74F8">
        <w:t>NMI</w:t>
      </w:r>
      <w:r w:rsidRPr="006A74F8">
        <w:t xml:space="preserve"> as the current requirements and inspection powers under the Act do not have the same flexibility or</w:t>
      </w:r>
      <w:r w:rsidR="009F34BE" w:rsidRPr="006A74F8">
        <w:t xml:space="preserve"> established procedures as for S</w:t>
      </w:r>
      <w:r w:rsidRPr="006A74F8">
        <w:t xml:space="preserve">ervicing </w:t>
      </w:r>
      <w:r w:rsidR="009F34BE" w:rsidRPr="006A74F8">
        <w:t>L</w:t>
      </w:r>
      <w:r w:rsidRPr="006A74F8">
        <w:t xml:space="preserve">icensees. </w:t>
      </w:r>
      <w:r w:rsidR="005221CE" w:rsidRPr="006A74F8">
        <w:t xml:space="preserve">NMI has limited awareness and oversight of activities undertaken by UMVs and is concerned </w:t>
      </w:r>
      <w:r w:rsidR="00D42061" w:rsidRPr="006A74F8">
        <w:t xml:space="preserve">whether </w:t>
      </w:r>
      <w:r w:rsidR="005221CE" w:rsidRPr="006A74F8">
        <w:t xml:space="preserve">there is a level of inconsistency in the UMV industry. </w:t>
      </w:r>
      <w:r w:rsidRPr="006A74F8">
        <w:t>Prov</w:t>
      </w:r>
      <w:r w:rsidR="009F34BE" w:rsidRPr="006A74F8">
        <w:t xml:space="preserve">iding regulatory treatment for </w:t>
      </w:r>
      <w:r w:rsidR="00693332" w:rsidRPr="006A74F8">
        <w:t>UMVs</w:t>
      </w:r>
      <w:r w:rsidRPr="006A74F8">
        <w:t xml:space="preserve"> that is better aligned with compliance and enforcement programs for </w:t>
      </w:r>
      <w:r w:rsidR="007466E1" w:rsidRPr="006A74F8">
        <w:t>S</w:t>
      </w:r>
      <w:r w:rsidRPr="006A74F8">
        <w:t xml:space="preserve">ervicing </w:t>
      </w:r>
      <w:r w:rsidR="007466E1" w:rsidRPr="006A74F8">
        <w:t>L</w:t>
      </w:r>
      <w:r w:rsidRPr="006A74F8">
        <w:t xml:space="preserve">icensees will </w:t>
      </w:r>
      <w:r w:rsidR="009F34BE" w:rsidRPr="006A74F8">
        <w:t xml:space="preserve">provide greater monitoring of performance outside the NATA accreditation framework than currently occurs. </w:t>
      </w:r>
      <w:r w:rsidRPr="006A74F8">
        <w:t>Options for demonstrating competency and additional reporting requirements are outlined below.</w:t>
      </w:r>
    </w:p>
    <w:p w:rsidR="00515BA2" w:rsidRPr="006A74F8" w:rsidRDefault="00515BA2" w:rsidP="00001B45">
      <w:pPr>
        <w:pStyle w:val="Heading4"/>
        <w:tabs>
          <w:tab w:val="left" w:pos="1134"/>
        </w:tabs>
      </w:pPr>
      <w:r w:rsidRPr="006A74F8">
        <w:t xml:space="preserve">Merging Certifying Authorities and Verifying Authorities </w:t>
      </w:r>
    </w:p>
    <w:p w:rsidR="00515BA2" w:rsidRPr="006A74F8" w:rsidRDefault="00515BA2" w:rsidP="006F428D">
      <w:r w:rsidRPr="006A74F8">
        <w:t xml:space="preserve">Certifying </w:t>
      </w:r>
      <w:r w:rsidR="0089481D" w:rsidRPr="006A74F8">
        <w:t>A</w:t>
      </w:r>
      <w:r w:rsidRPr="006A74F8">
        <w:t xml:space="preserve">uthorities and </w:t>
      </w:r>
      <w:r w:rsidR="0089481D" w:rsidRPr="006A74F8">
        <w:t>Verifying A</w:t>
      </w:r>
      <w:r w:rsidRPr="006A74F8">
        <w:t>uthorities are currently regulated under separate types of appointment</w:t>
      </w:r>
      <w:r w:rsidR="00D65FBD" w:rsidRPr="006A74F8">
        <w:t>s,</w:t>
      </w:r>
      <w:r w:rsidRPr="006A74F8">
        <w:t xml:space="preserve"> although their functions </w:t>
      </w:r>
      <w:r w:rsidR="00DC1637" w:rsidRPr="006A74F8">
        <w:t xml:space="preserve">as </w:t>
      </w:r>
      <w:r w:rsidR="00384EBE" w:rsidRPr="006A74F8">
        <w:t xml:space="preserve">appointed </w:t>
      </w:r>
      <w:r w:rsidR="00116AAF" w:rsidRPr="006A74F8">
        <w:t xml:space="preserve">calibration or testing </w:t>
      </w:r>
      <w:r w:rsidR="00DC1637" w:rsidRPr="006A74F8">
        <w:t>laboratories</w:t>
      </w:r>
      <w:r w:rsidRPr="006A74F8">
        <w:t xml:space="preserve"> are considered to be similar – i.e. the provision of calibration/traceability services throughout the economy. </w:t>
      </w:r>
    </w:p>
    <w:p w:rsidR="00515BA2" w:rsidRPr="006A74F8" w:rsidRDefault="00515BA2" w:rsidP="006F428D">
      <w:r w:rsidRPr="006A74F8">
        <w:t xml:space="preserve">Under </w:t>
      </w:r>
      <w:r w:rsidRPr="006A74F8">
        <w:rPr>
          <w:b/>
        </w:rPr>
        <w:t>option 1</w:t>
      </w:r>
      <w:r w:rsidRPr="006A74F8">
        <w:t xml:space="preserve"> merging </w:t>
      </w:r>
      <w:r w:rsidR="00665214" w:rsidRPr="006A74F8">
        <w:t xml:space="preserve">Certifying Authorities and Verifying Authorities </w:t>
      </w:r>
      <w:r w:rsidR="0069760F" w:rsidRPr="006A74F8">
        <w:t xml:space="preserve">under a single appointment mechanism </w:t>
      </w:r>
      <w:r w:rsidRPr="006A74F8">
        <w:t xml:space="preserve">will </w:t>
      </w:r>
      <w:r w:rsidR="00665214" w:rsidRPr="006A74F8">
        <w:t>align similar functions under the legislation</w:t>
      </w:r>
      <w:r w:rsidRPr="006A74F8">
        <w:t>.</w:t>
      </w:r>
      <w:r w:rsidR="009569D6" w:rsidRPr="006A74F8">
        <w:t xml:space="preserve"> </w:t>
      </w:r>
      <w:r w:rsidR="00E431A7" w:rsidRPr="006A74F8">
        <w:t xml:space="preserve">There </w:t>
      </w:r>
      <w:r w:rsidR="00C633D9" w:rsidRPr="006A74F8">
        <w:t>may</w:t>
      </w:r>
      <w:r w:rsidR="00E431A7" w:rsidRPr="006A74F8">
        <w:t xml:space="preserve"> be an a</w:t>
      </w:r>
      <w:r w:rsidR="00CB081E" w:rsidRPr="006A74F8">
        <w:t xml:space="preserve">dministrative saving for those entities </w:t>
      </w:r>
      <w:r w:rsidR="00C633D9" w:rsidRPr="006A74F8">
        <w:t xml:space="preserve">choosing </w:t>
      </w:r>
      <w:r w:rsidR="00CB081E" w:rsidRPr="006A74F8">
        <w:t xml:space="preserve">to provide both certifying and verifying services. </w:t>
      </w:r>
    </w:p>
    <w:p w:rsidR="00515BA2" w:rsidRPr="006A74F8" w:rsidRDefault="00515BA2" w:rsidP="00001B45">
      <w:pPr>
        <w:pStyle w:val="Heading4"/>
        <w:tabs>
          <w:tab w:val="left" w:pos="1134"/>
        </w:tabs>
      </w:pPr>
      <w:r w:rsidRPr="006A74F8">
        <w:lastRenderedPageBreak/>
        <w:t xml:space="preserve">Flexible </w:t>
      </w:r>
      <w:r w:rsidR="0043533E" w:rsidRPr="006A74F8">
        <w:t>appointment t</w:t>
      </w:r>
      <w:r w:rsidRPr="006A74F8">
        <w:t>ypes</w:t>
      </w:r>
    </w:p>
    <w:p w:rsidR="00390FB1" w:rsidRPr="006A74F8" w:rsidRDefault="00390FB1" w:rsidP="006F428D">
      <w:r w:rsidRPr="006A74F8">
        <w:t xml:space="preserve">Under </w:t>
      </w:r>
      <w:r w:rsidRPr="006A74F8">
        <w:rPr>
          <w:b/>
        </w:rPr>
        <w:t>options 2 and 3</w:t>
      </w:r>
      <w:r w:rsidR="00992445" w:rsidRPr="006A74F8">
        <w:t>,</w:t>
      </w:r>
      <w:r w:rsidR="00E3654E" w:rsidRPr="006A74F8">
        <w:t xml:space="preserve"> a single administrative mechanism in the legislation </w:t>
      </w:r>
      <w:r w:rsidR="00E22B9F" w:rsidRPr="006A74F8">
        <w:t xml:space="preserve">will be used </w:t>
      </w:r>
      <w:r w:rsidR="00E3654E" w:rsidRPr="006A74F8">
        <w:t xml:space="preserve">to appoint an ATP, authorising them </w:t>
      </w:r>
      <w:r w:rsidR="006E21E5" w:rsidRPr="006A74F8">
        <w:t xml:space="preserve">to </w:t>
      </w:r>
      <w:r w:rsidR="00E3654E" w:rsidRPr="006A74F8">
        <w:t xml:space="preserve">perform certain distinct functions outlined in the regulations. These authorised functions will align with existing ATP categories (e.g. Servicing Licensees, Public Weighbridge Licensees, UMVs, </w:t>
      </w:r>
      <w:r w:rsidR="002C776B" w:rsidRPr="006A74F8">
        <w:t>V</w:t>
      </w:r>
      <w:r w:rsidR="00E3654E" w:rsidRPr="006A74F8">
        <w:t xml:space="preserve">erifying </w:t>
      </w:r>
      <w:r w:rsidR="002C776B" w:rsidRPr="006A74F8">
        <w:t>A</w:t>
      </w:r>
      <w:r w:rsidR="00E3654E" w:rsidRPr="006A74F8">
        <w:t xml:space="preserve">uthorities, </w:t>
      </w:r>
      <w:r w:rsidR="002C776B" w:rsidRPr="006A74F8">
        <w:t>C</w:t>
      </w:r>
      <w:r w:rsidR="00E3654E" w:rsidRPr="006A74F8">
        <w:t xml:space="preserve">ertifying </w:t>
      </w:r>
      <w:r w:rsidR="002C776B" w:rsidRPr="006A74F8">
        <w:t>A</w:t>
      </w:r>
      <w:r w:rsidR="00E3654E" w:rsidRPr="006A74F8">
        <w:t xml:space="preserve">uthorities and </w:t>
      </w:r>
      <w:r w:rsidR="002C776B" w:rsidRPr="006A74F8">
        <w:t>A</w:t>
      </w:r>
      <w:r w:rsidR="00E3654E" w:rsidRPr="006A74F8">
        <w:t xml:space="preserve">pproving </w:t>
      </w:r>
      <w:r w:rsidR="002C776B" w:rsidRPr="006A74F8">
        <w:t>A</w:t>
      </w:r>
      <w:r w:rsidR="00E3654E" w:rsidRPr="006A74F8">
        <w:t xml:space="preserve">uthorities). </w:t>
      </w:r>
      <w:r w:rsidR="004D407E" w:rsidRPr="006A74F8">
        <w:t>It</w:t>
      </w:r>
      <w:r w:rsidR="00E3654E" w:rsidRPr="006A74F8">
        <w:t xml:space="preserve"> will also be </w:t>
      </w:r>
      <w:r w:rsidR="004D407E" w:rsidRPr="006A74F8">
        <w:t>possible to authorise ATPs to perform functions outside of existing categories</w:t>
      </w:r>
      <w:r w:rsidR="00E3654E" w:rsidRPr="006A74F8">
        <w:t xml:space="preserve"> to enable performance of “other metrological functions as determined by the Chief Metrologist</w:t>
      </w:r>
      <w:r w:rsidR="004D407E" w:rsidRPr="006A74F8">
        <w:t>”,</w:t>
      </w:r>
      <w:r w:rsidR="00E3654E" w:rsidRPr="006A74F8">
        <w:t xml:space="preserve"> to accommodate future functions that may not fit within existing categories.</w:t>
      </w:r>
      <w:r w:rsidR="00992445" w:rsidRPr="006A74F8">
        <w:t xml:space="preserve"> </w:t>
      </w:r>
    </w:p>
    <w:p w:rsidR="00947222" w:rsidRPr="006A74F8" w:rsidRDefault="00E3654E" w:rsidP="006F428D">
      <w:r w:rsidRPr="006A74F8">
        <w:t xml:space="preserve">Utilising a single legislative appointment mechanism will offer a small reduction in administrative costs for some ATPs and introducing a </w:t>
      </w:r>
      <w:r w:rsidR="0004587C" w:rsidRPr="006A74F8">
        <w:t xml:space="preserve">new </w:t>
      </w:r>
      <w:r w:rsidR="003E3B1E" w:rsidRPr="006A74F8">
        <w:t>“</w:t>
      </w:r>
      <w:r w:rsidRPr="006A74F8">
        <w:t>general</w:t>
      </w:r>
      <w:r w:rsidR="003E3B1E" w:rsidRPr="006A74F8">
        <w:t>”</w:t>
      </w:r>
      <w:r w:rsidRPr="006A74F8">
        <w:t xml:space="preserve"> category will better support current and emerging measurement needs, innovative instrument types and potentially accommodate new types of ATP appointments in the future. Under </w:t>
      </w:r>
      <w:r w:rsidRPr="006A74F8">
        <w:rPr>
          <w:b/>
        </w:rPr>
        <w:t>all options</w:t>
      </w:r>
      <w:r w:rsidRPr="006A74F8">
        <w:t>, existing appointments and licences will be maintained on transition to the new appointment framework, with transitional arrangements established</w:t>
      </w:r>
      <w:r w:rsidR="00AC575C" w:rsidRPr="006A74F8">
        <w:t xml:space="preserve"> to eventually move all appointments to new arrangements</w:t>
      </w:r>
      <w:r w:rsidRPr="006A74F8">
        <w:t>.</w:t>
      </w:r>
    </w:p>
    <w:p w:rsidR="00996C41" w:rsidRPr="006A74F8" w:rsidRDefault="00A40103" w:rsidP="006F428D">
      <w:r w:rsidRPr="006A74F8">
        <w:t>A risk-</w:t>
      </w:r>
      <w:r w:rsidR="00390FB1" w:rsidRPr="006A74F8">
        <w:t xml:space="preserve">based approach will be used in </w:t>
      </w:r>
      <w:r w:rsidR="00390FB1" w:rsidRPr="006A74F8">
        <w:rPr>
          <w:b/>
        </w:rPr>
        <w:t>options 2 and 3</w:t>
      </w:r>
      <w:r w:rsidR="00390FB1" w:rsidRPr="006A74F8">
        <w:t xml:space="preserve"> to determine the suitability and nature of </w:t>
      </w:r>
      <w:r w:rsidR="0004587C" w:rsidRPr="006A74F8">
        <w:t xml:space="preserve">any new functions </w:t>
      </w:r>
      <w:r w:rsidR="003E3B1E" w:rsidRPr="006A74F8">
        <w:t xml:space="preserve">introduced under the “general” category </w:t>
      </w:r>
      <w:r w:rsidR="00390FB1" w:rsidRPr="006A74F8">
        <w:t>following consultation with industry.</w:t>
      </w:r>
      <w:r w:rsidR="00996C41" w:rsidRPr="006A74F8">
        <w:t xml:space="preserve"> </w:t>
      </w:r>
    </w:p>
    <w:p w:rsidR="00D03578" w:rsidRPr="006A74F8" w:rsidRDefault="00D03578" w:rsidP="00001B45">
      <w:pPr>
        <w:pStyle w:val="Heading4"/>
        <w:tabs>
          <w:tab w:val="left" w:pos="1134"/>
        </w:tabs>
      </w:pPr>
      <w:r w:rsidRPr="006A74F8">
        <w:t>Change to regulatory burden</w:t>
      </w:r>
    </w:p>
    <w:p w:rsidR="00273553" w:rsidRPr="006A74F8" w:rsidRDefault="00D03578" w:rsidP="006F428D">
      <w:pPr>
        <w:spacing w:after="100" w:afterAutospacing="1"/>
      </w:pPr>
      <w:r w:rsidRPr="006A74F8">
        <w:t xml:space="preserve">Across </w:t>
      </w:r>
      <w:r w:rsidRPr="006A74F8">
        <w:rPr>
          <w:b/>
        </w:rPr>
        <w:t>all options</w:t>
      </w:r>
      <w:r w:rsidR="00E65767" w:rsidRPr="006A74F8">
        <w:t xml:space="preserve"> a </w:t>
      </w:r>
      <w:r w:rsidR="00273553" w:rsidRPr="006A74F8">
        <w:t>slight</w:t>
      </w:r>
      <w:r w:rsidRPr="006A74F8">
        <w:t xml:space="preserve"> reduction in regulatory burden </w:t>
      </w:r>
      <w:r w:rsidR="00273553" w:rsidRPr="006A74F8">
        <w:t xml:space="preserve">is expected </w:t>
      </w:r>
      <w:r w:rsidRPr="006A74F8">
        <w:t xml:space="preserve">as a result of reduced </w:t>
      </w:r>
      <w:r w:rsidR="009147B7" w:rsidRPr="006A74F8">
        <w:t xml:space="preserve">administrative burden associated with </w:t>
      </w:r>
      <w:r w:rsidRPr="006A74F8">
        <w:t xml:space="preserve">application processes. </w:t>
      </w:r>
      <w:r w:rsidR="00273553" w:rsidRPr="006A74F8">
        <w:t>This benefit will primarily impact ATPs who hold multiple licence classes or who hold multiple appointment types, as each licence or appointment requires a separate application</w:t>
      </w:r>
      <w:r w:rsidR="00662E51" w:rsidRPr="006A74F8">
        <w:t xml:space="preserve"> and</w:t>
      </w:r>
      <w:r w:rsidR="00273553" w:rsidRPr="006A74F8">
        <w:t xml:space="preserve"> renewal. The current estimated cost of licences and appointments </w:t>
      </w:r>
      <w:r w:rsidR="00E65767" w:rsidRPr="006A74F8">
        <w:t>is $1.</w:t>
      </w:r>
      <w:r w:rsidR="00FC264C" w:rsidRPr="006A74F8">
        <w:t>2</w:t>
      </w:r>
      <w:r w:rsidR="00E65767" w:rsidRPr="006A74F8">
        <w:t>m for a total number of 617 ATPs.</w:t>
      </w:r>
      <w:r w:rsidR="00273553" w:rsidRPr="006A74F8">
        <w:t xml:space="preserve"> </w:t>
      </w:r>
      <w:r w:rsidR="00CB3B1F" w:rsidRPr="006A74F8">
        <w:t xml:space="preserve">Refer to </w:t>
      </w:r>
      <w:hyperlink w:anchor="_Appendix_13:_Costing" w:history="1">
        <w:r w:rsidR="00C11B00" w:rsidRPr="006A74F8">
          <w:rPr>
            <w:rStyle w:val="Hyperlink"/>
          </w:rPr>
          <w:t>Appendix 1</w:t>
        </w:r>
        <w:r w:rsidR="00EF187D" w:rsidRPr="006A74F8">
          <w:rPr>
            <w:rStyle w:val="Hyperlink"/>
          </w:rPr>
          <w:t>2</w:t>
        </w:r>
        <w:r w:rsidR="00C11B00" w:rsidRPr="006A74F8">
          <w:rPr>
            <w:rStyle w:val="Hyperlink"/>
          </w:rPr>
          <w:t>: Costing the regulatory burden on Authorised Third Parties</w:t>
        </w:r>
      </w:hyperlink>
      <w:r w:rsidR="00CB3B1F" w:rsidRPr="006A74F8">
        <w:t xml:space="preserve"> for further information.</w:t>
      </w:r>
    </w:p>
    <w:p w:rsidR="00273553" w:rsidRPr="006A74F8" w:rsidRDefault="00273553" w:rsidP="006F428D">
      <w:pPr>
        <w:spacing w:after="100" w:afterAutospacing="1"/>
      </w:pPr>
      <w:r w:rsidRPr="006A74F8">
        <w:t xml:space="preserve">For </w:t>
      </w:r>
      <w:r w:rsidRPr="006A74F8">
        <w:rPr>
          <w:b/>
        </w:rPr>
        <w:t>option 1</w:t>
      </w:r>
      <w:r w:rsidR="00E65767" w:rsidRPr="006A74F8">
        <w:t>,</w:t>
      </w:r>
      <w:r w:rsidRPr="006A74F8">
        <w:t xml:space="preserve"> where similar ATP types are merged, reducing six appointment types to </w:t>
      </w:r>
      <w:r w:rsidR="009821F2" w:rsidRPr="006A74F8">
        <w:t>four</w:t>
      </w:r>
      <w:r w:rsidRPr="006A74F8">
        <w:t>, and the number of Servicing Licence classes and sub classes is reduced</w:t>
      </w:r>
      <w:r w:rsidR="00A27F2B" w:rsidRPr="006A74F8">
        <w:t>,</w:t>
      </w:r>
      <w:r w:rsidRPr="006A74F8">
        <w:t xml:space="preserve"> </w:t>
      </w:r>
      <w:r w:rsidR="00E65767" w:rsidRPr="006A74F8">
        <w:t>the number of ATPs impacted by this change is estimated to be 244.</w:t>
      </w:r>
    </w:p>
    <w:p w:rsidR="00E65767" w:rsidRDefault="00E65767" w:rsidP="006F428D">
      <w:pPr>
        <w:spacing w:after="100" w:afterAutospacing="1"/>
      </w:pPr>
      <w:r w:rsidRPr="006A74F8">
        <w:t xml:space="preserve">In </w:t>
      </w:r>
      <w:r w:rsidRPr="006A74F8">
        <w:rPr>
          <w:b/>
        </w:rPr>
        <w:t>options 2 and 3</w:t>
      </w:r>
      <w:r w:rsidRPr="006A74F8">
        <w:t>, where ATP</w:t>
      </w:r>
      <w:r w:rsidR="00A27F2B" w:rsidRPr="006A74F8">
        <w:t>s are</w:t>
      </w:r>
      <w:r w:rsidRPr="006A74F8">
        <w:t xml:space="preserve"> appoint</w:t>
      </w:r>
      <w:r w:rsidR="00A27F2B" w:rsidRPr="006A74F8">
        <w:t xml:space="preserve">ed </w:t>
      </w:r>
      <w:r w:rsidR="0086036C" w:rsidRPr="006A74F8">
        <w:t>via</w:t>
      </w:r>
      <w:r w:rsidRPr="006A74F8" w:rsidDel="00A27F2B">
        <w:t xml:space="preserve"> </w:t>
      </w:r>
      <w:r w:rsidRPr="006A74F8">
        <w:t xml:space="preserve">a single appointment </w:t>
      </w:r>
      <w:r w:rsidR="00A27F2B" w:rsidRPr="006A74F8">
        <w:t>mechanism</w:t>
      </w:r>
      <w:r w:rsidRPr="006A74F8">
        <w:t>,</w:t>
      </w:r>
      <w:r w:rsidR="00A27F2B" w:rsidRPr="006A74F8">
        <w:t xml:space="preserve"> and the number of Servicing Licence classes and sub classes is reduced,</w:t>
      </w:r>
      <w:r w:rsidRPr="006A74F8">
        <w:t xml:space="preserve"> the number of ATPs impacted by the change is </w:t>
      </w:r>
      <w:r w:rsidR="00F24E5E" w:rsidRPr="006A74F8">
        <w:t xml:space="preserve">thought </w:t>
      </w:r>
      <w:r w:rsidRPr="006A74F8">
        <w:t xml:space="preserve">to be 259, but this could potentially extend to all 617 ATPs depending on </w:t>
      </w:r>
      <w:r w:rsidR="004A097C" w:rsidRPr="006A74F8">
        <w:t xml:space="preserve">potential </w:t>
      </w:r>
      <w:r w:rsidRPr="006A74F8">
        <w:t>efficiency gains through</w:t>
      </w:r>
      <w:r w:rsidRPr="006A74F8" w:rsidDel="00A27F2B">
        <w:t xml:space="preserve"> </w:t>
      </w:r>
      <w:r w:rsidRPr="006A74F8">
        <w:t>reduced costs for appointments to be amended, rather than applying for new separate appointments.</w:t>
      </w:r>
    </w:p>
    <w:p w:rsidR="003C72E2" w:rsidRDefault="003C72E2" w:rsidP="006F428D">
      <w:pPr>
        <w:spacing w:after="100" w:afterAutospacing="1"/>
      </w:pPr>
    </w:p>
    <w:p w:rsidR="003C72E2" w:rsidRPr="006A74F8" w:rsidRDefault="003C72E2" w:rsidP="003C72E2">
      <w:r>
        <w:br w:type="page"/>
      </w:r>
    </w:p>
    <w:p w:rsidR="00515BA2" w:rsidRPr="006A74F8" w:rsidRDefault="00C65908" w:rsidP="00001B45">
      <w:pPr>
        <w:pStyle w:val="Heading3"/>
        <w:tabs>
          <w:tab w:val="left" w:pos="993"/>
        </w:tabs>
      </w:pPr>
      <w:bookmarkStart w:id="2317" w:name="_Toc67390613"/>
      <w:r w:rsidRPr="006A74F8">
        <w:lastRenderedPageBreak/>
        <w:t xml:space="preserve">Fit for purpose </w:t>
      </w:r>
      <w:r w:rsidR="00515BA2" w:rsidRPr="006A74F8">
        <w:t>competency pathways</w:t>
      </w:r>
      <w:r w:rsidRPr="006A74F8">
        <w:t xml:space="preserve"> for ATPs</w:t>
      </w:r>
      <w:bookmarkEnd w:id="2317"/>
    </w:p>
    <w:tbl>
      <w:tblPr>
        <w:tblStyle w:val="PlainTable2"/>
        <w:tblW w:w="8875" w:type="dxa"/>
        <w:tblLayout w:type="fixed"/>
        <w:tblLook w:val="04A0" w:firstRow="1" w:lastRow="0" w:firstColumn="1" w:lastColumn="0" w:noHBand="0" w:noVBand="1"/>
        <w:tblCaption w:val="14.3 Fit for purpose competency pathways for ATPs"/>
        <w:tblDescription w:val="Fit for purpose competency pathways for ATPs. Options 1 to 3 are rated +1, slight beneficial. &#10;Across all options ATPs will continue to be appointed on the basis of competency or fitness to perform the task expected of them. NMI will have the flexibility to set the competency framework that is most appropriate to the role that a particular type of ATP will perform.  In some instances this may reduce the cost and time burden associated with maintaining multiple qualifications or accreditations in order to demonstrate competency.&#10;"/>
      </w:tblPr>
      <w:tblGrid>
        <w:gridCol w:w="1830"/>
        <w:gridCol w:w="635"/>
        <w:gridCol w:w="635"/>
        <w:gridCol w:w="635"/>
        <w:gridCol w:w="5140"/>
      </w:tblGrid>
      <w:tr w:rsidR="00467580" w:rsidRPr="006A74F8"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12" w:space="0" w:color="auto"/>
            </w:tcBorders>
            <w:vAlign w:val="center"/>
          </w:tcPr>
          <w:p w:rsidR="00467580" w:rsidRPr="006A74F8" w:rsidRDefault="00467580" w:rsidP="00AE7B79">
            <w:r w:rsidRPr="006A74F8">
              <w:t>Impact</w:t>
            </w:r>
          </w:p>
        </w:tc>
        <w:tc>
          <w:tcPr>
            <w:tcW w:w="1905" w:type="dxa"/>
            <w:gridSpan w:val="3"/>
            <w:tcBorders>
              <w:top w:val="single" w:sz="12" w:space="0" w:color="auto"/>
              <w:bottom w:val="nil"/>
            </w:tcBorders>
            <w:vAlign w:val="center"/>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40" w:type="dxa"/>
            <w:vMerge w:val="restart"/>
            <w:tcBorders>
              <w:top w:val="single" w:sz="12" w:space="0" w:color="auto"/>
            </w:tcBorders>
            <w:vAlign w:val="center"/>
          </w:tcPr>
          <w:p w:rsidR="00467580" w:rsidRPr="006A74F8" w:rsidRDefault="00467580" w:rsidP="00AE7B79">
            <w:pPr>
              <w:cnfStyle w:val="100000000000" w:firstRow="1" w:lastRow="0" w:firstColumn="0" w:lastColumn="0" w:oddVBand="0" w:evenVBand="0" w:oddHBand="0" w:evenHBand="0" w:firstRowFirstColumn="0" w:firstRowLastColumn="0" w:lastRowFirstColumn="0" w:lastRowLastColumn="0"/>
            </w:pPr>
            <w:r w:rsidRPr="006A74F8">
              <w:t>Explanation</w:t>
            </w:r>
          </w:p>
        </w:tc>
      </w:tr>
      <w:tr w:rsidR="00467580" w:rsidRPr="006A74F8"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30" w:type="dxa"/>
            <w:vMerge/>
            <w:tcBorders>
              <w:bottom w:val="double" w:sz="4" w:space="0" w:color="auto"/>
            </w:tcBorders>
          </w:tcPr>
          <w:p w:rsidR="00467580" w:rsidRPr="006A74F8" w:rsidRDefault="00467580" w:rsidP="00AE7B79"/>
        </w:tc>
        <w:tc>
          <w:tcPr>
            <w:tcW w:w="635" w:type="dxa"/>
            <w:tcBorders>
              <w:top w:val="nil"/>
              <w:bottom w:val="double" w:sz="4" w:space="0" w:color="auto"/>
            </w:tcBorders>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5" w:type="dxa"/>
            <w:tcBorders>
              <w:top w:val="nil"/>
              <w:bottom w:val="double" w:sz="4" w:space="0" w:color="auto"/>
            </w:tcBorders>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5" w:type="dxa"/>
            <w:tcBorders>
              <w:top w:val="nil"/>
              <w:bottom w:val="double" w:sz="4" w:space="0" w:color="auto"/>
            </w:tcBorders>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40" w:type="dxa"/>
            <w:vMerge/>
            <w:tcBorders>
              <w:bottom w:val="double" w:sz="4" w:space="0" w:color="auto"/>
            </w:tcBorders>
          </w:tcPr>
          <w:p w:rsidR="00467580" w:rsidRPr="006A74F8" w:rsidRDefault="00467580" w:rsidP="00AE7B79">
            <w:pPr>
              <w:cnfStyle w:val="100000000000" w:firstRow="1" w:lastRow="0" w:firstColumn="0" w:lastColumn="0" w:oddVBand="0" w:evenVBand="0" w:oddHBand="0" w:evenHBand="0" w:firstRowFirstColumn="0" w:firstRowLastColumn="0" w:lastRowFirstColumn="0" w:lastRowLastColumn="0"/>
            </w:pPr>
          </w:p>
        </w:tc>
      </w:tr>
      <w:tr w:rsidR="00467580"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vAlign w:val="center"/>
          </w:tcPr>
          <w:p w:rsidR="00467580" w:rsidRPr="006A74F8" w:rsidRDefault="00467580" w:rsidP="00AE7B79">
            <w:pPr>
              <w:rPr>
                <w:rFonts w:asciiTheme="majorHAnsi" w:eastAsia="Calibri" w:hAnsiTheme="majorHAnsi" w:cstheme="majorHAnsi"/>
                <w:b w:val="0"/>
                <w:sz w:val="20"/>
                <w:szCs w:val="20"/>
              </w:rPr>
            </w:pPr>
            <w:r w:rsidRPr="006A74F8">
              <w:rPr>
                <w:rFonts w:asciiTheme="majorHAnsi" w:hAnsiTheme="majorHAnsi" w:cstheme="majorHAnsi"/>
                <w:b w:val="0"/>
                <w:sz w:val="20"/>
                <w:szCs w:val="20"/>
              </w:rPr>
              <w:t>Fit for purpose competency pathways for ATPs</w:t>
            </w:r>
          </w:p>
        </w:tc>
        <w:tc>
          <w:tcPr>
            <w:tcW w:w="635" w:type="dxa"/>
            <w:tcBorders>
              <w:right w:val="single" w:sz="4" w:space="0" w:color="FFFFFF" w:themeColor="background1"/>
            </w:tcBorders>
            <w:shd w:val="clear" w:color="auto" w:fill="ACD7CA"/>
            <w:vAlign w:val="center"/>
          </w:tcPr>
          <w:p w:rsidR="00467580" w:rsidRPr="006A74F8"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35" w:type="dxa"/>
            <w:tcBorders>
              <w:left w:val="single" w:sz="4" w:space="0" w:color="FFFFFF" w:themeColor="background1"/>
              <w:right w:val="single" w:sz="4" w:space="0" w:color="FFFFFF" w:themeColor="background1"/>
            </w:tcBorders>
            <w:shd w:val="clear" w:color="auto" w:fill="ACD7CA"/>
            <w:vAlign w:val="center"/>
          </w:tcPr>
          <w:p w:rsidR="00467580" w:rsidRPr="006A74F8"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35" w:type="dxa"/>
            <w:tcBorders>
              <w:left w:val="single" w:sz="4" w:space="0" w:color="FFFFFF" w:themeColor="background1"/>
            </w:tcBorders>
            <w:shd w:val="clear" w:color="auto" w:fill="ACD7CA"/>
            <w:vAlign w:val="center"/>
          </w:tcPr>
          <w:p w:rsidR="00467580" w:rsidRPr="006A74F8"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5140" w:type="dxa"/>
            <w:vAlign w:val="center"/>
          </w:tcPr>
          <w:p w:rsidR="00467580" w:rsidRPr="006A74F8" w:rsidRDefault="00467580"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Fit for purpose competency pathways for ATPs</w:t>
            </w:r>
            <w:r w:rsidRPr="006A74F8">
              <w:rPr>
                <w:rFonts w:asciiTheme="majorHAnsi" w:hAnsiTheme="majorHAnsi" w:cstheme="majorHAnsi"/>
                <w:sz w:val="20"/>
                <w:szCs w:val="20"/>
              </w:rPr>
              <w:t xml:space="preserve">: Across </w:t>
            </w:r>
            <w:r w:rsidRPr="006A74F8">
              <w:rPr>
                <w:rFonts w:asciiTheme="majorHAnsi" w:hAnsiTheme="majorHAnsi" w:cstheme="majorHAnsi"/>
                <w:b/>
                <w:sz w:val="20"/>
                <w:szCs w:val="20"/>
              </w:rPr>
              <w:t>all options</w:t>
            </w:r>
            <w:r w:rsidRPr="006A74F8">
              <w:rPr>
                <w:rFonts w:asciiTheme="majorHAnsi" w:hAnsiTheme="majorHAnsi" w:cstheme="majorHAnsi"/>
                <w:sz w:val="20"/>
                <w:szCs w:val="20"/>
              </w:rPr>
              <w:t xml:space="preserve"> ATPs will continue to be appointed on the basis of competency or fitness to perform the task expected of them. </w:t>
            </w:r>
            <w:r w:rsidR="00ED2AA6" w:rsidRPr="006A74F8">
              <w:rPr>
                <w:rFonts w:asciiTheme="majorHAnsi" w:hAnsiTheme="majorHAnsi" w:cstheme="majorHAnsi"/>
                <w:sz w:val="20"/>
                <w:szCs w:val="20"/>
              </w:rPr>
              <w:t>Some</w:t>
            </w:r>
            <w:r w:rsidRPr="006A74F8">
              <w:rPr>
                <w:rFonts w:asciiTheme="majorHAnsi" w:hAnsiTheme="majorHAnsi" w:cstheme="majorHAnsi"/>
                <w:sz w:val="20"/>
                <w:szCs w:val="20"/>
              </w:rPr>
              <w:t xml:space="preserve"> flexibility </w:t>
            </w:r>
            <w:r w:rsidR="006809DE" w:rsidRPr="006A74F8">
              <w:rPr>
                <w:rFonts w:asciiTheme="majorHAnsi" w:hAnsiTheme="majorHAnsi" w:cstheme="majorHAnsi"/>
                <w:sz w:val="20"/>
                <w:szCs w:val="20"/>
              </w:rPr>
              <w:t>introduced</w:t>
            </w:r>
            <w:r w:rsidRPr="006A74F8">
              <w:rPr>
                <w:rFonts w:asciiTheme="majorHAnsi" w:hAnsiTheme="majorHAnsi" w:cstheme="majorHAnsi"/>
                <w:sz w:val="20"/>
                <w:szCs w:val="20"/>
              </w:rPr>
              <w:t xml:space="preserve"> </w:t>
            </w:r>
            <w:r w:rsidR="006809DE" w:rsidRPr="006A74F8">
              <w:rPr>
                <w:rFonts w:asciiTheme="majorHAnsi" w:hAnsiTheme="majorHAnsi" w:cstheme="majorHAnsi"/>
                <w:sz w:val="20"/>
                <w:szCs w:val="20"/>
              </w:rPr>
              <w:t xml:space="preserve">as </w:t>
            </w:r>
            <w:r w:rsidRPr="006A74F8">
              <w:rPr>
                <w:rFonts w:asciiTheme="majorHAnsi" w:hAnsiTheme="majorHAnsi" w:cstheme="majorHAnsi"/>
                <w:sz w:val="20"/>
                <w:szCs w:val="20"/>
              </w:rPr>
              <w:t xml:space="preserve">to </w:t>
            </w:r>
            <w:r w:rsidR="006809DE" w:rsidRPr="006A74F8">
              <w:rPr>
                <w:rFonts w:asciiTheme="majorHAnsi" w:hAnsiTheme="majorHAnsi" w:cstheme="majorHAnsi"/>
                <w:sz w:val="20"/>
                <w:szCs w:val="20"/>
              </w:rPr>
              <w:t xml:space="preserve">how competency can be demonstrated </w:t>
            </w:r>
            <w:r w:rsidRPr="006A74F8">
              <w:rPr>
                <w:rFonts w:asciiTheme="majorHAnsi" w:hAnsiTheme="majorHAnsi" w:cstheme="majorHAnsi"/>
                <w:sz w:val="20"/>
                <w:szCs w:val="20"/>
              </w:rPr>
              <w:t xml:space="preserve">to </w:t>
            </w:r>
            <w:r w:rsidR="006809DE" w:rsidRPr="006A74F8">
              <w:rPr>
                <w:rFonts w:asciiTheme="majorHAnsi" w:hAnsiTheme="majorHAnsi" w:cstheme="majorHAnsi"/>
                <w:sz w:val="20"/>
                <w:szCs w:val="20"/>
              </w:rPr>
              <w:t xml:space="preserve">accommodate future </w:t>
            </w:r>
            <w:r w:rsidR="00ED2AA6" w:rsidRPr="006A74F8">
              <w:rPr>
                <w:rFonts w:asciiTheme="majorHAnsi" w:hAnsiTheme="majorHAnsi" w:cstheme="majorHAnsi"/>
                <w:sz w:val="20"/>
                <w:szCs w:val="20"/>
              </w:rPr>
              <w:t>needs.</w:t>
            </w:r>
            <w:r w:rsidRPr="006A74F8">
              <w:rPr>
                <w:rFonts w:asciiTheme="majorHAnsi" w:hAnsiTheme="majorHAnsi" w:cstheme="majorHAnsi"/>
                <w:sz w:val="20"/>
                <w:szCs w:val="20"/>
              </w:rPr>
              <w:t xml:space="preserve"> </w:t>
            </w:r>
            <w:r w:rsidR="006809DE" w:rsidRPr="006A74F8">
              <w:rPr>
                <w:rFonts w:asciiTheme="majorHAnsi" w:hAnsiTheme="majorHAnsi" w:cstheme="majorHAnsi"/>
                <w:sz w:val="20"/>
                <w:szCs w:val="20"/>
              </w:rPr>
              <w:t xml:space="preserve">Simplification of appointments and reduction in the number of licensing subclass </w:t>
            </w:r>
            <w:r w:rsidR="00ED2AA6" w:rsidRPr="006A74F8">
              <w:rPr>
                <w:rFonts w:asciiTheme="majorHAnsi" w:hAnsiTheme="majorHAnsi" w:cstheme="majorHAnsi"/>
                <w:sz w:val="20"/>
                <w:szCs w:val="20"/>
              </w:rPr>
              <w:t>categories</w:t>
            </w:r>
            <w:r w:rsidRPr="006A74F8">
              <w:rPr>
                <w:rFonts w:asciiTheme="majorHAnsi" w:hAnsiTheme="majorHAnsi" w:cstheme="majorHAnsi"/>
                <w:sz w:val="20"/>
                <w:szCs w:val="20"/>
              </w:rPr>
              <w:t xml:space="preserve"> may reduce the cost and time burden associated with maintaining multiple qualifications.</w:t>
            </w:r>
          </w:p>
        </w:tc>
      </w:tr>
    </w:tbl>
    <w:p w:rsidR="00D10B00" w:rsidRPr="006A74F8" w:rsidRDefault="00D10B00" w:rsidP="00467580">
      <w:pPr>
        <w:spacing w:before="240"/>
      </w:pPr>
      <w:r w:rsidRPr="006A74F8">
        <w:t xml:space="preserve">Currently, where ATPs hold multiple appointments, there is additional time and cost burden to them to both obtain and maintain the required qualifications or accreditations to demonstrate competency. </w:t>
      </w:r>
    </w:p>
    <w:p w:rsidR="00D3239E" w:rsidRPr="006A74F8" w:rsidRDefault="00515BA2" w:rsidP="006F428D">
      <w:r w:rsidRPr="006A74F8">
        <w:t xml:space="preserve">Under </w:t>
      </w:r>
      <w:r w:rsidRPr="006A74F8">
        <w:rPr>
          <w:b/>
        </w:rPr>
        <w:t>all options</w:t>
      </w:r>
      <w:r w:rsidRPr="006A74F8">
        <w:t xml:space="preserve"> there </w:t>
      </w:r>
      <w:r w:rsidR="00D3239E" w:rsidRPr="006A74F8">
        <w:t>will be a greater emphasis on describing some functions by reference to competency categories and test method,</w:t>
      </w:r>
      <w:r w:rsidR="00D3239E" w:rsidRPr="006A74F8">
        <w:rPr>
          <w:rStyle w:val="FootnoteReference"/>
        </w:rPr>
        <w:footnoteReference w:id="114"/>
      </w:r>
      <w:r w:rsidR="00D3239E" w:rsidRPr="006A74F8">
        <w:t xml:space="preserve"> rather than instrument classes based on particular instrument types and products. In particular this will benefit those ATPs who hold multiple servicing licence subclasses, as some existing subclasses may be combined. This may result in a reduction in the number of statements of attainment an individual may need to hold and the associated administrative burden.</w:t>
      </w:r>
    </w:p>
    <w:p w:rsidR="00A1247A" w:rsidRDefault="00A1247A" w:rsidP="00A1247A">
      <w:r w:rsidRPr="00A1247A">
        <w:t>Some flexibility as to how competency can be demonstrated will be introduced, through limited changes, to be able to accommodate future needs. For example, currently some types of ATP are required to obtain a statement of attainment issued by a registered training organisation (RTO), while others must hold appropriate NATA accreditation. In the future, where new ATP functions emerge other methods to demonstrate competency may be more suitable. These changes would maintain, not dilute, current standards, with NMI releasing guidance material identifying the different acceptable pathways to demonstrate competency where these are introduced in future.</w:t>
      </w:r>
      <w:r w:rsidRPr="00A1247A">
        <w:rPr>
          <w:rStyle w:val="FootnoteReference"/>
        </w:rPr>
        <w:footnoteReference w:id="115"/>
      </w:r>
      <w:r w:rsidRPr="00A1247A">
        <w:t xml:space="preserve"> This flexibility will enable NMI to set the competency framework that is most appropriate for a particular ATP and will support hybrid and emerging ATP functions in the future. This enables the legislation to accommodate the evolution of ATP competency requirements to ensure competency frameworks remain suitable for ATP functions in the future.</w:t>
      </w:r>
    </w:p>
    <w:p w:rsidR="00487DB1" w:rsidRDefault="0036107E" w:rsidP="0069485B">
      <w:r w:rsidRPr="006A74F8">
        <w:t xml:space="preserve">There is expected to be minimal change to </w:t>
      </w:r>
      <w:r w:rsidR="00311618" w:rsidRPr="006A74F8">
        <w:t xml:space="preserve">the </w:t>
      </w:r>
      <w:r w:rsidRPr="006A74F8">
        <w:t xml:space="preserve">regulatory burden associated with these changes. </w:t>
      </w:r>
      <w:r w:rsidR="00DC0F2C" w:rsidRPr="006A74F8">
        <w:t xml:space="preserve">There is a slight net benefit for all options under this changes. </w:t>
      </w:r>
      <w:r w:rsidR="00074BCE" w:rsidRPr="006A74F8">
        <w:t xml:space="preserve">Flexibility will largely benefit future ATP functions, with competency for existing ATP functions remaining largely unchanged. </w:t>
      </w:r>
      <w:r w:rsidR="00D10B00" w:rsidRPr="006A74F8">
        <w:t xml:space="preserve">In some instances </w:t>
      </w:r>
      <w:r w:rsidR="00074BCE" w:rsidRPr="006A74F8">
        <w:t>there may be small efficiency gains for ATPs</w:t>
      </w:r>
      <w:r w:rsidR="00DC0F2C" w:rsidRPr="006A74F8">
        <w:t xml:space="preserve"> </w:t>
      </w:r>
      <w:r w:rsidR="00074BCE" w:rsidRPr="006A74F8">
        <w:t xml:space="preserve">through streamlining competency requirements and </w:t>
      </w:r>
      <w:r w:rsidR="00DC0F2C" w:rsidRPr="006A74F8">
        <w:t>consolidating some</w:t>
      </w:r>
      <w:r w:rsidR="00074BCE" w:rsidRPr="006A74F8">
        <w:t xml:space="preserve"> servicing licence subclasses</w:t>
      </w:r>
      <w:r w:rsidR="00DC0F2C" w:rsidRPr="006A74F8">
        <w:t>.</w:t>
      </w:r>
      <w:r w:rsidR="00670A9F" w:rsidRPr="006A74F8" w:rsidDel="00074BCE">
        <w:t xml:space="preserve"> </w:t>
      </w:r>
      <w:r w:rsidR="00DC0F2C" w:rsidRPr="006A74F8">
        <w:t xml:space="preserve">This may </w:t>
      </w:r>
      <w:r w:rsidR="00301C8D" w:rsidRPr="006A74F8">
        <w:t xml:space="preserve">slightly </w:t>
      </w:r>
      <w:r w:rsidR="00DC0F2C" w:rsidRPr="006A74F8">
        <w:t>reduce the cost and time burden associated with maintaining multiple qualifications</w:t>
      </w:r>
      <w:r w:rsidR="00301C8D" w:rsidRPr="006A74F8">
        <w:t xml:space="preserve"> for a small number of ATPs</w:t>
      </w:r>
      <w:r w:rsidR="00DC0F2C" w:rsidRPr="006A74F8">
        <w:t xml:space="preserve">. </w:t>
      </w:r>
    </w:p>
    <w:p w:rsidR="005D718C" w:rsidRPr="006A74F8" w:rsidRDefault="005D718C" w:rsidP="0069485B"/>
    <w:p w:rsidR="00915EB2" w:rsidRPr="006A74F8" w:rsidRDefault="00472EF3" w:rsidP="00F670F5">
      <w:pPr>
        <w:pStyle w:val="Heading3"/>
        <w:tabs>
          <w:tab w:val="left" w:pos="993"/>
        </w:tabs>
        <w:ind w:left="993" w:hanging="1004"/>
      </w:pPr>
      <w:r w:rsidRPr="006A74F8">
        <w:lastRenderedPageBreak/>
        <w:t xml:space="preserve">General licences </w:t>
      </w:r>
      <w:r w:rsidR="003C0AFF" w:rsidRPr="006A74F8">
        <w:t>offer</w:t>
      </w:r>
      <w:r w:rsidRPr="006A74F8">
        <w:t xml:space="preserve"> </w:t>
      </w:r>
      <w:r w:rsidR="00F95695" w:rsidRPr="006A74F8">
        <w:t xml:space="preserve">future </w:t>
      </w:r>
      <w:r w:rsidRPr="006A74F8">
        <w:t xml:space="preserve">flexibility </w:t>
      </w:r>
      <w:r w:rsidR="003C0AFF" w:rsidRPr="006A74F8">
        <w:t xml:space="preserve">where formal appointment is not appropriate </w:t>
      </w:r>
    </w:p>
    <w:tbl>
      <w:tblPr>
        <w:tblStyle w:val="PlainTable2"/>
        <w:tblW w:w="8875" w:type="dxa"/>
        <w:tblLayout w:type="fixed"/>
        <w:tblLook w:val="04A0" w:firstRow="1" w:lastRow="0" w:firstColumn="1" w:lastColumn="0" w:noHBand="0" w:noVBand="1"/>
        <w:tblCaption w:val="14.4 General licences offer flexibility where formal appointment is not appropriate "/>
        <w:tblDescription w:val="Flexibility where formal ATP appointment not appropriate. Option 1 is rated 0, neutral. Options 2 and 3 are rated +1, slight beneficial. General Licences: In future under options 2 and 3, a general licence could provide flexibility provide a mechanism offering a lower level of regulatory oversight than ATP appointment.  This more accessible approach may be applied to certain activities and functions where formal appointment is not appropriate.  Where this is an activity already covered by an ATP appointment, this would lead to reduced regulatory burden.  Where this is an activity not already covered by an ATP appointment this may increase regulatory burden. "/>
      </w:tblPr>
      <w:tblGrid>
        <w:gridCol w:w="1830"/>
        <w:gridCol w:w="635"/>
        <w:gridCol w:w="635"/>
        <w:gridCol w:w="635"/>
        <w:gridCol w:w="5140"/>
      </w:tblGrid>
      <w:tr w:rsidR="00467580" w:rsidRPr="006A74F8"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12" w:space="0" w:color="auto"/>
            </w:tcBorders>
            <w:vAlign w:val="center"/>
          </w:tcPr>
          <w:p w:rsidR="00467580" w:rsidRPr="006A74F8" w:rsidRDefault="00467580" w:rsidP="00AE7B79">
            <w:r w:rsidRPr="006A74F8">
              <w:t>Impact</w:t>
            </w:r>
          </w:p>
        </w:tc>
        <w:tc>
          <w:tcPr>
            <w:tcW w:w="1905" w:type="dxa"/>
            <w:gridSpan w:val="3"/>
            <w:tcBorders>
              <w:top w:val="single" w:sz="12" w:space="0" w:color="auto"/>
              <w:bottom w:val="nil"/>
            </w:tcBorders>
            <w:vAlign w:val="center"/>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40" w:type="dxa"/>
            <w:vMerge w:val="restart"/>
            <w:tcBorders>
              <w:top w:val="single" w:sz="12" w:space="0" w:color="auto"/>
            </w:tcBorders>
            <w:vAlign w:val="center"/>
          </w:tcPr>
          <w:p w:rsidR="00467580" w:rsidRPr="006A74F8" w:rsidRDefault="00467580" w:rsidP="00AE7B79">
            <w:pPr>
              <w:cnfStyle w:val="100000000000" w:firstRow="1" w:lastRow="0" w:firstColumn="0" w:lastColumn="0" w:oddVBand="0" w:evenVBand="0" w:oddHBand="0" w:evenHBand="0" w:firstRowFirstColumn="0" w:firstRowLastColumn="0" w:lastRowFirstColumn="0" w:lastRowLastColumn="0"/>
            </w:pPr>
            <w:r w:rsidRPr="006A74F8">
              <w:t>Explanation</w:t>
            </w:r>
          </w:p>
        </w:tc>
      </w:tr>
      <w:tr w:rsidR="00467580" w:rsidRPr="006A74F8"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30" w:type="dxa"/>
            <w:vMerge/>
            <w:tcBorders>
              <w:bottom w:val="double" w:sz="4" w:space="0" w:color="auto"/>
            </w:tcBorders>
          </w:tcPr>
          <w:p w:rsidR="00467580" w:rsidRPr="006A74F8" w:rsidRDefault="00467580" w:rsidP="00AE7B79"/>
        </w:tc>
        <w:tc>
          <w:tcPr>
            <w:tcW w:w="635" w:type="dxa"/>
            <w:tcBorders>
              <w:top w:val="nil"/>
              <w:bottom w:val="double" w:sz="4" w:space="0" w:color="auto"/>
            </w:tcBorders>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5" w:type="dxa"/>
            <w:tcBorders>
              <w:top w:val="nil"/>
              <w:bottom w:val="double" w:sz="4" w:space="0" w:color="auto"/>
            </w:tcBorders>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5" w:type="dxa"/>
            <w:tcBorders>
              <w:top w:val="nil"/>
              <w:bottom w:val="double" w:sz="4" w:space="0" w:color="auto"/>
            </w:tcBorders>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40" w:type="dxa"/>
            <w:vMerge/>
            <w:tcBorders>
              <w:bottom w:val="double" w:sz="4" w:space="0" w:color="auto"/>
            </w:tcBorders>
          </w:tcPr>
          <w:p w:rsidR="00467580" w:rsidRPr="006A74F8" w:rsidRDefault="00467580" w:rsidP="00AE7B79">
            <w:pPr>
              <w:cnfStyle w:val="100000000000" w:firstRow="1" w:lastRow="0" w:firstColumn="0" w:lastColumn="0" w:oddVBand="0" w:evenVBand="0" w:oddHBand="0" w:evenHBand="0" w:firstRowFirstColumn="0" w:firstRowLastColumn="0" w:lastRowFirstColumn="0" w:lastRowLastColumn="0"/>
            </w:pPr>
          </w:p>
        </w:tc>
      </w:tr>
      <w:tr w:rsidR="00467580"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vAlign w:val="center"/>
          </w:tcPr>
          <w:p w:rsidR="00467580" w:rsidRPr="006A74F8" w:rsidRDefault="00A70667" w:rsidP="00AE7B79">
            <w:pPr>
              <w:rPr>
                <w:rFonts w:asciiTheme="majorHAnsi" w:eastAsia="Calibri" w:hAnsiTheme="majorHAnsi" w:cstheme="majorHAnsi"/>
                <w:b w:val="0"/>
                <w:sz w:val="20"/>
                <w:szCs w:val="20"/>
              </w:rPr>
            </w:pPr>
            <w:r w:rsidRPr="006A74F8">
              <w:rPr>
                <w:rFonts w:asciiTheme="majorHAnsi" w:hAnsiTheme="majorHAnsi" w:cstheme="majorHAnsi"/>
                <w:b w:val="0"/>
                <w:sz w:val="20"/>
                <w:szCs w:val="20"/>
              </w:rPr>
              <w:t>General licences offer future f</w:t>
            </w:r>
            <w:r w:rsidR="00467580" w:rsidRPr="006A74F8">
              <w:rPr>
                <w:rFonts w:asciiTheme="majorHAnsi" w:hAnsiTheme="majorHAnsi" w:cstheme="majorHAnsi"/>
                <w:b w:val="0"/>
                <w:sz w:val="20"/>
                <w:szCs w:val="20"/>
              </w:rPr>
              <w:t>lexibility where formal ATP appointment not appropriate</w:t>
            </w:r>
          </w:p>
        </w:tc>
        <w:tc>
          <w:tcPr>
            <w:tcW w:w="635" w:type="dxa"/>
            <w:tcBorders>
              <w:right w:val="single" w:sz="4" w:space="0" w:color="FFFFFF" w:themeColor="background1"/>
            </w:tcBorders>
            <w:shd w:val="clear" w:color="auto" w:fill="FFFFC5"/>
            <w:vAlign w:val="center"/>
          </w:tcPr>
          <w:p w:rsidR="00467580" w:rsidRPr="006A74F8"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0</w:t>
            </w:r>
          </w:p>
        </w:tc>
        <w:tc>
          <w:tcPr>
            <w:tcW w:w="635" w:type="dxa"/>
            <w:tcBorders>
              <w:left w:val="single" w:sz="4" w:space="0" w:color="FFFFFF" w:themeColor="background1"/>
              <w:right w:val="single" w:sz="4" w:space="0" w:color="FFFFFF" w:themeColor="background1"/>
            </w:tcBorders>
            <w:shd w:val="clear" w:color="auto" w:fill="ACD7CA"/>
            <w:vAlign w:val="center"/>
          </w:tcPr>
          <w:p w:rsidR="00467580" w:rsidRPr="006A74F8"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35" w:type="dxa"/>
            <w:tcBorders>
              <w:left w:val="single" w:sz="4" w:space="0" w:color="FFFFFF" w:themeColor="background1"/>
            </w:tcBorders>
            <w:shd w:val="clear" w:color="auto" w:fill="ACD7CA"/>
            <w:vAlign w:val="center"/>
          </w:tcPr>
          <w:p w:rsidR="00467580" w:rsidRPr="006A74F8"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5140" w:type="dxa"/>
            <w:vAlign w:val="center"/>
          </w:tcPr>
          <w:p w:rsidR="00467580" w:rsidRPr="006A74F8" w:rsidRDefault="00467580"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General Licences</w:t>
            </w:r>
            <w:r w:rsidRPr="006A74F8">
              <w:rPr>
                <w:rFonts w:asciiTheme="majorHAnsi" w:hAnsiTheme="majorHAnsi" w:cstheme="majorHAnsi"/>
                <w:sz w:val="20"/>
                <w:szCs w:val="20"/>
              </w:rPr>
              <w:t xml:space="preserve">: In future under </w:t>
            </w:r>
            <w:r w:rsidRPr="006A74F8">
              <w:rPr>
                <w:rFonts w:asciiTheme="majorHAnsi" w:hAnsiTheme="majorHAnsi" w:cstheme="majorHAnsi"/>
                <w:b/>
                <w:sz w:val="20"/>
                <w:szCs w:val="20"/>
              </w:rPr>
              <w:t>options 2 and 3</w:t>
            </w:r>
            <w:r w:rsidRPr="006A74F8">
              <w:rPr>
                <w:rFonts w:asciiTheme="majorHAnsi" w:hAnsiTheme="majorHAnsi" w:cstheme="majorHAnsi"/>
                <w:sz w:val="20"/>
                <w:szCs w:val="20"/>
              </w:rPr>
              <w:t xml:space="preserve">, a general licence could provide a mechanism offering a lower level of regulatory oversight than ATP appointment. This more accessible approach may be applied to certain activities and functions where formal appointment is not appropriate.  Where this is an activity already covered by an ATP appointment, this would lead to reduced regulatory burden.  Where this is an activity not already covered by an ATP appointment this may increase regulatory burden. </w:t>
            </w:r>
          </w:p>
        </w:tc>
      </w:tr>
    </w:tbl>
    <w:p w:rsidR="002E3176" w:rsidRPr="006A74F8" w:rsidRDefault="00515BA2" w:rsidP="00467580">
      <w:pPr>
        <w:spacing w:before="240"/>
      </w:pPr>
      <w:r w:rsidRPr="006A74F8">
        <w:rPr>
          <w:color w:val="000000" w:themeColor="text1"/>
        </w:rPr>
        <w:t xml:space="preserve">At present </w:t>
      </w:r>
      <w:r w:rsidR="006F2C7E" w:rsidRPr="006A74F8">
        <w:rPr>
          <w:color w:val="000000" w:themeColor="text1"/>
        </w:rPr>
        <w:t xml:space="preserve">individuals and businesses </w:t>
      </w:r>
      <w:r w:rsidR="00AC1687" w:rsidRPr="006A74F8">
        <w:rPr>
          <w:color w:val="000000" w:themeColor="text1"/>
        </w:rPr>
        <w:t>are appointed</w:t>
      </w:r>
      <w:r w:rsidR="006F2C7E" w:rsidRPr="006A74F8">
        <w:rPr>
          <w:color w:val="000000" w:themeColor="text1"/>
        </w:rPr>
        <w:t xml:space="preserve"> </w:t>
      </w:r>
      <w:r w:rsidR="003E446A" w:rsidRPr="006A74F8">
        <w:rPr>
          <w:color w:val="000000" w:themeColor="text1"/>
        </w:rPr>
        <w:t xml:space="preserve">as </w:t>
      </w:r>
      <w:r w:rsidR="006F2C7E" w:rsidRPr="006A74F8">
        <w:rPr>
          <w:color w:val="000000" w:themeColor="text1"/>
        </w:rPr>
        <w:t xml:space="preserve">an </w:t>
      </w:r>
      <w:r w:rsidRPr="006A74F8">
        <w:rPr>
          <w:color w:val="000000" w:themeColor="text1"/>
        </w:rPr>
        <w:t>ATP through an administrative system requiring a formal application suppo</w:t>
      </w:r>
      <w:r w:rsidR="00BB7F20" w:rsidRPr="006A74F8">
        <w:rPr>
          <w:color w:val="000000" w:themeColor="text1"/>
        </w:rPr>
        <w:t xml:space="preserve">rted by various documentation. </w:t>
      </w:r>
      <w:r w:rsidR="00BB7F20" w:rsidRPr="006A74F8">
        <w:t>This</w:t>
      </w:r>
      <w:r w:rsidRPr="006A74F8">
        <w:t xml:space="preserve"> requires ATPs to make </w:t>
      </w:r>
      <w:r w:rsidR="00F31B4E" w:rsidRPr="006A74F8">
        <w:t xml:space="preserve">individual </w:t>
      </w:r>
      <w:r w:rsidRPr="006A74F8">
        <w:t>licence, UMV or LMA applications with specific documentation requirements</w:t>
      </w:r>
      <w:r w:rsidR="00595ECF" w:rsidRPr="006A74F8">
        <w:t xml:space="preserve"> and conditions imposed</w:t>
      </w:r>
      <w:r w:rsidRPr="006A74F8">
        <w:t xml:space="preserve">. </w:t>
      </w:r>
      <w:r w:rsidR="00D52B4A" w:rsidRPr="006A74F8">
        <w:t>However, t</w:t>
      </w:r>
      <w:r w:rsidRPr="006A74F8">
        <w:t xml:space="preserve">his approach does not reflect the range of complexity </w:t>
      </w:r>
      <w:r w:rsidR="001670F9" w:rsidRPr="006A74F8">
        <w:t>and risk associated with</w:t>
      </w:r>
      <w:r w:rsidRPr="006A74F8">
        <w:t xml:space="preserve"> the provision of measurement </w:t>
      </w:r>
      <w:r w:rsidR="002E3176" w:rsidRPr="006A74F8">
        <w:t>activities and</w:t>
      </w:r>
      <w:r w:rsidR="009F347F" w:rsidRPr="006A74F8">
        <w:t xml:space="preserve"> </w:t>
      </w:r>
      <w:r w:rsidR="002E3176" w:rsidRPr="006A74F8">
        <w:t>functions</w:t>
      </w:r>
      <w:r w:rsidRPr="006A74F8">
        <w:t xml:space="preserve">. </w:t>
      </w:r>
      <w:r w:rsidR="00D52B4A" w:rsidRPr="006A74F8">
        <w:t>The performance of c</w:t>
      </w:r>
      <w:r w:rsidR="002E3176" w:rsidRPr="006A74F8">
        <w:t>ertain measurement activities and functions</w:t>
      </w:r>
      <w:r w:rsidR="00D52B4A" w:rsidRPr="006A74F8">
        <w:t xml:space="preserve"> may instead be better suited to a level of regulatory oversight that does not necessarily align with that in place for the appointment of ATPs.</w:t>
      </w:r>
    </w:p>
    <w:p w:rsidR="00515BA2" w:rsidRPr="006A74F8" w:rsidRDefault="00515BA2" w:rsidP="002311AC">
      <w:pPr>
        <w:spacing w:before="120" w:after="120"/>
        <w:rPr>
          <w:rFonts w:eastAsia="Arial" w:cs="Arial"/>
          <w:color w:val="222222"/>
        </w:rPr>
      </w:pPr>
      <w:r w:rsidRPr="006A74F8">
        <w:t xml:space="preserve">Under </w:t>
      </w:r>
      <w:r w:rsidRPr="006A74F8">
        <w:rPr>
          <w:b/>
        </w:rPr>
        <w:t>options 2 and 3</w:t>
      </w:r>
      <w:r w:rsidRPr="006A74F8">
        <w:t xml:space="preserve">, </w:t>
      </w:r>
      <w:r w:rsidR="002C1981" w:rsidRPr="006A74F8">
        <w:t xml:space="preserve">a mechanism is </w:t>
      </w:r>
      <w:r w:rsidR="00ED2AA6" w:rsidRPr="006A74F8">
        <w:t>provided</w:t>
      </w:r>
      <w:r w:rsidR="002C1981" w:rsidRPr="006A74F8">
        <w:t xml:space="preserve"> </w:t>
      </w:r>
      <w:r w:rsidR="00ED2AA6" w:rsidRPr="006A74F8">
        <w:t xml:space="preserve">that </w:t>
      </w:r>
      <w:r w:rsidR="002C1981" w:rsidRPr="006A74F8">
        <w:t>enable</w:t>
      </w:r>
      <w:r w:rsidR="00ED2AA6" w:rsidRPr="006A74F8">
        <w:t>s</w:t>
      </w:r>
      <w:r w:rsidR="002C1981" w:rsidRPr="006A74F8">
        <w:t xml:space="preserve"> introduction of </w:t>
      </w:r>
      <w:r w:rsidRPr="006A74F8">
        <w:t xml:space="preserve">general licences setting out regulatory responsibilities that apply automatically when a certain </w:t>
      </w:r>
      <w:r w:rsidR="008D5604" w:rsidRPr="006A74F8">
        <w:t xml:space="preserve">function or </w:t>
      </w:r>
      <w:r w:rsidRPr="006A74F8">
        <w:t xml:space="preserve">activity is performed, subject to satisfaction of prescribed conditions. This </w:t>
      </w:r>
      <w:r w:rsidR="00F92B5C" w:rsidRPr="006A74F8">
        <w:t>approach</w:t>
      </w:r>
      <w:r w:rsidRPr="006A74F8">
        <w:t xml:space="preserve"> can be used </w:t>
      </w:r>
      <w:r w:rsidR="00583552" w:rsidRPr="006A74F8">
        <w:t>in future</w:t>
      </w:r>
      <w:r w:rsidRPr="006A74F8">
        <w:t xml:space="preserve"> </w:t>
      </w:r>
      <w:r w:rsidR="00F92B5C" w:rsidRPr="006A74F8">
        <w:t>to provide for a lower level of regulatory oversight compared to other types of licences or appointment</w:t>
      </w:r>
      <w:r w:rsidRPr="006A74F8">
        <w:t xml:space="preserve"> </w:t>
      </w:r>
      <w:r w:rsidR="0097062C" w:rsidRPr="006A74F8">
        <w:t xml:space="preserve">with no licence fee </w:t>
      </w:r>
      <w:r w:rsidRPr="006A74F8">
        <w:t>and reduce</w:t>
      </w:r>
      <w:r w:rsidR="0097062C" w:rsidRPr="006A74F8">
        <w:t>d</w:t>
      </w:r>
      <w:r w:rsidRPr="006A74F8">
        <w:t xml:space="preserve"> administrative costs. </w:t>
      </w:r>
      <w:r w:rsidR="000028ED" w:rsidRPr="006A74F8">
        <w:t xml:space="preserve">For example, </w:t>
      </w:r>
      <w:r w:rsidR="00A87B53" w:rsidRPr="006A74F8">
        <w:t>the use of bulk flow metering systems for the sale</w:t>
      </w:r>
      <w:r w:rsidR="00E35891" w:rsidRPr="006A74F8">
        <w:t xml:space="preserve"> </w:t>
      </w:r>
      <w:r w:rsidR="00A87B53" w:rsidRPr="006A74F8">
        <w:t>/</w:t>
      </w:r>
      <w:r w:rsidR="00E35891" w:rsidRPr="006A74F8">
        <w:t xml:space="preserve"> </w:t>
      </w:r>
      <w:r w:rsidR="00A87B53" w:rsidRPr="006A74F8">
        <w:t>supply of ship bunkering</w:t>
      </w:r>
      <w:r w:rsidR="00E35891" w:rsidRPr="006A74F8">
        <w:t>,</w:t>
      </w:r>
      <w:r w:rsidR="00A87B53" w:rsidRPr="006A74F8">
        <w:rPr>
          <w:rStyle w:val="FootnoteReference"/>
        </w:rPr>
        <w:footnoteReference w:id="116"/>
      </w:r>
      <w:r w:rsidR="00A87B53" w:rsidRPr="006A74F8">
        <w:t xml:space="preserve"> performing a ship draft survey</w:t>
      </w:r>
      <w:r w:rsidR="00E35891" w:rsidRPr="006A74F8">
        <w:t>,</w:t>
      </w:r>
      <w:r w:rsidR="00A90B4A" w:rsidRPr="006A74F8">
        <w:rPr>
          <w:rStyle w:val="FootnoteReference"/>
        </w:rPr>
        <w:footnoteReference w:id="117"/>
      </w:r>
      <w:r w:rsidR="00472EF3" w:rsidRPr="006A74F8">
        <w:t xml:space="preserve"> or utilising the Average Quantity System for determining packaged product quantity</w:t>
      </w:r>
      <w:r w:rsidR="000028ED" w:rsidRPr="006A74F8">
        <w:t xml:space="preserve">. </w:t>
      </w:r>
      <w:r w:rsidRPr="006A74F8">
        <w:t xml:space="preserve">The </w:t>
      </w:r>
      <w:r w:rsidR="00FC0663" w:rsidRPr="006A74F8">
        <w:t>mechanism</w:t>
      </w:r>
      <w:r w:rsidR="0034276E" w:rsidRPr="006A74F8">
        <w:t xml:space="preserve"> </w:t>
      </w:r>
      <w:r w:rsidRPr="006A74F8">
        <w:t xml:space="preserve">to </w:t>
      </w:r>
      <w:r w:rsidR="00176D9C" w:rsidRPr="006A74F8">
        <w:t xml:space="preserve">create </w:t>
      </w:r>
      <w:r w:rsidRPr="006A74F8">
        <w:t>general licences would</w:t>
      </w:r>
      <w:r w:rsidR="00FC0663" w:rsidRPr="006A74F8">
        <w:rPr>
          <w:rFonts w:eastAsia="Arial" w:cs="Arial"/>
        </w:rPr>
        <w:t xml:space="preserve"> </w:t>
      </w:r>
      <w:r w:rsidR="00176D9C" w:rsidRPr="006A74F8">
        <w:rPr>
          <w:rFonts w:eastAsia="Arial" w:cs="Arial"/>
        </w:rPr>
        <w:t xml:space="preserve">enable them to potentially </w:t>
      </w:r>
      <w:r w:rsidR="00FC0663" w:rsidRPr="006A74F8">
        <w:rPr>
          <w:rFonts w:eastAsia="Arial" w:cs="Arial"/>
        </w:rPr>
        <w:t xml:space="preserve">be </w:t>
      </w:r>
      <w:r w:rsidR="00176D9C" w:rsidRPr="006A74F8">
        <w:rPr>
          <w:rFonts w:eastAsia="Arial" w:cs="Arial"/>
        </w:rPr>
        <w:t>applied to</w:t>
      </w:r>
      <w:r w:rsidRPr="006A74F8">
        <w:rPr>
          <w:rFonts w:eastAsia="Arial" w:cs="Arial"/>
        </w:rPr>
        <w:t xml:space="preserve"> </w:t>
      </w:r>
      <w:r w:rsidR="00641D46" w:rsidRPr="006A74F8">
        <w:rPr>
          <w:rFonts w:eastAsia="Arial" w:cs="Arial"/>
        </w:rPr>
        <w:t xml:space="preserve">certain </w:t>
      </w:r>
      <w:r w:rsidR="00176D9C" w:rsidRPr="006A74F8">
        <w:rPr>
          <w:rFonts w:eastAsia="Arial" w:cs="Arial"/>
        </w:rPr>
        <w:t>suitable</w:t>
      </w:r>
      <w:r w:rsidRPr="006A74F8">
        <w:rPr>
          <w:rFonts w:eastAsia="Arial" w:cs="Arial"/>
        </w:rPr>
        <w:t xml:space="preserve"> </w:t>
      </w:r>
      <w:r w:rsidR="00176D9C" w:rsidRPr="006A74F8">
        <w:rPr>
          <w:rFonts w:eastAsia="Arial" w:cs="Arial"/>
        </w:rPr>
        <w:t>functions and</w:t>
      </w:r>
      <w:r w:rsidR="00963C18" w:rsidRPr="006A74F8">
        <w:rPr>
          <w:rFonts w:eastAsia="Arial" w:cs="Arial"/>
        </w:rPr>
        <w:t xml:space="preserve"> activities </w:t>
      </w:r>
      <w:r w:rsidRPr="006A74F8">
        <w:rPr>
          <w:rFonts w:eastAsia="Arial" w:cs="Arial"/>
        </w:rPr>
        <w:t xml:space="preserve">currently performed by </w:t>
      </w:r>
      <w:r w:rsidR="00FC0663" w:rsidRPr="006A74F8">
        <w:rPr>
          <w:rFonts w:eastAsia="Arial" w:cs="Arial"/>
        </w:rPr>
        <w:t>ATPs</w:t>
      </w:r>
      <w:r w:rsidR="00176D9C" w:rsidRPr="006A74F8">
        <w:rPr>
          <w:rFonts w:eastAsia="Arial" w:cs="Arial"/>
        </w:rPr>
        <w:t>,</w:t>
      </w:r>
      <w:r w:rsidRPr="006A74F8">
        <w:rPr>
          <w:rFonts w:eastAsia="Arial" w:cs="Arial"/>
        </w:rPr>
        <w:t xml:space="preserve"> </w:t>
      </w:r>
      <w:r w:rsidR="00E814AC" w:rsidRPr="006A74F8">
        <w:rPr>
          <w:rFonts w:eastAsia="Arial" w:cs="Arial"/>
        </w:rPr>
        <w:t>subject to future consultation</w:t>
      </w:r>
      <w:r w:rsidR="00176D9C" w:rsidRPr="006A74F8">
        <w:rPr>
          <w:rFonts w:eastAsia="Arial" w:cs="Arial"/>
        </w:rPr>
        <w:t>,</w:t>
      </w:r>
      <w:r w:rsidRPr="006A74F8">
        <w:rPr>
          <w:rFonts w:eastAsia="Arial" w:cs="Arial"/>
        </w:rPr>
        <w:t xml:space="preserve"> </w:t>
      </w:r>
      <w:r w:rsidR="00176D9C" w:rsidRPr="006A74F8">
        <w:rPr>
          <w:rFonts w:eastAsia="Arial" w:cs="Arial"/>
        </w:rPr>
        <w:t>but could also be applied to</w:t>
      </w:r>
      <w:r w:rsidRPr="006A74F8">
        <w:rPr>
          <w:rFonts w:eastAsia="Arial" w:cs="Arial"/>
        </w:rPr>
        <w:t xml:space="preserve"> </w:t>
      </w:r>
      <w:r w:rsidR="00DF1DE8" w:rsidRPr="006A74F8">
        <w:rPr>
          <w:rFonts w:eastAsia="Arial" w:cs="Arial"/>
        </w:rPr>
        <w:t xml:space="preserve">other functions </w:t>
      </w:r>
      <w:r w:rsidR="00176D9C" w:rsidRPr="006A74F8">
        <w:rPr>
          <w:rFonts w:eastAsia="Arial" w:cs="Arial"/>
        </w:rPr>
        <w:t xml:space="preserve">and activities </w:t>
      </w:r>
      <w:r w:rsidR="00DF1DE8" w:rsidRPr="006A74F8">
        <w:rPr>
          <w:rFonts w:eastAsia="Arial" w:cs="Arial"/>
        </w:rPr>
        <w:t>as well</w:t>
      </w:r>
      <w:r w:rsidRPr="006A74F8">
        <w:rPr>
          <w:rFonts w:eastAsia="Arial" w:cs="Arial"/>
        </w:rPr>
        <w:t>.</w:t>
      </w:r>
      <w:r w:rsidR="003F545C" w:rsidRPr="006A74F8">
        <w:rPr>
          <w:rFonts w:eastAsia="Arial" w:cs="Arial"/>
        </w:rPr>
        <w:t xml:space="preserve"> In future this will </w:t>
      </w:r>
      <w:r w:rsidR="0077153D" w:rsidRPr="006A74F8">
        <w:rPr>
          <w:rFonts w:eastAsia="Arial" w:cs="Arial"/>
        </w:rPr>
        <w:t>provi</w:t>
      </w:r>
      <w:r w:rsidR="006217FC" w:rsidRPr="006A74F8">
        <w:rPr>
          <w:rFonts w:eastAsia="Arial" w:cs="Arial"/>
        </w:rPr>
        <w:t>de the flexibility to introduce</w:t>
      </w:r>
      <w:r w:rsidR="0077153D" w:rsidRPr="006A74F8">
        <w:rPr>
          <w:rFonts w:eastAsia="Arial" w:cs="Arial"/>
        </w:rPr>
        <w:t xml:space="preserve"> a lower regulatory burden alternative to authorise</w:t>
      </w:r>
      <w:r w:rsidR="001A0E6B" w:rsidRPr="006A74F8">
        <w:rPr>
          <w:rFonts w:eastAsia="Arial" w:cs="Arial"/>
        </w:rPr>
        <w:t>d</w:t>
      </w:r>
      <w:r w:rsidR="0077153D" w:rsidRPr="006A74F8">
        <w:rPr>
          <w:rFonts w:eastAsia="Arial" w:cs="Arial"/>
        </w:rPr>
        <w:t xml:space="preserve"> appointments for the performance of certain measurement functions and activities.</w:t>
      </w:r>
      <w:r w:rsidRPr="006A74F8">
        <w:rPr>
          <w:rFonts w:eastAsia="Arial" w:cs="Arial"/>
        </w:rPr>
        <w:t xml:space="preserve"> </w:t>
      </w:r>
    </w:p>
    <w:p w:rsidR="00A1247A" w:rsidRPr="001F2D47" w:rsidRDefault="00A1247A" w:rsidP="00A1247A">
      <w:pPr>
        <w:rPr>
          <w:rFonts w:cstheme="minorHAnsi"/>
        </w:rPr>
      </w:pPr>
      <w:r w:rsidRPr="00A1247A">
        <w:rPr>
          <w:rFonts w:cstheme="minorHAnsi"/>
        </w:rPr>
        <w:t>Where utilised and over time, general licences could reduce the regulatory burden associated with obtaining a licence or appointment to undertake certain measurement functions and activities, including associated application and ongoing fees. This means that if certain functions and activities currently subject to ATP appointments were to transition to a general licence arrangement in future, there would be an associated reduction in administrative and cost burden for those already performing these functions and activities. However, the regulatory burden associated with performing the function or activity would likely remain similar, as performing the function or activity would still be subject to a number of mandatory requirements.</w:t>
      </w:r>
    </w:p>
    <w:p w:rsidR="0047577F" w:rsidRPr="006A74F8" w:rsidRDefault="00826B7D" w:rsidP="006F428D">
      <w:pPr>
        <w:rPr>
          <w:rFonts w:cstheme="minorHAnsi"/>
        </w:rPr>
      </w:pPr>
      <w:r w:rsidRPr="006A74F8">
        <w:rPr>
          <w:rFonts w:eastAsia="Arial" w:cs="Arial"/>
        </w:rPr>
        <w:lastRenderedPageBreak/>
        <w:t>When p</w:t>
      </w:r>
      <w:r w:rsidR="0047577F" w:rsidRPr="006A74F8">
        <w:rPr>
          <w:rFonts w:eastAsia="Arial" w:cs="Arial"/>
        </w:rPr>
        <w:t xml:space="preserve">erforming </w:t>
      </w:r>
      <w:r w:rsidRPr="006A74F8">
        <w:rPr>
          <w:rFonts w:eastAsia="Arial" w:cs="Arial"/>
        </w:rPr>
        <w:t xml:space="preserve">functions or </w:t>
      </w:r>
      <w:r w:rsidR="0047577F" w:rsidRPr="006A74F8">
        <w:rPr>
          <w:rFonts w:eastAsia="Arial" w:cs="Arial"/>
        </w:rPr>
        <w:t xml:space="preserve">activities under a general licence </w:t>
      </w:r>
      <w:r w:rsidRPr="006A74F8">
        <w:rPr>
          <w:rFonts w:eastAsia="Arial" w:cs="Arial"/>
        </w:rPr>
        <w:t xml:space="preserve">it </w:t>
      </w:r>
      <w:r w:rsidR="0047577F" w:rsidRPr="006A74F8">
        <w:rPr>
          <w:rFonts w:eastAsia="Arial" w:cs="Arial"/>
        </w:rPr>
        <w:t xml:space="preserve">would still </w:t>
      </w:r>
      <w:r w:rsidRPr="006A74F8">
        <w:rPr>
          <w:rFonts w:eastAsia="Arial" w:cs="Arial"/>
        </w:rPr>
        <w:t>be necessary to ensure</w:t>
      </w:r>
      <w:r w:rsidR="0047577F" w:rsidRPr="006A74F8">
        <w:rPr>
          <w:rFonts w:eastAsia="Arial" w:cs="Arial"/>
        </w:rPr>
        <w:t xml:space="preserve"> compliance with the requirements of the general licence. These</w:t>
      </w:r>
      <w:r w:rsidRPr="006A74F8">
        <w:rPr>
          <w:rFonts w:eastAsia="Arial" w:cs="Arial"/>
        </w:rPr>
        <w:t xml:space="preserve"> requirements</w:t>
      </w:r>
      <w:r w:rsidR="0047577F" w:rsidRPr="006A74F8">
        <w:rPr>
          <w:rFonts w:eastAsia="Arial" w:cs="Arial"/>
        </w:rPr>
        <w:t xml:space="preserve"> would likely </w:t>
      </w:r>
      <w:r w:rsidR="0047577F" w:rsidRPr="006A74F8">
        <w:t xml:space="preserve">be similar to </w:t>
      </w:r>
      <w:r w:rsidR="008379E6" w:rsidRPr="006A74F8">
        <w:t xml:space="preserve">some existing ATP </w:t>
      </w:r>
      <w:r w:rsidR="0047577F" w:rsidRPr="006A74F8">
        <w:t>compliance requirements</w:t>
      </w:r>
      <w:r w:rsidR="008379E6" w:rsidRPr="006A74F8">
        <w:t>,</w:t>
      </w:r>
      <w:r w:rsidR="0047577F" w:rsidRPr="006A74F8">
        <w:t xml:space="preserve"> such as competency and traceability of measurement outcomes</w:t>
      </w:r>
      <w:r w:rsidR="008379E6" w:rsidRPr="006A74F8">
        <w:t>,</w:t>
      </w:r>
      <w:r w:rsidRPr="006A74F8">
        <w:rPr>
          <w:rFonts w:eastAsia="Arial" w:cs="Arial"/>
          <w:color w:val="222222"/>
        </w:rPr>
        <w:t xml:space="preserve"> </w:t>
      </w:r>
      <w:r w:rsidR="008379E6" w:rsidRPr="006A74F8">
        <w:rPr>
          <w:rFonts w:eastAsia="Arial" w:cs="Arial"/>
          <w:color w:val="222222"/>
        </w:rPr>
        <w:t>with the nature of the particular requirements for general licences s</w:t>
      </w:r>
      <w:r w:rsidRPr="006A74F8">
        <w:t>ubject to further consultation in the future.</w:t>
      </w:r>
      <w:r w:rsidR="007F1E1B" w:rsidRPr="006A74F8">
        <w:t xml:space="preserve"> This means that for certain measurement functions and activities not currently subject to ATP appointments, there may be an increase in the regulatory burden associated with these activities where a general licence imposes requirements that previously did not exist for that function or activity.</w:t>
      </w:r>
    </w:p>
    <w:p w:rsidR="007556C4" w:rsidRPr="006A74F8" w:rsidRDefault="009B3379" w:rsidP="00D81504">
      <w:r w:rsidRPr="006A74F8">
        <w:rPr>
          <w:rFonts w:cstheme="minorHAnsi"/>
        </w:rPr>
        <w:t xml:space="preserve">While the legislation will include the ability to introduce general licences, </w:t>
      </w:r>
      <w:r w:rsidR="00D15533" w:rsidRPr="006A74F8">
        <w:rPr>
          <w:rFonts w:cstheme="minorHAnsi"/>
        </w:rPr>
        <w:t>t</w:t>
      </w:r>
      <w:r w:rsidR="001C07A9" w:rsidRPr="006A74F8">
        <w:rPr>
          <w:rFonts w:cstheme="minorHAnsi"/>
        </w:rPr>
        <w:t>he potential scope and usage of general licen</w:t>
      </w:r>
      <w:r w:rsidR="008C2B2F" w:rsidRPr="006A74F8">
        <w:rPr>
          <w:rFonts w:cstheme="minorHAnsi"/>
        </w:rPr>
        <w:t>c</w:t>
      </w:r>
      <w:r w:rsidR="001C07A9" w:rsidRPr="006A74F8">
        <w:rPr>
          <w:rFonts w:cstheme="minorHAnsi"/>
        </w:rPr>
        <w:t xml:space="preserve">es (and therefore regulatory burden </w:t>
      </w:r>
      <w:r w:rsidR="007F1E1B" w:rsidRPr="006A74F8">
        <w:rPr>
          <w:rFonts w:cstheme="minorHAnsi"/>
        </w:rPr>
        <w:t xml:space="preserve">cost or </w:t>
      </w:r>
      <w:r w:rsidR="001C07A9" w:rsidRPr="006A74F8">
        <w:rPr>
          <w:rFonts w:cstheme="minorHAnsi"/>
        </w:rPr>
        <w:t xml:space="preserve">saving) would be settled following further analysis and future public consultations. </w:t>
      </w:r>
    </w:p>
    <w:p w:rsidR="00515BA2" w:rsidRPr="006A74F8" w:rsidRDefault="00515BA2" w:rsidP="0069485B">
      <w:pPr>
        <w:pStyle w:val="Heading3"/>
        <w:tabs>
          <w:tab w:val="left" w:pos="993"/>
        </w:tabs>
        <w:ind w:left="993" w:hanging="993"/>
      </w:pPr>
      <w:bookmarkStart w:id="2318" w:name="_Additional_reporting_requirements"/>
      <w:bookmarkStart w:id="2319" w:name="_Toc67390615"/>
      <w:bookmarkEnd w:id="2318"/>
      <w:r w:rsidRPr="006A74F8">
        <w:t>Additional reporting requirements for U</w:t>
      </w:r>
      <w:r w:rsidR="000A73B9" w:rsidRPr="006A74F8">
        <w:t xml:space="preserve">tility </w:t>
      </w:r>
      <w:r w:rsidRPr="006A74F8">
        <w:t>M</w:t>
      </w:r>
      <w:r w:rsidR="000A73B9" w:rsidRPr="006A74F8">
        <w:t xml:space="preserve">eter </w:t>
      </w:r>
      <w:r w:rsidRPr="006A74F8">
        <w:t>V</w:t>
      </w:r>
      <w:r w:rsidR="000A73B9" w:rsidRPr="006A74F8">
        <w:t>erifier</w:t>
      </w:r>
      <w:r w:rsidRPr="006A74F8">
        <w:t xml:space="preserve">s </w:t>
      </w:r>
      <w:r w:rsidR="004814C2" w:rsidRPr="006A74F8">
        <w:t>and</w:t>
      </w:r>
      <w:r w:rsidRPr="006A74F8">
        <w:t xml:space="preserve"> L</w:t>
      </w:r>
      <w:r w:rsidR="000A73B9" w:rsidRPr="006A74F8">
        <w:t xml:space="preserve">egal </w:t>
      </w:r>
      <w:r w:rsidRPr="006A74F8">
        <w:t>M</w:t>
      </w:r>
      <w:r w:rsidR="000A73B9" w:rsidRPr="006A74F8">
        <w:t xml:space="preserve">etrology </w:t>
      </w:r>
      <w:r w:rsidRPr="006A74F8">
        <w:t>A</w:t>
      </w:r>
      <w:r w:rsidR="000A73B9" w:rsidRPr="006A74F8">
        <w:t>uthoritie</w:t>
      </w:r>
      <w:r w:rsidRPr="006A74F8">
        <w:t>s</w:t>
      </w:r>
      <w:bookmarkEnd w:id="2319"/>
    </w:p>
    <w:tbl>
      <w:tblPr>
        <w:tblStyle w:val="PlainTable2"/>
        <w:tblW w:w="8875" w:type="dxa"/>
        <w:tblLayout w:type="fixed"/>
        <w:tblLook w:val="04A0" w:firstRow="1" w:lastRow="0" w:firstColumn="1" w:lastColumn="0" w:noHBand="0" w:noVBand="1"/>
        <w:tblCaption w:val="14.5 Additional reporting requirements for Utility Meter Verifiers and Legal Metrology Authorities"/>
        <w:tblDescription w:val="Additional reporting requirements for UMVs and LMAs leading to increased measurement confidence. Options 1 to 3 are rated -1, slight adverse.&#10;Common reporting requirements: UMVs (under all options) and LMAs (options 2 and 3) will be required to report to NMI after providing measurement services. There would be some level of administrative cost in doing so, however, this is not expected to be significant as UMVs and LMAs already have the information that would need to be reported. These changes would follow a transition period and development of an appropriate reporting framework.&#10;"/>
      </w:tblPr>
      <w:tblGrid>
        <w:gridCol w:w="1830"/>
        <w:gridCol w:w="635"/>
        <w:gridCol w:w="635"/>
        <w:gridCol w:w="635"/>
        <w:gridCol w:w="5140"/>
      </w:tblGrid>
      <w:tr w:rsidR="00467580" w:rsidRPr="006A74F8"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12" w:space="0" w:color="auto"/>
            </w:tcBorders>
            <w:vAlign w:val="center"/>
          </w:tcPr>
          <w:p w:rsidR="00467580" w:rsidRPr="006A74F8" w:rsidRDefault="00467580" w:rsidP="00AE7B79">
            <w:r w:rsidRPr="006A74F8">
              <w:t>Impact</w:t>
            </w:r>
          </w:p>
        </w:tc>
        <w:tc>
          <w:tcPr>
            <w:tcW w:w="1905" w:type="dxa"/>
            <w:gridSpan w:val="3"/>
            <w:tcBorders>
              <w:top w:val="single" w:sz="12" w:space="0" w:color="auto"/>
              <w:bottom w:val="nil"/>
            </w:tcBorders>
            <w:vAlign w:val="center"/>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40" w:type="dxa"/>
            <w:vMerge w:val="restart"/>
            <w:tcBorders>
              <w:top w:val="single" w:sz="12" w:space="0" w:color="auto"/>
            </w:tcBorders>
            <w:vAlign w:val="center"/>
          </w:tcPr>
          <w:p w:rsidR="00467580" w:rsidRPr="006A74F8" w:rsidRDefault="00467580" w:rsidP="00AE7B79">
            <w:pPr>
              <w:cnfStyle w:val="100000000000" w:firstRow="1" w:lastRow="0" w:firstColumn="0" w:lastColumn="0" w:oddVBand="0" w:evenVBand="0" w:oddHBand="0" w:evenHBand="0" w:firstRowFirstColumn="0" w:firstRowLastColumn="0" w:lastRowFirstColumn="0" w:lastRowLastColumn="0"/>
            </w:pPr>
            <w:r w:rsidRPr="006A74F8">
              <w:t>Explanation</w:t>
            </w:r>
          </w:p>
        </w:tc>
      </w:tr>
      <w:tr w:rsidR="00467580" w:rsidRPr="006A74F8"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30" w:type="dxa"/>
            <w:vMerge/>
            <w:tcBorders>
              <w:bottom w:val="double" w:sz="4" w:space="0" w:color="auto"/>
            </w:tcBorders>
          </w:tcPr>
          <w:p w:rsidR="00467580" w:rsidRPr="006A74F8" w:rsidRDefault="00467580" w:rsidP="00AE7B79"/>
        </w:tc>
        <w:tc>
          <w:tcPr>
            <w:tcW w:w="635" w:type="dxa"/>
            <w:tcBorders>
              <w:top w:val="nil"/>
              <w:bottom w:val="double" w:sz="4" w:space="0" w:color="auto"/>
            </w:tcBorders>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5" w:type="dxa"/>
            <w:tcBorders>
              <w:top w:val="nil"/>
              <w:bottom w:val="double" w:sz="4" w:space="0" w:color="auto"/>
            </w:tcBorders>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5" w:type="dxa"/>
            <w:tcBorders>
              <w:top w:val="nil"/>
              <w:bottom w:val="double" w:sz="4" w:space="0" w:color="auto"/>
            </w:tcBorders>
          </w:tcPr>
          <w:p w:rsidR="00467580" w:rsidRPr="006A74F8"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40" w:type="dxa"/>
            <w:vMerge/>
            <w:tcBorders>
              <w:bottom w:val="double" w:sz="4" w:space="0" w:color="auto"/>
            </w:tcBorders>
          </w:tcPr>
          <w:p w:rsidR="00467580" w:rsidRPr="006A74F8" w:rsidRDefault="00467580" w:rsidP="00AE7B79">
            <w:pPr>
              <w:cnfStyle w:val="100000000000" w:firstRow="1" w:lastRow="0" w:firstColumn="0" w:lastColumn="0" w:oddVBand="0" w:evenVBand="0" w:oddHBand="0" w:evenHBand="0" w:firstRowFirstColumn="0" w:firstRowLastColumn="0" w:lastRowFirstColumn="0" w:lastRowLastColumn="0"/>
            </w:pPr>
          </w:p>
        </w:tc>
      </w:tr>
      <w:tr w:rsidR="00467580"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vAlign w:val="center"/>
          </w:tcPr>
          <w:p w:rsidR="00467580" w:rsidRPr="006A74F8" w:rsidRDefault="00467580" w:rsidP="00AE7B79">
            <w:pPr>
              <w:rPr>
                <w:rFonts w:asciiTheme="majorHAnsi" w:eastAsia="Calibri" w:hAnsiTheme="majorHAnsi" w:cstheme="majorHAnsi"/>
                <w:b w:val="0"/>
                <w:sz w:val="20"/>
                <w:szCs w:val="20"/>
              </w:rPr>
            </w:pPr>
            <w:r w:rsidRPr="006A74F8">
              <w:rPr>
                <w:rFonts w:asciiTheme="majorHAnsi" w:hAnsiTheme="majorHAnsi" w:cstheme="majorHAnsi"/>
                <w:b w:val="0"/>
                <w:sz w:val="20"/>
                <w:szCs w:val="20"/>
              </w:rPr>
              <w:t>Additional reporting requirements for UMVs and LMAs leading to increased measurement confidence</w:t>
            </w:r>
          </w:p>
        </w:tc>
        <w:tc>
          <w:tcPr>
            <w:tcW w:w="635" w:type="dxa"/>
            <w:tcBorders>
              <w:right w:val="single" w:sz="4" w:space="0" w:color="FFFFFF" w:themeColor="background1"/>
            </w:tcBorders>
            <w:shd w:val="clear" w:color="auto" w:fill="FFBC79"/>
            <w:vAlign w:val="center"/>
          </w:tcPr>
          <w:p w:rsidR="00467580" w:rsidRPr="006A74F8"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35" w:type="dxa"/>
            <w:tcBorders>
              <w:left w:val="single" w:sz="4" w:space="0" w:color="FFFFFF" w:themeColor="background1"/>
              <w:right w:val="single" w:sz="4" w:space="0" w:color="FFFFFF" w:themeColor="background1"/>
            </w:tcBorders>
            <w:shd w:val="clear" w:color="auto" w:fill="FFBC79"/>
            <w:vAlign w:val="center"/>
          </w:tcPr>
          <w:p w:rsidR="00467580" w:rsidRPr="006A74F8"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35" w:type="dxa"/>
            <w:tcBorders>
              <w:left w:val="single" w:sz="4" w:space="0" w:color="FFFFFF" w:themeColor="background1"/>
            </w:tcBorders>
            <w:shd w:val="clear" w:color="auto" w:fill="FFBC79"/>
            <w:vAlign w:val="center"/>
          </w:tcPr>
          <w:p w:rsidR="00467580" w:rsidRPr="006A74F8"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5140" w:type="dxa"/>
            <w:vAlign w:val="center"/>
          </w:tcPr>
          <w:p w:rsidR="00467580" w:rsidRPr="006A74F8" w:rsidRDefault="00467580"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rFonts w:asciiTheme="majorHAnsi" w:hAnsiTheme="majorHAnsi" w:cstheme="majorHAnsi"/>
                <w:b/>
                <w:sz w:val="20"/>
                <w:szCs w:val="20"/>
              </w:rPr>
              <w:t>Common reporting requirements</w:t>
            </w:r>
            <w:r w:rsidRPr="006A74F8">
              <w:rPr>
                <w:rFonts w:asciiTheme="majorHAnsi" w:hAnsiTheme="majorHAnsi" w:cstheme="majorHAnsi"/>
                <w:sz w:val="20"/>
                <w:szCs w:val="20"/>
              </w:rPr>
              <w:t xml:space="preserve">: UMVs (under </w:t>
            </w:r>
            <w:r w:rsidRPr="006A74F8">
              <w:rPr>
                <w:rFonts w:asciiTheme="majorHAnsi" w:hAnsiTheme="majorHAnsi" w:cstheme="majorHAnsi"/>
                <w:b/>
                <w:sz w:val="20"/>
                <w:szCs w:val="20"/>
              </w:rPr>
              <w:t>all options</w:t>
            </w:r>
            <w:r w:rsidRPr="006A74F8">
              <w:rPr>
                <w:rFonts w:asciiTheme="majorHAnsi" w:hAnsiTheme="majorHAnsi" w:cstheme="majorHAnsi"/>
                <w:sz w:val="20"/>
                <w:szCs w:val="20"/>
              </w:rPr>
              <w:t>) and LMAs (</w:t>
            </w:r>
            <w:r w:rsidRPr="006A74F8">
              <w:rPr>
                <w:rFonts w:asciiTheme="majorHAnsi" w:hAnsiTheme="majorHAnsi" w:cstheme="majorHAnsi"/>
                <w:b/>
                <w:sz w:val="20"/>
                <w:szCs w:val="20"/>
              </w:rPr>
              <w:t>options 2 and 3</w:t>
            </w:r>
            <w:r w:rsidRPr="006A74F8">
              <w:rPr>
                <w:rFonts w:asciiTheme="majorHAnsi" w:hAnsiTheme="majorHAnsi" w:cstheme="majorHAnsi"/>
                <w:sz w:val="20"/>
                <w:szCs w:val="20"/>
              </w:rPr>
              <w:t>) will be required to report to NMI after providing measurement services. There would be some level of administrative cost in doing so, however, this is not expected to be significant as UMVs and LMAs</w:t>
            </w:r>
            <w:r w:rsidRPr="006A74F8" w:rsidDel="00AE14F0">
              <w:rPr>
                <w:rFonts w:asciiTheme="majorHAnsi" w:hAnsiTheme="majorHAnsi" w:cstheme="majorHAnsi"/>
                <w:sz w:val="20"/>
                <w:szCs w:val="20"/>
              </w:rPr>
              <w:t xml:space="preserve"> </w:t>
            </w:r>
            <w:r w:rsidRPr="006A74F8">
              <w:rPr>
                <w:rFonts w:asciiTheme="majorHAnsi" w:hAnsiTheme="majorHAnsi" w:cstheme="majorHAnsi"/>
                <w:sz w:val="20"/>
                <w:szCs w:val="20"/>
              </w:rPr>
              <w:t>already have the information that would need to be reported. These changes would follow a transition period and development of an appropriate reporting framework.</w:t>
            </w:r>
          </w:p>
        </w:tc>
      </w:tr>
    </w:tbl>
    <w:p w:rsidR="002B065B" w:rsidRPr="006A74F8" w:rsidRDefault="0043533E" w:rsidP="00E85F60">
      <w:pPr>
        <w:pStyle w:val="Heading4"/>
        <w:tabs>
          <w:tab w:val="left" w:pos="1134"/>
        </w:tabs>
        <w:spacing w:before="240"/>
      </w:pPr>
      <w:r w:rsidRPr="006A74F8">
        <w:t>Aligning reporting r</w:t>
      </w:r>
      <w:r w:rsidR="002B065B" w:rsidRPr="006A74F8">
        <w:t>equirements</w:t>
      </w:r>
    </w:p>
    <w:p w:rsidR="003A5FED" w:rsidRPr="006A74F8" w:rsidRDefault="00515F56" w:rsidP="003A5FED">
      <w:r w:rsidRPr="006A74F8">
        <w:t xml:space="preserve">The changes to reporting requirements would require UMVs (under </w:t>
      </w:r>
      <w:r w:rsidRPr="006A74F8">
        <w:rPr>
          <w:b/>
        </w:rPr>
        <w:t>all options</w:t>
      </w:r>
      <w:r w:rsidRPr="006A74F8">
        <w:t>) and LMAs (</w:t>
      </w:r>
      <w:r w:rsidRPr="006A74F8">
        <w:rPr>
          <w:b/>
        </w:rPr>
        <w:t>options 2 and 3</w:t>
      </w:r>
      <w:r w:rsidRPr="006A74F8">
        <w:t xml:space="preserve">) to </w:t>
      </w:r>
      <w:r w:rsidR="00964900" w:rsidRPr="006A74F8">
        <w:t xml:space="preserve">routinely </w:t>
      </w:r>
      <w:r w:rsidRPr="006A74F8">
        <w:t xml:space="preserve">submit data </w:t>
      </w:r>
      <w:r w:rsidR="00964900" w:rsidRPr="006A74F8">
        <w:t xml:space="preserve">after performing </w:t>
      </w:r>
      <w:r w:rsidRPr="006A74F8">
        <w:t xml:space="preserve">measurement activities. </w:t>
      </w:r>
      <w:r w:rsidR="003A5FED" w:rsidRPr="006A74F8">
        <w:t xml:space="preserve">Under </w:t>
      </w:r>
      <w:r w:rsidR="003A5FED" w:rsidRPr="006A74F8">
        <w:rPr>
          <w:b/>
        </w:rPr>
        <w:t xml:space="preserve">option 1 </w:t>
      </w:r>
      <w:r w:rsidR="003A5FED" w:rsidRPr="006A74F8">
        <w:t xml:space="preserve">UMVs would be expected to report on services provided (e.g. every batch of utility meters verified) within timeframes closely aligned with those for Servicing Licensees (i.e. fortnightly reporting). For </w:t>
      </w:r>
      <w:r w:rsidR="003A5FED" w:rsidRPr="006A74F8">
        <w:rPr>
          <w:b/>
        </w:rPr>
        <w:t xml:space="preserve">options 2 and 3 </w:t>
      </w:r>
      <w:r w:rsidR="003A5FED" w:rsidRPr="006A74F8">
        <w:t xml:space="preserve">UMV reporting would align with expectation under </w:t>
      </w:r>
      <w:r w:rsidR="003A5FED" w:rsidRPr="006A74F8">
        <w:rPr>
          <w:b/>
        </w:rPr>
        <w:t xml:space="preserve">option 1. </w:t>
      </w:r>
      <w:r w:rsidR="003A5FED" w:rsidRPr="006A74F8">
        <w:t xml:space="preserve">Routine reporting on services provided (e.g. regulation certificates issued) is also required for LMAs under </w:t>
      </w:r>
      <w:r w:rsidR="003A5FED" w:rsidRPr="006A74F8">
        <w:rPr>
          <w:b/>
        </w:rPr>
        <w:t>options 2 and 3</w:t>
      </w:r>
      <w:r w:rsidR="003A5FED" w:rsidRPr="006A74F8">
        <w:t>, however the timeframes for this reporting would likely be less frequent than that for Servicing Licensees and UMVs (i.e. potentially monthly but at least several times a year).</w:t>
      </w:r>
    </w:p>
    <w:p w:rsidR="005E058A" w:rsidRPr="006A74F8" w:rsidRDefault="009C365B" w:rsidP="006F428D">
      <w:r w:rsidRPr="006A74F8">
        <w:t>This routine reporting would involve reporting data that UMVs and LMAs would already have. There is expected to be some level of administrative cost in doing so, but this is not anticipated to be significant. Proposed</w:t>
      </w:r>
      <w:r w:rsidR="005E058A" w:rsidRPr="006A74F8">
        <w:t xml:space="preserve"> changes </w:t>
      </w:r>
      <w:r w:rsidRPr="006A74F8">
        <w:t xml:space="preserve">under the different options would be implemented </w:t>
      </w:r>
      <w:r w:rsidR="00964900" w:rsidRPr="006A74F8">
        <w:t>follow</w:t>
      </w:r>
      <w:r w:rsidRPr="006A74F8">
        <w:t>ing</w:t>
      </w:r>
      <w:r w:rsidR="00964900" w:rsidRPr="006A74F8">
        <w:t xml:space="preserve"> a transition period</w:t>
      </w:r>
      <w:r w:rsidR="00D056F2" w:rsidRPr="006A74F8">
        <w:t xml:space="preserve"> and </w:t>
      </w:r>
      <w:r w:rsidRPr="006A74F8">
        <w:t>development of an appropriate reporting framework</w:t>
      </w:r>
      <w:r w:rsidR="0057036C" w:rsidRPr="006A74F8">
        <w:t>.</w:t>
      </w:r>
      <w:r w:rsidRPr="006A74F8">
        <w:t xml:space="preserve"> The level of burden for UMVs and LMAs associated with routine reporting is likely to be dependent on the efficiency of the reporting framework developed. During the</w:t>
      </w:r>
      <w:r w:rsidR="00EC6838" w:rsidRPr="006A74F8">
        <w:t xml:space="preserve"> transition period UMVs and LMAs would continue to be required to report </w:t>
      </w:r>
      <w:r w:rsidR="00865720" w:rsidRPr="006A74F8">
        <w:t xml:space="preserve">when necessary </w:t>
      </w:r>
      <w:r w:rsidR="00EC6838" w:rsidRPr="006A74F8">
        <w:t>at NMI’s request</w:t>
      </w:r>
      <w:r w:rsidR="0057036C" w:rsidRPr="006A74F8">
        <w:t xml:space="preserve">.  </w:t>
      </w:r>
    </w:p>
    <w:p w:rsidR="005E058A" w:rsidRPr="006A74F8" w:rsidRDefault="0057036C" w:rsidP="006F428D">
      <w:r w:rsidRPr="006A74F8">
        <w:t xml:space="preserve">Following the transition period, </w:t>
      </w:r>
      <w:r w:rsidR="00515F56" w:rsidRPr="006A74F8">
        <w:t xml:space="preserve">data </w:t>
      </w:r>
      <w:r w:rsidRPr="006A74F8">
        <w:t xml:space="preserve">received from UMVs or LMAs </w:t>
      </w:r>
      <w:r w:rsidR="00515F56" w:rsidRPr="006A74F8">
        <w:t xml:space="preserve">can then be analysed by NMI to identify whether </w:t>
      </w:r>
      <w:r w:rsidRPr="006A74F8">
        <w:t>they</w:t>
      </w:r>
      <w:r w:rsidR="00515F56" w:rsidRPr="006A74F8">
        <w:t xml:space="preserve"> are </w:t>
      </w:r>
      <w:r w:rsidR="005E058A" w:rsidRPr="006A74F8">
        <w:t>delivering</w:t>
      </w:r>
      <w:r w:rsidR="00515F56" w:rsidRPr="006A74F8">
        <w:t xml:space="preserve"> the quality of services expected of them. </w:t>
      </w:r>
      <w:r w:rsidR="005E058A" w:rsidRPr="006A74F8">
        <w:t>This reporting requirement is important to maintain a level</w:t>
      </w:r>
      <w:r w:rsidR="00C27E25" w:rsidRPr="006A74F8">
        <w:t xml:space="preserve"> </w:t>
      </w:r>
      <w:r w:rsidR="005E058A" w:rsidRPr="006A74F8">
        <w:t>playing field for all types of ATP</w:t>
      </w:r>
      <w:r w:rsidR="005B18B8" w:rsidRPr="006A74F8">
        <w:t>s</w:t>
      </w:r>
      <w:r w:rsidR="005E058A" w:rsidRPr="006A74F8">
        <w:t xml:space="preserve"> and</w:t>
      </w:r>
      <w:r w:rsidR="005E058A" w:rsidRPr="006A74F8" w:rsidDel="005B18B8">
        <w:t xml:space="preserve"> </w:t>
      </w:r>
      <w:r w:rsidR="005E058A" w:rsidRPr="006A74F8">
        <w:t xml:space="preserve">support </w:t>
      </w:r>
      <w:r w:rsidR="005E058A" w:rsidRPr="006A74F8">
        <w:lastRenderedPageBreak/>
        <w:t>confidence in the measurement services that ATPs provide</w:t>
      </w:r>
      <w:r w:rsidR="00AF38B6" w:rsidRPr="006A74F8">
        <w:t>,</w:t>
      </w:r>
      <w:r w:rsidR="005E058A" w:rsidRPr="006A74F8" w:rsidDel="005B18B8">
        <w:t xml:space="preserve"> </w:t>
      </w:r>
      <w:r w:rsidR="005E058A" w:rsidRPr="006A74F8">
        <w:t xml:space="preserve">which underpin broader economic activity. </w:t>
      </w:r>
    </w:p>
    <w:p w:rsidR="00D03578" w:rsidRPr="006A74F8" w:rsidRDefault="00D03578" w:rsidP="006536D4">
      <w:pPr>
        <w:pStyle w:val="Heading4"/>
        <w:tabs>
          <w:tab w:val="left" w:pos="1134"/>
        </w:tabs>
      </w:pPr>
      <w:r w:rsidRPr="006A74F8">
        <w:t>Changes to regulatory burden</w:t>
      </w:r>
    </w:p>
    <w:p w:rsidR="00D056F2" w:rsidRPr="006A74F8" w:rsidRDefault="00A57B71" w:rsidP="006F428D">
      <w:r w:rsidRPr="006A74F8">
        <w:t xml:space="preserve">There is expected to be slight negative impact on UMVs </w:t>
      </w:r>
      <w:r w:rsidR="00C3707B" w:rsidRPr="006A74F8">
        <w:t xml:space="preserve">for </w:t>
      </w:r>
      <w:r w:rsidR="00C3707B" w:rsidRPr="006A74F8">
        <w:rPr>
          <w:b/>
        </w:rPr>
        <w:t xml:space="preserve">all options </w:t>
      </w:r>
      <w:r w:rsidRPr="006A74F8">
        <w:t xml:space="preserve">and LMAs for </w:t>
      </w:r>
      <w:r w:rsidRPr="006A74F8">
        <w:rPr>
          <w:b/>
        </w:rPr>
        <w:t xml:space="preserve">options </w:t>
      </w:r>
      <w:r w:rsidR="00C3707B" w:rsidRPr="006A74F8">
        <w:rPr>
          <w:b/>
        </w:rPr>
        <w:t>2 and</w:t>
      </w:r>
      <w:r w:rsidR="00184B02">
        <w:rPr>
          <w:b/>
        </w:rPr>
        <w:t> </w:t>
      </w:r>
      <w:r w:rsidR="00C3707B" w:rsidRPr="006A74F8">
        <w:rPr>
          <w:b/>
        </w:rPr>
        <w:t>3</w:t>
      </w:r>
      <w:r w:rsidRPr="006A74F8">
        <w:t xml:space="preserve">, </w:t>
      </w:r>
      <w:r w:rsidR="00AD1117" w:rsidRPr="006A74F8">
        <w:t>due to</w:t>
      </w:r>
      <w:r w:rsidRPr="006A74F8">
        <w:t xml:space="preserve"> administrative reporting costs. </w:t>
      </w:r>
      <w:r w:rsidR="00A61C77" w:rsidRPr="006A74F8">
        <w:t>There will be an initial transition period, d</w:t>
      </w:r>
      <w:r w:rsidRPr="006A74F8">
        <w:t xml:space="preserve">uring </w:t>
      </w:r>
      <w:r w:rsidR="00A61C77" w:rsidRPr="006A74F8">
        <w:t xml:space="preserve">which </w:t>
      </w:r>
      <w:r w:rsidRPr="006A74F8">
        <w:t xml:space="preserve">UMVs </w:t>
      </w:r>
      <w:r w:rsidR="00A61C77" w:rsidRPr="006A74F8">
        <w:t xml:space="preserve">(under </w:t>
      </w:r>
      <w:r w:rsidR="00A61C77" w:rsidRPr="006A74F8">
        <w:rPr>
          <w:b/>
        </w:rPr>
        <w:t>all options</w:t>
      </w:r>
      <w:r w:rsidR="00A61C77" w:rsidRPr="006A74F8">
        <w:t xml:space="preserve">) </w:t>
      </w:r>
      <w:r w:rsidRPr="006A74F8">
        <w:t xml:space="preserve">and LMAs </w:t>
      </w:r>
      <w:r w:rsidR="00A61C77" w:rsidRPr="006A74F8">
        <w:t>(under</w:t>
      </w:r>
      <w:r w:rsidR="00A61C77" w:rsidRPr="006A74F8">
        <w:rPr>
          <w:b/>
        </w:rPr>
        <w:t xml:space="preserve"> options 2 and 3</w:t>
      </w:r>
      <w:r w:rsidR="00A61C77" w:rsidRPr="006A74F8">
        <w:t xml:space="preserve">) </w:t>
      </w:r>
      <w:r w:rsidRPr="006A74F8">
        <w:t xml:space="preserve">would continue to be required to report </w:t>
      </w:r>
      <w:r w:rsidR="006D4F7C" w:rsidRPr="006A74F8">
        <w:t>as necessary</w:t>
      </w:r>
      <w:r w:rsidRPr="006A74F8">
        <w:t xml:space="preserve"> at NMI’s request.</w:t>
      </w:r>
      <w:r w:rsidR="00A61C77" w:rsidRPr="006A74F8">
        <w:t xml:space="preserve"> The introduction of an appropriate reporting solution prior to applying routine reporting requirements to UMVs and/or LMAs would likely limit the increase in administrative reporting costs. For example, reporting efficiencies could be gained if a reporting solution was able to accommodate digital interfaces and mobile apps to support direct entry by ATPs, and in future could be integrated with QR codes or other scannable marks on instruments.</w:t>
      </w:r>
    </w:p>
    <w:p w:rsidR="00724FD7" w:rsidRPr="006A74F8" w:rsidRDefault="00724FD7" w:rsidP="006F428D">
      <w:r w:rsidRPr="006A74F8">
        <w:t xml:space="preserve">The current regulatory burden for reporting requirements for different types of ATPS are estimated below. </w:t>
      </w:r>
      <w:r w:rsidR="00A57B71" w:rsidRPr="006A74F8">
        <w:t>Once introduced, r</w:t>
      </w:r>
      <w:r w:rsidR="002565C7" w:rsidRPr="006A74F8">
        <w:t xml:space="preserve">outine reporting requirements would </w:t>
      </w:r>
      <w:r w:rsidRPr="006A74F8">
        <w:t xml:space="preserve">likely see an increase in the status quo estimate for UMVs (under </w:t>
      </w:r>
      <w:r w:rsidRPr="006A74F8">
        <w:rPr>
          <w:b/>
        </w:rPr>
        <w:t>all reform options</w:t>
      </w:r>
      <w:r w:rsidRPr="006A74F8">
        <w:t xml:space="preserve">) and LMAs (under </w:t>
      </w:r>
      <w:r w:rsidRPr="006A74F8">
        <w:rPr>
          <w:b/>
        </w:rPr>
        <w:t>options 2 and 3</w:t>
      </w:r>
      <w:r w:rsidRPr="006A74F8">
        <w:t>)</w:t>
      </w:r>
      <w:r w:rsidR="005C0A48" w:rsidRPr="006A74F8">
        <w:t>.</w:t>
      </w:r>
      <w:r w:rsidR="00A924D6">
        <w:t xml:space="preserve"> </w:t>
      </w:r>
      <w:r w:rsidR="00A924D6" w:rsidRPr="006A74F8">
        <w:t xml:space="preserve">Refer to </w:t>
      </w:r>
      <w:hyperlink w:anchor="_Appendix_13:_Costing" w:history="1">
        <w:r w:rsidR="00A924D6" w:rsidRPr="006A74F8">
          <w:rPr>
            <w:rStyle w:val="Hyperlink"/>
          </w:rPr>
          <w:t>Appendix 12: Costing the regulatory burden on Authorised Third Parties</w:t>
        </w:r>
      </w:hyperlink>
      <w:r w:rsidR="00A924D6" w:rsidRPr="006A74F8">
        <w:t xml:space="preserve"> for further information</w:t>
      </w:r>
      <w:r w:rsidR="00A924D6">
        <w:t>.</w:t>
      </w:r>
    </w:p>
    <w:p w:rsidR="002565C7" w:rsidRPr="006A74F8" w:rsidRDefault="00724FD7" w:rsidP="006F428D">
      <w:r w:rsidRPr="006A74F8">
        <w:t>C</w:t>
      </w:r>
      <w:r w:rsidR="002565C7" w:rsidRPr="006A74F8">
        <w:t xml:space="preserve">urrent </w:t>
      </w:r>
      <w:r w:rsidR="001D32C0" w:rsidRPr="006A74F8">
        <w:t>total</w:t>
      </w:r>
      <w:r w:rsidR="002565C7" w:rsidRPr="006A74F8">
        <w:t xml:space="preserve"> cost of reporting and informing for different ATPs:</w:t>
      </w:r>
    </w:p>
    <w:p w:rsidR="002565C7" w:rsidRPr="006A74F8" w:rsidRDefault="001D32C0" w:rsidP="00B105DD">
      <w:pPr>
        <w:pStyle w:val="ListParagraph"/>
        <w:numPr>
          <w:ilvl w:val="0"/>
          <w:numId w:val="97"/>
        </w:numPr>
      </w:pPr>
      <w:r w:rsidRPr="006A74F8">
        <w:t>Servicing Licensees: $</w:t>
      </w:r>
      <w:r w:rsidR="002F57FD" w:rsidRPr="006A74F8">
        <w:t>3,086,862</w:t>
      </w:r>
    </w:p>
    <w:p w:rsidR="001D32C0" w:rsidRPr="006A74F8" w:rsidRDefault="00036AC1" w:rsidP="00167203">
      <w:pPr>
        <w:pStyle w:val="ListParagraph"/>
        <w:numPr>
          <w:ilvl w:val="0"/>
          <w:numId w:val="97"/>
        </w:numPr>
      </w:pPr>
      <w:r w:rsidRPr="006A74F8">
        <w:t>Public Weighbridge Licensee</w:t>
      </w:r>
      <w:r w:rsidR="001D32C0" w:rsidRPr="006A74F8">
        <w:t>s: $</w:t>
      </w:r>
      <w:r w:rsidR="002F57FD" w:rsidRPr="006A74F8">
        <w:t>16,829</w:t>
      </w:r>
    </w:p>
    <w:p w:rsidR="001D32C0" w:rsidRPr="006A74F8" w:rsidRDefault="001D32C0" w:rsidP="00167203">
      <w:pPr>
        <w:pStyle w:val="ListParagraph"/>
        <w:numPr>
          <w:ilvl w:val="0"/>
          <w:numId w:val="97"/>
        </w:numPr>
      </w:pPr>
      <w:r w:rsidRPr="006A74F8">
        <w:t>UMVs: $</w:t>
      </w:r>
      <w:r w:rsidR="002F57FD" w:rsidRPr="006A74F8">
        <w:t>4,887</w:t>
      </w:r>
    </w:p>
    <w:p w:rsidR="001D32C0" w:rsidRPr="006A74F8" w:rsidRDefault="001D32C0" w:rsidP="00F87EA8">
      <w:pPr>
        <w:pStyle w:val="ListParagraph"/>
        <w:numPr>
          <w:ilvl w:val="0"/>
          <w:numId w:val="97"/>
        </w:numPr>
      </w:pPr>
      <w:r w:rsidRPr="006A74F8">
        <w:t>LMAs: $</w:t>
      </w:r>
      <w:r w:rsidR="002F57FD" w:rsidRPr="006A74F8">
        <w:t>4,543</w:t>
      </w:r>
    </w:p>
    <w:p w:rsidR="009363C1" w:rsidRPr="006A74F8" w:rsidRDefault="009363C1">
      <w:r w:rsidRPr="006A74F8">
        <w:br w:type="page"/>
      </w:r>
    </w:p>
    <w:p w:rsidR="000D1CF3" w:rsidRPr="006A74F8" w:rsidRDefault="000D1CF3" w:rsidP="00586A20">
      <w:pPr>
        <w:pStyle w:val="Heading1"/>
        <w:ind w:left="709" w:hanging="709"/>
      </w:pPr>
      <w:bookmarkStart w:id="2320" w:name="_Appendix_8:_Impacts"/>
      <w:bookmarkStart w:id="2321" w:name="_Toc63062607"/>
      <w:bookmarkStart w:id="2322" w:name="_Ref63104395"/>
      <w:bookmarkStart w:id="2323" w:name="_Toc64558467"/>
      <w:bookmarkStart w:id="2324" w:name="_Toc64557487"/>
      <w:bookmarkStart w:id="2325" w:name="_Toc64562212"/>
      <w:bookmarkStart w:id="2326" w:name="_Toc64562468"/>
      <w:bookmarkStart w:id="2327" w:name="_Toc64640261"/>
      <w:bookmarkStart w:id="2328" w:name="_Toc64641231"/>
      <w:bookmarkStart w:id="2329" w:name="_Toc64647173"/>
      <w:bookmarkStart w:id="2330" w:name="_Toc64888345"/>
      <w:bookmarkStart w:id="2331" w:name="_Toc64888719"/>
      <w:bookmarkStart w:id="2332" w:name="_Toc64892994"/>
      <w:bookmarkStart w:id="2333" w:name="_Toc64895676"/>
      <w:bookmarkStart w:id="2334" w:name="_Toc64900902"/>
      <w:bookmarkStart w:id="2335" w:name="_Toc64903149"/>
      <w:bookmarkStart w:id="2336" w:name="_Toc64904107"/>
      <w:bookmarkStart w:id="2337" w:name="_Toc64904310"/>
      <w:bookmarkStart w:id="2338" w:name="_Toc64904772"/>
      <w:bookmarkStart w:id="2339" w:name="_Toc64905286"/>
      <w:bookmarkStart w:id="2340" w:name="_Toc64964026"/>
      <w:bookmarkStart w:id="2341" w:name="_Toc64974643"/>
      <w:bookmarkStart w:id="2342" w:name="_Toc64976325"/>
      <w:bookmarkStart w:id="2343" w:name="_Toc65149705"/>
      <w:bookmarkStart w:id="2344" w:name="_Toc65163458"/>
      <w:bookmarkStart w:id="2345" w:name="_Toc65491098"/>
      <w:bookmarkStart w:id="2346" w:name="_Toc65504834"/>
      <w:bookmarkStart w:id="2347" w:name="_Toc65757917"/>
      <w:bookmarkStart w:id="2348" w:name="_Toc65769512"/>
      <w:bookmarkStart w:id="2349" w:name="_Toc65766880"/>
      <w:bookmarkStart w:id="2350" w:name="_Toc65772654"/>
      <w:bookmarkStart w:id="2351" w:name="_Toc66435711"/>
      <w:bookmarkStart w:id="2352" w:name="_Toc66436500"/>
      <w:bookmarkStart w:id="2353" w:name="_Toc66437711"/>
      <w:bookmarkStart w:id="2354" w:name="_Toc66440050"/>
      <w:bookmarkStart w:id="2355" w:name="_Toc66442253"/>
      <w:bookmarkStart w:id="2356" w:name="_Toc66451922"/>
      <w:bookmarkStart w:id="2357" w:name="_Toc66459199"/>
      <w:bookmarkStart w:id="2358" w:name="_Toc66460253"/>
      <w:bookmarkStart w:id="2359" w:name="_Toc67305401"/>
      <w:bookmarkStart w:id="2360" w:name="_Toc67306315"/>
      <w:bookmarkStart w:id="2361" w:name="_Toc67306765"/>
      <w:bookmarkStart w:id="2362" w:name="_Toc67313617"/>
      <w:bookmarkStart w:id="2363" w:name="_Toc67320810"/>
      <w:bookmarkStart w:id="2364" w:name="_Toc67321963"/>
      <w:bookmarkStart w:id="2365" w:name="_Toc67324428"/>
      <w:bookmarkStart w:id="2366" w:name="_Toc67326589"/>
      <w:bookmarkStart w:id="2367" w:name="_Toc67649127"/>
      <w:bookmarkStart w:id="2368" w:name="_Toc67650111"/>
      <w:bookmarkStart w:id="2369" w:name="_Toc67650366"/>
      <w:bookmarkStart w:id="2370" w:name="_Toc67650658"/>
      <w:bookmarkStart w:id="2371" w:name="_Toc67652978"/>
      <w:bookmarkStart w:id="2372" w:name="_Toc67653063"/>
      <w:bookmarkStart w:id="2373" w:name="_Toc67653495"/>
      <w:bookmarkStart w:id="2374" w:name="_Toc67653558"/>
      <w:bookmarkStart w:id="2375" w:name="_Toc67649975"/>
      <w:bookmarkStart w:id="2376" w:name="_Toc67654061"/>
      <w:bookmarkStart w:id="2377" w:name="_Toc67654368"/>
      <w:bookmarkStart w:id="2378" w:name="_Toc67654585"/>
      <w:bookmarkStart w:id="2379" w:name="_Toc67656192"/>
      <w:bookmarkStart w:id="2380" w:name="_Toc67656954"/>
      <w:bookmarkStart w:id="2381" w:name="_Toc67659253"/>
      <w:bookmarkStart w:id="2382" w:name="_Toc67659754"/>
      <w:bookmarkStart w:id="2383" w:name="_Toc67661721"/>
      <w:bookmarkStart w:id="2384" w:name="_Toc67662812"/>
      <w:bookmarkStart w:id="2385" w:name="_Toc67662953"/>
      <w:bookmarkStart w:id="2386" w:name="_Toc67664459"/>
      <w:bookmarkStart w:id="2387" w:name="_Toc67667186"/>
      <w:bookmarkStart w:id="2388" w:name="_Toc67668259"/>
      <w:bookmarkStart w:id="2389" w:name="_Toc67669166"/>
      <w:bookmarkStart w:id="2390" w:name="_Toc67665777"/>
      <w:bookmarkStart w:id="2391" w:name="_Toc67912166"/>
      <w:bookmarkStart w:id="2392" w:name="_Toc67922247"/>
      <w:bookmarkStart w:id="2393" w:name="_Toc67929106"/>
      <w:bookmarkStart w:id="2394" w:name="_Toc67929400"/>
      <w:bookmarkStart w:id="2395" w:name="_Toc67929625"/>
      <w:bookmarkStart w:id="2396" w:name="_Toc67927102"/>
      <w:bookmarkStart w:id="2397" w:name="_Toc68011267"/>
      <w:bookmarkStart w:id="2398" w:name="_Toc68011325"/>
      <w:bookmarkStart w:id="2399" w:name="_Toc81919630"/>
      <w:bookmarkStart w:id="2400" w:name="_Toc81919904"/>
      <w:bookmarkStart w:id="2401" w:name="_Toc81921175"/>
      <w:bookmarkStart w:id="2402" w:name="_Toc81923746"/>
      <w:bookmarkStart w:id="2403" w:name="_Toc81923777"/>
      <w:bookmarkStart w:id="2404" w:name="_Toc81997320"/>
      <w:bookmarkStart w:id="2405" w:name="_Toc81998093"/>
      <w:bookmarkStart w:id="2406" w:name="_Toc82011851"/>
      <w:bookmarkStart w:id="2407" w:name="_Toc82512703"/>
      <w:bookmarkStart w:id="2408" w:name="_Toc82516171"/>
      <w:bookmarkStart w:id="2409" w:name="_Toc82519116"/>
      <w:bookmarkStart w:id="2410" w:name="_Toc82706654"/>
      <w:bookmarkStart w:id="2411" w:name="_Toc82790543"/>
      <w:bookmarkStart w:id="2412" w:name="_Toc82791062"/>
      <w:bookmarkStart w:id="2413" w:name="_Toc82792373"/>
      <w:bookmarkStart w:id="2414" w:name="_Toc83290755"/>
      <w:bookmarkStart w:id="2415" w:name="_Toc83292764"/>
      <w:bookmarkStart w:id="2416" w:name="_Toc83293535"/>
      <w:bookmarkEnd w:id="2320"/>
      <w:r w:rsidRPr="006A74F8">
        <w:lastRenderedPageBreak/>
        <w:t xml:space="preserve">Appendix </w:t>
      </w:r>
      <w:r w:rsidR="00266F0F" w:rsidRPr="006A74F8">
        <w:t>7</w:t>
      </w:r>
      <w:r w:rsidRPr="006A74F8">
        <w:t xml:space="preserve">: </w:t>
      </w:r>
      <w:r w:rsidR="0083664B" w:rsidRPr="006A74F8">
        <w:t>Impacts on</w:t>
      </w:r>
      <w:r w:rsidR="0043533E" w:rsidRPr="006A74F8">
        <w:t xml:space="preserve"> wholesalers, retailers, i</w:t>
      </w:r>
      <w:r w:rsidRPr="006A74F8">
        <w:t xml:space="preserve">mporters, </w:t>
      </w:r>
      <w:r w:rsidR="00694978" w:rsidRPr="006A74F8">
        <w:t xml:space="preserve">and </w:t>
      </w:r>
      <w:r w:rsidR="0043533E" w:rsidRPr="006A74F8">
        <w:t>p</w:t>
      </w:r>
      <w:r w:rsidRPr="006A74F8">
        <w:t>ackers</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p>
    <w:p w:rsidR="00915EB2" w:rsidRPr="006A74F8" w:rsidRDefault="00915EB2" w:rsidP="00586A20">
      <w:pPr>
        <w:pStyle w:val="Heading2"/>
        <w:ind w:left="851" w:hanging="851"/>
      </w:pPr>
      <w:bookmarkStart w:id="2417" w:name="_Toc64895677"/>
      <w:bookmarkStart w:id="2418" w:name="_Toc64900903"/>
      <w:bookmarkStart w:id="2419" w:name="_Toc64903150"/>
      <w:bookmarkStart w:id="2420" w:name="_Toc64904108"/>
      <w:bookmarkStart w:id="2421" w:name="_Toc64904311"/>
      <w:bookmarkStart w:id="2422" w:name="_Toc64904773"/>
      <w:bookmarkStart w:id="2423" w:name="_Toc64905287"/>
      <w:bookmarkStart w:id="2424" w:name="_Toc64964027"/>
      <w:bookmarkStart w:id="2425" w:name="_Toc64974644"/>
      <w:bookmarkStart w:id="2426" w:name="_Toc64976326"/>
      <w:bookmarkStart w:id="2427" w:name="_Toc65149706"/>
      <w:bookmarkStart w:id="2428" w:name="_Toc67390617"/>
      <w:r w:rsidRPr="006A74F8">
        <w:t>Key impacts on industry – wholesalers / retailers/ importers / packers</w:t>
      </w:r>
      <w:bookmarkEnd w:id="2417"/>
      <w:bookmarkEnd w:id="2418"/>
      <w:bookmarkEnd w:id="2419"/>
      <w:bookmarkEnd w:id="2420"/>
      <w:bookmarkEnd w:id="2421"/>
      <w:bookmarkEnd w:id="2422"/>
      <w:bookmarkEnd w:id="2423"/>
      <w:bookmarkEnd w:id="2424"/>
      <w:bookmarkEnd w:id="2425"/>
      <w:bookmarkEnd w:id="2426"/>
      <w:bookmarkEnd w:id="2427"/>
      <w:bookmarkEnd w:id="2428"/>
    </w:p>
    <w:p w:rsidR="003B5BE3" w:rsidRPr="006A74F8" w:rsidRDefault="003B5BE3" w:rsidP="003B5BE3">
      <w:pPr>
        <w:pStyle w:val="Caption"/>
        <w:keepNext/>
      </w:pPr>
      <w:r w:rsidRPr="006A74F8">
        <w:t>Table A</w:t>
      </w:r>
      <w:r w:rsidR="005962BB" w:rsidRPr="006A74F8">
        <w:t>7</w:t>
      </w:r>
      <w:r w:rsidRPr="006A74F8">
        <w:t xml:space="preserve">- </w:t>
      </w:r>
      <w:r w:rsidR="009853E6" w:rsidRPr="006A74F8">
        <w:rPr>
          <w:noProof/>
        </w:rPr>
        <w:fldChar w:fldCharType="begin"/>
      </w:r>
      <w:r w:rsidR="009853E6" w:rsidRPr="006A74F8">
        <w:rPr>
          <w:noProof/>
        </w:rPr>
        <w:instrText xml:space="preserve"> SEQ Table_A8- \* ARABIC </w:instrText>
      </w:r>
      <w:r w:rsidR="009853E6" w:rsidRPr="006A74F8">
        <w:rPr>
          <w:noProof/>
        </w:rPr>
        <w:fldChar w:fldCharType="separate"/>
      </w:r>
      <w:r w:rsidR="0033017F">
        <w:rPr>
          <w:noProof/>
        </w:rPr>
        <w:t>2</w:t>
      </w:r>
      <w:r w:rsidR="009853E6" w:rsidRPr="006A74F8">
        <w:rPr>
          <w:noProof/>
        </w:rPr>
        <w:fldChar w:fldCharType="end"/>
      </w:r>
      <w:r w:rsidRPr="006A74F8">
        <w:t xml:space="preserve">: </w:t>
      </w:r>
      <w:r w:rsidR="006D4F7C" w:rsidRPr="006A74F8">
        <w:t>Summary of k</w:t>
      </w:r>
      <w:r w:rsidRPr="006A74F8">
        <w:t>ey impacts on industry – wholesalers / retailers / importers / packers</w:t>
      </w:r>
    </w:p>
    <w:tbl>
      <w:tblPr>
        <w:tblStyle w:val="PlainTable2"/>
        <w:tblW w:w="8875" w:type="dxa"/>
        <w:tblLook w:val="04A0" w:firstRow="1" w:lastRow="0" w:firstColumn="1" w:lastColumn="0" w:noHBand="0" w:noVBand="1"/>
        <w:tblCaption w:val="Table A8- 1: Key impacts on industry – wholesalers / retailers / importers / packers"/>
        <w:tblDescription w:val="Increased business confidence. Option 1 is rated +1, slight beneficial. Options 2 and 3 are rated +2, moderate beneficial. &#10;Greater coverage of trade measurement provisions: Expansion of coverage for false or misleading measurement to include purchase of goods under option 1, and services under options 2 and 3. Includes mechanism to cover non-trade measurement applications under option 3.&#10;&#10;Cost burden for packing instruments. Options 1 to 3 are rated -1, slight adverse.&#10;Packing Instrument Requirements: Alignment of requirements for over the counter measuring instruments and those used for random measurement packaged products, could result in a small cost increase for some packaged product manufacturers.&#10;&#10;Increased compliance reinforces a level playing field for businesses. Options 1 to 3 are rated +2, moderate beneficial. &#10;Tailored compliance: Ability for government to achieve fairer and more effective compliance outcomes through the use of more tailored and collaborative compliance and enforcement tools&#10;&#10;Cost savings – measurement marking placement. Options 1-3 are rated +1, slight beneficial.&#10;Packaged Products: Relabelling costs reduced for some imported pre-packaged products.&#10;&#10;Ease of doing business. Option 1 is rated +2, moderate beneficial. Options 2 and 3 are rated large beneficial. &#10;Greater flexibility for business: Less prescriptive / streamlined and flexible requirements for:&#10;• how goods and services are sold by measurement&#10;• how measuring instruments in trade are used &#10;• the presentation of the measurement mark on pre-packaged products&#10;However, flexibility may provide uncertainty for some businesses, particularly SMEs.&#10;&#10;Certainty for business. Options 1 to 3 are rated +1, slight beneficial.&#10;Packaged Products: A power to exempt products provides long term certainty for the presentational requirements of the measurement mark on packaged products. &#10;&#10;Average. Option 1 is rated +1 slight beneficial. Options 2 and 3 are rated +1.33, slight beneficial. &#10;All reform options will benefit this stakeholder group. Options 2 and 3 provide the greatest net benefit.&#10;"/>
      </w:tblPr>
      <w:tblGrid>
        <w:gridCol w:w="1811"/>
        <w:gridCol w:w="671"/>
        <w:gridCol w:w="671"/>
        <w:gridCol w:w="671"/>
        <w:gridCol w:w="5051"/>
      </w:tblGrid>
      <w:tr w:rsidR="005D0DC3" w:rsidRPr="006A74F8" w:rsidTr="005254AE">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rsidR="005D0DC3" w:rsidRPr="006A74F8" w:rsidRDefault="005D0DC3" w:rsidP="00AE7B79">
            <w:r w:rsidRPr="006A74F8">
              <w:t>Impact</w:t>
            </w:r>
          </w:p>
        </w:tc>
        <w:tc>
          <w:tcPr>
            <w:tcW w:w="1919" w:type="dxa"/>
            <w:gridSpan w:val="3"/>
            <w:tcBorders>
              <w:top w:val="single" w:sz="12" w:space="0" w:color="000000" w:themeColor="text1"/>
              <w:bottom w:val="nil"/>
            </w:tcBorders>
            <w:vAlign w:val="center"/>
          </w:tcPr>
          <w:p w:rsidR="005D0DC3" w:rsidRPr="006A74F8" w:rsidRDefault="005D0DC3" w:rsidP="00AE7B79">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3" w:type="dxa"/>
            <w:vMerge w:val="restart"/>
            <w:tcBorders>
              <w:top w:val="single" w:sz="12" w:space="0" w:color="000000" w:themeColor="text1"/>
            </w:tcBorders>
            <w:vAlign w:val="center"/>
          </w:tcPr>
          <w:p w:rsidR="005D0DC3" w:rsidRPr="006A74F8" w:rsidRDefault="005D0DC3" w:rsidP="00AE7B79">
            <w:pPr>
              <w:cnfStyle w:val="100000000000" w:firstRow="1" w:lastRow="0" w:firstColumn="0" w:lastColumn="0" w:oddVBand="0" w:evenVBand="0" w:oddHBand="0" w:evenHBand="0" w:firstRowFirstColumn="0" w:firstRowLastColumn="0" w:lastRowFirstColumn="0" w:lastRowLastColumn="0"/>
            </w:pPr>
            <w:r w:rsidRPr="006A74F8">
              <w:t>Explanation</w:t>
            </w:r>
          </w:p>
        </w:tc>
      </w:tr>
      <w:tr w:rsidR="005D0DC3" w:rsidRPr="006A74F8" w:rsidTr="005254AE">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rsidR="005D0DC3" w:rsidRPr="006A74F8" w:rsidRDefault="005D0DC3" w:rsidP="00AE7B79"/>
        </w:tc>
        <w:tc>
          <w:tcPr>
            <w:tcW w:w="633" w:type="dxa"/>
            <w:tcBorders>
              <w:top w:val="nil"/>
              <w:bottom w:val="double" w:sz="4" w:space="0" w:color="auto"/>
            </w:tcBorders>
          </w:tcPr>
          <w:p w:rsidR="005D0DC3" w:rsidRPr="006A74F8" w:rsidRDefault="005D0DC3"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43" w:type="dxa"/>
            <w:tcBorders>
              <w:top w:val="nil"/>
              <w:bottom w:val="double" w:sz="4" w:space="0" w:color="auto"/>
            </w:tcBorders>
          </w:tcPr>
          <w:p w:rsidR="005D0DC3" w:rsidRPr="006A74F8" w:rsidRDefault="005D0DC3"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43" w:type="dxa"/>
            <w:tcBorders>
              <w:top w:val="nil"/>
              <w:bottom w:val="double" w:sz="4" w:space="0" w:color="auto"/>
            </w:tcBorders>
          </w:tcPr>
          <w:p w:rsidR="005D0DC3" w:rsidRPr="006A74F8" w:rsidRDefault="005D0DC3"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3" w:type="dxa"/>
            <w:vMerge/>
            <w:tcBorders>
              <w:bottom w:val="double" w:sz="4" w:space="0" w:color="auto"/>
            </w:tcBorders>
          </w:tcPr>
          <w:p w:rsidR="005D0DC3" w:rsidRPr="006A74F8" w:rsidRDefault="005D0DC3" w:rsidP="00AE7B79">
            <w:pPr>
              <w:cnfStyle w:val="100000000000" w:firstRow="1" w:lastRow="0" w:firstColumn="0" w:lastColumn="0" w:oddVBand="0" w:evenVBand="0" w:oddHBand="0" w:evenHBand="0" w:firstRowFirstColumn="0" w:firstRowLastColumn="0" w:lastRowFirstColumn="0" w:lastRowLastColumn="0"/>
            </w:pPr>
          </w:p>
        </w:tc>
      </w:tr>
      <w:tr w:rsidR="005D0DC3" w:rsidRPr="006A74F8" w:rsidTr="0052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Borders>
              <w:top w:val="double" w:sz="4" w:space="0" w:color="auto"/>
            </w:tcBorders>
            <w:vAlign w:val="center"/>
          </w:tcPr>
          <w:p w:rsidR="005D0DC3" w:rsidRPr="006A74F8" w:rsidRDefault="005D0DC3" w:rsidP="00AE7B79">
            <w:pPr>
              <w:rPr>
                <w:rFonts w:asciiTheme="majorHAnsi" w:eastAsia="Calibri" w:hAnsiTheme="majorHAnsi" w:cstheme="majorHAnsi"/>
                <w:b w:val="0"/>
                <w:sz w:val="20"/>
                <w:szCs w:val="20"/>
              </w:rPr>
            </w:pPr>
            <w:r w:rsidRPr="006A74F8">
              <w:rPr>
                <w:b w:val="0"/>
                <w:sz w:val="20"/>
                <w:szCs w:val="20"/>
              </w:rPr>
              <w:t>Increased business confidence</w:t>
            </w:r>
          </w:p>
        </w:tc>
        <w:tc>
          <w:tcPr>
            <w:tcW w:w="633" w:type="dxa"/>
            <w:tcBorders>
              <w:top w:val="double" w:sz="4" w:space="0" w:color="auto"/>
              <w:right w:val="single" w:sz="4" w:space="0" w:color="FFFFFF" w:themeColor="background1"/>
            </w:tcBorders>
            <w:shd w:val="clear" w:color="auto" w:fill="ACD7CA"/>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shd w:val="clear" w:color="auto" w:fill="ACD7CA"/>
              </w:rPr>
              <w:t>+1</w:t>
            </w:r>
          </w:p>
        </w:tc>
        <w:tc>
          <w:tcPr>
            <w:tcW w:w="643" w:type="dxa"/>
            <w:tcBorders>
              <w:top w:val="double" w:sz="4" w:space="0" w:color="auto"/>
              <w:left w:val="single" w:sz="4" w:space="0" w:color="FFFFFF" w:themeColor="background1"/>
              <w:right w:val="single" w:sz="4" w:space="0" w:color="FFFFFF" w:themeColor="background1"/>
            </w:tcBorders>
            <w:shd w:val="clear" w:color="auto" w:fill="398E98"/>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43" w:type="dxa"/>
            <w:tcBorders>
              <w:top w:val="double" w:sz="4" w:space="0" w:color="auto"/>
              <w:left w:val="single" w:sz="4" w:space="0" w:color="FFFFFF" w:themeColor="background1"/>
            </w:tcBorders>
            <w:shd w:val="clear" w:color="auto" w:fill="398E98"/>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5133" w:type="dxa"/>
            <w:tcBorders>
              <w:top w:val="double" w:sz="4" w:space="0" w:color="auto"/>
            </w:tcBorders>
            <w:vAlign w:val="center"/>
          </w:tcPr>
          <w:p w:rsidR="005D0DC3" w:rsidRPr="006A74F8" w:rsidRDefault="005D0DC3"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rFonts w:ascii="Calibri" w:eastAsia="Calibri" w:hAnsi="Calibri" w:cs="Times New Roman"/>
                <w:b/>
                <w:sz w:val="20"/>
                <w:szCs w:val="20"/>
              </w:rPr>
              <w:t xml:space="preserve">Greater coverage of trade measurement provisions: </w:t>
            </w:r>
            <w:r w:rsidRPr="006A74F8">
              <w:rPr>
                <w:rFonts w:ascii="Calibri" w:eastAsia="Calibri" w:hAnsi="Calibri"/>
                <w:sz w:val="20"/>
                <w:szCs w:val="20"/>
              </w:rPr>
              <w:t>Expansion of coverage for false or misleading measurement to include purchase of goods under option 1, and services under options 2 and 3. Includes mechanism to cover non-trade measurement applications under option 3.</w:t>
            </w:r>
          </w:p>
        </w:tc>
      </w:tr>
      <w:tr w:rsidR="005D0DC3" w:rsidRPr="006A74F8" w:rsidTr="005254AE">
        <w:tc>
          <w:tcPr>
            <w:cnfStyle w:val="001000000000" w:firstRow="0" w:lastRow="0" w:firstColumn="1" w:lastColumn="0" w:oddVBand="0" w:evenVBand="0" w:oddHBand="0" w:evenHBand="0" w:firstRowFirstColumn="0" w:firstRowLastColumn="0" w:lastRowFirstColumn="0" w:lastRowLastColumn="0"/>
            <w:tcW w:w="1823" w:type="dxa"/>
            <w:vAlign w:val="center"/>
          </w:tcPr>
          <w:p w:rsidR="005D0DC3" w:rsidRPr="006A74F8" w:rsidRDefault="005D0DC3" w:rsidP="00AE7B79">
            <w:pPr>
              <w:rPr>
                <w:rFonts w:asciiTheme="majorHAnsi" w:eastAsia="Calibri" w:hAnsiTheme="majorHAnsi" w:cstheme="majorHAnsi"/>
                <w:b w:val="0"/>
                <w:sz w:val="20"/>
                <w:szCs w:val="20"/>
              </w:rPr>
            </w:pPr>
            <w:r w:rsidRPr="006A74F8">
              <w:rPr>
                <w:b w:val="0"/>
                <w:sz w:val="20"/>
                <w:szCs w:val="20"/>
              </w:rPr>
              <w:t>Cost burden for packing instruments</w:t>
            </w:r>
          </w:p>
        </w:tc>
        <w:tc>
          <w:tcPr>
            <w:tcW w:w="633" w:type="dxa"/>
            <w:tcBorders>
              <w:right w:val="single" w:sz="4" w:space="0" w:color="FFFFFF" w:themeColor="background1"/>
            </w:tcBorders>
            <w:shd w:val="clear" w:color="auto" w:fill="FFBC79"/>
            <w:vAlign w:val="center"/>
          </w:tcPr>
          <w:p w:rsidR="005D0DC3" w:rsidRPr="006A74F8"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FFBC79"/>
            <w:vAlign w:val="center"/>
          </w:tcPr>
          <w:p w:rsidR="005D0DC3" w:rsidRPr="006A74F8"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tcBorders>
            <w:shd w:val="clear" w:color="auto" w:fill="FFBC79"/>
            <w:vAlign w:val="center"/>
          </w:tcPr>
          <w:p w:rsidR="005D0DC3" w:rsidRPr="006A74F8"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5133" w:type="dxa"/>
            <w:vAlign w:val="center"/>
          </w:tcPr>
          <w:p w:rsidR="005D0DC3" w:rsidRPr="006A74F8" w:rsidRDefault="005D0DC3" w:rsidP="00AE7B79">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6A74F8">
              <w:rPr>
                <w:b/>
                <w:sz w:val="20"/>
                <w:szCs w:val="20"/>
              </w:rPr>
              <w:t>Packing Instrument Requirements</w:t>
            </w:r>
            <w:r w:rsidRPr="006A74F8">
              <w:rPr>
                <w:sz w:val="20"/>
                <w:szCs w:val="20"/>
              </w:rPr>
              <w:t>: Alignment of requirements for over the counter measuring instruments and those used for random measurement packaged products, could result in a small cost increase for some packaged product manufacturers.</w:t>
            </w:r>
          </w:p>
        </w:tc>
      </w:tr>
      <w:tr w:rsidR="005D0DC3" w:rsidRPr="006A74F8" w:rsidTr="0052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rsidR="005D0DC3" w:rsidRPr="006A74F8" w:rsidRDefault="005D0DC3" w:rsidP="00AE7B79">
            <w:pPr>
              <w:rPr>
                <w:rFonts w:asciiTheme="majorHAnsi" w:eastAsia="Calibri" w:hAnsiTheme="majorHAnsi" w:cstheme="majorHAnsi"/>
                <w:b w:val="0"/>
                <w:sz w:val="20"/>
                <w:szCs w:val="20"/>
              </w:rPr>
            </w:pPr>
            <w:r w:rsidRPr="006A74F8">
              <w:rPr>
                <w:b w:val="0"/>
                <w:sz w:val="20"/>
                <w:szCs w:val="20"/>
              </w:rPr>
              <w:t>Increased compliance reinforces a level playing field for businesses</w:t>
            </w:r>
          </w:p>
        </w:tc>
        <w:tc>
          <w:tcPr>
            <w:tcW w:w="633" w:type="dxa"/>
            <w:tcBorders>
              <w:right w:val="single" w:sz="4" w:space="0" w:color="FFFFFF" w:themeColor="background1"/>
            </w:tcBorders>
            <w:shd w:val="clear" w:color="auto" w:fill="398E98"/>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43" w:type="dxa"/>
            <w:tcBorders>
              <w:left w:val="single" w:sz="4" w:space="0" w:color="FFFFFF" w:themeColor="background1"/>
              <w:right w:val="single" w:sz="4" w:space="0" w:color="FFFFFF" w:themeColor="background1"/>
            </w:tcBorders>
            <w:shd w:val="clear" w:color="auto" w:fill="398E98"/>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43" w:type="dxa"/>
            <w:tcBorders>
              <w:left w:val="single" w:sz="4" w:space="0" w:color="FFFFFF" w:themeColor="background1"/>
            </w:tcBorders>
            <w:shd w:val="clear" w:color="auto" w:fill="398E98"/>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5133" w:type="dxa"/>
            <w:vAlign w:val="center"/>
          </w:tcPr>
          <w:p w:rsidR="005D0DC3" w:rsidRPr="006A74F8" w:rsidRDefault="005D0DC3"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b/>
                <w:sz w:val="20"/>
                <w:szCs w:val="20"/>
              </w:rPr>
              <w:t xml:space="preserve">Tailored compliance: </w:t>
            </w:r>
            <w:r w:rsidRPr="006A74F8">
              <w:rPr>
                <w:sz w:val="20"/>
                <w:szCs w:val="20"/>
              </w:rPr>
              <w:t>Ability for government to achieve fairer and more effective compliance outcomes through the use of more tailored and collaborative compliance and enforcement tools</w:t>
            </w:r>
          </w:p>
        </w:tc>
      </w:tr>
      <w:tr w:rsidR="005D0DC3" w:rsidRPr="006A74F8" w:rsidTr="005254AE">
        <w:tc>
          <w:tcPr>
            <w:cnfStyle w:val="001000000000" w:firstRow="0" w:lastRow="0" w:firstColumn="1" w:lastColumn="0" w:oddVBand="0" w:evenVBand="0" w:oddHBand="0" w:evenHBand="0" w:firstRowFirstColumn="0" w:firstRowLastColumn="0" w:lastRowFirstColumn="0" w:lastRowLastColumn="0"/>
            <w:tcW w:w="1823" w:type="dxa"/>
            <w:vAlign w:val="center"/>
          </w:tcPr>
          <w:p w:rsidR="005D0DC3" w:rsidRPr="006A74F8" w:rsidRDefault="005D0DC3" w:rsidP="00AE7B79">
            <w:pPr>
              <w:rPr>
                <w:b w:val="0"/>
                <w:sz w:val="20"/>
                <w:szCs w:val="20"/>
              </w:rPr>
            </w:pPr>
            <w:r w:rsidRPr="006A74F8">
              <w:rPr>
                <w:b w:val="0"/>
                <w:sz w:val="20"/>
                <w:szCs w:val="20"/>
              </w:rPr>
              <w:t>Cost savings – measurement marking placement</w:t>
            </w:r>
          </w:p>
        </w:tc>
        <w:tc>
          <w:tcPr>
            <w:tcW w:w="633" w:type="dxa"/>
            <w:tcBorders>
              <w:right w:val="single" w:sz="4" w:space="0" w:color="FFFFFF" w:themeColor="background1"/>
            </w:tcBorders>
            <w:shd w:val="clear" w:color="auto" w:fill="ACD7CA"/>
            <w:vAlign w:val="center"/>
          </w:tcPr>
          <w:p w:rsidR="005D0DC3" w:rsidRPr="006A74F8"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ACD7CA"/>
            <w:vAlign w:val="center"/>
          </w:tcPr>
          <w:p w:rsidR="005D0DC3" w:rsidRPr="006A74F8"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tcBorders>
            <w:shd w:val="clear" w:color="auto" w:fill="ACD7CA"/>
            <w:vAlign w:val="center"/>
          </w:tcPr>
          <w:p w:rsidR="005D0DC3" w:rsidRPr="006A74F8"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5133" w:type="dxa"/>
            <w:vAlign w:val="center"/>
          </w:tcPr>
          <w:p w:rsidR="005D0DC3" w:rsidRPr="006A74F8" w:rsidRDefault="005D0DC3" w:rsidP="00AE7B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6A74F8">
              <w:rPr>
                <w:b/>
                <w:sz w:val="20"/>
                <w:szCs w:val="20"/>
              </w:rPr>
              <w:t>Packaged Products</w:t>
            </w:r>
            <w:r w:rsidRPr="006A74F8">
              <w:rPr>
                <w:sz w:val="20"/>
                <w:szCs w:val="20"/>
              </w:rPr>
              <w:t>: Relabelling costs reduced for some imported packaged products.</w:t>
            </w:r>
          </w:p>
        </w:tc>
      </w:tr>
      <w:tr w:rsidR="005D0DC3" w:rsidRPr="006A74F8" w:rsidTr="0052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rsidR="005D0DC3" w:rsidRPr="006A74F8" w:rsidRDefault="005D0DC3" w:rsidP="00AE7B79">
            <w:pPr>
              <w:rPr>
                <w:rFonts w:asciiTheme="majorHAnsi" w:eastAsia="Calibri" w:hAnsiTheme="majorHAnsi" w:cstheme="majorHAnsi"/>
                <w:b w:val="0"/>
                <w:sz w:val="20"/>
                <w:szCs w:val="20"/>
              </w:rPr>
            </w:pPr>
            <w:r w:rsidRPr="006A74F8">
              <w:rPr>
                <w:b w:val="0"/>
                <w:sz w:val="20"/>
                <w:szCs w:val="20"/>
              </w:rPr>
              <w:t>Ease of doing business</w:t>
            </w:r>
          </w:p>
        </w:tc>
        <w:tc>
          <w:tcPr>
            <w:tcW w:w="633" w:type="dxa"/>
            <w:tcBorders>
              <w:right w:val="single" w:sz="4" w:space="0" w:color="FFFFFF" w:themeColor="background1"/>
            </w:tcBorders>
            <w:shd w:val="clear" w:color="auto" w:fill="398E98"/>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43" w:type="dxa"/>
            <w:tcBorders>
              <w:left w:val="single" w:sz="4" w:space="0" w:color="FFFFFF" w:themeColor="background1"/>
              <w:right w:val="single" w:sz="4" w:space="0" w:color="FFFFFF" w:themeColor="background1"/>
            </w:tcBorders>
            <w:shd w:val="clear" w:color="auto" w:fill="0F4D4B"/>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+3</w:t>
            </w:r>
          </w:p>
        </w:tc>
        <w:tc>
          <w:tcPr>
            <w:tcW w:w="643" w:type="dxa"/>
            <w:tcBorders>
              <w:left w:val="single" w:sz="4" w:space="0" w:color="FFFFFF" w:themeColor="background1"/>
            </w:tcBorders>
            <w:shd w:val="clear" w:color="auto" w:fill="0F4D4B"/>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+3</w:t>
            </w:r>
          </w:p>
        </w:tc>
        <w:tc>
          <w:tcPr>
            <w:tcW w:w="5133" w:type="dxa"/>
            <w:vAlign w:val="center"/>
          </w:tcPr>
          <w:p w:rsidR="005D0DC3" w:rsidRPr="006A74F8" w:rsidRDefault="005D0DC3" w:rsidP="00AE7B79">
            <w:pPr>
              <w:cnfStyle w:val="000000100000" w:firstRow="0" w:lastRow="0" w:firstColumn="0" w:lastColumn="0" w:oddVBand="0" w:evenVBand="0" w:oddHBand="1" w:evenHBand="0" w:firstRowFirstColumn="0" w:firstRowLastColumn="0" w:lastRowFirstColumn="0" w:lastRowLastColumn="0"/>
              <w:rPr>
                <w:sz w:val="20"/>
                <w:szCs w:val="20"/>
              </w:rPr>
            </w:pPr>
            <w:r w:rsidRPr="006A74F8">
              <w:rPr>
                <w:b/>
                <w:sz w:val="20"/>
                <w:szCs w:val="20"/>
              </w:rPr>
              <w:t>Greater flexibility for business</w:t>
            </w:r>
            <w:r w:rsidRPr="006A74F8">
              <w:rPr>
                <w:sz w:val="20"/>
                <w:szCs w:val="20"/>
              </w:rPr>
              <w:t>: Less prescriptive / streamlined and flexible requirements for:</w:t>
            </w:r>
          </w:p>
          <w:p w:rsidR="005D0DC3" w:rsidRPr="006A74F8" w:rsidRDefault="005D0DC3" w:rsidP="00BE6489">
            <w:pPr>
              <w:pStyle w:val="ListParagraph"/>
              <w:numPr>
                <w:ilvl w:val="0"/>
                <w:numId w:val="98"/>
              </w:numPr>
              <w:cnfStyle w:val="000000100000" w:firstRow="0" w:lastRow="0" w:firstColumn="0" w:lastColumn="0" w:oddVBand="0" w:evenVBand="0" w:oddHBand="1" w:evenHBand="0" w:firstRowFirstColumn="0" w:firstRowLastColumn="0" w:lastRowFirstColumn="0" w:lastRowLastColumn="0"/>
              <w:rPr>
                <w:sz w:val="20"/>
                <w:szCs w:val="20"/>
              </w:rPr>
            </w:pPr>
            <w:r w:rsidRPr="006A74F8">
              <w:rPr>
                <w:sz w:val="20"/>
                <w:szCs w:val="20"/>
              </w:rPr>
              <w:t>how goods and services are sold by measurement</w:t>
            </w:r>
          </w:p>
          <w:p w:rsidR="005D0DC3" w:rsidRPr="006A74F8" w:rsidRDefault="005D0DC3" w:rsidP="00BE6489">
            <w:pPr>
              <w:pStyle w:val="ListParagraph"/>
              <w:numPr>
                <w:ilvl w:val="0"/>
                <w:numId w:val="98"/>
              </w:numPr>
              <w:cnfStyle w:val="000000100000" w:firstRow="0" w:lastRow="0" w:firstColumn="0" w:lastColumn="0" w:oddVBand="0" w:evenVBand="0" w:oddHBand="1" w:evenHBand="0" w:firstRowFirstColumn="0" w:firstRowLastColumn="0" w:lastRowFirstColumn="0" w:lastRowLastColumn="0"/>
              <w:rPr>
                <w:sz w:val="20"/>
                <w:szCs w:val="20"/>
              </w:rPr>
            </w:pPr>
            <w:r w:rsidRPr="006A74F8">
              <w:rPr>
                <w:sz w:val="20"/>
                <w:szCs w:val="20"/>
              </w:rPr>
              <w:t xml:space="preserve">how measuring instruments in trade are used </w:t>
            </w:r>
          </w:p>
          <w:p w:rsidR="005D0DC3" w:rsidRPr="006A74F8" w:rsidRDefault="005D0DC3" w:rsidP="00BE6489">
            <w:pPr>
              <w:pStyle w:val="ListParagraph"/>
              <w:numPr>
                <w:ilvl w:val="0"/>
                <w:numId w:val="98"/>
              </w:numPr>
              <w:cnfStyle w:val="000000100000" w:firstRow="0" w:lastRow="0" w:firstColumn="0" w:lastColumn="0" w:oddVBand="0" w:evenVBand="0" w:oddHBand="1" w:evenHBand="0" w:firstRowFirstColumn="0" w:firstRowLastColumn="0" w:lastRowFirstColumn="0" w:lastRowLastColumn="0"/>
              <w:rPr>
                <w:sz w:val="20"/>
                <w:szCs w:val="20"/>
              </w:rPr>
            </w:pPr>
            <w:r w:rsidRPr="006A74F8">
              <w:rPr>
                <w:sz w:val="20"/>
                <w:szCs w:val="20"/>
              </w:rPr>
              <w:t>the presentation of the measurement mark on packaged products</w:t>
            </w:r>
          </w:p>
          <w:p w:rsidR="005D0DC3" w:rsidRPr="006A74F8" w:rsidRDefault="005D0DC3"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sz w:val="20"/>
                <w:szCs w:val="20"/>
              </w:rPr>
              <w:t>However, flexibility may provide uncertainty for some businesses, particularly SMEs.</w:t>
            </w:r>
          </w:p>
        </w:tc>
      </w:tr>
      <w:tr w:rsidR="005D0DC3" w:rsidRPr="006A74F8" w:rsidTr="005254AE">
        <w:tc>
          <w:tcPr>
            <w:cnfStyle w:val="001000000000" w:firstRow="0" w:lastRow="0" w:firstColumn="1" w:lastColumn="0" w:oddVBand="0" w:evenVBand="0" w:oddHBand="0" w:evenHBand="0" w:firstRowFirstColumn="0" w:firstRowLastColumn="0" w:lastRowFirstColumn="0" w:lastRowLastColumn="0"/>
            <w:tcW w:w="1823" w:type="dxa"/>
            <w:vAlign w:val="center"/>
          </w:tcPr>
          <w:p w:rsidR="005D0DC3" w:rsidRPr="006A74F8" w:rsidRDefault="005D0DC3" w:rsidP="00AE7B79">
            <w:pPr>
              <w:rPr>
                <w:rFonts w:asciiTheme="majorHAnsi" w:eastAsia="Calibri" w:hAnsiTheme="majorHAnsi" w:cstheme="majorHAnsi"/>
                <w:b w:val="0"/>
                <w:sz w:val="20"/>
                <w:szCs w:val="20"/>
              </w:rPr>
            </w:pPr>
            <w:r w:rsidRPr="006A74F8">
              <w:rPr>
                <w:b w:val="0"/>
                <w:sz w:val="20"/>
                <w:szCs w:val="20"/>
              </w:rPr>
              <w:t>Certainty for business</w:t>
            </w:r>
          </w:p>
        </w:tc>
        <w:tc>
          <w:tcPr>
            <w:tcW w:w="633" w:type="dxa"/>
            <w:tcBorders>
              <w:right w:val="single" w:sz="4" w:space="0" w:color="FFFFFF" w:themeColor="background1"/>
            </w:tcBorders>
            <w:shd w:val="clear" w:color="auto" w:fill="ACD7CA"/>
            <w:vAlign w:val="center"/>
          </w:tcPr>
          <w:p w:rsidR="005D0DC3" w:rsidRPr="006A74F8"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ACD7CA"/>
            <w:vAlign w:val="center"/>
          </w:tcPr>
          <w:p w:rsidR="005D0DC3" w:rsidRPr="006A74F8"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tcBorders>
            <w:shd w:val="clear" w:color="auto" w:fill="ACD7CA"/>
            <w:vAlign w:val="center"/>
          </w:tcPr>
          <w:p w:rsidR="005D0DC3" w:rsidRPr="006A74F8"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6A74F8">
              <w:rPr>
                <w:rFonts w:cstheme="minorHAnsi"/>
                <w:sz w:val="20"/>
                <w:szCs w:val="18"/>
              </w:rPr>
              <w:t>+1</w:t>
            </w:r>
          </w:p>
        </w:tc>
        <w:tc>
          <w:tcPr>
            <w:tcW w:w="5133" w:type="dxa"/>
            <w:vAlign w:val="center"/>
          </w:tcPr>
          <w:p w:rsidR="005D0DC3" w:rsidRPr="006A74F8" w:rsidRDefault="005D0DC3" w:rsidP="00AE7B79">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20"/>
                <w:szCs w:val="20"/>
              </w:rPr>
            </w:pPr>
            <w:r w:rsidRPr="006A74F8">
              <w:rPr>
                <w:b/>
                <w:sz w:val="20"/>
                <w:szCs w:val="20"/>
              </w:rPr>
              <w:t>Packaged Products</w:t>
            </w:r>
            <w:r w:rsidRPr="006A74F8">
              <w:rPr>
                <w:sz w:val="20"/>
                <w:szCs w:val="20"/>
              </w:rPr>
              <w:t xml:space="preserve">: A power to exempt products provides long term certainty for the presentational requirements of the measurement mark on packaged products. </w:t>
            </w:r>
          </w:p>
        </w:tc>
      </w:tr>
      <w:tr w:rsidR="005D0DC3" w:rsidRPr="006A74F8" w:rsidTr="0052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Borders>
              <w:bottom w:val="single" w:sz="12" w:space="0" w:color="000000" w:themeColor="text1"/>
            </w:tcBorders>
            <w:vAlign w:val="center"/>
          </w:tcPr>
          <w:p w:rsidR="005D0DC3" w:rsidRPr="006A74F8" w:rsidRDefault="005D0DC3" w:rsidP="00AE7B79">
            <w:pPr>
              <w:rPr>
                <w:rFonts w:asciiTheme="majorHAnsi" w:eastAsia="Calibri" w:hAnsiTheme="majorHAnsi" w:cstheme="majorHAnsi"/>
                <w:sz w:val="20"/>
                <w:szCs w:val="20"/>
              </w:rPr>
            </w:pPr>
            <w:r w:rsidRPr="006A74F8">
              <w:rPr>
                <w:rFonts w:asciiTheme="majorHAnsi" w:eastAsia="Calibri" w:hAnsiTheme="majorHAnsi" w:cstheme="majorHAnsi"/>
                <w:sz w:val="20"/>
                <w:szCs w:val="20"/>
              </w:rPr>
              <w:t xml:space="preserve">Average </w:t>
            </w:r>
          </w:p>
        </w:tc>
        <w:tc>
          <w:tcPr>
            <w:tcW w:w="633" w:type="dxa"/>
            <w:tcBorders>
              <w:bottom w:val="single" w:sz="12" w:space="0" w:color="000000" w:themeColor="text1"/>
              <w:right w:val="single" w:sz="4" w:space="0" w:color="FFFFFF" w:themeColor="background1"/>
            </w:tcBorders>
            <w:shd w:val="clear" w:color="auto" w:fill="ACD7CA"/>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+1.00</w:t>
            </w:r>
          </w:p>
        </w:tc>
        <w:tc>
          <w:tcPr>
            <w:tcW w:w="643" w:type="dxa"/>
            <w:tcBorders>
              <w:left w:val="single" w:sz="4" w:space="0" w:color="FFFFFF" w:themeColor="background1"/>
              <w:bottom w:val="single" w:sz="12" w:space="0" w:color="000000" w:themeColor="text1"/>
              <w:right w:val="single" w:sz="4" w:space="0" w:color="FFFFFF" w:themeColor="background1"/>
            </w:tcBorders>
            <w:shd w:val="clear" w:color="auto" w:fill="ACD7CA"/>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+1.33</w:t>
            </w:r>
          </w:p>
        </w:tc>
        <w:tc>
          <w:tcPr>
            <w:tcW w:w="643" w:type="dxa"/>
            <w:tcBorders>
              <w:left w:val="single" w:sz="4" w:space="0" w:color="FFFFFF" w:themeColor="background1"/>
              <w:bottom w:val="single" w:sz="12" w:space="0" w:color="000000" w:themeColor="text1"/>
            </w:tcBorders>
            <w:shd w:val="clear" w:color="auto" w:fill="ACD7CA"/>
            <w:vAlign w:val="center"/>
          </w:tcPr>
          <w:p w:rsidR="005D0DC3" w:rsidRPr="006A74F8"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+1.33</w:t>
            </w:r>
          </w:p>
        </w:tc>
        <w:tc>
          <w:tcPr>
            <w:tcW w:w="5133" w:type="dxa"/>
            <w:tcBorders>
              <w:bottom w:val="single" w:sz="12" w:space="0" w:color="000000" w:themeColor="text1"/>
            </w:tcBorders>
            <w:vAlign w:val="center"/>
          </w:tcPr>
          <w:p w:rsidR="005D0DC3" w:rsidRPr="006A74F8" w:rsidRDefault="005D0DC3"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sz w:val="20"/>
                <w:szCs w:val="20"/>
              </w:rPr>
              <w:t>All reform options will benefit this stakeholder group. Options 2 and 3 provide the greatest net benefit.</w:t>
            </w:r>
          </w:p>
        </w:tc>
      </w:tr>
    </w:tbl>
    <w:p w:rsidR="005D0DC3" w:rsidRPr="006A74F8" w:rsidRDefault="005D0DC3" w:rsidP="005D0DC3"/>
    <w:p w:rsidR="00915EB2" w:rsidRPr="006A74F8" w:rsidRDefault="0017430C" w:rsidP="00180387">
      <w:pPr>
        <w:ind w:left="-142"/>
      </w:pPr>
      <w:r w:rsidRPr="006A74F8">
        <w:rPr>
          <w:noProof/>
          <w:lang w:eastAsia="en-AU"/>
        </w:rPr>
        <w:drawing>
          <wp:inline distT="0" distB="0" distL="0" distR="0" wp14:anchorId="3C46C1BF" wp14:editId="01838C6A">
            <wp:extent cx="5727600" cy="925200"/>
            <wp:effectExtent l="0" t="0" r="0" b="0"/>
            <wp:docPr id="30" name="Picture 30"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0">
                      <a:extLst>
                        <a:ext uri="{28A0092B-C50C-407E-A947-70E740481C1C}">
                          <a14:useLocalDpi xmlns:a14="http://schemas.microsoft.com/office/drawing/2010/main" val="0"/>
                        </a:ext>
                      </a:extLst>
                    </a:blip>
                    <a:stretch>
                      <a:fillRect/>
                    </a:stretch>
                  </pic:blipFill>
                  <pic:spPr>
                    <a:xfrm>
                      <a:off x="0" y="0"/>
                      <a:ext cx="5727600" cy="925200"/>
                    </a:xfrm>
                    <a:prstGeom prst="rect">
                      <a:avLst/>
                    </a:prstGeom>
                  </pic:spPr>
                </pic:pic>
              </a:graphicData>
            </a:graphic>
          </wp:inline>
        </w:drawing>
      </w:r>
    </w:p>
    <w:p w:rsidR="00915EB2" w:rsidRPr="006A74F8" w:rsidRDefault="00915EB2" w:rsidP="006536D4">
      <w:pPr>
        <w:pStyle w:val="Heading3"/>
        <w:tabs>
          <w:tab w:val="left" w:pos="993"/>
        </w:tabs>
      </w:pPr>
      <w:r w:rsidRPr="006A74F8">
        <w:lastRenderedPageBreak/>
        <w:t xml:space="preserve">Increased </w:t>
      </w:r>
      <w:r w:rsidR="0043533E" w:rsidRPr="006A74F8">
        <w:t>b</w:t>
      </w:r>
      <w:r w:rsidR="00856E0C" w:rsidRPr="006A74F8">
        <w:t>usiness confidence</w:t>
      </w:r>
    </w:p>
    <w:tbl>
      <w:tblPr>
        <w:tblStyle w:val="PlainTable2"/>
        <w:tblW w:w="8875" w:type="dxa"/>
        <w:tblLook w:val="04A0" w:firstRow="1" w:lastRow="0" w:firstColumn="1" w:lastColumn="0" w:noHBand="0" w:noVBand="1"/>
        <w:tblCaption w:val="15.1.1 Increased business confidence:"/>
        <w:tblDescription w:val="Increased business confidence. Option 1 is rated +1, slight beneficial. Options 2 and 3 are rated +2, moderate beneficial. &#10;Greater coverage of trade measurement provisions: Expansion of coverage for false or misleading measurement to include purchase of goods under option 1, and services under options 2 and 3. Includes mechanism to cover non-trade measurement applications under option 3.&#10;"/>
      </w:tblPr>
      <w:tblGrid>
        <w:gridCol w:w="1823"/>
        <w:gridCol w:w="633"/>
        <w:gridCol w:w="643"/>
        <w:gridCol w:w="643"/>
        <w:gridCol w:w="5133"/>
      </w:tblGrid>
      <w:tr w:rsidR="00217602" w:rsidRPr="006A74F8"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rsidR="00217602" w:rsidRPr="006A74F8" w:rsidRDefault="00217602" w:rsidP="00AE7B79">
            <w:r w:rsidRPr="006A74F8">
              <w:t>Impact</w:t>
            </w:r>
          </w:p>
        </w:tc>
        <w:tc>
          <w:tcPr>
            <w:tcW w:w="1919" w:type="dxa"/>
            <w:gridSpan w:val="3"/>
            <w:tcBorders>
              <w:top w:val="single" w:sz="12" w:space="0" w:color="000000" w:themeColor="text1"/>
              <w:bottom w:val="nil"/>
            </w:tcBorders>
            <w:vAlign w:val="center"/>
          </w:tcPr>
          <w:p w:rsidR="00217602" w:rsidRPr="006A74F8" w:rsidRDefault="00217602" w:rsidP="00AE7B79">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3" w:type="dxa"/>
            <w:vMerge w:val="restart"/>
            <w:tcBorders>
              <w:top w:val="single" w:sz="12" w:space="0" w:color="000000" w:themeColor="text1"/>
            </w:tcBorders>
            <w:vAlign w:val="center"/>
          </w:tcPr>
          <w:p w:rsidR="00217602" w:rsidRPr="006A74F8" w:rsidRDefault="00217602" w:rsidP="00AE7B79">
            <w:pPr>
              <w:cnfStyle w:val="100000000000" w:firstRow="1" w:lastRow="0" w:firstColumn="0" w:lastColumn="0" w:oddVBand="0" w:evenVBand="0" w:oddHBand="0" w:evenHBand="0" w:firstRowFirstColumn="0" w:firstRowLastColumn="0" w:lastRowFirstColumn="0" w:lastRowLastColumn="0"/>
            </w:pPr>
            <w:r w:rsidRPr="006A74F8">
              <w:t>Explanation</w:t>
            </w:r>
          </w:p>
        </w:tc>
      </w:tr>
      <w:tr w:rsidR="00217602" w:rsidRPr="006A74F8"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rsidR="00217602" w:rsidRPr="006A74F8" w:rsidRDefault="00217602" w:rsidP="00AE7B79"/>
        </w:tc>
        <w:tc>
          <w:tcPr>
            <w:tcW w:w="633" w:type="dxa"/>
            <w:tcBorders>
              <w:top w:val="nil"/>
              <w:bottom w:val="double" w:sz="4" w:space="0" w:color="auto"/>
            </w:tcBorders>
          </w:tcPr>
          <w:p w:rsidR="00217602" w:rsidRPr="006A74F8" w:rsidRDefault="00217602"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43" w:type="dxa"/>
            <w:tcBorders>
              <w:top w:val="nil"/>
              <w:bottom w:val="double" w:sz="4" w:space="0" w:color="auto"/>
            </w:tcBorders>
          </w:tcPr>
          <w:p w:rsidR="00217602" w:rsidRPr="006A74F8" w:rsidRDefault="00217602"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43" w:type="dxa"/>
            <w:tcBorders>
              <w:top w:val="nil"/>
              <w:bottom w:val="double" w:sz="4" w:space="0" w:color="auto"/>
            </w:tcBorders>
          </w:tcPr>
          <w:p w:rsidR="00217602" w:rsidRPr="006A74F8" w:rsidRDefault="00217602"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3" w:type="dxa"/>
            <w:vMerge/>
            <w:tcBorders>
              <w:bottom w:val="double" w:sz="4" w:space="0" w:color="auto"/>
            </w:tcBorders>
          </w:tcPr>
          <w:p w:rsidR="00217602" w:rsidRPr="006A74F8" w:rsidRDefault="00217602" w:rsidP="00AE7B79">
            <w:pPr>
              <w:cnfStyle w:val="100000000000" w:firstRow="1" w:lastRow="0" w:firstColumn="0" w:lastColumn="0" w:oddVBand="0" w:evenVBand="0" w:oddHBand="0" w:evenHBand="0" w:firstRowFirstColumn="0" w:firstRowLastColumn="0" w:lastRowFirstColumn="0" w:lastRowLastColumn="0"/>
            </w:pPr>
          </w:p>
        </w:tc>
      </w:tr>
      <w:tr w:rsidR="00217602"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Borders>
              <w:top w:val="double" w:sz="4" w:space="0" w:color="auto"/>
            </w:tcBorders>
            <w:vAlign w:val="center"/>
          </w:tcPr>
          <w:p w:rsidR="00217602" w:rsidRPr="006A74F8" w:rsidRDefault="00217602" w:rsidP="00AE7B79">
            <w:pPr>
              <w:rPr>
                <w:rFonts w:asciiTheme="majorHAnsi" w:eastAsia="Calibri" w:hAnsiTheme="majorHAnsi" w:cstheme="majorHAnsi"/>
                <w:b w:val="0"/>
                <w:sz w:val="20"/>
                <w:szCs w:val="20"/>
              </w:rPr>
            </w:pPr>
            <w:r w:rsidRPr="006A74F8">
              <w:rPr>
                <w:b w:val="0"/>
                <w:sz w:val="20"/>
                <w:szCs w:val="20"/>
              </w:rPr>
              <w:t>Increased business confidence</w:t>
            </w:r>
          </w:p>
        </w:tc>
        <w:tc>
          <w:tcPr>
            <w:tcW w:w="633" w:type="dxa"/>
            <w:tcBorders>
              <w:top w:val="double" w:sz="4" w:space="0" w:color="auto"/>
              <w:right w:val="single" w:sz="4" w:space="0" w:color="FFFFFF" w:themeColor="background1"/>
            </w:tcBorders>
            <w:shd w:val="clear" w:color="auto" w:fill="ACD7CA"/>
            <w:vAlign w:val="center"/>
          </w:tcPr>
          <w:p w:rsidR="00217602" w:rsidRPr="006A74F8" w:rsidRDefault="00217602"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shd w:val="clear" w:color="auto" w:fill="ACD7CA"/>
              </w:rPr>
              <w:t>+1</w:t>
            </w:r>
          </w:p>
        </w:tc>
        <w:tc>
          <w:tcPr>
            <w:tcW w:w="643" w:type="dxa"/>
            <w:tcBorders>
              <w:top w:val="double" w:sz="4" w:space="0" w:color="auto"/>
              <w:left w:val="single" w:sz="4" w:space="0" w:color="FFFFFF" w:themeColor="background1"/>
              <w:right w:val="single" w:sz="4" w:space="0" w:color="FFFFFF" w:themeColor="background1"/>
            </w:tcBorders>
            <w:shd w:val="clear" w:color="auto" w:fill="398E98"/>
            <w:vAlign w:val="center"/>
          </w:tcPr>
          <w:p w:rsidR="00217602" w:rsidRPr="006A74F8" w:rsidRDefault="00217602"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43" w:type="dxa"/>
            <w:tcBorders>
              <w:top w:val="double" w:sz="4" w:space="0" w:color="auto"/>
              <w:left w:val="single" w:sz="4" w:space="0" w:color="FFFFFF" w:themeColor="background1"/>
            </w:tcBorders>
            <w:shd w:val="clear" w:color="auto" w:fill="398E98"/>
            <w:vAlign w:val="center"/>
          </w:tcPr>
          <w:p w:rsidR="00217602" w:rsidRPr="006A74F8" w:rsidRDefault="00217602"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5133" w:type="dxa"/>
            <w:tcBorders>
              <w:top w:val="double" w:sz="4" w:space="0" w:color="auto"/>
            </w:tcBorders>
            <w:vAlign w:val="center"/>
          </w:tcPr>
          <w:p w:rsidR="00217602" w:rsidRPr="006A74F8" w:rsidRDefault="00217602"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rFonts w:ascii="Calibri" w:eastAsia="Calibri" w:hAnsi="Calibri" w:cs="Times New Roman"/>
                <w:b/>
                <w:sz w:val="20"/>
                <w:szCs w:val="20"/>
              </w:rPr>
              <w:t xml:space="preserve">Greater coverage of trade measurement provisions: </w:t>
            </w:r>
            <w:r w:rsidRPr="006A74F8">
              <w:rPr>
                <w:rFonts w:ascii="Calibri" w:eastAsia="Calibri" w:hAnsi="Calibri"/>
                <w:sz w:val="20"/>
                <w:szCs w:val="20"/>
              </w:rPr>
              <w:t>Expansion of coverage for false or misleading measurement to include purchase of goods under option 1, and services under options 2 and 3. Includes mechanism to cover non-trade measurement applications under option 3.</w:t>
            </w:r>
          </w:p>
        </w:tc>
      </w:tr>
    </w:tbl>
    <w:p w:rsidR="006D39CF" w:rsidRPr="006A74F8" w:rsidRDefault="00665B6C" w:rsidP="00217602">
      <w:pPr>
        <w:spacing w:before="240"/>
      </w:pPr>
      <w:r w:rsidRPr="006A74F8">
        <w:t>Measurement legislation currently prohibits measurement shortfalls (i.e. where the actual measurement of a product is less than the stated amount) in the sale of goods</w:t>
      </w:r>
      <w:r w:rsidR="003D0E64" w:rsidRPr="006A74F8">
        <w:t xml:space="preserve">. This means transactions such as the purchase of goods by a trader (e.g. scrap metal recycling) and the sale and purchase of services (e.g. freight) are not subject to the same offences. Under </w:t>
      </w:r>
      <w:r w:rsidR="003D0E64" w:rsidRPr="006A74F8">
        <w:rPr>
          <w:b/>
        </w:rPr>
        <w:t>all reform options</w:t>
      </w:r>
      <w:r w:rsidR="003D0E64" w:rsidRPr="006A74F8">
        <w:t xml:space="preserve">, provisions would instead </w:t>
      </w:r>
      <w:r w:rsidR="00813ECC" w:rsidRPr="006A74F8">
        <w:t>cover</w:t>
      </w:r>
      <w:r w:rsidR="003D0E64" w:rsidRPr="006A74F8">
        <w:t xml:space="preserve"> false </w:t>
      </w:r>
      <w:r w:rsidR="00B177BB" w:rsidRPr="006A74F8">
        <w:t xml:space="preserve">or </w:t>
      </w:r>
      <w:r w:rsidR="003D0E64" w:rsidRPr="006A74F8">
        <w:t xml:space="preserve">misleading measurement representations, rather than “shortfalls”, </w:t>
      </w:r>
      <w:r w:rsidR="00813ECC" w:rsidRPr="006A74F8">
        <w:t>adopting</w:t>
      </w:r>
      <w:r w:rsidR="003D0E64" w:rsidRPr="006A74F8">
        <w:t xml:space="preserve"> a more principles-based approach. </w:t>
      </w:r>
    </w:p>
    <w:p w:rsidR="006D39CF" w:rsidRPr="006A74F8" w:rsidRDefault="003D0E64" w:rsidP="00D94F1E">
      <w:r w:rsidRPr="006A74F8">
        <w:t xml:space="preserve">Under </w:t>
      </w:r>
      <w:r w:rsidRPr="006A74F8">
        <w:rPr>
          <w:b/>
        </w:rPr>
        <w:t>option 1</w:t>
      </w:r>
      <w:r w:rsidRPr="006A74F8">
        <w:t xml:space="preserve"> the purchase of goods would be covered</w:t>
      </w:r>
      <w:r w:rsidR="00AC0D13" w:rsidRPr="006A74F8">
        <w:t>.</w:t>
      </w:r>
      <w:r w:rsidRPr="006A74F8">
        <w:t xml:space="preserve"> </w:t>
      </w:r>
      <w:r w:rsidR="00AC0D13" w:rsidRPr="006A74F8">
        <w:t xml:space="preserve">This </w:t>
      </w:r>
      <w:r w:rsidRPr="006A74F8">
        <w:t>contribut</w:t>
      </w:r>
      <w:r w:rsidR="00AC0D13" w:rsidRPr="006A74F8">
        <w:t>es</w:t>
      </w:r>
      <w:r w:rsidRPr="006A74F8">
        <w:t xml:space="preserve"> to a level playing field for industry</w:t>
      </w:r>
      <w:r w:rsidR="00AC0D13" w:rsidRPr="006A74F8">
        <w:t>,</w:t>
      </w:r>
      <w:r w:rsidRPr="006A74F8">
        <w:t xml:space="preserve"> whether they are buying (e.g. a farmer buying livestock feed from a supply store where the store </w:t>
      </w:r>
      <w:r w:rsidR="003979E2" w:rsidRPr="006A74F8">
        <w:t xml:space="preserve">is </w:t>
      </w:r>
      <w:r w:rsidRPr="006A74F8">
        <w:t xml:space="preserve">in control of the measurement process used to calculate the price) or selling (e.g. when a farmer sells grain to a processing facility, where the processing facility is in control of the measurement process used to calculate the price). </w:t>
      </w:r>
    </w:p>
    <w:p w:rsidR="008F2983" w:rsidRPr="006A74F8" w:rsidRDefault="003D0E64" w:rsidP="00D94F1E">
      <w:r w:rsidRPr="006A74F8">
        <w:t xml:space="preserve">Under </w:t>
      </w:r>
      <w:r w:rsidRPr="006A74F8">
        <w:rPr>
          <w:b/>
        </w:rPr>
        <w:t xml:space="preserve">option 2 and 3 </w:t>
      </w:r>
      <w:r w:rsidRPr="006A74F8">
        <w:t xml:space="preserve">the sale </w:t>
      </w:r>
      <w:r w:rsidRPr="006A74F8" w:rsidDel="00D976DC">
        <w:t>and</w:t>
      </w:r>
      <w:r w:rsidRPr="006A74F8">
        <w:t xml:space="preserve"> purchase of measurement-based goods </w:t>
      </w:r>
      <w:r w:rsidRPr="006A74F8" w:rsidDel="00D976DC">
        <w:t>and</w:t>
      </w:r>
      <w:r w:rsidRPr="006A74F8">
        <w:t xml:space="preserve"> services would be covered, further contributing to a level playing field for industry in the sale and purchase of goods and services (e.g. a farmer paying for a grain drying service, in order to reduce moisture levels to meet the relevant standard, where that service is charged on a per tonne basis). </w:t>
      </w:r>
      <w:r w:rsidR="008F2983" w:rsidRPr="006A74F8">
        <w:rPr>
          <w:b/>
        </w:rPr>
        <w:t xml:space="preserve">Option 3 </w:t>
      </w:r>
      <w:r w:rsidR="008F2983" w:rsidRPr="006A74F8">
        <w:t xml:space="preserve">also benefits from the ability to cover false </w:t>
      </w:r>
      <w:r w:rsidR="00B177BB" w:rsidRPr="006A74F8">
        <w:t xml:space="preserve">or </w:t>
      </w:r>
      <w:r w:rsidR="008F2983" w:rsidRPr="006A74F8">
        <w:t>misleading measurement statements, where needed, for non-trade measurement applications</w:t>
      </w:r>
      <w:r w:rsidR="0020167A" w:rsidRPr="006A74F8">
        <w:t xml:space="preserve">. </w:t>
      </w:r>
    </w:p>
    <w:p w:rsidR="0020167A" w:rsidRPr="006A74F8" w:rsidRDefault="0020167A" w:rsidP="00D94F1E">
      <w:r w:rsidRPr="006A74F8">
        <w:t xml:space="preserve">There is a net benefit to industry confidence under </w:t>
      </w:r>
      <w:r w:rsidRPr="006A74F8">
        <w:rPr>
          <w:b/>
        </w:rPr>
        <w:t>all options</w:t>
      </w:r>
      <w:r w:rsidRPr="006A74F8">
        <w:t>, providing broader assurances that industry can trade with confidence on the basis of measuremen</w:t>
      </w:r>
      <w:r w:rsidR="00693D62" w:rsidRPr="006A74F8">
        <w:t>t and operate o</w:t>
      </w:r>
      <w:r w:rsidRPr="006A74F8">
        <w:t xml:space="preserve">n a level playing field. This benefit is slightly greater under </w:t>
      </w:r>
      <w:r w:rsidRPr="006A74F8">
        <w:rPr>
          <w:b/>
        </w:rPr>
        <w:t>options 2 and 3</w:t>
      </w:r>
      <w:r w:rsidRPr="006A74F8">
        <w:t xml:space="preserve"> than </w:t>
      </w:r>
      <w:r w:rsidRPr="006A74F8">
        <w:rPr>
          <w:b/>
        </w:rPr>
        <w:t>option 1</w:t>
      </w:r>
      <w:r w:rsidRPr="006A74F8">
        <w:t xml:space="preserve"> due to the inclusion of services.</w:t>
      </w:r>
    </w:p>
    <w:p w:rsidR="00180387" w:rsidRPr="006A74F8" w:rsidRDefault="00915EB2" w:rsidP="006536D4">
      <w:pPr>
        <w:pStyle w:val="Heading3"/>
        <w:tabs>
          <w:tab w:val="left" w:pos="993"/>
        </w:tabs>
      </w:pPr>
      <w:r w:rsidRPr="006A74F8">
        <w:t xml:space="preserve">Cost burden for </w:t>
      </w:r>
      <w:r w:rsidR="00DE4C0B" w:rsidRPr="006A74F8">
        <w:t>packing instruments</w:t>
      </w:r>
    </w:p>
    <w:tbl>
      <w:tblPr>
        <w:tblStyle w:val="PlainTable2"/>
        <w:tblW w:w="8875" w:type="dxa"/>
        <w:tblLook w:val="04A0" w:firstRow="1" w:lastRow="0" w:firstColumn="1" w:lastColumn="0" w:noHBand="0" w:noVBand="1"/>
        <w:tblCaption w:val="15.1.2 Cost burden for packing instruments:"/>
        <w:tblDescription w:val="Cost burden for packing instruments. Options 1 to 3 are rated -1, slight adverse.&#10;Packing Instrument Requirements: Alignment of requirements for over the counter measuring instruments and those used for random measurement packaged products, could result in a small cost increase for some packaged product manufacturers.&#10;&#10;"/>
      </w:tblPr>
      <w:tblGrid>
        <w:gridCol w:w="1823"/>
        <w:gridCol w:w="633"/>
        <w:gridCol w:w="643"/>
        <w:gridCol w:w="643"/>
        <w:gridCol w:w="5133"/>
      </w:tblGrid>
      <w:tr w:rsidR="0062022B" w:rsidRPr="006A74F8"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rsidR="0062022B" w:rsidRPr="006A74F8" w:rsidRDefault="0062022B" w:rsidP="00AE7B79">
            <w:r w:rsidRPr="006A74F8">
              <w:t>Impact</w:t>
            </w:r>
          </w:p>
        </w:tc>
        <w:tc>
          <w:tcPr>
            <w:tcW w:w="1919" w:type="dxa"/>
            <w:gridSpan w:val="3"/>
            <w:tcBorders>
              <w:top w:val="single" w:sz="12" w:space="0" w:color="000000" w:themeColor="text1"/>
              <w:bottom w:val="nil"/>
            </w:tcBorders>
            <w:vAlign w:val="center"/>
          </w:tcPr>
          <w:p w:rsidR="0062022B" w:rsidRPr="006A74F8" w:rsidRDefault="0062022B" w:rsidP="00AE7B79">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3" w:type="dxa"/>
            <w:vMerge w:val="restart"/>
            <w:tcBorders>
              <w:top w:val="single" w:sz="12" w:space="0" w:color="000000" w:themeColor="text1"/>
            </w:tcBorders>
            <w:vAlign w:val="center"/>
          </w:tcPr>
          <w:p w:rsidR="0062022B" w:rsidRPr="006A74F8" w:rsidRDefault="0062022B" w:rsidP="00AE7B79">
            <w:pPr>
              <w:cnfStyle w:val="100000000000" w:firstRow="1" w:lastRow="0" w:firstColumn="0" w:lastColumn="0" w:oddVBand="0" w:evenVBand="0" w:oddHBand="0" w:evenHBand="0" w:firstRowFirstColumn="0" w:firstRowLastColumn="0" w:lastRowFirstColumn="0" w:lastRowLastColumn="0"/>
            </w:pPr>
            <w:r w:rsidRPr="006A74F8">
              <w:t>Explanation</w:t>
            </w:r>
          </w:p>
        </w:tc>
      </w:tr>
      <w:tr w:rsidR="0062022B" w:rsidRPr="006A74F8"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rsidR="0062022B" w:rsidRPr="006A74F8" w:rsidRDefault="0062022B" w:rsidP="00AE7B79"/>
        </w:tc>
        <w:tc>
          <w:tcPr>
            <w:tcW w:w="633" w:type="dxa"/>
            <w:tcBorders>
              <w:top w:val="nil"/>
              <w:bottom w:val="double" w:sz="4" w:space="0" w:color="auto"/>
            </w:tcBorders>
          </w:tcPr>
          <w:p w:rsidR="0062022B" w:rsidRPr="006A74F8"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43" w:type="dxa"/>
            <w:tcBorders>
              <w:top w:val="nil"/>
              <w:bottom w:val="double" w:sz="4" w:space="0" w:color="auto"/>
            </w:tcBorders>
          </w:tcPr>
          <w:p w:rsidR="0062022B" w:rsidRPr="006A74F8"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43" w:type="dxa"/>
            <w:tcBorders>
              <w:top w:val="nil"/>
              <w:bottom w:val="double" w:sz="4" w:space="0" w:color="auto"/>
            </w:tcBorders>
          </w:tcPr>
          <w:p w:rsidR="0062022B" w:rsidRPr="006A74F8"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3" w:type="dxa"/>
            <w:vMerge/>
            <w:tcBorders>
              <w:bottom w:val="double" w:sz="4" w:space="0" w:color="auto"/>
            </w:tcBorders>
          </w:tcPr>
          <w:p w:rsidR="0062022B" w:rsidRPr="006A74F8" w:rsidRDefault="0062022B" w:rsidP="00AE7B79">
            <w:pPr>
              <w:cnfStyle w:val="100000000000" w:firstRow="1" w:lastRow="0" w:firstColumn="0" w:lastColumn="0" w:oddVBand="0" w:evenVBand="0" w:oddHBand="0" w:evenHBand="0" w:firstRowFirstColumn="0" w:firstRowLastColumn="0" w:lastRowFirstColumn="0" w:lastRowLastColumn="0"/>
            </w:pPr>
          </w:p>
        </w:tc>
      </w:tr>
      <w:tr w:rsidR="0062022B"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rsidR="0062022B" w:rsidRPr="006A74F8" w:rsidRDefault="0062022B" w:rsidP="00AE7B79">
            <w:pPr>
              <w:rPr>
                <w:rFonts w:asciiTheme="majorHAnsi" w:eastAsia="Calibri" w:hAnsiTheme="majorHAnsi" w:cstheme="majorHAnsi"/>
                <w:b w:val="0"/>
                <w:sz w:val="20"/>
                <w:szCs w:val="20"/>
              </w:rPr>
            </w:pPr>
            <w:r w:rsidRPr="006A74F8">
              <w:rPr>
                <w:b w:val="0"/>
                <w:sz w:val="20"/>
                <w:szCs w:val="20"/>
              </w:rPr>
              <w:t>Cost burden for packing instruments</w:t>
            </w:r>
          </w:p>
        </w:tc>
        <w:tc>
          <w:tcPr>
            <w:tcW w:w="633" w:type="dxa"/>
            <w:tcBorders>
              <w:right w:val="single" w:sz="4" w:space="0" w:color="FFFFFF" w:themeColor="background1"/>
            </w:tcBorders>
            <w:shd w:val="clear" w:color="auto" w:fill="FFBC79"/>
            <w:vAlign w:val="center"/>
          </w:tcPr>
          <w:p w:rsidR="0062022B" w:rsidRPr="006A74F8"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FFBC79"/>
            <w:vAlign w:val="center"/>
          </w:tcPr>
          <w:p w:rsidR="0062022B" w:rsidRPr="006A74F8"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tcBorders>
            <w:shd w:val="clear" w:color="auto" w:fill="FFBC79"/>
            <w:vAlign w:val="center"/>
          </w:tcPr>
          <w:p w:rsidR="0062022B" w:rsidRPr="006A74F8"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5133" w:type="dxa"/>
            <w:vAlign w:val="center"/>
          </w:tcPr>
          <w:p w:rsidR="0062022B" w:rsidRPr="006A74F8" w:rsidRDefault="0062022B"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b/>
                <w:sz w:val="20"/>
                <w:szCs w:val="20"/>
              </w:rPr>
              <w:t>Packing Instrument Requirements</w:t>
            </w:r>
            <w:r w:rsidRPr="006A74F8">
              <w:rPr>
                <w:sz w:val="20"/>
                <w:szCs w:val="20"/>
              </w:rPr>
              <w:t>: Alignment of requirements for over the counter measuring instruments and those used for random measurement packaged products, could result in a small cost increase for some packaged product manufacturers.</w:t>
            </w:r>
          </w:p>
        </w:tc>
      </w:tr>
    </w:tbl>
    <w:p w:rsidR="005A151D" w:rsidRPr="006A74F8" w:rsidRDefault="00510AF3" w:rsidP="0062022B">
      <w:pPr>
        <w:spacing w:before="240"/>
      </w:pPr>
      <w:r w:rsidRPr="006A74F8">
        <w:t>The legislation currently requires measuring instruments used for trade</w:t>
      </w:r>
      <w:r w:rsidR="00984D3C" w:rsidRPr="006A74F8">
        <w:rPr>
          <w:rStyle w:val="FootnoteReference"/>
        </w:rPr>
        <w:footnoteReference w:id="118"/>
      </w:r>
      <w:r w:rsidRPr="006A74F8">
        <w:t xml:space="preserve"> to be pattern approved and verified, however NMI has traditionally not enforced this requirement for packing instruments. </w:t>
      </w:r>
      <w:r w:rsidRPr="006A74F8">
        <w:lastRenderedPageBreak/>
        <w:t xml:space="preserve">However, where measuring instruments are used to </w:t>
      </w:r>
      <w:r w:rsidR="00240B48" w:rsidRPr="006A74F8">
        <w:t>determine</w:t>
      </w:r>
      <w:r w:rsidR="00977A06" w:rsidRPr="006A74F8">
        <w:t xml:space="preserve"> the </w:t>
      </w:r>
      <w:r w:rsidR="00240B48" w:rsidRPr="006A74F8">
        <w:t>quantity</w:t>
      </w:r>
      <w:r w:rsidR="00977A06" w:rsidRPr="006A74F8">
        <w:t xml:space="preserve"> of a </w:t>
      </w:r>
      <w:r w:rsidR="00240B48" w:rsidRPr="006A74F8">
        <w:t>product, where the quantity is</w:t>
      </w:r>
      <w:r w:rsidR="00977A06" w:rsidRPr="006A74F8">
        <w:t xml:space="preserve"> a random measurement</w:t>
      </w:r>
      <w:r w:rsidR="00240B48" w:rsidRPr="006A74F8">
        <w:t>,</w:t>
      </w:r>
      <w:r w:rsidRPr="006A74F8">
        <w:t xml:space="preserve"> there is a greater need to ensure the accuracy of these instruments as the actual measurement of the product is determined by the instr</w:t>
      </w:r>
      <w:r w:rsidR="005A151D" w:rsidRPr="006A74F8">
        <w:t>ument</w:t>
      </w:r>
      <w:r w:rsidRPr="006A74F8">
        <w:t xml:space="preserve"> (e.g. a 0.648</w:t>
      </w:r>
      <w:r w:rsidR="00865CB7" w:rsidRPr="006A74F8">
        <w:t> </w:t>
      </w:r>
      <w:r w:rsidRPr="006A74F8">
        <w:t>kg pack of chicken breast</w:t>
      </w:r>
      <w:r w:rsidR="00AF0171" w:rsidRPr="006A74F8">
        <w:t xml:space="preserve"> compared with a line of chicken breast packages packed to a</w:t>
      </w:r>
      <w:r w:rsidR="0084452D" w:rsidRPr="006A74F8">
        <w:t xml:space="preserve"> target weight </w:t>
      </w:r>
      <w:r w:rsidR="00AF0171" w:rsidRPr="006A74F8">
        <w:t xml:space="preserve">of </w:t>
      </w:r>
      <w:r w:rsidR="003849AD">
        <w:t>0.</w:t>
      </w:r>
      <w:r w:rsidR="00AF0171" w:rsidRPr="006A74F8">
        <w:t xml:space="preserve">600 </w:t>
      </w:r>
      <w:r w:rsidR="003849AD">
        <w:t>k</w:t>
      </w:r>
      <w:r w:rsidR="00AF0171" w:rsidRPr="006A74F8">
        <w:t>g</w:t>
      </w:r>
      <w:r w:rsidRPr="006A74F8">
        <w:t>)</w:t>
      </w:r>
      <w:r w:rsidR="005A151D" w:rsidRPr="006A74F8">
        <w:t xml:space="preserve">. Requiring </w:t>
      </w:r>
      <w:r w:rsidR="009E2F95" w:rsidRPr="006A74F8">
        <w:t>control</w:t>
      </w:r>
      <w:r w:rsidR="005A151D" w:rsidRPr="006A74F8">
        <w:t xml:space="preserve"> mechanisms such as pattern approval and verification provides confidence that </w:t>
      </w:r>
      <w:r w:rsidR="00AF0171" w:rsidRPr="006A74F8">
        <w:t>the individual</w:t>
      </w:r>
      <w:r w:rsidR="005A151D" w:rsidRPr="006A74F8">
        <w:t xml:space="preserve"> measurements being made by these instruments are correct.</w:t>
      </w:r>
    </w:p>
    <w:p w:rsidR="00E643D6" w:rsidRPr="006A74F8" w:rsidRDefault="005A151D" w:rsidP="00D94F1E">
      <w:r w:rsidRPr="006A74F8">
        <w:t>As there is no practical difference between a</w:t>
      </w:r>
      <w:r w:rsidR="0084452D" w:rsidRPr="006A74F8">
        <w:t>n</w:t>
      </w:r>
      <w:r w:rsidRPr="006A74F8">
        <w:t xml:space="preserve"> </w:t>
      </w:r>
      <w:r w:rsidR="0084452D" w:rsidRPr="006A74F8">
        <w:t xml:space="preserve">over the counter sale based on </w:t>
      </w:r>
      <w:r w:rsidRPr="006A74F8">
        <w:t xml:space="preserve">random measurement </w:t>
      </w:r>
      <w:r w:rsidR="0084452D" w:rsidRPr="006A74F8">
        <w:t xml:space="preserve">and a prepacked product based on a random measurement </w:t>
      </w:r>
      <w:r w:rsidRPr="006A74F8">
        <w:t>(e.g. buying 0.648 kg of chicken breast at the butcher versus buying a 0.648 kg pack of chick</w:t>
      </w:r>
      <w:r w:rsidR="00FE7EF4" w:rsidRPr="006A74F8">
        <w:t>en</w:t>
      </w:r>
      <w:r w:rsidRPr="006A74F8">
        <w:t xml:space="preserve"> breast at the supermarket)</w:t>
      </w:r>
      <w:r w:rsidR="00297BB7" w:rsidRPr="006A74F8">
        <w:t>,</w:t>
      </w:r>
      <w:r w:rsidR="00412700">
        <w:t xml:space="preserve"> </w:t>
      </w:r>
      <w:r w:rsidR="00297BB7" w:rsidRPr="006A74F8">
        <w:rPr>
          <w:b/>
        </w:rPr>
        <w:t>a</w:t>
      </w:r>
      <w:r w:rsidRPr="006A74F8">
        <w:rPr>
          <w:b/>
        </w:rPr>
        <w:t>ll reform options</w:t>
      </w:r>
      <w:r w:rsidRPr="006A74F8">
        <w:t xml:space="preserve"> will </w:t>
      </w:r>
      <w:r w:rsidR="0084452D" w:rsidRPr="006A74F8">
        <w:t xml:space="preserve">therefore </w:t>
      </w:r>
      <w:r w:rsidRPr="006A74F8">
        <w:t xml:space="preserve">align requirements for measuring instruments used in these </w:t>
      </w:r>
      <w:r w:rsidR="0084452D" w:rsidRPr="006A74F8">
        <w:t>situation</w:t>
      </w:r>
      <w:r w:rsidRPr="006A74F8">
        <w:t xml:space="preserve">. </w:t>
      </w:r>
    </w:p>
    <w:p w:rsidR="00E643D6" w:rsidRPr="006A74F8" w:rsidDel="00E643D6" w:rsidRDefault="00530A46" w:rsidP="00D94F1E">
      <w:r w:rsidRPr="006A74F8">
        <w:t>This</w:t>
      </w:r>
      <w:r w:rsidR="005A151D" w:rsidRPr="006A74F8">
        <w:t xml:space="preserve"> will clarify </w:t>
      </w:r>
      <w:r w:rsidRPr="006A74F8">
        <w:t xml:space="preserve">the </w:t>
      </w:r>
      <w:r w:rsidR="0084452D" w:rsidRPr="006A74F8">
        <w:t xml:space="preserve">application of control mechanisms for </w:t>
      </w:r>
      <w:r w:rsidRPr="006A74F8">
        <w:t>measuring instruments used for trade</w:t>
      </w:r>
      <w:r w:rsidR="0084452D" w:rsidRPr="006A74F8">
        <w:t>, where random measurement is used</w:t>
      </w:r>
      <w:r w:rsidR="00E643D6" w:rsidRPr="006A74F8">
        <w:t xml:space="preserve"> for packaged products</w:t>
      </w:r>
      <w:r w:rsidR="0084452D" w:rsidRPr="006A74F8">
        <w:t>.</w:t>
      </w:r>
      <w:r w:rsidR="00E643D6" w:rsidRPr="006A74F8">
        <w:t xml:space="preserve"> For products packed to a target measurement, an exemption from pattern approval and verification will be established.  </w:t>
      </w:r>
    </w:p>
    <w:p w:rsidR="00D03578" w:rsidRPr="006A74F8" w:rsidRDefault="00D03578" w:rsidP="006536D4">
      <w:pPr>
        <w:pStyle w:val="Heading4"/>
        <w:tabs>
          <w:tab w:val="left" w:pos="1134"/>
        </w:tabs>
      </w:pPr>
      <w:r w:rsidRPr="006A74F8">
        <w:t>Changes to regulatory burden</w:t>
      </w:r>
    </w:p>
    <w:p w:rsidR="005A151D" w:rsidRPr="006A74F8" w:rsidRDefault="005A151D" w:rsidP="00D94F1E">
      <w:r w:rsidRPr="006A74F8">
        <w:t xml:space="preserve">It </w:t>
      </w:r>
      <w:r w:rsidR="00BE6426" w:rsidRPr="006A74F8">
        <w:t>has been assessed</w:t>
      </w:r>
      <w:r w:rsidRPr="006A74F8">
        <w:t xml:space="preserve"> that the </w:t>
      </w:r>
      <w:r w:rsidR="00286600" w:rsidRPr="006A74F8">
        <w:t xml:space="preserve">overall </w:t>
      </w:r>
      <w:r w:rsidRPr="006A74F8">
        <w:t xml:space="preserve">impact of this clarification to industry </w:t>
      </w:r>
      <w:r w:rsidR="00D03578" w:rsidRPr="006A74F8">
        <w:t xml:space="preserve">across </w:t>
      </w:r>
      <w:r w:rsidR="00D03578" w:rsidRPr="006A74F8">
        <w:rPr>
          <w:b/>
        </w:rPr>
        <w:t xml:space="preserve">all </w:t>
      </w:r>
      <w:r w:rsidR="005E20B9">
        <w:rPr>
          <w:b/>
        </w:rPr>
        <w:t xml:space="preserve">reform </w:t>
      </w:r>
      <w:r w:rsidR="00D03578" w:rsidRPr="006A74F8">
        <w:rPr>
          <w:b/>
        </w:rPr>
        <w:t>options</w:t>
      </w:r>
      <w:r w:rsidR="00D03578" w:rsidRPr="006A74F8">
        <w:t xml:space="preserve"> </w:t>
      </w:r>
      <w:r w:rsidRPr="006A74F8">
        <w:t xml:space="preserve">will be minimal. </w:t>
      </w:r>
      <w:r w:rsidR="001944EB" w:rsidRPr="006A74F8">
        <w:t>The number of businesses this is likely to impact is difficult to calculate, however o</w:t>
      </w:r>
      <w:r w:rsidRPr="006A74F8">
        <w:t>bservations during trade measurement monitoring activities indicate a large number of businesses already use pattern approved and verified instruments</w:t>
      </w:r>
      <w:r w:rsidR="001944EB" w:rsidRPr="006A74F8">
        <w:t xml:space="preserve"> to</w:t>
      </w:r>
      <w:r w:rsidRPr="006A74F8">
        <w:t xml:space="preserve"> pack random measurement packaged products</w:t>
      </w:r>
      <w:r w:rsidR="001944EB" w:rsidRPr="006A74F8">
        <w:t>. Based on these observations</w:t>
      </w:r>
      <w:r w:rsidRPr="006A74F8">
        <w:t xml:space="preserve"> the impact </w:t>
      </w:r>
      <w:r w:rsidR="001944EB" w:rsidRPr="006A74F8">
        <w:t xml:space="preserve">to industry </w:t>
      </w:r>
      <w:r w:rsidRPr="006A74F8">
        <w:t>is thought to be minimal. Where a business is not currently using pattern approved and verified instruments for this purpose there will be a</w:t>
      </w:r>
      <w:r w:rsidR="00E643D6" w:rsidRPr="006A74F8">
        <w:t>n</w:t>
      </w:r>
      <w:r w:rsidRPr="006A74F8">
        <w:t xml:space="preserve"> additional cost to invest in measuring instruments t</w:t>
      </w:r>
      <w:r w:rsidR="00773F04" w:rsidRPr="006A74F8">
        <w:t>o</w:t>
      </w:r>
      <w:r w:rsidRPr="006A74F8">
        <w:t xml:space="preserve"> meet these requirements.</w:t>
      </w:r>
      <w:r w:rsidR="00A419B5" w:rsidRPr="006A74F8">
        <w:t xml:space="preserve"> An appropriate transitional period will be put in place to give these businesses </w:t>
      </w:r>
      <w:r w:rsidR="008915F5" w:rsidRPr="006A74F8">
        <w:t xml:space="preserve">time </w:t>
      </w:r>
      <w:r w:rsidR="00A419B5" w:rsidRPr="006A74F8">
        <w:t>to ensure their measuring instruments are compliant.</w:t>
      </w:r>
    </w:p>
    <w:p w:rsidR="00915EB2" w:rsidRPr="006A74F8" w:rsidRDefault="0043533E" w:rsidP="006536D4">
      <w:pPr>
        <w:pStyle w:val="Heading3"/>
        <w:tabs>
          <w:tab w:val="left" w:pos="1560"/>
        </w:tabs>
        <w:ind w:left="993" w:hanging="993"/>
      </w:pPr>
      <w:r w:rsidRPr="006A74F8">
        <w:t>Increased compliance reinforces a level playing field for b</w:t>
      </w:r>
      <w:r w:rsidR="00856E0C" w:rsidRPr="006A74F8">
        <w:t>usiness</w:t>
      </w:r>
    </w:p>
    <w:tbl>
      <w:tblPr>
        <w:tblStyle w:val="PlainTable2"/>
        <w:tblW w:w="8875" w:type="dxa"/>
        <w:tblLook w:val="04A0" w:firstRow="1" w:lastRow="0" w:firstColumn="1" w:lastColumn="0" w:noHBand="0" w:noVBand="1"/>
        <w:tblCaption w:val="15.1.3 Increased compliance reinforces a level playing field for business:"/>
        <w:tblDescription w:val="Increased compliance reinforces a level playing field for businesses. Options 1 to 3 are rated +2, moderate beneficial. &#10;Tailored compliance: Ability for government to achieve fairer and more effective compliance outcomes through the use of more tailored and collaborative compliance and enforcement tools&#10;"/>
      </w:tblPr>
      <w:tblGrid>
        <w:gridCol w:w="1823"/>
        <w:gridCol w:w="633"/>
        <w:gridCol w:w="643"/>
        <w:gridCol w:w="643"/>
        <w:gridCol w:w="5133"/>
      </w:tblGrid>
      <w:tr w:rsidR="0062022B" w:rsidRPr="006A74F8"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rsidR="0062022B" w:rsidRPr="006A74F8" w:rsidRDefault="0062022B" w:rsidP="00AE7B79">
            <w:r w:rsidRPr="006A74F8">
              <w:t>Impact</w:t>
            </w:r>
          </w:p>
        </w:tc>
        <w:tc>
          <w:tcPr>
            <w:tcW w:w="1919" w:type="dxa"/>
            <w:gridSpan w:val="3"/>
            <w:tcBorders>
              <w:top w:val="single" w:sz="12" w:space="0" w:color="000000" w:themeColor="text1"/>
              <w:bottom w:val="nil"/>
            </w:tcBorders>
            <w:vAlign w:val="center"/>
          </w:tcPr>
          <w:p w:rsidR="0062022B" w:rsidRPr="006A74F8" w:rsidRDefault="0062022B" w:rsidP="00AE7B79">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3" w:type="dxa"/>
            <w:vMerge w:val="restart"/>
            <w:tcBorders>
              <w:top w:val="single" w:sz="12" w:space="0" w:color="000000" w:themeColor="text1"/>
            </w:tcBorders>
            <w:vAlign w:val="center"/>
          </w:tcPr>
          <w:p w:rsidR="0062022B" w:rsidRPr="006A74F8" w:rsidRDefault="0062022B" w:rsidP="00AE7B79">
            <w:pPr>
              <w:cnfStyle w:val="100000000000" w:firstRow="1" w:lastRow="0" w:firstColumn="0" w:lastColumn="0" w:oddVBand="0" w:evenVBand="0" w:oddHBand="0" w:evenHBand="0" w:firstRowFirstColumn="0" w:firstRowLastColumn="0" w:lastRowFirstColumn="0" w:lastRowLastColumn="0"/>
            </w:pPr>
            <w:r w:rsidRPr="006A74F8">
              <w:t>Explanation</w:t>
            </w:r>
          </w:p>
        </w:tc>
      </w:tr>
      <w:tr w:rsidR="0062022B" w:rsidRPr="006A74F8"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rsidR="0062022B" w:rsidRPr="006A74F8" w:rsidRDefault="0062022B" w:rsidP="00AE7B79"/>
        </w:tc>
        <w:tc>
          <w:tcPr>
            <w:tcW w:w="633" w:type="dxa"/>
            <w:tcBorders>
              <w:top w:val="nil"/>
              <w:bottom w:val="double" w:sz="4" w:space="0" w:color="auto"/>
            </w:tcBorders>
          </w:tcPr>
          <w:p w:rsidR="0062022B" w:rsidRPr="006A74F8"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43" w:type="dxa"/>
            <w:tcBorders>
              <w:top w:val="nil"/>
              <w:bottom w:val="double" w:sz="4" w:space="0" w:color="auto"/>
            </w:tcBorders>
          </w:tcPr>
          <w:p w:rsidR="0062022B" w:rsidRPr="006A74F8"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43" w:type="dxa"/>
            <w:tcBorders>
              <w:top w:val="nil"/>
              <w:bottom w:val="double" w:sz="4" w:space="0" w:color="auto"/>
            </w:tcBorders>
          </w:tcPr>
          <w:p w:rsidR="0062022B" w:rsidRPr="006A74F8"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3" w:type="dxa"/>
            <w:vMerge/>
            <w:tcBorders>
              <w:bottom w:val="double" w:sz="4" w:space="0" w:color="auto"/>
            </w:tcBorders>
          </w:tcPr>
          <w:p w:rsidR="0062022B" w:rsidRPr="006A74F8" w:rsidRDefault="0062022B" w:rsidP="00AE7B79">
            <w:pPr>
              <w:cnfStyle w:val="100000000000" w:firstRow="1" w:lastRow="0" w:firstColumn="0" w:lastColumn="0" w:oddVBand="0" w:evenVBand="0" w:oddHBand="0" w:evenHBand="0" w:firstRowFirstColumn="0" w:firstRowLastColumn="0" w:lastRowFirstColumn="0" w:lastRowLastColumn="0"/>
            </w:pPr>
          </w:p>
        </w:tc>
      </w:tr>
      <w:tr w:rsidR="0062022B"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rsidR="0062022B" w:rsidRPr="006A74F8" w:rsidRDefault="0062022B" w:rsidP="00AE7B79">
            <w:pPr>
              <w:rPr>
                <w:rFonts w:asciiTheme="majorHAnsi" w:eastAsia="Calibri" w:hAnsiTheme="majorHAnsi" w:cstheme="majorHAnsi"/>
                <w:b w:val="0"/>
                <w:sz w:val="20"/>
                <w:szCs w:val="20"/>
              </w:rPr>
            </w:pPr>
            <w:r w:rsidRPr="006A74F8">
              <w:rPr>
                <w:b w:val="0"/>
                <w:sz w:val="20"/>
                <w:szCs w:val="20"/>
              </w:rPr>
              <w:t>Increased compliance reinforces a level playing field for businesses</w:t>
            </w:r>
          </w:p>
        </w:tc>
        <w:tc>
          <w:tcPr>
            <w:tcW w:w="633" w:type="dxa"/>
            <w:tcBorders>
              <w:right w:val="single" w:sz="4" w:space="0" w:color="FFFFFF" w:themeColor="background1"/>
            </w:tcBorders>
            <w:shd w:val="clear" w:color="auto" w:fill="398E98"/>
            <w:vAlign w:val="center"/>
          </w:tcPr>
          <w:p w:rsidR="0062022B" w:rsidRPr="006A74F8"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43" w:type="dxa"/>
            <w:tcBorders>
              <w:left w:val="single" w:sz="4" w:space="0" w:color="FFFFFF" w:themeColor="background1"/>
              <w:right w:val="single" w:sz="4" w:space="0" w:color="FFFFFF" w:themeColor="background1"/>
            </w:tcBorders>
            <w:shd w:val="clear" w:color="auto" w:fill="398E98"/>
            <w:vAlign w:val="center"/>
          </w:tcPr>
          <w:p w:rsidR="0062022B" w:rsidRPr="006A74F8"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43" w:type="dxa"/>
            <w:tcBorders>
              <w:left w:val="single" w:sz="4" w:space="0" w:color="FFFFFF" w:themeColor="background1"/>
            </w:tcBorders>
            <w:shd w:val="clear" w:color="auto" w:fill="398E98"/>
            <w:vAlign w:val="center"/>
          </w:tcPr>
          <w:p w:rsidR="0062022B" w:rsidRPr="006A74F8"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5133" w:type="dxa"/>
            <w:vAlign w:val="center"/>
          </w:tcPr>
          <w:p w:rsidR="0062022B" w:rsidRPr="006A74F8" w:rsidRDefault="0062022B"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b/>
                <w:sz w:val="20"/>
                <w:szCs w:val="20"/>
              </w:rPr>
              <w:t xml:space="preserve">Tailored compliance: </w:t>
            </w:r>
            <w:r w:rsidRPr="006A74F8">
              <w:rPr>
                <w:sz w:val="20"/>
                <w:szCs w:val="20"/>
              </w:rPr>
              <w:t>Ability for government to achieve fairer and more effective compliance outcomes through the use of more tailored and collaborative compliance and enforcement tools</w:t>
            </w:r>
          </w:p>
        </w:tc>
      </w:tr>
    </w:tbl>
    <w:p w:rsidR="000158B7" w:rsidRPr="006A74F8" w:rsidRDefault="00915EB2" w:rsidP="0062022B">
      <w:pPr>
        <w:spacing w:before="240"/>
      </w:pPr>
      <w:r w:rsidRPr="006A74F8">
        <w:t>The</w:t>
      </w:r>
      <w:r w:rsidRPr="006A74F8" w:rsidDel="00ED35F4">
        <w:t xml:space="preserve"> </w:t>
      </w:r>
      <w:r w:rsidR="00ED35F4" w:rsidRPr="006A74F8">
        <w:t>legislation</w:t>
      </w:r>
      <w:r w:rsidRPr="006A74F8">
        <w:t xml:space="preserve"> currently provides </w:t>
      </w:r>
      <w:r w:rsidR="000158B7" w:rsidRPr="006A74F8">
        <w:t xml:space="preserve">NMI with </w:t>
      </w:r>
      <w:r w:rsidR="00EF3440" w:rsidRPr="006A74F8">
        <w:t xml:space="preserve">a </w:t>
      </w:r>
      <w:r w:rsidRPr="006A74F8">
        <w:t xml:space="preserve">limited </w:t>
      </w:r>
      <w:r w:rsidR="00EF3440" w:rsidRPr="006A74F8">
        <w:t>suite of compliance and enforcement tools</w:t>
      </w:r>
      <w:r w:rsidR="000158B7" w:rsidRPr="006A74F8">
        <w:t>. In particular some</w:t>
      </w:r>
      <w:r w:rsidR="00B55653" w:rsidRPr="006A74F8">
        <w:t xml:space="preserve"> tools and penalties currently available are considered too harsh for less serious contraventions and, in some instances, don’t go far enough regarding more serious or systemic contraventions. </w:t>
      </w:r>
      <w:r w:rsidR="000158B7" w:rsidRPr="006A74F8">
        <w:t>This, at times, can impact the effectiveness of NMI’s compliance and enforcement action</w:t>
      </w:r>
      <w:r w:rsidR="00466D7B" w:rsidRPr="006A74F8">
        <w:t>s</w:t>
      </w:r>
      <w:r w:rsidR="00BB3343" w:rsidRPr="006A74F8">
        <w:t>,</w:t>
      </w:r>
      <w:r w:rsidR="000158B7" w:rsidRPr="006A74F8">
        <w:t xml:space="preserve"> as the right tool </w:t>
      </w:r>
      <w:r w:rsidR="00BB3343" w:rsidRPr="006A74F8">
        <w:t>isn’t</w:t>
      </w:r>
      <w:r w:rsidR="000158B7" w:rsidRPr="006A74F8">
        <w:t xml:space="preserve"> always available to </w:t>
      </w:r>
      <w:r w:rsidR="00466D7B" w:rsidRPr="006A74F8">
        <w:t>maximise the likelihood of achieving</w:t>
      </w:r>
      <w:r w:rsidR="000158B7" w:rsidRPr="006A74F8">
        <w:t xml:space="preserve"> the desired compliance outcome. </w:t>
      </w:r>
    </w:p>
    <w:p w:rsidR="00915EB2" w:rsidRPr="006A74F8" w:rsidRDefault="00915EB2" w:rsidP="00D94F1E">
      <w:r w:rsidRPr="006A74F8">
        <w:lastRenderedPageBreak/>
        <w:t xml:space="preserve">Under </w:t>
      </w:r>
      <w:r w:rsidRPr="006A74F8">
        <w:rPr>
          <w:b/>
        </w:rPr>
        <w:t>all reform options</w:t>
      </w:r>
      <w:r w:rsidRPr="006A74F8">
        <w:t xml:space="preserve"> the suite of compliance and enforcement tools available to NMI would be expanded to support a more tailored and collaborative approach for industry</w:t>
      </w:r>
      <w:r w:rsidR="00BC76C1" w:rsidRPr="006A74F8">
        <w:t>.</w:t>
      </w:r>
      <w:r w:rsidRPr="006A74F8">
        <w:t xml:space="preserve"> Compliance tools that </w:t>
      </w:r>
      <w:r w:rsidR="006C55AC" w:rsidRPr="006A74F8">
        <w:t xml:space="preserve">better </w:t>
      </w:r>
      <w:r w:rsidRPr="006A74F8">
        <w:t>enable NMI to work with industry to correct non-compliance</w:t>
      </w:r>
      <w:r w:rsidR="008915F5" w:rsidRPr="006A74F8">
        <w:t>s</w:t>
      </w:r>
      <w:r w:rsidRPr="006A74F8">
        <w:t xml:space="preserve"> and facilitate cultural change, will help achieve </w:t>
      </w:r>
      <w:r w:rsidR="006C55AC" w:rsidRPr="006A74F8">
        <w:t xml:space="preserve">longer term positive </w:t>
      </w:r>
      <w:r w:rsidRPr="006A74F8">
        <w:t xml:space="preserve">compliance outcomes. </w:t>
      </w:r>
      <w:r w:rsidR="00D15E71" w:rsidRPr="006A74F8">
        <w:t>Monetary penalties (fines) associated with the issuing of infringement notices</w:t>
      </w:r>
      <w:r w:rsidRPr="006A74F8">
        <w:t xml:space="preserve"> will be tailored to better reflect the seriousness of the conduct </w:t>
      </w:r>
      <w:r w:rsidR="00D15E71" w:rsidRPr="006A74F8">
        <w:t>connected</w:t>
      </w:r>
      <w:r w:rsidRPr="006A74F8">
        <w:t xml:space="preserve"> with each provision and </w:t>
      </w:r>
      <w:r w:rsidR="006C55AC" w:rsidRPr="006A74F8">
        <w:t xml:space="preserve">more appropriate to the size of the business (e.g. fines </w:t>
      </w:r>
      <w:r w:rsidRPr="006A74F8">
        <w:t xml:space="preserve">may be lower for failing to mark a measurement statement on a packaged product, but may be higher for false </w:t>
      </w:r>
      <w:r w:rsidR="00B177BB" w:rsidRPr="006A74F8">
        <w:t xml:space="preserve">or </w:t>
      </w:r>
      <w:r w:rsidRPr="006A74F8">
        <w:t>misleading measurement statements</w:t>
      </w:r>
      <w:r w:rsidR="006C55AC" w:rsidRPr="006A74F8">
        <w:t>, particularly for a large corporation)</w:t>
      </w:r>
      <w:r w:rsidRPr="006A74F8">
        <w:t xml:space="preserve">. The inclusion of strengthened enforcement </w:t>
      </w:r>
      <w:r w:rsidR="006C55AC" w:rsidRPr="006A74F8">
        <w:t xml:space="preserve">tools </w:t>
      </w:r>
      <w:r w:rsidRPr="006A74F8">
        <w:t xml:space="preserve">provide continued deterrence and assurance to industry that serious contraventions and systemic non-compliance will be met with appropriate action. </w:t>
      </w:r>
    </w:p>
    <w:p w:rsidR="00915EB2" w:rsidRPr="006A74F8" w:rsidRDefault="00915EB2" w:rsidP="00D94F1E">
      <w:r w:rsidRPr="006A74F8">
        <w:t xml:space="preserve">Under </w:t>
      </w:r>
      <w:r w:rsidRPr="006A74F8">
        <w:rPr>
          <w:b/>
        </w:rPr>
        <w:t>option</w:t>
      </w:r>
      <w:r w:rsidR="00693D62" w:rsidRPr="006A74F8">
        <w:rPr>
          <w:b/>
        </w:rPr>
        <w:t>s</w:t>
      </w:r>
      <w:r w:rsidRPr="006A74F8">
        <w:rPr>
          <w:b/>
        </w:rPr>
        <w:t xml:space="preserve"> 2 </w:t>
      </w:r>
      <w:r w:rsidR="00054D3D" w:rsidRPr="006A74F8">
        <w:rPr>
          <w:b/>
        </w:rPr>
        <w:t>and 3</w:t>
      </w:r>
      <w:r w:rsidRPr="006A74F8">
        <w:t xml:space="preserve"> enforceable industry codes of conduct and recall powers are also included. Industry </w:t>
      </w:r>
      <w:r w:rsidR="00253492" w:rsidRPr="006A74F8">
        <w:t>c</w:t>
      </w:r>
      <w:r w:rsidR="004556D6" w:rsidRPr="006A74F8">
        <w:t>odes</w:t>
      </w:r>
      <w:r w:rsidRPr="006A74F8">
        <w:t xml:space="preserve"> of </w:t>
      </w:r>
      <w:r w:rsidR="00253492" w:rsidRPr="006A74F8">
        <w:t>c</w:t>
      </w:r>
      <w:r w:rsidR="004556D6" w:rsidRPr="006A74F8">
        <w:t xml:space="preserve">onduct would be accommodated under </w:t>
      </w:r>
      <w:r w:rsidR="004556D6" w:rsidRPr="006A74F8">
        <w:rPr>
          <w:b/>
        </w:rPr>
        <w:t>options 2 and 3</w:t>
      </w:r>
      <w:r w:rsidR="004556D6" w:rsidRPr="006A74F8">
        <w:t xml:space="preserve"> and could be either voluntary or mandatory. The legislation will also include mechanisms to make these </w:t>
      </w:r>
      <w:r w:rsidR="00253492" w:rsidRPr="006A74F8">
        <w:t>i</w:t>
      </w:r>
      <w:r w:rsidR="004556D6" w:rsidRPr="006A74F8">
        <w:t xml:space="preserve">ndustry </w:t>
      </w:r>
      <w:r w:rsidR="00253492" w:rsidRPr="006A74F8">
        <w:t>c</w:t>
      </w:r>
      <w:r w:rsidR="004556D6" w:rsidRPr="006A74F8">
        <w:t xml:space="preserve">odes of </w:t>
      </w:r>
      <w:r w:rsidR="00253492" w:rsidRPr="006A74F8">
        <w:t>c</w:t>
      </w:r>
      <w:r w:rsidR="004556D6" w:rsidRPr="006A74F8">
        <w:t xml:space="preserve">onduct enforceable, meaning compliance and enforcement action could be taken in relation to a breach of an </w:t>
      </w:r>
      <w:r w:rsidR="00253492" w:rsidRPr="006A74F8">
        <w:t>i</w:t>
      </w:r>
      <w:r w:rsidR="004556D6" w:rsidRPr="006A74F8">
        <w:t xml:space="preserve">ndustry </w:t>
      </w:r>
      <w:r w:rsidR="00253492" w:rsidRPr="006A74F8">
        <w:t>c</w:t>
      </w:r>
      <w:r w:rsidR="004556D6" w:rsidRPr="006A74F8">
        <w:t xml:space="preserve">ode of </w:t>
      </w:r>
      <w:r w:rsidR="00253492" w:rsidRPr="006A74F8">
        <w:t>c</w:t>
      </w:r>
      <w:r w:rsidR="004556D6" w:rsidRPr="006A74F8">
        <w:t xml:space="preserve">onduct. Being able to accommodate </w:t>
      </w:r>
      <w:r w:rsidR="00253492" w:rsidRPr="006A74F8">
        <w:t>i</w:t>
      </w:r>
      <w:r w:rsidR="004556D6" w:rsidRPr="006A74F8">
        <w:t xml:space="preserve">ndustry </w:t>
      </w:r>
      <w:r w:rsidR="00253492" w:rsidRPr="006A74F8">
        <w:t>c</w:t>
      </w:r>
      <w:r w:rsidR="004556D6" w:rsidRPr="006A74F8">
        <w:t xml:space="preserve">odes of </w:t>
      </w:r>
      <w:r w:rsidR="00253492" w:rsidRPr="006A74F8">
        <w:t>c</w:t>
      </w:r>
      <w:r w:rsidR="004556D6" w:rsidRPr="006A74F8">
        <w:t>onduct</w:t>
      </w:r>
      <w:r w:rsidRPr="006A74F8">
        <w:t xml:space="preserve"> will enable NMI to target compliance issues in particular sectors </w:t>
      </w:r>
      <w:r w:rsidR="004556D6" w:rsidRPr="006A74F8">
        <w:t>and provide</w:t>
      </w:r>
      <w:r w:rsidR="00465F82" w:rsidRPr="006A74F8">
        <w:t xml:space="preserve"> </w:t>
      </w:r>
      <w:r w:rsidRPr="006A74F8">
        <w:t xml:space="preserve">a more collaborative </w:t>
      </w:r>
      <w:r w:rsidR="004556D6" w:rsidRPr="006A74F8">
        <w:t xml:space="preserve">approach to </w:t>
      </w:r>
      <w:r w:rsidRPr="006A74F8">
        <w:t xml:space="preserve">risk-based </w:t>
      </w:r>
      <w:r w:rsidR="004556D6" w:rsidRPr="006A74F8">
        <w:t xml:space="preserve">compliance, potentially </w:t>
      </w:r>
      <w:r w:rsidR="004556D6" w:rsidRPr="006A74F8" w:rsidDel="00760C3C">
        <w:t>freeing up</w:t>
      </w:r>
      <w:r w:rsidR="004556D6" w:rsidRPr="006A74F8">
        <w:t xml:space="preserve"> NMI </w:t>
      </w:r>
      <w:r w:rsidR="004556D6" w:rsidRPr="006A74F8" w:rsidDel="00760C3C">
        <w:t xml:space="preserve">resources </w:t>
      </w:r>
      <w:r w:rsidR="004556D6" w:rsidRPr="006A74F8">
        <w:t xml:space="preserve">to </w:t>
      </w:r>
      <w:r w:rsidR="00AF38B6" w:rsidRPr="006A74F8">
        <w:t xml:space="preserve">focus </w:t>
      </w:r>
      <w:r w:rsidR="004556D6" w:rsidRPr="006A74F8">
        <w:t xml:space="preserve">compliance action in </w:t>
      </w:r>
      <w:r w:rsidR="00AF38B6" w:rsidRPr="006A74F8">
        <w:t xml:space="preserve">other </w:t>
      </w:r>
      <w:r w:rsidR="004556D6" w:rsidRPr="006A74F8">
        <w:t>high</w:t>
      </w:r>
      <w:r w:rsidR="00693D62" w:rsidRPr="006A74F8">
        <w:t>er risk areas.</w:t>
      </w:r>
      <w:r w:rsidR="004556D6" w:rsidRPr="006A74F8">
        <w:t xml:space="preserve"> </w:t>
      </w:r>
      <w:r w:rsidRPr="006A74F8">
        <w:t xml:space="preserve">The inclusion of recall powers will provide greater post-market assurances for packages and measuring instruments where large scale issues are identified (e.g. to support the inclusion of more flexible pre-market controls of measuring instruments, recall powers can be utilised to remove faulty instruments from the market). </w:t>
      </w:r>
      <w:r w:rsidR="00054D3D" w:rsidRPr="006A74F8">
        <w:t xml:space="preserve">The inclusion of these additional tools under </w:t>
      </w:r>
      <w:r w:rsidR="00054D3D" w:rsidRPr="006A74F8">
        <w:rPr>
          <w:b/>
        </w:rPr>
        <w:t>options 2 and 3</w:t>
      </w:r>
      <w:r w:rsidR="00054D3D" w:rsidRPr="006A74F8">
        <w:t xml:space="preserve"> are not thought to significantly impact the overall benefit to industry of enhance</w:t>
      </w:r>
      <w:r w:rsidR="00F214AD" w:rsidRPr="006A74F8">
        <w:t>d</w:t>
      </w:r>
      <w:r w:rsidR="00054D3D" w:rsidRPr="006A74F8">
        <w:t xml:space="preserve"> compliance and enforcement tools under </w:t>
      </w:r>
      <w:r w:rsidR="00054D3D" w:rsidRPr="006A74F8">
        <w:rPr>
          <w:b/>
        </w:rPr>
        <w:t>option 1</w:t>
      </w:r>
      <w:r w:rsidR="00054D3D" w:rsidRPr="006A74F8">
        <w:t xml:space="preserve">, but rather provide </w:t>
      </w:r>
      <w:r w:rsidR="00CE564E" w:rsidRPr="006A74F8">
        <w:t>the ability to engage in</w:t>
      </w:r>
      <w:r w:rsidR="00054D3D" w:rsidRPr="006A74F8">
        <w:t xml:space="preserve"> a more collaborative approach with industry and support the inclusion of more flexible requirements in the future.</w:t>
      </w:r>
    </w:p>
    <w:p w:rsidR="000158B7" w:rsidRPr="006A74F8" w:rsidRDefault="002E5931" w:rsidP="00D94F1E">
      <w:r w:rsidRPr="006A74F8">
        <w:t xml:space="preserve">Across </w:t>
      </w:r>
      <w:r w:rsidRPr="006A74F8">
        <w:rPr>
          <w:b/>
        </w:rPr>
        <w:t>all reform options</w:t>
      </w:r>
      <w:r w:rsidRPr="006A74F8">
        <w:t xml:space="preserve">, compliance and enforcement activities will benefit from the removal of the secrecy provision contained in section 19H of the </w:t>
      </w:r>
      <w:r w:rsidRPr="006A74F8">
        <w:rPr>
          <w:i/>
        </w:rPr>
        <w:t>N</w:t>
      </w:r>
      <w:r w:rsidR="007A5ACF" w:rsidRPr="006A74F8">
        <w:rPr>
          <w:i/>
        </w:rPr>
        <w:t xml:space="preserve">ational </w:t>
      </w:r>
      <w:r w:rsidRPr="006A74F8">
        <w:rPr>
          <w:i/>
        </w:rPr>
        <w:t>M</w:t>
      </w:r>
      <w:r w:rsidR="007A5ACF" w:rsidRPr="006A74F8">
        <w:rPr>
          <w:i/>
        </w:rPr>
        <w:t>easurement</w:t>
      </w:r>
      <w:r w:rsidRPr="006A74F8">
        <w:rPr>
          <w:i/>
        </w:rPr>
        <w:t xml:space="preserve"> Act</w:t>
      </w:r>
      <w:r w:rsidR="007A5ACF" w:rsidRPr="006A74F8">
        <w:rPr>
          <w:i/>
        </w:rPr>
        <w:t xml:space="preserve"> 1960</w:t>
      </w:r>
      <w:r w:rsidRPr="006A74F8">
        <w:t>. This provision currently prohibits NMI from sharing information, as well as communicating the outcomes of investigations and releasing details of enforcement actions taken. Removing this provision will enable NMI to share this information more easily, where appropriate, and clearly signal where it is taking corrective action including potentially publishing details of enforcement outcomes. This will encourage greater compliance with requirements and provide confidence to industry that they are operating on a level playing field.</w:t>
      </w:r>
    </w:p>
    <w:p w:rsidR="00230938" w:rsidRPr="006A74F8" w:rsidRDefault="00230938" w:rsidP="006536D4">
      <w:pPr>
        <w:pStyle w:val="Heading3"/>
        <w:tabs>
          <w:tab w:val="left" w:pos="993"/>
        </w:tabs>
      </w:pPr>
      <w:r w:rsidRPr="006A74F8">
        <w:t xml:space="preserve">Placement of </w:t>
      </w:r>
      <w:r w:rsidR="00B605EC" w:rsidRPr="006A74F8">
        <w:t xml:space="preserve">the measurement </w:t>
      </w:r>
      <w:r w:rsidRPr="006A74F8">
        <w:t>mark on packaged products</w:t>
      </w:r>
    </w:p>
    <w:tbl>
      <w:tblPr>
        <w:tblStyle w:val="PlainTable2"/>
        <w:tblW w:w="8875" w:type="dxa"/>
        <w:tblLook w:val="04A0" w:firstRow="1" w:lastRow="0" w:firstColumn="1" w:lastColumn="0" w:noHBand="0" w:noVBand="1"/>
        <w:tblCaption w:val="15.1.4 Placement of the measurement mark on packaged products:"/>
        <w:tblDescription w:val="Cost savings – measurement marking placement. Options 1-3 are rated +1, slight beneficial.&#10;Packaged Products: Relabelling costs reduced for some imported pre-packaged products.&#10;"/>
      </w:tblPr>
      <w:tblGrid>
        <w:gridCol w:w="1823"/>
        <w:gridCol w:w="633"/>
        <w:gridCol w:w="643"/>
        <w:gridCol w:w="643"/>
        <w:gridCol w:w="5133"/>
      </w:tblGrid>
      <w:tr w:rsidR="00CC0D30" w:rsidRPr="006A74F8"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rsidR="00CC0D30" w:rsidRPr="006A74F8" w:rsidRDefault="00CC0D30" w:rsidP="00AE7B79">
            <w:r w:rsidRPr="006A74F8">
              <w:t>Impact</w:t>
            </w:r>
          </w:p>
        </w:tc>
        <w:tc>
          <w:tcPr>
            <w:tcW w:w="1919" w:type="dxa"/>
            <w:gridSpan w:val="3"/>
            <w:tcBorders>
              <w:top w:val="single" w:sz="12" w:space="0" w:color="000000" w:themeColor="text1"/>
              <w:bottom w:val="nil"/>
            </w:tcBorders>
            <w:vAlign w:val="center"/>
          </w:tcPr>
          <w:p w:rsidR="00CC0D30" w:rsidRPr="006A74F8" w:rsidRDefault="00CC0D30" w:rsidP="00AE7B79">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3" w:type="dxa"/>
            <w:vMerge w:val="restart"/>
            <w:tcBorders>
              <w:top w:val="single" w:sz="12" w:space="0" w:color="000000" w:themeColor="text1"/>
            </w:tcBorders>
            <w:vAlign w:val="center"/>
          </w:tcPr>
          <w:p w:rsidR="00CC0D30" w:rsidRPr="006A74F8" w:rsidRDefault="00CC0D30" w:rsidP="00AE7B79">
            <w:pPr>
              <w:cnfStyle w:val="100000000000" w:firstRow="1" w:lastRow="0" w:firstColumn="0" w:lastColumn="0" w:oddVBand="0" w:evenVBand="0" w:oddHBand="0" w:evenHBand="0" w:firstRowFirstColumn="0" w:firstRowLastColumn="0" w:lastRowFirstColumn="0" w:lastRowLastColumn="0"/>
            </w:pPr>
            <w:r w:rsidRPr="006A74F8">
              <w:t>Explanation</w:t>
            </w:r>
          </w:p>
        </w:tc>
      </w:tr>
      <w:tr w:rsidR="00CC0D30" w:rsidRPr="006A74F8"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rsidR="00CC0D30" w:rsidRPr="006A74F8" w:rsidRDefault="00CC0D30" w:rsidP="00AE7B79"/>
        </w:tc>
        <w:tc>
          <w:tcPr>
            <w:tcW w:w="633" w:type="dxa"/>
            <w:tcBorders>
              <w:top w:val="nil"/>
              <w:bottom w:val="double" w:sz="4" w:space="0" w:color="auto"/>
            </w:tcBorders>
          </w:tcPr>
          <w:p w:rsidR="00CC0D30" w:rsidRPr="006A74F8" w:rsidRDefault="00CC0D3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43" w:type="dxa"/>
            <w:tcBorders>
              <w:top w:val="nil"/>
              <w:bottom w:val="double" w:sz="4" w:space="0" w:color="auto"/>
            </w:tcBorders>
          </w:tcPr>
          <w:p w:rsidR="00CC0D30" w:rsidRPr="006A74F8" w:rsidRDefault="00CC0D3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43" w:type="dxa"/>
            <w:tcBorders>
              <w:top w:val="nil"/>
              <w:bottom w:val="double" w:sz="4" w:space="0" w:color="auto"/>
            </w:tcBorders>
          </w:tcPr>
          <w:p w:rsidR="00CC0D30" w:rsidRPr="006A74F8" w:rsidRDefault="00CC0D3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3" w:type="dxa"/>
            <w:vMerge/>
            <w:tcBorders>
              <w:bottom w:val="double" w:sz="4" w:space="0" w:color="auto"/>
            </w:tcBorders>
          </w:tcPr>
          <w:p w:rsidR="00CC0D30" w:rsidRPr="006A74F8" w:rsidRDefault="00CC0D30" w:rsidP="00AE7B79">
            <w:pPr>
              <w:cnfStyle w:val="100000000000" w:firstRow="1" w:lastRow="0" w:firstColumn="0" w:lastColumn="0" w:oddVBand="0" w:evenVBand="0" w:oddHBand="0" w:evenHBand="0" w:firstRowFirstColumn="0" w:firstRowLastColumn="0" w:lastRowFirstColumn="0" w:lastRowLastColumn="0"/>
            </w:pPr>
          </w:p>
        </w:tc>
      </w:tr>
      <w:tr w:rsidR="00CC0D30"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rsidR="00CC0D30" w:rsidRPr="006A74F8" w:rsidRDefault="00CC0D30" w:rsidP="00AE7B79">
            <w:pPr>
              <w:rPr>
                <w:b w:val="0"/>
                <w:sz w:val="20"/>
                <w:szCs w:val="20"/>
              </w:rPr>
            </w:pPr>
            <w:r w:rsidRPr="006A74F8">
              <w:rPr>
                <w:b w:val="0"/>
                <w:sz w:val="20"/>
                <w:szCs w:val="20"/>
              </w:rPr>
              <w:t>Cost savings – measurement marking placement</w:t>
            </w:r>
          </w:p>
        </w:tc>
        <w:tc>
          <w:tcPr>
            <w:tcW w:w="633" w:type="dxa"/>
            <w:tcBorders>
              <w:right w:val="single" w:sz="4" w:space="0" w:color="FFFFFF" w:themeColor="background1"/>
            </w:tcBorders>
            <w:shd w:val="clear" w:color="auto" w:fill="ACD7CA"/>
            <w:vAlign w:val="center"/>
          </w:tcPr>
          <w:p w:rsidR="00CC0D30" w:rsidRPr="006A74F8" w:rsidRDefault="00CC0D3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ACD7CA"/>
            <w:vAlign w:val="center"/>
          </w:tcPr>
          <w:p w:rsidR="00CC0D30" w:rsidRPr="006A74F8" w:rsidRDefault="00CC0D3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tcBorders>
            <w:shd w:val="clear" w:color="auto" w:fill="ACD7CA"/>
            <w:vAlign w:val="center"/>
          </w:tcPr>
          <w:p w:rsidR="00CC0D30" w:rsidRPr="006A74F8" w:rsidRDefault="00CC0D3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5133" w:type="dxa"/>
            <w:vAlign w:val="center"/>
          </w:tcPr>
          <w:p w:rsidR="00CC0D30" w:rsidRPr="006A74F8" w:rsidRDefault="00CC0D30" w:rsidP="00AE7B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6A74F8">
              <w:rPr>
                <w:b/>
                <w:sz w:val="20"/>
                <w:szCs w:val="20"/>
              </w:rPr>
              <w:t>Packaged Products</w:t>
            </w:r>
            <w:r w:rsidRPr="006A74F8">
              <w:rPr>
                <w:sz w:val="20"/>
                <w:szCs w:val="20"/>
              </w:rPr>
              <w:t>: Relabelling costs reduced for some imported packaged products.</w:t>
            </w:r>
          </w:p>
        </w:tc>
      </w:tr>
    </w:tbl>
    <w:p w:rsidR="00230938" w:rsidRPr="006A74F8" w:rsidRDefault="00C0772D" w:rsidP="00BF1CCF">
      <w:pPr>
        <w:spacing w:before="240"/>
      </w:pPr>
      <w:r w:rsidRPr="006A74F8">
        <w:rPr>
          <w:b/>
        </w:rPr>
        <w:t xml:space="preserve">Note: </w:t>
      </w:r>
      <w:r w:rsidRPr="006A74F8">
        <w:t xml:space="preserve">for </w:t>
      </w:r>
      <w:r w:rsidRPr="006A74F8">
        <w:rPr>
          <w:b/>
        </w:rPr>
        <w:t>all options</w:t>
      </w:r>
      <w:r w:rsidRPr="006A74F8">
        <w:t xml:space="preserve"> any package labelling that is compliant with current measurement labelling requirements will continue to be compliant under new arrangements.</w:t>
      </w:r>
    </w:p>
    <w:p w:rsidR="00230938" w:rsidRPr="006A74F8" w:rsidRDefault="00230938" w:rsidP="007E495A">
      <w:pPr>
        <w:spacing w:before="160"/>
      </w:pPr>
      <w:r w:rsidRPr="006A74F8">
        <w:lastRenderedPageBreak/>
        <w:t xml:space="preserve">Greater flexibility is needed for the placement of the measurement mark on packaged products to accommodate change and differing approaches in other economies. Current requirements are prescriptive and in some instances inconsistent with other related domestic regulations and international trading partners. </w:t>
      </w:r>
      <w:r w:rsidRPr="006A74F8">
        <w:rPr>
          <w:b/>
        </w:rPr>
        <w:t>All</w:t>
      </w:r>
      <w:r w:rsidRPr="006A74F8">
        <w:t xml:space="preserve"> </w:t>
      </w:r>
      <w:r w:rsidRPr="006A74F8">
        <w:rPr>
          <w:b/>
        </w:rPr>
        <w:t>reform options</w:t>
      </w:r>
      <w:r w:rsidRPr="006A74F8">
        <w:t xml:space="preserve"> introduce less prescriptive requirements for the placement of the measurement mark on packaged products.</w:t>
      </w:r>
    </w:p>
    <w:p w:rsidR="00653451" w:rsidRPr="006A74F8" w:rsidRDefault="00230938" w:rsidP="00230938">
      <w:r w:rsidRPr="006A74F8">
        <w:rPr>
          <w:b/>
        </w:rPr>
        <w:t>Option 1</w:t>
      </w:r>
      <w:r w:rsidRPr="006A74F8">
        <w:t xml:space="preserve"> would require the measurement mark to be on the principal display panel, as well as meet contrast and minimum font height requirements. However, it provides the ability to exempt products from these requirements. It would include an exemption for cosmetic products (as well as preserving existing exemptions </w:t>
      </w:r>
      <w:r w:rsidR="00EB76C4" w:rsidRPr="006A74F8">
        <w:t xml:space="preserve">such as those </w:t>
      </w:r>
      <w:r w:rsidRPr="006A74F8">
        <w:t>for wine bottles</w:t>
      </w:r>
      <w:r w:rsidR="00EB76C4" w:rsidRPr="006A74F8">
        <w:t>,</w:t>
      </w:r>
      <w:r w:rsidRPr="006A74F8">
        <w:t xml:space="preserve"> automotive parts</w:t>
      </w:r>
      <w:r w:rsidR="00EB76C4" w:rsidRPr="006A74F8">
        <w:t xml:space="preserve"> and prescription therapeutic goods</w:t>
      </w:r>
      <w:r w:rsidRPr="006A74F8">
        <w:t>), which means the measurement mark can be placed anywhere on the packaged product</w:t>
      </w:r>
      <w:r w:rsidR="00653451" w:rsidRPr="006A74F8">
        <w:t xml:space="preserve"> </w:t>
      </w:r>
      <w:r w:rsidR="001562F4" w:rsidRPr="006A74F8">
        <w:t>but must remain</w:t>
      </w:r>
      <w:r w:rsidR="00653451" w:rsidRPr="006A74F8">
        <w:t xml:space="preserve"> prominent and legible</w:t>
      </w:r>
      <w:r w:rsidRPr="006A74F8">
        <w:t xml:space="preserve">. Flexibility in the placement of the measurement mark for exempt products enables some businesses to sell products they previously would have had to repackage or relabel. This is particularly relevant to imported cosmetic products, where industry have indicated a cost burden exists to relabel products for the Australian market. </w:t>
      </w:r>
      <w:r w:rsidR="00AA501C" w:rsidRPr="006A74F8">
        <w:t>A mechanism will also be introduced to enable deemed compliance pathways where certain types of packaged products satisfy other specified labelling requirements. For example, non-prescription therapeutic goods could be deemed to comply with the measurement labelling requirements provided they comply with relevant TGA labelling requirements.</w:t>
      </w:r>
      <w:r w:rsidR="00AA501C" w:rsidRPr="006A74F8">
        <w:rPr>
          <w:rStyle w:val="FootnoteReference"/>
        </w:rPr>
        <w:footnoteReference w:id="119"/>
      </w:r>
      <w:r w:rsidR="00AA501C" w:rsidRPr="006A74F8">
        <w:t xml:space="preserve"> This will help in removing labelling regulatory duplication for some products, where appropriate.</w:t>
      </w:r>
      <w:r w:rsidR="000642E9" w:rsidRPr="006A74F8">
        <w:t xml:space="preserve"> In addition, requirements can be introduced for certain products in order to address market failures.</w:t>
      </w:r>
    </w:p>
    <w:p w:rsidR="00230938" w:rsidRPr="006A74F8" w:rsidRDefault="00230938" w:rsidP="00230938">
      <w:r w:rsidRPr="006A74F8">
        <w:rPr>
          <w:b/>
        </w:rPr>
        <w:t>Options 2 and 3</w:t>
      </w:r>
      <w:r w:rsidRPr="006A74F8">
        <w:t xml:space="preserve"> </w:t>
      </w:r>
      <w:r w:rsidR="00D44A72" w:rsidRPr="006A74F8">
        <w:t>include the</w:t>
      </w:r>
      <w:r w:rsidR="00BE14F0" w:rsidRPr="006A74F8">
        <w:t xml:space="preserve"> features of option 1, </w:t>
      </w:r>
      <w:r w:rsidR="003849AD">
        <w:t>but</w:t>
      </w:r>
      <w:r w:rsidR="00BE14F0" w:rsidRPr="006A74F8">
        <w:t xml:space="preserve"> provide more flexibility by removing the prescriptive front of pack requirement</w:t>
      </w:r>
      <w:r w:rsidRPr="006A74F8">
        <w:t xml:space="preserve"> for all products. Businesses will have greater freedom to place the measurement mark in a position that better meets their needs, allowing them to prioritise the display of other information. Greater flexibility for all packaged products, with exemptions </w:t>
      </w:r>
      <w:r w:rsidR="00D466AD" w:rsidRPr="006A74F8">
        <w:t xml:space="preserve">and deemed to comply mechanisms </w:t>
      </w:r>
      <w:r w:rsidRPr="006A74F8">
        <w:t>providing further flexibility where needed, is balanced by the inclusion of mechanisms to address market failures. Industry will benefit from the additional flexibility where it suits, with NMI able to introduce additional requirements for the placement of the measurement mark where it is needed to address issues in the market, or where there are significant impacts to consumers.</w:t>
      </w:r>
    </w:p>
    <w:p w:rsidR="00230938" w:rsidRPr="006A74F8" w:rsidRDefault="00230938" w:rsidP="006536D4">
      <w:pPr>
        <w:pStyle w:val="Heading4"/>
        <w:tabs>
          <w:tab w:val="left" w:pos="1134"/>
        </w:tabs>
      </w:pPr>
      <w:r w:rsidRPr="006A74F8">
        <w:t>Industry cost savings</w:t>
      </w:r>
    </w:p>
    <w:p w:rsidR="00230938" w:rsidRPr="006A74F8" w:rsidRDefault="00230938" w:rsidP="00230938">
      <w:r w:rsidRPr="006A74F8">
        <w:t>Business compliance costs will decrease due to cost savings for those imported packaged products that will no longer require relabelling. These cost savings are expected to be most impactful for cosmetic products imported from the EU</w:t>
      </w:r>
      <w:r w:rsidR="00DB1A64" w:rsidRPr="006A74F8">
        <w:t xml:space="preserve"> and the UK</w:t>
      </w:r>
      <w:r w:rsidRPr="006A74F8">
        <w:t xml:space="preserve">, </w:t>
      </w:r>
      <w:r w:rsidR="00B34617" w:rsidRPr="006A74F8">
        <w:t xml:space="preserve">which will be </w:t>
      </w:r>
      <w:r w:rsidRPr="006A74F8">
        <w:t xml:space="preserve">exempt under </w:t>
      </w:r>
      <w:r w:rsidRPr="006A74F8">
        <w:rPr>
          <w:b/>
        </w:rPr>
        <w:t>all options</w:t>
      </w:r>
      <w:r w:rsidRPr="006A74F8">
        <w:t xml:space="preserve">. There may be additional savings for other sectors under </w:t>
      </w:r>
      <w:r w:rsidRPr="006A74F8">
        <w:rPr>
          <w:b/>
        </w:rPr>
        <w:t>options 2 and 3</w:t>
      </w:r>
      <w:r w:rsidRPr="006A74F8">
        <w:t xml:space="preserve"> e.g. alcoholic beverages and food products, but the impact is not expected to be as significant as for cosmetic products. </w:t>
      </w:r>
    </w:p>
    <w:p w:rsidR="00230938" w:rsidRDefault="00230938" w:rsidP="00230938">
      <w:r w:rsidRPr="006A74F8">
        <w:t xml:space="preserve">To estimate the relabelling cost savings for industry, it is necessary to make some assumptions relating to the units imported, the cost of relabelling and the percentage of units relabelled to get a realistic estimate of the three variables. This analysis is contained in </w:t>
      </w:r>
      <w:hyperlink w:anchor="_Appendix_9:_Costing" w:history="1">
        <w:r w:rsidRPr="00243F37">
          <w:rPr>
            <w:rStyle w:val="Hyperlink"/>
          </w:rPr>
          <w:t xml:space="preserve">Appendix </w:t>
        </w:r>
        <w:r w:rsidR="00920485" w:rsidRPr="00243F37">
          <w:rPr>
            <w:rStyle w:val="Hyperlink"/>
          </w:rPr>
          <w:t>9</w:t>
        </w:r>
      </w:hyperlink>
      <w:r w:rsidRPr="006A74F8">
        <w:t>, and outlines how the cost savings to industry unde</w:t>
      </w:r>
      <w:r w:rsidR="009C74A2">
        <w:t>r each option is estimated in table A7- 2 below</w:t>
      </w:r>
      <w:r w:rsidRPr="006A74F8">
        <w:t>:</w:t>
      </w:r>
    </w:p>
    <w:p w:rsidR="00A47F0B" w:rsidRPr="006A74F8" w:rsidRDefault="00A47F0B" w:rsidP="00230938"/>
    <w:p w:rsidR="003B5BE3" w:rsidRPr="006A74F8" w:rsidRDefault="003B5BE3" w:rsidP="003B5BE3">
      <w:pPr>
        <w:pStyle w:val="Caption"/>
        <w:keepNext/>
      </w:pPr>
      <w:r w:rsidRPr="006A74F8">
        <w:lastRenderedPageBreak/>
        <w:t>Table A</w:t>
      </w:r>
      <w:r w:rsidR="00AF4340" w:rsidRPr="006A74F8">
        <w:t>7</w:t>
      </w:r>
      <w:r w:rsidRPr="006A74F8">
        <w:t xml:space="preserve">- </w:t>
      </w:r>
      <w:r w:rsidR="009853E6" w:rsidRPr="006A74F8">
        <w:rPr>
          <w:noProof/>
        </w:rPr>
        <w:fldChar w:fldCharType="begin"/>
      </w:r>
      <w:r w:rsidR="009853E6" w:rsidRPr="006A74F8">
        <w:rPr>
          <w:noProof/>
        </w:rPr>
        <w:instrText xml:space="preserve"> SEQ Table_A8- \* ARABIC </w:instrText>
      </w:r>
      <w:r w:rsidR="009853E6" w:rsidRPr="006A74F8">
        <w:rPr>
          <w:noProof/>
        </w:rPr>
        <w:fldChar w:fldCharType="separate"/>
      </w:r>
      <w:r w:rsidR="0033017F">
        <w:rPr>
          <w:noProof/>
        </w:rPr>
        <w:t>3</w:t>
      </w:r>
      <w:r w:rsidR="009853E6" w:rsidRPr="006A74F8">
        <w:rPr>
          <w:noProof/>
        </w:rPr>
        <w:fldChar w:fldCharType="end"/>
      </w:r>
      <w:r w:rsidRPr="006A74F8">
        <w:t>: Cost savings to industry under each option</w:t>
      </w:r>
    </w:p>
    <w:tbl>
      <w:tblPr>
        <w:tblpPr w:leftFromText="180" w:rightFromText="180" w:vertAnchor="text" w:horzAnchor="page" w:tblpX="1856" w:tblpY="213"/>
        <w:tblW w:w="0" w:type="auto"/>
        <w:tblBorders>
          <w:top w:val="single" w:sz="8" w:space="0" w:color="auto"/>
          <w:bottom w:val="single" w:sz="8" w:space="0" w:color="auto"/>
        </w:tblBorders>
        <w:tblLook w:val="04A0" w:firstRow="1" w:lastRow="0" w:firstColumn="1" w:lastColumn="0" w:noHBand="0" w:noVBand="1"/>
        <w:tblCaption w:val="Table A8- 2:  Cost savings to industry under each option"/>
        <w:tblDescription w:val="Cost saving to industry under Option 1 are $5.7 million. Options 2 and 3 are $6.4 millions.&#10;"/>
      </w:tblPr>
      <w:tblGrid>
        <w:gridCol w:w="2863"/>
        <w:gridCol w:w="1084"/>
        <w:gridCol w:w="1084"/>
        <w:gridCol w:w="3333"/>
      </w:tblGrid>
      <w:tr w:rsidR="00915B07" w:rsidRPr="006A74F8" w:rsidTr="00F41719">
        <w:trPr>
          <w:trHeight w:val="454"/>
        </w:trPr>
        <w:tc>
          <w:tcPr>
            <w:tcW w:w="2863" w:type="dxa"/>
            <w:vAlign w:val="center"/>
          </w:tcPr>
          <w:p w:rsidR="00915B07" w:rsidRPr="006A74F8" w:rsidRDefault="00915B07" w:rsidP="00915B07">
            <w:pPr>
              <w:contextualSpacing/>
              <w:rPr>
                <w:rFonts w:cs="Arial"/>
                <w:b/>
              </w:rPr>
            </w:pPr>
            <w:r w:rsidRPr="006A74F8">
              <w:rPr>
                <w:rFonts w:cs="Arial"/>
                <w:b/>
              </w:rPr>
              <w:t xml:space="preserve">Impact </w:t>
            </w:r>
          </w:p>
        </w:tc>
        <w:tc>
          <w:tcPr>
            <w:tcW w:w="1084" w:type="dxa"/>
            <w:vAlign w:val="center"/>
          </w:tcPr>
          <w:p w:rsidR="00915B07" w:rsidRPr="006A74F8" w:rsidRDefault="00915B07" w:rsidP="00915B07">
            <w:pPr>
              <w:contextualSpacing/>
              <w:rPr>
                <w:rFonts w:cs="Arial"/>
                <w:b/>
              </w:rPr>
            </w:pPr>
            <w:r w:rsidRPr="006A74F8">
              <w:rPr>
                <w:rFonts w:cs="Arial"/>
                <w:b/>
              </w:rPr>
              <w:t>Option 1</w:t>
            </w:r>
          </w:p>
        </w:tc>
        <w:tc>
          <w:tcPr>
            <w:tcW w:w="1084" w:type="dxa"/>
            <w:vAlign w:val="center"/>
          </w:tcPr>
          <w:p w:rsidR="00915B07" w:rsidRPr="006A74F8" w:rsidRDefault="00915B07" w:rsidP="00915B07">
            <w:pPr>
              <w:contextualSpacing/>
              <w:rPr>
                <w:rFonts w:cs="Arial"/>
                <w:b/>
              </w:rPr>
            </w:pPr>
            <w:r w:rsidRPr="006A74F8">
              <w:rPr>
                <w:rFonts w:cs="Arial"/>
                <w:b/>
              </w:rPr>
              <w:t>Option 2</w:t>
            </w:r>
          </w:p>
        </w:tc>
        <w:tc>
          <w:tcPr>
            <w:tcW w:w="3333" w:type="dxa"/>
            <w:vAlign w:val="center"/>
          </w:tcPr>
          <w:p w:rsidR="00915B07" w:rsidRPr="006A74F8" w:rsidRDefault="00915B07" w:rsidP="00915B07">
            <w:pPr>
              <w:contextualSpacing/>
              <w:rPr>
                <w:rFonts w:cs="Arial"/>
                <w:b/>
              </w:rPr>
            </w:pPr>
            <w:r w:rsidRPr="006A74F8">
              <w:rPr>
                <w:rFonts w:cs="Arial"/>
                <w:b/>
              </w:rPr>
              <w:t>Option 3</w:t>
            </w:r>
          </w:p>
        </w:tc>
      </w:tr>
      <w:tr w:rsidR="00915B07" w:rsidRPr="006A74F8" w:rsidTr="00F41719">
        <w:trPr>
          <w:trHeight w:val="527"/>
        </w:trPr>
        <w:tc>
          <w:tcPr>
            <w:tcW w:w="2863" w:type="dxa"/>
            <w:vAlign w:val="center"/>
          </w:tcPr>
          <w:p w:rsidR="00915B07" w:rsidRPr="006A74F8" w:rsidRDefault="00915B07" w:rsidP="00915B07">
            <w:pPr>
              <w:contextualSpacing/>
              <w:rPr>
                <w:rFonts w:cs="Arial"/>
              </w:rPr>
            </w:pPr>
            <w:r w:rsidRPr="006A74F8">
              <w:rPr>
                <w:rFonts w:cs="Arial"/>
              </w:rPr>
              <w:t>Industry Savings</w:t>
            </w:r>
          </w:p>
        </w:tc>
        <w:tc>
          <w:tcPr>
            <w:tcW w:w="1084" w:type="dxa"/>
            <w:vAlign w:val="center"/>
          </w:tcPr>
          <w:p w:rsidR="00915B07" w:rsidRPr="006A74F8" w:rsidRDefault="00915B07" w:rsidP="00915B07">
            <w:pPr>
              <w:contextualSpacing/>
              <w:rPr>
                <w:rFonts w:cs="Arial"/>
              </w:rPr>
            </w:pPr>
            <w:r w:rsidRPr="006A74F8">
              <w:t>-$5.7 m</w:t>
            </w:r>
          </w:p>
        </w:tc>
        <w:tc>
          <w:tcPr>
            <w:tcW w:w="1084" w:type="dxa"/>
            <w:vAlign w:val="center"/>
          </w:tcPr>
          <w:p w:rsidR="00915B07" w:rsidRPr="006A74F8" w:rsidRDefault="00915B07" w:rsidP="00915B07">
            <w:pPr>
              <w:contextualSpacing/>
              <w:rPr>
                <w:rFonts w:cs="Arial"/>
              </w:rPr>
            </w:pPr>
            <w:r w:rsidRPr="006A74F8">
              <w:t>-$6.4 m</w:t>
            </w:r>
          </w:p>
        </w:tc>
        <w:tc>
          <w:tcPr>
            <w:tcW w:w="3333" w:type="dxa"/>
            <w:vAlign w:val="center"/>
          </w:tcPr>
          <w:p w:rsidR="00915B07" w:rsidRPr="006A74F8" w:rsidRDefault="00915B07" w:rsidP="00915B07">
            <w:pPr>
              <w:contextualSpacing/>
              <w:rPr>
                <w:rFonts w:cs="Arial"/>
              </w:rPr>
            </w:pPr>
            <w:r w:rsidRPr="006A74F8">
              <w:t>-$6.4 m</w:t>
            </w:r>
          </w:p>
        </w:tc>
      </w:tr>
    </w:tbl>
    <w:p w:rsidR="001562F4" w:rsidRPr="006A74F8" w:rsidRDefault="001562F4" w:rsidP="00230938"/>
    <w:p w:rsidR="00915EB2" w:rsidRPr="006A74F8" w:rsidRDefault="00856E0C" w:rsidP="00D177C8">
      <w:pPr>
        <w:pStyle w:val="Heading3"/>
        <w:tabs>
          <w:tab w:val="left" w:pos="993"/>
        </w:tabs>
      </w:pPr>
      <w:r w:rsidRPr="006A74F8">
        <w:t>Ease of doing business</w:t>
      </w:r>
    </w:p>
    <w:tbl>
      <w:tblPr>
        <w:tblStyle w:val="PlainTable2"/>
        <w:tblW w:w="8875" w:type="dxa"/>
        <w:tblLook w:val="04A0" w:firstRow="1" w:lastRow="0" w:firstColumn="1" w:lastColumn="0" w:noHBand="0" w:noVBand="1"/>
        <w:tblCaption w:val="15.1.5 Ease of doing business:"/>
        <w:tblDescription w:val="Ease of doing business. Option 1 is rated +2, moderate beneficial. Options 2 and 3 are rated large beneficial. &#10;Greater flexibility for business: Less prescriptive / streamlined and flexible requirements for:&#10;• how goods and services are sold by measurement&#10;• how measuring instruments in trade are used &#10;• the presentation of the measurement mark on pre-packaged products&#10;However, flexibility may provide uncertainty for some businesses, particularly SMEs.&#10;"/>
      </w:tblPr>
      <w:tblGrid>
        <w:gridCol w:w="1823"/>
        <w:gridCol w:w="633"/>
        <w:gridCol w:w="643"/>
        <w:gridCol w:w="643"/>
        <w:gridCol w:w="5133"/>
      </w:tblGrid>
      <w:tr w:rsidR="00981F9B" w:rsidRPr="006A74F8"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rsidR="00981F9B" w:rsidRPr="006A74F8" w:rsidRDefault="00981F9B" w:rsidP="00AE7B79">
            <w:r w:rsidRPr="006A74F8">
              <w:t>Impact</w:t>
            </w:r>
          </w:p>
        </w:tc>
        <w:tc>
          <w:tcPr>
            <w:tcW w:w="1919" w:type="dxa"/>
            <w:gridSpan w:val="3"/>
            <w:tcBorders>
              <w:top w:val="single" w:sz="12" w:space="0" w:color="000000" w:themeColor="text1"/>
              <w:bottom w:val="nil"/>
            </w:tcBorders>
            <w:vAlign w:val="center"/>
          </w:tcPr>
          <w:p w:rsidR="00981F9B" w:rsidRPr="006A74F8" w:rsidRDefault="00981F9B" w:rsidP="00AE7B79">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3" w:type="dxa"/>
            <w:vMerge w:val="restart"/>
            <w:tcBorders>
              <w:top w:val="single" w:sz="12" w:space="0" w:color="000000" w:themeColor="text1"/>
            </w:tcBorders>
            <w:vAlign w:val="center"/>
          </w:tcPr>
          <w:p w:rsidR="00981F9B" w:rsidRPr="006A74F8" w:rsidRDefault="00981F9B" w:rsidP="00AE7B79">
            <w:pPr>
              <w:cnfStyle w:val="100000000000" w:firstRow="1" w:lastRow="0" w:firstColumn="0" w:lastColumn="0" w:oddVBand="0" w:evenVBand="0" w:oddHBand="0" w:evenHBand="0" w:firstRowFirstColumn="0" w:firstRowLastColumn="0" w:lastRowFirstColumn="0" w:lastRowLastColumn="0"/>
            </w:pPr>
            <w:r w:rsidRPr="006A74F8">
              <w:t>Explanation</w:t>
            </w:r>
          </w:p>
        </w:tc>
      </w:tr>
      <w:tr w:rsidR="00981F9B" w:rsidRPr="006A74F8"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rsidR="00981F9B" w:rsidRPr="006A74F8" w:rsidRDefault="00981F9B" w:rsidP="00AE7B79"/>
        </w:tc>
        <w:tc>
          <w:tcPr>
            <w:tcW w:w="633" w:type="dxa"/>
            <w:tcBorders>
              <w:top w:val="nil"/>
              <w:bottom w:val="double" w:sz="4" w:space="0" w:color="auto"/>
            </w:tcBorders>
          </w:tcPr>
          <w:p w:rsidR="00981F9B" w:rsidRPr="006A74F8"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43" w:type="dxa"/>
            <w:tcBorders>
              <w:top w:val="nil"/>
              <w:bottom w:val="double" w:sz="4" w:space="0" w:color="auto"/>
            </w:tcBorders>
          </w:tcPr>
          <w:p w:rsidR="00981F9B" w:rsidRPr="006A74F8"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43" w:type="dxa"/>
            <w:tcBorders>
              <w:top w:val="nil"/>
              <w:bottom w:val="double" w:sz="4" w:space="0" w:color="auto"/>
            </w:tcBorders>
          </w:tcPr>
          <w:p w:rsidR="00981F9B" w:rsidRPr="006A74F8"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3" w:type="dxa"/>
            <w:vMerge/>
            <w:tcBorders>
              <w:bottom w:val="double" w:sz="4" w:space="0" w:color="auto"/>
            </w:tcBorders>
          </w:tcPr>
          <w:p w:rsidR="00981F9B" w:rsidRPr="006A74F8" w:rsidRDefault="00981F9B" w:rsidP="00AE7B79">
            <w:pPr>
              <w:cnfStyle w:val="100000000000" w:firstRow="1" w:lastRow="0" w:firstColumn="0" w:lastColumn="0" w:oddVBand="0" w:evenVBand="0" w:oddHBand="0" w:evenHBand="0" w:firstRowFirstColumn="0" w:firstRowLastColumn="0" w:lastRowFirstColumn="0" w:lastRowLastColumn="0"/>
            </w:pPr>
          </w:p>
        </w:tc>
      </w:tr>
      <w:tr w:rsidR="00981F9B"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rsidR="00981F9B" w:rsidRPr="006A74F8" w:rsidRDefault="00981F9B" w:rsidP="00AE7B79">
            <w:pPr>
              <w:rPr>
                <w:rFonts w:asciiTheme="majorHAnsi" w:eastAsia="Calibri" w:hAnsiTheme="majorHAnsi" w:cstheme="majorHAnsi"/>
                <w:b w:val="0"/>
                <w:sz w:val="20"/>
                <w:szCs w:val="20"/>
              </w:rPr>
            </w:pPr>
            <w:r w:rsidRPr="006A74F8">
              <w:rPr>
                <w:b w:val="0"/>
                <w:sz w:val="20"/>
                <w:szCs w:val="20"/>
              </w:rPr>
              <w:t>Ease of doing business</w:t>
            </w:r>
          </w:p>
        </w:tc>
        <w:tc>
          <w:tcPr>
            <w:tcW w:w="633" w:type="dxa"/>
            <w:tcBorders>
              <w:right w:val="single" w:sz="4" w:space="0" w:color="FFFFFF" w:themeColor="background1"/>
            </w:tcBorders>
            <w:shd w:val="clear" w:color="auto" w:fill="398E98"/>
            <w:vAlign w:val="center"/>
          </w:tcPr>
          <w:p w:rsidR="00981F9B" w:rsidRPr="006A74F8"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43" w:type="dxa"/>
            <w:tcBorders>
              <w:left w:val="single" w:sz="4" w:space="0" w:color="FFFFFF" w:themeColor="background1"/>
              <w:right w:val="single" w:sz="4" w:space="0" w:color="FFFFFF" w:themeColor="background1"/>
            </w:tcBorders>
            <w:shd w:val="clear" w:color="auto" w:fill="0F4D4B"/>
            <w:vAlign w:val="center"/>
          </w:tcPr>
          <w:p w:rsidR="00981F9B" w:rsidRPr="006A74F8"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+3</w:t>
            </w:r>
          </w:p>
        </w:tc>
        <w:tc>
          <w:tcPr>
            <w:tcW w:w="643" w:type="dxa"/>
            <w:tcBorders>
              <w:left w:val="single" w:sz="4" w:space="0" w:color="FFFFFF" w:themeColor="background1"/>
            </w:tcBorders>
            <w:shd w:val="clear" w:color="auto" w:fill="0F4D4B"/>
            <w:vAlign w:val="center"/>
          </w:tcPr>
          <w:p w:rsidR="00981F9B" w:rsidRPr="006A74F8"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+3</w:t>
            </w:r>
          </w:p>
        </w:tc>
        <w:tc>
          <w:tcPr>
            <w:tcW w:w="5133" w:type="dxa"/>
            <w:vAlign w:val="center"/>
          </w:tcPr>
          <w:p w:rsidR="00981F9B" w:rsidRPr="006A74F8" w:rsidRDefault="00981F9B" w:rsidP="00AE7B79">
            <w:pPr>
              <w:cnfStyle w:val="000000100000" w:firstRow="0" w:lastRow="0" w:firstColumn="0" w:lastColumn="0" w:oddVBand="0" w:evenVBand="0" w:oddHBand="1" w:evenHBand="0" w:firstRowFirstColumn="0" w:firstRowLastColumn="0" w:lastRowFirstColumn="0" w:lastRowLastColumn="0"/>
              <w:rPr>
                <w:sz w:val="20"/>
                <w:szCs w:val="20"/>
              </w:rPr>
            </w:pPr>
            <w:r w:rsidRPr="006A74F8">
              <w:rPr>
                <w:b/>
                <w:sz w:val="20"/>
                <w:szCs w:val="20"/>
              </w:rPr>
              <w:t>Greater flexibility for business</w:t>
            </w:r>
            <w:r w:rsidRPr="006A74F8">
              <w:rPr>
                <w:sz w:val="20"/>
                <w:szCs w:val="20"/>
              </w:rPr>
              <w:t>: Less prescriptive / streamlined and flexible requirements for:</w:t>
            </w:r>
          </w:p>
          <w:p w:rsidR="00981F9B" w:rsidRPr="006A74F8" w:rsidRDefault="00981F9B" w:rsidP="00E72930">
            <w:pPr>
              <w:pStyle w:val="ListParagraph"/>
              <w:numPr>
                <w:ilvl w:val="0"/>
                <w:numId w:val="98"/>
              </w:numPr>
              <w:cnfStyle w:val="000000100000" w:firstRow="0" w:lastRow="0" w:firstColumn="0" w:lastColumn="0" w:oddVBand="0" w:evenVBand="0" w:oddHBand="1" w:evenHBand="0" w:firstRowFirstColumn="0" w:firstRowLastColumn="0" w:lastRowFirstColumn="0" w:lastRowLastColumn="0"/>
              <w:rPr>
                <w:sz w:val="20"/>
                <w:szCs w:val="20"/>
              </w:rPr>
            </w:pPr>
            <w:r w:rsidRPr="006A74F8">
              <w:rPr>
                <w:sz w:val="20"/>
                <w:szCs w:val="20"/>
              </w:rPr>
              <w:t>how goods and services are sold by measurement</w:t>
            </w:r>
          </w:p>
          <w:p w:rsidR="00981F9B" w:rsidRPr="006A74F8" w:rsidRDefault="00981F9B" w:rsidP="00E72930">
            <w:pPr>
              <w:pStyle w:val="ListParagraph"/>
              <w:numPr>
                <w:ilvl w:val="0"/>
                <w:numId w:val="98"/>
              </w:numPr>
              <w:cnfStyle w:val="000000100000" w:firstRow="0" w:lastRow="0" w:firstColumn="0" w:lastColumn="0" w:oddVBand="0" w:evenVBand="0" w:oddHBand="1" w:evenHBand="0" w:firstRowFirstColumn="0" w:firstRowLastColumn="0" w:lastRowFirstColumn="0" w:lastRowLastColumn="0"/>
              <w:rPr>
                <w:sz w:val="20"/>
                <w:szCs w:val="20"/>
              </w:rPr>
            </w:pPr>
            <w:r w:rsidRPr="006A74F8">
              <w:rPr>
                <w:sz w:val="20"/>
                <w:szCs w:val="20"/>
              </w:rPr>
              <w:t xml:space="preserve">how measuring instruments in trade are used </w:t>
            </w:r>
          </w:p>
          <w:p w:rsidR="00981F9B" w:rsidRPr="006A74F8" w:rsidRDefault="00981F9B" w:rsidP="00E72930">
            <w:pPr>
              <w:pStyle w:val="ListParagraph"/>
              <w:numPr>
                <w:ilvl w:val="0"/>
                <w:numId w:val="98"/>
              </w:numPr>
              <w:cnfStyle w:val="000000100000" w:firstRow="0" w:lastRow="0" w:firstColumn="0" w:lastColumn="0" w:oddVBand="0" w:evenVBand="0" w:oddHBand="1" w:evenHBand="0" w:firstRowFirstColumn="0" w:firstRowLastColumn="0" w:lastRowFirstColumn="0" w:lastRowLastColumn="0"/>
              <w:rPr>
                <w:sz w:val="20"/>
                <w:szCs w:val="20"/>
              </w:rPr>
            </w:pPr>
            <w:r w:rsidRPr="006A74F8">
              <w:rPr>
                <w:sz w:val="20"/>
                <w:szCs w:val="20"/>
              </w:rPr>
              <w:t>the presentation of the measurement mark on packaged products</w:t>
            </w:r>
          </w:p>
          <w:p w:rsidR="00981F9B" w:rsidRPr="006A74F8" w:rsidRDefault="00981F9B"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6A74F8">
              <w:rPr>
                <w:sz w:val="20"/>
                <w:szCs w:val="20"/>
              </w:rPr>
              <w:t>However, flexibility may provide uncertainty for some businesses, particularly SMEs.</w:t>
            </w:r>
          </w:p>
        </w:tc>
      </w:tr>
    </w:tbl>
    <w:p w:rsidR="008B1113" w:rsidRPr="006A74F8" w:rsidRDefault="008B1113">
      <w:pPr>
        <w:spacing w:after="0"/>
        <w:ind w:left="720"/>
      </w:pPr>
    </w:p>
    <w:p w:rsidR="00713E62" w:rsidRPr="006A74F8" w:rsidRDefault="00713E62" w:rsidP="00D94F1E">
      <w:pPr>
        <w:spacing w:after="120"/>
      </w:pPr>
      <w:r w:rsidRPr="006A74F8">
        <w:t xml:space="preserve">A number of areas of the current legislation have been identified as prescriptive and unnecessarily complex and in some cases do not represent minimum effective regulation. </w:t>
      </w:r>
      <w:r w:rsidRPr="006A74F8">
        <w:rPr>
          <w:b/>
        </w:rPr>
        <w:t>All</w:t>
      </w:r>
      <w:r w:rsidRPr="006A74F8">
        <w:t xml:space="preserve"> </w:t>
      </w:r>
      <w:r w:rsidRPr="006A74F8">
        <w:rPr>
          <w:b/>
        </w:rPr>
        <w:t>reform options</w:t>
      </w:r>
      <w:r w:rsidRPr="006A74F8">
        <w:t xml:space="preserve"> </w:t>
      </w:r>
      <w:r w:rsidR="00442696" w:rsidRPr="006A74F8">
        <w:t xml:space="preserve">will </w:t>
      </w:r>
      <w:r w:rsidR="004A04BB" w:rsidRPr="006A74F8">
        <w:t xml:space="preserve">seek to </w:t>
      </w:r>
      <w:r w:rsidRPr="006A74F8">
        <w:t xml:space="preserve">introduce less prescriptive </w:t>
      </w:r>
      <w:r w:rsidR="004A04BB" w:rsidRPr="006A74F8">
        <w:t xml:space="preserve">regulatory </w:t>
      </w:r>
      <w:r w:rsidRPr="006A74F8">
        <w:t>requirements for trade measurement</w:t>
      </w:r>
      <w:r w:rsidR="004A04BB" w:rsidRPr="006A74F8">
        <w:t xml:space="preserve"> activities.</w:t>
      </w:r>
      <w:r w:rsidRPr="006A74F8">
        <w:t xml:space="preserve"> </w:t>
      </w:r>
      <w:r w:rsidR="00442696" w:rsidRPr="006A74F8">
        <w:t>A</w:t>
      </w:r>
      <w:r w:rsidRPr="006A74F8">
        <w:t xml:space="preserve"> more principles-based </w:t>
      </w:r>
      <w:r w:rsidR="00442696" w:rsidRPr="006A74F8">
        <w:t xml:space="preserve">approach to trade measurement requirements </w:t>
      </w:r>
      <w:r w:rsidR="007A5ACF" w:rsidRPr="006A74F8">
        <w:t xml:space="preserve">will </w:t>
      </w:r>
      <w:r w:rsidRPr="006A74F8">
        <w:t>make it easier for business</w:t>
      </w:r>
      <w:r w:rsidR="00442696" w:rsidRPr="006A74F8">
        <w:t>es</w:t>
      </w:r>
      <w:r w:rsidRPr="006A74F8">
        <w:t xml:space="preserve"> to identify </w:t>
      </w:r>
      <w:r w:rsidR="00442696" w:rsidRPr="006A74F8">
        <w:t xml:space="preserve">the </w:t>
      </w:r>
      <w:r w:rsidRPr="006A74F8">
        <w:t xml:space="preserve">key outcome </w:t>
      </w:r>
      <w:r w:rsidR="00442696" w:rsidRPr="006A74F8">
        <w:t xml:space="preserve">they are </w:t>
      </w:r>
      <w:r w:rsidRPr="006A74F8">
        <w:t>trying to achieve</w:t>
      </w:r>
      <w:r w:rsidR="00693D62" w:rsidRPr="006A74F8">
        <w:t xml:space="preserve"> and provide</w:t>
      </w:r>
      <w:r w:rsidR="00442696" w:rsidRPr="006A74F8">
        <w:t xml:space="preserve"> flexibility regarding how they achieve it.</w:t>
      </w:r>
      <w:r w:rsidRPr="006A74F8">
        <w:t xml:space="preserve"> </w:t>
      </w:r>
      <w:r w:rsidR="00442696" w:rsidRPr="006A74F8">
        <w:t>Detailed information to</w:t>
      </w:r>
      <w:r w:rsidRPr="006A74F8">
        <w:t xml:space="preserve"> support </w:t>
      </w:r>
      <w:r w:rsidR="00442696" w:rsidRPr="006A74F8">
        <w:t xml:space="preserve">business </w:t>
      </w:r>
      <w:r w:rsidRPr="006A74F8">
        <w:t>understand</w:t>
      </w:r>
      <w:r w:rsidR="00442696" w:rsidRPr="006A74F8">
        <w:t xml:space="preserve">ing of their obligations </w:t>
      </w:r>
      <w:r w:rsidR="00D676CF" w:rsidRPr="006A74F8">
        <w:t>will</w:t>
      </w:r>
      <w:r w:rsidR="00442696" w:rsidRPr="006A74F8">
        <w:t xml:space="preserve"> be provided</w:t>
      </w:r>
      <w:r w:rsidRPr="006A74F8">
        <w:t xml:space="preserve"> in guidance material, </w:t>
      </w:r>
      <w:r w:rsidR="00442696" w:rsidRPr="006A74F8">
        <w:t xml:space="preserve">or </w:t>
      </w:r>
      <w:r w:rsidR="00CE538F" w:rsidRPr="006A74F8">
        <w:t>in a single location in a legislative instrument</w:t>
      </w:r>
      <w:r w:rsidRPr="006A74F8">
        <w:t>, rather than having to navigate complex and confusing prescriptive legislative requirements.</w:t>
      </w:r>
      <w:r w:rsidR="00A95234" w:rsidRPr="006A74F8">
        <w:t xml:space="preserve"> This will contribute towards industry saving time and money as legislative requirements will be more streamline</w:t>
      </w:r>
      <w:r w:rsidR="00D676CF" w:rsidRPr="006A74F8">
        <w:t>d</w:t>
      </w:r>
      <w:r w:rsidR="00A95234" w:rsidRPr="006A74F8">
        <w:t xml:space="preserve"> and flexible.</w:t>
      </w:r>
    </w:p>
    <w:p w:rsidR="00713E62" w:rsidRPr="006A74F8" w:rsidRDefault="003C3773" w:rsidP="00D94F1E">
      <w:pPr>
        <w:spacing w:after="120"/>
      </w:pPr>
      <w:r w:rsidRPr="006A74F8">
        <w:t xml:space="preserve">Some </w:t>
      </w:r>
      <w:r w:rsidR="00A95234" w:rsidRPr="006A74F8">
        <w:t>of the areas that will see a decrease in prescription in favour of a more principles-based approach are discussed in more detail below.</w:t>
      </w:r>
    </w:p>
    <w:p w:rsidR="00915EB2" w:rsidRPr="006A74F8" w:rsidRDefault="00915EB2" w:rsidP="00D177C8">
      <w:pPr>
        <w:pStyle w:val="Heading4"/>
        <w:tabs>
          <w:tab w:val="left" w:pos="1134"/>
        </w:tabs>
      </w:pPr>
      <w:r w:rsidRPr="006A74F8">
        <w:t>How goods and s</w:t>
      </w:r>
      <w:r w:rsidR="00856E0C" w:rsidRPr="006A74F8">
        <w:t>ervices are sold by measurement</w:t>
      </w:r>
    </w:p>
    <w:p w:rsidR="0031123B" w:rsidRPr="006A74F8" w:rsidRDefault="0031123B" w:rsidP="00D94F1E">
      <w:r w:rsidRPr="006A74F8">
        <w:t xml:space="preserve">Where </w:t>
      </w:r>
      <w:r w:rsidRPr="006A74F8">
        <w:rPr>
          <w:u w:val="single"/>
        </w:rPr>
        <w:t>non-packaged products</w:t>
      </w:r>
      <w:r w:rsidRPr="006A74F8">
        <w:t xml:space="preserve"> are sold by measurement, the </w:t>
      </w:r>
      <w:r w:rsidRPr="006A74F8">
        <w:rPr>
          <w:b/>
        </w:rPr>
        <w:t xml:space="preserve">status quo </w:t>
      </w:r>
      <w:r w:rsidRPr="006A74F8">
        <w:t xml:space="preserve">will apply across </w:t>
      </w:r>
      <w:r w:rsidRPr="006A74F8">
        <w:rPr>
          <w:b/>
        </w:rPr>
        <w:t xml:space="preserve">all reform options </w:t>
      </w:r>
      <w:r w:rsidRPr="006A74F8">
        <w:t xml:space="preserve">regarding requirements relating to the unit of measurement. Existing requirements to sell certain products by reference to measurement (e.g. meat, certain types of alcohol, LPG </w:t>
      </w:r>
      <w:r w:rsidR="00971D09" w:rsidRPr="006A74F8">
        <w:t xml:space="preserve">and wholesale fuel from a terminal </w:t>
      </w:r>
      <w:r w:rsidRPr="006A74F8">
        <w:t>according to volume at 15</w:t>
      </w:r>
      <w:r w:rsidRPr="006A74F8">
        <w:rPr>
          <w:rFonts w:cstheme="minorHAnsi"/>
        </w:rPr>
        <w:t>°</w:t>
      </w:r>
      <w:r w:rsidRPr="006A74F8">
        <w:t>C) will be retained and reviewed at a later date.</w:t>
      </w:r>
      <w:r w:rsidR="00366BD7" w:rsidRPr="006A74F8">
        <w:t xml:space="preserve"> The legisla</w:t>
      </w:r>
      <w:r w:rsidR="00833B1C">
        <w:t xml:space="preserve">tion will continue to include an ability </w:t>
      </w:r>
      <w:r w:rsidR="00366BD7" w:rsidRPr="006A74F8">
        <w:t>to introduce requirements for particular products to be sold by reference to measurement.</w:t>
      </w:r>
      <w:r w:rsidR="009C4D23" w:rsidRPr="006A74F8">
        <w:t xml:space="preserve"> This would be used where there is a need to address an issue in the market to ensure consumers have access to suitable measurement information.</w:t>
      </w:r>
    </w:p>
    <w:p w:rsidR="0031123B" w:rsidRPr="006A74F8" w:rsidRDefault="0031123B" w:rsidP="00D94F1E">
      <w:r w:rsidRPr="006A74F8">
        <w:rPr>
          <w:u w:val="single"/>
        </w:rPr>
        <w:t>Packaged products</w:t>
      </w:r>
      <w:r w:rsidRPr="006A74F8">
        <w:t xml:space="preserve"> must currently be sold by either weight or volume, depending on whether they are a solid or liquid. Approval can be granted </w:t>
      </w:r>
      <w:r w:rsidR="00EA00AD" w:rsidRPr="006A74F8">
        <w:t xml:space="preserve">(the ‘Secretary’s list’) </w:t>
      </w:r>
      <w:r w:rsidRPr="006A74F8">
        <w:t xml:space="preserve">for products to be sold by an alternative unit of measurement (e.g. number, linear measurement or area measurement) where a significant portion of businesses in Australia sell the product by that unit of measurement. Currently the process associated with the approval of alternative methods </w:t>
      </w:r>
      <w:r w:rsidR="00EA00AD" w:rsidRPr="006A74F8">
        <w:t>(the ‘Secretary’s list’)</w:t>
      </w:r>
      <w:r w:rsidRPr="006A74F8">
        <w:t xml:space="preserve"> is </w:t>
      </w:r>
      <w:r w:rsidRPr="006A74F8">
        <w:lastRenderedPageBreak/>
        <w:t xml:space="preserve">burdensome and confusing for industry and can lead to products being sold without a proper measurement representation. </w:t>
      </w:r>
    </w:p>
    <w:p w:rsidR="0031123B" w:rsidRPr="006A74F8" w:rsidRDefault="0031123B" w:rsidP="00D94F1E">
      <w:r w:rsidRPr="006A74F8">
        <w:rPr>
          <w:b/>
        </w:rPr>
        <w:t xml:space="preserve">Option 1 </w:t>
      </w:r>
      <w:r w:rsidRPr="006A74F8">
        <w:t xml:space="preserve">will streamline the </w:t>
      </w:r>
      <w:r w:rsidR="00EA00AD" w:rsidRPr="006A74F8">
        <w:t xml:space="preserve">‘Secretary’s list’ </w:t>
      </w:r>
      <w:r w:rsidRPr="006A74F8">
        <w:t xml:space="preserve">process for allowing packaged products to be sold by alternative units of measurement, increasing transparency and removing some of the confusion identified in the current process. For </w:t>
      </w:r>
      <w:r w:rsidRPr="006A74F8">
        <w:rPr>
          <w:b/>
        </w:rPr>
        <w:t>options 2 and 3</w:t>
      </w:r>
      <w:r w:rsidRPr="006A74F8">
        <w:t xml:space="preserve">, rather than maintaining the </w:t>
      </w:r>
      <w:r w:rsidR="00E343E1" w:rsidRPr="006A74F8">
        <w:t>approval</w:t>
      </w:r>
      <w:r w:rsidRPr="006A74F8">
        <w:t xml:space="preserve"> approach </w:t>
      </w:r>
      <w:r w:rsidR="00EA00AD" w:rsidRPr="006A74F8">
        <w:t>(the ‘Secretary’s list’)</w:t>
      </w:r>
      <w:r w:rsidRPr="006A74F8">
        <w:t xml:space="preserve"> under the </w:t>
      </w:r>
      <w:r w:rsidRPr="006A74F8">
        <w:rPr>
          <w:b/>
        </w:rPr>
        <w:t xml:space="preserve">status quo </w:t>
      </w:r>
      <w:r w:rsidRPr="006A74F8">
        <w:t xml:space="preserve">and </w:t>
      </w:r>
      <w:r w:rsidRPr="006A74F8">
        <w:rPr>
          <w:b/>
        </w:rPr>
        <w:t>option 1</w:t>
      </w:r>
      <w:r w:rsidRPr="006A74F8">
        <w:t>, the requirements for the units of measurement for packaged products would align with those set out in OIML Recommendation 79</w:t>
      </w:r>
      <w:r w:rsidR="00826A12" w:rsidRPr="006A74F8">
        <w:t>.</w:t>
      </w:r>
      <w:r w:rsidRPr="006A74F8">
        <w:rPr>
          <w:rStyle w:val="FootnoteReference"/>
        </w:rPr>
        <w:footnoteReference w:id="120"/>
      </w:r>
      <w:r w:rsidRPr="006A74F8">
        <w:t xml:space="preserve"> This would include default units such as volume for liquid and mass for solid, but also allow for “</w:t>
      </w:r>
      <w:r w:rsidRPr="006A74F8">
        <w:rPr>
          <w:i/>
        </w:rPr>
        <w:t>quantities based firmly on established general consumer usage and trade custom if such quantities provide adequate information to the purchaser</w:t>
      </w:r>
      <w:r w:rsidRPr="006A74F8">
        <w:t xml:space="preserve">” (for example, linear measurement, semi-solid or viscous product by volume, or number, may be used where it meets this requirement). NMI would issue guidance material to help explain this requirement, however it would leave much of the determination to industry, unlike the </w:t>
      </w:r>
      <w:r w:rsidRPr="006A74F8">
        <w:rPr>
          <w:b/>
        </w:rPr>
        <w:t>status quo</w:t>
      </w:r>
      <w:r w:rsidRPr="006A74F8">
        <w:t xml:space="preserve"> and </w:t>
      </w:r>
      <w:r w:rsidRPr="006A74F8">
        <w:rPr>
          <w:b/>
        </w:rPr>
        <w:t xml:space="preserve">option 1 </w:t>
      </w:r>
      <w:r w:rsidRPr="006A74F8">
        <w:t xml:space="preserve">where the alternative method has to be approved before it can be used. </w:t>
      </w:r>
      <w:r w:rsidR="00833B1C" w:rsidRPr="00833B1C">
        <w:rPr>
          <w:b/>
        </w:rPr>
        <w:t>O</w:t>
      </w:r>
      <w:r w:rsidRPr="006A74F8">
        <w:rPr>
          <w:b/>
        </w:rPr>
        <w:t xml:space="preserve">ption 2 and 3 </w:t>
      </w:r>
      <w:r w:rsidR="00833B1C" w:rsidRPr="00833B1C">
        <w:t>include</w:t>
      </w:r>
      <w:r w:rsidR="00833B1C">
        <w:rPr>
          <w:b/>
        </w:rPr>
        <w:t xml:space="preserve"> </w:t>
      </w:r>
      <w:r w:rsidR="00833B1C">
        <w:t>the</w:t>
      </w:r>
      <w:r w:rsidRPr="006A74F8">
        <w:t xml:space="preserve"> </w:t>
      </w:r>
      <w:r w:rsidR="00833B1C">
        <w:t xml:space="preserve">ability </w:t>
      </w:r>
      <w:r w:rsidRPr="006A74F8">
        <w:t>introduc</w:t>
      </w:r>
      <w:r w:rsidR="00833B1C">
        <w:t xml:space="preserve">e </w:t>
      </w:r>
      <w:r w:rsidRPr="006A74F8">
        <w:t xml:space="preserve">requirements, where a need is identified, </w:t>
      </w:r>
      <w:r w:rsidRPr="006A74F8" w:rsidDel="00B72B01">
        <w:t>for</w:t>
      </w:r>
      <w:r w:rsidRPr="006A74F8">
        <w:t xml:space="preserve"> certain packaged products to be sold by a particular unit of measurement. This will provide confidence that when a unit of measurement being used by industry creates an issue in the market or disproportionally disadvantages consumers an appropriate unit can be prescribed to address the issue.</w:t>
      </w:r>
    </w:p>
    <w:p w:rsidR="0031123B" w:rsidRPr="006A74F8" w:rsidRDefault="0031123B" w:rsidP="00D94F1E">
      <w:r w:rsidRPr="006A74F8">
        <w:t xml:space="preserve">While the proposed approaches under </w:t>
      </w:r>
      <w:r w:rsidRPr="006A74F8">
        <w:rPr>
          <w:b/>
        </w:rPr>
        <w:t>all reform options</w:t>
      </w:r>
      <w:r w:rsidRPr="006A74F8">
        <w:t xml:space="preserve">, in particular for </w:t>
      </w:r>
      <w:r w:rsidRPr="006A74F8">
        <w:rPr>
          <w:b/>
        </w:rPr>
        <w:t>options 2 and 3</w:t>
      </w:r>
      <w:r w:rsidRPr="006A74F8">
        <w:t xml:space="preserve">, differ to the </w:t>
      </w:r>
      <w:r w:rsidRPr="006A74F8">
        <w:rPr>
          <w:b/>
        </w:rPr>
        <w:t>status quo</w:t>
      </w:r>
      <w:r w:rsidRPr="006A74F8">
        <w:t>,</w:t>
      </w:r>
      <w:r w:rsidRPr="006A74F8">
        <w:rPr>
          <w:b/>
        </w:rPr>
        <w:t xml:space="preserve"> </w:t>
      </w:r>
      <w:r w:rsidRPr="006A74F8">
        <w:t xml:space="preserve">they </w:t>
      </w:r>
      <w:r w:rsidR="00925E01" w:rsidRPr="006A74F8">
        <w:t xml:space="preserve">are </w:t>
      </w:r>
      <w:r w:rsidRPr="006A74F8">
        <w:t xml:space="preserve">not thought to result in a significant change to how the requirements operate in practice. </w:t>
      </w:r>
      <w:r w:rsidR="0043387C" w:rsidRPr="006A74F8">
        <w:t>While i</w:t>
      </w:r>
      <w:r w:rsidRPr="006A74F8">
        <w:t xml:space="preserve">t is recognised that allowing flexibility to use alternative units of measurement can result in like products being sold by </w:t>
      </w:r>
      <w:r w:rsidR="0043387C" w:rsidRPr="006A74F8">
        <w:t>different units of measurement,</w:t>
      </w:r>
      <w:r w:rsidR="00B43D08" w:rsidRPr="006A74F8">
        <w:t xml:space="preserve"> it</w:t>
      </w:r>
      <w:r w:rsidR="004A42BE" w:rsidRPr="006A74F8">
        <w:t xml:space="preserve"> provides benefits to industry through the ability to use </w:t>
      </w:r>
      <w:r w:rsidR="0043387C" w:rsidRPr="006A74F8">
        <w:t xml:space="preserve">units of </w:t>
      </w:r>
      <w:r w:rsidR="004A42BE" w:rsidRPr="006A74F8">
        <w:t>measurement that best suits their purposes</w:t>
      </w:r>
      <w:r w:rsidRPr="006A74F8">
        <w:t>.</w:t>
      </w:r>
      <w:r w:rsidR="004A42BE" w:rsidRPr="006A74F8">
        <w:t xml:space="preserve"> </w:t>
      </w:r>
      <w:r w:rsidR="00C71DCE" w:rsidRPr="006A74F8">
        <w:t>For example, shredded paper for cat litter is sold by volume as it is a bulky product, whereas crystal cat litter (including bentonite) is sold by weight as it is a dense product.</w:t>
      </w:r>
      <w:r w:rsidR="004A42BE" w:rsidRPr="006A74F8">
        <w:t xml:space="preserve"> Howeve</w:t>
      </w:r>
      <w:r w:rsidR="0043387C" w:rsidRPr="006A74F8">
        <w:t>r, it is unclear what the extent</w:t>
      </w:r>
      <w:r w:rsidR="004A42BE" w:rsidRPr="006A74F8">
        <w:t xml:space="preserve"> of this benefit is.</w:t>
      </w:r>
      <w:r w:rsidRPr="006A74F8">
        <w:t xml:space="preserve"> </w:t>
      </w:r>
    </w:p>
    <w:p w:rsidR="0031123B" w:rsidRPr="006A74F8" w:rsidRDefault="0031123B" w:rsidP="00D94F1E">
      <w:r w:rsidRPr="006A74F8">
        <w:t xml:space="preserve">The impact for </w:t>
      </w:r>
      <w:r w:rsidRPr="006A74F8">
        <w:rPr>
          <w:b/>
        </w:rPr>
        <w:t>all reform</w:t>
      </w:r>
      <w:r w:rsidRPr="006A74F8">
        <w:t xml:space="preserve"> </w:t>
      </w:r>
      <w:r w:rsidRPr="006A74F8">
        <w:rPr>
          <w:b/>
        </w:rPr>
        <w:t>options</w:t>
      </w:r>
      <w:r w:rsidRPr="006A74F8">
        <w:t xml:space="preserve"> has been assessed as neutral </w:t>
      </w:r>
      <w:r w:rsidR="00925E01" w:rsidRPr="006A74F8">
        <w:t>beca</w:t>
      </w:r>
      <w:r w:rsidR="009C4D23" w:rsidRPr="006A74F8">
        <w:t>u</w:t>
      </w:r>
      <w:r w:rsidR="00925E01" w:rsidRPr="006A74F8">
        <w:t>se</w:t>
      </w:r>
      <w:r w:rsidRPr="006A74F8">
        <w:t xml:space="preserve"> new requirements for the unit of measurement will operate similarly to existing requirements. </w:t>
      </w:r>
    </w:p>
    <w:p w:rsidR="00915EB2" w:rsidRPr="006A74F8" w:rsidRDefault="00915EB2" w:rsidP="00D177C8">
      <w:pPr>
        <w:pStyle w:val="Heading4"/>
        <w:tabs>
          <w:tab w:val="left" w:pos="1134"/>
        </w:tabs>
      </w:pPr>
      <w:r w:rsidRPr="006A74F8">
        <w:t>How measurin</w:t>
      </w:r>
      <w:r w:rsidR="00856E0C" w:rsidRPr="006A74F8">
        <w:t>g instruments in trade are used</w:t>
      </w:r>
    </w:p>
    <w:p w:rsidR="00573139" w:rsidRPr="006A74F8" w:rsidRDefault="00915EB2" w:rsidP="00D94F1E">
      <w:pPr>
        <w:rPr>
          <w:rFonts w:ascii="Calibri" w:hAnsi="Calibri" w:cs="Calibri"/>
          <w:color w:val="000000"/>
          <w:lang w:eastAsia="en-GB"/>
        </w:rPr>
      </w:pPr>
      <w:r w:rsidRPr="006A74F8">
        <w:rPr>
          <w:rFonts w:ascii="Calibri" w:hAnsi="Calibri" w:cs="Calibri"/>
          <w:color w:val="000000"/>
          <w:lang w:eastAsia="en-GB"/>
        </w:rPr>
        <w:t xml:space="preserve">Removing a number of prescriptive offences relating to how measuring instruments are used for trade will reduce the compliance burden for industry to understand which provisions apply to them. Under </w:t>
      </w:r>
      <w:r w:rsidRPr="006A74F8">
        <w:rPr>
          <w:rFonts w:ascii="Calibri" w:hAnsi="Calibri" w:cs="Calibri"/>
          <w:b/>
          <w:color w:val="000000"/>
          <w:lang w:eastAsia="en-GB"/>
        </w:rPr>
        <w:t>all reform options</w:t>
      </w:r>
      <w:r w:rsidRPr="006A74F8">
        <w:rPr>
          <w:rFonts w:ascii="Calibri" w:hAnsi="Calibri" w:cs="Calibri"/>
          <w:color w:val="000000"/>
          <w:lang w:eastAsia="en-GB"/>
        </w:rPr>
        <w:t xml:space="preserve"> there will be a small number of principles-based provisions that prohibit the incorrect use of measuring instruments that result in the instrument giving an inaccurate measurement or providing other incorrect information. For example, if a person uses a scale </w:t>
      </w:r>
      <w:r w:rsidRPr="006A74F8">
        <w:t>without</w:t>
      </w:r>
      <w:r w:rsidRPr="006A74F8">
        <w:rPr>
          <w:rFonts w:ascii="Calibri" w:hAnsi="Calibri" w:cs="Calibri"/>
          <w:color w:val="000000"/>
          <w:lang w:eastAsia="en-GB"/>
        </w:rPr>
        <w:t xml:space="preserve"> ensuring that it is free from obstructions, an object, such as a stapler, could be resting on the scale and result in the displayed weight being more than it should be. </w:t>
      </w:r>
    </w:p>
    <w:p w:rsidR="00915EB2" w:rsidRPr="006A74F8" w:rsidRDefault="00915EB2" w:rsidP="00D94F1E">
      <w:pPr>
        <w:rPr>
          <w:rFonts w:ascii="Calibri" w:hAnsi="Calibri" w:cs="Calibri"/>
          <w:color w:val="000000"/>
          <w:lang w:eastAsia="en-GB"/>
        </w:rPr>
      </w:pPr>
      <w:r w:rsidRPr="006A74F8">
        <w:rPr>
          <w:rFonts w:ascii="Calibri" w:hAnsi="Calibri" w:cs="Calibri"/>
          <w:color w:val="000000"/>
          <w:lang w:eastAsia="en-GB"/>
        </w:rPr>
        <w:t xml:space="preserve">Necessary prescription will be retained in the regulations for a small number of supplementary provisions, including: </w:t>
      </w:r>
    </w:p>
    <w:p w:rsidR="00D94F1E" w:rsidRPr="006A74F8" w:rsidRDefault="00915EB2" w:rsidP="0017343F">
      <w:pPr>
        <w:pStyle w:val="ListParagraph"/>
        <w:numPr>
          <w:ilvl w:val="0"/>
          <w:numId w:val="15"/>
        </w:numPr>
        <w:spacing w:after="0" w:line="240" w:lineRule="auto"/>
        <w:textAlignment w:val="center"/>
        <w:rPr>
          <w:rFonts w:eastAsia="Times New Roman" w:cstheme="minorHAnsi"/>
          <w:color w:val="000000"/>
          <w:lang w:eastAsia="en-GB"/>
        </w:rPr>
      </w:pPr>
      <w:r w:rsidRPr="006A74F8">
        <w:rPr>
          <w:rFonts w:eastAsia="Times New Roman" w:cstheme="minorHAnsi"/>
          <w:color w:val="000000"/>
          <w:lang w:eastAsia="en-GB"/>
        </w:rPr>
        <w:t>Where necessary to restrict the use of certain classes of instruments (e.g. class 4 instruments can only be used for certain purposes such as baggage weighing or for weighing garbage)</w:t>
      </w:r>
      <w:r w:rsidR="00573139" w:rsidRPr="006A74F8">
        <w:rPr>
          <w:rFonts w:eastAsia="Times New Roman" w:cstheme="minorHAnsi"/>
          <w:color w:val="000000"/>
          <w:lang w:eastAsia="en-GB"/>
        </w:rPr>
        <w:t>.</w:t>
      </w:r>
    </w:p>
    <w:p w:rsidR="00915EB2" w:rsidRPr="006A74F8" w:rsidRDefault="00915EB2" w:rsidP="00B323CF">
      <w:pPr>
        <w:pStyle w:val="ListParagraph"/>
        <w:numPr>
          <w:ilvl w:val="0"/>
          <w:numId w:val="15"/>
        </w:numPr>
        <w:spacing w:line="240" w:lineRule="auto"/>
        <w:ind w:left="714" w:hanging="357"/>
        <w:contextualSpacing w:val="0"/>
        <w:textAlignment w:val="center"/>
        <w:rPr>
          <w:rFonts w:eastAsia="Times New Roman" w:cstheme="minorHAnsi"/>
          <w:color w:val="000000"/>
          <w:lang w:eastAsia="en-GB"/>
        </w:rPr>
      </w:pPr>
      <w:r w:rsidRPr="006A74F8">
        <w:rPr>
          <w:rFonts w:eastAsia="Times New Roman" w:cstheme="minorHAnsi"/>
          <w:color w:val="000000"/>
          <w:lang w:eastAsia="en-GB"/>
        </w:rPr>
        <w:lastRenderedPageBreak/>
        <w:t>Accuracy requirements for particular purposes</w:t>
      </w:r>
      <w:r w:rsidR="00573139" w:rsidRPr="006A74F8">
        <w:rPr>
          <w:rFonts w:eastAsia="Times New Roman" w:cstheme="minorHAnsi"/>
          <w:color w:val="000000"/>
          <w:lang w:eastAsia="en-GB"/>
        </w:rPr>
        <w:t xml:space="preserve"> </w:t>
      </w:r>
      <w:r w:rsidRPr="006A74F8">
        <w:rPr>
          <w:rFonts w:eastAsia="Times New Roman" w:cstheme="minorHAnsi"/>
          <w:color w:val="000000"/>
          <w:lang w:eastAsia="en-GB"/>
        </w:rPr>
        <w:t>/</w:t>
      </w:r>
      <w:r w:rsidR="00573139" w:rsidRPr="006A74F8">
        <w:rPr>
          <w:rFonts w:eastAsia="Times New Roman" w:cstheme="minorHAnsi"/>
          <w:color w:val="000000"/>
          <w:lang w:eastAsia="en-GB"/>
        </w:rPr>
        <w:t xml:space="preserve"> </w:t>
      </w:r>
      <w:r w:rsidRPr="006A74F8">
        <w:rPr>
          <w:rFonts w:eastAsia="Times New Roman" w:cstheme="minorHAnsi"/>
          <w:color w:val="000000"/>
          <w:lang w:eastAsia="en-GB"/>
        </w:rPr>
        <w:t xml:space="preserve">uses (e.g. measuring diamonds or </w:t>
      </w:r>
      <w:r w:rsidR="00290725" w:rsidRPr="006A74F8">
        <w:rPr>
          <w:rFonts w:eastAsia="Times New Roman" w:cstheme="minorHAnsi"/>
          <w:color w:val="000000"/>
          <w:lang w:eastAsia="en-GB"/>
        </w:rPr>
        <w:t>precious</w:t>
      </w:r>
      <w:r w:rsidRPr="006A74F8">
        <w:rPr>
          <w:rFonts w:eastAsia="Times New Roman" w:cstheme="minorHAnsi"/>
          <w:color w:val="000000"/>
          <w:lang w:eastAsia="en-GB"/>
        </w:rPr>
        <w:t xml:space="preserve"> metals)</w:t>
      </w:r>
      <w:r w:rsidR="00573139" w:rsidRPr="006A74F8">
        <w:rPr>
          <w:rFonts w:eastAsia="Times New Roman" w:cstheme="minorHAnsi"/>
          <w:color w:val="000000"/>
          <w:lang w:eastAsia="en-GB"/>
        </w:rPr>
        <w:t>.</w:t>
      </w:r>
    </w:p>
    <w:p w:rsidR="00865237" w:rsidRPr="006A74F8" w:rsidRDefault="00865237" w:rsidP="00D94F1E">
      <w:r w:rsidRPr="006A74F8">
        <w:t xml:space="preserve">This approach will make it easier for industry to understand their obligations when it comes to the manner in which they use measuring instruments for trade. </w:t>
      </w:r>
      <w:r w:rsidR="009C4D23" w:rsidRPr="006A74F8">
        <w:t>The</w:t>
      </w:r>
      <w:r w:rsidRPr="006A74F8">
        <w:t xml:space="preserve"> compliance burden associated with navigating current prescriptive provisions w</w:t>
      </w:r>
      <w:r w:rsidR="00345256" w:rsidRPr="006A74F8">
        <w:t>ill</w:t>
      </w:r>
      <w:r w:rsidRPr="006A74F8">
        <w:t xml:space="preserve"> be reduced, while fundamentally still requiring industry to ensure measuring instruments are accurate and used correctly</w:t>
      </w:r>
      <w:r w:rsidRPr="006A74F8" w:rsidDel="0062299A">
        <w:t>.</w:t>
      </w:r>
      <w:r w:rsidRPr="006A74F8">
        <w:t xml:space="preserve"> As removing prescriptive requirements can cause uncertainty for some businesses, particularly small to medium enterprise</w:t>
      </w:r>
      <w:r w:rsidR="00B119E7" w:rsidRPr="006A74F8">
        <w:t>s</w:t>
      </w:r>
      <w:r w:rsidRPr="006A74F8">
        <w:t xml:space="preserve"> (SME</w:t>
      </w:r>
      <w:r w:rsidR="00B119E7" w:rsidRPr="006A74F8">
        <w:t>s</w:t>
      </w:r>
      <w:r w:rsidRPr="006A74F8">
        <w:t>), guidance material will accompany the legislation to help industry understand their obligations.</w:t>
      </w:r>
    </w:p>
    <w:p w:rsidR="00915EB2" w:rsidRPr="006A74F8" w:rsidRDefault="00DA1336" w:rsidP="00D177C8">
      <w:pPr>
        <w:pStyle w:val="Heading4"/>
      </w:pPr>
      <w:r w:rsidRPr="006A74F8">
        <w:t>Simpler requirements for packaged products</w:t>
      </w:r>
    </w:p>
    <w:p w:rsidR="001F7A82" w:rsidRPr="006A74F8" w:rsidRDefault="00E24BB5" w:rsidP="00D94F1E">
      <w:r w:rsidRPr="006A74F8">
        <w:t xml:space="preserve">Industry stakeholders contend that current requirements for packaged products are unnecessarily complex and do not represent minimum effective regulation. </w:t>
      </w:r>
      <w:r w:rsidR="00864502" w:rsidRPr="006A74F8">
        <w:rPr>
          <w:b/>
        </w:rPr>
        <w:t>All options</w:t>
      </w:r>
      <w:r w:rsidR="00864502" w:rsidRPr="006A74F8">
        <w:t xml:space="preserve"> introduce l</w:t>
      </w:r>
      <w:r w:rsidR="00915EB2" w:rsidRPr="006A74F8">
        <w:t>ess prescriptive requirements</w:t>
      </w:r>
      <w:r w:rsidR="00652975" w:rsidRPr="006A74F8">
        <w:t>,</w:t>
      </w:r>
      <w:r w:rsidR="00915EB2" w:rsidRPr="006A74F8">
        <w:t xml:space="preserve"> reduce complexity and make it easier for businesses to understand and use the correct presentational requirements. </w:t>
      </w:r>
    </w:p>
    <w:p w:rsidR="001F7A82" w:rsidRPr="006A74F8" w:rsidRDefault="00915EB2" w:rsidP="00D94F1E">
      <w:r w:rsidRPr="006A74F8">
        <w:rPr>
          <w:b/>
        </w:rPr>
        <w:t xml:space="preserve">Option 1 </w:t>
      </w:r>
      <w:r w:rsidRPr="006A74F8">
        <w:t>reduces the current prescriptive requirements to broad principle</w:t>
      </w:r>
      <w:r w:rsidR="00DA1336" w:rsidRPr="006A74F8">
        <w:t>s</w:t>
      </w:r>
      <w:r w:rsidRPr="006A74F8">
        <w:t xml:space="preserve"> </w:t>
      </w:r>
      <w:r w:rsidR="00DA1336" w:rsidRPr="006A74F8">
        <w:t xml:space="preserve">with </w:t>
      </w:r>
      <w:r w:rsidR="003E3ADD" w:rsidRPr="006A74F8">
        <w:t xml:space="preserve">limited </w:t>
      </w:r>
      <w:r w:rsidR="00DA1336" w:rsidRPr="006A74F8">
        <w:t>prescriptive requirements</w:t>
      </w:r>
      <w:r w:rsidR="00716C60" w:rsidRPr="006A74F8">
        <w:t xml:space="preserve"> (front of pack, font size and colour contrast with background). Other </w:t>
      </w:r>
      <w:r w:rsidR="00DA1336" w:rsidRPr="006A74F8">
        <w:t xml:space="preserve">prescriptive requirements, where needed, </w:t>
      </w:r>
      <w:r w:rsidR="00716C60" w:rsidRPr="006A74F8">
        <w:t>w</w:t>
      </w:r>
      <w:r w:rsidR="00345256" w:rsidRPr="006A74F8">
        <w:t>ill</w:t>
      </w:r>
      <w:r w:rsidR="00716C60" w:rsidRPr="006A74F8">
        <w:t xml:space="preserve"> be </w:t>
      </w:r>
      <w:r w:rsidR="00DA1336" w:rsidRPr="006A74F8">
        <w:t xml:space="preserve">moved to legislative instruments or guidance material. </w:t>
      </w:r>
      <w:r w:rsidRPr="006A74F8">
        <w:t xml:space="preserve">This reduces complexity for business and saves time, while also enabling them to have greater assurance their packages comply. </w:t>
      </w:r>
    </w:p>
    <w:p w:rsidR="001F7A82" w:rsidRPr="006A74F8" w:rsidRDefault="00915EB2" w:rsidP="00D94F1E">
      <w:r w:rsidRPr="006A74F8">
        <w:rPr>
          <w:b/>
        </w:rPr>
        <w:t>Options 2 and 3</w:t>
      </w:r>
      <w:r w:rsidR="00716C60" w:rsidRPr="006A74F8">
        <w:rPr>
          <w:b/>
        </w:rPr>
        <w:t xml:space="preserve">, </w:t>
      </w:r>
      <w:r w:rsidR="00716C60" w:rsidRPr="006A74F8">
        <w:t xml:space="preserve">in addition to the flexibility afforded in </w:t>
      </w:r>
      <w:r w:rsidR="00716C60" w:rsidRPr="006A74F8">
        <w:rPr>
          <w:b/>
        </w:rPr>
        <w:t>option 1</w:t>
      </w:r>
      <w:r w:rsidR="00716C60" w:rsidRPr="006A74F8">
        <w:t>,</w:t>
      </w:r>
      <w:r w:rsidRPr="006A74F8">
        <w:rPr>
          <w:b/>
        </w:rPr>
        <w:t xml:space="preserve"> </w:t>
      </w:r>
      <w:r w:rsidR="00DB4EFF" w:rsidRPr="006A74F8">
        <w:t>include</w:t>
      </w:r>
      <w:r w:rsidR="00716C60" w:rsidRPr="006A74F8">
        <w:t>s</w:t>
      </w:r>
      <w:r w:rsidRPr="006A74F8">
        <w:t xml:space="preserve"> further flexibility for businesses by removing the </w:t>
      </w:r>
      <w:r w:rsidR="000E421F" w:rsidRPr="006A74F8">
        <w:t xml:space="preserve">prescriptive </w:t>
      </w:r>
      <w:r w:rsidRPr="006A74F8">
        <w:t>front of pack marking requirement for all products</w:t>
      </w:r>
      <w:r w:rsidR="000E421F" w:rsidRPr="006A74F8">
        <w:t xml:space="preserve">, </w:t>
      </w:r>
      <w:r w:rsidR="00DB4EFF" w:rsidRPr="006A74F8">
        <w:t xml:space="preserve">instead requiring </w:t>
      </w:r>
      <w:r w:rsidR="000E421F" w:rsidRPr="006A74F8">
        <w:t>the marking be prominent and legible</w:t>
      </w:r>
      <w:r w:rsidR="00716C60" w:rsidRPr="006A74F8">
        <w:t xml:space="preserve"> (also font size and colour contrast with background)</w:t>
      </w:r>
      <w:r w:rsidR="000E421F" w:rsidRPr="006A74F8">
        <w:t>.</w:t>
      </w:r>
      <w:r w:rsidR="001F7A82" w:rsidRPr="006A74F8">
        <w:t xml:space="preserve"> As with </w:t>
      </w:r>
      <w:r w:rsidR="001F7A82" w:rsidRPr="006A74F8">
        <w:rPr>
          <w:b/>
        </w:rPr>
        <w:t>option 1</w:t>
      </w:r>
      <w:r w:rsidR="001F7A82" w:rsidRPr="006A74F8">
        <w:t xml:space="preserve"> this reduces complexity and saves time.  </w:t>
      </w:r>
    </w:p>
    <w:p w:rsidR="001F7A82" w:rsidRPr="006A74F8" w:rsidRDefault="001F7A82" w:rsidP="00D177C8">
      <w:pPr>
        <w:pStyle w:val="Heading5"/>
        <w:tabs>
          <w:tab w:val="left" w:pos="1276"/>
        </w:tabs>
      </w:pPr>
      <w:r w:rsidRPr="006A74F8">
        <w:t>Changes to regulatory burden</w:t>
      </w:r>
    </w:p>
    <w:p w:rsidR="001F7A82" w:rsidRPr="006A74F8" w:rsidRDefault="001F7A82" w:rsidP="00D94F1E">
      <w:r w:rsidRPr="006A74F8">
        <w:t xml:space="preserve">Across </w:t>
      </w:r>
      <w:r w:rsidRPr="006A74F8">
        <w:rPr>
          <w:b/>
        </w:rPr>
        <w:t>all options</w:t>
      </w:r>
      <w:r w:rsidRPr="006A74F8">
        <w:t xml:space="preserve">, it is anticipated that there would be a slight decrease in </w:t>
      </w:r>
      <w:r w:rsidR="00833B1C">
        <w:t xml:space="preserve">the </w:t>
      </w:r>
      <w:r w:rsidRPr="006A74F8">
        <w:t xml:space="preserve">time </w:t>
      </w:r>
      <w:r w:rsidR="00833B1C">
        <w:t xml:space="preserve">taken </w:t>
      </w:r>
      <w:r w:rsidR="007151FA" w:rsidRPr="006A74F8">
        <w:t xml:space="preserve">for manufacturers and importers of packaged products </w:t>
      </w:r>
      <w:r w:rsidRPr="006A74F8">
        <w:t xml:space="preserve">to understand regulatory obligations. While the flexibility from having simple principles can create uncertainty for some businesses, NMI will produce guidance material to help industry understand the requirements and potentially </w:t>
      </w:r>
      <w:r w:rsidR="00BD0C03" w:rsidRPr="006A74F8">
        <w:t>create</w:t>
      </w:r>
      <w:r w:rsidRPr="006A74F8">
        <w:t xml:space="preserve"> deemed to comply pathways</w:t>
      </w:r>
      <w:r w:rsidRPr="006A74F8">
        <w:rPr>
          <w:rStyle w:val="FootnoteReference"/>
        </w:rPr>
        <w:footnoteReference w:id="121"/>
      </w:r>
      <w:r w:rsidRPr="006A74F8">
        <w:t xml:space="preserve"> to offer additional certainty. </w:t>
      </w:r>
      <w:r w:rsidR="00CA3AC6" w:rsidRPr="006A74F8">
        <w:t xml:space="preserve">Costing estimates indicate that the current status quo cost is around </w:t>
      </w:r>
      <w:r w:rsidR="00CA3AC6" w:rsidRPr="006A74F8">
        <w:rPr>
          <w:b/>
        </w:rPr>
        <w:t>$</w:t>
      </w:r>
      <w:r w:rsidR="005B0592" w:rsidRPr="006A74F8">
        <w:rPr>
          <w:b/>
        </w:rPr>
        <w:t>8.1</w:t>
      </w:r>
      <w:r w:rsidR="00CA3AC6" w:rsidRPr="006A74F8">
        <w:rPr>
          <w:b/>
        </w:rPr>
        <w:t>m</w:t>
      </w:r>
      <w:r w:rsidR="00CA3AC6" w:rsidRPr="006A74F8">
        <w:t xml:space="preserve"> for the regulatory obligations (estimated </w:t>
      </w:r>
      <w:r w:rsidR="005B0592" w:rsidRPr="006A74F8">
        <w:t>1.5</w:t>
      </w:r>
      <w:r w:rsidR="00CA3AC6" w:rsidRPr="006A74F8">
        <w:t xml:space="preserve">hrs reporting time per business) based on an all business impacted in the manufacturing and import sectors. </w:t>
      </w:r>
      <w:r w:rsidR="00F72C63" w:rsidRPr="006A74F8">
        <w:t xml:space="preserve">It is expected that </w:t>
      </w:r>
      <w:r w:rsidR="00CA3AC6" w:rsidRPr="006A74F8">
        <w:t xml:space="preserve">under </w:t>
      </w:r>
      <w:r w:rsidR="00F72C63" w:rsidRPr="006A74F8">
        <w:t>all options, the annual time cost would be</w:t>
      </w:r>
      <w:r w:rsidR="00CA3AC6" w:rsidRPr="006A74F8">
        <w:t xml:space="preserve"> reduced </w:t>
      </w:r>
      <w:r w:rsidR="00F72C63" w:rsidRPr="006A74F8">
        <w:t xml:space="preserve">to </w:t>
      </w:r>
      <w:r w:rsidR="00E77EEA" w:rsidRPr="006A74F8">
        <w:t>one</w:t>
      </w:r>
      <w:r w:rsidR="00F72C63" w:rsidRPr="006A74F8">
        <w:t xml:space="preserve"> hour or less, resulting in an annual industry</w:t>
      </w:r>
      <w:r w:rsidR="00CA3AC6" w:rsidRPr="006A74F8">
        <w:t xml:space="preserve"> saving </w:t>
      </w:r>
      <w:r w:rsidR="00F72C63" w:rsidRPr="006A74F8">
        <w:t xml:space="preserve">of at least </w:t>
      </w:r>
      <w:r w:rsidR="00CA3AC6" w:rsidRPr="006A74F8">
        <w:rPr>
          <w:b/>
        </w:rPr>
        <w:t>$</w:t>
      </w:r>
      <w:r w:rsidR="005B0592" w:rsidRPr="006A74F8">
        <w:rPr>
          <w:b/>
        </w:rPr>
        <w:t>2.7</w:t>
      </w:r>
      <w:r w:rsidR="00CA3AC6" w:rsidRPr="006A74F8">
        <w:rPr>
          <w:b/>
        </w:rPr>
        <w:t>m</w:t>
      </w:r>
      <w:r w:rsidR="00CA3AC6" w:rsidRPr="006A74F8">
        <w:t xml:space="preserve">. </w:t>
      </w:r>
      <w:hyperlink w:anchor="_Appendix_11:_Costing" w:history="1">
        <w:r w:rsidR="00CA3AC6" w:rsidRPr="0026245B">
          <w:rPr>
            <w:rStyle w:val="Hyperlink"/>
          </w:rPr>
          <w:t>Appendix 1</w:t>
        </w:r>
        <w:r w:rsidR="00C11B00" w:rsidRPr="0026245B">
          <w:rPr>
            <w:rStyle w:val="Hyperlink"/>
          </w:rPr>
          <w:t>0</w:t>
        </w:r>
      </w:hyperlink>
      <w:r w:rsidR="00CA3AC6" w:rsidRPr="006A74F8">
        <w:t xml:space="preserve"> provides the detailed calculations including methodology and assumptions. </w:t>
      </w:r>
    </w:p>
    <w:p w:rsidR="00915EB2" w:rsidRPr="006A74F8" w:rsidRDefault="00915EB2" w:rsidP="00D177C8">
      <w:pPr>
        <w:pStyle w:val="Heading3"/>
        <w:tabs>
          <w:tab w:val="left" w:pos="993"/>
        </w:tabs>
      </w:pPr>
      <w:r w:rsidRPr="006A74F8">
        <w:lastRenderedPageBreak/>
        <w:t>Certainty f</w:t>
      </w:r>
      <w:r w:rsidR="00856E0C" w:rsidRPr="006A74F8">
        <w:t>or business (packaged products)</w:t>
      </w:r>
    </w:p>
    <w:tbl>
      <w:tblPr>
        <w:tblStyle w:val="PlainTable2"/>
        <w:tblW w:w="8875" w:type="dxa"/>
        <w:tblLook w:val="04A0" w:firstRow="1" w:lastRow="0" w:firstColumn="1" w:lastColumn="0" w:noHBand="0" w:noVBand="1"/>
        <w:tblCaption w:val="15.1.6 Certainty for business (packaged products):"/>
        <w:tblDescription w:val="Certainty for business. Options 1 to 3 are rated +1, slight beneficial.&#10;Packaged Products: A power to exempt products provides long term certainty for the presentational requirements of the measurement mark on packaged products. &#10;"/>
      </w:tblPr>
      <w:tblGrid>
        <w:gridCol w:w="1823"/>
        <w:gridCol w:w="633"/>
        <w:gridCol w:w="643"/>
        <w:gridCol w:w="643"/>
        <w:gridCol w:w="5133"/>
      </w:tblGrid>
      <w:tr w:rsidR="00981F9B" w:rsidRPr="006A74F8"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rsidR="00981F9B" w:rsidRPr="006A74F8" w:rsidRDefault="00981F9B" w:rsidP="00AE7B79">
            <w:r w:rsidRPr="006A74F8">
              <w:t>Impact</w:t>
            </w:r>
          </w:p>
        </w:tc>
        <w:tc>
          <w:tcPr>
            <w:tcW w:w="1919" w:type="dxa"/>
            <w:gridSpan w:val="3"/>
            <w:tcBorders>
              <w:top w:val="single" w:sz="12" w:space="0" w:color="000000" w:themeColor="text1"/>
              <w:bottom w:val="nil"/>
            </w:tcBorders>
            <w:vAlign w:val="center"/>
          </w:tcPr>
          <w:p w:rsidR="00981F9B" w:rsidRPr="006A74F8" w:rsidRDefault="00981F9B" w:rsidP="00AE7B79">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3" w:type="dxa"/>
            <w:vMerge w:val="restart"/>
            <w:tcBorders>
              <w:top w:val="single" w:sz="12" w:space="0" w:color="000000" w:themeColor="text1"/>
            </w:tcBorders>
            <w:vAlign w:val="center"/>
          </w:tcPr>
          <w:p w:rsidR="00981F9B" w:rsidRPr="006A74F8" w:rsidRDefault="00981F9B" w:rsidP="00AE7B79">
            <w:pPr>
              <w:cnfStyle w:val="100000000000" w:firstRow="1" w:lastRow="0" w:firstColumn="0" w:lastColumn="0" w:oddVBand="0" w:evenVBand="0" w:oddHBand="0" w:evenHBand="0" w:firstRowFirstColumn="0" w:firstRowLastColumn="0" w:lastRowFirstColumn="0" w:lastRowLastColumn="0"/>
            </w:pPr>
            <w:r w:rsidRPr="006A74F8">
              <w:t>Explanation</w:t>
            </w:r>
          </w:p>
        </w:tc>
      </w:tr>
      <w:tr w:rsidR="00981F9B" w:rsidRPr="006A74F8"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rsidR="00981F9B" w:rsidRPr="006A74F8" w:rsidRDefault="00981F9B" w:rsidP="00AE7B79"/>
        </w:tc>
        <w:tc>
          <w:tcPr>
            <w:tcW w:w="633" w:type="dxa"/>
            <w:tcBorders>
              <w:top w:val="nil"/>
              <w:bottom w:val="double" w:sz="4" w:space="0" w:color="auto"/>
            </w:tcBorders>
          </w:tcPr>
          <w:p w:rsidR="00981F9B" w:rsidRPr="006A74F8"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43" w:type="dxa"/>
            <w:tcBorders>
              <w:top w:val="nil"/>
              <w:bottom w:val="double" w:sz="4" w:space="0" w:color="auto"/>
            </w:tcBorders>
          </w:tcPr>
          <w:p w:rsidR="00981F9B" w:rsidRPr="006A74F8"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43" w:type="dxa"/>
            <w:tcBorders>
              <w:top w:val="nil"/>
              <w:bottom w:val="double" w:sz="4" w:space="0" w:color="auto"/>
            </w:tcBorders>
          </w:tcPr>
          <w:p w:rsidR="00981F9B" w:rsidRPr="006A74F8"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3" w:type="dxa"/>
            <w:vMerge/>
            <w:tcBorders>
              <w:bottom w:val="double" w:sz="4" w:space="0" w:color="auto"/>
            </w:tcBorders>
          </w:tcPr>
          <w:p w:rsidR="00981F9B" w:rsidRPr="006A74F8" w:rsidRDefault="00981F9B" w:rsidP="00AE7B79">
            <w:pPr>
              <w:cnfStyle w:val="100000000000" w:firstRow="1" w:lastRow="0" w:firstColumn="0" w:lastColumn="0" w:oddVBand="0" w:evenVBand="0" w:oddHBand="0" w:evenHBand="0" w:firstRowFirstColumn="0" w:firstRowLastColumn="0" w:lastRowFirstColumn="0" w:lastRowLastColumn="0"/>
            </w:pPr>
          </w:p>
        </w:tc>
      </w:tr>
      <w:tr w:rsidR="00981F9B"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rsidR="00981F9B" w:rsidRPr="006A74F8" w:rsidRDefault="00981F9B" w:rsidP="00AE7B79">
            <w:pPr>
              <w:rPr>
                <w:rFonts w:asciiTheme="majorHAnsi" w:eastAsia="Calibri" w:hAnsiTheme="majorHAnsi" w:cstheme="majorHAnsi"/>
                <w:b w:val="0"/>
                <w:sz w:val="20"/>
                <w:szCs w:val="20"/>
              </w:rPr>
            </w:pPr>
            <w:r w:rsidRPr="006A74F8">
              <w:rPr>
                <w:b w:val="0"/>
                <w:sz w:val="20"/>
                <w:szCs w:val="20"/>
              </w:rPr>
              <w:t>Certainty for business</w:t>
            </w:r>
          </w:p>
        </w:tc>
        <w:tc>
          <w:tcPr>
            <w:tcW w:w="633" w:type="dxa"/>
            <w:tcBorders>
              <w:right w:val="single" w:sz="4" w:space="0" w:color="FFFFFF" w:themeColor="background1"/>
            </w:tcBorders>
            <w:shd w:val="clear" w:color="auto" w:fill="ACD7CA"/>
            <w:vAlign w:val="center"/>
          </w:tcPr>
          <w:p w:rsidR="00981F9B" w:rsidRPr="006A74F8"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ACD7CA"/>
            <w:vAlign w:val="center"/>
          </w:tcPr>
          <w:p w:rsidR="00981F9B" w:rsidRPr="006A74F8"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43" w:type="dxa"/>
            <w:tcBorders>
              <w:left w:val="single" w:sz="4" w:space="0" w:color="FFFFFF" w:themeColor="background1"/>
            </w:tcBorders>
            <w:shd w:val="clear" w:color="auto" w:fill="ACD7CA"/>
            <w:vAlign w:val="center"/>
          </w:tcPr>
          <w:p w:rsidR="00981F9B" w:rsidRPr="006A74F8"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5133" w:type="dxa"/>
            <w:vAlign w:val="center"/>
          </w:tcPr>
          <w:p w:rsidR="00981F9B" w:rsidRPr="006A74F8" w:rsidRDefault="00981F9B" w:rsidP="00AE7B7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20"/>
                <w:szCs w:val="20"/>
              </w:rPr>
            </w:pPr>
            <w:r w:rsidRPr="006A74F8">
              <w:rPr>
                <w:b/>
                <w:sz w:val="20"/>
                <w:szCs w:val="20"/>
              </w:rPr>
              <w:t>Packaged Products</w:t>
            </w:r>
            <w:r w:rsidRPr="006A74F8">
              <w:rPr>
                <w:sz w:val="20"/>
                <w:szCs w:val="20"/>
              </w:rPr>
              <w:t xml:space="preserve">: A power to exempt products provides long term certainty for the presentational requirements of the measurement mark on packaged products. </w:t>
            </w:r>
          </w:p>
        </w:tc>
      </w:tr>
    </w:tbl>
    <w:p w:rsidR="00981F9B" w:rsidRPr="006A74F8" w:rsidRDefault="00981F9B" w:rsidP="00D94F1E"/>
    <w:p w:rsidR="00915EB2" w:rsidRPr="006A74F8" w:rsidRDefault="00915EB2" w:rsidP="00D94F1E">
      <w:r w:rsidRPr="006A74F8">
        <w:t>The current process uses permits</w:t>
      </w:r>
      <w:r w:rsidR="007851B3" w:rsidRPr="006A74F8">
        <w:t xml:space="preserve"> (limited to 6 months)</w:t>
      </w:r>
      <w:r w:rsidR="00232308" w:rsidRPr="006A74F8">
        <w:t>, or administrative permissions,</w:t>
      </w:r>
      <w:r w:rsidRPr="006A74F8">
        <w:t xml:space="preserve"> to </w:t>
      </w:r>
      <w:r w:rsidR="00C75B86" w:rsidRPr="006A74F8">
        <w:t xml:space="preserve">excuse packaged products from complying with </w:t>
      </w:r>
      <w:r w:rsidRPr="006A74F8">
        <w:t>the presentational requirements of the measurement mark</w:t>
      </w:r>
      <w:r w:rsidR="00232308" w:rsidRPr="006A74F8">
        <w:t>, enabling products subject to a permit to continue to be sold for a period of time</w:t>
      </w:r>
      <w:r w:rsidR="008131CF" w:rsidRPr="006A74F8">
        <w:t>.</w:t>
      </w:r>
      <w:r w:rsidR="00A7233E" w:rsidRPr="006A74F8">
        <w:t xml:space="preserve"> Permits are useful to allow businesses to sell non-compliant products for a short period of time where the end goal is to transition to compliant packaging. However, they do</w:t>
      </w:r>
      <w:r w:rsidRPr="006A74F8">
        <w:t xml:space="preserve"> not provide </w:t>
      </w:r>
      <w:r w:rsidR="00A7233E" w:rsidRPr="006A74F8">
        <w:t xml:space="preserve">long term </w:t>
      </w:r>
      <w:r w:rsidRPr="006A74F8">
        <w:t>certainty for businesses</w:t>
      </w:r>
      <w:r w:rsidR="00A7233E" w:rsidRPr="006A74F8">
        <w:t xml:space="preserve">, particularly where there is a case for a </w:t>
      </w:r>
      <w:r w:rsidR="00FA1D1D" w:rsidRPr="006A74F8">
        <w:t>permanent</w:t>
      </w:r>
      <w:r w:rsidR="00A7233E" w:rsidRPr="006A74F8">
        <w:t xml:space="preserve"> exception to be made for broad categories of products</w:t>
      </w:r>
      <w:r w:rsidRPr="006A74F8">
        <w:t xml:space="preserve">. </w:t>
      </w:r>
    </w:p>
    <w:p w:rsidR="0051158C" w:rsidRPr="006A74F8" w:rsidRDefault="00915EB2" w:rsidP="00D94F1E">
      <w:r w:rsidRPr="006A74F8">
        <w:rPr>
          <w:b/>
        </w:rPr>
        <w:t>All reform options</w:t>
      </w:r>
      <w:r w:rsidRPr="006A74F8">
        <w:t xml:space="preserve"> provide the ability to grant exemptions for </w:t>
      </w:r>
      <w:r w:rsidR="009D745B" w:rsidRPr="006A74F8">
        <w:t>particular types</w:t>
      </w:r>
      <w:r w:rsidRPr="006A74F8">
        <w:t xml:space="preserve"> of goods under the regulations. This will provide certainty for industry that exemptions granted are for the long term.</w:t>
      </w:r>
      <w:r w:rsidR="009D745B" w:rsidRPr="006A74F8">
        <w:t xml:space="preserve"> </w:t>
      </w:r>
    </w:p>
    <w:p w:rsidR="00915EB2" w:rsidRPr="006A74F8" w:rsidRDefault="009D745B" w:rsidP="00D94F1E">
      <w:r w:rsidRPr="006A74F8">
        <w:t xml:space="preserve">A permit system would be retained across </w:t>
      </w:r>
      <w:r w:rsidRPr="006A74F8">
        <w:rPr>
          <w:b/>
        </w:rPr>
        <w:t>all reform options</w:t>
      </w:r>
      <w:r w:rsidRPr="006A74F8">
        <w:t>, but with the flexibility to apply suitable time limits, up to a maximum amount. For example, permits are currently limited to 6 months but a business may have a 12 month supply of non-compliant packaging they wish to be able to sell through before replacing it with new compliant packaging. Currently they would have to apply to NMI to renew their permit</w:t>
      </w:r>
      <w:r w:rsidR="0051158C" w:rsidRPr="006A74F8">
        <w:t xml:space="preserve"> after 6</w:t>
      </w:r>
      <w:r w:rsidR="00A1419E" w:rsidRPr="006A74F8">
        <w:t> </w:t>
      </w:r>
      <w:r w:rsidR="0051158C" w:rsidRPr="006A74F8">
        <w:t xml:space="preserve">months, or </w:t>
      </w:r>
      <w:r w:rsidR="00491CE4" w:rsidRPr="006A74F8">
        <w:t>decrease</w:t>
      </w:r>
      <w:r w:rsidR="0051158C" w:rsidRPr="006A74F8">
        <w:t xml:space="preserve"> the time frame to introduce new packaging</w:t>
      </w:r>
      <w:r w:rsidRPr="006A74F8">
        <w:t>. Under a more flexible system NMI could grant a permit for 12 months, giving certainty to the business that they can sell through their old pac</w:t>
      </w:r>
      <w:r w:rsidR="0051158C" w:rsidRPr="006A74F8">
        <w:t xml:space="preserve">kaging. </w:t>
      </w:r>
      <w:r w:rsidR="009C6626" w:rsidRPr="006A74F8">
        <w:t>This could p</w:t>
      </w:r>
      <w:r w:rsidR="0051158C" w:rsidRPr="006A74F8">
        <w:t>otentially sav</w:t>
      </w:r>
      <w:r w:rsidR="009C6626" w:rsidRPr="006A74F8">
        <w:t>e</w:t>
      </w:r>
      <w:r w:rsidR="0051158C" w:rsidRPr="006A74F8">
        <w:t xml:space="preserve"> time applying for additional permits</w:t>
      </w:r>
      <w:r w:rsidR="00491CE4" w:rsidRPr="006A74F8">
        <w:t>,</w:t>
      </w:r>
      <w:r w:rsidR="0051158C" w:rsidRPr="006A74F8">
        <w:t xml:space="preserve"> or costs associated with the </w:t>
      </w:r>
      <w:r w:rsidR="00491CE4" w:rsidRPr="006A74F8">
        <w:t xml:space="preserve">disposal </w:t>
      </w:r>
      <w:r w:rsidR="0051158C" w:rsidRPr="006A74F8">
        <w:t xml:space="preserve">of </w:t>
      </w:r>
      <w:r w:rsidR="00491CE4" w:rsidRPr="006A74F8">
        <w:t xml:space="preserve">the old </w:t>
      </w:r>
      <w:r w:rsidR="0051158C" w:rsidRPr="006A74F8">
        <w:t>packaging</w:t>
      </w:r>
      <w:r w:rsidR="00491CE4" w:rsidRPr="006A74F8">
        <w:t xml:space="preserve"> earlier than intended</w:t>
      </w:r>
      <w:r w:rsidR="0051158C" w:rsidRPr="006A74F8">
        <w:t xml:space="preserve"> </w:t>
      </w:r>
    </w:p>
    <w:p w:rsidR="00915EB2" w:rsidRPr="006A74F8" w:rsidRDefault="000C53BD" w:rsidP="00D94F1E">
      <w:r w:rsidRPr="006A74F8">
        <w:rPr>
          <w:b/>
        </w:rPr>
        <w:t>All</w:t>
      </w:r>
      <w:r w:rsidR="001835C0" w:rsidRPr="006A74F8">
        <w:rPr>
          <w:b/>
        </w:rPr>
        <w:t xml:space="preserve"> reform options</w:t>
      </w:r>
      <w:r w:rsidR="00915EB2" w:rsidRPr="006A74F8">
        <w:t xml:space="preserve"> provide further flexibility and include a power to introduce additional requirements where there is a need e.g. </w:t>
      </w:r>
      <w:r w:rsidR="004618BE" w:rsidRPr="006A74F8">
        <w:t xml:space="preserve">a market failure for </w:t>
      </w:r>
      <w:r w:rsidR="009D745B" w:rsidRPr="006A74F8">
        <w:t>particular types</w:t>
      </w:r>
      <w:r w:rsidR="004618BE" w:rsidRPr="006A74F8">
        <w:t xml:space="preserve"> of goods under the regulations. Where such requirements are brought in, these will be clear and simple to ensure uncertainty and complexity are not introduced. For example, under </w:t>
      </w:r>
      <w:r w:rsidR="004618BE" w:rsidRPr="006A74F8">
        <w:rPr>
          <w:b/>
        </w:rPr>
        <w:t>options 2 and 3</w:t>
      </w:r>
      <w:r w:rsidR="004618BE" w:rsidRPr="006A74F8">
        <w:t xml:space="preserve"> a requirement for the measurement mark to be on the front of the package could be introduced for a particular category of product. Where additional requirements are considered for certain products in the future, these would be subject to further consultation and</w:t>
      </w:r>
      <w:r w:rsidR="00915EB2" w:rsidRPr="006A74F8">
        <w:t xml:space="preserve"> RIS processes to provide certainty to industry that requirements will not be introduced without consultation.</w:t>
      </w:r>
    </w:p>
    <w:p w:rsidR="0072586F" w:rsidRPr="006A74F8" w:rsidRDefault="00915EB2" w:rsidP="004172FB">
      <w:bookmarkStart w:id="2429" w:name="_Toc63062608"/>
      <w:bookmarkStart w:id="2430" w:name="_Ref63104398"/>
      <w:bookmarkStart w:id="2431" w:name="_Toc64558468"/>
      <w:bookmarkStart w:id="2432" w:name="_Toc64557488"/>
      <w:bookmarkStart w:id="2433" w:name="_Toc64562213"/>
      <w:bookmarkStart w:id="2434" w:name="_Toc64562469"/>
      <w:bookmarkStart w:id="2435" w:name="_Toc64640262"/>
      <w:bookmarkStart w:id="2436" w:name="_Toc64641232"/>
      <w:bookmarkStart w:id="2437" w:name="_Toc64647174"/>
      <w:bookmarkStart w:id="2438" w:name="_Toc64888346"/>
      <w:bookmarkStart w:id="2439" w:name="_Toc64888720"/>
      <w:bookmarkStart w:id="2440" w:name="_Toc64892995"/>
      <w:bookmarkStart w:id="2441" w:name="_Toc64895678"/>
      <w:r w:rsidRPr="006A74F8">
        <w:t xml:space="preserve">As flexibility can create some uncertainty for businesses, NMI will produce guidance material to help industry understand the requirements and potentially </w:t>
      </w:r>
      <w:r w:rsidR="000B645E" w:rsidRPr="006A74F8">
        <w:t>create</w:t>
      </w:r>
      <w:r w:rsidRPr="006A74F8">
        <w:t xml:space="preserve"> deemed to comply pathways to offer additional certainty. </w:t>
      </w:r>
    </w:p>
    <w:p w:rsidR="000C53BD" w:rsidRPr="006A74F8" w:rsidRDefault="000C53BD" w:rsidP="004172FB"/>
    <w:p w:rsidR="000C53BD" w:rsidRPr="006A74F8" w:rsidRDefault="000C53BD" w:rsidP="004172FB">
      <w:r w:rsidRPr="006A74F8">
        <w:br w:type="page"/>
      </w:r>
    </w:p>
    <w:p w:rsidR="000D1CF3" w:rsidRPr="006A74F8" w:rsidRDefault="000D1CF3" w:rsidP="0095456A">
      <w:pPr>
        <w:pStyle w:val="Heading1"/>
        <w:ind w:left="709" w:hanging="709"/>
      </w:pPr>
      <w:bookmarkStart w:id="2442" w:name="_Appendix_9:_Impacts"/>
      <w:bookmarkStart w:id="2443" w:name="_Toc64900904"/>
      <w:bookmarkStart w:id="2444" w:name="_Toc64903151"/>
      <w:bookmarkStart w:id="2445" w:name="_Toc64904109"/>
      <w:bookmarkStart w:id="2446" w:name="_Toc64904312"/>
      <w:bookmarkStart w:id="2447" w:name="_Toc64904774"/>
      <w:bookmarkStart w:id="2448" w:name="_Toc64905288"/>
      <w:bookmarkStart w:id="2449" w:name="_Toc64964028"/>
      <w:bookmarkStart w:id="2450" w:name="_Toc64974645"/>
      <w:bookmarkStart w:id="2451" w:name="_Toc64976327"/>
      <w:bookmarkStart w:id="2452" w:name="_Toc65149707"/>
      <w:bookmarkStart w:id="2453" w:name="_Toc65163459"/>
      <w:bookmarkStart w:id="2454" w:name="_Toc65491099"/>
      <w:bookmarkStart w:id="2455" w:name="_Toc65504835"/>
      <w:bookmarkStart w:id="2456" w:name="_Toc65757918"/>
      <w:bookmarkStart w:id="2457" w:name="_Toc65769513"/>
      <w:bookmarkStart w:id="2458" w:name="_Toc65766881"/>
      <w:bookmarkStart w:id="2459" w:name="_Toc65772655"/>
      <w:bookmarkStart w:id="2460" w:name="_Toc66435712"/>
      <w:bookmarkStart w:id="2461" w:name="_Toc66436501"/>
      <w:bookmarkStart w:id="2462" w:name="_Toc66437712"/>
      <w:bookmarkStart w:id="2463" w:name="_Toc66440051"/>
      <w:bookmarkStart w:id="2464" w:name="_Toc66442254"/>
      <w:bookmarkStart w:id="2465" w:name="_Toc66451923"/>
      <w:bookmarkStart w:id="2466" w:name="_Toc66459200"/>
      <w:bookmarkStart w:id="2467" w:name="_Toc66460254"/>
      <w:bookmarkStart w:id="2468" w:name="_Toc67305402"/>
      <w:bookmarkStart w:id="2469" w:name="_Toc67306316"/>
      <w:bookmarkStart w:id="2470" w:name="_Toc67306766"/>
      <w:bookmarkStart w:id="2471" w:name="_Toc67313618"/>
      <w:bookmarkStart w:id="2472" w:name="_Toc67320811"/>
      <w:bookmarkStart w:id="2473" w:name="_Toc67321964"/>
      <w:bookmarkStart w:id="2474" w:name="_Toc67324429"/>
      <w:bookmarkStart w:id="2475" w:name="_Toc67326590"/>
      <w:bookmarkStart w:id="2476" w:name="_Toc67649128"/>
      <w:bookmarkStart w:id="2477" w:name="_Toc67650112"/>
      <w:bookmarkStart w:id="2478" w:name="_Toc67650367"/>
      <w:bookmarkStart w:id="2479" w:name="_Toc67650659"/>
      <w:bookmarkStart w:id="2480" w:name="_Toc67652979"/>
      <w:bookmarkStart w:id="2481" w:name="_Toc67653064"/>
      <w:bookmarkStart w:id="2482" w:name="_Toc67653496"/>
      <w:bookmarkStart w:id="2483" w:name="_Toc67653559"/>
      <w:bookmarkStart w:id="2484" w:name="_Toc67649976"/>
      <w:bookmarkStart w:id="2485" w:name="_Toc67654062"/>
      <w:bookmarkStart w:id="2486" w:name="_Toc67654369"/>
      <w:bookmarkStart w:id="2487" w:name="_Toc67654586"/>
      <w:bookmarkStart w:id="2488" w:name="_Toc67656193"/>
      <w:bookmarkStart w:id="2489" w:name="_Toc67656955"/>
      <w:bookmarkStart w:id="2490" w:name="_Toc67659254"/>
      <w:bookmarkStart w:id="2491" w:name="_Toc67659755"/>
      <w:bookmarkStart w:id="2492" w:name="_Toc67661722"/>
      <w:bookmarkStart w:id="2493" w:name="_Toc67662813"/>
      <w:bookmarkStart w:id="2494" w:name="_Toc67662954"/>
      <w:bookmarkStart w:id="2495" w:name="_Toc67664460"/>
      <w:bookmarkStart w:id="2496" w:name="_Toc67667187"/>
      <w:bookmarkStart w:id="2497" w:name="_Toc67668260"/>
      <w:bookmarkStart w:id="2498" w:name="_Toc67669167"/>
      <w:bookmarkStart w:id="2499" w:name="_Toc67665778"/>
      <w:bookmarkStart w:id="2500" w:name="_Toc67912167"/>
      <w:bookmarkStart w:id="2501" w:name="_Toc67922248"/>
      <w:bookmarkStart w:id="2502" w:name="_Toc67929107"/>
      <w:bookmarkStart w:id="2503" w:name="_Toc67929401"/>
      <w:bookmarkStart w:id="2504" w:name="_Toc67929626"/>
      <w:bookmarkStart w:id="2505" w:name="_Toc67927103"/>
      <w:bookmarkStart w:id="2506" w:name="_Toc68011268"/>
      <w:bookmarkStart w:id="2507" w:name="_Toc68011326"/>
      <w:bookmarkStart w:id="2508" w:name="_Toc81919633"/>
      <w:bookmarkStart w:id="2509" w:name="_Toc81919907"/>
      <w:bookmarkStart w:id="2510" w:name="_Toc81921176"/>
      <w:bookmarkStart w:id="2511" w:name="_Toc81923749"/>
      <w:bookmarkStart w:id="2512" w:name="_Toc81923778"/>
      <w:bookmarkStart w:id="2513" w:name="_Toc81997323"/>
      <w:bookmarkStart w:id="2514" w:name="_Toc81998096"/>
      <w:bookmarkStart w:id="2515" w:name="_Toc82011852"/>
      <w:bookmarkStart w:id="2516" w:name="_Toc82512706"/>
      <w:bookmarkStart w:id="2517" w:name="_Toc82516174"/>
      <w:bookmarkStart w:id="2518" w:name="_Toc82519117"/>
      <w:bookmarkStart w:id="2519" w:name="_Toc82706657"/>
      <w:bookmarkStart w:id="2520" w:name="_Toc82790544"/>
      <w:bookmarkStart w:id="2521" w:name="_Toc82791063"/>
      <w:bookmarkStart w:id="2522" w:name="_Toc82792374"/>
      <w:bookmarkStart w:id="2523" w:name="_Toc83290756"/>
      <w:bookmarkStart w:id="2524" w:name="_Toc83292765"/>
      <w:bookmarkStart w:id="2525" w:name="_Toc83293536"/>
      <w:bookmarkEnd w:id="2442"/>
      <w:r w:rsidRPr="006A74F8">
        <w:lastRenderedPageBreak/>
        <w:t xml:space="preserve">Appendix </w:t>
      </w:r>
      <w:r w:rsidR="00266F0F" w:rsidRPr="006A74F8">
        <w:t>8</w:t>
      </w:r>
      <w:r w:rsidRPr="006A74F8">
        <w:t xml:space="preserve">: </w:t>
      </w:r>
      <w:r w:rsidR="0083664B" w:rsidRPr="006A74F8">
        <w:t xml:space="preserve">Impacts on </w:t>
      </w:r>
      <w:r w:rsidR="0043533E" w:rsidRPr="006A74F8">
        <w:t>g</w:t>
      </w:r>
      <w:r w:rsidR="00BD57DF" w:rsidRPr="006A74F8">
        <w:t xml:space="preserve">overnment </w:t>
      </w:r>
      <w:r w:rsidR="0043533E" w:rsidRPr="006A74F8">
        <w:t>r</w:t>
      </w:r>
      <w:r w:rsidRPr="006A74F8">
        <w:t>egulators</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rsidR="000D1CF3" w:rsidRPr="006A74F8" w:rsidRDefault="000C53BD" w:rsidP="00D94F1E">
      <w:pPr>
        <w:pStyle w:val="Heading2"/>
      </w:pPr>
      <w:bookmarkStart w:id="2526" w:name="_Toc64895679"/>
      <w:bookmarkStart w:id="2527" w:name="_Toc64900905"/>
      <w:bookmarkStart w:id="2528" w:name="_Toc64903152"/>
      <w:bookmarkStart w:id="2529" w:name="_Toc64904110"/>
      <w:bookmarkStart w:id="2530" w:name="_Toc64904313"/>
      <w:bookmarkStart w:id="2531" w:name="_Toc64904775"/>
      <w:bookmarkStart w:id="2532" w:name="_Toc64905289"/>
      <w:bookmarkStart w:id="2533" w:name="_Toc64964029"/>
      <w:bookmarkStart w:id="2534" w:name="_Toc64974646"/>
      <w:bookmarkStart w:id="2535" w:name="_Toc64976328"/>
      <w:bookmarkStart w:id="2536" w:name="_Toc65149708"/>
      <w:bookmarkStart w:id="2537" w:name="_Toc67390619"/>
      <w:r w:rsidRPr="006A74F8">
        <w:t xml:space="preserve"> </w:t>
      </w:r>
      <w:r w:rsidR="000D1CF3" w:rsidRPr="006A74F8">
        <w:t xml:space="preserve">Key impacts on </w:t>
      </w:r>
      <w:r w:rsidR="00BD57DF" w:rsidRPr="006A74F8">
        <w:t xml:space="preserve">government </w:t>
      </w:r>
      <w:r w:rsidR="000D1CF3" w:rsidRPr="006A74F8">
        <w:t>regulators</w:t>
      </w:r>
      <w:bookmarkEnd w:id="2526"/>
      <w:bookmarkEnd w:id="2527"/>
      <w:bookmarkEnd w:id="2528"/>
      <w:bookmarkEnd w:id="2529"/>
      <w:bookmarkEnd w:id="2530"/>
      <w:bookmarkEnd w:id="2531"/>
      <w:bookmarkEnd w:id="2532"/>
      <w:bookmarkEnd w:id="2533"/>
      <w:bookmarkEnd w:id="2534"/>
      <w:bookmarkEnd w:id="2535"/>
      <w:bookmarkEnd w:id="2536"/>
      <w:bookmarkEnd w:id="2537"/>
    </w:p>
    <w:p w:rsidR="00677255" w:rsidRPr="006A74F8" w:rsidRDefault="00677255" w:rsidP="00677255">
      <w:pPr>
        <w:pStyle w:val="Caption"/>
        <w:keepNext/>
      </w:pPr>
      <w:r w:rsidRPr="006A74F8">
        <w:t xml:space="preserve">Table </w:t>
      </w:r>
      <w:r w:rsidR="008740EF" w:rsidRPr="006A74F8">
        <w:t>A8</w:t>
      </w:r>
      <w:r w:rsidRPr="006A74F8">
        <w:t xml:space="preserve">- </w:t>
      </w:r>
      <w:r w:rsidR="000C573D" w:rsidRPr="006A74F8">
        <w:rPr>
          <w:noProof/>
        </w:rPr>
        <w:fldChar w:fldCharType="begin"/>
      </w:r>
      <w:r w:rsidR="000C573D" w:rsidRPr="006A74F8">
        <w:rPr>
          <w:noProof/>
        </w:rPr>
        <w:instrText xml:space="preserve"> SEQ Table_A9- \* ARABIC </w:instrText>
      </w:r>
      <w:r w:rsidR="000C573D" w:rsidRPr="006A74F8">
        <w:rPr>
          <w:noProof/>
        </w:rPr>
        <w:fldChar w:fldCharType="separate"/>
      </w:r>
      <w:r w:rsidR="0033017F">
        <w:rPr>
          <w:noProof/>
        </w:rPr>
        <w:t>1</w:t>
      </w:r>
      <w:r w:rsidR="000C573D" w:rsidRPr="006A74F8">
        <w:rPr>
          <w:noProof/>
        </w:rPr>
        <w:fldChar w:fldCharType="end"/>
      </w:r>
      <w:r w:rsidRPr="006A74F8">
        <w:t xml:space="preserve">: </w:t>
      </w:r>
      <w:r w:rsidR="00307457" w:rsidRPr="006A74F8">
        <w:t>Summary of k</w:t>
      </w:r>
      <w:r w:rsidRPr="006A74F8">
        <w:t>ey impacts on government regulators</w:t>
      </w:r>
    </w:p>
    <w:tbl>
      <w:tblPr>
        <w:tblStyle w:val="PlainTable2"/>
        <w:tblW w:w="8875" w:type="dxa"/>
        <w:tblLook w:val="04A0" w:firstRow="1" w:lastRow="0" w:firstColumn="1" w:lastColumn="0" w:noHBand="0" w:noVBand="1"/>
        <w:tblCaption w:val="Table A9- 1: Key impacts on government regulators"/>
        <w:tblDescription w:val="Greater support to help regulators address measurement issues and access services. Options 1 to 3 are rated +1, slight beneficial.&#10;Supporting measurement needs of regulators: Option 1 provides regulators with greater access to verifiers. Options 2 and 3 make available a more flexible ATP option to service regulators. &#10;&#10;Better regulatory collaboration on measurement issues. Options 1 to 3 are rated +1, slight beneficial. &#10;Collaborative regulatory action: Under all reform options it will be easier for NMI to share relevant regulatory information with other regulators. Under option 3 NMI would be able to help regulate measurements that regulators rely on and to take targeted action in partnership with or on behalf of regulators. &#10;Greater assurance regarding international instruments. Option 1 is rated +1, slight beneficial. Options 2 and 3 are rated +2 moderate beneficial. &#10;Greater acceptance of international instruments increases access: regulators leverage off enhanced assurance pathways under the measurement legislation for overseas measuring instruments to meet their measurement needs. &#10;&#10;Uncertainty based on flexible approach to measuring instruments and NMI role. Options 1 and 2 are rated 0, neutral. Option 3 is rated -1, slight adverse.&#10;Which controls apply and when does NMI step in:  Increased flexibility and powers for NMI to regulate the measurements that other regulators rely on may create uncertainty for regulators under Option 3.  However, these powers would be expected to be used cooperatively and following consultation with the relevant regulator.&#10;&#10;Improved confidence in chemical, biological and other complex measurements used for legal purposes. Option 1 is rated +2, moderate beneficial. Options 2 and 3 are rated +3, large beneficial.&#10;Updating the legislative framework and accuracy for chemical, biological and other complex measurements: New provisions will be introduced to support consistency and accuracy of chemical and biological measurement. Complex measurements can more confidently be used for compliance purposes by regulators where these are needed for a legal purpose.   &#10;&#10;Greater access to and confidence in innovative measuring instruments. Option 1 is rated 0, neutral. Options 2 and 3 are rated +2, moderate beneficial.  &#10;Innovative measuring instruments: Options 2 and 3 provide broad support for confidence and legal standing where new measurement technology and techniques are applied by innovative measuring instruments used by regulators.&#10;&#10;Greater support for use of independent standards. Option 0 is rated neutral. Options 2 and 3 are rated +1, slight beneficial.&#10;Traceability of independent primary standards: Options 2 and 3 provide a new legislative pathway to recognise independent primary standards which regulators can rely on.&#10;&#10;Greater support for use of overseas reference standards and CRMs. Option 1 is rated +1, slight beneficial. Options 2 and 3 are rated +2, moderate beneficial.&#10;Legal assurance for the use of overseas standards and CRMs: All options will facilitate the identification and use of overseas reference materials and standards of measurement by regulators for legal purposes.&#10;&#10;Average. Option 1 is rated +0.75, slight beneficial. Option 2 is rated +1.5, moderate beneficial. Option 3 is rated +1.38, moderate beneficial. All reform options will benefit regulators slightly.&#10;&#10;&#10;"/>
      </w:tblPr>
      <w:tblGrid>
        <w:gridCol w:w="1830"/>
        <w:gridCol w:w="671"/>
        <w:gridCol w:w="671"/>
        <w:gridCol w:w="671"/>
        <w:gridCol w:w="5032"/>
      </w:tblGrid>
      <w:tr w:rsidR="00DC6CA1" w:rsidRPr="006A74F8"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8" w:type="dxa"/>
            <w:vMerge w:val="restart"/>
            <w:tcBorders>
              <w:top w:val="single" w:sz="12" w:space="0" w:color="000000" w:themeColor="text1"/>
            </w:tcBorders>
            <w:vAlign w:val="center"/>
          </w:tcPr>
          <w:p w:rsidR="00DC6CA1" w:rsidRPr="006A74F8" w:rsidRDefault="00DC6CA1" w:rsidP="00AE7B79">
            <w:r w:rsidRPr="006A74F8">
              <w:t>Impact</w:t>
            </w:r>
          </w:p>
        </w:tc>
        <w:tc>
          <w:tcPr>
            <w:tcW w:w="624" w:type="dxa"/>
            <w:gridSpan w:val="3"/>
            <w:tcBorders>
              <w:top w:val="single" w:sz="12" w:space="0" w:color="000000" w:themeColor="text1"/>
              <w:bottom w:val="nil"/>
            </w:tcBorders>
            <w:vAlign w:val="center"/>
          </w:tcPr>
          <w:p w:rsidR="00DC6CA1" w:rsidRPr="006A74F8" w:rsidRDefault="00DC6CA1" w:rsidP="00AE7B79">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91" w:type="dxa"/>
            <w:vMerge w:val="restart"/>
            <w:tcBorders>
              <w:top w:val="single" w:sz="12" w:space="0" w:color="000000" w:themeColor="text1"/>
            </w:tcBorders>
            <w:vAlign w:val="center"/>
          </w:tcPr>
          <w:p w:rsidR="00DC6CA1" w:rsidRPr="006A74F8" w:rsidRDefault="00DC6CA1" w:rsidP="00AE7B79">
            <w:pPr>
              <w:cnfStyle w:val="100000000000" w:firstRow="1" w:lastRow="0" w:firstColumn="0" w:lastColumn="0" w:oddVBand="0" w:evenVBand="0" w:oddHBand="0" w:evenHBand="0" w:firstRowFirstColumn="0" w:firstRowLastColumn="0" w:lastRowFirstColumn="0" w:lastRowLastColumn="0"/>
            </w:pPr>
            <w:r w:rsidRPr="006A74F8">
              <w:t>Explanation</w:t>
            </w:r>
          </w:p>
        </w:tc>
      </w:tr>
      <w:tr w:rsidR="00DC6CA1" w:rsidRPr="006A74F8"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8" w:type="dxa"/>
            <w:vMerge/>
            <w:tcBorders>
              <w:bottom w:val="double" w:sz="4" w:space="0" w:color="auto"/>
            </w:tcBorders>
          </w:tcPr>
          <w:p w:rsidR="00DC6CA1" w:rsidRPr="006A74F8" w:rsidRDefault="00DC6CA1" w:rsidP="00AE7B79"/>
        </w:tc>
        <w:tc>
          <w:tcPr>
            <w:tcW w:w="624" w:type="dxa"/>
            <w:tcBorders>
              <w:top w:val="nil"/>
              <w:bottom w:val="double" w:sz="4" w:space="0" w:color="auto"/>
            </w:tcBorders>
          </w:tcPr>
          <w:p w:rsidR="00DC6CA1" w:rsidRPr="006A74F8" w:rsidRDefault="00DC6CA1"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24" w:type="dxa"/>
            <w:tcBorders>
              <w:top w:val="nil"/>
              <w:bottom w:val="double" w:sz="4" w:space="0" w:color="auto"/>
            </w:tcBorders>
          </w:tcPr>
          <w:p w:rsidR="00DC6CA1" w:rsidRPr="006A74F8" w:rsidRDefault="00DC6CA1"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24" w:type="dxa"/>
            <w:tcBorders>
              <w:top w:val="nil"/>
              <w:bottom w:val="double" w:sz="4" w:space="0" w:color="auto"/>
            </w:tcBorders>
          </w:tcPr>
          <w:p w:rsidR="00DC6CA1" w:rsidRPr="006A74F8" w:rsidRDefault="00DC6CA1" w:rsidP="00AE7B79">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91" w:type="dxa"/>
            <w:vMerge/>
            <w:tcBorders>
              <w:bottom w:val="double" w:sz="4" w:space="0" w:color="auto"/>
            </w:tcBorders>
          </w:tcPr>
          <w:p w:rsidR="00DC6CA1" w:rsidRPr="006A74F8" w:rsidRDefault="00DC6CA1" w:rsidP="00AE7B79">
            <w:pPr>
              <w:cnfStyle w:val="100000000000" w:firstRow="1" w:lastRow="0" w:firstColumn="0" w:lastColumn="0" w:oddVBand="0" w:evenVBand="0" w:oddHBand="0" w:evenHBand="0" w:firstRowFirstColumn="0" w:firstRowLastColumn="0" w:lastRowFirstColumn="0" w:lastRowLastColumn="0"/>
            </w:pPr>
          </w:p>
        </w:tc>
      </w:tr>
      <w:tr w:rsidR="00DC6CA1"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top w:val="double" w:sz="4" w:space="0" w:color="auto"/>
            </w:tcBorders>
            <w:vAlign w:val="center"/>
          </w:tcPr>
          <w:p w:rsidR="00DC6CA1" w:rsidRPr="006A74F8" w:rsidRDefault="00DC6CA1" w:rsidP="00AE7B79">
            <w:pPr>
              <w:rPr>
                <w:rFonts w:eastAsia="Calibri" w:cstheme="minorHAnsi"/>
                <w:b w:val="0"/>
                <w:sz w:val="20"/>
                <w:szCs w:val="20"/>
              </w:rPr>
            </w:pPr>
            <w:r w:rsidRPr="006A74F8">
              <w:rPr>
                <w:rFonts w:cstheme="minorHAnsi"/>
                <w:b w:val="0"/>
                <w:sz w:val="20"/>
                <w:szCs w:val="20"/>
              </w:rPr>
              <w:t>Greater support to help regulators address measurement issues and access services</w:t>
            </w:r>
          </w:p>
        </w:tc>
        <w:tc>
          <w:tcPr>
            <w:tcW w:w="624" w:type="dxa"/>
            <w:tcBorders>
              <w:top w:val="double" w:sz="4" w:space="0" w:color="auto"/>
              <w:right w:val="single" w:sz="4" w:space="0" w:color="FFFFFF" w:themeColor="background1"/>
            </w:tcBorders>
            <w:shd w:val="clear" w:color="auto" w:fill="ACD7CA"/>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shd w:val="clear" w:color="auto" w:fill="ACD7CA"/>
              </w:rPr>
              <w:t>+1</w:t>
            </w:r>
          </w:p>
        </w:tc>
        <w:tc>
          <w:tcPr>
            <w:tcW w:w="624" w:type="dxa"/>
            <w:tcBorders>
              <w:top w:val="double" w:sz="4" w:space="0" w:color="auto"/>
              <w:left w:val="single" w:sz="4" w:space="0" w:color="FFFFFF" w:themeColor="background1"/>
              <w:right w:val="single" w:sz="4" w:space="0" w:color="FFFFFF" w:themeColor="background1"/>
            </w:tcBorders>
            <w:shd w:val="clear" w:color="auto" w:fill="ACD7CA"/>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624" w:type="dxa"/>
            <w:tcBorders>
              <w:top w:val="double" w:sz="4" w:space="0" w:color="auto"/>
              <w:left w:val="single" w:sz="4" w:space="0" w:color="FFFFFF" w:themeColor="background1"/>
            </w:tcBorders>
            <w:shd w:val="clear" w:color="auto" w:fill="ACD7CA"/>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5191" w:type="dxa"/>
            <w:tcBorders>
              <w:top w:val="double" w:sz="4" w:space="0" w:color="auto"/>
            </w:tcBorders>
            <w:vAlign w:val="center"/>
          </w:tcPr>
          <w:p w:rsidR="00DC6CA1" w:rsidRPr="006A74F8" w:rsidRDefault="00DC6CA1" w:rsidP="00AE7B79">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6A74F8">
              <w:rPr>
                <w:rFonts w:cstheme="minorHAnsi"/>
                <w:b/>
                <w:sz w:val="20"/>
                <w:szCs w:val="20"/>
              </w:rPr>
              <w:t>Supporting measurement needs of regulators: Option 1</w:t>
            </w:r>
            <w:r w:rsidRPr="006A74F8">
              <w:rPr>
                <w:rFonts w:cstheme="minorHAnsi"/>
                <w:sz w:val="20"/>
                <w:szCs w:val="20"/>
              </w:rPr>
              <w:t xml:space="preserve"> provides regulators with greater access to verifiers. </w:t>
            </w:r>
            <w:r w:rsidRPr="006A74F8">
              <w:rPr>
                <w:rFonts w:cstheme="minorHAnsi"/>
                <w:b/>
                <w:sz w:val="20"/>
                <w:szCs w:val="20"/>
              </w:rPr>
              <w:t>Options 2 and 3</w:t>
            </w:r>
            <w:r w:rsidRPr="006A74F8">
              <w:rPr>
                <w:rFonts w:cstheme="minorHAnsi"/>
                <w:sz w:val="20"/>
                <w:szCs w:val="20"/>
              </w:rPr>
              <w:t xml:space="preserve"> make available a more flexible ATP option to service regulators.</w:t>
            </w:r>
          </w:p>
        </w:tc>
      </w:tr>
      <w:tr w:rsidR="00DC6CA1" w:rsidRPr="006A74F8" w:rsidTr="00AE7B79">
        <w:tc>
          <w:tcPr>
            <w:cnfStyle w:val="001000000000" w:firstRow="0" w:lastRow="0" w:firstColumn="1" w:lastColumn="0" w:oddVBand="0" w:evenVBand="0" w:oddHBand="0" w:evenHBand="0" w:firstRowFirstColumn="0" w:firstRowLastColumn="0" w:lastRowFirstColumn="0" w:lastRowLastColumn="0"/>
            <w:tcW w:w="1848" w:type="dxa"/>
            <w:vAlign w:val="center"/>
          </w:tcPr>
          <w:p w:rsidR="00DC6CA1" w:rsidRPr="006A74F8" w:rsidRDefault="00DC6CA1" w:rsidP="00AE7B79">
            <w:pPr>
              <w:rPr>
                <w:rFonts w:eastAsia="Calibri" w:cstheme="minorHAnsi"/>
                <w:b w:val="0"/>
                <w:sz w:val="20"/>
                <w:szCs w:val="20"/>
              </w:rPr>
            </w:pPr>
            <w:r w:rsidRPr="006A74F8">
              <w:rPr>
                <w:rFonts w:cstheme="minorHAnsi"/>
                <w:b w:val="0"/>
                <w:sz w:val="20"/>
                <w:szCs w:val="20"/>
              </w:rPr>
              <w:t>Better regulatory collaboration on measurement issues</w:t>
            </w:r>
          </w:p>
        </w:tc>
        <w:tc>
          <w:tcPr>
            <w:tcW w:w="624" w:type="dxa"/>
            <w:tcBorders>
              <w:right w:val="single" w:sz="4" w:space="0" w:color="FFFFFF" w:themeColor="background1"/>
            </w:tcBorders>
            <w:shd w:val="clear" w:color="auto" w:fill="ACD7CA"/>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624" w:type="dxa"/>
            <w:tcBorders>
              <w:left w:val="single" w:sz="4" w:space="0" w:color="FFFFFF" w:themeColor="background1"/>
              <w:right w:val="single" w:sz="4" w:space="0" w:color="FFFFFF" w:themeColor="background1"/>
            </w:tcBorders>
            <w:shd w:val="clear" w:color="auto" w:fill="ACD7CA"/>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624" w:type="dxa"/>
            <w:tcBorders>
              <w:left w:val="single" w:sz="4" w:space="0" w:color="FFFFFF" w:themeColor="background1"/>
            </w:tcBorders>
            <w:shd w:val="clear" w:color="auto" w:fill="ACD7CA"/>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5191" w:type="dxa"/>
            <w:vAlign w:val="center"/>
          </w:tcPr>
          <w:p w:rsidR="00DC6CA1" w:rsidRPr="006A74F8" w:rsidRDefault="00DC6CA1" w:rsidP="006A0A49">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6A74F8">
              <w:rPr>
                <w:rFonts w:cstheme="minorHAnsi"/>
                <w:b/>
                <w:sz w:val="20"/>
                <w:szCs w:val="20"/>
              </w:rPr>
              <w:t>Collaborative regulatory action:</w:t>
            </w:r>
            <w:r w:rsidRPr="006A74F8">
              <w:rPr>
                <w:rFonts w:cstheme="minorHAnsi"/>
                <w:sz w:val="20"/>
                <w:szCs w:val="20"/>
              </w:rPr>
              <w:t xml:space="preserve"> Under </w:t>
            </w:r>
            <w:r w:rsidRPr="006A74F8">
              <w:rPr>
                <w:rFonts w:cstheme="minorHAnsi"/>
                <w:b/>
                <w:sz w:val="20"/>
                <w:szCs w:val="20"/>
              </w:rPr>
              <w:t>all reform options</w:t>
            </w:r>
            <w:r w:rsidRPr="006A74F8">
              <w:rPr>
                <w:rFonts w:cstheme="minorHAnsi"/>
                <w:sz w:val="20"/>
                <w:szCs w:val="20"/>
              </w:rPr>
              <w:t xml:space="preserve"> it will be easier for NMI to share relevant regulatory information with other regulators. Under </w:t>
            </w:r>
            <w:r w:rsidRPr="006A74F8">
              <w:rPr>
                <w:rFonts w:cstheme="minorHAnsi"/>
                <w:b/>
                <w:sz w:val="20"/>
                <w:szCs w:val="20"/>
              </w:rPr>
              <w:t>option 3</w:t>
            </w:r>
            <w:r w:rsidRPr="006A74F8">
              <w:rPr>
                <w:rFonts w:cstheme="minorHAnsi"/>
                <w:sz w:val="20"/>
                <w:szCs w:val="20"/>
              </w:rPr>
              <w:t xml:space="preserve"> NMI would be able to help regulate measurements that regulators rely on</w:t>
            </w:r>
            <w:r w:rsidR="006A0A49" w:rsidRPr="006A74F8">
              <w:rPr>
                <w:rFonts w:cstheme="minorHAnsi"/>
                <w:sz w:val="20"/>
                <w:szCs w:val="20"/>
              </w:rPr>
              <w:t>,</w:t>
            </w:r>
            <w:r w:rsidRPr="006A74F8">
              <w:rPr>
                <w:rFonts w:cstheme="minorHAnsi"/>
                <w:sz w:val="20"/>
                <w:szCs w:val="20"/>
              </w:rPr>
              <w:t xml:space="preserve"> and take targeted action in partnership with or on behalf of regulators.</w:t>
            </w:r>
          </w:p>
        </w:tc>
      </w:tr>
      <w:tr w:rsidR="00DC6CA1"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vAlign w:val="center"/>
          </w:tcPr>
          <w:p w:rsidR="00DC6CA1" w:rsidRPr="006A74F8" w:rsidRDefault="00DC6CA1" w:rsidP="00AE7B79">
            <w:pPr>
              <w:rPr>
                <w:rFonts w:eastAsia="Calibri" w:cstheme="minorHAnsi"/>
                <w:b w:val="0"/>
                <w:sz w:val="20"/>
                <w:szCs w:val="20"/>
              </w:rPr>
            </w:pPr>
            <w:r w:rsidRPr="006A74F8">
              <w:rPr>
                <w:rFonts w:cstheme="minorHAnsi"/>
                <w:b w:val="0"/>
                <w:color w:val="000000"/>
                <w:sz w:val="20"/>
                <w:szCs w:val="20"/>
                <w:lang w:val="en-US"/>
              </w:rPr>
              <w:t>Greater assurance regarding international instruments</w:t>
            </w:r>
          </w:p>
        </w:tc>
        <w:tc>
          <w:tcPr>
            <w:tcW w:w="624" w:type="dxa"/>
            <w:tcBorders>
              <w:right w:val="single" w:sz="4" w:space="0" w:color="FFFFFF" w:themeColor="background1"/>
            </w:tcBorders>
            <w:shd w:val="clear" w:color="auto" w:fill="ACD7CA"/>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624" w:type="dxa"/>
            <w:tcBorders>
              <w:left w:val="single" w:sz="4" w:space="0" w:color="FFFFFF" w:themeColor="background1"/>
              <w:right w:val="single" w:sz="4" w:space="0" w:color="FFFFFF" w:themeColor="background1"/>
            </w:tcBorders>
            <w:shd w:val="clear" w:color="auto" w:fill="398E98"/>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+2</w:t>
            </w:r>
          </w:p>
        </w:tc>
        <w:tc>
          <w:tcPr>
            <w:tcW w:w="624" w:type="dxa"/>
            <w:tcBorders>
              <w:left w:val="single" w:sz="4" w:space="0" w:color="FFFFFF" w:themeColor="background1"/>
            </w:tcBorders>
            <w:shd w:val="clear" w:color="auto" w:fill="398E98"/>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+2</w:t>
            </w:r>
          </w:p>
        </w:tc>
        <w:tc>
          <w:tcPr>
            <w:tcW w:w="5191" w:type="dxa"/>
            <w:vAlign w:val="center"/>
          </w:tcPr>
          <w:p w:rsidR="00DC6CA1" w:rsidRPr="006A74F8" w:rsidRDefault="00DC6CA1" w:rsidP="00AE7B79">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6A74F8">
              <w:rPr>
                <w:rFonts w:cstheme="minorHAnsi"/>
                <w:b/>
                <w:sz w:val="20"/>
                <w:szCs w:val="20"/>
              </w:rPr>
              <w:t>Greater acceptance of international instruments increases access:</w:t>
            </w:r>
            <w:r w:rsidR="00FE11D6" w:rsidRPr="006A74F8">
              <w:rPr>
                <w:rFonts w:cstheme="minorHAnsi"/>
                <w:sz w:val="20"/>
                <w:szCs w:val="20"/>
              </w:rPr>
              <w:t xml:space="preserve"> R</w:t>
            </w:r>
            <w:r w:rsidRPr="006A74F8">
              <w:rPr>
                <w:rFonts w:cstheme="minorHAnsi"/>
                <w:sz w:val="20"/>
                <w:szCs w:val="20"/>
              </w:rPr>
              <w:t>egulators leverage off enhanced assurance pathways under the measurement legislation for overseas measuring instruments to meet their measurement needs.</w:t>
            </w:r>
          </w:p>
        </w:tc>
      </w:tr>
      <w:tr w:rsidR="00DC6CA1" w:rsidRPr="006A74F8" w:rsidTr="00AE7B79">
        <w:tc>
          <w:tcPr>
            <w:cnfStyle w:val="001000000000" w:firstRow="0" w:lastRow="0" w:firstColumn="1" w:lastColumn="0" w:oddVBand="0" w:evenVBand="0" w:oddHBand="0" w:evenHBand="0" w:firstRowFirstColumn="0" w:firstRowLastColumn="0" w:lastRowFirstColumn="0" w:lastRowLastColumn="0"/>
            <w:tcW w:w="1848" w:type="dxa"/>
            <w:vAlign w:val="center"/>
          </w:tcPr>
          <w:p w:rsidR="00DC6CA1" w:rsidRPr="006A74F8" w:rsidRDefault="00DC6CA1" w:rsidP="00AE7B79">
            <w:pPr>
              <w:rPr>
                <w:rFonts w:cstheme="minorHAnsi"/>
                <w:b w:val="0"/>
                <w:color w:val="000000"/>
                <w:sz w:val="20"/>
                <w:szCs w:val="20"/>
                <w:lang w:val="en-US"/>
              </w:rPr>
            </w:pPr>
            <w:r w:rsidRPr="006A74F8">
              <w:rPr>
                <w:rFonts w:cstheme="minorHAnsi"/>
                <w:b w:val="0"/>
                <w:sz w:val="20"/>
                <w:szCs w:val="20"/>
              </w:rPr>
              <w:t>Uncertainty based on flexible approach to measuring instruments and NMI role</w:t>
            </w:r>
          </w:p>
        </w:tc>
        <w:tc>
          <w:tcPr>
            <w:tcW w:w="624" w:type="dxa"/>
            <w:tcBorders>
              <w:right w:val="single" w:sz="4" w:space="0" w:color="FFFFFF" w:themeColor="background1"/>
            </w:tcBorders>
            <w:shd w:val="clear" w:color="auto" w:fill="FFFFC5"/>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0</w:t>
            </w:r>
          </w:p>
        </w:tc>
        <w:tc>
          <w:tcPr>
            <w:tcW w:w="624" w:type="dxa"/>
            <w:tcBorders>
              <w:left w:val="single" w:sz="4" w:space="0" w:color="FFFFFF" w:themeColor="background1"/>
              <w:right w:val="single" w:sz="4" w:space="0" w:color="FFFFFF" w:themeColor="background1"/>
            </w:tcBorders>
            <w:shd w:val="clear" w:color="auto" w:fill="FFFFC5"/>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0</w:t>
            </w:r>
          </w:p>
        </w:tc>
        <w:tc>
          <w:tcPr>
            <w:tcW w:w="624" w:type="dxa"/>
            <w:tcBorders>
              <w:left w:val="single" w:sz="4" w:space="0" w:color="FFFFFF" w:themeColor="background1"/>
            </w:tcBorders>
            <w:shd w:val="clear" w:color="auto" w:fill="FFBC79"/>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5191" w:type="dxa"/>
            <w:vAlign w:val="center"/>
          </w:tcPr>
          <w:p w:rsidR="00DC6CA1" w:rsidRPr="006A74F8" w:rsidRDefault="00DC6CA1" w:rsidP="00AE7B7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A74F8">
              <w:rPr>
                <w:rFonts w:cstheme="minorHAnsi"/>
                <w:b/>
                <w:sz w:val="20"/>
                <w:szCs w:val="20"/>
              </w:rPr>
              <w:t>Which controls apply and when does NMI step in</w:t>
            </w:r>
            <w:r w:rsidRPr="006A74F8">
              <w:rPr>
                <w:rFonts w:cstheme="minorHAnsi"/>
                <w:sz w:val="20"/>
                <w:szCs w:val="20"/>
              </w:rPr>
              <w:t xml:space="preserve">: Increased flexibility and powers for NMI to regulate the measurements that other regulators rely on may create uncertainty for regulators under </w:t>
            </w:r>
            <w:r w:rsidRPr="006A74F8">
              <w:rPr>
                <w:rFonts w:cstheme="minorHAnsi"/>
                <w:b/>
                <w:sz w:val="20"/>
                <w:szCs w:val="20"/>
              </w:rPr>
              <w:t>Option 3</w:t>
            </w:r>
            <w:r w:rsidR="00FE11D6" w:rsidRPr="006A74F8">
              <w:rPr>
                <w:rFonts w:cstheme="minorHAnsi"/>
                <w:sz w:val="20"/>
                <w:szCs w:val="20"/>
              </w:rPr>
              <w:t xml:space="preserve">. </w:t>
            </w:r>
            <w:r w:rsidRPr="006A74F8">
              <w:rPr>
                <w:rFonts w:cstheme="minorHAnsi"/>
                <w:sz w:val="20"/>
                <w:szCs w:val="20"/>
              </w:rPr>
              <w:t>However, these powers would be expected to be used cooperatively and following consultation with the relevant regulator.</w:t>
            </w:r>
          </w:p>
        </w:tc>
      </w:tr>
      <w:tr w:rsidR="00DC6CA1"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vAlign w:val="center"/>
          </w:tcPr>
          <w:p w:rsidR="00DC6CA1" w:rsidRPr="006A74F8" w:rsidRDefault="00DC6CA1" w:rsidP="00AE7B79">
            <w:pPr>
              <w:rPr>
                <w:rFonts w:cstheme="minorHAnsi"/>
                <w:b w:val="0"/>
                <w:sz w:val="20"/>
                <w:szCs w:val="20"/>
              </w:rPr>
            </w:pPr>
            <w:r w:rsidRPr="006A74F8">
              <w:rPr>
                <w:rFonts w:cstheme="minorHAnsi"/>
                <w:b w:val="0"/>
                <w:sz w:val="20"/>
                <w:szCs w:val="20"/>
              </w:rPr>
              <w:t>Improved confidence in chemical, biological and other complex measurements used for legal purposes</w:t>
            </w:r>
          </w:p>
        </w:tc>
        <w:tc>
          <w:tcPr>
            <w:tcW w:w="624" w:type="dxa"/>
            <w:tcBorders>
              <w:right w:val="single" w:sz="4" w:space="0" w:color="FFFFFF" w:themeColor="background1"/>
            </w:tcBorders>
            <w:shd w:val="clear" w:color="auto" w:fill="398E98"/>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+2</w:t>
            </w:r>
          </w:p>
        </w:tc>
        <w:tc>
          <w:tcPr>
            <w:tcW w:w="624" w:type="dxa"/>
            <w:tcBorders>
              <w:left w:val="single" w:sz="4" w:space="0" w:color="FFFFFF" w:themeColor="background1"/>
              <w:right w:val="single" w:sz="4" w:space="0" w:color="FFFFFF" w:themeColor="background1"/>
            </w:tcBorders>
            <w:shd w:val="clear" w:color="auto" w:fill="0F4D4B"/>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+3</w:t>
            </w:r>
          </w:p>
        </w:tc>
        <w:tc>
          <w:tcPr>
            <w:tcW w:w="624" w:type="dxa"/>
            <w:tcBorders>
              <w:left w:val="single" w:sz="4" w:space="0" w:color="FFFFFF" w:themeColor="background1"/>
            </w:tcBorders>
            <w:shd w:val="clear" w:color="auto" w:fill="0F4D4B"/>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+3</w:t>
            </w:r>
          </w:p>
        </w:tc>
        <w:tc>
          <w:tcPr>
            <w:tcW w:w="5191" w:type="dxa"/>
            <w:vAlign w:val="center"/>
          </w:tcPr>
          <w:p w:rsidR="00DC6CA1" w:rsidRPr="006A74F8" w:rsidRDefault="00DC6CA1" w:rsidP="00AE7B7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A74F8">
              <w:rPr>
                <w:rFonts w:cstheme="minorHAnsi"/>
                <w:b/>
                <w:sz w:val="20"/>
                <w:szCs w:val="20"/>
              </w:rPr>
              <w:t xml:space="preserve">Updating the legislative framework and accuracy for chemical, biological and other complex measurements: </w:t>
            </w:r>
            <w:r w:rsidRPr="006A74F8">
              <w:rPr>
                <w:rFonts w:cstheme="minorHAnsi"/>
                <w:sz w:val="20"/>
                <w:szCs w:val="20"/>
              </w:rPr>
              <w:t>New provisions will be introduced to support consistency and accuracy of chemical and biological measurement. Complex measurements can more confidently be used for compliance purposes by regulators where these are needed for a legal purpose.</w:t>
            </w:r>
          </w:p>
        </w:tc>
      </w:tr>
      <w:tr w:rsidR="00DC6CA1" w:rsidRPr="006A74F8" w:rsidTr="00AE7B79">
        <w:tc>
          <w:tcPr>
            <w:cnfStyle w:val="001000000000" w:firstRow="0" w:lastRow="0" w:firstColumn="1" w:lastColumn="0" w:oddVBand="0" w:evenVBand="0" w:oddHBand="0" w:evenHBand="0" w:firstRowFirstColumn="0" w:firstRowLastColumn="0" w:lastRowFirstColumn="0" w:lastRowLastColumn="0"/>
            <w:tcW w:w="1848" w:type="dxa"/>
            <w:vAlign w:val="center"/>
          </w:tcPr>
          <w:p w:rsidR="00DC6CA1" w:rsidRPr="006A74F8" w:rsidRDefault="00DC6CA1" w:rsidP="00AE7B79">
            <w:pPr>
              <w:rPr>
                <w:rFonts w:cstheme="minorHAnsi"/>
                <w:b w:val="0"/>
                <w:sz w:val="20"/>
                <w:szCs w:val="20"/>
              </w:rPr>
            </w:pPr>
            <w:r w:rsidRPr="006A74F8">
              <w:rPr>
                <w:rFonts w:cstheme="minorHAnsi"/>
                <w:b w:val="0"/>
                <w:sz w:val="20"/>
                <w:szCs w:val="20"/>
              </w:rPr>
              <w:t>Greater access to and confidence in innovative measuring instruments</w:t>
            </w:r>
          </w:p>
        </w:tc>
        <w:tc>
          <w:tcPr>
            <w:tcW w:w="624" w:type="dxa"/>
            <w:tcBorders>
              <w:right w:val="single" w:sz="4" w:space="0" w:color="FFFFFF" w:themeColor="background1"/>
            </w:tcBorders>
            <w:shd w:val="clear" w:color="auto" w:fill="FFFFC5"/>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0</w:t>
            </w:r>
          </w:p>
        </w:tc>
        <w:tc>
          <w:tcPr>
            <w:tcW w:w="624" w:type="dxa"/>
            <w:tcBorders>
              <w:left w:val="single" w:sz="4" w:space="0" w:color="FFFFFF" w:themeColor="background1"/>
              <w:right w:val="single" w:sz="4" w:space="0" w:color="FFFFFF" w:themeColor="background1"/>
            </w:tcBorders>
            <w:shd w:val="clear" w:color="auto" w:fill="398E98"/>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+2</w:t>
            </w:r>
          </w:p>
        </w:tc>
        <w:tc>
          <w:tcPr>
            <w:tcW w:w="624" w:type="dxa"/>
            <w:tcBorders>
              <w:left w:val="single" w:sz="4" w:space="0" w:color="FFFFFF" w:themeColor="background1"/>
            </w:tcBorders>
            <w:shd w:val="clear" w:color="auto" w:fill="398E98"/>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+2</w:t>
            </w:r>
          </w:p>
        </w:tc>
        <w:tc>
          <w:tcPr>
            <w:tcW w:w="5191" w:type="dxa"/>
            <w:vAlign w:val="center"/>
          </w:tcPr>
          <w:p w:rsidR="00DC6CA1" w:rsidRPr="006A74F8" w:rsidRDefault="00DC6CA1" w:rsidP="00AE7B7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A74F8">
              <w:rPr>
                <w:rFonts w:cstheme="minorHAnsi"/>
                <w:b/>
                <w:sz w:val="20"/>
                <w:szCs w:val="20"/>
              </w:rPr>
              <w:t>Innovative measuring instruments</w:t>
            </w:r>
            <w:r w:rsidRPr="006A74F8">
              <w:rPr>
                <w:rFonts w:cstheme="minorHAnsi"/>
                <w:sz w:val="20"/>
                <w:szCs w:val="20"/>
              </w:rPr>
              <w:t xml:space="preserve">: </w:t>
            </w:r>
            <w:r w:rsidRPr="006A74F8">
              <w:rPr>
                <w:rFonts w:cstheme="minorHAnsi"/>
                <w:b/>
                <w:sz w:val="20"/>
                <w:szCs w:val="20"/>
              </w:rPr>
              <w:t>Options 2 and 3</w:t>
            </w:r>
            <w:r w:rsidRPr="006A74F8">
              <w:rPr>
                <w:rFonts w:cstheme="minorHAnsi"/>
                <w:sz w:val="20"/>
                <w:szCs w:val="20"/>
              </w:rPr>
              <w:t xml:space="preserve"> provide broad support for confidence and legal standing where new measurement technology and techniques are applied by innovative measuring instruments used by regulators.</w:t>
            </w:r>
          </w:p>
        </w:tc>
      </w:tr>
      <w:tr w:rsidR="00DC6CA1"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vAlign w:val="center"/>
          </w:tcPr>
          <w:p w:rsidR="00DC6CA1" w:rsidRPr="006A74F8" w:rsidRDefault="00DC6CA1" w:rsidP="00AE7B79">
            <w:pPr>
              <w:rPr>
                <w:rFonts w:eastAsia="Calibri" w:cstheme="minorHAnsi"/>
                <w:b w:val="0"/>
                <w:sz w:val="20"/>
                <w:szCs w:val="20"/>
              </w:rPr>
            </w:pPr>
            <w:r w:rsidRPr="006A74F8">
              <w:rPr>
                <w:rFonts w:cstheme="minorHAnsi"/>
                <w:b w:val="0"/>
                <w:sz w:val="20"/>
                <w:szCs w:val="20"/>
              </w:rPr>
              <w:t xml:space="preserve">Greater support for use of </w:t>
            </w:r>
            <w:r w:rsidR="00100CA1" w:rsidRPr="006A74F8">
              <w:rPr>
                <w:rFonts w:cstheme="minorHAnsi"/>
                <w:b w:val="0"/>
                <w:sz w:val="20"/>
                <w:szCs w:val="20"/>
              </w:rPr>
              <w:t xml:space="preserve">primary </w:t>
            </w:r>
            <w:r w:rsidR="00C5066B" w:rsidRPr="006A74F8">
              <w:rPr>
                <w:rFonts w:cstheme="minorHAnsi"/>
                <w:b w:val="0"/>
                <w:sz w:val="20"/>
                <w:szCs w:val="20"/>
              </w:rPr>
              <w:t xml:space="preserve">measurement </w:t>
            </w:r>
            <w:r w:rsidRPr="006A74F8">
              <w:rPr>
                <w:rFonts w:cstheme="minorHAnsi"/>
                <w:b w:val="0"/>
                <w:sz w:val="20"/>
                <w:szCs w:val="20"/>
              </w:rPr>
              <w:t>standards</w:t>
            </w:r>
          </w:p>
        </w:tc>
        <w:tc>
          <w:tcPr>
            <w:tcW w:w="624" w:type="dxa"/>
            <w:tcBorders>
              <w:right w:val="single" w:sz="4" w:space="0" w:color="FFFFFF" w:themeColor="background1"/>
            </w:tcBorders>
            <w:shd w:val="clear" w:color="auto" w:fill="FFFFC5"/>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0</w:t>
            </w:r>
          </w:p>
        </w:tc>
        <w:tc>
          <w:tcPr>
            <w:tcW w:w="624" w:type="dxa"/>
            <w:tcBorders>
              <w:left w:val="single" w:sz="4" w:space="0" w:color="FFFFFF" w:themeColor="background1"/>
              <w:right w:val="single" w:sz="4" w:space="0" w:color="FFFFFF" w:themeColor="background1"/>
            </w:tcBorders>
            <w:shd w:val="clear" w:color="auto" w:fill="ACD7CA"/>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624" w:type="dxa"/>
            <w:tcBorders>
              <w:left w:val="single" w:sz="4" w:space="0" w:color="FFFFFF" w:themeColor="background1"/>
            </w:tcBorders>
            <w:shd w:val="clear" w:color="auto" w:fill="ACD7CA"/>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5191" w:type="dxa"/>
            <w:vAlign w:val="center"/>
          </w:tcPr>
          <w:p w:rsidR="00DC6CA1" w:rsidRPr="006A74F8" w:rsidRDefault="00DC6CA1" w:rsidP="00AE7B79">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6A74F8">
              <w:rPr>
                <w:rFonts w:cstheme="minorHAnsi"/>
                <w:b/>
                <w:sz w:val="20"/>
                <w:szCs w:val="20"/>
              </w:rPr>
              <w:t xml:space="preserve">Traceability of primary </w:t>
            </w:r>
            <w:r w:rsidR="00C5066B" w:rsidRPr="006A74F8">
              <w:rPr>
                <w:rFonts w:cstheme="minorHAnsi"/>
                <w:b/>
                <w:sz w:val="20"/>
                <w:szCs w:val="20"/>
              </w:rPr>
              <w:t xml:space="preserve">measurement </w:t>
            </w:r>
            <w:r w:rsidRPr="006A74F8">
              <w:rPr>
                <w:rFonts w:cstheme="minorHAnsi"/>
                <w:b/>
                <w:sz w:val="20"/>
                <w:szCs w:val="20"/>
              </w:rPr>
              <w:t>standards:</w:t>
            </w:r>
            <w:r w:rsidRPr="006A74F8">
              <w:rPr>
                <w:rFonts w:cstheme="minorHAnsi"/>
                <w:sz w:val="20"/>
                <w:szCs w:val="20"/>
              </w:rPr>
              <w:t xml:space="preserve"> </w:t>
            </w:r>
            <w:r w:rsidRPr="006A74F8">
              <w:rPr>
                <w:rFonts w:cstheme="minorHAnsi"/>
                <w:b/>
                <w:sz w:val="20"/>
                <w:szCs w:val="20"/>
              </w:rPr>
              <w:t>Options 2 and 3</w:t>
            </w:r>
            <w:r w:rsidRPr="006A74F8">
              <w:rPr>
                <w:rFonts w:cstheme="minorHAnsi"/>
                <w:sz w:val="20"/>
                <w:szCs w:val="20"/>
              </w:rPr>
              <w:t xml:space="preserve"> provide a new legislative pathway to recognise primary </w:t>
            </w:r>
            <w:r w:rsidR="00704CDD" w:rsidRPr="006A74F8">
              <w:rPr>
                <w:rFonts w:cstheme="minorHAnsi"/>
                <w:sz w:val="20"/>
                <w:szCs w:val="20"/>
              </w:rPr>
              <w:t xml:space="preserve">measurement </w:t>
            </w:r>
            <w:r w:rsidRPr="006A74F8">
              <w:rPr>
                <w:rFonts w:cstheme="minorHAnsi"/>
                <w:sz w:val="20"/>
                <w:szCs w:val="20"/>
              </w:rPr>
              <w:t>standards which regulators can rely on.</w:t>
            </w:r>
          </w:p>
        </w:tc>
      </w:tr>
      <w:tr w:rsidR="00DC6CA1" w:rsidRPr="006A74F8" w:rsidTr="00AE7B79">
        <w:tc>
          <w:tcPr>
            <w:cnfStyle w:val="001000000000" w:firstRow="0" w:lastRow="0" w:firstColumn="1" w:lastColumn="0" w:oddVBand="0" w:evenVBand="0" w:oddHBand="0" w:evenHBand="0" w:firstRowFirstColumn="0" w:firstRowLastColumn="0" w:lastRowFirstColumn="0" w:lastRowLastColumn="0"/>
            <w:tcW w:w="1848" w:type="dxa"/>
            <w:vAlign w:val="center"/>
          </w:tcPr>
          <w:p w:rsidR="00DC6CA1" w:rsidRPr="006A74F8" w:rsidRDefault="00DC6CA1" w:rsidP="00AE7B79">
            <w:pPr>
              <w:rPr>
                <w:rFonts w:eastAsia="Calibri" w:cstheme="minorHAnsi"/>
                <w:b w:val="0"/>
                <w:sz w:val="20"/>
                <w:szCs w:val="20"/>
              </w:rPr>
            </w:pPr>
            <w:r w:rsidRPr="006A74F8">
              <w:rPr>
                <w:rFonts w:cstheme="minorHAnsi"/>
                <w:b w:val="0"/>
                <w:sz w:val="20"/>
                <w:szCs w:val="20"/>
              </w:rPr>
              <w:t xml:space="preserve">Greater support for use of overseas reference </w:t>
            </w:r>
            <w:r w:rsidRPr="006A74F8">
              <w:rPr>
                <w:rFonts w:cstheme="minorHAnsi"/>
                <w:b w:val="0"/>
                <w:sz w:val="20"/>
                <w:szCs w:val="20"/>
              </w:rPr>
              <w:lastRenderedPageBreak/>
              <w:t>standards and CRMs</w:t>
            </w:r>
          </w:p>
        </w:tc>
        <w:tc>
          <w:tcPr>
            <w:tcW w:w="624" w:type="dxa"/>
            <w:tcBorders>
              <w:right w:val="single" w:sz="4" w:space="0" w:color="FFFFFF" w:themeColor="background1"/>
            </w:tcBorders>
            <w:shd w:val="clear" w:color="auto" w:fill="ACD7CA"/>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lastRenderedPageBreak/>
              <w:t>+1</w:t>
            </w:r>
          </w:p>
        </w:tc>
        <w:tc>
          <w:tcPr>
            <w:tcW w:w="624" w:type="dxa"/>
            <w:tcBorders>
              <w:left w:val="single" w:sz="4" w:space="0" w:color="FFFFFF" w:themeColor="background1"/>
              <w:right w:val="single" w:sz="4" w:space="0" w:color="FFFFFF" w:themeColor="background1"/>
            </w:tcBorders>
            <w:shd w:val="clear" w:color="auto" w:fill="398E98"/>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+2</w:t>
            </w:r>
          </w:p>
        </w:tc>
        <w:tc>
          <w:tcPr>
            <w:tcW w:w="624" w:type="dxa"/>
            <w:tcBorders>
              <w:left w:val="single" w:sz="4" w:space="0" w:color="FFFFFF" w:themeColor="background1"/>
            </w:tcBorders>
            <w:shd w:val="clear" w:color="auto" w:fill="398E98"/>
            <w:vAlign w:val="center"/>
          </w:tcPr>
          <w:p w:rsidR="00DC6CA1" w:rsidRPr="006A74F8"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+2</w:t>
            </w:r>
          </w:p>
        </w:tc>
        <w:tc>
          <w:tcPr>
            <w:tcW w:w="5191" w:type="dxa"/>
            <w:vAlign w:val="center"/>
          </w:tcPr>
          <w:p w:rsidR="00DC6CA1" w:rsidRPr="006A74F8" w:rsidRDefault="00DC6CA1" w:rsidP="00AE7B79">
            <w:pP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6A74F8">
              <w:rPr>
                <w:rFonts w:cstheme="minorHAnsi"/>
                <w:b/>
                <w:sz w:val="20"/>
                <w:szCs w:val="20"/>
              </w:rPr>
              <w:t xml:space="preserve">Legal assurance for the use of overseas </w:t>
            </w:r>
            <w:r w:rsidR="00C5066B" w:rsidRPr="006A74F8">
              <w:rPr>
                <w:rFonts w:cstheme="minorHAnsi"/>
                <w:b/>
                <w:sz w:val="20"/>
                <w:szCs w:val="20"/>
              </w:rPr>
              <w:t xml:space="preserve">measurement </w:t>
            </w:r>
            <w:r w:rsidRPr="006A74F8">
              <w:rPr>
                <w:rFonts w:cstheme="minorHAnsi"/>
                <w:b/>
                <w:sz w:val="20"/>
                <w:szCs w:val="20"/>
              </w:rPr>
              <w:t>standards and CRMs:</w:t>
            </w:r>
            <w:r w:rsidRPr="006A74F8">
              <w:rPr>
                <w:rFonts w:cstheme="minorHAnsi"/>
                <w:sz w:val="20"/>
                <w:szCs w:val="20"/>
              </w:rPr>
              <w:t xml:space="preserve"> All options will facilitate the </w:t>
            </w:r>
            <w:r w:rsidRPr="006A74F8">
              <w:rPr>
                <w:rFonts w:cstheme="minorHAnsi"/>
                <w:sz w:val="20"/>
                <w:szCs w:val="20"/>
              </w:rPr>
              <w:lastRenderedPageBreak/>
              <w:t xml:space="preserve">identification and use of overseas reference materials and measurement </w:t>
            </w:r>
            <w:r w:rsidR="00704CDD" w:rsidRPr="006A74F8">
              <w:rPr>
                <w:rFonts w:cstheme="minorHAnsi"/>
                <w:sz w:val="20"/>
                <w:szCs w:val="20"/>
              </w:rPr>
              <w:t>standards</w:t>
            </w:r>
            <w:r w:rsidRPr="006A74F8">
              <w:rPr>
                <w:rFonts w:cstheme="minorHAnsi"/>
                <w:sz w:val="20"/>
                <w:szCs w:val="20"/>
              </w:rPr>
              <w:t xml:space="preserve"> by regulators for legal purposes.</w:t>
            </w:r>
          </w:p>
        </w:tc>
      </w:tr>
      <w:tr w:rsidR="00DC6CA1" w:rsidRPr="006A74F8"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bottom w:val="single" w:sz="12" w:space="0" w:color="000000" w:themeColor="text1"/>
            </w:tcBorders>
            <w:vAlign w:val="center"/>
          </w:tcPr>
          <w:p w:rsidR="00DC6CA1" w:rsidRPr="006A74F8" w:rsidRDefault="00DC6CA1" w:rsidP="00AE7B79">
            <w:pPr>
              <w:rPr>
                <w:rFonts w:eastAsia="Calibri" w:cstheme="minorHAnsi"/>
                <w:sz w:val="20"/>
                <w:szCs w:val="20"/>
              </w:rPr>
            </w:pPr>
            <w:r w:rsidRPr="006A74F8">
              <w:rPr>
                <w:rFonts w:eastAsia="Calibri" w:cstheme="minorHAnsi"/>
                <w:sz w:val="20"/>
                <w:szCs w:val="20"/>
              </w:rPr>
              <w:lastRenderedPageBreak/>
              <w:t xml:space="preserve">Average </w:t>
            </w:r>
          </w:p>
        </w:tc>
        <w:tc>
          <w:tcPr>
            <w:tcW w:w="624" w:type="dxa"/>
            <w:tcBorders>
              <w:bottom w:val="single" w:sz="12" w:space="0" w:color="000000" w:themeColor="text1"/>
              <w:right w:val="single" w:sz="4" w:space="0" w:color="FFFFFF" w:themeColor="background1"/>
            </w:tcBorders>
            <w:shd w:val="clear" w:color="auto" w:fill="ACD7CA"/>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+0.75</w:t>
            </w:r>
          </w:p>
        </w:tc>
        <w:tc>
          <w:tcPr>
            <w:tcW w:w="624" w:type="dxa"/>
            <w:tcBorders>
              <w:left w:val="single" w:sz="4" w:space="0" w:color="FFFFFF" w:themeColor="background1"/>
              <w:bottom w:val="single" w:sz="12" w:space="0" w:color="000000" w:themeColor="text1"/>
              <w:right w:val="single" w:sz="4" w:space="0" w:color="FFFFFF" w:themeColor="background1"/>
            </w:tcBorders>
            <w:shd w:val="clear" w:color="auto" w:fill="398E98"/>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+1.50</w:t>
            </w:r>
          </w:p>
        </w:tc>
        <w:tc>
          <w:tcPr>
            <w:tcW w:w="624" w:type="dxa"/>
            <w:tcBorders>
              <w:left w:val="single" w:sz="4" w:space="0" w:color="FFFFFF" w:themeColor="background1"/>
              <w:bottom w:val="single" w:sz="12" w:space="0" w:color="000000" w:themeColor="text1"/>
            </w:tcBorders>
            <w:shd w:val="clear" w:color="auto" w:fill="ACD7CA"/>
            <w:vAlign w:val="center"/>
          </w:tcPr>
          <w:p w:rsidR="00DC6CA1" w:rsidRPr="006A74F8"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+1.38</w:t>
            </w:r>
          </w:p>
        </w:tc>
        <w:tc>
          <w:tcPr>
            <w:tcW w:w="5191" w:type="dxa"/>
            <w:tcBorders>
              <w:bottom w:val="single" w:sz="12" w:space="0" w:color="000000" w:themeColor="text1"/>
            </w:tcBorders>
            <w:vAlign w:val="center"/>
          </w:tcPr>
          <w:p w:rsidR="00DC6CA1" w:rsidRPr="006A74F8" w:rsidRDefault="00DC6CA1" w:rsidP="00AE7B79">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All reform options will benefit regulators slightly.</w:t>
            </w:r>
          </w:p>
        </w:tc>
      </w:tr>
    </w:tbl>
    <w:p w:rsidR="00C1393B" w:rsidRPr="006A74F8" w:rsidRDefault="00C1393B" w:rsidP="00AB3B32">
      <w:pPr>
        <w:ind w:left="-142"/>
        <w:rPr>
          <w:rFonts w:asciiTheme="majorHAnsi" w:eastAsiaTheme="majorEastAsia" w:hAnsiTheme="majorHAnsi" w:cstheme="majorBidi"/>
          <w:color w:val="005677" w:themeColor="text2"/>
          <w:sz w:val="26"/>
          <w:szCs w:val="26"/>
        </w:rPr>
      </w:pPr>
    </w:p>
    <w:p w:rsidR="00385E2B" w:rsidRPr="006A74F8" w:rsidRDefault="0017430C" w:rsidP="00AB3B32">
      <w:pPr>
        <w:ind w:left="-142"/>
        <w:rPr>
          <w:rFonts w:asciiTheme="majorHAnsi" w:eastAsiaTheme="majorEastAsia" w:hAnsiTheme="majorHAnsi" w:cstheme="majorBidi"/>
          <w:color w:val="005677" w:themeColor="text2"/>
          <w:sz w:val="26"/>
          <w:szCs w:val="26"/>
        </w:rPr>
      </w:pPr>
      <w:r w:rsidRPr="006A74F8">
        <w:rPr>
          <w:noProof/>
          <w:lang w:eastAsia="en-AU"/>
        </w:rPr>
        <w:drawing>
          <wp:inline distT="0" distB="0" distL="0" distR="0" wp14:anchorId="4ED531FA" wp14:editId="63EB35A2">
            <wp:extent cx="5727600" cy="925200"/>
            <wp:effectExtent l="0" t="0" r="0" b="0"/>
            <wp:docPr id="31" name="Picture 31"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0">
                      <a:extLst>
                        <a:ext uri="{28A0092B-C50C-407E-A947-70E740481C1C}">
                          <a14:useLocalDpi xmlns:a14="http://schemas.microsoft.com/office/drawing/2010/main" val="0"/>
                        </a:ext>
                      </a:extLst>
                    </a:blip>
                    <a:stretch>
                      <a:fillRect/>
                    </a:stretch>
                  </pic:blipFill>
                  <pic:spPr>
                    <a:xfrm>
                      <a:off x="0" y="0"/>
                      <a:ext cx="5727600" cy="925200"/>
                    </a:xfrm>
                    <a:prstGeom prst="rect">
                      <a:avLst/>
                    </a:prstGeom>
                  </pic:spPr>
                </pic:pic>
              </a:graphicData>
            </a:graphic>
          </wp:inline>
        </w:drawing>
      </w:r>
    </w:p>
    <w:p w:rsidR="00601912" w:rsidRPr="006A74F8" w:rsidRDefault="00601912" w:rsidP="00C22303">
      <w:pPr>
        <w:pStyle w:val="Heading3"/>
        <w:tabs>
          <w:tab w:val="left" w:pos="1134"/>
        </w:tabs>
        <w:ind w:left="993" w:hanging="993"/>
      </w:pPr>
      <w:r w:rsidRPr="006A74F8">
        <w:t>Greater support to help regulators address measurement issues</w:t>
      </w:r>
    </w:p>
    <w:tbl>
      <w:tblPr>
        <w:tblStyle w:val="PlainTable2"/>
        <w:tblW w:w="8875" w:type="dxa"/>
        <w:tblLook w:val="04A0" w:firstRow="1" w:lastRow="0" w:firstColumn="1" w:lastColumn="0" w:noHBand="0" w:noVBand="1"/>
        <w:tblCaption w:val="16.1.1 Greater support to help regulators address measurement issues"/>
        <w:tblDescription w:val="Greater support to help regulators address measurement issues and access services. Options 1 to 3 are rated +1, slight beneficial.&#10;&#10;Supporting measurement needs of regulators: Option 1 provides regulators with greater access to verifiers. Options 2 and 3 make available a more flexible ATP option to service regulators."/>
      </w:tblPr>
      <w:tblGrid>
        <w:gridCol w:w="1842"/>
        <w:gridCol w:w="633"/>
        <w:gridCol w:w="633"/>
        <w:gridCol w:w="633"/>
        <w:gridCol w:w="5134"/>
      </w:tblGrid>
      <w:tr w:rsidR="0065537F" w:rsidRPr="006A74F8"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rsidR="0065537F" w:rsidRPr="006A74F8" w:rsidRDefault="0065537F" w:rsidP="004B7992">
            <w:r w:rsidRPr="006A74F8">
              <w:t>Impact</w:t>
            </w:r>
          </w:p>
        </w:tc>
        <w:tc>
          <w:tcPr>
            <w:tcW w:w="1899" w:type="dxa"/>
            <w:gridSpan w:val="3"/>
            <w:tcBorders>
              <w:top w:val="single" w:sz="12" w:space="0" w:color="000000" w:themeColor="text1"/>
              <w:bottom w:val="nil"/>
            </w:tcBorders>
            <w:vAlign w:val="center"/>
          </w:tcPr>
          <w:p w:rsidR="0065537F" w:rsidRPr="006A74F8" w:rsidRDefault="0065537F" w:rsidP="004B7992">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4" w:type="dxa"/>
            <w:vMerge w:val="restart"/>
            <w:tcBorders>
              <w:top w:val="single" w:sz="12" w:space="0" w:color="000000" w:themeColor="text1"/>
            </w:tcBorders>
            <w:vAlign w:val="center"/>
          </w:tcPr>
          <w:p w:rsidR="0065537F" w:rsidRPr="006A74F8" w:rsidRDefault="0065537F" w:rsidP="004B7992">
            <w:pPr>
              <w:cnfStyle w:val="100000000000" w:firstRow="1" w:lastRow="0" w:firstColumn="0" w:lastColumn="0" w:oddVBand="0" w:evenVBand="0" w:oddHBand="0" w:evenHBand="0" w:firstRowFirstColumn="0" w:firstRowLastColumn="0" w:lastRowFirstColumn="0" w:lastRowLastColumn="0"/>
            </w:pPr>
            <w:r w:rsidRPr="006A74F8">
              <w:t>Explanation</w:t>
            </w:r>
          </w:p>
        </w:tc>
      </w:tr>
      <w:tr w:rsidR="0065537F" w:rsidRPr="006A74F8"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rsidR="0065537F" w:rsidRPr="006A74F8" w:rsidRDefault="0065537F" w:rsidP="004B7992"/>
        </w:tc>
        <w:tc>
          <w:tcPr>
            <w:tcW w:w="633" w:type="dxa"/>
            <w:tcBorders>
              <w:top w:val="nil"/>
              <w:bottom w:val="double" w:sz="4" w:space="0" w:color="auto"/>
            </w:tcBorders>
          </w:tcPr>
          <w:p w:rsidR="0065537F" w:rsidRPr="006A74F8"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65537F" w:rsidRPr="006A74F8"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65537F" w:rsidRPr="006A74F8"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4" w:type="dxa"/>
            <w:vMerge/>
            <w:tcBorders>
              <w:bottom w:val="double" w:sz="4" w:space="0" w:color="auto"/>
            </w:tcBorders>
          </w:tcPr>
          <w:p w:rsidR="0065537F" w:rsidRPr="006A74F8" w:rsidRDefault="0065537F" w:rsidP="004B7992">
            <w:pPr>
              <w:cnfStyle w:val="100000000000" w:firstRow="1" w:lastRow="0" w:firstColumn="0" w:lastColumn="0" w:oddVBand="0" w:evenVBand="0" w:oddHBand="0" w:evenHBand="0" w:firstRowFirstColumn="0" w:firstRowLastColumn="0" w:lastRowFirstColumn="0" w:lastRowLastColumn="0"/>
            </w:pPr>
          </w:p>
        </w:tc>
      </w:tr>
      <w:tr w:rsidR="0065537F" w:rsidRPr="006A74F8"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double" w:sz="4" w:space="0" w:color="auto"/>
            </w:tcBorders>
            <w:vAlign w:val="center"/>
          </w:tcPr>
          <w:p w:rsidR="0065537F" w:rsidRPr="006A74F8" w:rsidRDefault="0065537F" w:rsidP="004B7992">
            <w:pPr>
              <w:rPr>
                <w:rFonts w:eastAsia="Calibri" w:cstheme="minorHAnsi"/>
                <w:b w:val="0"/>
                <w:sz w:val="20"/>
                <w:szCs w:val="20"/>
              </w:rPr>
            </w:pPr>
            <w:r w:rsidRPr="006A74F8">
              <w:rPr>
                <w:rFonts w:cstheme="minorHAnsi"/>
                <w:b w:val="0"/>
                <w:sz w:val="20"/>
                <w:szCs w:val="20"/>
              </w:rPr>
              <w:t>Greater support to help regulators address measurement issues and access services</w:t>
            </w:r>
          </w:p>
        </w:tc>
        <w:tc>
          <w:tcPr>
            <w:tcW w:w="633" w:type="dxa"/>
            <w:tcBorders>
              <w:top w:val="double" w:sz="4" w:space="0" w:color="auto"/>
              <w:right w:val="single" w:sz="4" w:space="0" w:color="FFFFFF" w:themeColor="background1"/>
            </w:tcBorders>
            <w:shd w:val="clear" w:color="auto" w:fill="ACD7CA"/>
            <w:vAlign w:val="center"/>
          </w:tcPr>
          <w:p w:rsidR="0065537F" w:rsidRPr="006A74F8"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shd w:val="clear" w:color="auto" w:fill="ACD7CA"/>
              </w:rPr>
              <w:t>+1</w:t>
            </w:r>
          </w:p>
        </w:tc>
        <w:tc>
          <w:tcPr>
            <w:tcW w:w="633" w:type="dxa"/>
            <w:tcBorders>
              <w:top w:val="double" w:sz="4" w:space="0" w:color="auto"/>
              <w:left w:val="single" w:sz="4" w:space="0" w:color="FFFFFF" w:themeColor="background1"/>
              <w:right w:val="single" w:sz="4" w:space="0" w:color="FFFFFF" w:themeColor="background1"/>
            </w:tcBorders>
            <w:shd w:val="clear" w:color="auto" w:fill="ACD7CA"/>
            <w:vAlign w:val="center"/>
          </w:tcPr>
          <w:p w:rsidR="0065537F" w:rsidRPr="006A74F8"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33" w:type="dxa"/>
            <w:tcBorders>
              <w:top w:val="double" w:sz="4" w:space="0" w:color="auto"/>
              <w:left w:val="single" w:sz="4" w:space="0" w:color="FFFFFF" w:themeColor="background1"/>
            </w:tcBorders>
            <w:shd w:val="clear" w:color="auto" w:fill="ACD7CA"/>
            <w:vAlign w:val="center"/>
          </w:tcPr>
          <w:p w:rsidR="0065537F" w:rsidRPr="006A74F8"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5134" w:type="dxa"/>
            <w:tcBorders>
              <w:top w:val="double" w:sz="4" w:space="0" w:color="auto"/>
            </w:tcBorders>
            <w:vAlign w:val="center"/>
          </w:tcPr>
          <w:p w:rsidR="0065537F" w:rsidRPr="006A74F8" w:rsidRDefault="0065537F" w:rsidP="004B7992">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6A74F8">
              <w:rPr>
                <w:rFonts w:cstheme="minorHAnsi"/>
                <w:b/>
                <w:sz w:val="20"/>
                <w:szCs w:val="20"/>
              </w:rPr>
              <w:t>Supporting measurement needs of regulators: Option 1</w:t>
            </w:r>
            <w:r w:rsidRPr="006A74F8">
              <w:rPr>
                <w:rFonts w:cstheme="minorHAnsi"/>
                <w:sz w:val="20"/>
                <w:szCs w:val="20"/>
              </w:rPr>
              <w:t xml:space="preserve"> provides regulators with greater access to verifiers. </w:t>
            </w:r>
            <w:r w:rsidRPr="006A74F8">
              <w:rPr>
                <w:rFonts w:cstheme="minorHAnsi"/>
                <w:b/>
                <w:sz w:val="20"/>
                <w:szCs w:val="20"/>
              </w:rPr>
              <w:t>Options 2 and 3</w:t>
            </w:r>
            <w:r w:rsidRPr="006A74F8">
              <w:rPr>
                <w:rFonts w:cstheme="minorHAnsi"/>
                <w:sz w:val="20"/>
                <w:szCs w:val="20"/>
              </w:rPr>
              <w:t xml:space="preserve"> make available a more flexible ATP option to service regulators.</w:t>
            </w:r>
          </w:p>
        </w:tc>
      </w:tr>
    </w:tbl>
    <w:p w:rsidR="00601912" w:rsidRPr="006A74F8" w:rsidRDefault="00601912" w:rsidP="00061CAD">
      <w:pPr>
        <w:spacing w:before="240"/>
        <w:rPr>
          <w:rStyle w:val="normaltextrun1"/>
          <w:rFonts w:ascii="Calibri" w:eastAsiaTheme="majorEastAsia" w:hAnsi="Calibri" w:cs="Calibri"/>
          <w:color w:val="000000" w:themeColor="text1"/>
        </w:rPr>
      </w:pPr>
      <w:r w:rsidRPr="006A74F8">
        <w:rPr>
          <w:rStyle w:val="normaltextrun1"/>
          <w:rFonts w:ascii="Calibri" w:eastAsiaTheme="majorEastAsia" w:hAnsi="Calibri" w:cs="Calibri"/>
          <w:color w:val="000000" w:themeColor="text1"/>
        </w:rPr>
        <w:t>Under the current measurement legislation, regulators are able to access appropriately vetted measurement service providers appointed under the measurement legislation, e.g. L</w:t>
      </w:r>
      <w:r w:rsidR="009E2144" w:rsidRPr="006A74F8">
        <w:rPr>
          <w:rStyle w:val="normaltextrun1"/>
          <w:rFonts w:ascii="Calibri" w:eastAsiaTheme="majorEastAsia" w:hAnsi="Calibri" w:cs="Calibri"/>
          <w:color w:val="000000" w:themeColor="text1"/>
        </w:rPr>
        <w:t>MAs</w:t>
      </w:r>
      <w:r w:rsidR="00896234" w:rsidRPr="006A74F8">
        <w:rPr>
          <w:rStyle w:val="normaltextrun1"/>
          <w:rFonts w:ascii="Calibri" w:eastAsiaTheme="majorEastAsia" w:hAnsi="Calibri" w:cs="Calibri"/>
          <w:color w:val="000000" w:themeColor="text1"/>
        </w:rPr>
        <w:t>.</w:t>
      </w:r>
      <w:r w:rsidRPr="006A74F8">
        <w:rPr>
          <w:rStyle w:val="FootnoteReference"/>
          <w:rFonts w:eastAsiaTheme="majorEastAsia" w:cs="Calibri"/>
          <w:color w:val="000000" w:themeColor="text1"/>
        </w:rPr>
        <w:footnoteReference w:id="122"/>
      </w:r>
      <w:r w:rsidR="00896234" w:rsidRPr="006A74F8">
        <w:rPr>
          <w:rStyle w:val="normaltextrun1"/>
          <w:rFonts w:ascii="Calibri" w:eastAsiaTheme="majorEastAsia" w:hAnsi="Calibri" w:cs="Calibri"/>
          <w:color w:val="000000" w:themeColor="text1"/>
        </w:rPr>
        <w:t xml:space="preserve"> </w:t>
      </w:r>
      <w:r w:rsidRPr="006A74F8">
        <w:rPr>
          <w:rStyle w:val="normaltextrun1"/>
          <w:rFonts w:ascii="Calibri" w:eastAsiaTheme="majorEastAsia" w:hAnsi="Calibri" w:cs="Calibri"/>
          <w:color w:val="000000" w:themeColor="text1"/>
        </w:rPr>
        <w:t xml:space="preserve">These </w:t>
      </w:r>
      <w:r w:rsidR="00061CAD" w:rsidRPr="006A74F8">
        <w:rPr>
          <w:rStyle w:val="normaltextrun1"/>
          <w:rFonts w:ascii="Calibri" w:eastAsiaTheme="majorEastAsia" w:hAnsi="Calibri" w:cs="Calibri"/>
          <w:color w:val="000000" w:themeColor="text1"/>
        </w:rPr>
        <w:t>a</w:t>
      </w:r>
      <w:r w:rsidR="009B399F" w:rsidRPr="006A74F8">
        <w:rPr>
          <w:rStyle w:val="normaltextrun1"/>
          <w:rFonts w:ascii="Calibri" w:eastAsiaTheme="majorEastAsia" w:hAnsi="Calibri" w:cs="Calibri"/>
          <w:color w:val="000000" w:themeColor="text1"/>
        </w:rPr>
        <w:t>uthorities</w:t>
      </w:r>
      <w:r w:rsidRPr="006A74F8">
        <w:rPr>
          <w:rStyle w:val="normaltextrun1"/>
          <w:rFonts w:ascii="Calibri" w:eastAsiaTheme="majorEastAsia" w:hAnsi="Calibri" w:cs="Calibri"/>
          <w:color w:val="000000" w:themeColor="text1"/>
        </w:rPr>
        <w:t xml:space="preserve"> help to provide legal coverage and certainty regarding the accuracy of standards of measurement, artefacts, reference materials and measuring instruments.</w:t>
      </w:r>
    </w:p>
    <w:p w:rsidR="00601912" w:rsidRPr="006A74F8" w:rsidRDefault="00601912" w:rsidP="00D94F1E">
      <w:pPr>
        <w:spacing w:before="120"/>
        <w:rPr>
          <w:rStyle w:val="normaltextrun1"/>
          <w:rFonts w:ascii="Calibri" w:eastAsiaTheme="majorEastAsia" w:hAnsi="Calibri" w:cs="Calibri"/>
          <w:color w:val="000000" w:themeColor="text1"/>
        </w:rPr>
      </w:pPr>
      <w:r w:rsidRPr="006A74F8">
        <w:rPr>
          <w:rStyle w:val="normaltextrun1"/>
          <w:rFonts w:ascii="Calibri" w:eastAsiaTheme="majorEastAsia" w:hAnsi="Calibri" w:cs="Calibri"/>
          <w:color w:val="000000" w:themeColor="text1"/>
        </w:rPr>
        <w:t xml:space="preserve">However, </w:t>
      </w:r>
      <w:r w:rsidR="009B399F" w:rsidRPr="006A74F8">
        <w:rPr>
          <w:rStyle w:val="normaltextrun1"/>
          <w:rFonts w:ascii="Calibri" w:eastAsiaTheme="majorEastAsia" w:hAnsi="Calibri" w:cs="Calibri"/>
          <w:color w:val="000000" w:themeColor="text1"/>
        </w:rPr>
        <w:t>some ATP</w:t>
      </w:r>
      <w:r w:rsidR="001962A8" w:rsidRPr="006A74F8">
        <w:rPr>
          <w:rStyle w:val="normaltextrun1"/>
          <w:rFonts w:ascii="Calibri" w:eastAsiaTheme="majorEastAsia" w:hAnsi="Calibri" w:cs="Calibri"/>
          <w:color w:val="000000" w:themeColor="text1"/>
        </w:rPr>
        <w:t>s</w:t>
      </w:r>
      <w:r w:rsidR="009B399F" w:rsidRPr="006A74F8">
        <w:rPr>
          <w:rStyle w:val="normaltextrun1"/>
          <w:rFonts w:ascii="Calibri" w:eastAsiaTheme="majorEastAsia" w:hAnsi="Calibri" w:cs="Calibri"/>
          <w:color w:val="000000" w:themeColor="text1"/>
        </w:rPr>
        <w:t xml:space="preserve"> </w:t>
      </w:r>
      <w:r w:rsidRPr="006A74F8">
        <w:rPr>
          <w:rStyle w:val="normaltextrun1"/>
          <w:rFonts w:ascii="Calibri" w:eastAsiaTheme="majorEastAsia" w:hAnsi="Calibri" w:cs="Calibri"/>
          <w:color w:val="000000" w:themeColor="text1"/>
        </w:rPr>
        <w:t>providing verification services</w:t>
      </w:r>
      <w:r w:rsidR="00B73DEA" w:rsidRPr="006A74F8">
        <w:rPr>
          <w:rStyle w:val="normaltextrun1"/>
          <w:rFonts w:ascii="Calibri" w:eastAsiaTheme="majorEastAsia" w:hAnsi="Calibri" w:cs="Calibri"/>
          <w:color w:val="000000" w:themeColor="text1"/>
        </w:rPr>
        <w:t xml:space="preserve"> for measuring instruments</w:t>
      </w:r>
      <w:r w:rsidRPr="006A74F8">
        <w:rPr>
          <w:rStyle w:val="normaltextrun1"/>
          <w:rFonts w:ascii="Calibri" w:eastAsiaTheme="majorEastAsia" w:hAnsi="Calibri" w:cs="Calibri"/>
          <w:color w:val="000000" w:themeColor="text1"/>
        </w:rPr>
        <w:t xml:space="preserve"> (specifically Servicing Licensees and </w:t>
      </w:r>
      <w:r w:rsidR="006D4F4C" w:rsidRPr="006A74F8">
        <w:rPr>
          <w:rStyle w:val="normaltextrun1"/>
          <w:rFonts w:ascii="Calibri" w:eastAsiaTheme="majorEastAsia" w:hAnsi="Calibri" w:cs="Calibri"/>
          <w:color w:val="000000" w:themeColor="text1"/>
        </w:rPr>
        <w:t>UMVs</w:t>
      </w:r>
      <w:r w:rsidRPr="006A74F8">
        <w:rPr>
          <w:rStyle w:val="normaltextrun1"/>
          <w:rFonts w:ascii="Calibri" w:eastAsiaTheme="majorEastAsia" w:hAnsi="Calibri" w:cs="Calibri"/>
          <w:color w:val="000000" w:themeColor="text1"/>
        </w:rPr>
        <w:t xml:space="preserve">) have a limited scope of appointment. </w:t>
      </w:r>
      <w:r w:rsidR="00B73DEA" w:rsidRPr="006A74F8">
        <w:t xml:space="preserve">These appointments are associated with verifying measuring instruments used </w:t>
      </w:r>
      <w:r w:rsidR="009B399F" w:rsidRPr="006A74F8">
        <w:t>f</w:t>
      </w:r>
      <w:r w:rsidR="00B73DEA" w:rsidRPr="006A74F8">
        <w:t>or trade, and not with the more general service of checking the accuracy of measuring instruments for other legal purposes</w:t>
      </w:r>
      <w:r w:rsidR="00344377" w:rsidRPr="006A74F8">
        <w:rPr>
          <w:rStyle w:val="normaltextrun1"/>
          <w:rFonts w:ascii="Calibri" w:eastAsiaTheme="majorEastAsia" w:hAnsi="Calibri" w:cs="Calibri"/>
          <w:color w:val="000000" w:themeColor="text1"/>
        </w:rPr>
        <w:t xml:space="preserve">. </w:t>
      </w:r>
      <w:r w:rsidRPr="006A74F8">
        <w:rPr>
          <w:rStyle w:val="normaltextrun1"/>
          <w:rFonts w:ascii="Calibri" w:eastAsiaTheme="majorEastAsia" w:hAnsi="Calibri" w:cs="Calibri"/>
          <w:color w:val="000000" w:themeColor="text1"/>
        </w:rPr>
        <w:t xml:space="preserve">In addition, </w:t>
      </w:r>
      <w:r w:rsidR="009B399F" w:rsidRPr="006A74F8">
        <w:rPr>
          <w:rStyle w:val="normaltextrun1"/>
          <w:rFonts w:ascii="Calibri" w:eastAsiaTheme="majorEastAsia" w:hAnsi="Calibri" w:cs="Calibri"/>
          <w:color w:val="000000" w:themeColor="text1"/>
        </w:rPr>
        <w:t xml:space="preserve">the </w:t>
      </w:r>
      <w:r w:rsidRPr="006A74F8">
        <w:rPr>
          <w:rStyle w:val="normaltextrun1"/>
          <w:rFonts w:ascii="Calibri" w:eastAsiaTheme="majorEastAsia" w:hAnsi="Calibri" w:cs="Calibri"/>
          <w:color w:val="000000" w:themeColor="text1"/>
        </w:rPr>
        <w:t xml:space="preserve">appointments are defined </w:t>
      </w:r>
      <w:r w:rsidR="00C81C74" w:rsidRPr="006A74F8">
        <w:rPr>
          <w:rStyle w:val="normaltextrun1"/>
          <w:rFonts w:ascii="Calibri" w:eastAsiaTheme="majorEastAsia" w:hAnsi="Calibri" w:cs="Calibri"/>
          <w:color w:val="000000" w:themeColor="text1"/>
        </w:rPr>
        <w:t xml:space="preserve">rigidly </w:t>
      </w:r>
      <w:r w:rsidRPr="006A74F8">
        <w:rPr>
          <w:rStyle w:val="normaltextrun1"/>
          <w:rFonts w:ascii="Calibri" w:eastAsiaTheme="majorEastAsia" w:hAnsi="Calibri" w:cs="Calibri"/>
          <w:color w:val="000000" w:themeColor="text1"/>
        </w:rPr>
        <w:t xml:space="preserve">in terms of </w:t>
      </w:r>
      <w:r w:rsidR="00B73DEA" w:rsidRPr="006A74F8">
        <w:rPr>
          <w:rStyle w:val="normaltextrun1"/>
          <w:rFonts w:ascii="Calibri" w:eastAsiaTheme="majorEastAsia" w:hAnsi="Calibri" w:cs="Calibri"/>
          <w:color w:val="000000" w:themeColor="text1"/>
        </w:rPr>
        <w:t xml:space="preserve">classes of </w:t>
      </w:r>
      <w:r w:rsidR="00061CAD" w:rsidRPr="006A74F8">
        <w:rPr>
          <w:rStyle w:val="normaltextrun1"/>
          <w:rFonts w:ascii="Calibri" w:eastAsiaTheme="majorEastAsia" w:hAnsi="Calibri" w:cs="Calibri"/>
          <w:color w:val="000000" w:themeColor="text1"/>
        </w:rPr>
        <w:t>S</w:t>
      </w:r>
      <w:r w:rsidR="00B73DEA" w:rsidRPr="006A74F8">
        <w:rPr>
          <w:rStyle w:val="normaltextrun1"/>
          <w:rFonts w:ascii="Calibri" w:eastAsiaTheme="majorEastAsia" w:hAnsi="Calibri" w:cs="Calibri"/>
          <w:color w:val="000000" w:themeColor="text1"/>
        </w:rPr>
        <w:t xml:space="preserve">ervicing </w:t>
      </w:r>
      <w:r w:rsidR="00061CAD" w:rsidRPr="006A74F8">
        <w:rPr>
          <w:rStyle w:val="normaltextrun1"/>
          <w:rFonts w:ascii="Calibri" w:eastAsiaTheme="majorEastAsia" w:hAnsi="Calibri" w:cs="Calibri"/>
          <w:color w:val="000000" w:themeColor="text1"/>
        </w:rPr>
        <w:t>L</w:t>
      </w:r>
      <w:r w:rsidR="00B73DEA" w:rsidRPr="006A74F8">
        <w:rPr>
          <w:rStyle w:val="normaltextrun1"/>
          <w:rFonts w:ascii="Calibri" w:eastAsiaTheme="majorEastAsia" w:hAnsi="Calibri" w:cs="Calibri"/>
          <w:color w:val="000000" w:themeColor="text1"/>
        </w:rPr>
        <w:t>icensee</w:t>
      </w:r>
      <w:r w:rsidR="009661B0" w:rsidRPr="006A74F8">
        <w:rPr>
          <w:rStyle w:val="normaltextrun1"/>
          <w:rFonts w:ascii="Calibri" w:eastAsiaTheme="majorEastAsia" w:hAnsi="Calibri" w:cs="Calibri"/>
          <w:color w:val="000000" w:themeColor="text1"/>
        </w:rPr>
        <w:t xml:space="preserve">, linked to specific instrument </w:t>
      </w:r>
      <w:r w:rsidR="00011855" w:rsidRPr="006A74F8">
        <w:rPr>
          <w:rStyle w:val="normaltextrun1"/>
          <w:rFonts w:ascii="Calibri" w:eastAsiaTheme="majorEastAsia" w:hAnsi="Calibri" w:cs="Calibri"/>
          <w:color w:val="000000" w:themeColor="text1"/>
        </w:rPr>
        <w:t>types, which</w:t>
      </w:r>
      <w:r w:rsidRPr="006A74F8">
        <w:rPr>
          <w:rStyle w:val="normaltextrun1"/>
          <w:rFonts w:ascii="Calibri" w:eastAsiaTheme="majorEastAsia" w:hAnsi="Calibri" w:cs="Calibri"/>
          <w:color w:val="000000" w:themeColor="text1"/>
        </w:rPr>
        <w:t xml:space="preserve"> may not meet the needs of emerging types of measuring instruments.</w:t>
      </w:r>
    </w:p>
    <w:p w:rsidR="00601912" w:rsidRPr="006A74F8" w:rsidRDefault="00D94F1E" w:rsidP="00D94F1E">
      <w:pPr>
        <w:spacing w:before="120"/>
        <w:rPr>
          <w:rStyle w:val="normaltextrun1"/>
          <w:rFonts w:ascii="Calibri" w:eastAsiaTheme="majorEastAsia" w:hAnsi="Calibri" w:cs="Calibri"/>
          <w:color w:val="000000" w:themeColor="text1"/>
        </w:rPr>
      </w:pPr>
      <w:r w:rsidRPr="006A74F8">
        <w:rPr>
          <w:rStyle w:val="normaltextrun1"/>
          <w:rFonts w:ascii="Calibri" w:eastAsiaTheme="majorEastAsia" w:hAnsi="Calibri" w:cs="Calibri"/>
          <w:color w:val="000000" w:themeColor="text1"/>
        </w:rPr>
        <w:t>The</w:t>
      </w:r>
      <w:r w:rsidR="00601912" w:rsidRPr="006A74F8">
        <w:rPr>
          <w:rStyle w:val="normaltextrun1"/>
          <w:rFonts w:ascii="Calibri" w:eastAsiaTheme="majorEastAsia" w:hAnsi="Calibri" w:cs="Calibri"/>
          <w:color w:val="000000" w:themeColor="text1"/>
        </w:rPr>
        <w:t xml:space="preserve"> options provide increasing levels of support for regulators:</w:t>
      </w:r>
    </w:p>
    <w:p w:rsidR="00601912" w:rsidRPr="006A74F8" w:rsidRDefault="00601912" w:rsidP="00D94F1E">
      <w:pPr>
        <w:rPr>
          <w:rStyle w:val="normaltextrun1"/>
        </w:rPr>
      </w:pPr>
      <w:r w:rsidRPr="006A74F8">
        <w:rPr>
          <w:rStyle w:val="normaltextrun1"/>
          <w:rFonts w:ascii="Calibri" w:eastAsiaTheme="majorEastAsia" w:hAnsi="Calibri" w:cs="Calibri"/>
          <w:color w:val="000000" w:themeColor="text1"/>
        </w:rPr>
        <w:t xml:space="preserve">Across </w:t>
      </w:r>
      <w:r w:rsidRPr="006A74F8">
        <w:rPr>
          <w:rStyle w:val="normaltextrun1"/>
          <w:rFonts w:ascii="Calibri" w:eastAsiaTheme="majorEastAsia" w:hAnsi="Calibri" w:cs="Calibri"/>
          <w:b/>
          <w:color w:val="000000" w:themeColor="text1"/>
        </w:rPr>
        <w:t>all reform options</w:t>
      </w:r>
      <w:r w:rsidRPr="006A74F8">
        <w:rPr>
          <w:rStyle w:val="normaltextrun1"/>
          <w:rFonts w:ascii="Calibri" w:eastAsiaTheme="majorEastAsia" w:hAnsi="Calibri" w:cs="Calibri"/>
          <w:color w:val="000000" w:themeColor="text1"/>
        </w:rPr>
        <w:t>, regulators can continue to access the services of LMAs to provide legal certainty regarding the measurements they rely on</w:t>
      </w:r>
      <w:r w:rsidR="00B73DEA" w:rsidRPr="006A74F8">
        <w:rPr>
          <w:rStyle w:val="normaltextrun1"/>
          <w:rFonts w:ascii="Calibri" w:eastAsiaTheme="majorEastAsia" w:hAnsi="Calibri" w:cs="Calibri"/>
          <w:color w:val="000000" w:themeColor="text1"/>
        </w:rPr>
        <w:t xml:space="preserve">. </w:t>
      </w:r>
      <w:r w:rsidR="00B73DEA" w:rsidRPr="006A74F8">
        <w:t xml:space="preserve">The appointment of Servicing Licensees and </w:t>
      </w:r>
      <w:r w:rsidR="006D4F4C" w:rsidRPr="006A74F8">
        <w:t>UMVs</w:t>
      </w:r>
      <w:r w:rsidR="00B73DEA" w:rsidRPr="006A74F8">
        <w:t xml:space="preserve"> w</w:t>
      </w:r>
      <w:r w:rsidR="004F47BA" w:rsidRPr="006A74F8">
        <w:t>ill</w:t>
      </w:r>
      <w:r w:rsidR="00B73DEA" w:rsidRPr="006A74F8">
        <w:t xml:space="preserve"> be broadened to provide for the verification of measuring instruments used for trade </w:t>
      </w:r>
      <w:r w:rsidR="00640162" w:rsidRPr="006A74F8">
        <w:t>and</w:t>
      </w:r>
      <w:r w:rsidR="00B73DEA" w:rsidRPr="006A74F8">
        <w:t xml:space="preserve"> other legal purposes</w:t>
      </w:r>
      <w:r w:rsidRPr="006A74F8">
        <w:t xml:space="preserve">. </w:t>
      </w:r>
    </w:p>
    <w:p w:rsidR="00601912" w:rsidRPr="006A74F8" w:rsidRDefault="00601912" w:rsidP="00D94F1E">
      <w:pPr>
        <w:pStyle w:val="Quote"/>
        <w:pBdr>
          <w:top w:val="none" w:sz="0" w:space="0" w:color="auto"/>
          <w:bottom w:val="none" w:sz="0" w:space="0" w:color="auto"/>
        </w:pBdr>
        <w:ind w:left="0"/>
        <w:jc w:val="left"/>
        <w:rPr>
          <w:i w:val="0"/>
        </w:rPr>
      </w:pPr>
      <w:r w:rsidRPr="006A74F8">
        <w:rPr>
          <w:rStyle w:val="normaltextrun1"/>
          <w:rFonts w:ascii="Calibri" w:eastAsiaTheme="majorEastAsia" w:hAnsi="Calibri" w:cs="Calibri"/>
          <w:i w:val="0"/>
        </w:rPr>
        <w:t xml:space="preserve">In </w:t>
      </w:r>
      <w:r w:rsidR="00033029" w:rsidRPr="006A74F8">
        <w:rPr>
          <w:rStyle w:val="normaltextrun1"/>
          <w:rFonts w:ascii="Calibri" w:eastAsiaTheme="majorEastAsia" w:hAnsi="Calibri" w:cs="Calibri"/>
          <w:b/>
          <w:i w:val="0"/>
        </w:rPr>
        <w:t>o</w:t>
      </w:r>
      <w:r w:rsidRPr="006A74F8">
        <w:rPr>
          <w:rStyle w:val="normaltextrun1"/>
          <w:rFonts w:ascii="Calibri" w:eastAsiaTheme="majorEastAsia" w:hAnsi="Calibri" w:cs="Calibri"/>
          <w:b/>
          <w:i w:val="0"/>
        </w:rPr>
        <w:t>ption 2</w:t>
      </w:r>
      <w:r w:rsidRPr="006A74F8">
        <w:rPr>
          <w:rStyle w:val="normaltextrun1"/>
          <w:rFonts w:ascii="Calibri" w:eastAsiaTheme="majorEastAsia" w:hAnsi="Calibri" w:cs="Calibri"/>
          <w:i w:val="0"/>
        </w:rPr>
        <w:t>,</w:t>
      </w:r>
      <w:r w:rsidRPr="006A74F8">
        <w:rPr>
          <w:i w:val="0"/>
        </w:rPr>
        <w:t xml:space="preserve"> regulators w</w:t>
      </w:r>
      <w:r w:rsidR="00A822CE" w:rsidRPr="006A74F8">
        <w:rPr>
          <w:i w:val="0"/>
        </w:rPr>
        <w:t>ill</w:t>
      </w:r>
      <w:r w:rsidRPr="006A74F8">
        <w:rPr>
          <w:i w:val="0"/>
        </w:rPr>
        <w:t xml:space="preserve"> have access to </w:t>
      </w:r>
      <w:r w:rsidR="00B07175" w:rsidRPr="006A74F8">
        <w:rPr>
          <w:i w:val="0"/>
        </w:rPr>
        <w:t>existing ATP services, in addition to new types of ATP functions that could be introduced in future</w:t>
      </w:r>
      <w:r w:rsidRPr="006A74F8">
        <w:rPr>
          <w:i w:val="0"/>
        </w:rPr>
        <w:t xml:space="preserve">. This could include appointments for </w:t>
      </w:r>
      <w:r w:rsidRPr="006A74F8">
        <w:rPr>
          <w:i w:val="0"/>
          <w:color w:val="auto"/>
        </w:rPr>
        <w:lastRenderedPageBreak/>
        <w:t xml:space="preserve">determining recognised value standards, </w:t>
      </w:r>
      <w:r w:rsidR="00F34571" w:rsidRPr="006A74F8">
        <w:rPr>
          <w:i w:val="0"/>
          <w:color w:val="auto"/>
        </w:rPr>
        <w:t xml:space="preserve">supporting </w:t>
      </w:r>
      <w:r w:rsidRPr="006A74F8">
        <w:rPr>
          <w:i w:val="0"/>
          <w:color w:val="auto"/>
        </w:rPr>
        <w:t>method</w:t>
      </w:r>
      <w:r w:rsidR="00F34571" w:rsidRPr="006A74F8">
        <w:rPr>
          <w:i w:val="0"/>
          <w:color w:val="auto"/>
        </w:rPr>
        <w:t xml:space="preserve"> based measurement</w:t>
      </w:r>
      <w:r w:rsidRPr="006A74F8">
        <w:rPr>
          <w:i w:val="0"/>
          <w:color w:val="auto"/>
        </w:rPr>
        <w:t xml:space="preserve">, </w:t>
      </w:r>
      <w:r w:rsidR="00F34571" w:rsidRPr="006A74F8">
        <w:rPr>
          <w:i w:val="0"/>
          <w:color w:val="auto"/>
        </w:rPr>
        <w:t xml:space="preserve">and providing </w:t>
      </w:r>
      <w:r w:rsidRPr="006A74F8">
        <w:rPr>
          <w:i w:val="0"/>
          <w:color w:val="auto"/>
        </w:rPr>
        <w:t xml:space="preserve">future functions related to new instrument control mechanisms (for example, auditing). </w:t>
      </w:r>
      <w:r w:rsidRPr="006A74F8">
        <w:rPr>
          <w:i w:val="0"/>
        </w:rPr>
        <w:t xml:space="preserve">This flexibility enables </w:t>
      </w:r>
      <w:r w:rsidR="00AE09BC" w:rsidRPr="006A74F8">
        <w:rPr>
          <w:i w:val="0"/>
        </w:rPr>
        <w:t>r</w:t>
      </w:r>
      <w:r w:rsidRPr="006A74F8">
        <w:rPr>
          <w:i w:val="0"/>
          <w:color w:val="auto"/>
        </w:rPr>
        <w:t xml:space="preserve">egulators </w:t>
      </w:r>
      <w:r w:rsidR="00AE09BC" w:rsidRPr="006A74F8">
        <w:rPr>
          <w:i w:val="0"/>
          <w:color w:val="auto"/>
        </w:rPr>
        <w:t>to</w:t>
      </w:r>
      <w:r w:rsidR="0034558A" w:rsidRPr="006A74F8">
        <w:rPr>
          <w:i w:val="0"/>
          <w:color w:val="auto"/>
        </w:rPr>
        <w:t xml:space="preserve"> </w:t>
      </w:r>
      <w:r w:rsidRPr="006A74F8">
        <w:rPr>
          <w:i w:val="0"/>
          <w:color w:val="auto"/>
        </w:rPr>
        <w:t>benefit</w:t>
      </w:r>
      <w:r w:rsidR="00B73DEA" w:rsidRPr="006A74F8">
        <w:rPr>
          <w:i w:val="0"/>
          <w:color w:val="auto"/>
        </w:rPr>
        <w:t xml:space="preserve"> </w:t>
      </w:r>
      <w:r w:rsidRPr="006A74F8">
        <w:rPr>
          <w:i w:val="0"/>
          <w:color w:val="auto"/>
        </w:rPr>
        <w:t xml:space="preserve">from </w:t>
      </w:r>
      <w:r w:rsidR="0034558A" w:rsidRPr="006A74F8">
        <w:rPr>
          <w:i w:val="0"/>
          <w:color w:val="auto"/>
        </w:rPr>
        <w:t xml:space="preserve">being able to access </w:t>
      </w:r>
      <w:r w:rsidRPr="006A74F8">
        <w:rPr>
          <w:i w:val="0"/>
          <w:color w:val="auto"/>
        </w:rPr>
        <w:t xml:space="preserve">broader ATP </w:t>
      </w:r>
      <w:r w:rsidR="0034558A" w:rsidRPr="006A74F8">
        <w:rPr>
          <w:i w:val="0"/>
          <w:color w:val="auto"/>
        </w:rPr>
        <w:t xml:space="preserve">functions </w:t>
      </w:r>
      <w:r w:rsidRPr="006A74F8">
        <w:rPr>
          <w:i w:val="0"/>
          <w:color w:val="auto"/>
        </w:rPr>
        <w:t xml:space="preserve">for </w:t>
      </w:r>
      <w:r w:rsidR="0034558A" w:rsidRPr="006A74F8">
        <w:rPr>
          <w:i w:val="0"/>
          <w:color w:val="auto"/>
        </w:rPr>
        <w:t>their regulatory purposes or to support their policy outcomes.</w:t>
      </w:r>
      <w:r w:rsidRPr="006A74F8">
        <w:rPr>
          <w:i w:val="0"/>
          <w:color w:val="auto"/>
        </w:rPr>
        <w:t xml:space="preserve"> </w:t>
      </w:r>
    </w:p>
    <w:p w:rsidR="006F022F" w:rsidRPr="006A74F8" w:rsidRDefault="00601912" w:rsidP="00320404">
      <w:pPr>
        <w:pStyle w:val="Quote"/>
        <w:pBdr>
          <w:top w:val="none" w:sz="0" w:space="0" w:color="auto"/>
          <w:bottom w:val="none" w:sz="0" w:space="0" w:color="auto"/>
        </w:pBdr>
        <w:ind w:left="0"/>
        <w:jc w:val="left"/>
      </w:pPr>
      <w:r w:rsidRPr="006A74F8">
        <w:rPr>
          <w:rStyle w:val="normaltextrun1"/>
          <w:rFonts w:ascii="Calibri" w:eastAsiaTheme="majorEastAsia" w:hAnsi="Calibri" w:cs="Calibri"/>
          <w:i w:val="0"/>
        </w:rPr>
        <w:t xml:space="preserve">Under </w:t>
      </w:r>
      <w:r w:rsidR="00033029" w:rsidRPr="006A74F8">
        <w:rPr>
          <w:rStyle w:val="normaltextrun1"/>
          <w:rFonts w:ascii="Calibri" w:eastAsiaTheme="majorEastAsia" w:hAnsi="Calibri" w:cs="Calibri"/>
          <w:b/>
          <w:i w:val="0"/>
        </w:rPr>
        <w:t>o</w:t>
      </w:r>
      <w:r w:rsidRPr="006A74F8">
        <w:rPr>
          <w:rStyle w:val="normaltextrun1"/>
          <w:rFonts w:ascii="Calibri" w:eastAsiaTheme="majorEastAsia" w:hAnsi="Calibri" w:cs="Calibri"/>
          <w:b/>
          <w:i w:val="0"/>
        </w:rPr>
        <w:t>ption 3</w:t>
      </w:r>
      <w:r w:rsidRPr="006A74F8">
        <w:rPr>
          <w:rStyle w:val="normaltextrun1"/>
          <w:rFonts w:ascii="Calibri" w:eastAsiaTheme="majorEastAsia" w:hAnsi="Calibri" w:cs="Calibri"/>
          <w:i w:val="0"/>
        </w:rPr>
        <w:t xml:space="preserve">, in addition to option 2, </w:t>
      </w:r>
      <w:r w:rsidRPr="006A74F8">
        <w:rPr>
          <w:i w:val="0"/>
          <w:lang w:val="en-US"/>
        </w:rPr>
        <w:t>NMI could establish specific ATP appointments to support the needs of specialist regulators and NMI would also have powers to help regulate the measurements which a regulator relies on where appropriate to do s</w:t>
      </w:r>
      <w:r w:rsidR="00320404" w:rsidRPr="006A74F8">
        <w:rPr>
          <w:i w:val="0"/>
          <w:lang w:val="en-US"/>
        </w:rPr>
        <w:t>o.</w:t>
      </w:r>
    </w:p>
    <w:p w:rsidR="00601912" w:rsidRPr="006A74F8" w:rsidRDefault="00601912" w:rsidP="00C22303">
      <w:pPr>
        <w:pStyle w:val="Heading3"/>
        <w:tabs>
          <w:tab w:val="left" w:pos="993"/>
        </w:tabs>
      </w:pPr>
      <w:r w:rsidRPr="006A74F8">
        <w:t>Better regulatory collaboration on measurement issues</w:t>
      </w:r>
    </w:p>
    <w:tbl>
      <w:tblPr>
        <w:tblStyle w:val="PlainTable2"/>
        <w:tblW w:w="8875" w:type="dxa"/>
        <w:tblLook w:val="04A0" w:firstRow="1" w:lastRow="0" w:firstColumn="1" w:lastColumn="0" w:noHBand="0" w:noVBand="1"/>
        <w:tblCaption w:val="16.1.2 Better regulatory collaboration on measurement issues"/>
        <w:tblDescription w:val="Better regulatory collaboration on measurement issues. Options 1 to 3 are rated +1, slight beneficial. &#10;Collaborative regulatory action: Under all reform options it will be easier for NMI to share relevant regulatory information with other regulators. Under option 3 NMI would be able to help regulate measurements that regulators rely on and to take targeted action in partnership with or on behalf of regulators. &#10;"/>
      </w:tblPr>
      <w:tblGrid>
        <w:gridCol w:w="1842"/>
        <w:gridCol w:w="633"/>
        <w:gridCol w:w="633"/>
        <w:gridCol w:w="633"/>
        <w:gridCol w:w="5134"/>
      </w:tblGrid>
      <w:tr w:rsidR="0065537F" w:rsidRPr="006A74F8"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rsidR="0065537F" w:rsidRPr="006A74F8" w:rsidRDefault="0065537F" w:rsidP="004B7992">
            <w:r w:rsidRPr="006A74F8">
              <w:t>Impact</w:t>
            </w:r>
          </w:p>
        </w:tc>
        <w:tc>
          <w:tcPr>
            <w:tcW w:w="1899" w:type="dxa"/>
            <w:gridSpan w:val="3"/>
            <w:tcBorders>
              <w:top w:val="single" w:sz="12" w:space="0" w:color="000000" w:themeColor="text1"/>
              <w:bottom w:val="nil"/>
            </w:tcBorders>
            <w:vAlign w:val="center"/>
          </w:tcPr>
          <w:p w:rsidR="0065537F" w:rsidRPr="006A74F8" w:rsidRDefault="0065537F" w:rsidP="004B7992">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4" w:type="dxa"/>
            <w:vMerge w:val="restart"/>
            <w:tcBorders>
              <w:top w:val="single" w:sz="12" w:space="0" w:color="000000" w:themeColor="text1"/>
            </w:tcBorders>
            <w:vAlign w:val="center"/>
          </w:tcPr>
          <w:p w:rsidR="0065537F" w:rsidRPr="006A74F8" w:rsidRDefault="0065537F" w:rsidP="004B7992">
            <w:pPr>
              <w:cnfStyle w:val="100000000000" w:firstRow="1" w:lastRow="0" w:firstColumn="0" w:lastColumn="0" w:oddVBand="0" w:evenVBand="0" w:oddHBand="0" w:evenHBand="0" w:firstRowFirstColumn="0" w:firstRowLastColumn="0" w:lastRowFirstColumn="0" w:lastRowLastColumn="0"/>
            </w:pPr>
            <w:r w:rsidRPr="006A74F8">
              <w:t>Explanation</w:t>
            </w:r>
          </w:p>
        </w:tc>
      </w:tr>
      <w:tr w:rsidR="0065537F" w:rsidRPr="006A74F8"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rsidR="0065537F" w:rsidRPr="006A74F8" w:rsidRDefault="0065537F" w:rsidP="004B7992"/>
        </w:tc>
        <w:tc>
          <w:tcPr>
            <w:tcW w:w="633" w:type="dxa"/>
            <w:tcBorders>
              <w:top w:val="nil"/>
              <w:bottom w:val="double" w:sz="4" w:space="0" w:color="auto"/>
            </w:tcBorders>
          </w:tcPr>
          <w:p w:rsidR="0065537F" w:rsidRPr="006A74F8"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65537F" w:rsidRPr="006A74F8"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65537F" w:rsidRPr="006A74F8"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4" w:type="dxa"/>
            <w:vMerge/>
            <w:tcBorders>
              <w:bottom w:val="double" w:sz="4" w:space="0" w:color="auto"/>
            </w:tcBorders>
          </w:tcPr>
          <w:p w:rsidR="0065537F" w:rsidRPr="006A74F8" w:rsidRDefault="0065537F" w:rsidP="004B7992">
            <w:pPr>
              <w:cnfStyle w:val="100000000000" w:firstRow="1" w:lastRow="0" w:firstColumn="0" w:lastColumn="0" w:oddVBand="0" w:evenVBand="0" w:oddHBand="0" w:evenHBand="0" w:firstRowFirstColumn="0" w:firstRowLastColumn="0" w:lastRowFirstColumn="0" w:lastRowLastColumn="0"/>
            </w:pPr>
          </w:p>
        </w:tc>
      </w:tr>
      <w:tr w:rsidR="0065537F" w:rsidRPr="006A74F8"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rsidR="0065537F" w:rsidRPr="006A74F8" w:rsidRDefault="0065537F" w:rsidP="004B7992">
            <w:pPr>
              <w:rPr>
                <w:rFonts w:eastAsia="Calibri" w:cstheme="minorHAnsi"/>
                <w:b w:val="0"/>
                <w:sz w:val="20"/>
                <w:szCs w:val="20"/>
              </w:rPr>
            </w:pPr>
            <w:r w:rsidRPr="006A74F8">
              <w:rPr>
                <w:rFonts w:cstheme="minorHAnsi"/>
                <w:b w:val="0"/>
                <w:sz w:val="20"/>
                <w:szCs w:val="20"/>
              </w:rPr>
              <w:t>Better regulatory collaboration on measurement issues</w:t>
            </w:r>
          </w:p>
        </w:tc>
        <w:tc>
          <w:tcPr>
            <w:tcW w:w="633" w:type="dxa"/>
            <w:tcBorders>
              <w:right w:val="single" w:sz="4" w:space="0" w:color="FFFFFF" w:themeColor="background1"/>
            </w:tcBorders>
            <w:shd w:val="clear" w:color="auto" w:fill="ACD7CA"/>
            <w:vAlign w:val="center"/>
          </w:tcPr>
          <w:p w:rsidR="0065537F" w:rsidRPr="006A74F8"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33" w:type="dxa"/>
            <w:tcBorders>
              <w:left w:val="single" w:sz="4" w:space="0" w:color="FFFFFF" w:themeColor="background1"/>
              <w:right w:val="single" w:sz="4" w:space="0" w:color="FFFFFF" w:themeColor="background1"/>
            </w:tcBorders>
            <w:shd w:val="clear" w:color="auto" w:fill="ACD7CA"/>
            <w:vAlign w:val="center"/>
          </w:tcPr>
          <w:p w:rsidR="0065537F" w:rsidRPr="006A74F8"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33" w:type="dxa"/>
            <w:tcBorders>
              <w:left w:val="single" w:sz="4" w:space="0" w:color="FFFFFF" w:themeColor="background1"/>
            </w:tcBorders>
            <w:shd w:val="clear" w:color="auto" w:fill="ACD7CA"/>
            <w:vAlign w:val="center"/>
          </w:tcPr>
          <w:p w:rsidR="0065537F" w:rsidRPr="006A74F8"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5134" w:type="dxa"/>
            <w:vAlign w:val="center"/>
          </w:tcPr>
          <w:p w:rsidR="0065537F" w:rsidRPr="006A74F8" w:rsidRDefault="0065537F" w:rsidP="006A0A49">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6A74F8">
              <w:rPr>
                <w:rFonts w:cstheme="minorHAnsi"/>
                <w:b/>
                <w:sz w:val="20"/>
                <w:szCs w:val="20"/>
              </w:rPr>
              <w:t>Collaborative regulatory action:</w:t>
            </w:r>
            <w:r w:rsidRPr="006A74F8">
              <w:rPr>
                <w:rFonts w:cstheme="minorHAnsi"/>
                <w:sz w:val="20"/>
                <w:szCs w:val="20"/>
              </w:rPr>
              <w:t xml:space="preserve"> Under </w:t>
            </w:r>
            <w:r w:rsidRPr="006A74F8">
              <w:rPr>
                <w:rFonts w:cstheme="minorHAnsi"/>
                <w:b/>
                <w:sz w:val="20"/>
                <w:szCs w:val="20"/>
              </w:rPr>
              <w:t>all reform options</w:t>
            </w:r>
            <w:r w:rsidRPr="006A74F8">
              <w:rPr>
                <w:rFonts w:cstheme="minorHAnsi"/>
                <w:sz w:val="20"/>
                <w:szCs w:val="20"/>
              </w:rPr>
              <w:t xml:space="preserve"> it will be easier for NMI to share relevant regulatory information with other regulators. Under </w:t>
            </w:r>
            <w:r w:rsidRPr="006A74F8">
              <w:rPr>
                <w:rFonts w:cstheme="minorHAnsi"/>
                <w:b/>
                <w:sz w:val="20"/>
                <w:szCs w:val="20"/>
              </w:rPr>
              <w:t>option 3</w:t>
            </w:r>
            <w:r w:rsidRPr="006A74F8">
              <w:rPr>
                <w:rFonts w:cstheme="minorHAnsi"/>
                <w:sz w:val="20"/>
                <w:szCs w:val="20"/>
              </w:rPr>
              <w:t xml:space="preserve"> NMI would be able to help regulate measurements that regulators rely on</w:t>
            </w:r>
            <w:r w:rsidR="006A0A49" w:rsidRPr="006A74F8">
              <w:rPr>
                <w:rFonts w:cstheme="minorHAnsi"/>
                <w:sz w:val="20"/>
                <w:szCs w:val="20"/>
              </w:rPr>
              <w:t>,</w:t>
            </w:r>
            <w:r w:rsidRPr="006A74F8">
              <w:rPr>
                <w:rFonts w:cstheme="minorHAnsi"/>
                <w:sz w:val="20"/>
                <w:szCs w:val="20"/>
              </w:rPr>
              <w:t xml:space="preserve"> and take targeted action in partnership with or on behalf of regulators.</w:t>
            </w:r>
          </w:p>
        </w:tc>
      </w:tr>
    </w:tbl>
    <w:p w:rsidR="00601912" w:rsidRPr="006A74F8" w:rsidRDefault="00601912" w:rsidP="00742064">
      <w:pPr>
        <w:spacing w:before="240"/>
      </w:pPr>
      <w:r w:rsidRPr="006A74F8">
        <w:t>The legislation currently enables NMI to undertake regulatory monitoring activities</w:t>
      </w:r>
      <w:r w:rsidR="0094552B" w:rsidRPr="006A74F8">
        <w:t xml:space="preserve"> and</w:t>
      </w:r>
      <w:r w:rsidRPr="006A74F8">
        <w:t xml:space="preserve"> compliance and enforcement action only in relation to measurements and instruments used in trade. This limits NMI’s ability to work with other regulators to support confidence in the measurements </w:t>
      </w:r>
      <w:r w:rsidR="00C115FA" w:rsidRPr="006A74F8">
        <w:t>they</w:t>
      </w:r>
      <w:r w:rsidRPr="006A74F8">
        <w:t xml:space="preserve"> rely on </w:t>
      </w:r>
      <w:r w:rsidR="00C115FA" w:rsidRPr="006A74F8">
        <w:t>or to</w:t>
      </w:r>
      <w:r w:rsidRPr="006A74F8">
        <w:t xml:space="preserve"> respond to measurement issue</w:t>
      </w:r>
      <w:r w:rsidR="00C115FA" w:rsidRPr="006A74F8">
        <w:t>s</w:t>
      </w:r>
      <w:r w:rsidRPr="006A74F8">
        <w:t xml:space="preserve"> identified in other sectors. </w:t>
      </w:r>
    </w:p>
    <w:p w:rsidR="00601912" w:rsidRPr="006A74F8" w:rsidRDefault="00601912" w:rsidP="00D94F1E">
      <w:r w:rsidRPr="006A74F8">
        <w:t>NMI currently support</w:t>
      </w:r>
      <w:r w:rsidR="00214ADD" w:rsidRPr="006A74F8">
        <w:t>s</w:t>
      </w:r>
      <w:r w:rsidRPr="006A74F8">
        <w:t xml:space="preserve"> accurate</w:t>
      </w:r>
      <w:r w:rsidR="00301F6E" w:rsidRPr="006A74F8">
        <w:t>,</w:t>
      </w:r>
      <w:r w:rsidRPr="006A74F8">
        <w:t xml:space="preserve"> reliable measurements and provides measurement services and </w:t>
      </w:r>
      <w:r w:rsidR="00214ADD" w:rsidRPr="006A74F8">
        <w:t xml:space="preserve">general </w:t>
      </w:r>
      <w:r w:rsidRPr="006A74F8">
        <w:t>advice to other regulators. However</w:t>
      </w:r>
      <w:r w:rsidR="00214ADD" w:rsidRPr="006A74F8">
        <w:t>,</w:t>
      </w:r>
      <w:r w:rsidRPr="006A74F8">
        <w:t xml:space="preserve"> there</w:t>
      </w:r>
      <w:r w:rsidR="00214ADD" w:rsidRPr="006A74F8">
        <w:t xml:space="preserve"> is</w:t>
      </w:r>
      <w:r w:rsidRPr="006A74F8">
        <w:t xml:space="preserve"> currently a secrecy provision contained in the </w:t>
      </w:r>
      <w:r w:rsidR="002D0121" w:rsidRPr="006A74F8">
        <w:t>measurement legislation</w:t>
      </w:r>
      <w:r w:rsidRPr="006A74F8">
        <w:rPr>
          <w:i/>
        </w:rPr>
        <w:t xml:space="preserve"> </w:t>
      </w:r>
      <w:r w:rsidRPr="006A74F8">
        <w:t xml:space="preserve">which prohibits NMI from </w:t>
      </w:r>
      <w:r w:rsidR="002D0121" w:rsidRPr="006A74F8">
        <w:t>disclosing</w:t>
      </w:r>
      <w:r w:rsidR="00214ADD" w:rsidRPr="006A74F8">
        <w:t xml:space="preserve"> </w:t>
      </w:r>
      <w:r w:rsidR="002327B9" w:rsidRPr="006A74F8">
        <w:t xml:space="preserve">protected </w:t>
      </w:r>
      <w:r w:rsidRPr="006A74F8">
        <w:t>information</w:t>
      </w:r>
      <w:r w:rsidR="002D0121" w:rsidRPr="006A74F8">
        <w:rPr>
          <w:rStyle w:val="FootnoteReference"/>
        </w:rPr>
        <w:footnoteReference w:id="123"/>
      </w:r>
      <w:r w:rsidRPr="006A74F8">
        <w:t xml:space="preserve">. Under </w:t>
      </w:r>
      <w:r w:rsidRPr="006A74F8">
        <w:rPr>
          <w:b/>
        </w:rPr>
        <w:t>all reform options</w:t>
      </w:r>
      <w:r w:rsidRPr="006A74F8">
        <w:t xml:space="preserve">, this secrecy provision would be removed and NMI will be </w:t>
      </w:r>
      <w:r w:rsidR="00794FFD" w:rsidRPr="006A74F8">
        <w:t xml:space="preserve">better </w:t>
      </w:r>
      <w:r w:rsidRPr="006A74F8">
        <w:t xml:space="preserve">able to share relevant information, enhancing the services and advice that NMI can provide. </w:t>
      </w:r>
    </w:p>
    <w:p w:rsidR="00601912" w:rsidRPr="006A74F8" w:rsidRDefault="00601912" w:rsidP="00D94F1E">
      <w:r w:rsidRPr="006A74F8">
        <w:t xml:space="preserve">Across </w:t>
      </w:r>
      <w:r w:rsidRPr="006A74F8">
        <w:rPr>
          <w:b/>
        </w:rPr>
        <w:t>all reform options</w:t>
      </w:r>
      <w:r w:rsidRPr="006A74F8">
        <w:t>, compliance and enforcement activities will benefit from the removal of the secrecy provision</w:t>
      </w:r>
      <w:r w:rsidR="00214ADD" w:rsidRPr="006A74F8">
        <w:t xml:space="preserve"> which will allow for greater sharing of information to support other regulators</w:t>
      </w:r>
      <w:r w:rsidR="002D0121" w:rsidRPr="006A74F8">
        <w:t>.</w:t>
      </w:r>
    </w:p>
    <w:p w:rsidR="00601912" w:rsidRPr="006A74F8" w:rsidRDefault="00601912" w:rsidP="00D94F1E">
      <w:pPr>
        <w:rPr>
          <w:rFonts w:ascii="Times New Roman" w:eastAsia="Times New Roman" w:hAnsi="Times New Roman" w:cs="Times New Roman"/>
          <w:color w:val="000000"/>
          <w:sz w:val="24"/>
          <w:szCs w:val="24"/>
          <w:lang w:val="en-GB" w:eastAsia="en-GB"/>
        </w:rPr>
      </w:pPr>
      <w:r w:rsidRPr="006A74F8">
        <w:t xml:space="preserve">Under </w:t>
      </w:r>
      <w:r w:rsidRPr="006A74F8">
        <w:rPr>
          <w:b/>
        </w:rPr>
        <w:t xml:space="preserve">option 3, </w:t>
      </w:r>
      <w:r w:rsidRPr="006A74F8">
        <w:t>NMI would be able to extend its regulation of measurement, including compliance and enforcement activities, beyond trade measurement to support other regulators. This would enable NMI to help address measurement issues encountered by other government agencies</w:t>
      </w:r>
      <w:r w:rsidR="00794FFD" w:rsidRPr="006A74F8">
        <w:t>,</w:t>
      </w:r>
      <w:r w:rsidRPr="006A74F8">
        <w:t xml:space="preserve"> not just through service provision and advice (as it does currently), but with </w:t>
      </w:r>
      <w:r w:rsidR="00214ADD" w:rsidRPr="006A74F8">
        <w:t>regulatory power</w:t>
      </w:r>
      <w:r w:rsidRPr="006A74F8">
        <w:t xml:space="preserve"> as well.</w:t>
      </w:r>
      <w:r w:rsidRPr="006A74F8">
        <w:rPr>
          <w:rFonts w:ascii="Times New Roman" w:eastAsia="Times New Roman" w:hAnsi="Times New Roman" w:cs="Times New Roman"/>
          <w:color w:val="000000"/>
          <w:sz w:val="24"/>
          <w:szCs w:val="24"/>
          <w:lang w:val="en-GB" w:eastAsia="en-GB"/>
        </w:rPr>
        <w:t xml:space="preserve"> </w:t>
      </w:r>
    </w:p>
    <w:p w:rsidR="00601912" w:rsidRPr="006A74F8" w:rsidRDefault="00601912" w:rsidP="00D94F1E">
      <w:r w:rsidRPr="006A74F8">
        <w:t>This would primarily be done in collaboration with other regulators and may be appropriate:</w:t>
      </w:r>
    </w:p>
    <w:p w:rsidR="00601912" w:rsidRPr="006A74F8" w:rsidRDefault="00601912" w:rsidP="00794FFD">
      <w:pPr>
        <w:pStyle w:val="ListParagraph"/>
        <w:numPr>
          <w:ilvl w:val="0"/>
          <w:numId w:val="99"/>
        </w:numPr>
      </w:pPr>
      <w:r w:rsidRPr="006A74F8">
        <w:t>to help provide baseline regulatory support for new and emerging measurement applications;</w:t>
      </w:r>
    </w:p>
    <w:p w:rsidR="00601912" w:rsidRPr="006A74F8" w:rsidRDefault="00601912" w:rsidP="00794FFD">
      <w:pPr>
        <w:pStyle w:val="ListParagraph"/>
        <w:numPr>
          <w:ilvl w:val="0"/>
          <w:numId w:val="99"/>
        </w:numPr>
      </w:pPr>
      <w:r w:rsidRPr="006A74F8">
        <w:t xml:space="preserve">in response to significant, high-risk measurement issues or </w:t>
      </w:r>
      <w:r w:rsidR="002D2D64" w:rsidRPr="006A74F8">
        <w:t>crisis</w:t>
      </w:r>
      <w:r w:rsidRPr="006A74F8">
        <w:t>;</w:t>
      </w:r>
    </w:p>
    <w:p w:rsidR="00601912" w:rsidRPr="006A74F8" w:rsidRDefault="00601912" w:rsidP="00794FFD">
      <w:pPr>
        <w:pStyle w:val="ListParagraph"/>
        <w:numPr>
          <w:ilvl w:val="0"/>
          <w:numId w:val="99"/>
        </w:numPr>
      </w:pPr>
      <w:r w:rsidRPr="006A74F8">
        <w:t xml:space="preserve">where other regulators have incomplete jurisdiction or lack sufficient powers to address a particular issue; or  </w:t>
      </w:r>
    </w:p>
    <w:p w:rsidR="00601912" w:rsidRPr="006A74F8" w:rsidRDefault="00214ADD" w:rsidP="00794FFD">
      <w:pPr>
        <w:pStyle w:val="ListParagraph"/>
        <w:numPr>
          <w:ilvl w:val="0"/>
          <w:numId w:val="99"/>
        </w:numPr>
      </w:pPr>
      <w:r w:rsidRPr="006A74F8">
        <w:t xml:space="preserve">where other regulators </w:t>
      </w:r>
      <w:r w:rsidR="00601912" w:rsidRPr="006A74F8">
        <w:t xml:space="preserve">lack capability to address particular measurement failures. </w:t>
      </w:r>
    </w:p>
    <w:p w:rsidR="00601912" w:rsidRPr="006A74F8" w:rsidRDefault="00601912" w:rsidP="00794FFD">
      <w:r w:rsidRPr="006A74F8">
        <w:lastRenderedPageBreak/>
        <w:t xml:space="preserve">Regulatory collaboration would require prioritisation and additional resourcing for NMI and may require NMI to develop additional technical capabilities. </w:t>
      </w:r>
    </w:p>
    <w:p w:rsidR="00601912" w:rsidRPr="006A74F8" w:rsidRDefault="00601912" w:rsidP="00C22303">
      <w:pPr>
        <w:pStyle w:val="Heading3"/>
        <w:tabs>
          <w:tab w:val="left" w:pos="993"/>
        </w:tabs>
      </w:pPr>
      <w:r w:rsidRPr="006A74F8">
        <w:t xml:space="preserve">Greater </w:t>
      </w:r>
      <w:r w:rsidR="003C486A" w:rsidRPr="006A74F8">
        <w:t xml:space="preserve">assurance regarding </w:t>
      </w:r>
      <w:r w:rsidRPr="006A74F8">
        <w:t xml:space="preserve">international instruments </w:t>
      </w:r>
    </w:p>
    <w:tbl>
      <w:tblPr>
        <w:tblStyle w:val="PlainTable2"/>
        <w:tblW w:w="8875" w:type="dxa"/>
        <w:tblLook w:val="04A0" w:firstRow="1" w:lastRow="0" w:firstColumn="1" w:lastColumn="0" w:noHBand="0" w:noVBand="1"/>
        <w:tblCaption w:val="16.1.3 Greater assurance regarding international instruments "/>
        <w:tblDescription w:val="Greater assurance regarding international instruments. Option 1 is rated +1, slight beneficial. Options 2 and 3 are rated +2 moderate beneficial. &#10;Greater acceptance of international instruments increases access: regulators leverage off enhanced assurance pathways under the measurement legislation for overseas measuring instruments to meet their measurement needs. &#10;"/>
      </w:tblPr>
      <w:tblGrid>
        <w:gridCol w:w="1842"/>
        <w:gridCol w:w="633"/>
        <w:gridCol w:w="633"/>
        <w:gridCol w:w="633"/>
        <w:gridCol w:w="5134"/>
      </w:tblGrid>
      <w:tr w:rsidR="00D6601C" w:rsidRPr="006A74F8"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rsidR="00D6601C" w:rsidRPr="006A74F8" w:rsidRDefault="00D6601C" w:rsidP="004B7992">
            <w:r w:rsidRPr="006A74F8">
              <w:t>Impact</w:t>
            </w:r>
          </w:p>
        </w:tc>
        <w:tc>
          <w:tcPr>
            <w:tcW w:w="1899" w:type="dxa"/>
            <w:gridSpan w:val="3"/>
            <w:tcBorders>
              <w:top w:val="single" w:sz="12" w:space="0" w:color="000000" w:themeColor="text1"/>
              <w:bottom w:val="nil"/>
            </w:tcBorders>
            <w:vAlign w:val="center"/>
          </w:tcPr>
          <w:p w:rsidR="00D6601C" w:rsidRPr="006A74F8" w:rsidRDefault="00D6601C" w:rsidP="004B7992">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4" w:type="dxa"/>
            <w:vMerge w:val="restart"/>
            <w:tcBorders>
              <w:top w:val="single" w:sz="12" w:space="0" w:color="000000" w:themeColor="text1"/>
            </w:tcBorders>
            <w:vAlign w:val="center"/>
          </w:tcPr>
          <w:p w:rsidR="00D6601C" w:rsidRPr="006A74F8" w:rsidRDefault="00D6601C" w:rsidP="004B7992">
            <w:pPr>
              <w:cnfStyle w:val="100000000000" w:firstRow="1" w:lastRow="0" w:firstColumn="0" w:lastColumn="0" w:oddVBand="0" w:evenVBand="0" w:oddHBand="0" w:evenHBand="0" w:firstRowFirstColumn="0" w:firstRowLastColumn="0" w:lastRowFirstColumn="0" w:lastRowLastColumn="0"/>
            </w:pPr>
            <w:r w:rsidRPr="006A74F8">
              <w:t>Explanation</w:t>
            </w:r>
          </w:p>
        </w:tc>
      </w:tr>
      <w:tr w:rsidR="00D6601C" w:rsidRPr="006A74F8"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rsidR="00D6601C" w:rsidRPr="006A74F8" w:rsidRDefault="00D6601C" w:rsidP="004B7992"/>
        </w:tc>
        <w:tc>
          <w:tcPr>
            <w:tcW w:w="633" w:type="dxa"/>
            <w:tcBorders>
              <w:top w:val="nil"/>
              <w:bottom w:val="double" w:sz="4" w:space="0" w:color="auto"/>
            </w:tcBorders>
          </w:tcPr>
          <w:p w:rsidR="00D6601C" w:rsidRPr="006A74F8" w:rsidRDefault="00D6601C"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D6601C" w:rsidRPr="006A74F8" w:rsidRDefault="00D6601C"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D6601C" w:rsidRPr="006A74F8" w:rsidRDefault="00D6601C"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4" w:type="dxa"/>
            <w:vMerge/>
            <w:tcBorders>
              <w:bottom w:val="double" w:sz="4" w:space="0" w:color="auto"/>
            </w:tcBorders>
          </w:tcPr>
          <w:p w:rsidR="00D6601C" w:rsidRPr="006A74F8" w:rsidRDefault="00D6601C" w:rsidP="004B7992">
            <w:pPr>
              <w:cnfStyle w:val="100000000000" w:firstRow="1" w:lastRow="0" w:firstColumn="0" w:lastColumn="0" w:oddVBand="0" w:evenVBand="0" w:oddHBand="0" w:evenHBand="0" w:firstRowFirstColumn="0" w:firstRowLastColumn="0" w:lastRowFirstColumn="0" w:lastRowLastColumn="0"/>
            </w:pPr>
          </w:p>
        </w:tc>
      </w:tr>
      <w:tr w:rsidR="00D6601C" w:rsidRPr="006A74F8"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rsidR="00D6601C" w:rsidRPr="006A74F8" w:rsidRDefault="00D6601C" w:rsidP="004B7992">
            <w:pPr>
              <w:rPr>
                <w:rFonts w:eastAsia="Calibri" w:cstheme="minorHAnsi"/>
                <w:b w:val="0"/>
                <w:sz w:val="20"/>
                <w:szCs w:val="20"/>
              </w:rPr>
            </w:pPr>
            <w:r w:rsidRPr="006A74F8">
              <w:rPr>
                <w:rFonts w:cstheme="minorHAnsi"/>
                <w:b w:val="0"/>
                <w:color w:val="000000"/>
                <w:sz w:val="20"/>
                <w:szCs w:val="20"/>
                <w:lang w:val="en-US"/>
              </w:rPr>
              <w:t>Greater assurance regarding international instruments</w:t>
            </w:r>
          </w:p>
        </w:tc>
        <w:tc>
          <w:tcPr>
            <w:tcW w:w="633" w:type="dxa"/>
            <w:tcBorders>
              <w:right w:val="single" w:sz="4" w:space="0" w:color="FFFFFF" w:themeColor="background1"/>
            </w:tcBorders>
            <w:shd w:val="clear" w:color="auto" w:fill="ACD7CA"/>
            <w:vAlign w:val="center"/>
          </w:tcPr>
          <w:p w:rsidR="00D6601C" w:rsidRPr="006A74F8" w:rsidRDefault="00D6601C"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33" w:type="dxa"/>
            <w:tcBorders>
              <w:left w:val="single" w:sz="4" w:space="0" w:color="FFFFFF" w:themeColor="background1"/>
              <w:right w:val="single" w:sz="4" w:space="0" w:color="FFFFFF" w:themeColor="background1"/>
            </w:tcBorders>
            <w:shd w:val="clear" w:color="auto" w:fill="398E98"/>
            <w:vAlign w:val="center"/>
          </w:tcPr>
          <w:p w:rsidR="00D6601C" w:rsidRPr="006A74F8" w:rsidRDefault="00D6601C"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33" w:type="dxa"/>
            <w:tcBorders>
              <w:left w:val="single" w:sz="4" w:space="0" w:color="FFFFFF" w:themeColor="background1"/>
            </w:tcBorders>
            <w:shd w:val="clear" w:color="auto" w:fill="398E98"/>
            <w:vAlign w:val="center"/>
          </w:tcPr>
          <w:p w:rsidR="00D6601C" w:rsidRPr="006A74F8" w:rsidRDefault="00D6601C"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5134" w:type="dxa"/>
            <w:vAlign w:val="center"/>
          </w:tcPr>
          <w:p w:rsidR="00D6601C" w:rsidRPr="006A74F8" w:rsidRDefault="00D6601C" w:rsidP="004B7992">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6A74F8">
              <w:rPr>
                <w:rFonts w:cstheme="minorHAnsi"/>
                <w:b/>
                <w:sz w:val="20"/>
                <w:szCs w:val="20"/>
              </w:rPr>
              <w:t>Greater acceptance of international instruments increases access:</w:t>
            </w:r>
            <w:r w:rsidR="00FE11D6" w:rsidRPr="006A74F8">
              <w:rPr>
                <w:rFonts w:cstheme="minorHAnsi"/>
                <w:sz w:val="20"/>
                <w:szCs w:val="20"/>
              </w:rPr>
              <w:t xml:space="preserve"> R</w:t>
            </w:r>
            <w:r w:rsidRPr="006A74F8">
              <w:rPr>
                <w:rFonts w:cstheme="minorHAnsi"/>
                <w:sz w:val="20"/>
                <w:szCs w:val="20"/>
              </w:rPr>
              <w:t>egulators leverage off enhanced assurance pathways under the measurement legislation for overseas measuring instruments to meet their measurement needs.</w:t>
            </w:r>
          </w:p>
        </w:tc>
      </w:tr>
    </w:tbl>
    <w:p w:rsidR="003776FA" w:rsidRPr="006A74F8" w:rsidRDefault="002315F7" w:rsidP="00D6601C">
      <w:pPr>
        <w:spacing w:before="240"/>
      </w:pPr>
      <w:r w:rsidRPr="006A74F8">
        <w:t xml:space="preserve">Where regulators rely on the accuracy of measurement to achieve their regulatory outcomes, they </w:t>
      </w:r>
      <w:r w:rsidR="003776FA" w:rsidRPr="006A74F8">
        <w:t xml:space="preserve">may </w:t>
      </w:r>
      <w:r w:rsidRPr="006A74F8">
        <w:t>specify certain requirements regarding instruments in their legislation</w:t>
      </w:r>
      <w:r w:rsidR="003776FA" w:rsidRPr="006A74F8">
        <w:t xml:space="preserve"> to ensure these instruments are fit for purpose</w:t>
      </w:r>
      <w:r w:rsidRPr="006A74F8">
        <w:t xml:space="preserve">. </w:t>
      </w:r>
      <w:r w:rsidR="003776FA" w:rsidRPr="006A74F8">
        <w:t xml:space="preserve">For example, requiring instruments </w:t>
      </w:r>
      <w:r w:rsidR="00742064" w:rsidRPr="006A74F8">
        <w:t>are</w:t>
      </w:r>
      <w:r w:rsidR="003776FA" w:rsidRPr="006A74F8">
        <w:t xml:space="preserve"> pattern approved</w:t>
      </w:r>
      <w:r w:rsidR="003776FA" w:rsidRPr="006A74F8">
        <w:rPr>
          <w:rStyle w:val="FootnoteReference"/>
        </w:rPr>
        <w:footnoteReference w:id="124"/>
      </w:r>
      <w:r w:rsidR="003776FA" w:rsidRPr="006A74F8">
        <w:t xml:space="preserve"> under the measurement </w:t>
      </w:r>
      <w:r w:rsidR="00E72AAE" w:rsidRPr="006A74F8">
        <w:t>legislation</w:t>
      </w:r>
      <w:r w:rsidR="003776FA" w:rsidRPr="006A74F8">
        <w:t>. By linking to the measurement legislation, those regulators are able to leverage off NMI’s pattern approval process</w:t>
      </w:r>
      <w:r w:rsidR="003F23D8" w:rsidRPr="006A74F8">
        <w:t>.</w:t>
      </w:r>
      <w:r w:rsidR="003776FA" w:rsidRPr="006A74F8">
        <w:t xml:space="preserve"> </w:t>
      </w:r>
      <w:r w:rsidR="003F23D8" w:rsidRPr="006A74F8">
        <w:t>This</w:t>
      </w:r>
      <w:r w:rsidR="003776FA" w:rsidRPr="006A74F8">
        <w:t xml:space="preserve"> provides assurance that measuring instruments meet international requirements and are suitable for Australian conditions.</w:t>
      </w:r>
    </w:p>
    <w:p w:rsidR="003C486A" w:rsidRPr="006A74F8" w:rsidRDefault="00582179" w:rsidP="00D94F1E">
      <w:pPr>
        <w:spacing w:before="120"/>
        <w:rPr>
          <w:rFonts w:ascii="Calibri" w:eastAsia="Calibri" w:hAnsi="Calibri" w:cs="Calibri"/>
        </w:rPr>
      </w:pPr>
      <w:r w:rsidRPr="006A74F8">
        <w:t xml:space="preserve">All options provide efficiencies for regulators </w:t>
      </w:r>
      <w:r w:rsidR="003C486A" w:rsidRPr="006A74F8">
        <w:t xml:space="preserve">relying on </w:t>
      </w:r>
      <w:r w:rsidRPr="006A74F8">
        <w:t>overseas measuring</w:t>
      </w:r>
      <w:r w:rsidR="002315F7" w:rsidRPr="006A74F8">
        <w:t xml:space="preserve"> instruments</w:t>
      </w:r>
      <w:r w:rsidR="003C486A" w:rsidRPr="006A74F8">
        <w:t xml:space="preserve"> to meet their needs by expanding the scope of assurance mechanisms</w:t>
      </w:r>
      <w:r w:rsidR="002315F7" w:rsidRPr="006A74F8">
        <w:t>:</w:t>
      </w:r>
      <w:r w:rsidR="003C486A" w:rsidRPr="006A74F8">
        <w:t xml:space="preserve"> </w:t>
      </w:r>
    </w:p>
    <w:p w:rsidR="00601912" w:rsidRPr="006A74F8" w:rsidRDefault="00601912" w:rsidP="00A63C20">
      <w:pPr>
        <w:pStyle w:val="ListParagraph"/>
        <w:numPr>
          <w:ilvl w:val="0"/>
          <w:numId w:val="99"/>
        </w:numPr>
      </w:pPr>
      <w:r w:rsidRPr="006A74F8">
        <w:t xml:space="preserve">Under </w:t>
      </w:r>
      <w:r w:rsidR="00A77285" w:rsidRPr="006A74F8">
        <w:rPr>
          <w:b/>
        </w:rPr>
        <w:t>option 1</w:t>
      </w:r>
      <w:r w:rsidRPr="006A74F8">
        <w:t xml:space="preserve">, there is the flexibility to </w:t>
      </w:r>
      <w:r w:rsidR="005A0F63" w:rsidRPr="006A74F8">
        <w:t xml:space="preserve">recognise overseas test results (e.g. </w:t>
      </w:r>
      <w:r w:rsidRPr="006A74F8">
        <w:t>OIML-CS</w:t>
      </w:r>
      <w:r w:rsidR="00E76BDE" w:rsidRPr="006A74F8">
        <w:rPr>
          <w:vertAlign w:val="superscript"/>
        </w:rPr>
        <w:footnoteReference w:id="125"/>
      </w:r>
      <w:r w:rsidR="005A0F63" w:rsidRPr="006A74F8">
        <w:t>)</w:t>
      </w:r>
      <w:r w:rsidRPr="006A74F8">
        <w:t>. This streamlining identifies reliable instruments suitable for Australian conditions that may be used for regulatory purposes.</w:t>
      </w:r>
    </w:p>
    <w:p w:rsidR="005A0F63" w:rsidRPr="006A74F8" w:rsidRDefault="005A0F63" w:rsidP="00A63C20">
      <w:pPr>
        <w:pStyle w:val="ListParagraph"/>
        <w:numPr>
          <w:ilvl w:val="0"/>
          <w:numId w:val="99"/>
        </w:numPr>
      </w:pPr>
      <w:r w:rsidRPr="006A74F8">
        <w:t xml:space="preserve">Under </w:t>
      </w:r>
      <w:r w:rsidR="009F0892" w:rsidRPr="006A74F8">
        <w:rPr>
          <w:b/>
        </w:rPr>
        <w:t>o</w:t>
      </w:r>
      <w:r w:rsidRPr="006A74F8">
        <w:rPr>
          <w:b/>
        </w:rPr>
        <w:t>ption</w:t>
      </w:r>
      <w:r w:rsidRPr="006A74F8">
        <w:t xml:space="preserve"> </w:t>
      </w:r>
      <w:r w:rsidRPr="006A74F8">
        <w:rPr>
          <w:b/>
        </w:rPr>
        <w:t>2</w:t>
      </w:r>
      <w:r w:rsidRPr="006A74F8">
        <w:t>,</w:t>
      </w:r>
      <w:r w:rsidR="00A77285" w:rsidRPr="006A74F8">
        <w:t xml:space="preserve"> in addition to recognising overseas test results,</w:t>
      </w:r>
      <w:r w:rsidR="007D3D1E" w:rsidRPr="006A74F8">
        <w:t xml:space="preserve"> </w:t>
      </w:r>
      <w:r w:rsidRPr="006A74F8">
        <w:t xml:space="preserve">there will be greater recognition of overseas approvals </w:t>
      </w:r>
      <w:r w:rsidR="00A77285" w:rsidRPr="006A74F8">
        <w:t xml:space="preserve">(e.g. </w:t>
      </w:r>
      <w:r w:rsidR="00546A54" w:rsidRPr="006A74F8">
        <w:t xml:space="preserve">an </w:t>
      </w:r>
      <w:r w:rsidR="00546A54" w:rsidRPr="006A74F8">
        <w:rPr>
          <w:rFonts w:eastAsia="Calibri" w:cstheme="minorHAnsi"/>
        </w:rPr>
        <w:t>MID</w:t>
      </w:r>
      <w:r w:rsidR="00546A54" w:rsidRPr="006A74F8">
        <w:rPr>
          <w:vertAlign w:val="superscript"/>
        </w:rPr>
        <w:footnoteReference w:id="126"/>
      </w:r>
      <w:r w:rsidR="00546A54" w:rsidRPr="006A74F8">
        <w:t xml:space="preserve"> </w:t>
      </w:r>
      <w:r w:rsidR="00A77285" w:rsidRPr="006A74F8">
        <w:t>approval</w:t>
      </w:r>
      <w:r w:rsidR="002315F7" w:rsidRPr="006A74F8">
        <w:t>)</w:t>
      </w:r>
      <w:r w:rsidR="003C486A" w:rsidRPr="006A74F8">
        <w:t xml:space="preserve"> for instruments used in trade</w:t>
      </w:r>
      <w:r w:rsidR="000E5931" w:rsidRPr="006A74F8">
        <w:t>,</w:t>
      </w:r>
      <w:r w:rsidR="00640162" w:rsidRPr="006A74F8">
        <w:t xml:space="preserve"> which could also be relied on for other regulatory purposes</w:t>
      </w:r>
      <w:r w:rsidR="002315F7" w:rsidRPr="006A74F8">
        <w:t xml:space="preserve">. </w:t>
      </w:r>
      <w:r w:rsidR="001855B8" w:rsidRPr="006A74F8">
        <w:t>There is also</w:t>
      </w:r>
      <w:r w:rsidRPr="006A74F8">
        <w:t xml:space="preserve"> potential for recognition </w:t>
      </w:r>
      <w:r w:rsidR="00391070" w:rsidRPr="006A74F8">
        <w:t xml:space="preserve">of </w:t>
      </w:r>
      <w:r w:rsidRPr="006A74F8">
        <w:t>overseas verification</w:t>
      </w:r>
      <w:r w:rsidR="00A77285" w:rsidRPr="006A74F8">
        <w:t>s</w:t>
      </w:r>
      <w:r w:rsidRPr="006A74F8">
        <w:t xml:space="preserve"> and conformance assessments.</w:t>
      </w:r>
      <w:r w:rsidR="00A77285" w:rsidRPr="006A74F8">
        <w:t xml:space="preserve"> </w:t>
      </w:r>
    </w:p>
    <w:p w:rsidR="00037955" w:rsidRPr="006A74F8" w:rsidRDefault="00A77285" w:rsidP="000E5931">
      <w:pPr>
        <w:pStyle w:val="ListParagraph"/>
        <w:numPr>
          <w:ilvl w:val="0"/>
          <w:numId w:val="99"/>
        </w:numPr>
        <w:spacing w:after="240"/>
        <w:ind w:left="816" w:hanging="357"/>
        <w:contextualSpacing w:val="0"/>
      </w:pPr>
      <w:r w:rsidRPr="006A74F8">
        <w:rPr>
          <w:b/>
        </w:rPr>
        <w:t>O</w:t>
      </w:r>
      <w:r w:rsidR="00601912" w:rsidRPr="006A74F8">
        <w:rPr>
          <w:b/>
        </w:rPr>
        <w:t>ption 3</w:t>
      </w:r>
      <w:r w:rsidRPr="006A74F8">
        <w:t xml:space="preserve"> is as for </w:t>
      </w:r>
      <w:r w:rsidR="009F0892" w:rsidRPr="006A74F8">
        <w:t>o</w:t>
      </w:r>
      <w:r w:rsidRPr="006A74F8">
        <w:t>ption 2</w:t>
      </w:r>
      <w:r w:rsidR="00601912" w:rsidRPr="006A74F8">
        <w:t xml:space="preserve">, </w:t>
      </w:r>
      <w:r w:rsidR="007D3D1E" w:rsidRPr="006A74F8">
        <w:t>but</w:t>
      </w:r>
      <w:r w:rsidR="00B311CC" w:rsidRPr="006A74F8">
        <w:t xml:space="preserve"> </w:t>
      </w:r>
      <w:r w:rsidR="00601912" w:rsidRPr="006A74F8">
        <w:t xml:space="preserve">NMI </w:t>
      </w:r>
      <w:r w:rsidR="00B311CC" w:rsidRPr="006A74F8">
        <w:t>may</w:t>
      </w:r>
      <w:r w:rsidR="00601912" w:rsidRPr="006A74F8">
        <w:t xml:space="preserve"> </w:t>
      </w:r>
      <w:r w:rsidR="002737B4" w:rsidRPr="006A74F8">
        <w:t xml:space="preserve">assist by directly </w:t>
      </w:r>
      <w:r w:rsidR="00601912" w:rsidRPr="006A74F8">
        <w:t>impos</w:t>
      </w:r>
      <w:r w:rsidR="00640162" w:rsidRPr="006A74F8">
        <w:t>ing</w:t>
      </w:r>
      <w:r w:rsidR="00601912" w:rsidRPr="006A74F8">
        <w:t xml:space="preserve"> </w:t>
      </w:r>
      <w:r w:rsidR="001855B8" w:rsidRPr="006A74F8">
        <w:t xml:space="preserve">measuring instrument </w:t>
      </w:r>
      <w:r w:rsidR="00601912" w:rsidRPr="006A74F8">
        <w:t>requirements (where appropriate)</w:t>
      </w:r>
      <w:r w:rsidR="007C4419" w:rsidRPr="006A74F8">
        <w:t xml:space="preserve"> </w:t>
      </w:r>
      <w:r w:rsidR="002737B4" w:rsidRPr="006A74F8">
        <w:t xml:space="preserve">to support </w:t>
      </w:r>
      <w:r w:rsidR="000E5931" w:rsidRPr="006A74F8">
        <w:t xml:space="preserve">measuring instruments </w:t>
      </w:r>
      <w:r w:rsidR="002737B4" w:rsidRPr="006A74F8">
        <w:t>relied on by</w:t>
      </w:r>
      <w:r w:rsidR="007C4419" w:rsidRPr="006A74F8">
        <w:t xml:space="preserve"> regulators</w:t>
      </w:r>
      <w:r w:rsidR="00601912" w:rsidRPr="006A74F8">
        <w:t>.</w:t>
      </w:r>
    </w:p>
    <w:p w:rsidR="00601912" w:rsidRPr="006A74F8" w:rsidRDefault="00601912" w:rsidP="00C22303">
      <w:pPr>
        <w:pStyle w:val="Heading3"/>
        <w:tabs>
          <w:tab w:val="left" w:pos="993"/>
        </w:tabs>
      </w:pPr>
      <w:r w:rsidRPr="006A74F8">
        <w:t>Uncertainty arising from additional NMI powers</w:t>
      </w:r>
    </w:p>
    <w:tbl>
      <w:tblPr>
        <w:tblStyle w:val="PlainTable2"/>
        <w:tblW w:w="8875" w:type="dxa"/>
        <w:tblLook w:val="04A0" w:firstRow="1" w:lastRow="0" w:firstColumn="1" w:lastColumn="0" w:noHBand="0" w:noVBand="1"/>
        <w:tblCaption w:val="16.1.4 Uncertainty arising from additional NMI powers"/>
        <w:tblDescription w:val="Uncertainty based on flexible approach to measuring instruments and NMI role. Options 1 and 2 are rated 0, neutral. Option 3 is rated -1, slight adverse.&#10;Which controls apply and when does NMI step in:  Increased flexibility and powers for NMI to regulate the measurements that other regulators rely on may create uncertainty for regulators under Option 3.  However, these powers would be expected to be used cooperatively and following consultation with the relevant regulator.&#10;"/>
      </w:tblPr>
      <w:tblGrid>
        <w:gridCol w:w="1842"/>
        <w:gridCol w:w="633"/>
        <w:gridCol w:w="633"/>
        <w:gridCol w:w="633"/>
        <w:gridCol w:w="5134"/>
      </w:tblGrid>
      <w:tr w:rsidR="00036DF8" w:rsidRPr="006A74F8"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rsidR="00036DF8" w:rsidRPr="006A74F8" w:rsidRDefault="00036DF8" w:rsidP="004B7992">
            <w:r w:rsidRPr="006A74F8">
              <w:t>Impact</w:t>
            </w:r>
          </w:p>
        </w:tc>
        <w:tc>
          <w:tcPr>
            <w:tcW w:w="1899" w:type="dxa"/>
            <w:gridSpan w:val="3"/>
            <w:tcBorders>
              <w:top w:val="single" w:sz="12" w:space="0" w:color="000000" w:themeColor="text1"/>
              <w:bottom w:val="nil"/>
            </w:tcBorders>
            <w:vAlign w:val="center"/>
          </w:tcPr>
          <w:p w:rsidR="00036DF8" w:rsidRPr="006A74F8" w:rsidRDefault="00036DF8" w:rsidP="004B7992">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4" w:type="dxa"/>
            <w:vMerge w:val="restart"/>
            <w:tcBorders>
              <w:top w:val="single" w:sz="12" w:space="0" w:color="000000" w:themeColor="text1"/>
            </w:tcBorders>
            <w:vAlign w:val="center"/>
          </w:tcPr>
          <w:p w:rsidR="00036DF8" w:rsidRPr="006A74F8" w:rsidRDefault="00036DF8" w:rsidP="004B7992">
            <w:pPr>
              <w:cnfStyle w:val="100000000000" w:firstRow="1" w:lastRow="0" w:firstColumn="0" w:lastColumn="0" w:oddVBand="0" w:evenVBand="0" w:oddHBand="0" w:evenHBand="0" w:firstRowFirstColumn="0" w:firstRowLastColumn="0" w:lastRowFirstColumn="0" w:lastRowLastColumn="0"/>
            </w:pPr>
            <w:r w:rsidRPr="006A74F8">
              <w:t>Explanation</w:t>
            </w:r>
          </w:p>
        </w:tc>
      </w:tr>
      <w:tr w:rsidR="00036DF8" w:rsidRPr="006A74F8"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rsidR="00036DF8" w:rsidRPr="006A74F8" w:rsidRDefault="00036DF8" w:rsidP="004B7992"/>
        </w:tc>
        <w:tc>
          <w:tcPr>
            <w:tcW w:w="633" w:type="dxa"/>
            <w:tcBorders>
              <w:top w:val="nil"/>
              <w:bottom w:val="double" w:sz="4" w:space="0" w:color="auto"/>
            </w:tcBorders>
          </w:tcPr>
          <w:p w:rsidR="00036DF8" w:rsidRPr="006A74F8" w:rsidRDefault="00036DF8"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036DF8" w:rsidRPr="006A74F8" w:rsidRDefault="00036DF8"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036DF8" w:rsidRPr="006A74F8" w:rsidRDefault="00036DF8"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4" w:type="dxa"/>
            <w:vMerge/>
            <w:tcBorders>
              <w:bottom w:val="double" w:sz="4" w:space="0" w:color="auto"/>
            </w:tcBorders>
          </w:tcPr>
          <w:p w:rsidR="00036DF8" w:rsidRPr="006A74F8" w:rsidRDefault="00036DF8" w:rsidP="004B7992">
            <w:pPr>
              <w:cnfStyle w:val="100000000000" w:firstRow="1" w:lastRow="0" w:firstColumn="0" w:lastColumn="0" w:oddVBand="0" w:evenVBand="0" w:oddHBand="0" w:evenHBand="0" w:firstRowFirstColumn="0" w:firstRowLastColumn="0" w:lastRowFirstColumn="0" w:lastRowLastColumn="0"/>
            </w:pPr>
          </w:p>
        </w:tc>
      </w:tr>
      <w:tr w:rsidR="00036DF8" w:rsidRPr="006A74F8"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rsidR="00036DF8" w:rsidRPr="006A74F8" w:rsidRDefault="00036DF8" w:rsidP="004B7992">
            <w:pPr>
              <w:rPr>
                <w:rFonts w:cstheme="minorHAnsi"/>
                <w:b w:val="0"/>
                <w:color w:val="000000"/>
                <w:sz w:val="20"/>
                <w:szCs w:val="20"/>
                <w:lang w:val="en-US"/>
              </w:rPr>
            </w:pPr>
            <w:r w:rsidRPr="006A74F8">
              <w:rPr>
                <w:rFonts w:cstheme="minorHAnsi"/>
                <w:b w:val="0"/>
                <w:sz w:val="20"/>
                <w:szCs w:val="20"/>
              </w:rPr>
              <w:t>Uncertainty based on flexible approach to measuring instruments and NMI role</w:t>
            </w:r>
          </w:p>
        </w:tc>
        <w:tc>
          <w:tcPr>
            <w:tcW w:w="633" w:type="dxa"/>
            <w:tcBorders>
              <w:right w:val="single" w:sz="4" w:space="0" w:color="FFFFFF" w:themeColor="background1"/>
            </w:tcBorders>
            <w:shd w:val="clear" w:color="auto" w:fill="FFFFC5"/>
            <w:vAlign w:val="center"/>
          </w:tcPr>
          <w:p w:rsidR="00036DF8" w:rsidRPr="006A74F8" w:rsidRDefault="00036DF8"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0</w:t>
            </w:r>
          </w:p>
        </w:tc>
        <w:tc>
          <w:tcPr>
            <w:tcW w:w="633" w:type="dxa"/>
            <w:tcBorders>
              <w:left w:val="single" w:sz="4" w:space="0" w:color="FFFFFF" w:themeColor="background1"/>
              <w:right w:val="single" w:sz="4" w:space="0" w:color="FFFFFF" w:themeColor="background1"/>
            </w:tcBorders>
            <w:shd w:val="clear" w:color="auto" w:fill="FFFFC5"/>
            <w:vAlign w:val="center"/>
          </w:tcPr>
          <w:p w:rsidR="00036DF8" w:rsidRPr="006A74F8" w:rsidRDefault="00036DF8"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0</w:t>
            </w:r>
          </w:p>
        </w:tc>
        <w:tc>
          <w:tcPr>
            <w:tcW w:w="633" w:type="dxa"/>
            <w:tcBorders>
              <w:left w:val="single" w:sz="4" w:space="0" w:color="FFFFFF" w:themeColor="background1"/>
            </w:tcBorders>
            <w:shd w:val="clear" w:color="auto" w:fill="FFBC79"/>
            <w:vAlign w:val="center"/>
          </w:tcPr>
          <w:p w:rsidR="00036DF8" w:rsidRPr="006A74F8" w:rsidRDefault="00036DF8"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5134" w:type="dxa"/>
            <w:vAlign w:val="center"/>
          </w:tcPr>
          <w:p w:rsidR="00036DF8" w:rsidRPr="006A74F8" w:rsidRDefault="00036DF8" w:rsidP="004B799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A74F8">
              <w:rPr>
                <w:rFonts w:cstheme="minorHAnsi"/>
                <w:b/>
                <w:sz w:val="20"/>
                <w:szCs w:val="20"/>
              </w:rPr>
              <w:t>Which controls apply and when does NMI step in</w:t>
            </w:r>
            <w:r w:rsidRPr="006A74F8">
              <w:rPr>
                <w:rFonts w:cstheme="minorHAnsi"/>
                <w:sz w:val="20"/>
                <w:szCs w:val="20"/>
              </w:rPr>
              <w:t xml:space="preserve">:  Increased flexibility and powers for NMI to regulate the measurements that other regulators rely on may create uncertainty for regulators under </w:t>
            </w:r>
            <w:r w:rsidRPr="006A74F8">
              <w:rPr>
                <w:rFonts w:cstheme="minorHAnsi"/>
                <w:b/>
                <w:sz w:val="20"/>
                <w:szCs w:val="20"/>
              </w:rPr>
              <w:t>Option 3</w:t>
            </w:r>
            <w:r w:rsidRPr="006A74F8">
              <w:rPr>
                <w:rFonts w:cstheme="minorHAnsi"/>
                <w:sz w:val="20"/>
                <w:szCs w:val="20"/>
              </w:rPr>
              <w:t>. However, these powers would be expected to be used cooperatively and following consultation with the relevant regulator.</w:t>
            </w:r>
          </w:p>
        </w:tc>
      </w:tr>
    </w:tbl>
    <w:p w:rsidR="00601912" w:rsidRPr="006A74F8" w:rsidRDefault="00601912" w:rsidP="00036DF8">
      <w:pPr>
        <w:spacing w:before="240"/>
      </w:pPr>
      <w:r w:rsidRPr="006A74F8">
        <w:lastRenderedPageBreak/>
        <w:t xml:space="preserve">The measurement </w:t>
      </w:r>
      <w:r w:rsidR="001E3063" w:rsidRPr="006A74F8">
        <w:t>legislation</w:t>
      </w:r>
      <w:r w:rsidRPr="006A74F8">
        <w:t xml:space="preserve"> provides control mechanisms to </w:t>
      </w:r>
      <w:r w:rsidR="002A1279" w:rsidRPr="006A74F8">
        <w:t>support</w:t>
      </w:r>
      <w:r w:rsidRPr="006A74F8">
        <w:t xml:space="preserve"> the accurate performance of measuring instruments</w:t>
      </w:r>
      <w:r w:rsidR="00391070" w:rsidRPr="006A74F8">
        <w:t xml:space="preserve">. </w:t>
      </w:r>
      <w:r w:rsidR="002A1279" w:rsidRPr="006A74F8">
        <w:t xml:space="preserve">This includes pattern approval and verification requirements for instruments used in trade and separate </w:t>
      </w:r>
      <w:r w:rsidRPr="006A74F8">
        <w:t xml:space="preserve">certificates </w:t>
      </w:r>
      <w:r w:rsidR="001E3063" w:rsidRPr="006A74F8">
        <w:t>that</w:t>
      </w:r>
      <w:r w:rsidR="002A1279" w:rsidRPr="006A74F8">
        <w:t xml:space="preserve"> may be issued by Certifying Authorities to confirm the</w:t>
      </w:r>
      <w:r w:rsidRPr="006A74F8">
        <w:t xml:space="preserve"> accuracy of measur</w:t>
      </w:r>
      <w:r w:rsidR="002A1279" w:rsidRPr="006A74F8">
        <w:t>ing instruments</w:t>
      </w:r>
      <w:r w:rsidRPr="006A74F8">
        <w:t xml:space="preserve">. </w:t>
      </w:r>
    </w:p>
    <w:p w:rsidR="00601912" w:rsidRPr="006A74F8" w:rsidRDefault="00601912" w:rsidP="00D94F1E">
      <w:r w:rsidRPr="006A74F8">
        <w:t xml:space="preserve">Regulators </w:t>
      </w:r>
      <w:r w:rsidR="001E3063" w:rsidRPr="006A74F8">
        <w:t xml:space="preserve">may </w:t>
      </w:r>
      <w:r w:rsidRPr="006A74F8">
        <w:t xml:space="preserve">specify requirements </w:t>
      </w:r>
      <w:r w:rsidR="004B518A" w:rsidRPr="006A74F8">
        <w:t>for</w:t>
      </w:r>
      <w:r w:rsidRPr="006A74F8">
        <w:t xml:space="preserve"> measuring instruments </w:t>
      </w:r>
      <w:r w:rsidR="001E3063" w:rsidRPr="006A74F8">
        <w:t>via</w:t>
      </w:r>
      <w:r w:rsidRPr="006A74F8">
        <w:t xml:space="preserve"> their </w:t>
      </w:r>
      <w:r w:rsidR="001E3063" w:rsidRPr="006A74F8">
        <w:t>own</w:t>
      </w:r>
      <w:r w:rsidRPr="006A74F8">
        <w:t xml:space="preserve"> legislation</w:t>
      </w:r>
      <w:r w:rsidR="00F86F27" w:rsidRPr="006A74F8">
        <w:t xml:space="preserve"> or other means</w:t>
      </w:r>
      <w:r w:rsidRPr="006A74F8">
        <w:t xml:space="preserve">. </w:t>
      </w:r>
      <w:r w:rsidR="00F86F27" w:rsidRPr="006A74F8">
        <w:t>Where they link to those instrument control mechanisms provided for in the measurement legislation, change</w:t>
      </w:r>
      <w:r w:rsidR="007F02AA" w:rsidRPr="006A74F8">
        <w:t>s</w:t>
      </w:r>
      <w:r w:rsidR="00F86F27" w:rsidRPr="006A74F8">
        <w:t xml:space="preserve"> to how these mechanisms are operated has the potential to impact on regulators. </w:t>
      </w:r>
    </w:p>
    <w:p w:rsidR="00601912" w:rsidRPr="006A74F8" w:rsidRDefault="00601912" w:rsidP="00D94F1E">
      <w:r w:rsidRPr="006A74F8">
        <w:t xml:space="preserve">In </w:t>
      </w:r>
      <w:r w:rsidR="009F0892" w:rsidRPr="006A74F8">
        <w:rPr>
          <w:b/>
        </w:rPr>
        <w:t>o</w:t>
      </w:r>
      <w:r w:rsidRPr="006A74F8">
        <w:rPr>
          <w:b/>
        </w:rPr>
        <w:t>ption 1</w:t>
      </w:r>
      <w:r w:rsidRPr="006A74F8">
        <w:t xml:space="preserve"> there will be no change to the status quo for measuring instruments</w:t>
      </w:r>
      <w:r w:rsidR="00EA2F4D" w:rsidRPr="006A74F8">
        <w:t xml:space="preserve"> used for legal purposes</w:t>
      </w:r>
      <w:r w:rsidRPr="006A74F8">
        <w:t xml:space="preserve">. </w:t>
      </w:r>
      <w:r w:rsidR="002A1279" w:rsidRPr="006A74F8">
        <w:t>Regulators could continue to refer to t</w:t>
      </w:r>
      <w:r w:rsidRPr="006A74F8">
        <w:t xml:space="preserve">he </w:t>
      </w:r>
      <w:r w:rsidR="00D64083" w:rsidRPr="006A74F8">
        <w:t>pattern approval</w:t>
      </w:r>
      <w:r w:rsidRPr="006A74F8">
        <w:t xml:space="preserve"> pathway</w:t>
      </w:r>
      <w:r w:rsidR="004B518A" w:rsidRPr="006A74F8">
        <w:t>,</w:t>
      </w:r>
      <w:r w:rsidRPr="006A74F8">
        <w:t xml:space="preserve"> </w:t>
      </w:r>
      <w:r w:rsidR="001E3063" w:rsidRPr="006A74F8">
        <w:t>even though it is designed for instruments being used in trade</w:t>
      </w:r>
      <w:r w:rsidR="002A1279" w:rsidRPr="006A74F8">
        <w:t xml:space="preserve">, or utilise the </w:t>
      </w:r>
      <w:r w:rsidR="00F86F27" w:rsidRPr="006A74F8">
        <w:t xml:space="preserve">broader </w:t>
      </w:r>
      <w:r w:rsidR="002A1279" w:rsidRPr="006A74F8">
        <w:t>certification arrangements for measuring instruments</w:t>
      </w:r>
      <w:r w:rsidR="00F86F27" w:rsidRPr="006A74F8">
        <w:t>.</w:t>
      </w:r>
      <w:r w:rsidR="002A1279" w:rsidRPr="006A74F8">
        <w:t xml:space="preserve"> </w:t>
      </w:r>
    </w:p>
    <w:p w:rsidR="001E3063" w:rsidRPr="006A74F8" w:rsidRDefault="001E3063" w:rsidP="00D94F1E">
      <w:r w:rsidRPr="006A74F8">
        <w:t xml:space="preserve">Under </w:t>
      </w:r>
      <w:r w:rsidR="009F0892" w:rsidRPr="006A74F8">
        <w:rPr>
          <w:b/>
        </w:rPr>
        <w:t>o</w:t>
      </w:r>
      <w:r w:rsidRPr="006A74F8">
        <w:rPr>
          <w:b/>
        </w:rPr>
        <w:t>ption 2</w:t>
      </w:r>
      <w:r w:rsidRPr="006A74F8">
        <w:t xml:space="preserve"> </w:t>
      </w:r>
      <w:r w:rsidR="00F41B7B" w:rsidRPr="006A74F8">
        <w:t xml:space="preserve">alternative </w:t>
      </w:r>
      <w:r w:rsidRPr="006A74F8">
        <w:t>instrument control mechanisms</w:t>
      </w:r>
      <w:r w:rsidR="004B518A" w:rsidRPr="006A74F8">
        <w:t>,</w:t>
      </w:r>
      <w:r w:rsidRPr="006A74F8">
        <w:t xml:space="preserve"> in addition to pattern approval and certification</w:t>
      </w:r>
      <w:r w:rsidR="004B518A" w:rsidRPr="006A74F8">
        <w:t>,</w:t>
      </w:r>
      <w:r w:rsidR="00F86F27" w:rsidRPr="006A74F8">
        <w:t xml:space="preserve"> </w:t>
      </w:r>
      <w:r w:rsidR="009C3E0B" w:rsidRPr="006A74F8">
        <w:t>could be utilised in future.</w:t>
      </w:r>
      <w:r w:rsidRPr="006A74F8">
        <w:t xml:space="preserve"> </w:t>
      </w:r>
      <w:r w:rsidR="009C3E0B" w:rsidRPr="006A74F8">
        <w:t>The measurement legislation will</w:t>
      </w:r>
      <w:r w:rsidR="00F86F27" w:rsidRPr="006A74F8">
        <w:t xml:space="preserve"> be drafted in a more neutral way to make </w:t>
      </w:r>
      <w:r w:rsidR="009C3E0B" w:rsidRPr="006A74F8">
        <w:t xml:space="preserve">these instrument controls </w:t>
      </w:r>
      <w:r w:rsidR="00F86F27" w:rsidRPr="006A74F8">
        <w:t xml:space="preserve">increasingly accessible for regulators to adopt. A degree of uncertainty </w:t>
      </w:r>
      <w:r w:rsidR="00C439A7" w:rsidRPr="006A74F8">
        <w:t xml:space="preserve">may </w:t>
      </w:r>
      <w:r w:rsidR="00F86F27" w:rsidRPr="006A74F8">
        <w:t xml:space="preserve">be introduced </w:t>
      </w:r>
      <w:r w:rsidR="003D0222" w:rsidRPr="006A74F8">
        <w:t xml:space="preserve">due to </w:t>
      </w:r>
      <w:r w:rsidR="00F86F27" w:rsidRPr="006A74F8">
        <w:t>some of the alternative control pathways for instruments be</w:t>
      </w:r>
      <w:r w:rsidR="003D0222" w:rsidRPr="006A74F8">
        <w:t>ing</w:t>
      </w:r>
      <w:r w:rsidR="00F86F27" w:rsidRPr="006A74F8">
        <w:t xml:space="preserve"> activated over time following appropriate data collection, risk assessment and consultation.</w:t>
      </w:r>
    </w:p>
    <w:p w:rsidR="006D6701" w:rsidRPr="006A74F8" w:rsidRDefault="00CF068F" w:rsidP="00BD5B70">
      <w:pPr>
        <w:pStyle w:val="ListParagraph"/>
        <w:numPr>
          <w:ilvl w:val="0"/>
          <w:numId w:val="100"/>
        </w:numPr>
        <w:rPr>
          <w:sz w:val="18"/>
        </w:rPr>
      </w:pPr>
      <w:r w:rsidRPr="006A74F8">
        <w:t xml:space="preserve">In </w:t>
      </w:r>
      <w:r w:rsidR="009F0892" w:rsidRPr="006A74F8">
        <w:rPr>
          <w:b/>
        </w:rPr>
        <w:t>o</w:t>
      </w:r>
      <w:r w:rsidRPr="006A74F8">
        <w:rPr>
          <w:b/>
        </w:rPr>
        <w:t>ption 3</w:t>
      </w:r>
      <w:r w:rsidRPr="006A74F8">
        <w:t>,</w:t>
      </w:r>
      <w:r w:rsidRPr="006A74F8">
        <w:rPr>
          <w:b/>
        </w:rPr>
        <w:t xml:space="preserve"> </w:t>
      </w:r>
      <w:r w:rsidR="003A4088" w:rsidRPr="006A74F8">
        <w:t>the Chief Metrologist would have the power to determine specific controls that could be applied to legal measuring instruments relied on by other regulators.</w:t>
      </w:r>
      <w:r w:rsidR="00F86F27" w:rsidRPr="006A74F8">
        <w:t xml:space="preserve"> </w:t>
      </w:r>
      <w:r w:rsidR="00601912" w:rsidRPr="006A74F8">
        <w:t xml:space="preserve">While the existence of these powers under </w:t>
      </w:r>
      <w:r w:rsidR="009F0892" w:rsidRPr="006A74F8">
        <w:rPr>
          <w:b/>
        </w:rPr>
        <w:t>o</w:t>
      </w:r>
      <w:r w:rsidR="00601912" w:rsidRPr="006A74F8">
        <w:rPr>
          <w:b/>
        </w:rPr>
        <w:t>ption 3</w:t>
      </w:r>
      <w:r w:rsidR="00601912" w:rsidRPr="006A74F8">
        <w:t xml:space="preserve"> may initially create uncertainty for regulators, the purpose for these powers would be to help regulate measurements and take targeted action in partnership with or on behalf of regulators. These powers would be expected to be used cooperatively and follow consultation with the relevant regulator.</w:t>
      </w:r>
      <w:r w:rsidR="00601912" w:rsidRPr="006A74F8">
        <w:rPr>
          <w:sz w:val="18"/>
        </w:rPr>
        <w:t xml:space="preserve"> </w:t>
      </w:r>
    </w:p>
    <w:p w:rsidR="006D6701" w:rsidRPr="006A74F8" w:rsidRDefault="00601912" w:rsidP="00F41B7B">
      <w:pPr>
        <w:pStyle w:val="ListParagraph"/>
        <w:numPr>
          <w:ilvl w:val="0"/>
          <w:numId w:val="100"/>
        </w:numPr>
      </w:pPr>
      <w:r w:rsidRPr="006A74F8">
        <w:t xml:space="preserve">These powers are not expected to be frequently exercised </w:t>
      </w:r>
      <w:r w:rsidR="006D6701" w:rsidRPr="006A74F8">
        <w:t>on</w:t>
      </w:r>
      <w:r w:rsidRPr="006A74F8">
        <w:t xml:space="preserve"> matur</w:t>
      </w:r>
      <w:r w:rsidR="00476960" w:rsidRPr="006A74F8">
        <w:t>e</w:t>
      </w:r>
      <w:r w:rsidRPr="006A74F8">
        <w:t xml:space="preserve"> frameworks </w:t>
      </w:r>
      <w:r w:rsidR="00BE640E" w:rsidRPr="006A74F8">
        <w:t xml:space="preserve">that </w:t>
      </w:r>
      <w:r w:rsidRPr="006A74F8">
        <w:t>other regulators already</w:t>
      </w:r>
      <w:r w:rsidR="006D6701" w:rsidRPr="006A74F8" w:rsidDel="003D0222">
        <w:t xml:space="preserve"> </w:t>
      </w:r>
      <w:r w:rsidRPr="006A74F8">
        <w:t xml:space="preserve">have in place. </w:t>
      </w:r>
    </w:p>
    <w:p w:rsidR="00601912" w:rsidRPr="006A74F8" w:rsidRDefault="005C6B28" w:rsidP="00F41B7B">
      <w:pPr>
        <w:pStyle w:val="ListParagraph"/>
        <w:numPr>
          <w:ilvl w:val="0"/>
          <w:numId w:val="100"/>
        </w:numPr>
      </w:pPr>
      <w:r w:rsidRPr="006A74F8">
        <w:t>T</w:t>
      </w:r>
      <w:r w:rsidR="00601912" w:rsidRPr="006A74F8">
        <w:t>hese powers would primarily be used where there is insufficient existing coverage of the measurements a regulator relies on</w:t>
      </w:r>
      <w:r w:rsidR="002C335C" w:rsidRPr="006A74F8">
        <w:t>,</w:t>
      </w:r>
      <w:r w:rsidR="00601912" w:rsidRPr="006A74F8">
        <w:t xml:space="preserve"> to provide coverage before a more bespoke framework is developed by the responsible regulator. This may be the case where there is incomplete jurisdiction in response to a </w:t>
      </w:r>
      <w:r w:rsidR="002D2D64" w:rsidRPr="006A74F8">
        <w:t>crisis</w:t>
      </w:r>
      <w:r w:rsidR="00601912" w:rsidRPr="006A74F8">
        <w:t xml:space="preserve"> or a new or emerging measurement application that is not yet regulated.</w:t>
      </w:r>
    </w:p>
    <w:p w:rsidR="004E760F" w:rsidRPr="006A74F8" w:rsidRDefault="004E760F" w:rsidP="00C22303">
      <w:pPr>
        <w:pStyle w:val="Heading3"/>
        <w:tabs>
          <w:tab w:val="left" w:pos="993"/>
        </w:tabs>
        <w:ind w:left="993" w:hanging="993"/>
      </w:pPr>
      <w:r w:rsidRPr="006A74F8" w:rsidDel="00100725">
        <w:t xml:space="preserve">Improved </w:t>
      </w:r>
      <w:r w:rsidRPr="006A74F8">
        <w:t xml:space="preserve">confidence for chemical, biological </w:t>
      </w:r>
      <w:r w:rsidR="00D476A2" w:rsidRPr="006A74F8">
        <w:t xml:space="preserve">and other </w:t>
      </w:r>
      <w:r w:rsidRPr="006A74F8">
        <w:t>complex measurements</w:t>
      </w:r>
      <w:r w:rsidRPr="006A74F8" w:rsidDel="00F81274">
        <w:t xml:space="preserve"> </w:t>
      </w:r>
    </w:p>
    <w:tbl>
      <w:tblPr>
        <w:tblStyle w:val="PlainTable2"/>
        <w:tblW w:w="8875" w:type="dxa"/>
        <w:tblLook w:val="04A0" w:firstRow="1" w:lastRow="0" w:firstColumn="1" w:lastColumn="0" w:noHBand="0" w:noVBand="1"/>
        <w:tblCaption w:val="16.1.5 Improved confidence for chemical, biological and other complex measurements "/>
        <w:tblDescription w:val="Improved confidence in chemical, biological and other complex measurements used for legal purposes. Option 1 is rated +2, moderate beneficial. Options 2 and 3 are rated +3, large beneficial.&#10;Updating the legislative framework and accuracy for chemical, biological and other complex measurements: New provisions will be introduced to support consistency and accuracy of chemical and biological measurement. Complex measurements can more confidently be used for compliance purposes by regulators where these are needed for a legal purpose.   &#10;"/>
      </w:tblPr>
      <w:tblGrid>
        <w:gridCol w:w="1842"/>
        <w:gridCol w:w="633"/>
        <w:gridCol w:w="633"/>
        <w:gridCol w:w="633"/>
        <w:gridCol w:w="5134"/>
      </w:tblGrid>
      <w:tr w:rsidR="00F57D13" w:rsidRPr="006A74F8"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rsidR="00F57D13" w:rsidRPr="006A74F8" w:rsidRDefault="00F57D13" w:rsidP="004B7992">
            <w:r w:rsidRPr="006A74F8">
              <w:t>Impact</w:t>
            </w:r>
          </w:p>
        </w:tc>
        <w:tc>
          <w:tcPr>
            <w:tcW w:w="1899" w:type="dxa"/>
            <w:gridSpan w:val="3"/>
            <w:tcBorders>
              <w:top w:val="single" w:sz="12" w:space="0" w:color="000000" w:themeColor="text1"/>
              <w:bottom w:val="nil"/>
            </w:tcBorders>
            <w:vAlign w:val="center"/>
          </w:tcPr>
          <w:p w:rsidR="00F57D13" w:rsidRPr="006A74F8" w:rsidRDefault="00F57D13" w:rsidP="004B7992">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4" w:type="dxa"/>
            <w:vMerge w:val="restart"/>
            <w:tcBorders>
              <w:top w:val="single" w:sz="12" w:space="0" w:color="000000" w:themeColor="text1"/>
            </w:tcBorders>
            <w:vAlign w:val="center"/>
          </w:tcPr>
          <w:p w:rsidR="00F57D13" w:rsidRPr="006A74F8" w:rsidRDefault="00F57D13" w:rsidP="004B7992">
            <w:pPr>
              <w:cnfStyle w:val="100000000000" w:firstRow="1" w:lastRow="0" w:firstColumn="0" w:lastColumn="0" w:oddVBand="0" w:evenVBand="0" w:oddHBand="0" w:evenHBand="0" w:firstRowFirstColumn="0" w:firstRowLastColumn="0" w:lastRowFirstColumn="0" w:lastRowLastColumn="0"/>
            </w:pPr>
            <w:r w:rsidRPr="006A74F8">
              <w:t>Explanation</w:t>
            </w:r>
          </w:p>
        </w:tc>
      </w:tr>
      <w:tr w:rsidR="00F57D13" w:rsidRPr="006A74F8"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rsidR="00F57D13" w:rsidRPr="006A74F8" w:rsidRDefault="00F57D13" w:rsidP="004B7992"/>
        </w:tc>
        <w:tc>
          <w:tcPr>
            <w:tcW w:w="633" w:type="dxa"/>
            <w:tcBorders>
              <w:top w:val="nil"/>
              <w:bottom w:val="double" w:sz="4" w:space="0" w:color="auto"/>
            </w:tcBorders>
          </w:tcPr>
          <w:p w:rsidR="00F57D13" w:rsidRPr="006A74F8" w:rsidRDefault="00F57D13"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F57D13" w:rsidRPr="006A74F8" w:rsidRDefault="00F57D13"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F57D13" w:rsidRPr="006A74F8" w:rsidRDefault="00F57D13"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4" w:type="dxa"/>
            <w:vMerge/>
            <w:tcBorders>
              <w:bottom w:val="double" w:sz="4" w:space="0" w:color="auto"/>
            </w:tcBorders>
          </w:tcPr>
          <w:p w:rsidR="00F57D13" w:rsidRPr="006A74F8" w:rsidRDefault="00F57D13" w:rsidP="004B7992">
            <w:pPr>
              <w:cnfStyle w:val="100000000000" w:firstRow="1" w:lastRow="0" w:firstColumn="0" w:lastColumn="0" w:oddVBand="0" w:evenVBand="0" w:oddHBand="0" w:evenHBand="0" w:firstRowFirstColumn="0" w:firstRowLastColumn="0" w:lastRowFirstColumn="0" w:lastRowLastColumn="0"/>
            </w:pPr>
          </w:p>
        </w:tc>
      </w:tr>
      <w:tr w:rsidR="00F57D13" w:rsidRPr="006A74F8"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rsidR="00F57D13" w:rsidRPr="006A74F8" w:rsidRDefault="00F57D13" w:rsidP="004B7992">
            <w:pPr>
              <w:rPr>
                <w:rFonts w:cstheme="minorHAnsi"/>
                <w:b w:val="0"/>
                <w:sz w:val="20"/>
                <w:szCs w:val="20"/>
              </w:rPr>
            </w:pPr>
            <w:r w:rsidRPr="006A74F8">
              <w:rPr>
                <w:rFonts w:cstheme="minorHAnsi"/>
                <w:b w:val="0"/>
                <w:sz w:val="20"/>
                <w:szCs w:val="20"/>
              </w:rPr>
              <w:t>Improved confidence in chemical, biological and other complex measurements used for legal purposes</w:t>
            </w:r>
          </w:p>
        </w:tc>
        <w:tc>
          <w:tcPr>
            <w:tcW w:w="633" w:type="dxa"/>
            <w:tcBorders>
              <w:right w:val="single" w:sz="4" w:space="0" w:color="FFFFFF" w:themeColor="background1"/>
            </w:tcBorders>
            <w:shd w:val="clear" w:color="auto" w:fill="398E98"/>
            <w:vAlign w:val="center"/>
          </w:tcPr>
          <w:p w:rsidR="00F57D13" w:rsidRPr="006A74F8" w:rsidRDefault="00F57D13"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33" w:type="dxa"/>
            <w:tcBorders>
              <w:left w:val="single" w:sz="4" w:space="0" w:color="FFFFFF" w:themeColor="background1"/>
              <w:right w:val="single" w:sz="4" w:space="0" w:color="FFFFFF" w:themeColor="background1"/>
            </w:tcBorders>
            <w:shd w:val="clear" w:color="auto" w:fill="0F4D4B"/>
            <w:vAlign w:val="center"/>
          </w:tcPr>
          <w:p w:rsidR="00F57D13" w:rsidRPr="006A74F8" w:rsidRDefault="00F57D13"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+3</w:t>
            </w:r>
          </w:p>
        </w:tc>
        <w:tc>
          <w:tcPr>
            <w:tcW w:w="633" w:type="dxa"/>
            <w:tcBorders>
              <w:left w:val="single" w:sz="4" w:space="0" w:color="FFFFFF" w:themeColor="background1"/>
            </w:tcBorders>
            <w:shd w:val="clear" w:color="auto" w:fill="0F4D4B"/>
            <w:vAlign w:val="center"/>
          </w:tcPr>
          <w:p w:rsidR="00F57D13" w:rsidRPr="006A74F8" w:rsidRDefault="00F57D13"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+3</w:t>
            </w:r>
          </w:p>
        </w:tc>
        <w:tc>
          <w:tcPr>
            <w:tcW w:w="5134" w:type="dxa"/>
            <w:vAlign w:val="center"/>
          </w:tcPr>
          <w:p w:rsidR="00F57D13" w:rsidRPr="006A74F8" w:rsidRDefault="00F57D13" w:rsidP="004B799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A74F8">
              <w:rPr>
                <w:rFonts w:cstheme="minorHAnsi"/>
                <w:b/>
                <w:sz w:val="20"/>
                <w:szCs w:val="20"/>
              </w:rPr>
              <w:t xml:space="preserve">Updating the legislative framework and accuracy for chemical, biological and other complex measurements: </w:t>
            </w:r>
            <w:r w:rsidRPr="006A74F8">
              <w:rPr>
                <w:rFonts w:cstheme="minorHAnsi"/>
                <w:sz w:val="20"/>
                <w:szCs w:val="20"/>
              </w:rPr>
              <w:t>New provisions will be introduced to support consistency and accuracy of chemical and biological measurement. Complex measurements can more confidently be used for compliance purposes by regulators where these are needed for a legal purpose.</w:t>
            </w:r>
          </w:p>
        </w:tc>
      </w:tr>
    </w:tbl>
    <w:p w:rsidR="003C3C95" w:rsidRPr="006A74F8" w:rsidRDefault="003C3C95" w:rsidP="00F57D13">
      <w:pPr>
        <w:spacing w:before="240"/>
        <w:rPr>
          <w:szCs w:val="20"/>
        </w:rPr>
      </w:pPr>
      <w:r w:rsidRPr="006A74F8">
        <w:rPr>
          <w:szCs w:val="20"/>
        </w:rPr>
        <w:lastRenderedPageBreak/>
        <w:t xml:space="preserve">Certain regulators place a heavy reliance on complex measurement in order to impose requirements that protect life, health and safety – such as requirements regarding food contaminants, environmental protections, emissions, road safety, and radiation doses.  </w:t>
      </w:r>
    </w:p>
    <w:p w:rsidR="000722AC" w:rsidRPr="006A74F8" w:rsidRDefault="004E760F" w:rsidP="00D94F1E">
      <w:pPr>
        <w:rPr>
          <w:rFonts w:cstheme="minorHAnsi"/>
        </w:rPr>
      </w:pPr>
      <w:r w:rsidRPr="006A74F8">
        <w:t xml:space="preserve">Examples of complex measurements include chemical, biological, materials properties </w:t>
      </w:r>
      <w:r w:rsidR="006F2B25" w:rsidRPr="006A74F8">
        <w:t>(e.g.</w:t>
      </w:r>
      <w:r w:rsidR="002B4547" w:rsidRPr="006A74F8">
        <w:t xml:space="preserve"> measurements of </w:t>
      </w:r>
      <w:r w:rsidRPr="006A74F8">
        <w:t>nano</w:t>
      </w:r>
      <w:r w:rsidR="002B4547" w:rsidRPr="006A74F8">
        <w:t>materials</w:t>
      </w:r>
      <w:r w:rsidR="006F2B25" w:rsidRPr="006A74F8">
        <w:t>)</w:t>
      </w:r>
      <w:r w:rsidRPr="006A74F8">
        <w:t>, and method-dependent measurements</w:t>
      </w:r>
      <w:r w:rsidR="006F2B25" w:rsidRPr="006A74F8">
        <w:t xml:space="preserve"> (e.g.</w:t>
      </w:r>
      <w:r w:rsidR="004B5204" w:rsidRPr="006A74F8">
        <w:t xml:space="preserve"> for some food parameters</w:t>
      </w:r>
      <w:r w:rsidRPr="006A74F8">
        <w:rPr>
          <w:rStyle w:val="FootnoteReference"/>
        </w:rPr>
        <w:footnoteReference w:id="127"/>
      </w:r>
      <w:r w:rsidR="006F2B25" w:rsidRPr="006A74F8">
        <w:t>).</w:t>
      </w:r>
      <w:r w:rsidRPr="006A74F8">
        <w:t xml:space="preserve"> </w:t>
      </w:r>
      <w:r w:rsidR="004B11F4" w:rsidRPr="006A74F8">
        <w:t xml:space="preserve">Complex measurements </w:t>
      </w:r>
      <w:r w:rsidR="004B11F4" w:rsidRPr="006A74F8">
        <w:rPr>
          <w:szCs w:val="20"/>
        </w:rPr>
        <w:t xml:space="preserve">may </w:t>
      </w:r>
      <w:r w:rsidR="004B11F4" w:rsidRPr="006A74F8">
        <w:rPr>
          <w:rFonts w:cstheme="minorHAnsi"/>
        </w:rPr>
        <w:t xml:space="preserve">present challenges to regulators who need to </w:t>
      </w:r>
      <w:r w:rsidR="00E77298" w:rsidRPr="006A74F8">
        <w:rPr>
          <w:rFonts w:cstheme="minorHAnsi"/>
        </w:rPr>
        <w:t xml:space="preserve">monitor </w:t>
      </w:r>
      <w:r w:rsidR="004B11F4" w:rsidRPr="006A74F8">
        <w:rPr>
          <w:rFonts w:cstheme="minorHAnsi"/>
        </w:rPr>
        <w:t xml:space="preserve">compliance and/or enforce their regulations. </w:t>
      </w:r>
      <w:r w:rsidR="000722AC" w:rsidRPr="006A74F8">
        <w:rPr>
          <w:rFonts w:cstheme="minorHAnsi"/>
        </w:rPr>
        <w:t>This is because complex measurements:</w:t>
      </w:r>
    </w:p>
    <w:p w:rsidR="00D94F1E" w:rsidRPr="006A74F8" w:rsidRDefault="004B11F4" w:rsidP="006F2B25">
      <w:pPr>
        <w:pStyle w:val="ListParagraph"/>
        <w:numPr>
          <w:ilvl w:val="0"/>
          <w:numId w:val="101"/>
        </w:numPr>
        <w:rPr>
          <w:rFonts w:cstheme="minorHAnsi"/>
        </w:rPr>
      </w:pPr>
      <w:r w:rsidRPr="006A74F8">
        <w:t xml:space="preserve">may involve relying on a combination of references and </w:t>
      </w:r>
      <w:r w:rsidR="003C3C95" w:rsidRPr="006A74F8">
        <w:t xml:space="preserve">sometimes </w:t>
      </w:r>
      <w:r w:rsidRPr="006A74F8">
        <w:t>a combination of both domestic and international references</w:t>
      </w:r>
    </w:p>
    <w:p w:rsidR="004B11F4" w:rsidRPr="006A74F8" w:rsidRDefault="004B11F4" w:rsidP="00672236">
      <w:pPr>
        <w:pStyle w:val="ListParagraph"/>
        <w:numPr>
          <w:ilvl w:val="0"/>
          <w:numId w:val="101"/>
        </w:numPr>
      </w:pPr>
      <w:r w:rsidRPr="006A74F8">
        <w:rPr>
          <w:rFonts w:cstheme="minorHAnsi"/>
        </w:rPr>
        <w:t>may not be comparable to each other because they are impacted by</w:t>
      </w:r>
      <w:r w:rsidR="00A35F3F" w:rsidRPr="006A74F8">
        <w:rPr>
          <w:rFonts w:cstheme="minorHAnsi"/>
        </w:rPr>
        <w:t xml:space="preserve"> </w:t>
      </w:r>
      <w:r w:rsidRPr="006A74F8">
        <w:rPr>
          <w:rFonts w:cstheme="minorHAnsi"/>
        </w:rPr>
        <w:t xml:space="preserve">inherent variability in material, issues of accuracy or bias, methods used or </w:t>
      </w:r>
      <w:r w:rsidR="000722AC" w:rsidRPr="006A74F8">
        <w:rPr>
          <w:rFonts w:cstheme="minorHAnsi"/>
        </w:rPr>
        <w:t xml:space="preserve">where </w:t>
      </w:r>
      <w:r w:rsidRPr="006A74F8">
        <w:rPr>
          <w:rFonts w:cstheme="minorHAnsi"/>
        </w:rPr>
        <w:t xml:space="preserve">there are no agreed international standards. </w:t>
      </w:r>
    </w:p>
    <w:p w:rsidR="00D94F1E" w:rsidRPr="006A74F8" w:rsidRDefault="004E760F" w:rsidP="00D94F1E">
      <w:pPr>
        <w:rPr>
          <w:szCs w:val="20"/>
        </w:rPr>
      </w:pPr>
      <w:r w:rsidRPr="006A74F8">
        <w:rPr>
          <w:szCs w:val="20"/>
        </w:rPr>
        <w:t xml:space="preserve">Under </w:t>
      </w:r>
      <w:r w:rsidR="009F0892" w:rsidRPr="006A74F8">
        <w:rPr>
          <w:b/>
          <w:szCs w:val="20"/>
        </w:rPr>
        <w:t>o</w:t>
      </w:r>
      <w:r w:rsidRPr="006A74F8">
        <w:rPr>
          <w:b/>
          <w:szCs w:val="20"/>
        </w:rPr>
        <w:t>ption 1</w:t>
      </w:r>
      <w:r w:rsidRPr="006A74F8">
        <w:rPr>
          <w:szCs w:val="20"/>
        </w:rPr>
        <w:t xml:space="preserve"> new provisions in the legislation aim to bring the measurement framework up to date with current international chemical and biological </w:t>
      </w:r>
      <w:r w:rsidR="00682D1C" w:rsidRPr="006A74F8">
        <w:rPr>
          <w:szCs w:val="20"/>
        </w:rPr>
        <w:t xml:space="preserve">measurement </w:t>
      </w:r>
      <w:r w:rsidRPr="006A74F8">
        <w:rPr>
          <w:szCs w:val="20"/>
        </w:rPr>
        <w:t xml:space="preserve">practice and provide support to the confidence of chemical and biological measurements. For example, the </w:t>
      </w:r>
      <w:r w:rsidR="0026547E" w:rsidRPr="006A74F8">
        <w:rPr>
          <w:szCs w:val="20"/>
        </w:rPr>
        <w:t>measurement</w:t>
      </w:r>
      <w:r w:rsidRPr="006A74F8">
        <w:rPr>
          <w:szCs w:val="20"/>
        </w:rPr>
        <w:t xml:space="preserve"> </w:t>
      </w:r>
      <w:r w:rsidR="000722AC" w:rsidRPr="006A74F8">
        <w:rPr>
          <w:szCs w:val="20"/>
        </w:rPr>
        <w:t xml:space="preserve">legislation </w:t>
      </w:r>
      <w:r w:rsidRPr="006A74F8">
        <w:rPr>
          <w:szCs w:val="20"/>
        </w:rPr>
        <w:t xml:space="preserve">will be expanded to include measurement methods and provide the Chief Metrologist with the power to </w:t>
      </w:r>
      <w:r w:rsidR="00C5066B" w:rsidRPr="006A74F8">
        <w:rPr>
          <w:szCs w:val="20"/>
        </w:rPr>
        <w:t xml:space="preserve">endorse/approve </w:t>
      </w:r>
      <w:r w:rsidRPr="006A74F8">
        <w:rPr>
          <w:szCs w:val="20"/>
        </w:rPr>
        <w:t xml:space="preserve">internationally </w:t>
      </w:r>
      <w:r w:rsidR="00C5066B" w:rsidRPr="006A74F8">
        <w:rPr>
          <w:szCs w:val="20"/>
        </w:rPr>
        <w:t xml:space="preserve">recognised </w:t>
      </w:r>
      <w:r w:rsidRPr="006A74F8">
        <w:rPr>
          <w:szCs w:val="20"/>
        </w:rPr>
        <w:t xml:space="preserve">chemical and biological </w:t>
      </w:r>
      <w:r w:rsidR="00C5066B" w:rsidRPr="006A74F8">
        <w:rPr>
          <w:szCs w:val="20"/>
        </w:rPr>
        <w:t xml:space="preserve">measurement </w:t>
      </w:r>
      <w:r w:rsidRPr="006A74F8">
        <w:rPr>
          <w:szCs w:val="20"/>
        </w:rPr>
        <w:t>standards.</w:t>
      </w:r>
      <w:r w:rsidRPr="006A74F8">
        <w:rPr>
          <w:rFonts w:ascii="Calibri" w:hAnsi="Calibri" w:cs="Calibri"/>
          <w:color w:val="444444"/>
          <w:lang w:val="en-US"/>
        </w:rPr>
        <w:t xml:space="preserve"> </w:t>
      </w:r>
    </w:p>
    <w:p w:rsidR="004E760F" w:rsidRPr="006A74F8" w:rsidRDefault="004E760F" w:rsidP="00D94F1E">
      <w:r w:rsidRPr="006A74F8">
        <w:rPr>
          <w:rFonts w:ascii="Calibri" w:hAnsi="Calibri" w:cs="Calibri"/>
          <w:b/>
          <w:lang w:val="en-US"/>
        </w:rPr>
        <w:t>Options 2 and 3</w:t>
      </w:r>
      <w:r w:rsidRPr="006A74F8">
        <w:rPr>
          <w:rFonts w:ascii="Calibri" w:hAnsi="Calibri" w:cs="Calibri"/>
          <w:lang w:val="en-US"/>
        </w:rPr>
        <w:t xml:space="preserve"> </w:t>
      </w:r>
      <w:r w:rsidRPr="006A74F8">
        <w:rPr>
          <w:szCs w:val="20"/>
        </w:rPr>
        <w:t xml:space="preserve">will build on </w:t>
      </w:r>
      <w:r w:rsidR="009F0892" w:rsidRPr="006A74F8">
        <w:rPr>
          <w:szCs w:val="20"/>
        </w:rPr>
        <w:t>o</w:t>
      </w:r>
      <w:r w:rsidRPr="006A74F8">
        <w:rPr>
          <w:szCs w:val="20"/>
        </w:rPr>
        <w:t>ption 1 and</w:t>
      </w:r>
      <w:r w:rsidRPr="006A74F8">
        <w:rPr>
          <w:rFonts w:ascii="Calibri" w:hAnsi="Calibri" w:cs="Calibri"/>
          <w:color w:val="444444"/>
          <w:lang w:val="en-US"/>
        </w:rPr>
        <w:t xml:space="preserve"> </w:t>
      </w:r>
      <w:r w:rsidRPr="006A74F8">
        <w:rPr>
          <w:rFonts w:ascii="Calibri" w:hAnsi="Calibri" w:cs="Calibri"/>
          <w:lang w:val="en-US"/>
        </w:rPr>
        <w:t xml:space="preserve">also </w:t>
      </w:r>
      <w:r w:rsidRPr="006A74F8">
        <w:rPr>
          <w:rFonts w:cstheme="minorHAnsi"/>
        </w:rPr>
        <w:t xml:space="preserve">introduce powers for the </w:t>
      </w:r>
      <w:r w:rsidRPr="006A74F8">
        <w:t>Chief Metrologist to:</w:t>
      </w:r>
    </w:p>
    <w:p w:rsidR="00D94F1E" w:rsidRPr="006A74F8" w:rsidRDefault="00D33087" w:rsidP="00AE4042">
      <w:pPr>
        <w:pStyle w:val="ListParagraph"/>
        <w:numPr>
          <w:ilvl w:val="0"/>
          <w:numId w:val="102"/>
        </w:numPr>
      </w:pPr>
      <w:r w:rsidRPr="006A74F8">
        <w:t>d</w:t>
      </w:r>
      <w:r w:rsidR="004E760F" w:rsidRPr="006A74F8">
        <w:t>etermine additional traceability</w:t>
      </w:r>
      <w:r w:rsidR="004E760F" w:rsidRPr="006A74F8">
        <w:rPr>
          <w:rStyle w:val="FootnoteReference"/>
        </w:rPr>
        <w:footnoteReference w:id="128"/>
      </w:r>
      <w:r w:rsidR="004E760F" w:rsidRPr="006A74F8">
        <w:t xml:space="preserve"> pathways (determining whether these are sufficiently strong, open, comparable, transparent, t</w:t>
      </w:r>
      <w:r w:rsidR="00391070" w:rsidRPr="006A74F8">
        <w:t xml:space="preserve">echnically sound and </w:t>
      </w:r>
      <w:r w:rsidR="00946B40" w:rsidRPr="006A74F8">
        <w:t>internationally recognised</w:t>
      </w:r>
      <w:r w:rsidR="00391070" w:rsidRPr="006A74F8">
        <w:t>)</w:t>
      </w:r>
    </w:p>
    <w:p w:rsidR="00D94F1E" w:rsidRPr="006A74F8" w:rsidRDefault="00D33087" w:rsidP="00AE4042">
      <w:pPr>
        <w:pStyle w:val="ListParagraph"/>
        <w:numPr>
          <w:ilvl w:val="0"/>
          <w:numId w:val="102"/>
        </w:numPr>
      </w:pPr>
      <w:r w:rsidRPr="006A74F8">
        <w:rPr>
          <w:rFonts w:cstheme="minorHAnsi"/>
          <w:color w:val="000000"/>
          <w:lang w:val="en-US"/>
        </w:rPr>
        <w:t>r</w:t>
      </w:r>
      <w:r w:rsidR="000722AC" w:rsidRPr="006A74F8">
        <w:rPr>
          <w:rFonts w:cstheme="minorHAnsi"/>
          <w:color w:val="000000"/>
          <w:lang w:val="en-US"/>
        </w:rPr>
        <w:t xml:space="preserve">ecognise </w:t>
      </w:r>
      <w:r w:rsidR="004E760F" w:rsidRPr="006A74F8">
        <w:rPr>
          <w:rFonts w:cstheme="minorHAnsi"/>
          <w:color w:val="000000"/>
          <w:lang w:val="en-US"/>
        </w:rPr>
        <w:t>paths other than to the SI, particularly for chemical or biological measurement</w:t>
      </w:r>
      <w:r w:rsidR="00547E4F">
        <w:rPr>
          <w:rFonts w:cstheme="minorHAnsi"/>
          <w:color w:val="000000"/>
          <w:lang w:val="en-US"/>
        </w:rPr>
        <w:t>,</w:t>
      </w:r>
      <w:r w:rsidR="004E760F" w:rsidRPr="006A74F8">
        <w:rPr>
          <w:rStyle w:val="FootnoteReference"/>
          <w:rFonts w:cstheme="minorHAnsi"/>
          <w:color w:val="000000"/>
          <w:lang w:val="en-US"/>
        </w:rPr>
        <w:footnoteReference w:id="129"/>
      </w:r>
      <w:r w:rsidR="004E760F" w:rsidRPr="006A74F8">
        <w:rPr>
          <w:rFonts w:cstheme="minorHAnsi"/>
          <w:color w:val="000000"/>
          <w:lang w:val="en-US"/>
        </w:rPr>
        <w:t xml:space="preserve"> and other complex measurements</w:t>
      </w:r>
    </w:p>
    <w:p w:rsidR="004E760F" w:rsidRPr="006A74F8" w:rsidRDefault="00D33087" w:rsidP="00F65EDC">
      <w:pPr>
        <w:pStyle w:val="ListParagraph"/>
        <w:numPr>
          <w:ilvl w:val="0"/>
          <w:numId w:val="102"/>
        </w:numPr>
      </w:pPr>
      <w:r w:rsidRPr="006A74F8">
        <w:rPr>
          <w:rFonts w:cstheme="minorHAnsi"/>
          <w:color w:val="000000"/>
          <w:lang w:val="en-US"/>
        </w:rPr>
        <w:t>d</w:t>
      </w:r>
      <w:r w:rsidR="004E760F" w:rsidRPr="006A74F8">
        <w:rPr>
          <w:rFonts w:cstheme="minorHAnsi"/>
          <w:color w:val="000000"/>
          <w:lang w:val="en-US"/>
        </w:rPr>
        <w:t>etermine additional ALUMs, e.g. to support method dependent measurements, and to make these changes more easily.</w:t>
      </w:r>
    </w:p>
    <w:p w:rsidR="004E760F" w:rsidRPr="006A74F8" w:rsidRDefault="004E760F" w:rsidP="00D94F1E">
      <w:pPr>
        <w:rPr>
          <w:szCs w:val="20"/>
        </w:rPr>
      </w:pPr>
      <w:r w:rsidRPr="006A74F8">
        <w:rPr>
          <w:szCs w:val="20"/>
        </w:rPr>
        <w:t xml:space="preserve">These improvements aim to benefit regulators who rely on chemical or biological measurements and/or use measuring instruments that are calibrated with chemical or biological reference materials. </w:t>
      </w:r>
    </w:p>
    <w:p w:rsidR="004E760F" w:rsidRPr="006A74F8" w:rsidRDefault="004E760F" w:rsidP="00D94F1E">
      <w:r w:rsidRPr="006A74F8">
        <w:rPr>
          <w:szCs w:val="20"/>
        </w:rPr>
        <w:t xml:space="preserve">Across </w:t>
      </w:r>
      <w:r w:rsidRPr="006A74F8">
        <w:rPr>
          <w:b/>
          <w:szCs w:val="20"/>
        </w:rPr>
        <w:t xml:space="preserve">all </w:t>
      </w:r>
      <w:r w:rsidR="00A35F3F" w:rsidRPr="006A74F8">
        <w:rPr>
          <w:b/>
          <w:szCs w:val="20"/>
        </w:rPr>
        <w:t>reform</w:t>
      </w:r>
      <w:r w:rsidRPr="006A74F8">
        <w:rPr>
          <w:b/>
          <w:szCs w:val="20"/>
        </w:rPr>
        <w:t xml:space="preserve"> options, </w:t>
      </w:r>
      <w:r w:rsidRPr="006A74F8">
        <w:t>the Chief Metrologist will have the power to determine the appropriate method to apply in order to resolve a conflict in results of method-dependent measurements. This enable</w:t>
      </w:r>
      <w:r w:rsidR="002045E1" w:rsidRPr="006A74F8">
        <w:t>s</w:t>
      </w:r>
      <w:r w:rsidRPr="006A74F8">
        <w:t xml:space="preserve"> an increase in consistency (e.g. calibration methods) for specific tasks which may be prescribed.</w:t>
      </w:r>
    </w:p>
    <w:p w:rsidR="004E760F" w:rsidRPr="006A74F8" w:rsidRDefault="000722AC" w:rsidP="00D94F1E">
      <w:pPr>
        <w:rPr>
          <w:szCs w:val="20"/>
        </w:rPr>
      </w:pPr>
      <w:r w:rsidRPr="006A74F8">
        <w:lastRenderedPageBreak/>
        <w:t>Across</w:t>
      </w:r>
      <w:r w:rsidRPr="006A74F8">
        <w:rPr>
          <w:b/>
        </w:rPr>
        <w:t xml:space="preserve"> all </w:t>
      </w:r>
      <w:r w:rsidR="00A35F3F" w:rsidRPr="006A74F8">
        <w:rPr>
          <w:b/>
        </w:rPr>
        <w:t>reform</w:t>
      </w:r>
      <w:r w:rsidRPr="006A74F8">
        <w:rPr>
          <w:b/>
        </w:rPr>
        <w:t xml:space="preserve"> options</w:t>
      </w:r>
      <w:r w:rsidRPr="006A74F8">
        <w:t xml:space="preserve">, the increase in traceability of complex measurements is beneficial for regulators who rely on complex measurement as a basis for setting the requirements they impose.  </w:t>
      </w:r>
    </w:p>
    <w:p w:rsidR="00601912" w:rsidRPr="006A74F8" w:rsidRDefault="00601912" w:rsidP="00C22303">
      <w:pPr>
        <w:pStyle w:val="Heading3"/>
        <w:tabs>
          <w:tab w:val="left" w:pos="993"/>
        </w:tabs>
        <w:ind w:left="993" w:hanging="993"/>
      </w:pPr>
      <w:r w:rsidRPr="006A74F8">
        <w:t xml:space="preserve">Greater access to and confidence in innovative measuring instruments </w:t>
      </w:r>
    </w:p>
    <w:tbl>
      <w:tblPr>
        <w:tblStyle w:val="PlainTable2"/>
        <w:tblW w:w="8875" w:type="dxa"/>
        <w:tblLook w:val="04A0" w:firstRow="1" w:lastRow="0" w:firstColumn="1" w:lastColumn="0" w:noHBand="0" w:noVBand="1"/>
        <w:tblCaption w:val="16.1.6 Greater access to and confidence in innovative measuring instruments "/>
        <w:tblDescription w:val="Greater access to and confidence in innovative measuring instruments. Option 1 is rated 0, neutral. Options 2 and 3 are rated +2, moderate beneficial.  &#10;&#10;Innovative measuring instruments: Options 2 and 3 provide broad support for confidence and legal standing where new measurement technology and techniques are applied by innovative measuring instruments used by regulators."/>
      </w:tblPr>
      <w:tblGrid>
        <w:gridCol w:w="1842"/>
        <w:gridCol w:w="633"/>
        <w:gridCol w:w="633"/>
        <w:gridCol w:w="633"/>
        <w:gridCol w:w="5134"/>
      </w:tblGrid>
      <w:tr w:rsidR="00F70852" w:rsidRPr="006A74F8"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rsidR="00F70852" w:rsidRPr="006A74F8" w:rsidRDefault="00F70852" w:rsidP="004B7992">
            <w:r w:rsidRPr="006A74F8">
              <w:t>Impact</w:t>
            </w:r>
          </w:p>
        </w:tc>
        <w:tc>
          <w:tcPr>
            <w:tcW w:w="1899" w:type="dxa"/>
            <w:gridSpan w:val="3"/>
            <w:tcBorders>
              <w:top w:val="single" w:sz="12" w:space="0" w:color="000000" w:themeColor="text1"/>
              <w:bottom w:val="nil"/>
            </w:tcBorders>
            <w:vAlign w:val="center"/>
          </w:tcPr>
          <w:p w:rsidR="00F70852" w:rsidRPr="006A74F8" w:rsidRDefault="00F70852" w:rsidP="004B7992">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4" w:type="dxa"/>
            <w:vMerge w:val="restart"/>
            <w:tcBorders>
              <w:top w:val="single" w:sz="12" w:space="0" w:color="000000" w:themeColor="text1"/>
            </w:tcBorders>
            <w:vAlign w:val="center"/>
          </w:tcPr>
          <w:p w:rsidR="00F70852" w:rsidRPr="006A74F8" w:rsidRDefault="00F70852" w:rsidP="004B7992">
            <w:pPr>
              <w:cnfStyle w:val="100000000000" w:firstRow="1" w:lastRow="0" w:firstColumn="0" w:lastColumn="0" w:oddVBand="0" w:evenVBand="0" w:oddHBand="0" w:evenHBand="0" w:firstRowFirstColumn="0" w:firstRowLastColumn="0" w:lastRowFirstColumn="0" w:lastRowLastColumn="0"/>
            </w:pPr>
            <w:r w:rsidRPr="006A74F8">
              <w:t>Explanation</w:t>
            </w:r>
          </w:p>
        </w:tc>
      </w:tr>
      <w:tr w:rsidR="00F70852" w:rsidRPr="006A74F8"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rsidR="00F70852" w:rsidRPr="006A74F8" w:rsidRDefault="00F70852" w:rsidP="004B7992"/>
        </w:tc>
        <w:tc>
          <w:tcPr>
            <w:tcW w:w="633" w:type="dxa"/>
            <w:tcBorders>
              <w:top w:val="nil"/>
              <w:bottom w:val="double" w:sz="4" w:space="0" w:color="auto"/>
            </w:tcBorders>
          </w:tcPr>
          <w:p w:rsidR="00F70852" w:rsidRPr="006A74F8" w:rsidRDefault="00F70852"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F70852" w:rsidRPr="006A74F8" w:rsidRDefault="00F70852"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F70852" w:rsidRPr="006A74F8" w:rsidRDefault="00F70852"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4" w:type="dxa"/>
            <w:vMerge/>
            <w:tcBorders>
              <w:bottom w:val="double" w:sz="4" w:space="0" w:color="auto"/>
            </w:tcBorders>
          </w:tcPr>
          <w:p w:rsidR="00F70852" w:rsidRPr="006A74F8" w:rsidRDefault="00F70852" w:rsidP="004B7992">
            <w:pPr>
              <w:cnfStyle w:val="100000000000" w:firstRow="1" w:lastRow="0" w:firstColumn="0" w:lastColumn="0" w:oddVBand="0" w:evenVBand="0" w:oddHBand="0" w:evenHBand="0" w:firstRowFirstColumn="0" w:firstRowLastColumn="0" w:lastRowFirstColumn="0" w:lastRowLastColumn="0"/>
            </w:pPr>
          </w:p>
        </w:tc>
      </w:tr>
      <w:tr w:rsidR="00F70852" w:rsidRPr="006A74F8"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rsidR="00F70852" w:rsidRPr="006A74F8" w:rsidRDefault="00F70852" w:rsidP="004B7992">
            <w:pPr>
              <w:rPr>
                <w:rFonts w:cstheme="minorHAnsi"/>
                <w:b w:val="0"/>
                <w:sz w:val="20"/>
                <w:szCs w:val="20"/>
              </w:rPr>
            </w:pPr>
            <w:r w:rsidRPr="006A74F8">
              <w:rPr>
                <w:rFonts w:cstheme="minorHAnsi"/>
                <w:b w:val="0"/>
                <w:sz w:val="20"/>
                <w:szCs w:val="20"/>
              </w:rPr>
              <w:t>Greater access to and confidence in innovative measuring instruments</w:t>
            </w:r>
          </w:p>
        </w:tc>
        <w:tc>
          <w:tcPr>
            <w:tcW w:w="633" w:type="dxa"/>
            <w:tcBorders>
              <w:right w:val="single" w:sz="4" w:space="0" w:color="FFFFFF" w:themeColor="background1"/>
            </w:tcBorders>
            <w:shd w:val="clear" w:color="auto" w:fill="FFFFC5"/>
            <w:vAlign w:val="center"/>
          </w:tcPr>
          <w:p w:rsidR="00F70852" w:rsidRPr="006A74F8" w:rsidRDefault="00F70852"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0</w:t>
            </w:r>
          </w:p>
        </w:tc>
        <w:tc>
          <w:tcPr>
            <w:tcW w:w="633" w:type="dxa"/>
            <w:tcBorders>
              <w:left w:val="single" w:sz="4" w:space="0" w:color="FFFFFF" w:themeColor="background1"/>
              <w:right w:val="single" w:sz="4" w:space="0" w:color="FFFFFF" w:themeColor="background1"/>
            </w:tcBorders>
            <w:shd w:val="clear" w:color="auto" w:fill="398E98"/>
            <w:vAlign w:val="center"/>
          </w:tcPr>
          <w:p w:rsidR="00F70852" w:rsidRPr="006A74F8" w:rsidRDefault="00F70852"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33" w:type="dxa"/>
            <w:tcBorders>
              <w:left w:val="single" w:sz="4" w:space="0" w:color="FFFFFF" w:themeColor="background1"/>
            </w:tcBorders>
            <w:shd w:val="clear" w:color="auto" w:fill="398E98"/>
            <w:vAlign w:val="center"/>
          </w:tcPr>
          <w:p w:rsidR="00F70852" w:rsidRPr="006A74F8" w:rsidRDefault="00F70852"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5134" w:type="dxa"/>
            <w:vAlign w:val="center"/>
          </w:tcPr>
          <w:p w:rsidR="00F70852" w:rsidRPr="006A74F8" w:rsidRDefault="00F70852" w:rsidP="004B799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A74F8">
              <w:rPr>
                <w:rFonts w:cstheme="minorHAnsi"/>
                <w:b/>
                <w:sz w:val="20"/>
                <w:szCs w:val="20"/>
              </w:rPr>
              <w:t>Innovative measuring instruments</w:t>
            </w:r>
            <w:r w:rsidRPr="006A74F8">
              <w:rPr>
                <w:rFonts w:cstheme="minorHAnsi"/>
                <w:sz w:val="20"/>
                <w:szCs w:val="20"/>
              </w:rPr>
              <w:t xml:space="preserve">: </w:t>
            </w:r>
            <w:r w:rsidRPr="006A74F8">
              <w:rPr>
                <w:rFonts w:cstheme="minorHAnsi"/>
                <w:b/>
                <w:sz w:val="20"/>
                <w:szCs w:val="20"/>
              </w:rPr>
              <w:t>Options 2 and 3</w:t>
            </w:r>
            <w:r w:rsidRPr="006A74F8">
              <w:rPr>
                <w:rFonts w:cstheme="minorHAnsi"/>
                <w:sz w:val="20"/>
                <w:szCs w:val="20"/>
              </w:rPr>
              <w:t xml:space="preserve"> provide broad support for confidence and legal standing where new measurement technology and techniques are applied by innovative measuring instruments used by regulators.</w:t>
            </w:r>
          </w:p>
        </w:tc>
      </w:tr>
    </w:tbl>
    <w:p w:rsidR="00601912" w:rsidRPr="006A74F8" w:rsidRDefault="00644BD0" w:rsidP="00DB3A10">
      <w:pPr>
        <w:spacing w:before="240" w:after="120"/>
        <w:rPr>
          <w:rFonts w:cstheme="minorHAnsi"/>
          <w:szCs w:val="20"/>
        </w:rPr>
      </w:pPr>
      <w:r w:rsidRPr="006A74F8">
        <w:t xml:space="preserve">Regulators </w:t>
      </w:r>
      <w:r w:rsidR="004D617D" w:rsidRPr="006A74F8">
        <w:t xml:space="preserve">that </w:t>
      </w:r>
      <w:r w:rsidR="00FA2395" w:rsidRPr="006A74F8">
        <w:t>rely on measurement</w:t>
      </w:r>
      <w:r w:rsidR="00272090" w:rsidRPr="006A74F8">
        <w:t>s</w:t>
      </w:r>
      <w:r w:rsidR="00FA2395" w:rsidRPr="006A74F8">
        <w:t xml:space="preserve"> will </w:t>
      </w:r>
      <w:r w:rsidR="00DB3A10" w:rsidRPr="006A74F8">
        <w:t xml:space="preserve">often </w:t>
      </w:r>
      <w:r w:rsidR="00FA2395" w:rsidRPr="006A74F8">
        <w:t xml:space="preserve">rely on </w:t>
      </w:r>
      <w:r w:rsidRPr="006A74F8">
        <w:t xml:space="preserve">measuring instruments </w:t>
      </w:r>
      <w:r w:rsidR="004D617D" w:rsidRPr="006A74F8">
        <w:t>as the basis for those measurements. These instruments may</w:t>
      </w:r>
      <w:r w:rsidRPr="006A74F8">
        <w:t xml:space="preserve"> include </w:t>
      </w:r>
      <w:r w:rsidRPr="006A74F8">
        <w:rPr>
          <w:rFonts w:cstheme="minorHAnsi"/>
          <w:szCs w:val="20"/>
        </w:rPr>
        <w:t xml:space="preserve">innovative </w:t>
      </w:r>
      <w:r w:rsidR="004D617D" w:rsidRPr="006A74F8">
        <w:rPr>
          <w:rFonts w:cstheme="minorHAnsi"/>
          <w:szCs w:val="20"/>
        </w:rPr>
        <w:t xml:space="preserve">technologies </w:t>
      </w:r>
      <w:r w:rsidR="0016182A" w:rsidRPr="006A74F8">
        <w:rPr>
          <w:rFonts w:cstheme="minorHAnsi"/>
          <w:szCs w:val="20"/>
        </w:rPr>
        <w:t xml:space="preserve">such as </w:t>
      </w:r>
      <w:r w:rsidRPr="006A74F8">
        <w:t xml:space="preserve">artificial intelligence (AI) systems or </w:t>
      </w:r>
      <w:r w:rsidR="00C727CB" w:rsidRPr="006A74F8">
        <w:t xml:space="preserve">incorporate </w:t>
      </w:r>
      <w:r w:rsidRPr="006A74F8">
        <w:t>self</w:t>
      </w:r>
      <w:r w:rsidRPr="006A74F8">
        <w:noBreakHyphen/>
        <w:t>calibrati</w:t>
      </w:r>
      <w:r w:rsidR="0016182A" w:rsidRPr="006A74F8">
        <w:t>o</w:t>
      </w:r>
      <w:r w:rsidRPr="006A74F8">
        <w:t>n</w:t>
      </w:r>
      <w:r w:rsidR="00A772DC" w:rsidRPr="006A74F8">
        <w:t>, and could</w:t>
      </w:r>
      <w:r w:rsidR="004D617D" w:rsidRPr="006A74F8">
        <w:t xml:space="preserve"> </w:t>
      </w:r>
      <w:r w:rsidRPr="006A74F8">
        <w:t xml:space="preserve">present challenges as to how they fit within the </w:t>
      </w:r>
      <w:r w:rsidR="004D617D" w:rsidRPr="006A74F8">
        <w:t xml:space="preserve">current </w:t>
      </w:r>
      <w:r w:rsidRPr="006A74F8">
        <w:t xml:space="preserve">measurement </w:t>
      </w:r>
      <w:r w:rsidR="004D617D" w:rsidRPr="006A74F8">
        <w:t>legislation</w:t>
      </w:r>
      <w:r w:rsidRPr="006A74F8">
        <w:t>.</w:t>
      </w:r>
    </w:p>
    <w:p w:rsidR="00601912" w:rsidRPr="006A74F8" w:rsidRDefault="00FA2395" w:rsidP="00DB3A10">
      <w:pPr>
        <w:spacing w:after="120"/>
      </w:pPr>
      <w:r w:rsidRPr="006A74F8">
        <w:t>Under</w:t>
      </w:r>
      <w:r w:rsidRPr="006A74F8">
        <w:rPr>
          <w:b/>
        </w:rPr>
        <w:t xml:space="preserve"> </w:t>
      </w:r>
      <w:r w:rsidR="009F0892" w:rsidRPr="006A74F8">
        <w:rPr>
          <w:b/>
        </w:rPr>
        <w:t>o</w:t>
      </w:r>
      <w:r w:rsidR="00601912" w:rsidRPr="006A74F8">
        <w:rPr>
          <w:b/>
        </w:rPr>
        <w:t>ption 1</w:t>
      </w:r>
      <w:r w:rsidRPr="006A74F8">
        <w:rPr>
          <w:b/>
        </w:rPr>
        <w:t xml:space="preserve">, </w:t>
      </w:r>
      <w:r w:rsidRPr="006A74F8">
        <w:t>regulators could</w:t>
      </w:r>
      <w:r w:rsidRPr="006A74F8">
        <w:rPr>
          <w:b/>
        </w:rPr>
        <w:t xml:space="preserve"> </w:t>
      </w:r>
      <w:r w:rsidRPr="006A74F8">
        <w:t>generally look to adopt the pattern approval pathway to help provide confidence in the instruments they rely on</w:t>
      </w:r>
      <w:r w:rsidR="00C727CB" w:rsidRPr="006A74F8">
        <w:t>.</w:t>
      </w:r>
      <w:r w:rsidRPr="006A74F8">
        <w:t xml:space="preserve"> </w:t>
      </w:r>
      <w:r w:rsidR="00C727CB" w:rsidRPr="006A74F8">
        <w:t>H</w:t>
      </w:r>
      <w:r w:rsidRPr="006A74F8">
        <w:t xml:space="preserve">owever, innovative measurement instruments may have difficulty obtaining pattern approval due to </w:t>
      </w:r>
      <w:r w:rsidR="00C727CB" w:rsidRPr="006A74F8">
        <w:t xml:space="preserve">an absence </w:t>
      </w:r>
      <w:r w:rsidRPr="006A74F8">
        <w:t>of test methods or inherent lack of transparency in the way the measurements they produce are calculated</w:t>
      </w:r>
      <w:r w:rsidRPr="006A74F8">
        <w:rPr>
          <w:b/>
        </w:rPr>
        <w:t xml:space="preserve">. </w:t>
      </w:r>
      <w:r w:rsidRPr="006A74F8">
        <w:t>Administrative</w:t>
      </w:r>
      <w:r w:rsidRPr="006A74F8">
        <w:rPr>
          <w:b/>
        </w:rPr>
        <w:t xml:space="preserve"> </w:t>
      </w:r>
      <w:r w:rsidR="00601912" w:rsidRPr="006A74F8">
        <w:t>solution</w:t>
      </w:r>
      <w:r w:rsidRPr="006A74F8">
        <w:t>s</w:t>
      </w:r>
      <w:r w:rsidR="00601912" w:rsidRPr="006A74F8">
        <w:t xml:space="preserve"> to such challenges, </w:t>
      </w:r>
      <w:r w:rsidRPr="006A74F8">
        <w:t>such as</w:t>
      </w:r>
      <w:r w:rsidR="004D617D" w:rsidRPr="006A74F8">
        <w:t xml:space="preserve"> </w:t>
      </w:r>
      <w:r w:rsidR="00601912" w:rsidRPr="006A74F8">
        <w:t>exemption</w:t>
      </w:r>
      <w:r w:rsidR="004D617D" w:rsidRPr="006A74F8">
        <w:t>s</w:t>
      </w:r>
      <w:r w:rsidR="00601912" w:rsidRPr="006A74F8">
        <w:t xml:space="preserve"> or time-based provisional approval</w:t>
      </w:r>
      <w:r w:rsidR="004D617D" w:rsidRPr="006A74F8">
        <w:t>s</w:t>
      </w:r>
      <w:r w:rsidR="00084E03" w:rsidRPr="006A74F8">
        <w:t>,</w:t>
      </w:r>
      <w:r w:rsidRPr="006A74F8">
        <w:t xml:space="preserve"> may reduce </w:t>
      </w:r>
      <w:r w:rsidR="00084E03" w:rsidRPr="006A74F8">
        <w:t xml:space="preserve">some technical barriers </w:t>
      </w:r>
      <w:r w:rsidRPr="006A74F8">
        <w:t>for regulators relying on these instruments. However</w:t>
      </w:r>
      <w:r w:rsidR="00084E03" w:rsidRPr="006A74F8">
        <w:t>,</w:t>
      </w:r>
      <w:r w:rsidRPr="006A74F8">
        <w:t xml:space="preserve"> this may mean there is limited assurance regarding the performance of these types of instruments without </w:t>
      </w:r>
      <w:r w:rsidR="00084E03" w:rsidRPr="006A74F8">
        <w:t xml:space="preserve">some reliance on </w:t>
      </w:r>
      <w:r w:rsidRPr="006A74F8">
        <w:t>other control mechanism</w:t>
      </w:r>
      <w:r w:rsidR="00AF6F44" w:rsidRPr="006A74F8">
        <w:t>s</w:t>
      </w:r>
      <w:r w:rsidRPr="006A74F8">
        <w:t xml:space="preserve">. </w:t>
      </w:r>
    </w:p>
    <w:p w:rsidR="00601912" w:rsidRPr="006A74F8" w:rsidRDefault="004D617D" w:rsidP="00DB3A10">
      <w:pPr>
        <w:spacing w:after="120"/>
      </w:pPr>
      <w:r w:rsidRPr="006A74F8">
        <w:rPr>
          <w:b/>
        </w:rPr>
        <w:t>Options 2 and 3</w:t>
      </w:r>
      <w:r w:rsidRPr="006A74F8">
        <w:t xml:space="preserve"> </w:t>
      </w:r>
      <w:r w:rsidR="00BA5245" w:rsidRPr="006A74F8">
        <w:t xml:space="preserve">introduce </w:t>
      </w:r>
      <w:r w:rsidRPr="006A74F8">
        <w:t xml:space="preserve">additional </w:t>
      </w:r>
      <w:r w:rsidR="00BA5245" w:rsidRPr="006A74F8">
        <w:t xml:space="preserve">control </w:t>
      </w:r>
      <w:r w:rsidRPr="006A74F8">
        <w:t xml:space="preserve">mechanisms </w:t>
      </w:r>
      <w:r w:rsidR="00BA5245" w:rsidRPr="006A74F8">
        <w:t xml:space="preserve">to </w:t>
      </w:r>
      <w:r w:rsidRPr="006A74F8">
        <w:t>provid</w:t>
      </w:r>
      <w:r w:rsidR="00BA5245" w:rsidRPr="006A74F8">
        <w:t>e</w:t>
      </w:r>
      <w:r w:rsidRPr="006A74F8">
        <w:t xml:space="preserve"> assurance </w:t>
      </w:r>
      <w:r w:rsidR="00BA5245" w:rsidRPr="006A74F8">
        <w:t xml:space="preserve">for </w:t>
      </w:r>
      <w:r w:rsidRPr="006A74F8">
        <w:t xml:space="preserve">measuring instruments </w:t>
      </w:r>
      <w:r w:rsidR="00BA5245" w:rsidRPr="006A74F8">
        <w:t xml:space="preserve">that </w:t>
      </w:r>
      <w:r w:rsidRPr="006A74F8">
        <w:t xml:space="preserve">are more adaptable to emerging technologies. </w:t>
      </w:r>
      <w:r w:rsidR="00777474" w:rsidRPr="006A74F8">
        <w:t xml:space="preserve">While regulators are not bound by </w:t>
      </w:r>
      <w:r w:rsidRPr="006A74F8">
        <w:t xml:space="preserve">the </w:t>
      </w:r>
      <w:r w:rsidR="00777474" w:rsidRPr="006A74F8">
        <w:t xml:space="preserve">measurement </w:t>
      </w:r>
      <w:r w:rsidRPr="006A74F8">
        <w:t>legislation</w:t>
      </w:r>
      <w:r w:rsidR="00777474" w:rsidRPr="006A74F8">
        <w:t xml:space="preserve">, they can leverage off </w:t>
      </w:r>
      <w:r w:rsidR="00681F1C" w:rsidRPr="006A74F8">
        <w:t>the</w:t>
      </w:r>
      <w:r w:rsidRPr="006A74F8">
        <w:t xml:space="preserve">se enhancements to provide a more flexible way to manage the risks associated with instruments incorporating new technologies. </w:t>
      </w:r>
      <w:r w:rsidR="00601912" w:rsidRPr="006A74F8">
        <w:rPr>
          <w:b/>
        </w:rPr>
        <w:t>Option</w:t>
      </w:r>
      <w:r w:rsidR="004E658E" w:rsidRPr="006A74F8">
        <w:rPr>
          <w:b/>
        </w:rPr>
        <w:t>s</w:t>
      </w:r>
      <w:r w:rsidR="00601912" w:rsidRPr="006A74F8">
        <w:rPr>
          <w:b/>
        </w:rPr>
        <w:t xml:space="preserve"> 2 and 3 </w:t>
      </w:r>
      <w:r w:rsidR="00601912" w:rsidRPr="006A74F8">
        <w:t xml:space="preserve">would reduce technical barriers for innovative measuring </w:t>
      </w:r>
      <w:r w:rsidR="00777474" w:rsidRPr="006A74F8">
        <w:t xml:space="preserve">instruments in regulatory </w:t>
      </w:r>
      <w:r w:rsidR="00601912" w:rsidRPr="006A74F8">
        <w:t>applications, by</w:t>
      </w:r>
      <w:r w:rsidR="00601912" w:rsidRPr="006A74F8">
        <w:rPr>
          <w:b/>
        </w:rPr>
        <w:t xml:space="preserve"> </w:t>
      </w:r>
      <w:r w:rsidR="00601912" w:rsidRPr="006A74F8">
        <w:t>providing for:</w:t>
      </w:r>
    </w:p>
    <w:p w:rsidR="00D94F1E" w:rsidRPr="006A74F8" w:rsidRDefault="00601912" w:rsidP="00BA5245">
      <w:pPr>
        <w:pStyle w:val="CommentText"/>
        <w:numPr>
          <w:ilvl w:val="0"/>
          <w:numId w:val="285"/>
        </w:numPr>
        <w:spacing w:after="0" w:line="259" w:lineRule="auto"/>
        <w:rPr>
          <w:sz w:val="22"/>
          <w:szCs w:val="22"/>
        </w:rPr>
      </w:pPr>
      <w:r w:rsidRPr="006A74F8">
        <w:rPr>
          <w:sz w:val="22"/>
          <w:szCs w:val="22"/>
        </w:rPr>
        <w:t>Flexibility in the controls</w:t>
      </w:r>
      <w:r w:rsidRPr="006A74F8">
        <w:rPr>
          <w:rStyle w:val="FootnoteReference"/>
          <w:sz w:val="22"/>
          <w:szCs w:val="22"/>
        </w:rPr>
        <w:footnoteReference w:id="130"/>
      </w:r>
      <w:r w:rsidRPr="006A74F8">
        <w:rPr>
          <w:sz w:val="22"/>
          <w:szCs w:val="22"/>
        </w:rPr>
        <w:t xml:space="preserve"> applied to measuring instruments that are internationally aligned and better targeted to specific applications and regulatory frameworks</w:t>
      </w:r>
      <w:r w:rsidR="004E658E" w:rsidRPr="006A74F8">
        <w:rPr>
          <w:sz w:val="22"/>
          <w:szCs w:val="22"/>
        </w:rPr>
        <w:t>.</w:t>
      </w:r>
    </w:p>
    <w:p w:rsidR="00D94F1E" w:rsidRPr="006A74F8" w:rsidRDefault="00601912" w:rsidP="00BA5245">
      <w:pPr>
        <w:pStyle w:val="CommentText"/>
        <w:numPr>
          <w:ilvl w:val="0"/>
          <w:numId w:val="285"/>
        </w:numPr>
        <w:spacing w:after="0" w:line="259" w:lineRule="auto"/>
        <w:rPr>
          <w:sz w:val="22"/>
          <w:szCs w:val="22"/>
        </w:rPr>
      </w:pPr>
      <w:r w:rsidRPr="006A74F8">
        <w:rPr>
          <w:sz w:val="22"/>
          <w:szCs w:val="22"/>
        </w:rPr>
        <w:t>Flexibility in the recognition of traceable pathwa</w:t>
      </w:r>
      <w:r w:rsidR="00391070" w:rsidRPr="006A74F8">
        <w:rPr>
          <w:sz w:val="22"/>
          <w:szCs w:val="22"/>
        </w:rPr>
        <w:t>ys for all types of measurement</w:t>
      </w:r>
      <w:r w:rsidR="004E658E" w:rsidRPr="006A74F8">
        <w:rPr>
          <w:sz w:val="22"/>
          <w:szCs w:val="22"/>
        </w:rPr>
        <w:t>.</w:t>
      </w:r>
    </w:p>
    <w:p w:rsidR="00601912" w:rsidRPr="006A74F8" w:rsidRDefault="00601912" w:rsidP="00BA5245">
      <w:pPr>
        <w:pStyle w:val="CommentText"/>
        <w:numPr>
          <w:ilvl w:val="0"/>
          <w:numId w:val="285"/>
        </w:numPr>
        <w:spacing w:after="0" w:line="259" w:lineRule="auto"/>
        <w:rPr>
          <w:sz w:val="22"/>
          <w:szCs w:val="22"/>
        </w:rPr>
      </w:pPr>
      <w:r w:rsidRPr="006A74F8">
        <w:rPr>
          <w:sz w:val="22"/>
          <w:szCs w:val="22"/>
        </w:rPr>
        <w:t>Appropriate requirements, powers and oversight mechanisms to support confidence in statements of measurement traceability, accuracy and instrument compliance</w:t>
      </w:r>
      <w:r w:rsidRPr="006A74F8">
        <w:t>.</w:t>
      </w:r>
      <w:r w:rsidRPr="006A74F8">
        <w:rPr>
          <w:rStyle w:val="FootnoteReference"/>
        </w:rPr>
        <w:footnoteReference w:id="131"/>
      </w:r>
    </w:p>
    <w:p w:rsidR="00601912" w:rsidRPr="006A74F8" w:rsidRDefault="00601912" w:rsidP="00BA5245">
      <w:pPr>
        <w:spacing w:before="120" w:after="120"/>
        <w:rPr>
          <w:rFonts w:cstheme="minorHAnsi"/>
        </w:rPr>
      </w:pPr>
      <w:r w:rsidRPr="006A74F8">
        <w:rPr>
          <w:rFonts w:cstheme="minorHAnsi"/>
        </w:rPr>
        <w:lastRenderedPageBreak/>
        <w:t>This impact is beneficial for regulators as it:</w:t>
      </w:r>
    </w:p>
    <w:p w:rsidR="00601912" w:rsidRPr="006A74F8" w:rsidRDefault="00601912" w:rsidP="00BA5245">
      <w:pPr>
        <w:pStyle w:val="CommentText"/>
        <w:numPr>
          <w:ilvl w:val="0"/>
          <w:numId w:val="286"/>
        </w:numPr>
        <w:spacing w:after="0" w:line="259" w:lineRule="auto"/>
        <w:rPr>
          <w:sz w:val="22"/>
          <w:szCs w:val="22"/>
        </w:rPr>
      </w:pPr>
      <w:r w:rsidRPr="006A74F8">
        <w:rPr>
          <w:sz w:val="22"/>
          <w:szCs w:val="22"/>
        </w:rPr>
        <w:t xml:space="preserve">creates </w:t>
      </w:r>
      <w:r w:rsidR="004D617D" w:rsidRPr="006A74F8">
        <w:rPr>
          <w:sz w:val="22"/>
          <w:szCs w:val="22"/>
        </w:rPr>
        <w:t xml:space="preserve">greater confidence in </w:t>
      </w:r>
      <w:r w:rsidRPr="006A74F8">
        <w:rPr>
          <w:sz w:val="22"/>
          <w:szCs w:val="22"/>
        </w:rPr>
        <w:t>measuring instruments applying new technologies and techniques</w:t>
      </w:r>
    </w:p>
    <w:p w:rsidR="00601912" w:rsidRPr="006A74F8" w:rsidRDefault="00601912" w:rsidP="00BA5245">
      <w:pPr>
        <w:pStyle w:val="CommentText"/>
        <w:numPr>
          <w:ilvl w:val="0"/>
          <w:numId w:val="286"/>
        </w:numPr>
        <w:spacing w:after="0" w:line="259" w:lineRule="auto"/>
        <w:rPr>
          <w:sz w:val="22"/>
          <w:szCs w:val="22"/>
        </w:rPr>
      </w:pPr>
      <w:r w:rsidRPr="006A74F8">
        <w:rPr>
          <w:sz w:val="22"/>
          <w:szCs w:val="22"/>
        </w:rPr>
        <w:t>supports investment in</w:t>
      </w:r>
      <w:r w:rsidR="002045E1" w:rsidRPr="006A74F8">
        <w:rPr>
          <w:sz w:val="22"/>
          <w:szCs w:val="22"/>
        </w:rPr>
        <w:t xml:space="preserve"> new and</w:t>
      </w:r>
      <w:r w:rsidRPr="006A74F8">
        <w:rPr>
          <w:sz w:val="22"/>
          <w:szCs w:val="22"/>
        </w:rPr>
        <w:t xml:space="preserve"> emerging innovative measurement technologies and applications though clear pathways for compliance requirements</w:t>
      </w:r>
    </w:p>
    <w:p w:rsidR="00601912" w:rsidRPr="006A74F8" w:rsidRDefault="00601912" w:rsidP="00BA5245">
      <w:pPr>
        <w:pStyle w:val="CommentText"/>
        <w:numPr>
          <w:ilvl w:val="0"/>
          <w:numId w:val="286"/>
        </w:numPr>
        <w:spacing w:after="0" w:line="259" w:lineRule="auto"/>
        <w:rPr>
          <w:sz w:val="22"/>
          <w:szCs w:val="22"/>
        </w:rPr>
      </w:pPr>
      <w:r w:rsidRPr="006A74F8">
        <w:rPr>
          <w:sz w:val="22"/>
          <w:szCs w:val="22"/>
        </w:rPr>
        <w:t xml:space="preserve">provides </w:t>
      </w:r>
      <w:r w:rsidR="00C11DFC" w:rsidRPr="006A74F8">
        <w:rPr>
          <w:sz w:val="22"/>
          <w:szCs w:val="22"/>
        </w:rPr>
        <w:t>access to</w:t>
      </w:r>
      <w:r w:rsidRPr="006A74F8">
        <w:rPr>
          <w:sz w:val="22"/>
          <w:szCs w:val="22"/>
        </w:rPr>
        <w:t xml:space="preserve"> mechanisms of control appropriate for </w:t>
      </w:r>
      <w:r w:rsidR="002045E1" w:rsidRPr="006A74F8">
        <w:rPr>
          <w:sz w:val="22"/>
          <w:szCs w:val="22"/>
        </w:rPr>
        <w:t xml:space="preserve">measuring </w:t>
      </w:r>
      <w:r w:rsidRPr="006A74F8">
        <w:rPr>
          <w:sz w:val="22"/>
          <w:szCs w:val="22"/>
        </w:rPr>
        <w:t>instruments using new technologies and techniques</w:t>
      </w:r>
    </w:p>
    <w:p w:rsidR="00601912" w:rsidRPr="006A74F8" w:rsidRDefault="00601912" w:rsidP="00BA5245">
      <w:pPr>
        <w:pStyle w:val="CommentText"/>
        <w:numPr>
          <w:ilvl w:val="0"/>
          <w:numId w:val="286"/>
        </w:numPr>
        <w:spacing w:after="0" w:line="259" w:lineRule="auto"/>
        <w:rPr>
          <w:sz w:val="22"/>
          <w:szCs w:val="22"/>
        </w:rPr>
      </w:pPr>
      <w:r w:rsidRPr="006A74F8">
        <w:rPr>
          <w:sz w:val="22"/>
          <w:szCs w:val="22"/>
        </w:rPr>
        <w:t xml:space="preserve">enables </w:t>
      </w:r>
      <w:r w:rsidR="00446D45" w:rsidRPr="006A74F8">
        <w:rPr>
          <w:sz w:val="22"/>
          <w:szCs w:val="22"/>
        </w:rPr>
        <w:t>increased availability of</w:t>
      </w:r>
      <w:r w:rsidRPr="006A74F8">
        <w:rPr>
          <w:sz w:val="22"/>
          <w:szCs w:val="22"/>
        </w:rPr>
        <w:t xml:space="preserve"> </w:t>
      </w:r>
      <w:r w:rsidR="002045E1" w:rsidRPr="006A74F8">
        <w:rPr>
          <w:sz w:val="22"/>
          <w:szCs w:val="22"/>
        </w:rPr>
        <w:t xml:space="preserve">measuring </w:t>
      </w:r>
      <w:r w:rsidRPr="006A74F8">
        <w:rPr>
          <w:sz w:val="22"/>
          <w:szCs w:val="22"/>
        </w:rPr>
        <w:t>instruments for use by regulators.</w:t>
      </w:r>
    </w:p>
    <w:p w:rsidR="006F022F" w:rsidRPr="006A74F8" w:rsidRDefault="006F022F" w:rsidP="001F2D47">
      <w:pPr>
        <w:pStyle w:val="CommentText"/>
        <w:spacing w:after="0"/>
        <w:ind w:left="720"/>
        <w:rPr>
          <w:sz w:val="22"/>
          <w:szCs w:val="22"/>
        </w:rPr>
      </w:pPr>
    </w:p>
    <w:p w:rsidR="00601912" w:rsidRPr="006A74F8" w:rsidRDefault="00601912" w:rsidP="00C22303">
      <w:pPr>
        <w:pStyle w:val="Heading3"/>
        <w:tabs>
          <w:tab w:val="left" w:pos="993"/>
        </w:tabs>
      </w:pPr>
      <w:r w:rsidRPr="006A74F8">
        <w:t xml:space="preserve">Greater support for use of primary </w:t>
      </w:r>
      <w:r w:rsidR="00946B40" w:rsidRPr="006A74F8">
        <w:t xml:space="preserve">measurement </w:t>
      </w:r>
      <w:r w:rsidRPr="006A74F8">
        <w:t xml:space="preserve">standards </w:t>
      </w:r>
    </w:p>
    <w:tbl>
      <w:tblPr>
        <w:tblStyle w:val="PlainTable2"/>
        <w:tblW w:w="8875" w:type="dxa"/>
        <w:tblLook w:val="04A0" w:firstRow="1" w:lastRow="0" w:firstColumn="1" w:lastColumn="0" w:noHBand="0" w:noVBand="1"/>
        <w:tblCaption w:val="16.1.7 Greater support for use of independent primary standards "/>
        <w:tblDescription w:val="Greater support for use of independent standards. Option 0 is rated neutral. Options 2 and 3 are rated +1, slight beneficial.&#10;Traceability of independent primary standards: Options 2 and 3 provide a new legislative pathway to recognise independent primary standards which regulators can rely on.&#10;"/>
      </w:tblPr>
      <w:tblGrid>
        <w:gridCol w:w="1842"/>
        <w:gridCol w:w="633"/>
        <w:gridCol w:w="633"/>
        <w:gridCol w:w="633"/>
        <w:gridCol w:w="5134"/>
      </w:tblGrid>
      <w:tr w:rsidR="003F0D84" w:rsidRPr="006A74F8"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rsidR="003F0D84" w:rsidRPr="006A74F8" w:rsidRDefault="003F0D84" w:rsidP="004B7992">
            <w:r w:rsidRPr="006A74F8">
              <w:t>Impact</w:t>
            </w:r>
          </w:p>
        </w:tc>
        <w:tc>
          <w:tcPr>
            <w:tcW w:w="1899" w:type="dxa"/>
            <w:gridSpan w:val="3"/>
            <w:tcBorders>
              <w:top w:val="single" w:sz="12" w:space="0" w:color="000000" w:themeColor="text1"/>
              <w:bottom w:val="nil"/>
            </w:tcBorders>
            <w:vAlign w:val="center"/>
          </w:tcPr>
          <w:p w:rsidR="003F0D84" w:rsidRPr="006A74F8" w:rsidRDefault="003F0D84" w:rsidP="004B7992">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4" w:type="dxa"/>
            <w:vMerge w:val="restart"/>
            <w:tcBorders>
              <w:top w:val="single" w:sz="12" w:space="0" w:color="000000" w:themeColor="text1"/>
            </w:tcBorders>
            <w:vAlign w:val="center"/>
          </w:tcPr>
          <w:p w:rsidR="003F0D84" w:rsidRPr="006A74F8" w:rsidRDefault="003F0D84" w:rsidP="004B7992">
            <w:pPr>
              <w:cnfStyle w:val="100000000000" w:firstRow="1" w:lastRow="0" w:firstColumn="0" w:lastColumn="0" w:oddVBand="0" w:evenVBand="0" w:oddHBand="0" w:evenHBand="0" w:firstRowFirstColumn="0" w:firstRowLastColumn="0" w:lastRowFirstColumn="0" w:lastRowLastColumn="0"/>
            </w:pPr>
            <w:r w:rsidRPr="006A74F8">
              <w:t>Explanation</w:t>
            </w:r>
          </w:p>
        </w:tc>
      </w:tr>
      <w:tr w:rsidR="003F0D84" w:rsidRPr="006A74F8"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rsidR="003F0D84" w:rsidRPr="006A74F8" w:rsidRDefault="003F0D84" w:rsidP="004B7992"/>
        </w:tc>
        <w:tc>
          <w:tcPr>
            <w:tcW w:w="633" w:type="dxa"/>
            <w:tcBorders>
              <w:top w:val="nil"/>
              <w:bottom w:val="double" w:sz="4" w:space="0" w:color="auto"/>
            </w:tcBorders>
          </w:tcPr>
          <w:p w:rsidR="003F0D84" w:rsidRPr="006A74F8" w:rsidRDefault="003F0D84"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3F0D84" w:rsidRPr="006A74F8" w:rsidRDefault="003F0D84"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3F0D84" w:rsidRPr="006A74F8" w:rsidRDefault="003F0D84"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4" w:type="dxa"/>
            <w:vMerge/>
            <w:tcBorders>
              <w:bottom w:val="double" w:sz="4" w:space="0" w:color="auto"/>
            </w:tcBorders>
          </w:tcPr>
          <w:p w:rsidR="003F0D84" w:rsidRPr="006A74F8" w:rsidRDefault="003F0D84" w:rsidP="004B7992">
            <w:pPr>
              <w:cnfStyle w:val="100000000000" w:firstRow="1" w:lastRow="0" w:firstColumn="0" w:lastColumn="0" w:oddVBand="0" w:evenVBand="0" w:oddHBand="0" w:evenHBand="0" w:firstRowFirstColumn="0" w:firstRowLastColumn="0" w:lastRowFirstColumn="0" w:lastRowLastColumn="0"/>
            </w:pPr>
          </w:p>
        </w:tc>
      </w:tr>
      <w:tr w:rsidR="003F0D84" w:rsidRPr="006A74F8"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rsidR="003F0D84" w:rsidRPr="006A74F8" w:rsidRDefault="003F0D84" w:rsidP="00AF48C5">
            <w:pPr>
              <w:rPr>
                <w:rFonts w:eastAsia="Calibri" w:cstheme="minorHAnsi"/>
                <w:b w:val="0"/>
                <w:sz w:val="20"/>
                <w:szCs w:val="20"/>
              </w:rPr>
            </w:pPr>
            <w:r w:rsidRPr="006A74F8">
              <w:rPr>
                <w:rFonts w:cstheme="minorHAnsi"/>
                <w:b w:val="0"/>
                <w:sz w:val="20"/>
                <w:szCs w:val="20"/>
              </w:rPr>
              <w:t xml:space="preserve">Greater support for use of </w:t>
            </w:r>
            <w:r w:rsidR="00AF48C5" w:rsidRPr="006A74F8">
              <w:rPr>
                <w:rFonts w:cstheme="minorHAnsi"/>
                <w:b w:val="0"/>
                <w:sz w:val="20"/>
                <w:szCs w:val="20"/>
              </w:rPr>
              <w:t xml:space="preserve">primary </w:t>
            </w:r>
            <w:r w:rsidR="00946B40" w:rsidRPr="006A74F8">
              <w:rPr>
                <w:rFonts w:cstheme="minorHAnsi"/>
                <w:b w:val="0"/>
                <w:sz w:val="20"/>
                <w:szCs w:val="20"/>
              </w:rPr>
              <w:t xml:space="preserve">measurement </w:t>
            </w:r>
            <w:r w:rsidRPr="006A74F8">
              <w:rPr>
                <w:rFonts w:cstheme="minorHAnsi"/>
                <w:b w:val="0"/>
                <w:sz w:val="20"/>
                <w:szCs w:val="20"/>
              </w:rPr>
              <w:t>standards</w:t>
            </w:r>
          </w:p>
        </w:tc>
        <w:tc>
          <w:tcPr>
            <w:tcW w:w="633" w:type="dxa"/>
            <w:tcBorders>
              <w:right w:val="single" w:sz="4" w:space="0" w:color="FFFFFF" w:themeColor="background1"/>
            </w:tcBorders>
            <w:shd w:val="clear" w:color="auto" w:fill="FFFFC5"/>
            <w:vAlign w:val="center"/>
          </w:tcPr>
          <w:p w:rsidR="003F0D84" w:rsidRPr="006A74F8" w:rsidRDefault="003F0D84"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0</w:t>
            </w:r>
          </w:p>
        </w:tc>
        <w:tc>
          <w:tcPr>
            <w:tcW w:w="633" w:type="dxa"/>
            <w:tcBorders>
              <w:left w:val="single" w:sz="4" w:space="0" w:color="FFFFFF" w:themeColor="background1"/>
              <w:right w:val="single" w:sz="4" w:space="0" w:color="FFFFFF" w:themeColor="background1"/>
            </w:tcBorders>
            <w:shd w:val="clear" w:color="auto" w:fill="ACD7CA"/>
            <w:vAlign w:val="center"/>
          </w:tcPr>
          <w:p w:rsidR="003F0D84" w:rsidRPr="006A74F8" w:rsidRDefault="003F0D84"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633" w:type="dxa"/>
            <w:tcBorders>
              <w:left w:val="single" w:sz="4" w:space="0" w:color="FFFFFF" w:themeColor="background1"/>
            </w:tcBorders>
            <w:shd w:val="clear" w:color="auto" w:fill="ACD7CA"/>
            <w:vAlign w:val="center"/>
          </w:tcPr>
          <w:p w:rsidR="003F0D84" w:rsidRPr="006A74F8" w:rsidRDefault="003F0D84"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6A74F8">
              <w:rPr>
                <w:rFonts w:ascii="Calibri" w:hAnsi="Calibri" w:cs="Calibri"/>
                <w:sz w:val="20"/>
                <w:szCs w:val="18"/>
              </w:rPr>
              <w:t>+1</w:t>
            </w:r>
          </w:p>
        </w:tc>
        <w:tc>
          <w:tcPr>
            <w:tcW w:w="5134" w:type="dxa"/>
            <w:vAlign w:val="center"/>
          </w:tcPr>
          <w:p w:rsidR="003F0D84" w:rsidRPr="006A74F8" w:rsidRDefault="003F0D84" w:rsidP="00AF48C5">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6A74F8">
              <w:rPr>
                <w:rFonts w:cstheme="minorHAnsi"/>
                <w:b/>
                <w:sz w:val="20"/>
                <w:szCs w:val="20"/>
              </w:rPr>
              <w:t xml:space="preserve">Traceability of primary </w:t>
            </w:r>
            <w:r w:rsidR="00946B40" w:rsidRPr="006A74F8">
              <w:rPr>
                <w:rFonts w:cstheme="minorHAnsi"/>
                <w:b/>
                <w:sz w:val="20"/>
                <w:szCs w:val="20"/>
              </w:rPr>
              <w:t xml:space="preserve">measurement </w:t>
            </w:r>
            <w:r w:rsidRPr="006A74F8">
              <w:rPr>
                <w:rFonts w:cstheme="minorHAnsi"/>
                <w:b/>
                <w:sz w:val="20"/>
                <w:szCs w:val="20"/>
              </w:rPr>
              <w:t>standards:</w:t>
            </w:r>
            <w:r w:rsidRPr="006A74F8">
              <w:rPr>
                <w:rFonts w:cstheme="minorHAnsi"/>
                <w:sz w:val="20"/>
                <w:szCs w:val="20"/>
              </w:rPr>
              <w:t xml:space="preserve"> </w:t>
            </w:r>
            <w:r w:rsidRPr="006A74F8">
              <w:rPr>
                <w:rFonts w:cstheme="minorHAnsi"/>
                <w:b/>
                <w:sz w:val="20"/>
                <w:szCs w:val="20"/>
              </w:rPr>
              <w:t>Options 2 and 3</w:t>
            </w:r>
            <w:r w:rsidRPr="006A74F8">
              <w:rPr>
                <w:rFonts w:cstheme="minorHAnsi"/>
                <w:sz w:val="20"/>
                <w:szCs w:val="20"/>
              </w:rPr>
              <w:t xml:space="preserve"> provide a new legislative pathway to recognise primary </w:t>
            </w:r>
            <w:r w:rsidR="00946B40" w:rsidRPr="006A74F8">
              <w:rPr>
                <w:rFonts w:cstheme="minorHAnsi"/>
                <w:sz w:val="20"/>
                <w:szCs w:val="20"/>
              </w:rPr>
              <w:t xml:space="preserve">measurement </w:t>
            </w:r>
            <w:r w:rsidRPr="006A74F8">
              <w:rPr>
                <w:rFonts w:cstheme="minorHAnsi"/>
                <w:sz w:val="20"/>
                <w:szCs w:val="20"/>
              </w:rPr>
              <w:t>standards which regulators can rely on.</w:t>
            </w:r>
          </w:p>
        </w:tc>
      </w:tr>
    </w:tbl>
    <w:p w:rsidR="002300AB" w:rsidRPr="006A74F8" w:rsidRDefault="00AF48C5" w:rsidP="007B3B9E">
      <w:pPr>
        <w:spacing w:before="240"/>
      </w:pPr>
      <w:r w:rsidRPr="006A74F8">
        <w:rPr>
          <w:rFonts w:cstheme="minorHAnsi"/>
          <w:szCs w:val="20"/>
        </w:rPr>
        <w:t xml:space="preserve">The international measurement system is evolving. </w:t>
      </w:r>
      <w:r w:rsidR="00946B40" w:rsidRPr="006A74F8">
        <w:t xml:space="preserve">Following on from the revision of the SI in May 2019, the international measurement system has been re-defined based </w:t>
      </w:r>
      <w:r w:rsidRPr="006A74F8">
        <w:rPr>
          <w:rFonts w:cstheme="minorHAnsi"/>
          <w:szCs w:val="20"/>
        </w:rPr>
        <w:t xml:space="preserve">on fundamental constants of nature (see </w:t>
      </w:r>
      <w:hyperlink w:anchor="_The_international_measurement" w:history="1">
        <w:r w:rsidR="0098583D" w:rsidRPr="006A74F8">
          <w:rPr>
            <w:rStyle w:val="Hyperlink"/>
            <w:rFonts w:cstheme="minorHAnsi"/>
            <w:szCs w:val="20"/>
          </w:rPr>
          <w:t xml:space="preserve">section </w:t>
        </w:r>
        <w:r w:rsidRPr="006A74F8">
          <w:rPr>
            <w:rStyle w:val="Hyperlink"/>
            <w:rFonts w:cstheme="minorHAnsi"/>
            <w:szCs w:val="20"/>
          </w:rPr>
          <w:t>3.3</w:t>
        </w:r>
      </w:hyperlink>
      <w:r w:rsidRPr="006A74F8">
        <w:rPr>
          <w:rFonts w:cstheme="minorHAnsi"/>
          <w:szCs w:val="20"/>
        </w:rPr>
        <w:t xml:space="preserve"> for more information).</w:t>
      </w:r>
      <w:r w:rsidR="0098583D" w:rsidRPr="006A74F8">
        <w:rPr>
          <w:rFonts w:cstheme="minorHAnsi"/>
          <w:szCs w:val="20"/>
        </w:rPr>
        <w:t xml:space="preserve"> </w:t>
      </w:r>
      <w:r w:rsidRPr="006A74F8">
        <w:rPr>
          <w:rFonts w:cstheme="minorHAnsi"/>
          <w:szCs w:val="20"/>
        </w:rPr>
        <w:t xml:space="preserve">This provides opportunities for primary </w:t>
      </w:r>
      <w:r w:rsidR="005955A7" w:rsidRPr="006A74F8">
        <w:rPr>
          <w:rFonts w:cstheme="minorHAnsi"/>
          <w:szCs w:val="20"/>
        </w:rPr>
        <w:t xml:space="preserve">measurement </w:t>
      </w:r>
      <w:r w:rsidRPr="006A74F8">
        <w:rPr>
          <w:rFonts w:cstheme="minorHAnsi"/>
          <w:szCs w:val="20"/>
        </w:rPr>
        <w:t xml:space="preserve">standards to be realised independently from other </w:t>
      </w:r>
      <w:r w:rsidR="005955A7" w:rsidRPr="006A74F8">
        <w:rPr>
          <w:rFonts w:cstheme="minorHAnsi"/>
          <w:szCs w:val="20"/>
        </w:rPr>
        <w:t xml:space="preserve">measurement </w:t>
      </w:r>
      <w:r w:rsidRPr="006A74F8">
        <w:rPr>
          <w:rFonts w:cstheme="minorHAnsi"/>
          <w:szCs w:val="20"/>
        </w:rPr>
        <w:t xml:space="preserve">standards (at least for the base units like the kilogram). Further, this could result in the wider development and use of primary </w:t>
      </w:r>
      <w:r w:rsidR="005955A7" w:rsidRPr="006A74F8">
        <w:rPr>
          <w:rFonts w:cstheme="minorHAnsi"/>
          <w:szCs w:val="20"/>
        </w:rPr>
        <w:t xml:space="preserve">measurement </w:t>
      </w:r>
      <w:r w:rsidRPr="006A74F8">
        <w:rPr>
          <w:rFonts w:cstheme="minorHAnsi"/>
          <w:szCs w:val="20"/>
        </w:rPr>
        <w:t>standards in the private sector.</w:t>
      </w:r>
    </w:p>
    <w:p w:rsidR="00601912" w:rsidRPr="006A74F8" w:rsidRDefault="00601912" w:rsidP="005E4D99">
      <w:r w:rsidRPr="006A74F8">
        <w:t xml:space="preserve">The </w:t>
      </w:r>
      <w:r w:rsidR="00AF48C5" w:rsidRPr="006A74F8">
        <w:t xml:space="preserve">wider development and </w:t>
      </w:r>
      <w:r w:rsidRPr="006A74F8">
        <w:t xml:space="preserve">use of primary </w:t>
      </w:r>
      <w:r w:rsidR="005955A7" w:rsidRPr="006A74F8">
        <w:t xml:space="preserve">measurement </w:t>
      </w:r>
      <w:r w:rsidRPr="006A74F8">
        <w:t xml:space="preserve">standards could support advances in measurement techniques and reduce the costs associated with accessing high accuracy calibrations. However, without appropriate </w:t>
      </w:r>
      <w:r w:rsidR="005547E9" w:rsidRPr="006A74F8">
        <w:t xml:space="preserve">comparability or </w:t>
      </w:r>
      <w:r w:rsidRPr="006A74F8">
        <w:t xml:space="preserve">controls, they could threaten consistency and confidence in the accuracy of measurements that regulators rely on. </w:t>
      </w:r>
    </w:p>
    <w:p w:rsidR="002300AB" w:rsidRPr="006A74F8" w:rsidRDefault="00601912" w:rsidP="005E4D99">
      <w:r w:rsidRPr="006A74F8">
        <w:rPr>
          <w:rFonts w:cstheme="minorHAnsi"/>
        </w:rPr>
        <w:t xml:space="preserve">Under </w:t>
      </w:r>
      <w:r w:rsidR="009F0892" w:rsidRPr="006A74F8">
        <w:rPr>
          <w:rFonts w:cstheme="minorHAnsi"/>
          <w:b/>
        </w:rPr>
        <w:t>o</w:t>
      </w:r>
      <w:r w:rsidRPr="006A74F8">
        <w:rPr>
          <w:rFonts w:cstheme="minorHAnsi"/>
          <w:b/>
        </w:rPr>
        <w:t>ptions 2 and 3</w:t>
      </w:r>
      <w:r w:rsidRPr="006A74F8">
        <w:rPr>
          <w:rFonts w:cstheme="minorHAnsi"/>
        </w:rPr>
        <w:t>,</w:t>
      </w:r>
      <w:r w:rsidRPr="006A74F8">
        <w:t xml:space="preserve"> primary </w:t>
      </w:r>
      <w:r w:rsidR="005955A7" w:rsidRPr="006A74F8">
        <w:t xml:space="preserve">measurement </w:t>
      </w:r>
      <w:r w:rsidRPr="006A74F8">
        <w:t xml:space="preserve">standards that are </w:t>
      </w:r>
      <w:r w:rsidR="00AF48C5" w:rsidRPr="006A74F8">
        <w:t xml:space="preserve">not maintained, or caused to be maintained, by the Chief Metrologist </w:t>
      </w:r>
      <w:r w:rsidRPr="006A74F8">
        <w:t xml:space="preserve">may be recognised by the Chief Metrologist. The legislation will empower the Chief Metrologist to </w:t>
      </w:r>
      <w:r w:rsidR="00AF48C5" w:rsidRPr="006A74F8">
        <w:t>support advancing</w:t>
      </w:r>
      <w:r w:rsidRPr="006A74F8">
        <w:t xml:space="preserve"> technology </w:t>
      </w:r>
      <w:r w:rsidR="00AF48C5" w:rsidRPr="006A74F8">
        <w:t>and innovation</w:t>
      </w:r>
      <w:r w:rsidRPr="006A74F8">
        <w:t xml:space="preserve">, while maintaining requirements </w:t>
      </w:r>
      <w:r w:rsidR="00AF48C5" w:rsidRPr="006A74F8">
        <w:t>to support</w:t>
      </w:r>
      <w:r w:rsidRPr="006A74F8">
        <w:t xml:space="preserve"> confidence </w:t>
      </w:r>
      <w:r w:rsidR="00AF48C5" w:rsidRPr="006A74F8">
        <w:t xml:space="preserve">in their use </w:t>
      </w:r>
      <w:r w:rsidRPr="006A74F8">
        <w:t xml:space="preserve">and in the inter-comparability of those </w:t>
      </w:r>
      <w:r w:rsidR="005955A7" w:rsidRPr="006A74F8">
        <w:t xml:space="preserve">measurement </w:t>
      </w:r>
      <w:r w:rsidRPr="006A74F8">
        <w:t xml:space="preserve">standards. </w:t>
      </w:r>
    </w:p>
    <w:p w:rsidR="00443578" w:rsidRPr="006A74F8" w:rsidRDefault="00601912" w:rsidP="00D81504">
      <w:pPr>
        <w:spacing w:after="120" w:line="257" w:lineRule="auto"/>
      </w:pPr>
      <w:r w:rsidRPr="006A74F8">
        <w:t xml:space="preserve">This change </w:t>
      </w:r>
      <w:r w:rsidR="00AF48C5" w:rsidRPr="006A74F8">
        <w:t xml:space="preserve">supports </w:t>
      </w:r>
      <w:r w:rsidRPr="006A74F8">
        <w:t xml:space="preserve">regulators </w:t>
      </w:r>
      <w:r w:rsidR="00AF48C5" w:rsidRPr="006A74F8">
        <w:t>who may be seeking to permit measurements that are supported by innovative primary standards</w:t>
      </w:r>
      <w:r w:rsidRPr="006A74F8">
        <w:t xml:space="preserve"> </w:t>
      </w:r>
      <w:r w:rsidR="00AF48C5" w:rsidRPr="006A74F8">
        <w:t xml:space="preserve">whilst </w:t>
      </w:r>
      <w:r w:rsidRPr="006A74F8">
        <w:t>ensur</w:t>
      </w:r>
      <w:r w:rsidR="00AF48C5" w:rsidRPr="006A74F8">
        <w:t>ing</w:t>
      </w:r>
      <w:r w:rsidRPr="006A74F8">
        <w:t xml:space="preserve"> </w:t>
      </w:r>
      <w:r w:rsidR="00AF48C5" w:rsidRPr="006A74F8">
        <w:t>confidence in the</w:t>
      </w:r>
      <w:r w:rsidRPr="006A74F8">
        <w:t xml:space="preserve"> measurements </w:t>
      </w:r>
      <w:r w:rsidR="00AF48C5" w:rsidRPr="006A74F8">
        <w:t>that are traceable to them</w:t>
      </w:r>
      <w:r w:rsidR="00D81504" w:rsidRPr="006A74F8">
        <w:t>.</w:t>
      </w:r>
    </w:p>
    <w:p w:rsidR="00443578" w:rsidRPr="006A74F8" w:rsidRDefault="00443578" w:rsidP="00C22303">
      <w:pPr>
        <w:pStyle w:val="Heading3"/>
        <w:ind w:left="993" w:hanging="993"/>
      </w:pPr>
      <w:r w:rsidRPr="006A74F8">
        <w:lastRenderedPageBreak/>
        <w:t xml:space="preserve">Legal standing for international </w:t>
      </w:r>
      <w:r w:rsidR="005955A7" w:rsidRPr="006A74F8">
        <w:t xml:space="preserve">reference </w:t>
      </w:r>
      <w:r w:rsidRPr="006A74F8">
        <w:t>standards and reference materials</w:t>
      </w:r>
    </w:p>
    <w:tbl>
      <w:tblPr>
        <w:tblStyle w:val="PlainTable2"/>
        <w:tblW w:w="8875" w:type="dxa"/>
        <w:tblLook w:val="04A0" w:firstRow="1" w:lastRow="0" w:firstColumn="1" w:lastColumn="0" w:noHBand="0" w:noVBand="1"/>
        <w:tblCaption w:val="16.1.8 Legal standing for international standards and reference materials"/>
        <w:tblDescription w:val="Greater support for use of overseas reference standards and CRMs. Option 1 is rated +1, slight beneficial. Options 2 and 3 are rated +2, moderate beneficial.&#10;Legal assurance for the use of overseas standards and CRMs: All options will facilitate the identification and use of overseas reference materials and standards of measurement by regulators for legal purposes.&#10;"/>
      </w:tblPr>
      <w:tblGrid>
        <w:gridCol w:w="1842"/>
        <w:gridCol w:w="633"/>
        <w:gridCol w:w="633"/>
        <w:gridCol w:w="633"/>
        <w:gridCol w:w="5134"/>
      </w:tblGrid>
      <w:tr w:rsidR="00E0473E" w:rsidRPr="006A74F8"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rsidR="00E0473E" w:rsidRPr="006A74F8" w:rsidRDefault="00E0473E" w:rsidP="004B7992">
            <w:r w:rsidRPr="006A74F8">
              <w:t>Impact</w:t>
            </w:r>
          </w:p>
        </w:tc>
        <w:tc>
          <w:tcPr>
            <w:tcW w:w="1899" w:type="dxa"/>
            <w:gridSpan w:val="3"/>
            <w:tcBorders>
              <w:top w:val="single" w:sz="12" w:space="0" w:color="000000" w:themeColor="text1"/>
              <w:bottom w:val="nil"/>
            </w:tcBorders>
            <w:vAlign w:val="center"/>
          </w:tcPr>
          <w:p w:rsidR="00E0473E" w:rsidRPr="006A74F8" w:rsidRDefault="00E0473E" w:rsidP="004B7992">
            <w:pPr>
              <w:jc w:val="center"/>
              <w:cnfStyle w:val="100000000000" w:firstRow="1" w:lastRow="0" w:firstColumn="0" w:lastColumn="0" w:oddVBand="0" w:evenVBand="0" w:oddHBand="0" w:evenHBand="0" w:firstRowFirstColumn="0" w:firstRowLastColumn="0" w:lastRowFirstColumn="0" w:lastRowLastColumn="0"/>
            </w:pPr>
            <w:r w:rsidRPr="006A74F8">
              <w:t>Reform Option</w:t>
            </w:r>
          </w:p>
        </w:tc>
        <w:tc>
          <w:tcPr>
            <w:tcW w:w="5134" w:type="dxa"/>
            <w:vMerge w:val="restart"/>
            <w:tcBorders>
              <w:top w:val="single" w:sz="12" w:space="0" w:color="000000" w:themeColor="text1"/>
            </w:tcBorders>
            <w:vAlign w:val="center"/>
          </w:tcPr>
          <w:p w:rsidR="00E0473E" w:rsidRPr="006A74F8" w:rsidRDefault="00E0473E" w:rsidP="004B7992">
            <w:pPr>
              <w:cnfStyle w:val="100000000000" w:firstRow="1" w:lastRow="0" w:firstColumn="0" w:lastColumn="0" w:oddVBand="0" w:evenVBand="0" w:oddHBand="0" w:evenHBand="0" w:firstRowFirstColumn="0" w:firstRowLastColumn="0" w:lastRowFirstColumn="0" w:lastRowLastColumn="0"/>
            </w:pPr>
            <w:r w:rsidRPr="006A74F8">
              <w:t>Explanation</w:t>
            </w:r>
          </w:p>
        </w:tc>
      </w:tr>
      <w:tr w:rsidR="00E0473E" w:rsidRPr="006A74F8"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rsidR="00E0473E" w:rsidRPr="006A74F8" w:rsidRDefault="00E0473E" w:rsidP="004B7992"/>
        </w:tc>
        <w:tc>
          <w:tcPr>
            <w:tcW w:w="633" w:type="dxa"/>
            <w:tcBorders>
              <w:top w:val="nil"/>
              <w:bottom w:val="double" w:sz="4" w:space="0" w:color="auto"/>
            </w:tcBorders>
          </w:tcPr>
          <w:p w:rsidR="00E0473E" w:rsidRPr="006A74F8" w:rsidRDefault="00E0473E"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1</w:t>
            </w:r>
          </w:p>
        </w:tc>
        <w:tc>
          <w:tcPr>
            <w:tcW w:w="633" w:type="dxa"/>
            <w:tcBorders>
              <w:top w:val="nil"/>
              <w:bottom w:val="double" w:sz="4" w:space="0" w:color="auto"/>
            </w:tcBorders>
          </w:tcPr>
          <w:p w:rsidR="00E0473E" w:rsidRPr="006A74F8" w:rsidRDefault="00E0473E"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2</w:t>
            </w:r>
          </w:p>
        </w:tc>
        <w:tc>
          <w:tcPr>
            <w:tcW w:w="633" w:type="dxa"/>
            <w:tcBorders>
              <w:top w:val="nil"/>
              <w:bottom w:val="double" w:sz="4" w:space="0" w:color="auto"/>
            </w:tcBorders>
          </w:tcPr>
          <w:p w:rsidR="00E0473E" w:rsidRPr="006A74F8" w:rsidRDefault="00E0473E" w:rsidP="004B7992">
            <w:pPr>
              <w:jc w:val="center"/>
              <w:cnfStyle w:val="100000000000" w:firstRow="1" w:lastRow="0" w:firstColumn="0" w:lastColumn="0" w:oddVBand="0" w:evenVBand="0" w:oddHBand="0" w:evenHBand="0" w:firstRowFirstColumn="0" w:firstRowLastColumn="0" w:lastRowFirstColumn="0" w:lastRowLastColumn="0"/>
              <w:rPr>
                <w:b w:val="0"/>
              </w:rPr>
            </w:pPr>
            <w:r w:rsidRPr="006A74F8">
              <w:t>3</w:t>
            </w:r>
          </w:p>
        </w:tc>
        <w:tc>
          <w:tcPr>
            <w:tcW w:w="5134" w:type="dxa"/>
            <w:vMerge/>
            <w:tcBorders>
              <w:bottom w:val="double" w:sz="4" w:space="0" w:color="auto"/>
            </w:tcBorders>
          </w:tcPr>
          <w:p w:rsidR="00E0473E" w:rsidRPr="006A74F8" w:rsidRDefault="00E0473E" w:rsidP="004B7992">
            <w:pPr>
              <w:cnfStyle w:val="100000000000" w:firstRow="1" w:lastRow="0" w:firstColumn="0" w:lastColumn="0" w:oddVBand="0" w:evenVBand="0" w:oddHBand="0" w:evenHBand="0" w:firstRowFirstColumn="0" w:firstRowLastColumn="0" w:lastRowFirstColumn="0" w:lastRowLastColumn="0"/>
            </w:pPr>
          </w:p>
        </w:tc>
      </w:tr>
      <w:tr w:rsidR="00E0473E" w:rsidRPr="006A74F8"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rsidR="00E0473E" w:rsidRPr="006A74F8" w:rsidRDefault="00E0473E" w:rsidP="004B7992">
            <w:pPr>
              <w:rPr>
                <w:rFonts w:eastAsia="Calibri" w:cstheme="minorHAnsi"/>
                <w:b w:val="0"/>
                <w:sz w:val="20"/>
                <w:szCs w:val="20"/>
              </w:rPr>
            </w:pPr>
            <w:r w:rsidRPr="006A74F8">
              <w:rPr>
                <w:rFonts w:cstheme="minorHAnsi"/>
                <w:b w:val="0"/>
                <w:sz w:val="20"/>
                <w:szCs w:val="20"/>
              </w:rPr>
              <w:t>Greater support for use of overseas reference standards and CRMs</w:t>
            </w:r>
          </w:p>
        </w:tc>
        <w:tc>
          <w:tcPr>
            <w:tcW w:w="633" w:type="dxa"/>
            <w:tcBorders>
              <w:right w:val="single" w:sz="4" w:space="0" w:color="FFFFFF" w:themeColor="background1"/>
            </w:tcBorders>
            <w:shd w:val="clear" w:color="auto" w:fill="ACD7CA"/>
            <w:vAlign w:val="center"/>
          </w:tcPr>
          <w:p w:rsidR="00E0473E" w:rsidRPr="006A74F8" w:rsidRDefault="00E0473E"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+1</w:t>
            </w:r>
          </w:p>
        </w:tc>
        <w:tc>
          <w:tcPr>
            <w:tcW w:w="633" w:type="dxa"/>
            <w:tcBorders>
              <w:left w:val="single" w:sz="4" w:space="0" w:color="FFFFFF" w:themeColor="background1"/>
              <w:right w:val="single" w:sz="4" w:space="0" w:color="FFFFFF" w:themeColor="background1"/>
            </w:tcBorders>
            <w:shd w:val="clear" w:color="auto" w:fill="398E98"/>
            <w:vAlign w:val="center"/>
          </w:tcPr>
          <w:p w:rsidR="00E0473E" w:rsidRPr="006A74F8" w:rsidRDefault="00E0473E"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633" w:type="dxa"/>
            <w:tcBorders>
              <w:left w:val="single" w:sz="4" w:space="0" w:color="FFFFFF" w:themeColor="background1"/>
            </w:tcBorders>
            <w:shd w:val="clear" w:color="auto" w:fill="398E98"/>
            <w:vAlign w:val="center"/>
          </w:tcPr>
          <w:p w:rsidR="00E0473E" w:rsidRPr="006A74F8" w:rsidRDefault="00E0473E"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6A74F8">
              <w:rPr>
                <w:rFonts w:cstheme="minorHAnsi"/>
                <w:sz w:val="20"/>
                <w:szCs w:val="18"/>
              </w:rPr>
              <w:t>+2</w:t>
            </w:r>
          </w:p>
        </w:tc>
        <w:tc>
          <w:tcPr>
            <w:tcW w:w="5134" w:type="dxa"/>
            <w:vAlign w:val="center"/>
          </w:tcPr>
          <w:p w:rsidR="00E0473E" w:rsidRPr="006A74F8" w:rsidRDefault="00E0473E" w:rsidP="004B7992">
            <w:pP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6A74F8">
              <w:rPr>
                <w:rFonts w:cstheme="minorHAnsi"/>
                <w:b/>
                <w:sz w:val="20"/>
                <w:szCs w:val="20"/>
              </w:rPr>
              <w:t xml:space="preserve">Legal assurance for the use of overseas </w:t>
            </w:r>
            <w:r w:rsidR="005955A7" w:rsidRPr="006A74F8">
              <w:rPr>
                <w:rFonts w:cstheme="minorHAnsi"/>
                <w:b/>
                <w:sz w:val="20"/>
                <w:szCs w:val="20"/>
              </w:rPr>
              <w:t xml:space="preserve">reference </w:t>
            </w:r>
            <w:r w:rsidRPr="006A74F8">
              <w:rPr>
                <w:rFonts w:cstheme="minorHAnsi"/>
                <w:b/>
                <w:sz w:val="20"/>
                <w:szCs w:val="20"/>
              </w:rPr>
              <w:t>standards and CRMs:</w:t>
            </w:r>
            <w:r w:rsidRPr="006A74F8">
              <w:rPr>
                <w:rFonts w:cstheme="minorHAnsi"/>
                <w:sz w:val="20"/>
                <w:szCs w:val="20"/>
              </w:rPr>
              <w:t xml:space="preserve"> All options will facilitate the identification and use of overseas reference materials and measurement </w:t>
            </w:r>
            <w:r w:rsidR="00704CDD" w:rsidRPr="006A74F8">
              <w:rPr>
                <w:rFonts w:cstheme="minorHAnsi"/>
                <w:sz w:val="20"/>
                <w:szCs w:val="20"/>
              </w:rPr>
              <w:t xml:space="preserve">standards </w:t>
            </w:r>
            <w:r w:rsidRPr="006A74F8">
              <w:rPr>
                <w:rFonts w:cstheme="minorHAnsi"/>
                <w:sz w:val="20"/>
                <w:szCs w:val="20"/>
              </w:rPr>
              <w:t>by regulators for legal purposes.</w:t>
            </w:r>
          </w:p>
        </w:tc>
      </w:tr>
    </w:tbl>
    <w:p w:rsidR="00135E0B" w:rsidRPr="006A74F8" w:rsidRDefault="00135E0B" w:rsidP="000F40A2">
      <w:pPr>
        <w:spacing w:before="240"/>
      </w:pPr>
      <w:r w:rsidRPr="006A74F8">
        <w:t xml:space="preserve">Regulators rely on international references and overseas sources of </w:t>
      </w:r>
      <w:r w:rsidR="00DD5288" w:rsidRPr="006A74F8">
        <w:t>CRMs</w:t>
      </w:r>
      <w:r w:rsidRPr="006A74F8">
        <w:t xml:space="preserve"> for their regulatory purposes if these are not available in Australia. Australia is a high user of international, commercially sourced </w:t>
      </w:r>
      <w:r w:rsidR="00DD5288" w:rsidRPr="006A74F8">
        <w:t>CRMs</w:t>
      </w:r>
      <w:r w:rsidRPr="006A74F8">
        <w:t>, making the economy dependent on the quality of overseas accreditation processes.</w:t>
      </w:r>
      <w:r w:rsidR="00A77EA5" w:rsidRPr="006A74F8">
        <w:t xml:space="preserve"> </w:t>
      </w:r>
      <w:r w:rsidRPr="006A74F8">
        <w:t xml:space="preserve">The recognised supplier base for traceable measurement with legal standing under measurement law is </w:t>
      </w:r>
      <w:r w:rsidR="0094552B" w:rsidRPr="006A74F8">
        <w:t xml:space="preserve">currently </w:t>
      </w:r>
      <w:r w:rsidRPr="006A74F8">
        <w:t>limited</w:t>
      </w:r>
      <w:r w:rsidR="007B3B9E" w:rsidRPr="006A74F8">
        <w:t>,</w:t>
      </w:r>
      <w:r w:rsidRPr="006A74F8">
        <w:t xml:space="preserve"> with certification only accessed from NMI or its ATPs.  </w:t>
      </w:r>
    </w:p>
    <w:p w:rsidR="00135E0B" w:rsidRPr="006A74F8" w:rsidRDefault="00135E0B" w:rsidP="00135E0B">
      <w:r w:rsidRPr="006A74F8">
        <w:t>Currently where regulators depend on overseas reference materials</w:t>
      </w:r>
      <w:r w:rsidRPr="006A74F8">
        <w:rPr>
          <w:rStyle w:val="FootnoteReference"/>
        </w:rPr>
        <w:footnoteReference w:id="132"/>
      </w:r>
      <w:r w:rsidRPr="006A74F8">
        <w:t xml:space="preserve"> or reference standards of measurement</w:t>
      </w:r>
      <w:r w:rsidRPr="006A74F8">
        <w:rPr>
          <w:rStyle w:val="FootnoteReference"/>
        </w:rPr>
        <w:footnoteReference w:id="133"/>
      </w:r>
      <w:r w:rsidRPr="006A74F8">
        <w:t xml:space="preserve"> the NMI can provide legal assurance to support these references when used for legal purposes. NMI does this by </w:t>
      </w:r>
      <w:r w:rsidR="0094552B" w:rsidRPr="006A74F8">
        <w:t>individual</w:t>
      </w:r>
      <w:r w:rsidR="007B3B9E" w:rsidRPr="006A74F8">
        <w:t>ly</w:t>
      </w:r>
      <w:r w:rsidR="0094552B" w:rsidRPr="006A74F8">
        <w:t xml:space="preserve"> </w:t>
      </w:r>
      <w:r w:rsidRPr="006A74F8">
        <w:t xml:space="preserve">recognising international </w:t>
      </w:r>
      <w:r w:rsidR="005955A7" w:rsidRPr="006A74F8">
        <w:t xml:space="preserve">reference </w:t>
      </w:r>
      <w:r w:rsidRPr="006A74F8">
        <w:t xml:space="preserve">standards or </w:t>
      </w:r>
      <w:r w:rsidR="0094552B" w:rsidRPr="006A74F8">
        <w:t>CRMs</w:t>
      </w:r>
      <w:r w:rsidRPr="006A74F8">
        <w:t xml:space="preserve"> under the regulations. To </w:t>
      </w:r>
      <w:r w:rsidR="0094552B" w:rsidRPr="006A74F8">
        <w:t xml:space="preserve">access </w:t>
      </w:r>
      <w:r w:rsidRPr="006A74F8">
        <w:t xml:space="preserve">support </w:t>
      </w:r>
      <w:r w:rsidR="008D0F3A" w:rsidRPr="006A74F8">
        <w:t>faster access</w:t>
      </w:r>
      <w:r w:rsidRPr="006A74F8">
        <w:t xml:space="preserve"> </w:t>
      </w:r>
      <w:r w:rsidR="0094552B" w:rsidRPr="006A74F8">
        <w:t xml:space="preserve">for </w:t>
      </w:r>
      <w:r w:rsidRPr="006A74F8">
        <w:t>regulators</w:t>
      </w:r>
      <w:r w:rsidR="008D0F3A" w:rsidRPr="006A74F8">
        <w:t xml:space="preserve"> to trusted reference materials</w:t>
      </w:r>
      <w:r w:rsidRPr="006A74F8">
        <w:t xml:space="preserve">, NMI can recognise trusted overseas sources rather than requiring the recognition of individual overseas </w:t>
      </w:r>
      <w:r w:rsidR="008D0F3A" w:rsidRPr="006A74F8">
        <w:t>references</w:t>
      </w:r>
      <w:r w:rsidRPr="006A74F8">
        <w:t xml:space="preserve"> before their use.</w:t>
      </w:r>
    </w:p>
    <w:p w:rsidR="00135E0B" w:rsidRPr="006A74F8" w:rsidRDefault="00135E0B" w:rsidP="000F40A2">
      <w:pPr>
        <w:pStyle w:val="ListParagraph"/>
        <w:numPr>
          <w:ilvl w:val="0"/>
          <w:numId w:val="111"/>
        </w:numPr>
        <w:spacing w:after="0"/>
        <w:contextualSpacing w:val="0"/>
      </w:pPr>
      <w:r w:rsidRPr="006A74F8">
        <w:rPr>
          <w:b/>
        </w:rPr>
        <w:t>Option 1</w:t>
      </w:r>
      <w:r w:rsidRPr="006A74F8">
        <w:t xml:space="preserve"> would reduce technical barriers by potentially recognising entries in the international metrolog</w:t>
      </w:r>
      <w:r w:rsidR="005955A7" w:rsidRPr="006A74F8">
        <w:t>y</w:t>
      </w:r>
      <w:r w:rsidRPr="006A74F8">
        <w:t xml:space="preserve"> database maintained by the BIPM, e.g. currently the KCDB</w:t>
      </w:r>
      <w:r w:rsidR="00AA16B5" w:rsidRPr="006A74F8">
        <w:t>.</w:t>
      </w:r>
      <w:r w:rsidRPr="006A74F8">
        <w:rPr>
          <w:rStyle w:val="FootnoteReference"/>
        </w:rPr>
        <w:footnoteReference w:id="134"/>
      </w:r>
      <w:r w:rsidRPr="006A74F8">
        <w:t xml:space="preserve"> </w:t>
      </w:r>
    </w:p>
    <w:p w:rsidR="00135E0B" w:rsidRPr="006A74F8" w:rsidRDefault="00135E0B">
      <w:pPr>
        <w:pStyle w:val="ListParagraph"/>
        <w:numPr>
          <w:ilvl w:val="0"/>
          <w:numId w:val="111"/>
        </w:numPr>
        <w:spacing w:after="0"/>
        <w:ind w:left="426"/>
        <w:contextualSpacing w:val="0"/>
        <w:rPr>
          <w:b/>
        </w:rPr>
      </w:pPr>
      <w:r w:rsidRPr="006A74F8">
        <w:rPr>
          <w:b/>
        </w:rPr>
        <w:t>Option 2</w:t>
      </w:r>
      <w:r w:rsidRPr="006A74F8">
        <w:t xml:space="preserve"> would </w:t>
      </w:r>
      <w:r w:rsidR="0094552B" w:rsidRPr="006A74F8">
        <w:t xml:space="preserve">build on option 1 and also </w:t>
      </w:r>
      <w:r w:rsidRPr="006A74F8">
        <w:t>introduce power</w:t>
      </w:r>
      <w:r w:rsidR="008946DF" w:rsidRPr="006A74F8">
        <w:t>s</w:t>
      </w:r>
      <w:r w:rsidRPr="006A74F8">
        <w:t xml:space="preserve"> for the Chief Metrologist to </w:t>
      </w:r>
      <w:r w:rsidR="005955A7" w:rsidRPr="006A74F8">
        <w:t>approve</w:t>
      </w:r>
      <w:r w:rsidR="00D97C80" w:rsidRPr="006A74F8">
        <w:t xml:space="preserve"> </w:t>
      </w:r>
      <w:r w:rsidR="005955A7" w:rsidRPr="006A74F8">
        <w:t>/</w:t>
      </w:r>
      <w:r w:rsidR="00D97C80" w:rsidRPr="006A74F8">
        <w:t xml:space="preserve"> </w:t>
      </w:r>
      <w:r w:rsidR="005955A7" w:rsidRPr="006A74F8">
        <w:t xml:space="preserve">endorse </w:t>
      </w:r>
      <w:r w:rsidRPr="006A74F8">
        <w:t>other international arrangements, references</w:t>
      </w:r>
      <w:r w:rsidRPr="006A74F8">
        <w:rPr>
          <w:color w:val="000000"/>
        </w:rPr>
        <w:t xml:space="preserve"> </w:t>
      </w:r>
      <w:r w:rsidRPr="006A74F8">
        <w:t>and outputs from other national metrology institutes</w:t>
      </w:r>
      <w:r w:rsidR="005955A7" w:rsidRPr="006A74F8">
        <w:t xml:space="preserve"> or recognised expert institutes</w:t>
      </w:r>
      <w:r w:rsidRPr="006A74F8">
        <w:t xml:space="preserve">. This would be broad enough to accept databases once </w:t>
      </w:r>
      <w:r w:rsidR="007B3B9E" w:rsidRPr="006A74F8">
        <w:t>a</w:t>
      </w:r>
      <w:r w:rsidRPr="006A74F8">
        <w:t xml:space="preserve"> risk assessment is undertaken, and </w:t>
      </w:r>
      <w:r w:rsidR="007B3B9E" w:rsidRPr="006A74F8">
        <w:t xml:space="preserve">would include </w:t>
      </w:r>
      <w:r w:rsidR="008946DF" w:rsidRPr="006A74F8">
        <w:t xml:space="preserve">the </w:t>
      </w:r>
      <w:r w:rsidRPr="006A74F8">
        <w:t>power to revoke recognitions when entries or databases change or are updated.</w:t>
      </w:r>
    </w:p>
    <w:p w:rsidR="00C22303" w:rsidRDefault="00135E0B">
      <w:pPr>
        <w:pStyle w:val="ListParagraph"/>
        <w:numPr>
          <w:ilvl w:val="0"/>
          <w:numId w:val="111"/>
        </w:numPr>
        <w:ind w:left="426"/>
        <w:contextualSpacing w:val="0"/>
      </w:pPr>
      <w:r w:rsidRPr="006A74F8">
        <w:rPr>
          <w:b/>
        </w:rPr>
        <w:t>Option 3</w:t>
      </w:r>
      <w:r w:rsidRPr="006A74F8">
        <w:t xml:space="preserve"> would enable the NMI to compel certain traceability path</w:t>
      </w:r>
      <w:r w:rsidR="007B3B9E" w:rsidRPr="006A74F8">
        <w:t>ways</w:t>
      </w:r>
      <w:r w:rsidRPr="006A74F8">
        <w:t xml:space="preserve"> for particular regulatory areas or applications to cover legal measurement using the improvements from </w:t>
      </w:r>
      <w:r w:rsidR="009F0892" w:rsidRPr="006A74F8">
        <w:t>o</w:t>
      </w:r>
      <w:r w:rsidRPr="006A74F8">
        <w:t>ptions 1 and 2.</w:t>
      </w:r>
    </w:p>
    <w:p w:rsidR="00D81504" w:rsidRPr="006A74F8" w:rsidRDefault="00C22303" w:rsidP="00C22303">
      <w:r>
        <w:br w:type="page"/>
      </w:r>
    </w:p>
    <w:p w:rsidR="00E52449" w:rsidRPr="006A74F8" w:rsidRDefault="00542589" w:rsidP="0095456A">
      <w:pPr>
        <w:pStyle w:val="Heading1"/>
        <w:ind w:left="709" w:hanging="709"/>
      </w:pPr>
      <w:bookmarkStart w:id="2538" w:name="_Appendix_9:_Costing"/>
      <w:bookmarkStart w:id="2539" w:name="_Toc67305403"/>
      <w:bookmarkStart w:id="2540" w:name="_Toc67306317"/>
      <w:bookmarkStart w:id="2541" w:name="_Toc67306767"/>
      <w:bookmarkStart w:id="2542" w:name="_Toc67313619"/>
      <w:bookmarkStart w:id="2543" w:name="_Toc67320812"/>
      <w:bookmarkStart w:id="2544" w:name="_Toc67321965"/>
      <w:bookmarkStart w:id="2545" w:name="_Toc67324430"/>
      <w:bookmarkStart w:id="2546" w:name="_Toc67326591"/>
      <w:bookmarkStart w:id="2547" w:name="_Toc67649129"/>
      <w:bookmarkStart w:id="2548" w:name="_Toc67650113"/>
      <w:bookmarkStart w:id="2549" w:name="_Toc67650368"/>
      <w:bookmarkStart w:id="2550" w:name="_Toc67650660"/>
      <w:bookmarkStart w:id="2551" w:name="_Toc67652980"/>
      <w:bookmarkStart w:id="2552" w:name="_Toc67653065"/>
      <w:bookmarkStart w:id="2553" w:name="_Toc67653497"/>
      <w:bookmarkStart w:id="2554" w:name="_Toc67653560"/>
      <w:bookmarkStart w:id="2555" w:name="_Toc67649977"/>
      <w:bookmarkStart w:id="2556" w:name="_Toc67654063"/>
      <w:bookmarkStart w:id="2557" w:name="_Toc67654370"/>
      <w:bookmarkStart w:id="2558" w:name="_Toc67654587"/>
      <w:bookmarkStart w:id="2559" w:name="_Toc67656194"/>
      <w:bookmarkStart w:id="2560" w:name="_Toc67656956"/>
      <w:bookmarkStart w:id="2561" w:name="_Toc67659255"/>
      <w:bookmarkStart w:id="2562" w:name="_Toc67659756"/>
      <w:bookmarkStart w:id="2563" w:name="_Toc67661723"/>
      <w:bookmarkStart w:id="2564" w:name="_Toc67662814"/>
      <w:bookmarkStart w:id="2565" w:name="_Toc67662955"/>
      <w:bookmarkStart w:id="2566" w:name="_Toc67664461"/>
      <w:bookmarkStart w:id="2567" w:name="_Toc67667188"/>
      <w:bookmarkStart w:id="2568" w:name="_Toc67668261"/>
      <w:bookmarkStart w:id="2569" w:name="_Toc67669168"/>
      <w:bookmarkStart w:id="2570" w:name="_Toc67665779"/>
      <w:bookmarkStart w:id="2571" w:name="_Toc67912168"/>
      <w:bookmarkStart w:id="2572" w:name="_Toc67922249"/>
      <w:bookmarkStart w:id="2573" w:name="_Toc67929108"/>
      <w:bookmarkStart w:id="2574" w:name="_Toc67929402"/>
      <w:bookmarkStart w:id="2575" w:name="_Toc67929627"/>
      <w:bookmarkStart w:id="2576" w:name="_Toc67927104"/>
      <w:bookmarkStart w:id="2577" w:name="_Toc68011269"/>
      <w:bookmarkStart w:id="2578" w:name="_Toc68011327"/>
      <w:bookmarkStart w:id="2579" w:name="_Toc81919636"/>
      <w:bookmarkStart w:id="2580" w:name="_Toc81919910"/>
      <w:bookmarkStart w:id="2581" w:name="_Toc81921177"/>
      <w:bookmarkStart w:id="2582" w:name="_Toc81923752"/>
      <w:bookmarkStart w:id="2583" w:name="_Toc81923779"/>
      <w:bookmarkStart w:id="2584" w:name="_Toc81997326"/>
      <w:bookmarkStart w:id="2585" w:name="_Toc81998099"/>
      <w:bookmarkStart w:id="2586" w:name="_Toc82011853"/>
      <w:bookmarkStart w:id="2587" w:name="_Toc82512709"/>
      <w:bookmarkStart w:id="2588" w:name="_Toc82516177"/>
      <w:bookmarkStart w:id="2589" w:name="_Toc82519118"/>
      <w:bookmarkStart w:id="2590" w:name="_Toc82706660"/>
      <w:bookmarkStart w:id="2591" w:name="_Toc82790545"/>
      <w:bookmarkStart w:id="2592" w:name="_Toc82791064"/>
      <w:bookmarkStart w:id="2593" w:name="_Toc82792375"/>
      <w:bookmarkStart w:id="2594" w:name="_Toc83290757"/>
      <w:bookmarkStart w:id="2595" w:name="_Toc83292766"/>
      <w:bookmarkStart w:id="2596" w:name="_Toc83293537"/>
      <w:bookmarkStart w:id="2597" w:name="_Toc66435715"/>
      <w:bookmarkStart w:id="2598" w:name="_Toc66436504"/>
      <w:bookmarkStart w:id="2599" w:name="_Toc66437715"/>
      <w:bookmarkStart w:id="2600" w:name="_Toc66440054"/>
      <w:bookmarkStart w:id="2601" w:name="_Toc64640267"/>
      <w:bookmarkStart w:id="2602" w:name="_Toc64647177"/>
      <w:bookmarkStart w:id="2603" w:name="_Toc64888351"/>
      <w:bookmarkStart w:id="2604" w:name="_Toc64888723"/>
      <w:bookmarkStart w:id="2605" w:name="_Toc64892998"/>
      <w:bookmarkStart w:id="2606" w:name="_Toc64895687"/>
      <w:bookmarkStart w:id="2607" w:name="_Toc64900915"/>
      <w:bookmarkStart w:id="2608" w:name="_Toc64903160"/>
      <w:bookmarkStart w:id="2609" w:name="_Toc64904120"/>
      <w:bookmarkStart w:id="2610" w:name="_Toc64904321"/>
      <w:bookmarkStart w:id="2611" w:name="_Toc64904785"/>
      <w:bookmarkStart w:id="2612" w:name="_Toc64905299"/>
      <w:bookmarkStart w:id="2613" w:name="_Toc64964037"/>
      <w:bookmarkStart w:id="2614" w:name="_Toc64974656"/>
      <w:bookmarkStart w:id="2615" w:name="_Toc64976336"/>
      <w:bookmarkStart w:id="2616" w:name="_Toc65149718"/>
      <w:bookmarkStart w:id="2617" w:name="_Toc65163462"/>
      <w:bookmarkStart w:id="2618" w:name="_Toc65491102"/>
      <w:bookmarkStart w:id="2619" w:name="_Toc65504838"/>
      <w:bookmarkStart w:id="2620" w:name="_Toc65757921"/>
      <w:bookmarkStart w:id="2621" w:name="_Toc65769516"/>
      <w:bookmarkStart w:id="2622" w:name="_Toc65766884"/>
      <w:bookmarkStart w:id="2623" w:name="_Toc65772658"/>
      <w:bookmarkStart w:id="2624" w:name="_Toc66442257"/>
      <w:bookmarkStart w:id="2625" w:name="_Toc66451926"/>
      <w:bookmarkStart w:id="2626" w:name="_Toc66459203"/>
      <w:bookmarkStart w:id="2627" w:name="_Toc66460257"/>
      <w:bookmarkStart w:id="2628" w:name="_Toc64641235"/>
      <w:bookmarkEnd w:id="2538"/>
      <w:r w:rsidRPr="006A74F8">
        <w:lastRenderedPageBreak/>
        <w:t xml:space="preserve">Appendix </w:t>
      </w:r>
      <w:r w:rsidR="00266F0F" w:rsidRPr="006A74F8">
        <w:t>9</w:t>
      </w:r>
      <w:r w:rsidRPr="006A74F8">
        <w:t>:</w:t>
      </w:r>
      <w:r w:rsidR="00E52449" w:rsidRPr="006A74F8">
        <w:t xml:space="preserve"> </w:t>
      </w:r>
      <w:r w:rsidR="00C60EA4" w:rsidRPr="006A74F8">
        <w:t>Costing the regulatory burden</w:t>
      </w:r>
      <w:r w:rsidR="00E52449" w:rsidRPr="006A74F8">
        <w:t xml:space="preserve"> of </w:t>
      </w:r>
      <w:r w:rsidR="00942E7C" w:rsidRPr="006A74F8">
        <w:t>c</w:t>
      </w:r>
      <w:r w:rsidR="00E52449" w:rsidRPr="006A74F8">
        <w:t xml:space="preserve">hanges to </w:t>
      </w:r>
      <w:r w:rsidR="00942E7C" w:rsidRPr="006A74F8">
        <w:t>m</w:t>
      </w:r>
      <w:r w:rsidR="00E52449" w:rsidRPr="006A74F8">
        <w:t xml:space="preserve">easurement </w:t>
      </w:r>
      <w:r w:rsidR="00942E7C" w:rsidRPr="006A74F8">
        <w:t>m</w:t>
      </w:r>
      <w:r w:rsidR="00E52449" w:rsidRPr="006A74F8">
        <w:t xml:space="preserve">arking </w:t>
      </w:r>
      <w:r w:rsidR="00942E7C" w:rsidRPr="006A74F8">
        <w:t>r</w:t>
      </w:r>
      <w:r w:rsidR="00E52449" w:rsidRPr="006A74F8">
        <w:t>equirement</w:t>
      </w:r>
      <w:r w:rsidR="00C60EA4" w:rsidRPr="006A74F8">
        <w:t>s</w:t>
      </w:r>
      <w:r w:rsidR="00E52449" w:rsidRPr="006A74F8">
        <w:t xml:space="preserve"> on </w:t>
      </w:r>
      <w:r w:rsidR="00942E7C" w:rsidRPr="006A74F8">
        <w:t>p</w:t>
      </w:r>
      <w:r w:rsidR="00E52449" w:rsidRPr="006A74F8">
        <w:t xml:space="preserve">ackaged </w:t>
      </w:r>
      <w:r w:rsidR="00942E7C" w:rsidRPr="006A74F8">
        <w:t>p</w:t>
      </w:r>
      <w:r w:rsidR="00E52449" w:rsidRPr="006A74F8">
        <w:t>roducts</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rsidR="00E52449" w:rsidRPr="006A74F8" w:rsidRDefault="00E52449" w:rsidP="00162DEE">
      <w:r w:rsidRPr="006A74F8">
        <w:t>This section attempts to quantify the impacts of the proposed options on Australians overall, above the baseline scenario represented by the status quo. The impact on Australians will be estimated by summing</w:t>
      </w:r>
      <w:r w:rsidR="00094501" w:rsidRPr="006A74F8">
        <w:t xml:space="preserve"> up</w:t>
      </w:r>
      <w:r w:rsidRPr="006A74F8">
        <w:t xml:space="preserve"> the impact on Australian consumers and the impact on </w:t>
      </w:r>
      <w:r w:rsidR="00B12DA8" w:rsidRPr="006A74F8">
        <w:t>i</w:t>
      </w:r>
      <w:r w:rsidRPr="006A74F8">
        <w:t xml:space="preserve">ndustry. </w:t>
      </w:r>
    </w:p>
    <w:p w:rsidR="00E52449" w:rsidRPr="006A74F8" w:rsidRDefault="00B12DA8" w:rsidP="00A31A00">
      <w:pPr>
        <w:pStyle w:val="Heading2"/>
        <w:rPr>
          <w:rFonts w:eastAsia="Times New Roman"/>
        </w:rPr>
      </w:pPr>
      <w:bookmarkStart w:id="2629" w:name="_Toc475545958"/>
      <w:bookmarkStart w:id="2630" w:name="_Toc479769494"/>
      <w:bookmarkStart w:id="2631" w:name="_Toc493510755"/>
      <w:bookmarkStart w:id="2632" w:name="_Toc500929372"/>
      <w:bookmarkStart w:id="2633" w:name="_Toc501463832"/>
      <w:bookmarkStart w:id="2634" w:name="_Toc503535546"/>
      <w:bookmarkStart w:id="2635" w:name="_Toc503539724"/>
      <w:bookmarkStart w:id="2636" w:name="_Toc503882258"/>
      <w:bookmarkStart w:id="2637" w:name="_Toc518032772"/>
      <w:bookmarkStart w:id="2638" w:name="_Toc67390621"/>
      <w:r w:rsidRPr="006A74F8">
        <w:rPr>
          <w:rFonts w:eastAsia="Times New Roman"/>
        </w:rPr>
        <w:t xml:space="preserve"> </w:t>
      </w:r>
      <w:r w:rsidR="00E52449" w:rsidRPr="006A74F8">
        <w:rPr>
          <w:rFonts w:eastAsia="Times New Roman"/>
        </w:rPr>
        <w:t xml:space="preserve">Consumer </w:t>
      </w:r>
      <w:bookmarkEnd w:id="2629"/>
      <w:r w:rsidR="00E67D08" w:rsidRPr="006A74F8">
        <w:rPr>
          <w:rFonts w:eastAsia="Times New Roman"/>
        </w:rPr>
        <w:t>i</w:t>
      </w:r>
      <w:r w:rsidR="00E52449" w:rsidRPr="006A74F8">
        <w:rPr>
          <w:rFonts w:eastAsia="Times New Roman"/>
        </w:rPr>
        <w:t>mpact</w:t>
      </w:r>
      <w:bookmarkEnd w:id="2630"/>
      <w:bookmarkEnd w:id="2631"/>
      <w:bookmarkEnd w:id="2632"/>
      <w:bookmarkEnd w:id="2633"/>
      <w:bookmarkEnd w:id="2634"/>
      <w:bookmarkEnd w:id="2635"/>
      <w:bookmarkEnd w:id="2636"/>
      <w:bookmarkEnd w:id="2637"/>
      <w:bookmarkEnd w:id="2638"/>
    </w:p>
    <w:p w:rsidR="00E52449" w:rsidRPr="006A74F8" w:rsidRDefault="00E52449" w:rsidP="00162DEE">
      <w:r w:rsidRPr="006A74F8">
        <w:t>The primary cost to the consumer is the extra time taken to find the measurement mark and this will be used as a proxy for the total cost to Australian consumers. In order to calculate this figure, a similar approach to calculate the consumer impact in the post-implementation review of unit pricing</w:t>
      </w:r>
      <w:r w:rsidRPr="006A74F8">
        <w:rPr>
          <w:vertAlign w:val="superscript"/>
        </w:rPr>
        <w:footnoteReference w:id="135"/>
      </w:r>
      <w:r w:rsidRPr="006A74F8">
        <w:t xml:space="preserve"> and in the Country of Origin (CoOL) regulation impact statement</w:t>
      </w:r>
      <w:r w:rsidRPr="006A74F8">
        <w:rPr>
          <w:vertAlign w:val="superscript"/>
        </w:rPr>
        <w:footnoteReference w:id="136"/>
      </w:r>
      <w:r w:rsidRPr="006A74F8">
        <w:t xml:space="preserve"> is used.</w:t>
      </w:r>
    </w:p>
    <w:p w:rsidR="009F2FE4" w:rsidRPr="006A74F8" w:rsidRDefault="00E52449" w:rsidP="009F2FE4">
      <w:r w:rsidRPr="006A74F8">
        <w:t xml:space="preserve">The cost to consumer is dependent on the time taken to seek out information, multiplied by the number of consumers who are interested in that information: </w:t>
      </w:r>
    </w:p>
    <w:p w:rsidR="009F2FE4" w:rsidRPr="006A74F8" w:rsidRDefault="009F2FE4" w:rsidP="009F2FE4">
      <w:pPr>
        <w:rPr>
          <w:b/>
        </w:rPr>
      </w:pPr>
      <w:r w:rsidRPr="006A74F8">
        <w:rPr>
          <w:b/>
        </w:rPr>
        <w:t>Consumer cost</w:t>
      </w:r>
      <w:r w:rsidR="001B64F7" w:rsidRPr="006A74F8">
        <w:rPr>
          <w:b/>
        </w:rPr>
        <w:t xml:space="preserve"> </w:t>
      </w:r>
      <w:r w:rsidRPr="006A74F8">
        <w:rPr>
          <w:b/>
        </w:rPr>
        <w:t>= (No. of ‘interested household shoppers’) x (</w:t>
      </w:r>
      <w:r w:rsidR="001B64F7" w:rsidRPr="006A74F8">
        <w:rPr>
          <w:b/>
        </w:rPr>
        <w:t>t</w:t>
      </w:r>
      <w:r w:rsidRPr="006A74F8">
        <w:rPr>
          <w:b/>
        </w:rPr>
        <w:t>ime impact)</w:t>
      </w:r>
    </w:p>
    <w:p w:rsidR="00E52449" w:rsidRPr="006A74F8" w:rsidRDefault="009F2FE4" w:rsidP="00162DEE">
      <w:r w:rsidRPr="006A74F8">
        <w:t>For the purpose of this consumer cost calculation an ‘interested household shopper’ is a consumer who will take additional time to find the measurement mark for every product purchased in a weekly household shop. The number of ‘interested household shoppers’ is the sum of the occasional interest in the measurement mark most shoppers actually exhibit into an equivalent number of shoppers who are be interested in the mark for every purchase.</w:t>
      </w:r>
    </w:p>
    <w:p w:rsidR="00E52449" w:rsidRPr="006A74F8" w:rsidRDefault="00E52449" w:rsidP="000272C7">
      <w:pPr>
        <w:pStyle w:val="Heading3"/>
        <w:tabs>
          <w:tab w:val="left" w:pos="993"/>
        </w:tabs>
      </w:pPr>
      <w:r w:rsidRPr="006A74F8">
        <w:t>Number of ‘</w:t>
      </w:r>
      <w:r w:rsidR="00E67D08" w:rsidRPr="006A74F8">
        <w:t>i</w:t>
      </w:r>
      <w:r w:rsidRPr="006A74F8">
        <w:t xml:space="preserve">nterested </w:t>
      </w:r>
      <w:r w:rsidR="00E67D08" w:rsidRPr="006A74F8">
        <w:t>h</w:t>
      </w:r>
      <w:r w:rsidRPr="006A74F8">
        <w:t xml:space="preserve">ousehold </w:t>
      </w:r>
      <w:r w:rsidR="00E67D08" w:rsidRPr="006A74F8">
        <w:t>s</w:t>
      </w:r>
      <w:r w:rsidRPr="006A74F8">
        <w:t>hoppers’</w:t>
      </w:r>
    </w:p>
    <w:p w:rsidR="00E52449" w:rsidRPr="006A74F8" w:rsidRDefault="00E52449" w:rsidP="000272C7">
      <w:pPr>
        <w:pStyle w:val="Heading4"/>
        <w:tabs>
          <w:tab w:val="left" w:pos="1134"/>
        </w:tabs>
        <w:rPr>
          <w:rFonts w:eastAsia="Calibri"/>
        </w:rPr>
      </w:pPr>
      <w:r w:rsidRPr="006A74F8">
        <w:rPr>
          <w:rFonts w:eastAsia="Calibri"/>
        </w:rPr>
        <w:t>Number of consumers doing a household shop per week</w:t>
      </w:r>
    </w:p>
    <w:p w:rsidR="00E52449" w:rsidRPr="006A74F8" w:rsidRDefault="00E52449" w:rsidP="00162DEE">
      <w:r w:rsidRPr="006A74F8">
        <w:t>There are over 24 million Australians and they all consume in some form. Howev</w:t>
      </w:r>
      <w:r w:rsidR="00094501" w:rsidRPr="006A74F8">
        <w:t>er, not all of these Australian</w:t>
      </w:r>
      <w:r w:rsidRPr="006A74F8">
        <w:t>s will be responsible for purchasing decisions because households tend to combine their shopping effort. For this RIS, 9.8 million is used for the total number of household shoppers. This is sourced from Australian Bureau of Statistics (ABS) data which estimates there were close to 9.8 million households in Australia in 2020.</w:t>
      </w:r>
      <w:r w:rsidRPr="006A74F8">
        <w:rPr>
          <w:vertAlign w:val="superscript"/>
        </w:rPr>
        <w:footnoteReference w:id="137"/>
      </w:r>
      <w:r w:rsidRPr="006A74F8">
        <w:t xml:space="preserve"> </w:t>
      </w:r>
    </w:p>
    <w:p w:rsidR="00E52449" w:rsidRPr="006A74F8" w:rsidRDefault="00E52449" w:rsidP="000272C7">
      <w:pPr>
        <w:pStyle w:val="Heading4"/>
        <w:tabs>
          <w:tab w:val="left" w:pos="1134"/>
        </w:tabs>
        <w:rPr>
          <w:rFonts w:eastAsia="Times New Roman"/>
        </w:rPr>
      </w:pPr>
      <w:r w:rsidRPr="006A74F8">
        <w:rPr>
          <w:rFonts w:eastAsia="Times New Roman"/>
        </w:rPr>
        <w:t>Shopper’s use of the measurement mark</w:t>
      </w:r>
    </w:p>
    <w:p w:rsidR="00E52449" w:rsidRPr="006A74F8" w:rsidRDefault="00E52449" w:rsidP="00162DEE">
      <w:r w:rsidRPr="006A74F8">
        <w:t xml:space="preserve">Shoppers </w:t>
      </w:r>
      <w:r w:rsidRPr="006A74F8">
        <w:rPr>
          <w:lang w:val="en"/>
        </w:rPr>
        <w:t xml:space="preserve">are divided into four categories, those who refer to the measurement mark </w:t>
      </w:r>
      <w:r w:rsidRPr="006A74F8">
        <w:rPr>
          <w:i/>
          <w:lang w:val="en"/>
        </w:rPr>
        <w:t>often</w:t>
      </w:r>
      <w:r w:rsidRPr="006A74F8">
        <w:rPr>
          <w:lang w:val="en"/>
        </w:rPr>
        <w:t xml:space="preserve"> (10 per cent), </w:t>
      </w:r>
      <w:r w:rsidRPr="006A74F8">
        <w:rPr>
          <w:i/>
          <w:lang w:val="en"/>
        </w:rPr>
        <w:t>sometimes</w:t>
      </w:r>
      <w:r w:rsidRPr="006A74F8">
        <w:rPr>
          <w:lang w:val="en"/>
        </w:rPr>
        <w:t xml:space="preserve"> (30 per cent), </w:t>
      </w:r>
      <w:r w:rsidRPr="006A74F8">
        <w:rPr>
          <w:i/>
          <w:lang w:val="en"/>
        </w:rPr>
        <w:t>rarely</w:t>
      </w:r>
      <w:r w:rsidRPr="006A74F8">
        <w:rPr>
          <w:lang w:val="en"/>
        </w:rPr>
        <w:t xml:space="preserve"> (30 per cent) or </w:t>
      </w:r>
      <w:r w:rsidRPr="006A74F8">
        <w:rPr>
          <w:i/>
          <w:lang w:val="en"/>
        </w:rPr>
        <w:t>never</w:t>
      </w:r>
      <w:r w:rsidRPr="006A74F8">
        <w:rPr>
          <w:lang w:val="en"/>
        </w:rPr>
        <w:t xml:space="preserve"> (30 per cent).</w:t>
      </w:r>
      <w:r w:rsidRPr="006A74F8">
        <w:t xml:space="preserve"> </w:t>
      </w:r>
    </w:p>
    <w:p w:rsidR="00835356" w:rsidRPr="006A74F8" w:rsidRDefault="00835356" w:rsidP="00835356">
      <w:pPr>
        <w:pStyle w:val="Caption"/>
        <w:keepNext/>
      </w:pPr>
      <w:r w:rsidRPr="006A74F8">
        <w:lastRenderedPageBreak/>
        <w:t>Figure</w:t>
      </w:r>
      <w:r w:rsidR="008001A0" w:rsidRPr="006A74F8">
        <w:t xml:space="preserve"> </w:t>
      </w:r>
      <w:r w:rsidRPr="006A74F8">
        <w:t>A</w:t>
      </w:r>
      <w:r w:rsidR="00272090" w:rsidRPr="006A74F8">
        <w:t>9</w:t>
      </w:r>
      <w:r w:rsidRPr="006A74F8">
        <w:t xml:space="preserve">- </w:t>
      </w:r>
      <w:r w:rsidR="00C90261" w:rsidRPr="006A74F8">
        <w:rPr>
          <w:noProof/>
        </w:rPr>
        <w:fldChar w:fldCharType="begin"/>
      </w:r>
      <w:r w:rsidR="00C90261" w:rsidRPr="006A74F8">
        <w:rPr>
          <w:noProof/>
        </w:rPr>
        <w:instrText xml:space="preserve"> SEQ FigureA10- \* ARABIC </w:instrText>
      </w:r>
      <w:r w:rsidR="00C90261" w:rsidRPr="006A74F8">
        <w:rPr>
          <w:noProof/>
        </w:rPr>
        <w:fldChar w:fldCharType="separate"/>
      </w:r>
      <w:r w:rsidR="0033017F">
        <w:rPr>
          <w:noProof/>
        </w:rPr>
        <w:t>1</w:t>
      </w:r>
      <w:r w:rsidR="00C90261" w:rsidRPr="006A74F8">
        <w:rPr>
          <w:noProof/>
        </w:rPr>
        <w:fldChar w:fldCharType="end"/>
      </w:r>
      <w:r w:rsidRPr="006A74F8">
        <w:t>: Shopper’s use of the measurement mark</w:t>
      </w:r>
    </w:p>
    <w:p w:rsidR="00E52449" w:rsidRPr="006A74F8" w:rsidRDefault="00E52449" w:rsidP="00E52449">
      <w:pPr>
        <w:spacing w:before="240" w:after="240" w:line="300" w:lineRule="auto"/>
        <w:rPr>
          <w:rFonts w:ascii="Arial" w:eastAsia="Calibri" w:hAnsi="Arial" w:cs="Times New Roman"/>
        </w:rPr>
      </w:pPr>
      <w:r w:rsidRPr="006A74F8">
        <w:rPr>
          <w:rFonts w:ascii="Arial" w:eastAsia="Calibri" w:hAnsi="Arial" w:cs="Times New Roman"/>
          <w:noProof/>
          <w:lang w:eastAsia="en-AU"/>
        </w:rPr>
        <w:drawing>
          <wp:inline distT="0" distB="0" distL="0" distR="0" wp14:anchorId="3F1B0A6C" wp14:editId="0B6BAE99">
            <wp:extent cx="2590800" cy="1181100"/>
            <wp:effectExtent l="0" t="0" r="0" b="0"/>
            <wp:docPr id="8" name="Picture 8" descr="The groups are categorised as 'never', 'rarely', 'sometimes', and 'often' levels of interest." title="Figure 8: Schematic of how the interested consumers were seg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90800" cy="1181100"/>
                    </a:xfrm>
                    <a:prstGeom prst="rect">
                      <a:avLst/>
                    </a:prstGeom>
                  </pic:spPr>
                </pic:pic>
              </a:graphicData>
            </a:graphic>
          </wp:inline>
        </w:drawing>
      </w:r>
    </w:p>
    <w:p w:rsidR="00E52449" w:rsidRPr="006A74F8" w:rsidRDefault="00E52449" w:rsidP="00162DEE">
      <w:r w:rsidRPr="006A74F8">
        <w:t>This breakdown is based on the ORIMA survey</w:t>
      </w:r>
      <w:r w:rsidRPr="006A74F8">
        <w:rPr>
          <w:vertAlign w:val="superscript"/>
        </w:rPr>
        <w:footnoteReference w:id="138"/>
      </w:r>
      <w:r w:rsidRPr="006A74F8">
        <w:t xml:space="preserve"> and a UK study</w:t>
      </w:r>
      <w:r w:rsidR="008001A0" w:rsidRPr="006A74F8">
        <w:t>.</w:t>
      </w:r>
      <w:r w:rsidRPr="006A74F8">
        <w:rPr>
          <w:vertAlign w:val="superscript"/>
        </w:rPr>
        <w:footnoteReference w:id="139"/>
      </w:r>
      <w:r w:rsidRPr="006A74F8">
        <w:t xml:space="preserve"> </w:t>
      </w:r>
      <w:r w:rsidRPr="006A74F8">
        <w:rPr>
          <w:rFonts w:cs="Times New Roman"/>
        </w:rPr>
        <w:t>As noted in the packaging review</w:t>
      </w:r>
      <w:r w:rsidRPr="006A74F8">
        <w:rPr>
          <w:rFonts w:cs="Times New Roman"/>
          <w:vertAlign w:val="superscript"/>
        </w:rPr>
        <w:footnoteReference w:id="140"/>
      </w:r>
      <w:r w:rsidRPr="006A74F8">
        <w:rPr>
          <w:rFonts w:cs="Times New Roman"/>
        </w:rPr>
        <w:t xml:space="preserve"> consultation process:</w:t>
      </w:r>
    </w:p>
    <w:p w:rsidR="00E52449" w:rsidRPr="006A74F8" w:rsidRDefault="00E52449" w:rsidP="00E52449">
      <w:pPr>
        <w:pBdr>
          <w:top w:val="single" w:sz="4" w:space="1" w:color="58595B"/>
          <w:bottom w:val="single" w:sz="4" w:space="1" w:color="58595B"/>
        </w:pBdr>
        <w:spacing w:before="360" w:after="360" w:line="360" w:lineRule="auto"/>
        <w:ind w:left="862" w:right="862"/>
        <w:jc w:val="center"/>
        <w:rPr>
          <w:rFonts w:eastAsia="Calibri" w:cstheme="minorHAnsi"/>
          <w:i/>
          <w:iCs/>
          <w:color w:val="404040"/>
        </w:rPr>
      </w:pPr>
      <w:r w:rsidRPr="006A74F8">
        <w:rPr>
          <w:rFonts w:eastAsia="Calibri" w:cstheme="minorHAnsi"/>
          <w:i/>
          <w:iCs/>
          <w:color w:val="404040"/>
        </w:rPr>
        <w:t>“74% of over 3,000 consumers who participated in an independent national survey</w:t>
      </w:r>
      <w:r w:rsidRPr="006A74F8">
        <w:rPr>
          <w:rFonts w:eastAsia="Calibri" w:cstheme="minorHAnsi"/>
          <w:i/>
          <w:iCs/>
          <w:color w:val="404040"/>
          <w:vertAlign w:val="superscript"/>
        </w:rPr>
        <w:footnoteReference w:id="141"/>
      </w:r>
      <w:r w:rsidRPr="006A74F8">
        <w:rPr>
          <w:rFonts w:eastAsia="Calibri" w:cstheme="minorHAnsi"/>
          <w:i/>
          <w:iCs/>
          <w:color w:val="404040"/>
        </w:rPr>
        <w:t xml:space="preserve"> undertaken for Choice in 2014, said it was ‘very’ or ‘somewhat important’ that the quantity information be shown on the front of the pack.”</w:t>
      </w:r>
    </w:p>
    <w:p w:rsidR="00E52449" w:rsidRPr="006A74F8" w:rsidRDefault="00E52449" w:rsidP="00162DEE">
      <w:r w:rsidRPr="006A74F8">
        <w:t>In the ORIMA work:</w:t>
      </w:r>
    </w:p>
    <w:p w:rsidR="00E52449" w:rsidRPr="006A74F8" w:rsidRDefault="00E52449" w:rsidP="00162DEE">
      <w:pPr>
        <w:pBdr>
          <w:top w:val="single" w:sz="4" w:space="0" w:color="58595B"/>
          <w:bottom w:val="single" w:sz="4" w:space="1" w:color="58595B"/>
        </w:pBdr>
        <w:spacing w:before="360" w:after="360" w:line="360" w:lineRule="auto"/>
        <w:ind w:left="862" w:right="862"/>
        <w:jc w:val="center"/>
        <w:rPr>
          <w:rFonts w:eastAsia="Calibri" w:cstheme="minorHAnsi"/>
          <w:i/>
          <w:iCs/>
          <w:color w:val="404040"/>
        </w:rPr>
      </w:pPr>
      <w:r w:rsidRPr="006A74F8">
        <w:rPr>
          <w:rFonts w:eastAsia="Calibri" w:cstheme="minorHAnsi"/>
          <w:i/>
          <w:iCs/>
          <w:color w:val="404040"/>
        </w:rPr>
        <w:t>“When directly asked, the MM is considered at least moderately useful as a way of determining value for money when choosing between product options by 78% of respondents”</w:t>
      </w:r>
    </w:p>
    <w:p w:rsidR="00E52449" w:rsidRPr="006A74F8" w:rsidRDefault="00E52449" w:rsidP="00162DEE">
      <w:pPr>
        <w:pBdr>
          <w:top w:val="single" w:sz="4" w:space="0" w:color="58595B"/>
          <w:bottom w:val="single" w:sz="4" w:space="1" w:color="58595B"/>
        </w:pBdr>
        <w:spacing w:before="360" w:after="360" w:line="360" w:lineRule="auto"/>
        <w:ind w:left="862" w:right="862"/>
        <w:jc w:val="center"/>
        <w:rPr>
          <w:rFonts w:eastAsia="Calibri" w:cstheme="minorHAnsi"/>
          <w:i/>
          <w:iCs/>
          <w:color w:val="404040"/>
        </w:rPr>
      </w:pPr>
      <w:r w:rsidRPr="006A74F8">
        <w:rPr>
          <w:rFonts w:eastAsia="Calibri" w:cstheme="minorHAnsi"/>
          <w:i/>
          <w:iCs/>
          <w:color w:val="404040"/>
        </w:rPr>
        <w:t>“A majority of respondents thought it was at least moderately important that the MM rem</w:t>
      </w:r>
      <w:r w:rsidR="00094501" w:rsidRPr="006A74F8">
        <w:rPr>
          <w:rFonts w:eastAsia="Calibri" w:cstheme="minorHAnsi"/>
          <w:i/>
          <w:iCs/>
          <w:color w:val="404040"/>
        </w:rPr>
        <w:t>ain on the front of packs (67%)</w:t>
      </w:r>
      <w:r w:rsidRPr="006A74F8">
        <w:rPr>
          <w:rFonts w:eastAsia="Calibri" w:cstheme="minorHAnsi"/>
          <w:i/>
          <w:iCs/>
          <w:color w:val="404040"/>
        </w:rPr>
        <w:t>”</w:t>
      </w:r>
    </w:p>
    <w:p w:rsidR="00E52449" w:rsidRPr="006A74F8" w:rsidRDefault="00E52449" w:rsidP="00162DEE">
      <w:r w:rsidRPr="006A74F8">
        <w:t>In the UK paper</w:t>
      </w:r>
      <w:r w:rsidRPr="006A74F8">
        <w:rPr>
          <w:vertAlign w:val="superscript"/>
        </w:rPr>
        <w:footnoteReference w:id="142"/>
      </w:r>
      <w:r w:rsidRPr="006A74F8">
        <w:t xml:space="preserve"> assessing why consumers underuse food quantity information they found</w:t>
      </w:r>
      <w:r w:rsidR="008001A0" w:rsidRPr="006A74F8">
        <w:t>:</w:t>
      </w:r>
    </w:p>
    <w:p w:rsidR="00E52449" w:rsidRPr="006A74F8" w:rsidRDefault="00E52449" w:rsidP="00E52449">
      <w:pPr>
        <w:pBdr>
          <w:top w:val="single" w:sz="4" w:space="1" w:color="58595B"/>
          <w:bottom w:val="single" w:sz="4" w:space="1" w:color="58595B"/>
        </w:pBdr>
        <w:spacing w:before="360" w:after="360" w:line="360" w:lineRule="auto"/>
        <w:ind w:left="862" w:right="862"/>
        <w:jc w:val="center"/>
        <w:rPr>
          <w:rFonts w:eastAsia="Calibri" w:cstheme="minorHAnsi"/>
          <w:i/>
          <w:iCs/>
          <w:color w:val="404040"/>
        </w:rPr>
      </w:pPr>
      <w:r w:rsidRPr="006A74F8">
        <w:rPr>
          <w:rFonts w:eastAsia="Calibri" w:cstheme="minorHAnsi"/>
          <w:i/>
          <w:iCs/>
          <w:color w:val="404040"/>
        </w:rPr>
        <w:t>“When asked if they would look at weight or volume information if they had time, over a third of the sample stated that they could not be bothered (35%)</w:t>
      </w:r>
      <w:r w:rsidR="0052014F" w:rsidRPr="006A74F8">
        <w:rPr>
          <w:rFonts w:eastAsia="Calibri" w:cstheme="minorHAnsi"/>
          <w:i/>
          <w:iCs/>
          <w:color w:val="404040"/>
        </w:rPr>
        <w:t>.</w:t>
      </w:r>
      <w:r w:rsidRPr="006A74F8">
        <w:rPr>
          <w:rFonts w:eastAsia="Calibri" w:cstheme="minorHAnsi"/>
          <w:i/>
          <w:iCs/>
          <w:color w:val="404040"/>
        </w:rPr>
        <w:t>”</w:t>
      </w:r>
    </w:p>
    <w:p w:rsidR="00E52449" w:rsidRPr="006A74F8" w:rsidRDefault="00E52449" w:rsidP="00162DEE">
      <w:r w:rsidRPr="006A74F8">
        <w:t>In addition, both the ORIMA survey</w:t>
      </w:r>
      <w:r w:rsidRPr="006A74F8">
        <w:rPr>
          <w:vertAlign w:val="superscript"/>
        </w:rPr>
        <w:footnoteReference w:id="143"/>
      </w:r>
      <w:r w:rsidRPr="006A74F8">
        <w:t xml:space="preserve"> and the UK study</w:t>
      </w:r>
      <w:r w:rsidRPr="006A74F8">
        <w:rPr>
          <w:vertAlign w:val="superscript"/>
        </w:rPr>
        <w:footnoteReference w:id="144"/>
      </w:r>
      <w:r w:rsidRPr="006A74F8">
        <w:t xml:space="preserve"> found approximately 10 per cent of shoppers use the measurement mark often. For the purposes of this RIS, it was decided in addition </w:t>
      </w:r>
      <w:r w:rsidRPr="006A74F8">
        <w:lastRenderedPageBreak/>
        <w:t>to the 10 per cent who use the mark often, roughly 30 per cent of the shopping population could be classified as not using the measurement mark. The remaining 60 per cent was divided into two groups, rarely and sometimes. This method of calculation is likely to give a value at the upper bound. The UK study suggested that it would be valid to use just the 10% ‘often’ number to calculate the number of interested household shoppers.</w:t>
      </w:r>
    </w:p>
    <w:p w:rsidR="00E52449" w:rsidRPr="006A74F8" w:rsidRDefault="00E52449" w:rsidP="00162DEE">
      <w:pPr>
        <w:rPr>
          <w:lang w:val="en"/>
        </w:rPr>
      </w:pPr>
      <w:r w:rsidRPr="006A74F8">
        <w:rPr>
          <w:lang w:val="en"/>
        </w:rPr>
        <w:t xml:space="preserve">The level of use of the measurement mark each week corresponding to each category was estimated at 0.5 per cent for rarely, 2 per cent for sometimes and 5 per cent for often. The percentages of use are approximately equal to a shopper using the measurement mark for two products a week for </w:t>
      </w:r>
      <w:r w:rsidRPr="006A74F8">
        <w:rPr>
          <w:i/>
          <w:lang w:val="en"/>
        </w:rPr>
        <w:t>often</w:t>
      </w:r>
      <w:r w:rsidRPr="006A74F8">
        <w:rPr>
          <w:lang w:val="en"/>
        </w:rPr>
        <w:t xml:space="preserve"> households, for around one product a week for </w:t>
      </w:r>
      <w:r w:rsidRPr="006A74F8">
        <w:rPr>
          <w:i/>
          <w:iCs/>
        </w:rPr>
        <w:t>sometimes</w:t>
      </w:r>
      <w:r w:rsidRPr="006A74F8">
        <w:rPr>
          <w:lang w:val="en"/>
        </w:rPr>
        <w:t xml:space="preserve"> and for around one product every four weeks for </w:t>
      </w:r>
      <w:r w:rsidRPr="006A74F8">
        <w:rPr>
          <w:i/>
          <w:iCs/>
        </w:rPr>
        <w:t>rarely.</w:t>
      </w:r>
      <w:r w:rsidRPr="006A74F8">
        <w:rPr>
          <w:iCs/>
          <w:vertAlign w:val="superscript"/>
        </w:rPr>
        <w:footnoteReference w:id="145"/>
      </w:r>
    </w:p>
    <w:p w:rsidR="00E52449" w:rsidRPr="006A74F8" w:rsidRDefault="00E52449" w:rsidP="00162DEE">
      <w:pPr>
        <w:rPr>
          <w:lang w:val="en"/>
        </w:rPr>
      </w:pPr>
      <w:r w:rsidRPr="006A74F8">
        <w:rPr>
          <w:lang w:val="en"/>
        </w:rPr>
        <w:t xml:space="preserve">Table </w:t>
      </w:r>
      <w:r w:rsidR="00F00E8C" w:rsidRPr="006A74F8">
        <w:rPr>
          <w:lang w:val="en"/>
        </w:rPr>
        <w:t>A</w:t>
      </w:r>
      <w:r w:rsidR="00F5274B" w:rsidRPr="006A74F8">
        <w:rPr>
          <w:lang w:val="en"/>
        </w:rPr>
        <w:t>9</w:t>
      </w:r>
      <w:r w:rsidR="00F00E8C" w:rsidRPr="006A74F8">
        <w:rPr>
          <w:lang w:val="en"/>
        </w:rPr>
        <w:t>-</w:t>
      </w:r>
      <w:r w:rsidR="009C57E2" w:rsidRPr="006A74F8">
        <w:rPr>
          <w:lang w:val="en"/>
        </w:rPr>
        <w:t xml:space="preserve"> </w:t>
      </w:r>
      <w:r w:rsidR="00F00E8C" w:rsidRPr="006A74F8">
        <w:rPr>
          <w:lang w:val="en"/>
        </w:rPr>
        <w:t>1</w:t>
      </w:r>
      <w:r w:rsidRPr="006A74F8">
        <w:rPr>
          <w:lang w:val="en"/>
        </w:rPr>
        <w:t xml:space="preserve"> shows the calculation of </w:t>
      </w:r>
      <w:r w:rsidRPr="006A74F8">
        <w:rPr>
          <w:b/>
        </w:rPr>
        <w:t>122</w:t>
      </w:r>
      <w:r w:rsidR="0022596D" w:rsidRPr="006A74F8">
        <w:rPr>
          <w:b/>
        </w:rPr>
        <w:t>,</w:t>
      </w:r>
      <w:r w:rsidRPr="006A74F8">
        <w:rPr>
          <w:b/>
        </w:rPr>
        <w:t>535</w:t>
      </w:r>
      <w:r w:rsidRPr="006A74F8">
        <w:rPr>
          <w:lang w:val="en"/>
        </w:rPr>
        <w:t xml:space="preserve"> ‘</w:t>
      </w:r>
      <w:r w:rsidRPr="006A74F8">
        <w:rPr>
          <w:i/>
          <w:lang w:val="en"/>
        </w:rPr>
        <w:t>interested household shoppers</w:t>
      </w:r>
      <w:r w:rsidRPr="006A74F8">
        <w:rPr>
          <w:lang w:val="en"/>
        </w:rPr>
        <w:t xml:space="preserve">’. There is measurement mark use equivalent to </w:t>
      </w:r>
      <w:r w:rsidRPr="006A74F8">
        <w:rPr>
          <w:b/>
        </w:rPr>
        <w:t>122</w:t>
      </w:r>
      <w:r w:rsidR="0022596D" w:rsidRPr="006A74F8">
        <w:rPr>
          <w:b/>
        </w:rPr>
        <w:t>,</w:t>
      </w:r>
      <w:r w:rsidRPr="006A74F8">
        <w:rPr>
          <w:b/>
        </w:rPr>
        <w:t xml:space="preserve">535 </w:t>
      </w:r>
      <w:r w:rsidRPr="006A74F8">
        <w:rPr>
          <w:lang w:val="en"/>
        </w:rPr>
        <w:t xml:space="preserve">shoppers using the measurement mark for every purchase in the weekly shop. </w:t>
      </w:r>
    </w:p>
    <w:p w:rsidR="00835356" w:rsidRPr="006A74F8" w:rsidRDefault="00835356" w:rsidP="00835356">
      <w:pPr>
        <w:pStyle w:val="Caption"/>
        <w:keepNext/>
      </w:pPr>
      <w:r w:rsidRPr="006A74F8">
        <w:t>Table A</w:t>
      </w:r>
      <w:r w:rsidR="00473937" w:rsidRPr="006A74F8">
        <w:t>9</w:t>
      </w:r>
      <w:r w:rsidRPr="006A74F8">
        <w:t xml:space="preserve">- </w:t>
      </w:r>
      <w:r w:rsidR="00C90261" w:rsidRPr="006A74F8">
        <w:rPr>
          <w:noProof/>
        </w:rPr>
        <w:fldChar w:fldCharType="begin"/>
      </w:r>
      <w:r w:rsidR="00C90261" w:rsidRPr="006A74F8">
        <w:rPr>
          <w:noProof/>
        </w:rPr>
        <w:instrText xml:space="preserve"> SEQ Table_A10- \* ARABIC </w:instrText>
      </w:r>
      <w:r w:rsidR="00C90261" w:rsidRPr="006A74F8">
        <w:rPr>
          <w:noProof/>
        </w:rPr>
        <w:fldChar w:fldCharType="separate"/>
      </w:r>
      <w:r w:rsidR="0033017F">
        <w:rPr>
          <w:noProof/>
        </w:rPr>
        <w:t>1</w:t>
      </w:r>
      <w:r w:rsidR="00C90261" w:rsidRPr="006A74F8">
        <w:rPr>
          <w:noProof/>
        </w:rPr>
        <w:fldChar w:fldCharType="end"/>
      </w:r>
      <w:r w:rsidRPr="006A74F8">
        <w:t>: Estimated use of measurement mark</w:t>
      </w:r>
    </w:p>
    <w:tbl>
      <w:tblPr>
        <w:tblStyle w:val="GridTable5Dark-Accent11"/>
        <w:tblW w:w="9129" w:type="dxa"/>
        <w:tblLook w:val="0420" w:firstRow="1" w:lastRow="0" w:firstColumn="0" w:lastColumn="0" w:noHBand="0" w:noVBand="1"/>
        <w:tblCaption w:val="Table 4: Estimated use of measurement mark"/>
        <w:tblDescription w:val="If 30 per cent of shoppers use the measurement mark this equates to approximately 2 772 449 households.  If 10 per cent of shoppers use the measurement mark this equates to approximately 924 150 households. Based on these number of households if 30 per cent of shoppers never use the measurement mark this equates to zero households using the measurement mark per week. If 30 per cent of shoppers rarely use the measurement mark this equates to approximaletly 0.5 per cent use per week and 13 862 households using the measurement mark per week.  If 30 per cent of shoppers sometimes use the measurement mark this equates to approximately a 2 per cent use and 55 449 householdes using the measurement mark per week.  If 10 per cent of shoppers often use the measurement mark this equates to approximately a 5 per cent use and 46 207 households using the measurement mark per week."/>
      </w:tblPr>
      <w:tblGrid>
        <w:gridCol w:w="1845"/>
        <w:gridCol w:w="117"/>
        <w:gridCol w:w="1407"/>
        <w:gridCol w:w="213"/>
        <w:gridCol w:w="627"/>
        <w:gridCol w:w="292"/>
        <w:gridCol w:w="972"/>
        <w:gridCol w:w="217"/>
        <w:gridCol w:w="3439"/>
      </w:tblGrid>
      <w:tr w:rsidR="00E52449" w:rsidRPr="006A74F8" w:rsidTr="00320404">
        <w:trPr>
          <w:cnfStyle w:val="100000000000" w:firstRow="1" w:lastRow="0" w:firstColumn="0" w:lastColumn="0" w:oddVBand="0" w:evenVBand="0" w:oddHBand="0" w:evenHBand="0" w:firstRowFirstColumn="0" w:firstRowLastColumn="0" w:lastRowFirstColumn="0" w:lastRowLastColumn="0"/>
          <w:trHeight w:val="684"/>
          <w:tblHeader/>
        </w:trPr>
        <w:tc>
          <w:tcPr>
            <w:tcW w:w="1962" w:type="dxa"/>
            <w:gridSpan w:val="2"/>
            <w:tcBorders>
              <w:bottom w:val="single" w:sz="4" w:space="0" w:color="auto"/>
            </w:tcBorders>
            <w:shd w:val="clear" w:color="auto" w:fill="004059" w:themeFill="text2" w:themeFillShade="BF"/>
          </w:tcPr>
          <w:p w:rsidR="00E52449" w:rsidRPr="006A74F8" w:rsidRDefault="00E52449" w:rsidP="00E52449">
            <w:pPr>
              <w:spacing w:after="0" w:line="300" w:lineRule="auto"/>
              <w:rPr>
                <w:rFonts w:asciiTheme="minorHAnsi" w:hAnsiTheme="minorHAnsi" w:cstheme="minorHAnsi"/>
                <w:b/>
                <w:sz w:val="20"/>
              </w:rPr>
            </w:pPr>
            <w:r w:rsidRPr="006A74F8">
              <w:rPr>
                <w:rFonts w:asciiTheme="minorHAnsi" w:hAnsiTheme="minorHAnsi" w:cstheme="minorHAnsi"/>
                <w:b/>
                <w:sz w:val="20"/>
              </w:rPr>
              <w:t xml:space="preserve">% of Household </w:t>
            </w:r>
            <w:r w:rsidR="00ED023E" w:rsidRPr="006A74F8">
              <w:rPr>
                <w:rFonts w:asciiTheme="minorHAnsi" w:hAnsiTheme="minorHAnsi" w:cstheme="minorHAnsi"/>
                <w:b/>
                <w:sz w:val="20"/>
              </w:rPr>
              <w:t>s</w:t>
            </w:r>
            <w:r w:rsidRPr="006A74F8">
              <w:rPr>
                <w:rFonts w:asciiTheme="minorHAnsi" w:hAnsiTheme="minorHAnsi" w:cstheme="minorHAnsi"/>
                <w:b/>
                <w:sz w:val="20"/>
              </w:rPr>
              <w:t xml:space="preserve">hoppers </w:t>
            </w:r>
          </w:p>
        </w:tc>
        <w:tc>
          <w:tcPr>
            <w:tcW w:w="1620" w:type="dxa"/>
            <w:gridSpan w:val="2"/>
            <w:tcBorders>
              <w:bottom w:val="single" w:sz="4" w:space="0" w:color="auto"/>
            </w:tcBorders>
            <w:shd w:val="clear" w:color="auto" w:fill="004059" w:themeFill="text2" w:themeFillShade="BF"/>
          </w:tcPr>
          <w:p w:rsidR="00E52449" w:rsidRPr="006A74F8" w:rsidRDefault="00E52449" w:rsidP="00E52449">
            <w:pPr>
              <w:spacing w:after="0" w:line="300" w:lineRule="auto"/>
              <w:rPr>
                <w:rFonts w:asciiTheme="minorHAnsi" w:hAnsiTheme="minorHAnsi" w:cstheme="minorHAnsi"/>
                <w:b/>
                <w:sz w:val="20"/>
              </w:rPr>
            </w:pPr>
            <w:r w:rsidRPr="006A74F8">
              <w:rPr>
                <w:rFonts w:asciiTheme="minorHAnsi" w:hAnsiTheme="minorHAnsi" w:cstheme="minorHAnsi"/>
                <w:b/>
                <w:sz w:val="20"/>
              </w:rPr>
              <w:t>No</w:t>
            </w:r>
            <w:r w:rsidR="00ED023E" w:rsidRPr="006A74F8">
              <w:rPr>
                <w:rFonts w:asciiTheme="minorHAnsi" w:hAnsiTheme="minorHAnsi" w:cstheme="minorHAnsi"/>
                <w:b/>
                <w:sz w:val="20"/>
              </w:rPr>
              <w:t>.</w:t>
            </w:r>
            <w:r w:rsidRPr="006A74F8">
              <w:rPr>
                <w:rFonts w:asciiTheme="minorHAnsi" w:hAnsiTheme="minorHAnsi" w:cstheme="minorHAnsi"/>
                <w:b/>
                <w:sz w:val="20"/>
              </w:rPr>
              <w:t xml:space="preserve"> of </w:t>
            </w:r>
            <w:r w:rsidR="00ED023E" w:rsidRPr="006A74F8">
              <w:rPr>
                <w:rFonts w:asciiTheme="minorHAnsi" w:hAnsiTheme="minorHAnsi" w:cstheme="minorHAnsi"/>
                <w:b/>
                <w:sz w:val="20"/>
              </w:rPr>
              <w:t>s</w:t>
            </w:r>
            <w:r w:rsidRPr="006A74F8">
              <w:rPr>
                <w:rFonts w:asciiTheme="minorHAnsi" w:hAnsiTheme="minorHAnsi" w:cstheme="minorHAnsi"/>
                <w:b/>
                <w:sz w:val="20"/>
              </w:rPr>
              <w:t>hoppers</w:t>
            </w:r>
            <w:r w:rsidRPr="006A74F8">
              <w:rPr>
                <w:rFonts w:asciiTheme="minorHAnsi" w:eastAsia="Calibri" w:hAnsiTheme="minorHAnsi" w:cstheme="minorHAnsi"/>
                <w:b/>
                <w:sz w:val="20"/>
                <w:vertAlign w:val="superscript"/>
              </w:rPr>
              <w:footnoteReference w:id="146"/>
            </w:r>
          </w:p>
        </w:tc>
        <w:tc>
          <w:tcPr>
            <w:tcW w:w="627" w:type="dxa"/>
            <w:tcBorders>
              <w:bottom w:val="single" w:sz="4" w:space="0" w:color="auto"/>
            </w:tcBorders>
            <w:shd w:val="clear" w:color="auto" w:fill="004059" w:themeFill="text2" w:themeFillShade="BF"/>
          </w:tcPr>
          <w:p w:rsidR="00E52449" w:rsidRPr="006A74F8" w:rsidRDefault="00E52449" w:rsidP="00E52449">
            <w:pPr>
              <w:spacing w:after="0" w:line="300" w:lineRule="auto"/>
              <w:rPr>
                <w:rFonts w:asciiTheme="minorHAnsi" w:hAnsiTheme="minorHAnsi" w:cstheme="minorHAnsi"/>
                <w:b/>
                <w:sz w:val="20"/>
              </w:rPr>
            </w:pPr>
            <w:r w:rsidRPr="006A74F8">
              <w:rPr>
                <w:rFonts w:asciiTheme="minorHAnsi" w:hAnsiTheme="minorHAnsi" w:cstheme="minorHAnsi"/>
                <w:b/>
                <w:sz w:val="20"/>
              </w:rPr>
              <w:t>Use</w:t>
            </w:r>
          </w:p>
        </w:tc>
        <w:tc>
          <w:tcPr>
            <w:tcW w:w="1264" w:type="dxa"/>
            <w:gridSpan w:val="2"/>
            <w:tcBorders>
              <w:bottom w:val="single" w:sz="4" w:space="0" w:color="auto"/>
            </w:tcBorders>
            <w:shd w:val="clear" w:color="auto" w:fill="004059" w:themeFill="text2" w:themeFillShade="BF"/>
          </w:tcPr>
          <w:p w:rsidR="00E52449" w:rsidRPr="006A74F8" w:rsidRDefault="00E52449" w:rsidP="00E52449">
            <w:pPr>
              <w:spacing w:after="0" w:line="300" w:lineRule="auto"/>
              <w:rPr>
                <w:rFonts w:asciiTheme="minorHAnsi" w:hAnsiTheme="minorHAnsi" w:cstheme="minorHAnsi"/>
                <w:b/>
                <w:sz w:val="20"/>
              </w:rPr>
            </w:pPr>
            <w:r w:rsidRPr="006A74F8">
              <w:rPr>
                <w:rFonts w:asciiTheme="minorHAnsi" w:hAnsiTheme="minorHAnsi" w:cstheme="minorHAnsi"/>
                <w:b/>
                <w:sz w:val="20"/>
              </w:rPr>
              <w:t xml:space="preserve">% </w:t>
            </w:r>
            <w:r w:rsidR="00ED0DB1" w:rsidRPr="006A74F8">
              <w:rPr>
                <w:rFonts w:asciiTheme="minorHAnsi" w:hAnsiTheme="minorHAnsi" w:cstheme="minorHAnsi"/>
                <w:b/>
                <w:sz w:val="20"/>
              </w:rPr>
              <w:t>U</w:t>
            </w:r>
            <w:r w:rsidRPr="006A74F8">
              <w:rPr>
                <w:rFonts w:asciiTheme="minorHAnsi" w:hAnsiTheme="minorHAnsi" w:cstheme="minorHAnsi"/>
                <w:b/>
                <w:sz w:val="20"/>
              </w:rPr>
              <w:t>se per week</w:t>
            </w:r>
          </w:p>
        </w:tc>
        <w:tc>
          <w:tcPr>
            <w:tcW w:w="3656" w:type="dxa"/>
            <w:gridSpan w:val="2"/>
            <w:tcBorders>
              <w:bottom w:val="single" w:sz="4" w:space="0" w:color="auto"/>
            </w:tcBorders>
            <w:shd w:val="clear" w:color="auto" w:fill="004059" w:themeFill="text2" w:themeFillShade="BF"/>
          </w:tcPr>
          <w:p w:rsidR="00E52449" w:rsidRPr="006A74F8" w:rsidRDefault="00E52449" w:rsidP="00E52449">
            <w:pPr>
              <w:spacing w:after="0" w:line="300" w:lineRule="auto"/>
              <w:rPr>
                <w:rFonts w:asciiTheme="minorHAnsi" w:hAnsiTheme="minorHAnsi" w:cstheme="minorHAnsi"/>
                <w:b/>
                <w:sz w:val="20"/>
              </w:rPr>
            </w:pPr>
            <w:r w:rsidRPr="006A74F8">
              <w:rPr>
                <w:rFonts w:asciiTheme="minorHAnsi" w:hAnsiTheme="minorHAnsi" w:cstheme="minorHAnsi"/>
                <w:b/>
                <w:sz w:val="20"/>
              </w:rPr>
              <w:t>No</w:t>
            </w:r>
            <w:r w:rsidR="00ED023E" w:rsidRPr="006A74F8">
              <w:rPr>
                <w:rFonts w:asciiTheme="minorHAnsi" w:hAnsiTheme="minorHAnsi" w:cstheme="minorHAnsi"/>
                <w:b/>
                <w:sz w:val="20"/>
              </w:rPr>
              <w:t>. of s</w:t>
            </w:r>
            <w:r w:rsidRPr="006A74F8">
              <w:rPr>
                <w:rFonts w:asciiTheme="minorHAnsi" w:hAnsiTheme="minorHAnsi" w:cstheme="minorHAnsi"/>
                <w:b/>
                <w:sz w:val="20"/>
              </w:rPr>
              <w:t>hoppers using the measurement mark per week</w:t>
            </w:r>
          </w:p>
        </w:tc>
      </w:tr>
      <w:tr w:rsidR="00E52449" w:rsidRPr="006A74F8" w:rsidTr="00C0772D">
        <w:trPr>
          <w:cnfStyle w:val="000000100000" w:firstRow="0" w:lastRow="0" w:firstColumn="0" w:lastColumn="0" w:oddVBand="0" w:evenVBand="0" w:oddHBand="1" w:evenHBand="0" w:firstRowFirstColumn="0" w:firstRowLastColumn="0" w:lastRowFirstColumn="0" w:lastRowLastColumn="0"/>
          <w:trHeight w:val="342"/>
        </w:trPr>
        <w:tc>
          <w:tcPr>
            <w:tcW w:w="1845" w:type="dxa"/>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30</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2</w:t>
            </w:r>
            <w:r w:rsidR="0022596D" w:rsidRPr="006A74F8">
              <w:rPr>
                <w:rFonts w:asciiTheme="minorHAnsi" w:hAnsiTheme="minorHAnsi" w:cstheme="minorHAnsi"/>
                <w:sz w:val="20"/>
                <w:szCs w:val="20"/>
              </w:rPr>
              <w:t>,</w:t>
            </w:r>
            <w:r w:rsidRPr="006A74F8">
              <w:rPr>
                <w:rFonts w:asciiTheme="minorHAnsi" w:hAnsiTheme="minorHAnsi" w:cstheme="minorHAnsi"/>
                <w:sz w:val="20"/>
                <w:szCs w:val="20"/>
              </w:rPr>
              <w:t>940</w:t>
            </w:r>
            <w:r w:rsidR="0022596D" w:rsidRPr="006A74F8">
              <w:rPr>
                <w:rFonts w:asciiTheme="minorHAnsi" w:hAnsiTheme="minorHAnsi" w:cstheme="minorHAnsi"/>
                <w:sz w:val="20"/>
                <w:szCs w:val="20"/>
              </w:rPr>
              <w:t>,</w:t>
            </w:r>
            <w:r w:rsidRPr="006A74F8">
              <w:rPr>
                <w:rFonts w:asciiTheme="minorHAnsi" w:hAnsiTheme="minorHAnsi" w:cstheme="minorHAnsi"/>
                <w:sz w:val="20"/>
                <w:szCs w:val="20"/>
              </w:rPr>
              <w:t>836</w:t>
            </w:r>
          </w:p>
        </w:tc>
        <w:tc>
          <w:tcPr>
            <w:tcW w:w="1132" w:type="dxa"/>
            <w:gridSpan w:val="3"/>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never</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0</w:t>
            </w:r>
          </w:p>
        </w:tc>
        <w:tc>
          <w:tcPr>
            <w:tcW w:w="3439" w:type="dxa"/>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0</w:t>
            </w:r>
          </w:p>
        </w:tc>
      </w:tr>
      <w:tr w:rsidR="00E52449" w:rsidRPr="006A74F8" w:rsidTr="00C0772D">
        <w:trPr>
          <w:cnfStyle w:val="000000010000" w:firstRow="0" w:lastRow="0" w:firstColumn="0" w:lastColumn="0" w:oddVBand="0" w:evenVBand="0" w:oddHBand="0" w:evenHBand="1" w:firstRowFirstColumn="0" w:firstRowLastColumn="0" w:lastRowFirstColumn="0" w:lastRowLastColumn="0"/>
          <w:trHeight w:val="325"/>
        </w:trPr>
        <w:tc>
          <w:tcPr>
            <w:tcW w:w="1845" w:type="dxa"/>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30</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2</w:t>
            </w:r>
            <w:r w:rsidR="0022596D" w:rsidRPr="006A74F8">
              <w:rPr>
                <w:rFonts w:asciiTheme="minorHAnsi" w:hAnsiTheme="minorHAnsi" w:cstheme="minorHAnsi"/>
                <w:sz w:val="20"/>
                <w:szCs w:val="20"/>
              </w:rPr>
              <w:t>,</w:t>
            </w:r>
            <w:r w:rsidRPr="006A74F8">
              <w:rPr>
                <w:rFonts w:asciiTheme="minorHAnsi" w:hAnsiTheme="minorHAnsi" w:cstheme="minorHAnsi"/>
                <w:sz w:val="20"/>
                <w:szCs w:val="20"/>
              </w:rPr>
              <w:t>940</w:t>
            </w:r>
            <w:r w:rsidR="0022596D" w:rsidRPr="006A74F8">
              <w:rPr>
                <w:rFonts w:asciiTheme="minorHAnsi" w:hAnsiTheme="minorHAnsi" w:cstheme="minorHAnsi"/>
                <w:sz w:val="20"/>
                <w:szCs w:val="20"/>
              </w:rPr>
              <w:t>,</w:t>
            </w:r>
            <w:r w:rsidRPr="006A74F8">
              <w:rPr>
                <w:rFonts w:asciiTheme="minorHAnsi" w:hAnsiTheme="minorHAnsi" w:cstheme="minorHAnsi"/>
                <w:sz w:val="20"/>
                <w:szCs w:val="20"/>
              </w:rPr>
              <w:t>836</w:t>
            </w:r>
          </w:p>
        </w:tc>
        <w:tc>
          <w:tcPr>
            <w:tcW w:w="1132" w:type="dxa"/>
            <w:gridSpan w:val="3"/>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rarely</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0.5</w:t>
            </w:r>
          </w:p>
        </w:tc>
        <w:tc>
          <w:tcPr>
            <w:tcW w:w="3439" w:type="dxa"/>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14</w:t>
            </w:r>
            <w:r w:rsidR="0022596D" w:rsidRPr="006A74F8">
              <w:rPr>
                <w:rFonts w:asciiTheme="minorHAnsi" w:hAnsiTheme="minorHAnsi" w:cstheme="minorHAnsi"/>
                <w:sz w:val="20"/>
                <w:szCs w:val="20"/>
              </w:rPr>
              <w:t>,</w:t>
            </w:r>
            <w:r w:rsidRPr="006A74F8">
              <w:rPr>
                <w:rFonts w:asciiTheme="minorHAnsi" w:hAnsiTheme="minorHAnsi" w:cstheme="minorHAnsi"/>
                <w:sz w:val="20"/>
                <w:szCs w:val="20"/>
              </w:rPr>
              <w:t>704</w:t>
            </w:r>
          </w:p>
        </w:tc>
      </w:tr>
      <w:tr w:rsidR="00E52449" w:rsidRPr="006A74F8" w:rsidTr="00C0772D">
        <w:trPr>
          <w:cnfStyle w:val="000000100000" w:firstRow="0" w:lastRow="0" w:firstColumn="0" w:lastColumn="0" w:oddVBand="0" w:evenVBand="0" w:oddHBand="1" w:evenHBand="0" w:firstRowFirstColumn="0" w:firstRowLastColumn="0" w:lastRowFirstColumn="0" w:lastRowLastColumn="0"/>
          <w:trHeight w:val="198"/>
        </w:trPr>
        <w:tc>
          <w:tcPr>
            <w:tcW w:w="1845" w:type="dxa"/>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30</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2</w:t>
            </w:r>
            <w:r w:rsidR="0022596D" w:rsidRPr="006A74F8">
              <w:rPr>
                <w:rFonts w:asciiTheme="minorHAnsi" w:hAnsiTheme="minorHAnsi" w:cstheme="minorHAnsi"/>
                <w:sz w:val="20"/>
                <w:szCs w:val="20"/>
              </w:rPr>
              <w:t>,</w:t>
            </w:r>
            <w:r w:rsidRPr="006A74F8">
              <w:rPr>
                <w:rFonts w:asciiTheme="minorHAnsi" w:hAnsiTheme="minorHAnsi" w:cstheme="minorHAnsi"/>
                <w:sz w:val="20"/>
                <w:szCs w:val="20"/>
              </w:rPr>
              <w:t>940</w:t>
            </w:r>
            <w:r w:rsidR="0022596D" w:rsidRPr="006A74F8">
              <w:rPr>
                <w:rFonts w:asciiTheme="minorHAnsi" w:hAnsiTheme="minorHAnsi" w:cstheme="minorHAnsi"/>
                <w:sz w:val="20"/>
                <w:szCs w:val="20"/>
              </w:rPr>
              <w:t>,</w:t>
            </w:r>
            <w:r w:rsidRPr="006A74F8">
              <w:rPr>
                <w:rFonts w:asciiTheme="minorHAnsi" w:hAnsiTheme="minorHAnsi" w:cstheme="minorHAnsi"/>
                <w:sz w:val="20"/>
                <w:szCs w:val="20"/>
              </w:rPr>
              <w:t>836</w:t>
            </w:r>
          </w:p>
        </w:tc>
        <w:tc>
          <w:tcPr>
            <w:tcW w:w="1132" w:type="dxa"/>
            <w:gridSpan w:val="3"/>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sometimes</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2</w:t>
            </w:r>
          </w:p>
        </w:tc>
        <w:tc>
          <w:tcPr>
            <w:tcW w:w="3439" w:type="dxa"/>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58</w:t>
            </w:r>
            <w:r w:rsidR="0022596D" w:rsidRPr="006A74F8">
              <w:rPr>
                <w:rFonts w:asciiTheme="minorHAnsi" w:hAnsiTheme="minorHAnsi" w:cstheme="minorHAnsi"/>
                <w:sz w:val="20"/>
                <w:szCs w:val="20"/>
              </w:rPr>
              <w:t>,</w:t>
            </w:r>
            <w:r w:rsidRPr="006A74F8">
              <w:rPr>
                <w:rFonts w:asciiTheme="minorHAnsi" w:hAnsiTheme="minorHAnsi" w:cstheme="minorHAnsi"/>
                <w:sz w:val="20"/>
                <w:szCs w:val="20"/>
              </w:rPr>
              <w:t>817</w:t>
            </w:r>
          </w:p>
        </w:tc>
      </w:tr>
      <w:tr w:rsidR="00E52449" w:rsidRPr="006A74F8" w:rsidTr="00C0772D">
        <w:trPr>
          <w:cnfStyle w:val="000000010000" w:firstRow="0" w:lastRow="0" w:firstColumn="0" w:lastColumn="0" w:oddVBand="0" w:evenVBand="0" w:oddHBand="0" w:evenHBand="1" w:firstRowFirstColumn="0" w:firstRowLastColumn="0" w:lastRowFirstColumn="0" w:lastRowLastColumn="0"/>
          <w:trHeight w:val="311"/>
        </w:trPr>
        <w:tc>
          <w:tcPr>
            <w:tcW w:w="1845" w:type="dxa"/>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10</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980</w:t>
            </w:r>
            <w:r w:rsidR="0022596D" w:rsidRPr="006A74F8">
              <w:rPr>
                <w:rFonts w:asciiTheme="minorHAnsi" w:hAnsiTheme="minorHAnsi" w:cstheme="minorHAnsi"/>
                <w:sz w:val="20"/>
                <w:szCs w:val="20"/>
              </w:rPr>
              <w:t>,</w:t>
            </w:r>
            <w:r w:rsidRPr="006A74F8">
              <w:rPr>
                <w:rFonts w:asciiTheme="minorHAnsi" w:hAnsiTheme="minorHAnsi" w:cstheme="minorHAnsi"/>
                <w:sz w:val="20"/>
                <w:szCs w:val="20"/>
              </w:rPr>
              <w:t>279</w:t>
            </w:r>
          </w:p>
        </w:tc>
        <w:tc>
          <w:tcPr>
            <w:tcW w:w="1132" w:type="dxa"/>
            <w:gridSpan w:val="3"/>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 xml:space="preserve">often </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5</w:t>
            </w:r>
          </w:p>
        </w:tc>
        <w:tc>
          <w:tcPr>
            <w:tcW w:w="3439" w:type="dxa"/>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r w:rsidRPr="006A74F8">
              <w:rPr>
                <w:rFonts w:asciiTheme="minorHAnsi" w:hAnsiTheme="minorHAnsi" w:cstheme="minorHAnsi"/>
                <w:sz w:val="20"/>
                <w:szCs w:val="20"/>
              </w:rPr>
              <w:t>49</w:t>
            </w:r>
            <w:r w:rsidR="0022596D" w:rsidRPr="006A74F8">
              <w:rPr>
                <w:rFonts w:asciiTheme="minorHAnsi" w:hAnsiTheme="minorHAnsi" w:cstheme="minorHAnsi"/>
                <w:sz w:val="20"/>
                <w:szCs w:val="20"/>
              </w:rPr>
              <w:t>,</w:t>
            </w:r>
            <w:r w:rsidRPr="006A74F8">
              <w:rPr>
                <w:rFonts w:asciiTheme="minorHAnsi" w:hAnsiTheme="minorHAnsi" w:cstheme="minorHAnsi"/>
                <w:sz w:val="20"/>
                <w:szCs w:val="20"/>
              </w:rPr>
              <w:t>014</w:t>
            </w:r>
          </w:p>
        </w:tc>
      </w:tr>
      <w:tr w:rsidR="00E52449" w:rsidRPr="006A74F8" w:rsidTr="00C0772D">
        <w:trPr>
          <w:cnfStyle w:val="000000100000" w:firstRow="0" w:lastRow="0" w:firstColumn="0" w:lastColumn="0" w:oddVBand="0" w:evenVBand="0" w:oddHBand="1" w:evenHBand="0" w:firstRowFirstColumn="0" w:firstRowLastColumn="0" w:lastRowFirstColumn="0" w:lastRowLastColumn="0"/>
          <w:trHeight w:val="311"/>
        </w:trPr>
        <w:tc>
          <w:tcPr>
            <w:tcW w:w="1845" w:type="dxa"/>
            <w:tcBorders>
              <w:top w:val="single" w:sz="4" w:space="0" w:color="auto"/>
              <w:left w:val="nil"/>
              <w:bottom w:val="nil"/>
              <w:right w:val="nil"/>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p>
        </w:tc>
        <w:tc>
          <w:tcPr>
            <w:tcW w:w="1524" w:type="dxa"/>
            <w:gridSpan w:val="2"/>
            <w:tcBorders>
              <w:top w:val="single" w:sz="4" w:space="0" w:color="auto"/>
              <w:left w:val="nil"/>
              <w:bottom w:val="nil"/>
              <w:right w:val="nil"/>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p>
        </w:tc>
        <w:tc>
          <w:tcPr>
            <w:tcW w:w="1132" w:type="dxa"/>
            <w:gridSpan w:val="3"/>
            <w:tcBorders>
              <w:top w:val="single" w:sz="4" w:space="0" w:color="auto"/>
              <w:left w:val="nil"/>
              <w:bottom w:val="nil"/>
              <w:right w:val="nil"/>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p>
        </w:tc>
        <w:tc>
          <w:tcPr>
            <w:tcW w:w="1189" w:type="dxa"/>
            <w:gridSpan w:val="2"/>
            <w:tcBorders>
              <w:top w:val="single" w:sz="4" w:space="0" w:color="auto"/>
              <w:left w:val="nil"/>
              <w:bottom w:val="nil"/>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sz w:val="20"/>
                <w:szCs w:val="20"/>
              </w:rPr>
            </w:pPr>
          </w:p>
        </w:tc>
        <w:tc>
          <w:tcPr>
            <w:tcW w:w="3439" w:type="dxa"/>
            <w:tcBorders>
              <w:top w:val="single" w:sz="4" w:space="0" w:color="auto"/>
              <w:left w:val="single" w:sz="4" w:space="0" w:color="auto"/>
              <w:bottom w:val="single" w:sz="4" w:space="0" w:color="auto"/>
              <w:right w:val="single" w:sz="4" w:space="0" w:color="auto"/>
            </w:tcBorders>
            <w:shd w:val="clear" w:color="auto" w:fill="auto"/>
          </w:tcPr>
          <w:p w:rsidR="00E52449" w:rsidRPr="006A74F8" w:rsidRDefault="00E52449" w:rsidP="00E52449">
            <w:pPr>
              <w:spacing w:after="240" w:line="300" w:lineRule="auto"/>
              <w:rPr>
                <w:rFonts w:asciiTheme="minorHAnsi" w:hAnsiTheme="minorHAnsi" w:cstheme="minorHAnsi"/>
                <w:b/>
                <w:sz w:val="20"/>
                <w:szCs w:val="20"/>
              </w:rPr>
            </w:pPr>
            <w:r w:rsidRPr="006A74F8">
              <w:rPr>
                <w:rFonts w:asciiTheme="minorHAnsi" w:hAnsiTheme="minorHAnsi" w:cstheme="minorHAnsi"/>
                <w:b/>
                <w:sz w:val="20"/>
                <w:szCs w:val="20"/>
              </w:rPr>
              <w:t>122</w:t>
            </w:r>
            <w:r w:rsidR="0022596D" w:rsidRPr="006A74F8">
              <w:rPr>
                <w:rFonts w:asciiTheme="minorHAnsi" w:hAnsiTheme="minorHAnsi" w:cstheme="minorHAnsi"/>
                <w:b/>
                <w:sz w:val="20"/>
                <w:szCs w:val="20"/>
              </w:rPr>
              <w:t>,</w:t>
            </w:r>
            <w:r w:rsidRPr="006A74F8">
              <w:rPr>
                <w:rFonts w:asciiTheme="minorHAnsi" w:hAnsiTheme="minorHAnsi" w:cstheme="minorHAnsi"/>
                <w:b/>
                <w:sz w:val="20"/>
                <w:szCs w:val="20"/>
              </w:rPr>
              <w:t>535</w:t>
            </w:r>
          </w:p>
        </w:tc>
      </w:tr>
    </w:tbl>
    <w:p w:rsidR="00E52449" w:rsidRPr="006A74F8" w:rsidRDefault="00E52449" w:rsidP="00E52449">
      <w:pPr>
        <w:keepNext/>
        <w:spacing w:after="200" w:line="240" w:lineRule="auto"/>
        <w:rPr>
          <w:rFonts w:ascii="Arial" w:eastAsia="Calibri" w:hAnsi="Arial" w:cs="Times New Roman"/>
          <w:i/>
          <w:iCs/>
          <w:color w:val="2C2C2D"/>
          <w:sz w:val="2"/>
          <w:szCs w:val="2"/>
        </w:rPr>
      </w:pPr>
    </w:p>
    <w:p w:rsidR="00E52449" w:rsidRPr="006A74F8" w:rsidRDefault="00E52449" w:rsidP="000272C7">
      <w:pPr>
        <w:pStyle w:val="Heading3"/>
        <w:tabs>
          <w:tab w:val="left" w:pos="993"/>
        </w:tabs>
      </w:pPr>
      <w:bookmarkStart w:id="2639" w:name="_Toc479769496"/>
      <w:bookmarkStart w:id="2640" w:name="_Toc493510757"/>
      <w:bookmarkStart w:id="2641" w:name="_Toc500929374"/>
      <w:bookmarkStart w:id="2642" w:name="_Toc501463834"/>
      <w:bookmarkStart w:id="2643" w:name="_Toc503535548"/>
      <w:bookmarkStart w:id="2644" w:name="_Toc503539726"/>
      <w:bookmarkStart w:id="2645" w:name="_Toc503882260"/>
      <w:bookmarkStart w:id="2646" w:name="_Toc518032774"/>
      <w:r w:rsidRPr="006A74F8">
        <w:t xml:space="preserve">Time </w:t>
      </w:r>
      <w:r w:rsidR="00E67D08" w:rsidRPr="006A74F8">
        <w:t>i</w:t>
      </w:r>
      <w:r w:rsidRPr="006A74F8">
        <w:t>mpact</w:t>
      </w:r>
      <w:bookmarkEnd w:id="2639"/>
      <w:bookmarkEnd w:id="2640"/>
      <w:bookmarkEnd w:id="2641"/>
      <w:bookmarkEnd w:id="2642"/>
      <w:bookmarkEnd w:id="2643"/>
      <w:bookmarkEnd w:id="2644"/>
      <w:bookmarkEnd w:id="2645"/>
      <w:bookmarkEnd w:id="2646"/>
    </w:p>
    <w:p w:rsidR="00E52449" w:rsidRPr="006A74F8" w:rsidRDefault="00E52449" w:rsidP="00162DEE">
      <w:r w:rsidRPr="006A74F8">
        <w:t>For the purposes of this RIS the time impact per week can be expressed as follows:</w:t>
      </w:r>
    </w:p>
    <w:p w:rsidR="00876B7F" w:rsidRPr="006A74F8" w:rsidRDefault="00876B7F" w:rsidP="00162DEE"/>
    <w:p w:rsidR="00835356" w:rsidRPr="006A74F8" w:rsidRDefault="00835356" w:rsidP="00835356">
      <w:pPr>
        <w:pStyle w:val="Caption"/>
        <w:keepNext/>
      </w:pPr>
      <w:r w:rsidRPr="006A74F8">
        <w:t>Figure</w:t>
      </w:r>
      <w:r w:rsidR="00687E82" w:rsidRPr="006A74F8">
        <w:t xml:space="preserve"> </w:t>
      </w:r>
      <w:r w:rsidRPr="006A74F8">
        <w:t>A</w:t>
      </w:r>
      <w:r w:rsidR="00D57406" w:rsidRPr="006A74F8">
        <w:t>9</w:t>
      </w:r>
      <w:r w:rsidRPr="006A74F8">
        <w:t xml:space="preserve">- </w:t>
      </w:r>
      <w:r w:rsidR="00C90261" w:rsidRPr="006A74F8">
        <w:rPr>
          <w:noProof/>
        </w:rPr>
        <w:fldChar w:fldCharType="begin"/>
      </w:r>
      <w:r w:rsidR="00C90261" w:rsidRPr="006A74F8">
        <w:rPr>
          <w:noProof/>
        </w:rPr>
        <w:instrText xml:space="preserve"> SEQ FigureA10- \* ARABIC </w:instrText>
      </w:r>
      <w:r w:rsidR="00C90261" w:rsidRPr="006A74F8">
        <w:rPr>
          <w:noProof/>
        </w:rPr>
        <w:fldChar w:fldCharType="separate"/>
      </w:r>
      <w:r w:rsidR="0033017F">
        <w:rPr>
          <w:noProof/>
        </w:rPr>
        <w:t>2</w:t>
      </w:r>
      <w:r w:rsidR="00C90261" w:rsidRPr="006A74F8">
        <w:rPr>
          <w:noProof/>
        </w:rPr>
        <w:fldChar w:fldCharType="end"/>
      </w:r>
      <w:r w:rsidRPr="006A74F8">
        <w:t>: Time impact</w:t>
      </w:r>
    </w:p>
    <w:p w:rsidR="00E52449" w:rsidRPr="006A74F8" w:rsidRDefault="00E52449" w:rsidP="00E52449">
      <w:pPr>
        <w:spacing w:after="240" w:line="300" w:lineRule="auto"/>
        <w:rPr>
          <w:rFonts w:ascii="Arial" w:eastAsia="Calibri" w:hAnsi="Arial" w:cs="Calibri"/>
          <w:b/>
          <w:sz w:val="20"/>
        </w:rPr>
      </w:pPr>
      <w:r w:rsidRPr="006A74F8">
        <w:rPr>
          <w:rFonts w:ascii="Arial" w:eastAsia="Calibri" w:hAnsi="Arial" w:cs="Times New Roman"/>
          <w:noProof/>
          <w:lang w:eastAsia="en-AU"/>
        </w:rPr>
        <w:drawing>
          <wp:inline distT="0" distB="0" distL="0" distR="0" wp14:anchorId="3D15E37F" wp14:editId="0BC556A8">
            <wp:extent cx="2495550" cy="1352550"/>
            <wp:effectExtent l="0" t="0" r="0" b="0"/>
            <wp:docPr id="9" name="Picture 9" descr="The two key variables of time impact is the number of products per shopping week and the time to find the measurement mark on the package." title="Figure 9: The key variables in evaluating the tim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95550" cy="1352550"/>
                    </a:xfrm>
                    <a:prstGeom prst="rect">
                      <a:avLst/>
                    </a:prstGeom>
                  </pic:spPr>
                </pic:pic>
              </a:graphicData>
            </a:graphic>
          </wp:inline>
        </w:drawing>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ime impact table"/>
        <w:tblDescription w:val="Additional time and number of impacted products purchased per week. "/>
      </w:tblPr>
      <w:tblGrid>
        <w:gridCol w:w="1701"/>
        <w:gridCol w:w="284"/>
        <w:gridCol w:w="7041"/>
      </w:tblGrid>
      <w:tr w:rsidR="00E52449" w:rsidRPr="006A74F8" w:rsidTr="00E52449">
        <w:trPr>
          <w:tblHeader/>
          <w:jc w:val="center"/>
        </w:trPr>
        <w:tc>
          <w:tcPr>
            <w:tcW w:w="1701" w:type="dxa"/>
          </w:tcPr>
          <w:p w:rsidR="00E52449" w:rsidRPr="006A74F8" w:rsidRDefault="00E52449" w:rsidP="00162DEE">
            <w:pPr>
              <w:rPr>
                <w:b/>
              </w:rPr>
            </w:pPr>
            <w:r w:rsidRPr="006A74F8">
              <w:rPr>
                <w:b/>
              </w:rPr>
              <w:lastRenderedPageBreak/>
              <w:t>Time impact</w:t>
            </w:r>
          </w:p>
        </w:tc>
        <w:tc>
          <w:tcPr>
            <w:tcW w:w="284" w:type="dxa"/>
            <w:vAlign w:val="center"/>
          </w:tcPr>
          <w:p w:rsidR="00E52449" w:rsidRPr="006A74F8" w:rsidRDefault="00E52449" w:rsidP="00162DEE">
            <w:pPr>
              <w:rPr>
                <w:b/>
              </w:rPr>
            </w:pPr>
            <w:r w:rsidRPr="006A74F8">
              <w:rPr>
                <w:b/>
              </w:rPr>
              <w:t>=</w:t>
            </w:r>
          </w:p>
        </w:tc>
        <w:tc>
          <w:tcPr>
            <w:tcW w:w="7041" w:type="dxa"/>
          </w:tcPr>
          <w:p w:rsidR="00E52449" w:rsidRPr="006A74F8" w:rsidRDefault="00E52449" w:rsidP="00162DEE">
            <w:pPr>
              <w:rPr>
                <w:b/>
              </w:rPr>
            </w:pPr>
            <w:r w:rsidRPr="006A74F8">
              <w:rPr>
                <w:b/>
              </w:rPr>
              <w:t xml:space="preserve">(Additional Time)(No. of impacted products purchased per week) </w:t>
            </w:r>
            <w:r w:rsidRPr="006A74F8" w:rsidDel="0054101B">
              <w:rPr>
                <w:b/>
              </w:rPr>
              <w:t xml:space="preserve"> </w:t>
            </w:r>
          </w:p>
        </w:tc>
      </w:tr>
    </w:tbl>
    <w:p w:rsidR="00ED0DB1" w:rsidRPr="006A74F8" w:rsidRDefault="00ED0DB1" w:rsidP="003C4F98">
      <w:pPr>
        <w:rPr>
          <w:rFonts w:cs="Calibri"/>
          <w:sz w:val="4"/>
          <w:szCs w:val="4"/>
          <w:lang w:eastAsia="en-AU"/>
        </w:rPr>
      </w:pPr>
    </w:p>
    <w:p w:rsidR="00E52449" w:rsidRPr="006A74F8" w:rsidRDefault="00E52449" w:rsidP="003C4F98">
      <w:pPr>
        <w:rPr>
          <w:rFonts w:ascii="Arial" w:eastAsia="Calibri" w:hAnsi="Arial" w:cs="Times New Roman"/>
          <w:b/>
        </w:rPr>
      </w:pPr>
      <w:r w:rsidRPr="006A74F8">
        <w:rPr>
          <w:rFonts w:cs="Calibri"/>
          <w:lang w:eastAsia="en-AU"/>
        </w:rPr>
        <w:t xml:space="preserve">The total time impact is converted to a consumer cost per year </w:t>
      </w:r>
      <w:r w:rsidRPr="006A74F8">
        <w:rPr>
          <w:rFonts w:cs="Calibri"/>
          <w:lang w:val="en"/>
        </w:rPr>
        <w:t>using a consumer’s time value of $32/hr.</w:t>
      </w:r>
      <w:r w:rsidRPr="006A74F8">
        <w:rPr>
          <w:rFonts w:cs="Calibri"/>
          <w:vertAlign w:val="superscript"/>
          <w:lang w:val="en"/>
        </w:rPr>
        <w:footnoteReference w:id="147"/>
      </w:r>
      <w:r w:rsidRPr="006A74F8">
        <w:rPr>
          <w:rFonts w:cs="Calibri"/>
          <w:lang w:eastAsia="en-AU"/>
        </w:rPr>
        <w:t xml:space="preserve"> </w:t>
      </w:r>
    </w:p>
    <w:p w:rsidR="00E52449" w:rsidRPr="006A74F8" w:rsidRDefault="00E52449" w:rsidP="000272C7">
      <w:pPr>
        <w:pStyle w:val="Heading4"/>
        <w:tabs>
          <w:tab w:val="left" w:pos="1134"/>
        </w:tabs>
        <w:rPr>
          <w:rFonts w:eastAsia="Calibri"/>
        </w:rPr>
      </w:pPr>
      <w:r w:rsidRPr="006A74F8">
        <w:rPr>
          <w:rFonts w:eastAsia="Calibri"/>
        </w:rPr>
        <w:t>Additional time to find measurement mark</w:t>
      </w:r>
    </w:p>
    <w:p w:rsidR="00E52449" w:rsidRPr="006A74F8" w:rsidRDefault="00E52449" w:rsidP="00162DEE">
      <w:pPr>
        <w:rPr>
          <w:lang w:val="en"/>
        </w:rPr>
      </w:pPr>
      <w:r w:rsidRPr="006A74F8">
        <w:rPr>
          <w:lang w:val="en"/>
        </w:rPr>
        <w:t xml:space="preserve">The time to find the measurement mark is estimated at an average of 20 seconds. This is estimated as the time it takes to pick up a product and search for information on the label. </w:t>
      </w:r>
    </w:p>
    <w:p w:rsidR="00E52449" w:rsidRPr="006A74F8" w:rsidRDefault="00E52449" w:rsidP="000272C7">
      <w:pPr>
        <w:pStyle w:val="Heading4"/>
        <w:tabs>
          <w:tab w:val="left" w:pos="1134"/>
        </w:tabs>
        <w:rPr>
          <w:rFonts w:eastAsia="Calibri"/>
        </w:rPr>
      </w:pPr>
      <w:r w:rsidRPr="006A74F8">
        <w:rPr>
          <w:rFonts w:eastAsia="Calibri"/>
        </w:rPr>
        <w:t xml:space="preserve">Number of impacted products </w:t>
      </w:r>
      <w:r w:rsidRPr="006A74F8">
        <w:t>purchased</w:t>
      </w:r>
      <w:r w:rsidRPr="006A74F8">
        <w:rPr>
          <w:rFonts w:eastAsia="Calibri"/>
        </w:rPr>
        <w:t xml:space="preserve"> per week</w:t>
      </w:r>
    </w:p>
    <w:p w:rsidR="00E52449" w:rsidRPr="006A74F8" w:rsidRDefault="00E52449" w:rsidP="00162DEE">
      <w:r w:rsidRPr="006A74F8">
        <w:t>The number of products purchased in a week is estimated to be 51 products based on ABS Household Expenditure data</w:t>
      </w:r>
      <w:r w:rsidRPr="006A74F8">
        <w:rPr>
          <w:vertAlign w:val="superscript"/>
        </w:rPr>
        <w:footnoteReference w:id="148"/>
      </w:r>
      <w:r w:rsidRPr="006A74F8">
        <w:t xml:space="preserve"> and CHOICE shopping basket data.</w:t>
      </w:r>
      <w:r w:rsidRPr="006A74F8">
        <w:rPr>
          <w:vertAlign w:val="superscript"/>
        </w:rPr>
        <w:footnoteReference w:id="149"/>
      </w:r>
      <w:r w:rsidRPr="006A74F8">
        <w:t xml:space="preserve"> The figure was obtained by summing the average weekly household spend ($263)</w:t>
      </w:r>
      <w:r w:rsidRPr="006A74F8">
        <w:rPr>
          <w:vertAlign w:val="superscript"/>
        </w:rPr>
        <w:footnoteReference w:id="150"/>
      </w:r>
      <w:r w:rsidRPr="006A74F8">
        <w:t xml:space="preserve"> and then dividing it by the average product price of $5.15</w:t>
      </w:r>
      <w:r w:rsidRPr="006A74F8">
        <w:rPr>
          <w:vertAlign w:val="superscript"/>
        </w:rPr>
        <w:footnoteReference w:id="151"/>
      </w:r>
      <w:r w:rsidRPr="006A74F8">
        <w:t xml:space="preserve"> = 51 products. </w:t>
      </w:r>
    </w:p>
    <w:p w:rsidR="00E52449" w:rsidRPr="006A74F8" w:rsidRDefault="00E52449" w:rsidP="00162DEE">
      <w:pPr>
        <w:rPr>
          <w:lang w:val="en"/>
        </w:rPr>
      </w:pPr>
      <w:r w:rsidRPr="006A74F8">
        <w:t>The three options analysed are differentiated by the number of weekly products which could be impacted and cause a time cost to the consumer.</w:t>
      </w:r>
      <w:r w:rsidRPr="006A74F8">
        <w:rPr>
          <w:lang w:val="en"/>
        </w:rPr>
        <w:t xml:space="preserve"> ABS data is used to evaluate the different options, detailed in </w:t>
      </w:r>
      <w:hyperlink w:anchor="_Option_differentiation_estimates" w:history="1">
        <w:r w:rsidR="003A68B5" w:rsidRPr="006A74F8">
          <w:rPr>
            <w:rStyle w:val="Hyperlink"/>
          </w:rPr>
          <w:t>sectio</w:t>
        </w:r>
        <w:r w:rsidR="003A68B5" w:rsidRPr="006A74F8">
          <w:rPr>
            <w:rStyle w:val="Hyperlink"/>
            <w:lang w:val="en"/>
          </w:rPr>
          <w:t>n 18.4.2</w:t>
        </w:r>
      </w:hyperlink>
      <w:r w:rsidR="00DC2C74" w:rsidRPr="006A74F8">
        <w:rPr>
          <w:lang w:val="en"/>
        </w:rPr>
        <w:t xml:space="preserve"> </w:t>
      </w:r>
      <w:r w:rsidR="00D57406" w:rsidRPr="006A74F8">
        <w:rPr>
          <w:lang w:val="en"/>
        </w:rPr>
        <w:t>(</w:t>
      </w:r>
      <w:r w:rsidR="00DC2C74" w:rsidRPr="006A74F8">
        <w:rPr>
          <w:lang w:val="en"/>
        </w:rPr>
        <w:fldChar w:fldCharType="begin"/>
      </w:r>
      <w:r w:rsidR="00DC2C74" w:rsidRPr="006A74F8">
        <w:rPr>
          <w:lang w:val="en"/>
        </w:rPr>
        <w:instrText xml:space="preserve"> REF _Ref67653363 \h </w:instrText>
      </w:r>
      <w:r w:rsidR="00D569B9" w:rsidRPr="006A74F8">
        <w:rPr>
          <w:lang w:val="en"/>
        </w:rPr>
        <w:instrText xml:space="preserve"> \* MERGEFORMAT </w:instrText>
      </w:r>
      <w:r w:rsidR="00DC2C74" w:rsidRPr="006A74F8">
        <w:rPr>
          <w:lang w:val="en"/>
        </w:rPr>
      </w:r>
      <w:r w:rsidR="00DC2C74" w:rsidRPr="006A74F8">
        <w:rPr>
          <w:lang w:val="en"/>
        </w:rPr>
        <w:fldChar w:fldCharType="separate"/>
      </w:r>
      <w:r w:rsidR="0033017F" w:rsidRPr="006A74F8">
        <w:rPr>
          <w:rFonts w:eastAsia="Times New Roman"/>
        </w:rPr>
        <w:t>Option differentiation estimates</w:t>
      </w:r>
      <w:r w:rsidR="00DC2C74" w:rsidRPr="006A74F8">
        <w:rPr>
          <w:lang w:val="en"/>
        </w:rPr>
        <w:fldChar w:fldCharType="end"/>
      </w:r>
      <w:r w:rsidR="00D57406" w:rsidRPr="006A74F8">
        <w:rPr>
          <w:lang w:val="en"/>
        </w:rPr>
        <w:t>)</w:t>
      </w:r>
      <w:r w:rsidRPr="006A74F8">
        <w:rPr>
          <w:lang w:val="en"/>
        </w:rPr>
        <w:t xml:space="preserve">. An estimate of $263.00 is used for the overall expenses related to FMCGs. </w:t>
      </w:r>
    </w:p>
    <w:p w:rsidR="00E52449" w:rsidRPr="006A74F8" w:rsidRDefault="00E52449" w:rsidP="00162DEE">
      <w:pPr>
        <w:rPr>
          <w:lang w:val="en"/>
        </w:rPr>
      </w:pPr>
      <w:r w:rsidRPr="006A74F8">
        <w:rPr>
          <w:lang w:val="en"/>
        </w:rPr>
        <w:t xml:space="preserve">For </w:t>
      </w:r>
      <w:r w:rsidRPr="006A74F8">
        <w:rPr>
          <w:b/>
          <w:lang w:val="en"/>
        </w:rPr>
        <w:t>option 1</w:t>
      </w:r>
      <w:r w:rsidRPr="006A74F8">
        <w:rPr>
          <w:lang w:val="en"/>
        </w:rPr>
        <w:t xml:space="preserve">, the total expenditure for cosmetics; and medicines and pharmaceuticals (excluding prescription medicine) is calculated at $26.98 or 10.3 per cent of the weekly shop total. This suggests that around </w:t>
      </w:r>
      <w:r w:rsidRPr="006A74F8">
        <w:rPr>
          <w:b/>
          <w:lang w:val="en"/>
        </w:rPr>
        <w:t>6 items per weekly shop</w:t>
      </w:r>
      <w:r w:rsidRPr="006A74F8">
        <w:rPr>
          <w:lang w:val="en"/>
        </w:rPr>
        <w:t xml:space="preserve"> would be toiletries and health products.</w:t>
      </w:r>
    </w:p>
    <w:p w:rsidR="00E52449" w:rsidRPr="006A74F8" w:rsidRDefault="00E52449" w:rsidP="00162DEE">
      <w:pPr>
        <w:rPr>
          <w:lang w:val="en"/>
        </w:rPr>
      </w:pPr>
      <w:r w:rsidRPr="006A74F8">
        <w:rPr>
          <w:lang w:val="en"/>
        </w:rPr>
        <w:t xml:space="preserve">For </w:t>
      </w:r>
      <w:r w:rsidRPr="006A74F8">
        <w:rPr>
          <w:b/>
          <w:lang w:val="en"/>
        </w:rPr>
        <w:t>options 2 and 3</w:t>
      </w:r>
      <w:r w:rsidRPr="006A74F8">
        <w:rPr>
          <w:lang w:val="en"/>
        </w:rPr>
        <w:t>, some products were excluded similar to the previous assessment (meat products, fresh fruit and vegetables</w:t>
      </w:r>
      <w:r w:rsidR="00D57406" w:rsidRPr="006A74F8">
        <w:rPr>
          <w:lang w:val="en"/>
        </w:rPr>
        <w:t xml:space="preserve"> and</w:t>
      </w:r>
      <w:r w:rsidRPr="006A74F8">
        <w:rPr>
          <w:lang w:val="en"/>
        </w:rPr>
        <w:t xml:space="preserve"> wine) although within these categories certain products were not excluded. The total expenditure for options 2 and 3 is calculated at $200.68 or 76.3 per cent. This results in </w:t>
      </w:r>
      <w:r w:rsidRPr="006A74F8">
        <w:rPr>
          <w:b/>
          <w:lang w:val="en"/>
        </w:rPr>
        <w:t>40 products per week per household</w:t>
      </w:r>
      <w:r w:rsidRPr="006A74F8">
        <w:rPr>
          <w:lang w:val="en"/>
        </w:rPr>
        <w:t xml:space="preserve">. </w:t>
      </w:r>
    </w:p>
    <w:p w:rsidR="00E52449" w:rsidRPr="006A74F8" w:rsidRDefault="00E52449" w:rsidP="00162DEE">
      <w:pPr>
        <w:rPr>
          <w:lang w:val="en"/>
        </w:rPr>
      </w:pPr>
      <w:r w:rsidRPr="006A74F8">
        <w:rPr>
          <w:lang w:val="en"/>
        </w:rPr>
        <w:t>This data is corroborated by IBISWorld data</w:t>
      </w:r>
      <w:r w:rsidRPr="006A74F8">
        <w:rPr>
          <w:vertAlign w:val="superscript"/>
          <w:lang w:val="en"/>
        </w:rPr>
        <w:footnoteReference w:id="152"/>
      </w:r>
      <w:r w:rsidRPr="006A74F8">
        <w:rPr>
          <w:lang w:val="en"/>
        </w:rPr>
        <w:t xml:space="preserve"> which indicates cosmetics (referred to as toiletries and health products) make up approximately 10.7 per cent of the grocery market (</w:t>
      </w:r>
      <w:r w:rsidRPr="00B70877">
        <w:rPr>
          <w:lang w:val="en"/>
        </w:rPr>
        <w:t xml:space="preserve">Figure </w:t>
      </w:r>
      <w:r w:rsidR="00CB4D7E" w:rsidRPr="00B70877">
        <w:rPr>
          <w:lang w:val="en"/>
        </w:rPr>
        <w:t>A</w:t>
      </w:r>
      <w:r w:rsidR="00D57406" w:rsidRPr="00B70877">
        <w:rPr>
          <w:lang w:val="en"/>
        </w:rPr>
        <w:t>9</w:t>
      </w:r>
      <w:r w:rsidR="00687E82" w:rsidRPr="00B70877">
        <w:rPr>
          <w:lang w:val="en"/>
        </w:rPr>
        <w:t xml:space="preserve"> -3</w:t>
      </w:r>
      <w:r w:rsidRPr="006A74F8">
        <w:rPr>
          <w:lang w:val="en"/>
        </w:rPr>
        <w:t xml:space="preserve">). For </w:t>
      </w:r>
      <w:r w:rsidR="009F0892" w:rsidRPr="006A74F8">
        <w:rPr>
          <w:lang w:val="en"/>
        </w:rPr>
        <w:t>o</w:t>
      </w:r>
      <w:r w:rsidRPr="006A74F8">
        <w:rPr>
          <w:lang w:val="en"/>
        </w:rPr>
        <w:t>ptions 2 and 3, IBISWorld data</w:t>
      </w:r>
      <w:r w:rsidRPr="006A74F8">
        <w:rPr>
          <w:vertAlign w:val="superscript"/>
          <w:lang w:val="en"/>
        </w:rPr>
        <w:footnoteReference w:id="153"/>
      </w:r>
      <w:r w:rsidRPr="006A74F8">
        <w:rPr>
          <w:lang w:val="en"/>
        </w:rPr>
        <w:t xml:space="preserve"> indicates that roughly 25 per cent of products would either not have or not move the label (fresh fruit and vegetables, meat products, bread and bakery products). </w:t>
      </w:r>
    </w:p>
    <w:p w:rsidR="00E52449" w:rsidRPr="006A74F8" w:rsidRDefault="00835356" w:rsidP="001E1065">
      <w:pPr>
        <w:jc w:val="center"/>
        <w:rPr>
          <w:lang w:val="en"/>
        </w:rPr>
      </w:pPr>
      <w:bookmarkStart w:id="2647" w:name="_Ref503527487"/>
      <w:r w:rsidRPr="006A74F8">
        <w:rPr>
          <w:noProof/>
          <w:lang w:eastAsia="en-AU"/>
        </w:rPr>
        <w:lastRenderedPageBreak/>
        <mc:AlternateContent>
          <mc:Choice Requires="wps">
            <w:drawing>
              <wp:inline distT="0" distB="0" distL="0" distR="0" wp14:anchorId="6FBA55EF" wp14:editId="5A7FAF2E">
                <wp:extent cx="4570730" cy="457200"/>
                <wp:effectExtent l="0" t="0" r="1270" b="0"/>
                <wp:docPr id="1881" name="Text Box 1881"/>
                <wp:cNvGraphicFramePr/>
                <a:graphic xmlns:a="http://schemas.openxmlformats.org/drawingml/2006/main">
                  <a:graphicData uri="http://schemas.microsoft.com/office/word/2010/wordprocessingShape">
                    <wps:wsp>
                      <wps:cNvSpPr txBox="1"/>
                      <wps:spPr>
                        <a:xfrm>
                          <a:off x="0" y="0"/>
                          <a:ext cx="4570730" cy="457200"/>
                        </a:xfrm>
                        <a:prstGeom prst="rect">
                          <a:avLst/>
                        </a:prstGeom>
                        <a:solidFill>
                          <a:prstClr val="white"/>
                        </a:solidFill>
                        <a:ln>
                          <a:noFill/>
                        </a:ln>
                        <a:effectLst/>
                      </wps:spPr>
                      <wps:txbx>
                        <w:txbxContent>
                          <w:p w:rsidR="006A65A2" w:rsidRPr="005844DC" w:rsidRDefault="006A65A2" w:rsidP="00835356">
                            <w:pPr>
                              <w:pStyle w:val="Caption"/>
                            </w:pPr>
                            <w:r>
                              <w:t xml:space="preserve">Figure A9- </w:t>
                            </w:r>
                            <w:r>
                              <w:rPr>
                                <w:noProof/>
                              </w:rPr>
                              <w:fldChar w:fldCharType="begin"/>
                            </w:r>
                            <w:r>
                              <w:rPr>
                                <w:noProof/>
                              </w:rPr>
                              <w:instrText xml:space="preserve"> SEQ FigureA10- \* ARABIC </w:instrText>
                            </w:r>
                            <w:r>
                              <w:rPr>
                                <w:noProof/>
                              </w:rPr>
                              <w:fldChar w:fldCharType="separate"/>
                            </w:r>
                            <w:r w:rsidR="0033017F">
                              <w:rPr>
                                <w:noProof/>
                              </w:rPr>
                              <w:t>3</w:t>
                            </w:r>
                            <w:r>
                              <w:rPr>
                                <w:noProof/>
                              </w:rPr>
                              <w:fldChar w:fldCharType="end"/>
                            </w:r>
                            <w:r w:rsidRPr="00B42E08">
                              <w:t>: Product and services segmentation for Australian Supermarket and Grocery Stores 2017-18</w:t>
                            </w:r>
                            <w:r>
                              <w:t xml:space="preserve"> (Total $101.1bn)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FBA55EF" id="_x0000_t202" coordsize="21600,21600" o:spt="202" path="m,l,21600r21600,l21600,xe">
                <v:stroke joinstyle="miter"/>
                <v:path gradientshapeok="t" o:connecttype="rect"/>
              </v:shapetype>
              <v:shape id="Text Box 1881" o:spid="_x0000_s1026" type="#_x0000_t202" style="width:359.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" stroked="f">
                <v:textbox inset="0,0,0,0">
                  <w:txbxContent>
                    <w:p w:rsidR="006A65A2" w:rsidRPr="005844DC" w:rsidRDefault="006A65A2" w:rsidP="00835356">
                      <w:pPr>
                        <w:pStyle w:val="Caption"/>
                      </w:pPr>
                      <w:r>
                        <w:t xml:space="preserve">Figure A9- </w:t>
                      </w:r>
                      <w:r>
                        <w:rPr>
                          <w:noProof/>
                        </w:rPr>
                        <w:fldChar w:fldCharType="begin"/>
                      </w:r>
                      <w:r>
                        <w:rPr>
                          <w:noProof/>
                        </w:rPr>
                        <w:instrText xml:space="preserve"> SEQ FigureA10- \* ARABIC </w:instrText>
                      </w:r>
                      <w:r>
                        <w:rPr>
                          <w:noProof/>
                        </w:rPr>
                        <w:fldChar w:fldCharType="separate"/>
                      </w:r>
                      <w:r w:rsidR="0033017F">
                        <w:rPr>
                          <w:noProof/>
                        </w:rPr>
                        <w:t>3</w:t>
                      </w:r>
                      <w:r>
                        <w:rPr>
                          <w:noProof/>
                        </w:rPr>
                        <w:fldChar w:fldCharType="end"/>
                      </w:r>
                      <w:r w:rsidRPr="00B42E08">
                        <w:t>: Product and services segmentation for Australian Supermarket and Grocery Stores 2017-18</w:t>
                      </w:r>
                      <w:r>
                        <w:t xml:space="preserve"> (Total $101.1bn)</w:t>
                      </w:r>
                    </w:p>
                  </w:txbxContent>
                </v:textbox>
                <w10:anchorlock/>
              </v:shape>
            </w:pict>
          </mc:Fallback>
        </mc:AlternateContent>
      </w:r>
      <w:bookmarkEnd w:id="2647"/>
      <w:r w:rsidR="001E1065" w:rsidRPr="006A74F8">
        <w:rPr>
          <w:noProof/>
          <w:lang w:eastAsia="en-AU"/>
        </w:rPr>
        <w:drawing>
          <wp:inline distT="0" distB="0" distL="0" distR="0" wp14:anchorId="0CE2C8C3" wp14:editId="37C697B3">
            <wp:extent cx="5166000" cy="2563200"/>
            <wp:effectExtent l="0" t="0" r="0" b="8890"/>
            <wp:docPr id="22" name="Picture 22" descr="A pie chart that show the distribution of products and services for Australian supermarket and grocery stores.&#10;" title="Figure A10- 3: Product and services segmentation for Australian Supermarket and Grocery Stores 2017-18 (Total $101.1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6000" cy="2563200"/>
                    </a:xfrm>
                    <a:prstGeom prst="rect">
                      <a:avLst/>
                    </a:prstGeom>
                    <a:noFill/>
                  </pic:spPr>
                </pic:pic>
              </a:graphicData>
            </a:graphic>
          </wp:inline>
        </w:drawing>
      </w:r>
    </w:p>
    <w:p w:rsidR="00E52449" w:rsidRPr="006A74F8" w:rsidRDefault="00E52449" w:rsidP="000272C7">
      <w:pPr>
        <w:pStyle w:val="Heading4"/>
        <w:ind w:left="1134" w:hanging="1134"/>
        <w:rPr>
          <w:rFonts w:eastAsia="Calibri"/>
          <w:lang w:val="en"/>
        </w:rPr>
      </w:pPr>
      <w:r w:rsidRPr="006A74F8">
        <w:rPr>
          <w:rFonts w:eastAsia="Calibri"/>
          <w:lang w:val="en"/>
        </w:rPr>
        <w:t xml:space="preserve">Estimate of the </w:t>
      </w:r>
      <w:r w:rsidRPr="006A74F8">
        <w:t>percentage</w:t>
      </w:r>
      <w:r w:rsidRPr="006A74F8">
        <w:rPr>
          <w:rFonts w:eastAsia="Calibri"/>
          <w:lang w:val="en"/>
        </w:rPr>
        <w:t xml:space="preserve"> of products which would have their label position changed</w:t>
      </w:r>
    </w:p>
    <w:p w:rsidR="00E52449" w:rsidRPr="006A74F8" w:rsidRDefault="00E52449" w:rsidP="00162DEE">
      <w:pPr>
        <w:rPr>
          <w:lang w:val="en"/>
        </w:rPr>
      </w:pPr>
      <w:r w:rsidRPr="006A74F8">
        <w:rPr>
          <w:lang w:val="en"/>
        </w:rPr>
        <w:t xml:space="preserve">To estimate the consumer cost it is important to consider the percentage of products in scope which would actually have their measurement mark moved from the front of the package. Sensitivity analysis of the four main variables expressed in </w:t>
      </w:r>
      <w:r w:rsidR="001D293F" w:rsidRPr="006A74F8">
        <w:rPr>
          <w:lang w:val="en"/>
        </w:rPr>
        <w:t xml:space="preserve">the </w:t>
      </w:r>
      <w:r w:rsidR="009A03D4" w:rsidRPr="006A74F8">
        <w:rPr>
          <w:lang w:val="en"/>
        </w:rPr>
        <w:t>sensitivity c</w:t>
      </w:r>
      <w:r w:rsidR="005C65DD" w:rsidRPr="006A74F8">
        <w:rPr>
          <w:lang w:val="en"/>
        </w:rPr>
        <w:t>alculation</w:t>
      </w:r>
      <w:r w:rsidR="009A03D4" w:rsidRPr="006A74F8">
        <w:rPr>
          <w:lang w:val="en"/>
        </w:rPr>
        <w:t xml:space="preserve"> (see </w:t>
      </w:r>
      <w:hyperlink w:anchor="_Sensitivity_Calculation" w:history="1">
        <w:r w:rsidR="009A03D4" w:rsidRPr="006A74F8">
          <w:rPr>
            <w:rStyle w:val="Hyperlink"/>
            <w:lang w:val="en"/>
          </w:rPr>
          <w:t xml:space="preserve">section </w:t>
        </w:r>
        <w:r w:rsidR="0081397E" w:rsidRPr="006A74F8">
          <w:rPr>
            <w:rStyle w:val="Hyperlink"/>
            <w:lang w:val="en"/>
          </w:rPr>
          <w:t>18</w:t>
        </w:r>
        <w:r w:rsidR="009A03D4" w:rsidRPr="006A74F8">
          <w:rPr>
            <w:rStyle w:val="Hyperlink"/>
            <w:lang w:val="en"/>
          </w:rPr>
          <w:t>.4</w:t>
        </w:r>
      </w:hyperlink>
      <w:r w:rsidR="009A03D4" w:rsidRPr="006A74F8">
        <w:rPr>
          <w:lang w:val="en"/>
        </w:rPr>
        <w:t>)</w:t>
      </w:r>
      <w:r w:rsidRPr="006A74F8">
        <w:rPr>
          <w:lang w:val="en"/>
        </w:rPr>
        <w:t xml:space="preserve"> found </w:t>
      </w:r>
      <w:r w:rsidR="009A03D4" w:rsidRPr="006A74F8">
        <w:rPr>
          <w:lang w:val="en"/>
        </w:rPr>
        <w:t>the percentage of products that change their label position</w:t>
      </w:r>
      <w:r w:rsidRPr="006A74F8">
        <w:rPr>
          <w:lang w:val="en"/>
        </w:rPr>
        <w:t xml:space="preserve"> is the most sensitive variable. Thus, a selection of the percentages of the product line which may have the measurement mark changed is presented in the calculations of the consumer cost below (1-10 per cent). </w:t>
      </w:r>
    </w:p>
    <w:p w:rsidR="00E52449" w:rsidRPr="006A74F8" w:rsidRDefault="00E52449" w:rsidP="000272C7">
      <w:pPr>
        <w:pStyle w:val="Heading3"/>
        <w:tabs>
          <w:tab w:val="left" w:pos="993"/>
        </w:tabs>
        <w:rPr>
          <w:rFonts w:eastAsia="Times New Roman"/>
          <w:lang w:val="en"/>
        </w:rPr>
      </w:pPr>
      <w:bookmarkStart w:id="2648" w:name="_Toc503535549"/>
      <w:bookmarkStart w:id="2649" w:name="_Toc503539727"/>
      <w:bookmarkStart w:id="2650" w:name="_Toc503882261"/>
      <w:bookmarkStart w:id="2651" w:name="_Toc518032775"/>
      <w:r w:rsidRPr="006A74F8">
        <w:rPr>
          <w:rFonts w:eastAsia="Times New Roman"/>
          <w:lang w:val="en"/>
        </w:rPr>
        <w:t xml:space="preserve">Consumer </w:t>
      </w:r>
      <w:r w:rsidR="00E67D08" w:rsidRPr="006A74F8">
        <w:rPr>
          <w:rFonts w:eastAsia="Times New Roman"/>
          <w:lang w:val="en"/>
        </w:rPr>
        <w:t>c</w:t>
      </w:r>
      <w:r w:rsidRPr="006A74F8">
        <w:rPr>
          <w:rFonts w:eastAsia="Times New Roman"/>
          <w:lang w:val="en"/>
        </w:rPr>
        <w:t>ost for each option</w:t>
      </w:r>
      <w:bookmarkEnd w:id="2648"/>
      <w:bookmarkEnd w:id="2649"/>
      <w:bookmarkEnd w:id="2650"/>
      <w:bookmarkEnd w:id="2651"/>
    </w:p>
    <w:p w:rsidR="00E52449" w:rsidRPr="006A74F8" w:rsidRDefault="00E52449" w:rsidP="00162DEE">
      <w:pPr>
        <w:rPr>
          <w:lang w:val="en"/>
        </w:rPr>
      </w:pPr>
      <w:r w:rsidRPr="006A74F8">
        <w:rPr>
          <w:lang w:val="en"/>
        </w:rPr>
        <w:t xml:space="preserve">The annual cost to consumers for each </w:t>
      </w:r>
      <w:r w:rsidR="002D1F6A" w:rsidRPr="006A74F8">
        <w:rPr>
          <w:lang w:val="en"/>
        </w:rPr>
        <w:t>option</w:t>
      </w:r>
      <w:r w:rsidRPr="006A74F8">
        <w:rPr>
          <w:lang w:val="en"/>
        </w:rPr>
        <w:t xml:space="preserve"> is shown in Table </w:t>
      </w:r>
      <w:r w:rsidR="00CB4D7E" w:rsidRPr="006A74F8">
        <w:rPr>
          <w:lang w:val="en"/>
        </w:rPr>
        <w:t>A</w:t>
      </w:r>
      <w:r w:rsidR="00D83BB1" w:rsidRPr="006A74F8">
        <w:rPr>
          <w:lang w:val="en"/>
        </w:rPr>
        <w:t>9</w:t>
      </w:r>
      <w:r w:rsidR="007B31F5" w:rsidRPr="006A74F8">
        <w:rPr>
          <w:lang w:val="en"/>
        </w:rPr>
        <w:t xml:space="preserve">- </w:t>
      </w:r>
      <w:r w:rsidR="003D26B4" w:rsidRPr="006A74F8">
        <w:rPr>
          <w:lang w:val="en"/>
        </w:rPr>
        <w:t>2</w:t>
      </w:r>
      <w:r w:rsidRPr="006A74F8">
        <w:rPr>
          <w:lang w:val="en"/>
        </w:rPr>
        <w:t xml:space="preserve"> below. There are a few conversions used in the calculations to convert the cost to a per year figure. For example, for options 2 and 3 if 2% of labels are changed:</w:t>
      </w:r>
    </w:p>
    <w:p w:rsidR="00E52449" w:rsidRPr="006A74F8" w:rsidRDefault="00E52449" w:rsidP="003D26B4">
      <w:pPr>
        <w:spacing w:after="120"/>
        <w:rPr>
          <w:b/>
          <w:lang w:val="en"/>
        </w:rPr>
      </w:pPr>
      <w:r w:rsidRPr="006A74F8">
        <w:rPr>
          <w:b/>
          <w:lang w:val="en"/>
        </w:rPr>
        <w:t>Time cost</w:t>
      </w:r>
    </w:p>
    <w:p w:rsidR="00162DEE" w:rsidRPr="006A74F8" w:rsidRDefault="00E52449" w:rsidP="006F75DE">
      <w:pPr>
        <w:pStyle w:val="ListParagraph"/>
        <w:numPr>
          <w:ilvl w:val="0"/>
          <w:numId w:val="64"/>
        </w:numPr>
        <w:rPr>
          <w:lang w:val="en"/>
        </w:rPr>
      </w:pPr>
      <w:r w:rsidRPr="006A74F8">
        <w:rPr>
          <w:lang w:val="en"/>
        </w:rPr>
        <w:t xml:space="preserve">40 products in a week is equivalent to </w:t>
      </w:r>
      <w:r w:rsidRPr="006A74F8">
        <w:rPr>
          <w:b/>
          <w:lang w:val="en"/>
        </w:rPr>
        <w:t>2</w:t>
      </w:r>
      <w:r w:rsidR="0022596D" w:rsidRPr="006A74F8">
        <w:rPr>
          <w:b/>
          <w:lang w:val="en"/>
        </w:rPr>
        <w:t>,</w:t>
      </w:r>
      <w:r w:rsidRPr="006A74F8">
        <w:rPr>
          <w:b/>
          <w:lang w:val="en"/>
        </w:rPr>
        <w:t>080</w:t>
      </w:r>
      <w:r w:rsidR="002C1DEF" w:rsidRPr="006A74F8">
        <w:rPr>
          <w:lang w:val="en"/>
        </w:rPr>
        <w:t xml:space="preserve"> products a year (40</w:t>
      </w:r>
      <w:r w:rsidR="001242A8" w:rsidRPr="006A74F8">
        <w:rPr>
          <w:lang w:val="en"/>
        </w:rPr>
        <w:t xml:space="preserve"> </w:t>
      </w:r>
      <w:r w:rsidR="002C1DEF" w:rsidRPr="006A74F8">
        <w:rPr>
          <w:rFonts w:cstheme="minorHAnsi"/>
        </w:rPr>
        <w:t>×</w:t>
      </w:r>
      <w:r w:rsidR="001242A8" w:rsidRPr="006A74F8">
        <w:rPr>
          <w:rFonts w:cstheme="minorHAnsi"/>
        </w:rPr>
        <w:t xml:space="preserve"> </w:t>
      </w:r>
      <w:r w:rsidR="002C1DEF" w:rsidRPr="006A74F8">
        <w:rPr>
          <w:lang w:val="en"/>
        </w:rPr>
        <w:t xml:space="preserve">52) </w:t>
      </w:r>
      <w:r w:rsidR="002C1DEF" w:rsidRPr="006A74F8">
        <w:rPr>
          <w:rFonts w:cstheme="minorHAnsi"/>
        </w:rPr>
        <w:t>×</w:t>
      </w:r>
    </w:p>
    <w:p w:rsidR="00162DEE" w:rsidRPr="006A74F8" w:rsidRDefault="00E52449">
      <w:pPr>
        <w:pStyle w:val="ListParagraph"/>
        <w:numPr>
          <w:ilvl w:val="0"/>
          <w:numId w:val="64"/>
        </w:numPr>
        <w:rPr>
          <w:lang w:val="en"/>
        </w:rPr>
      </w:pPr>
      <w:r w:rsidRPr="006A74F8">
        <w:rPr>
          <w:lang w:val="en"/>
        </w:rPr>
        <w:t xml:space="preserve">20 seconds time taken per product is equivalent to </w:t>
      </w:r>
      <w:r w:rsidRPr="006A74F8">
        <w:rPr>
          <w:b/>
          <w:lang w:val="en"/>
        </w:rPr>
        <w:t>0.0056</w:t>
      </w:r>
      <w:r w:rsidRPr="006A74F8">
        <w:rPr>
          <w:lang w:val="en"/>
        </w:rPr>
        <w:t xml:space="preserve"> hou</w:t>
      </w:r>
      <w:r w:rsidR="002C1DEF" w:rsidRPr="006A74F8">
        <w:rPr>
          <w:lang w:val="en"/>
        </w:rPr>
        <w:t>rs (20 seconds</w:t>
      </w:r>
      <w:r w:rsidR="001242A8" w:rsidRPr="006A74F8">
        <w:rPr>
          <w:lang w:val="en"/>
        </w:rPr>
        <w:t xml:space="preserve"> </w:t>
      </w:r>
      <w:r w:rsidR="002C1DEF" w:rsidRPr="006A74F8">
        <w:rPr>
          <w:rFonts w:cstheme="minorHAnsi"/>
        </w:rPr>
        <w:t>×</w:t>
      </w:r>
      <w:r w:rsidR="001242A8" w:rsidRPr="006A74F8">
        <w:rPr>
          <w:rFonts w:cstheme="minorHAnsi"/>
        </w:rPr>
        <w:t xml:space="preserve"> </w:t>
      </w:r>
      <w:r w:rsidR="002C1DEF" w:rsidRPr="006A74F8">
        <w:rPr>
          <w:lang w:val="en"/>
        </w:rPr>
        <w:t>1/3600 hours)</w:t>
      </w:r>
      <w:r w:rsidR="002C1DEF" w:rsidRPr="006A74F8">
        <w:rPr>
          <w:rFonts w:cstheme="minorHAnsi"/>
        </w:rPr>
        <w:t xml:space="preserve"> ×</w:t>
      </w:r>
    </w:p>
    <w:p w:rsidR="00E52449" w:rsidRPr="006A74F8" w:rsidRDefault="00E52449">
      <w:pPr>
        <w:pStyle w:val="ListParagraph"/>
        <w:numPr>
          <w:ilvl w:val="0"/>
          <w:numId w:val="64"/>
        </w:numPr>
        <w:rPr>
          <w:lang w:val="en"/>
        </w:rPr>
      </w:pPr>
      <w:r w:rsidRPr="006A74F8">
        <w:rPr>
          <w:lang w:val="en"/>
        </w:rPr>
        <w:t xml:space="preserve">consumers time value is </w:t>
      </w:r>
      <w:r w:rsidRPr="006A74F8">
        <w:rPr>
          <w:b/>
          <w:lang w:val="en"/>
        </w:rPr>
        <w:t>$32</w:t>
      </w:r>
      <w:r w:rsidRPr="006A74F8">
        <w:rPr>
          <w:lang w:val="en"/>
        </w:rPr>
        <w:t>/hr.</w:t>
      </w:r>
      <w:r w:rsidRPr="006A74F8">
        <w:rPr>
          <w:vertAlign w:val="superscript"/>
          <w:lang w:val="en"/>
        </w:rPr>
        <w:footnoteReference w:id="154"/>
      </w:r>
    </w:p>
    <w:p w:rsidR="00E52449" w:rsidRPr="006A74F8" w:rsidRDefault="00E52449" w:rsidP="00162DEE">
      <w:pPr>
        <w:rPr>
          <w:i/>
          <w:iCs/>
          <w:color w:val="2C2C2D"/>
          <w:szCs w:val="18"/>
        </w:rPr>
      </w:pPr>
      <w:r w:rsidRPr="006A74F8">
        <w:t>This value is then adjusted for the “number of interested household shoppers” (</w:t>
      </w:r>
      <w:r w:rsidRPr="006A74F8">
        <w:rPr>
          <w:b/>
        </w:rPr>
        <w:t>122</w:t>
      </w:r>
      <w:r w:rsidR="0022596D" w:rsidRPr="006A74F8">
        <w:rPr>
          <w:b/>
        </w:rPr>
        <w:t>,</w:t>
      </w:r>
      <w:r w:rsidRPr="006A74F8">
        <w:rPr>
          <w:b/>
        </w:rPr>
        <w:t>535</w:t>
      </w:r>
      <w:r w:rsidRPr="006A74F8">
        <w:t>) and the percentage of products relabelled.</w:t>
      </w:r>
      <w:r w:rsidRPr="006A74F8">
        <w:rPr>
          <w:vertAlign w:val="superscript"/>
          <w:lang w:val="en"/>
        </w:rPr>
        <w:footnoteReference w:id="155"/>
      </w:r>
    </w:p>
    <w:p w:rsidR="00B929C5" w:rsidRPr="006A74F8" w:rsidRDefault="00B929C5" w:rsidP="00835356">
      <w:pPr>
        <w:pStyle w:val="Caption"/>
        <w:keepNext/>
      </w:pPr>
    </w:p>
    <w:p w:rsidR="00835356" w:rsidRPr="006A74F8" w:rsidRDefault="00835356" w:rsidP="00835356">
      <w:pPr>
        <w:pStyle w:val="Caption"/>
        <w:keepNext/>
      </w:pPr>
      <w:r w:rsidRPr="006A74F8">
        <w:t>Table A</w:t>
      </w:r>
      <w:r w:rsidR="00F92A22" w:rsidRPr="006A74F8">
        <w:t>9</w:t>
      </w:r>
      <w:r w:rsidRPr="006A74F8">
        <w:t xml:space="preserve">- </w:t>
      </w:r>
      <w:r w:rsidR="00C90261" w:rsidRPr="006A74F8">
        <w:rPr>
          <w:noProof/>
        </w:rPr>
        <w:fldChar w:fldCharType="begin"/>
      </w:r>
      <w:r w:rsidR="00C90261" w:rsidRPr="006A74F8">
        <w:rPr>
          <w:noProof/>
        </w:rPr>
        <w:instrText xml:space="preserve"> SEQ Table_A10- \* ARABIC </w:instrText>
      </w:r>
      <w:r w:rsidR="00C90261" w:rsidRPr="006A74F8">
        <w:rPr>
          <w:noProof/>
        </w:rPr>
        <w:fldChar w:fldCharType="separate"/>
      </w:r>
      <w:r w:rsidR="0033017F">
        <w:rPr>
          <w:noProof/>
        </w:rPr>
        <w:t>2</w:t>
      </w:r>
      <w:r w:rsidR="00C90261" w:rsidRPr="006A74F8">
        <w:rPr>
          <w:noProof/>
        </w:rPr>
        <w:fldChar w:fldCharType="end"/>
      </w:r>
      <w:r w:rsidRPr="006A74F8">
        <w:t>: Annual cost for a range of products changed under the options</w:t>
      </w:r>
    </w:p>
    <w:tbl>
      <w:tblPr>
        <w:tblStyle w:val="GridTable5Dark-Accent1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Annual cost for a range of cosmetic products changed under Option 2"/>
        <w:tblDescription w:val="If 1 per cent of products were relabelled this equates an annual cost of $62 072.                                                                                                &#10;If 2 per cent of products were relabelled this equates an annual cost of $124 144.                                                                                                &#10;If 5 per cent of products were relabelled this equates an annual cost of $310 360.                                                                                        &#10;If 10 per cent of products were relabelled this equates an annual cost of $620 721."/>
      </w:tblPr>
      <w:tblGrid>
        <w:gridCol w:w="1838"/>
        <w:gridCol w:w="2410"/>
        <w:gridCol w:w="2203"/>
      </w:tblGrid>
      <w:tr w:rsidR="00E52449" w:rsidRPr="006A74F8" w:rsidTr="00320404">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shd w:val="clear" w:color="auto" w:fill="004059" w:themeFill="text2" w:themeFillShade="BF"/>
          </w:tcPr>
          <w:p w:rsidR="00E52449" w:rsidRPr="006A74F8" w:rsidRDefault="00E52449" w:rsidP="00E52449">
            <w:pPr>
              <w:spacing w:after="0" w:line="300" w:lineRule="auto"/>
              <w:rPr>
                <w:rFonts w:asciiTheme="minorHAnsi" w:hAnsiTheme="minorHAnsi" w:cstheme="minorHAnsi"/>
                <w:b/>
                <w:sz w:val="20"/>
              </w:rPr>
            </w:pPr>
            <w:r w:rsidRPr="006A74F8">
              <w:rPr>
                <w:rFonts w:asciiTheme="minorHAnsi" w:hAnsiTheme="minorHAnsi" w:cstheme="minorHAnsi"/>
                <w:b/>
                <w:sz w:val="20"/>
              </w:rPr>
              <w:t xml:space="preserve">% of </w:t>
            </w:r>
            <w:r w:rsidR="002D1F6A" w:rsidRPr="006A74F8">
              <w:rPr>
                <w:rFonts w:asciiTheme="minorHAnsi" w:hAnsiTheme="minorHAnsi" w:cstheme="minorHAnsi"/>
                <w:b/>
                <w:sz w:val="20"/>
              </w:rPr>
              <w:t>P</w:t>
            </w:r>
            <w:r w:rsidRPr="006A74F8">
              <w:rPr>
                <w:rFonts w:asciiTheme="minorHAnsi" w:hAnsiTheme="minorHAnsi" w:cstheme="minorHAnsi"/>
                <w:b/>
                <w:sz w:val="20"/>
              </w:rPr>
              <w:t>roduct label change</w:t>
            </w:r>
          </w:p>
        </w:tc>
        <w:tc>
          <w:tcPr>
            <w:tcW w:w="4613" w:type="dxa"/>
            <w:gridSpan w:val="2"/>
            <w:tcBorders>
              <w:top w:val="single" w:sz="4" w:space="0" w:color="auto"/>
              <w:left w:val="single" w:sz="4" w:space="0" w:color="auto"/>
              <w:bottom w:val="single" w:sz="4" w:space="0" w:color="auto"/>
              <w:right w:val="single" w:sz="4" w:space="0" w:color="auto"/>
            </w:tcBorders>
            <w:shd w:val="clear" w:color="auto" w:fill="004059" w:themeFill="text2" w:themeFillShade="BF"/>
          </w:tcPr>
          <w:p w:rsidR="00E52449" w:rsidRPr="006A74F8" w:rsidRDefault="00E52449" w:rsidP="00E52449">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6A74F8">
              <w:rPr>
                <w:rFonts w:asciiTheme="minorHAnsi" w:hAnsiTheme="minorHAnsi" w:cstheme="minorHAnsi"/>
                <w:b/>
                <w:sz w:val="20"/>
              </w:rPr>
              <w:t xml:space="preserve">Consumer </w:t>
            </w:r>
            <w:r w:rsidR="002D1F6A" w:rsidRPr="006A74F8">
              <w:rPr>
                <w:rFonts w:asciiTheme="minorHAnsi" w:hAnsiTheme="minorHAnsi" w:cstheme="minorHAnsi"/>
                <w:b/>
                <w:sz w:val="20"/>
              </w:rPr>
              <w:t>c</w:t>
            </w:r>
            <w:r w:rsidRPr="006A74F8">
              <w:rPr>
                <w:rFonts w:asciiTheme="minorHAnsi" w:hAnsiTheme="minorHAnsi" w:cstheme="minorHAnsi"/>
                <w:b/>
                <w:sz w:val="20"/>
              </w:rPr>
              <w:t>ost</w:t>
            </w:r>
          </w:p>
        </w:tc>
      </w:tr>
      <w:tr w:rsidR="00E52449" w:rsidRPr="006A74F8" w:rsidTr="003763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shd w:val="clear" w:color="auto" w:fill="004059" w:themeFill="text2" w:themeFillShade="BF"/>
          </w:tcPr>
          <w:p w:rsidR="00E52449" w:rsidRPr="006A74F8" w:rsidRDefault="00E52449" w:rsidP="00E52449">
            <w:pPr>
              <w:spacing w:line="300" w:lineRule="auto"/>
              <w:rPr>
                <w:rFonts w:asciiTheme="minorHAnsi" w:hAnsiTheme="minorHAnsi" w:cstheme="minorHAnsi"/>
                <w:b/>
                <w:sz w:val="20"/>
              </w:rPr>
            </w:pPr>
          </w:p>
        </w:tc>
        <w:tc>
          <w:tcPr>
            <w:tcW w:w="2410" w:type="dxa"/>
            <w:tcBorders>
              <w:top w:val="single" w:sz="4" w:space="0" w:color="auto"/>
              <w:left w:val="single" w:sz="4" w:space="0" w:color="auto"/>
              <w:bottom w:val="single" w:sz="4" w:space="0" w:color="auto"/>
              <w:right w:val="single" w:sz="4" w:space="0" w:color="auto"/>
            </w:tcBorders>
            <w:shd w:val="clear" w:color="auto" w:fill="004059" w:themeFill="text2" w:themeFillShade="BF"/>
          </w:tcPr>
          <w:p w:rsidR="00E52449" w:rsidRPr="006A74F8" w:rsidRDefault="00E52449" w:rsidP="00E52449">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6A74F8">
              <w:rPr>
                <w:rFonts w:asciiTheme="minorHAnsi" w:hAnsiTheme="minorHAnsi" w:cstheme="minorHAnsi"/>
                <w:b/>
                <w:sz w:val="20"/>
              </w:rPr>
              <w:t>Option 1</w:t>
            </w:r>
          </w:p>
        </w:tc>
        <w:tc>
          <w:tcPr>
            <w:tcW w:w="2203" w:type="dxa"/>
            <w:tcBorders>
              <w:top w:val="single" w:sz="4" w:space="0" w:color="auto"/>
              <w:left w:val="single" w:sz="4" w:space="0" w:color="auto"/>
              <w:bottom w:val="single" w:sz="4" w:space="0" w:color="auto"/>
            </w:tcBorders>
            <w:shd w:val="clear" w:color="auto" w:fill="004059" w:themeFill="text2" w:themeFillShade="BF"/>
          </w:tcPr>
          <w:p w:rsidR="00E52449" w:rsidRPr="006A74F8" w:rsidRDefault="00E52449" w:rsidP="00E52449">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6A74F8">
              <w:rPr>
                <w:rFonts w:asciiTheme="minorHAnsi" w:hAnsiTheme="minorHAnsi" w:cstheme="minorHAnsi"/>
                <w:b/>
                <w:sz w:val="20"/>
              </w:rPr>
              <w:t>Options 2 and 3</w:t>
            </w:r>
          </w:p>
        </w:tc>
      </w:tr>
      <w:tr w:rsidR="00E52449" w:rsidRPr="006A74F8" w:rsidTr="003763F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auto"/>
            </w:tcBorders>
            <w:shd w:val="clear" w:color="auto" w:fill="auto"/>
          </w:tcPr>
          <w:p w:rsidR="00E52449" w:rsidRPr="006A74F8" w:rsidRDefault="00E52449" w:rsidP="00E52449">
            <w:pPr>
              <w:spacing w:line="300" w:lineRule="auto"/>
              <w:jc w:val="center"/>
              <w:rPr>
                <w:rFonts w:asciiTheme="minorHAnsi" w:hAnsiTheme="minorHAnsi" w:cstheme="minorHAnsi"/>
                <w:color w:val="auto"/>
                <w:sz w:val="20"/>
              </w:rPr>
            </w:pPr>
            <w:r w:rsidRPr="006A74F8">
              <w:rPr>
                <w:rFonts w:asciiTheme="minorHAnsi" w:hAnsiTheme="minorHAnsi" w:cstheme="minorHAnsi"/>
                <w:color w:val="auto"/>
                <w:sz w:val="20"/>
              </w:rPr>
              <w:t>1</w:t>
            </w:r>
          </w:p>
        </w:tc>
        <w:tc>
          <w:tcPr>
            <w:tcW w:w="2410" w:type="dxa"/>
            <w:shd w:val="clear" w:color="auto" w:fill="auto"/>
            <w:vAlign w:val="bottom"/>
          </w:tcPr>
          <w:p w:rsidR="00E52449" w:rsidRPr="006A74F8" w:rsidRDefault="00E52449" w:rsidP="00320404">
            <w:pPr>
              <w:spacing w:line="30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6A74F8">
              <w:rPr>
                <w:rFonts w:asciiTheme="minorHAnsi" w:hAnsiTheme="minorHAnsi" w:cstheme="minorHAnsi"/>
                <w:color w:val="000000"/>
                <w:sz w:val="20"/>
              </w:rPr>
              <w:t>$67</w:t>
            </w:r>
            <w:r w:rsidR="0022596D" w:rsidRPr="006A74F8">
              <w:rPr>
                <w:rFonts w:asciiTheme="minorHAnsi" w:hAnsiTheme="minorHAnsi" w:cstheme="minorHAnsi"/>
                <w:color w:val="000000"/>
                <w:sz w:val="20"/>
              </w:rPr>
              <w:t>,</w:t>
            </w:r>
            <w:r w:rsidRPr="006A74F8">
              <w:rPr>
                <w:rFonts w:asciiTheme="minorHAnsi" w:hAnsiTheme="minorHAnsi" w:cstheme="minorHAnsi"/>
                <w:color w:val="000000"/>
                <w:sz w:val="20"/>
              </w:rPr>
              <w:t>966</w:t>
            </w:r>
          </w:p>
        </w:tc>
        <w:tc>
          <w:tcPr>
            <w:tcW w:w="2203" w:type="dxa"/>
            <w:shd w:val="clear" w:color="auto" w:fill="auto"/>
            <w:vAlign w:val="bottom"/>
          </w:tcPr>
          <w:p w:rsidR="00E52449" w:rsidRPr="006A74F8" w:rsidRDefault="00E52449" w:rsidP="00E52449">
            <w:pPr>
              <w:spacing w:line="30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6A74F8">
              <w:rPr>
                <w:rFonts w:asciiTheme="minorHAnsi" w:hAnsiTheme="minorHAnsi" w:cstheme="minorHAnsi"/>
                <w:color w:val="000000"/>
                <w:sz w:val="20"/>
              </w:rPr>
              <w:t xml:space="preserve"> </w:t>
            </w:r>
            <w:r w:rsidR="00320404" w:rsidRPr="006A74F8">
              <w:rPr>
                <w:rFonts w:asciiTheme="minorHAnsi" w:hAnsiTheme="minorHAnsi" w:cstheme="minorHAnsi"/>
                <w:color w:val="000000"/>
                <w:sz w:val="20"/>
              </w:rPr>
              <w:t>$</w:t>
            </w:r>
            <w:r w:rsidRPr="006A74F8">
              <w:rPr>
                <w:rFonts w:asciiTheme="minorHAnsi" w:hAnsiTheme="minorHAnsi" w:cstheme="minorHAnsi"/>
                <w:color w:val="000000"/>
                <w:sz w:val="20"/>
              </w:rPr>
              <w:t>453</w:t>
            </w:r>
            <w:r w:rsidR="0022596D" w:rsidRPr="006A74F8">
              <w:rPr>
                <w:rFonts w:asciiTheme="minorHAnsi" w:hAnsiTheme="minorHAnsi" w:cstheme="minorHAnsi"/>
                <w:color w:val="000000"/>
                <w:sz w:val="20"/>
              </w:rPr>
              <w:t>,</w:t>
            </w:r>
            <w:r w:rsidRPr="006A74F8">
              <w:rPr>
                <w:rFonts w:asciiTheme="minorHAnsi" w:hAnsiTheme="minorHAnsi" w:cstheme="minorHAnsi"/>
                <w:color w:val="000000"/>
                <w:sz w:val="20"/>
              </w:rPr>
              <w:t>107</w:t>
            </w:r>
          </w:p>
        </w:tc>
      </w:tr>
      <w:tr w:rsidR="00E52449" w:rsidRPr="006A74F8" w:rsidTr="003763F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auto"/>
            </w:tcBorders>
            <w:shd w:val="clear" w:color="auto" w:fill="auto"/>
          </w:tcPr>
          <w:p w:rsidR="00E52449" w:rsidRPr="006A74F8" w:rsidRDefault="00E52449" w:rsidP="00E52449">
            <w:pPr>
              <w:spacing w:line="300" w:lineRule="auto"/>
              <w:jc w:val="center"/>
              <w:rPr>
                <w:rFonts w:asciiTheme="minorHAnsi" w:hAnsiTheme="minorHAnsi" w:cstheme="minorHAnsi"/>
                <w:color w:val="auto"/>
                <w:sz w:val="20"/>
              </w:rPr>
            </w:pPr>
            <w:r w:rsidRPr="006A74F8">
              <w:rPr>
                <w:rFonts w:asciiTheme="minorHAnsi" w:hAnsiTheme="minorHAnsi" w:cstheme="minorHAnsi"/>
                <w:color w:val="auto"/>
                <w:sz w:val="20"/>
              </w:rPr>
              <w:t>2</w:t>
            </w:r>
          </w:p>
        </w:tc>
        <w:tc>
          <w:tcPr>
            <w:tcW w:w="2410" w:type="dxa"/>
            <w:shd w:val="clear" w:color="auto" w:fill="auto"/>
            <w:vAlign w:val="bottom"/>
          </w:tcPr>
          <w:p w:rsidR="00E52449" w:rsidRPr="006A74F8" w:rsidRDefault="00E52449" w:rsidP="00320404">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6A74F8">
              <w:rPr>
                <w:rFonts w:asciiTheme="minorHAnsi" w:hAnsiTheme="minorHAnsi" w:cstheme="minorHAnsi"/>
                <w:color w:val="000000"/>
                <w:sz w:val="20"/>
              </w:rPr>
              <w:t xml:space="preserve"> $135</w:t>
            </w:r>
            <w:r w:rsidR="0022596D" w:rsidRPr="006A74F8">
              <w:rPr>
                <w:rFonts w:asciiTheme="minorHAnsi" w:hAnsiTheme="minorHAnsi" w:cstheme="minorHAnsi"/>
                <w:color w:val="000000"/>
                <w:sz w:val="20"/>
              </w:rPr>
              <w:t>,</w:t>
            </w:r>
            <w:r w:rsidRPr="006A74F8">
              <w:rPr>
                <w:rFonts w:asciiTheme="minorHAnsi" w:hAnsiTheme="minorHAnsi" w:cstheme="minorHAnsi"/>
                <w:color w:val="000000"/>
                <w:sz w:val="20"/>
              </w:rPr>
              <w:t>932</w:t>
            </w:r>
          </w:p>
        </w:tc>
        <w:tc>
          <w:tcPr>
            <w:tcW w:w="2203" w:type="dxa"/>
            <w:shd w:val="clear" w:color="auto" w:fill="auto"/>
            <w:vAlign w:val="bottom"/>
          </w:tcPr>
          <w:p w:rsidR="00E52449" w:rsidRPr="006A74F8" w:rsidRDefault="00320404" w:rsidP="00320404">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6A74F8">
              <w:rPr>
                <w:rFonts w:asciiTheme="minorHAnsi" w:hAnsiTheme="minorHAnsi" w:cstheme="minorHAnsi"/>
                <w:color w:val="000000"/>
                <w:sz w:val="20"/>
              </w:rPr>
              <w:t xml:space="preserve"> $</w:t>
            </w:r>
            <w:r w:rsidR="00E52449" w:rsidRPr="006A74F8">
              <w:rPr>
                <w:rFonts w:asciiTheme="minorHAnsi" w:hAnsiTheme="minorHAnsi" w:cstheme="minorHAnsi"/>
                <w:color w:val="000000"/>
                <w:sz w:val="20"/>
              </w:rPr>
              <w:t>906</w:t>
            </w:r>
            <w:r w:rsidR="0022596D" w:rsidRPr="006A74F8">
              <w:rPr>
                <w:rFonts w:asciiTheme="minorHAnsi" w:hAnsiTheme="minorHAnsi" w:cstheme="minorHAnsi"/>
                <w:color w:val="000000"/>
                <w:sz w:val="20"/>
              </w:rPr>
              <w:t>,</w:t>
            </w:r>
            <w:r w:rsidR="00E52449" w:rsidRPr="006A74F8">
              <w:rPr>
                <w:rFonts w:asciiTheme="minorHAnsi" w:hAnsiTheme="minorHAnsi" w:cstheme="minorHAnsi"/>
                <w:color w:val="000000"/>
                <w:sz w:val="20"/>
              </w:rPr>
              <w:t>214</w:t>
            </w:r>
          </w:p>
        </w:tc>
      </w:tr>
      <w:tr w:rsidR="00E52449" w:rsidRPr="006A74F8" w:rsidTr="003763F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auto"/>
            </w:tcBorders>
            <w:shd w:val="clear" w:color="auto" w:fill="auto"/>
          </w:tcPr>
          <w:p w:rsidR="00E52449" w:rsidRPr="006A74F8" w:rsidRDefault="00E52449" w:rsidP="00E52449">
            <w:pPr>
              <w:spacing w:line="300" w:lineRule="auto"/>
              <w:jc w:val="center"/>
              <w:rPr>
                <w:rFonts w:asciiTheme="minorHAnsi" w:hAnsiTheme="minorHAnsi" w:cstheme="minorHAnsi"/>
                <w:color w:val="auto"/>
                <w:sz w:val="20"/>
              </w:rPr>
            </w:pPr>
            <w:r w:rsidRPr="006A74F8">
              <w:rPr>
                <w:rFonts w:asciiTheme="minorHAnsi" w:hAnsiTheme="minorHAnsi" w:cstheme="minorHAnsi"/>
                <w:color w:val="auto"/>
                <w:sz w:val="20"/>
              </w:rPr>
              <w:t>5</w:t>
            </w:r>
          </w:p>
        </w:tc>
        <w:tc>
          <w:tcPr>
            <w:tcW w:w="2410" w:type="dxa"/>
            <w:shd w:val="clear" w:color="auto" w:fill="auto"/>
            <w:vAlign w:val="bottom"/>
          </w:tcPr>
          <w:p w:rsidR="00E52449" w:rsidRPr="006A74F8" w:rsidRDefault="00320404" w:rsidP="00E52449">
            <w:pPr>
              <w:spacing w:line="30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6A74F8">
              <w:rPr>
                <w:rFonts w:asciiTheme="minorHAnsi" w:hAnsiTheme="minorHAnsi" w:cstheme="minorHAnsi"/>
                <w:color w:val="000000"/>
                <w:sz w:val="20"/>
              </w:rPr>
              <w:t xml:space="preserve"> $</w:t>
            </w:r>
            <w:r w:rsidR="00E52449" w:rsidRPr="006A74F8">
              <w:rPr>
                <w:rFonts w:asciiTheme="minorHAnsi" w:hAnsiTheme="minorHAnsi" w:cstheme="minorHAnsi"/>
                <w:color w:val="000000"/>
                <w:sz w:val="20"/>
              </w:rPr>
              <w:t>339</w:t>
            </w:r>
            <w:r w:rsidR="0022596D" w:rsidRPr="006A74F8">
              <w:rPr>
                <w:rFonts w:asciiTheme="minorHAnsi" w:hAnsiTheme="minorHAnsi" w:cstheme="minorHAnsi"/>
                <w:color w:val="000000"/>
                <w:sz w:val="20"/>
              </w:rPr>
              <w:t>,</w:t>
            </w:r>
            <w:r w:rsidR="00E52449" w:rsidRPr="006A74F8">
              <w:rPr>
                <w:rFonts w:asciiTheme="minorHAnsi" w:hAnsiTheme="minorHAnsi" w:cstheme="minorHAnsi"/>
                <w:color w:val="000000"/>
                <w:sz w:val="20"/>
              </w:rPr>
              <w:t>830</w:t>
            </w:r>
          </w:p>
        </w:tc>
        <w:tc>
          <w:tcPr>
            <w:tcW w:w="2203" w:type="dxa"/>
            <w:shd w:val="clear" w:color="auto" w:fill="auto"/>
            <w:vAlign w:val="bottom"/>
          </w:tcPr>
          <w:p w:rsidR="00E52449" w:rsidRPr="006A74F8" w:rsidRDefault="00320404" w:rsidP="00E52449">
            <w:pPr>
              <w:spacing w:line="30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6A74F8">
              <w:rPr>
                <w:rFonts w:asciiTheme="minorHAnsi" w:hAnsiTheme="minorHAnsi" w:cstheme="minorHAnsi"/>
                <w:color w:val="000000"/>
                <w:sz w:val="20"/>
              </w:rPr>
              <w:t xml:space="preserve"> $</w:t>
            </w:r>
            <w:r w:rsidR="00E52449" w:rsidRPr="006A74F8">
              <w:rPr>
                <w:rFonts w:asciiTheme="minorHAnsi" w:hAnsiTheme="minorHAnsi" w:cstheme="minorHAnsi"/>
                <w:color w:val="000000"/>
                <w:sz w:val="20"/>
              </w:rPr>
              <w:t>2</w:t>
            </w:r>
            <w:r w:rsidR="0022596D" w:rsidRPr="006A74F8">
              <w:rPr>
                <w:rFonts w:asciiTheme="minorHAnsi" w:hAnsiTheme="minorHAnsi" w:cstheme="minorHAnsi"/>
                <w:color w:val="000000"/>
                <w:sz w:val="20"/>
              </w:rPr>
              <w:t>,</w:t>
            </w:r>
            <w:r w:rsidR="00E52449" w:rsidRPr="006A74F8">
              <w:rPr>
                <w:rFonts w:asciiTheme="minorHAnsi" w:hAnsiTheme="minorHAnsi" w:cstheme="minorHAnsi"/>
                <w:color w:val="000000"/>
                <w:sz w:val="20"/>
              </w:rPr>
              <w:t>265</w:t>
            </w:r>
            <w:r w:rsidR="0022596D" w:rsidRPr="006A74F8">
              <w:rPr>
                <w:rFonts w:asciiTheme="minorHAnsi" w:hAnsiTheme="minorHAnsi" w:cstheme="minorHAnsi"/>
                <w:color w:val="000000"/>
                <w:sz w:val="20"/>
              </w:rPr>
              <w:t>,</w:t>
            </w:r>
            <w:r w:rsidR="00E52449" w:rsidRPr="006A74F8">
              <w:rPr>
                <w:rFonts w:asciiTheme="minorHAnsi" w:hAnsiTheme="minorHAnsi" w:cstheme="minorHAnsi"/>
                <w:color w:val="000000"/>
                <w:sz w:val="20"/>
              </w:rPr>
              <w:t>536</w:t>
            </w:r>
          </w:p>
        </w:tc>
      </w:tr>
      <w:tr w:rsidR="00E52449" w:rsidRPr="006A74F8" w:rsidTr="003763F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auto"/>
              <w:bottom w:val="single" w:sz="4" w:space="0" w:color="auto"/>
            </w:tcBorders>
            <w:shd w:val="clear" w:color="auto" w:fill="auto"/>
          </w:tcPr>
          <w:p w:rsidR="00E52449" w:rsidRPr="006A74F8" w:rsidRDefault="00E52449" w:rsidP="00E52449">
            <w:pPr>
              <w:spacing w:line="300" w:lineRule="auto"/>
              <w:jc w:val="center"/>
              <w:rPr>
                <w:rFonts w:asciiTheme="minorHAnsi" w:hAnsiTheme="minorHAnsi" w:cstheme="minorHAnsi"/>
                <w:color w:val="auto"/>
                <w:sz w:val="20"/>
              </w:rPr>
            </w:pPr>
            <w:r w:rsidRPr="006A74F8">
              <w:rPr>
                <w:rFonts w:asciiTheme="minorHAnsi" w:hAnsiTheme="minorHAnsi" w:cstheme="minorHAnsi"/>
                <w:color w:val="auto"/>
                <w:sz w:val="20"/>
              </w:rPr>
              <w:t>10</w:t>
            </w:r>
          </w:p>
        </w:tc>
        <w:tc>
          <w:tcPr>
            <w:tcW w:w="2410" w:type="dxa"/>
            <w:tcBorders>
              <w:bottom w:val="single" w:sz="4" w:space="0" w:color="auto"/>
            </w:tcBorders>
            <w:shd w:val="clear" w:color="auto" w:fill="auto"/>
            <w:vAlign w:val="bottom"/>
          </w:tcPr>
          <w:p w:rsidR="00E52449" w:rsidRPr="006A74F8" w:rsidRDefault="00320404" w:rsidP="00E52449">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6A74F8">
              <w:rPr>
                <w:rFonts w:asciiTheme="minorHAnsi" w:hAnsiTheme="minorHAnsi" w:cstheme="minorHAnsi"/>
                <w:color w:val="000000"/>
                <w:sz w:val="20"/>
              </w:rPr>
              <w:t xml:space="preserve"> $</w:t>
            </w:r>
            <w:r w:rsidR="00E52449" w:rsidRPr="006A74F8">
              <w:rPr>
                <w:rFonts w:asciiTheme="minorHAnsi" w:hAnsiTheme="minorHAnsi" w:cstheme="minorHAnsi"/>
                <w:color w:val="000000"/>
                <w:sz w:val="20"/>
              </w:rPr>
              <w:t>679</w:t>
            </w:r>
            <w:r w:rsidR="0022596D" w:rsidRPr="006A74F8">
              <w:rPr>
                <w:rFonts w:asciiTheme="minorHAnsi" w:hAnsiTheme="minorHAnsi" w:cstheme="minorHAnsi"/>
                <w:color w:val="000000"/>
                <w:sz w:val="20"/>
              </w:rPr>
              <w:t>,</w:t>
            </w:r>
            <w:r w:rsidR="00E52449" w:rsidRPr="006A74F8">
              <w:rPr>
                <w:rFonts w:asciiTheme="minorHAnsi" w:hAnsiTheme="minorHAnsi" w:cstheme="minorHAnsi"/>
                <w:color w:val="000000"/>
                <w:sz w:val="20"/>
              </w:rPr>
              <w:t xml:space="preserve">661 </w:t>
            </w:r>
          </w:p>
        </w:tc>
        <w:tc>
          <w:tcPr>
            <w:tcW w:w="2203" w:type="dxa"/>
            <w:tcBorders>
              <w:bottom w:val="single" w:sz="4" w:space="0" w:color="auto"/>
            </w:tcBorders>
            <w:shd w:val="clear" w:color="auto" w:fill="auto"/>
            <w:vAlign w:val="bottom"/>
          </w:tcPr>
          <w:p w:rsidR="00E52449" w:rsidRPr="006A74F8" w:rsidRDefault="00320404" w:rsidP="00E52449">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6A74F8">
              <w:rPr>
                <w:rFonts w:asciiTheme="minorHAnsi" w:hAnsiTheme="minorHAnsi" w:cstheme="minorHAnsi"/>
                <w:color w:val="000000"/>
                <w:sz w:val="20"/>
              </w:rPr>
              <w:t xml:space="preserve"> $</w:t>
            </w:r>
            <w:r w:rsidR="00E52449" w:rsidRPr="006A74F8">
              <w:rPr>
                <w:rFonts w:asciiTheme="minorHAnsi" w:hAnsiTheme="minorHAnsi" w:cstheme="minorHAnsi"/>
                <w:color w:val="000000"/>
                <w:sz w:val="20"/>
              </w:rPr>
              <w:t>4</w:t>
            </w:r>
            <w:r w:rsidR="0022596D" w:rsidRPr="006A74F8">
              <w:rPr>
                <w:rFonts w:asciiTheme="minorHAnsi" w:hAnsiTheme="minorHAnsi" w:cstheme="minorHAnsi"/>
                <w:color w:val="000000"/>
                <w:sz w:val="20"/>
              </w:rPr>
              <w:t>,</w:t>
            </w:r>
            <w:r w:rsidR="00E52449" w:rsidRPr="006A74F8">
              <w:rPr>
                <w:rFonts w:asciiTheme="minorHAnsi" w:hAnsiTheme="minorHAnsi" w:cstheme="minorHAnsi"/>
                <w:color w:val="000000"/>
                <w:sz w:val="20"/>
              </w:rPr>
              <w:t>531</w:t>
            </w:r>
            <w:r w:rsidR="0022596D" w:rsidRPr="006A74F8">
              <w:rPr>
                <w:rFonts w:asciiTheme="minorHAnsi" w:hAnsiTheme="minorHAnsi" w:cstheme="minorHAnsi"/>
                <w:color w:val="000000"/>
                <w:sz w:val="20"/>
              </w:rPr>
              <w:t>,</w:t>
            </w:r>
            <w:r w:rsidR="00E52449" w:rsidRPr="006A74F8">
              <w:rPr>
                <w:rFonts w:asciiTheme="minorHAnsi" w:hAnsiTheme="minorHAnsi" w:cstheme="minorHAnsi"/>
                <w:color w:val="000000"/>
                <w:sz w:val="20"/>
              </w:rPr>
              <w:t>072</w:t>
            </w:r>
          </w:p>
        </w:tc>
      </w:tr>
    </w:tbl>
    <w:p w:rsidR="00E52449" w:rsidRPr="006A74F8" w:rsidRDefault="00E52449" w:rsidP="00E52449">
      <w:pPr>
        <w:keepNext/>
        <w:spacing w:after="200" w:line="240" w:lineRule="auto"/>
        <w:rPr>
          <w:rFonts w:ascii="Arial" w:eastAsia="Calibri" w:hAnsi="Arial" w:cs="Times New Roman"/>
          <w:i/>
          <w:iCs/>
          <w:color w:val="2C2C2D"/>
          <w:szCs w:val="18"/>
        </w:rPr>
      </w:pPr>
    </w:p>
    <w:p w:rsidR="00E52449" w:rsidRPr="006A74F8" w:rsidRDefault="00E52449" w:rsidP="00162DEE">
      <w:pPr>
        <w:rPr>
          <w:lang w:val="en"/>
        </w:rPr>
      </w:pPr>
      <w:r w:rsidRPr="006A74F8">
        <w:rPr>
          <w:lang w:val="en"/>
        </w:rPr>
        <w:t>To calculate net benefit, it is estimated that 2 per cent of labels would change. Thus, the estimated cost to consumers for option 1 is approximately $100</w:t>
      </w:r>
      <w:r w:rsidR="00CE4D9A" w:rsidRPr="006A74F8">
        <w:rPr>
          <w:lang w:val="en"/>
        </w:rPr>
        <w:t>,</w:t>
      </w:r>
      <w:r w:rsidRPr="006A74F8">
        <w:rPr>
          <w:lang w:val="en"/>
        </w:rPr>
        <w:t>000 and for options 2 and 3 is $900</w:t>
      </w:r>
      <w:r w:rsidR="0032584B" w:rsidRPr="006A74F8">
        <w:rPr>
          <w:lang w:val="en"/>
        </w:rPr>
        <w:t>,</w:t>
      </w:r>
      <w:r w:rsidRPr="006A74F8">
        <w:rPr>
          <w:lang w:val="en"/>
        </w:rPr>
        <w:t xml:space="preserve">000. </w:t>
      </w:r>
    </w:p>
    <w:p w:rsidR="00E52449" w:rsidRPr="006A74F8" w:rsidRDefault="00E52449" w:rsidP="00162DEE">
      <w:pPr>
        <w:rPr>
          <w:u w:val="single"/>
        </w:rPr>
      </w:pPr>
      <w:r w:rsidRPr="006A74F8">
        <w:rPr>
          <w:lang w:val="en"/>
        </w:rPr>
        <w:t>As discussed in</w:t>
      </w:r>
      <w:r w:rsidR="00DC2C74" w:rsidRPr="006A74F8">
        <w:rPr>
          <w:lang w:val="en"/>
        </w:rPr>
        <w:t xml:space="preserve"> </w:t>
      </w:r>
      <w:hyperlink w:anchor="_Sensitivity_Calculation" w:history="1">
        <w:r w:rsidR="001242A8" w:rsidRPr="006A74F8">
          <w:rPr>
            <w:rStyle w:val="Hyperlink"/>
            <w:lang w:val="en"/>
          </w:rPr>
          <w:t>section 18.4</w:t>
        </w:r>
      </w:hyperlink>
      <w:r w:rsidR="001242A8" w:rsidRPr="006A74F8">
        <w:rPr>
          <w:lang w:val="en"/>
        </w:rPr>
        <w:t xml:space="preserve"> (Sensitivity calculation)</w:t>
      </w:r>
      <w:r w:rsidR="00DC2C74" w:rsidRPr="006A74F8">
        <w:rPr>
          <w:lang w:val="en"/>
        </w:rPr>
        <w:t xml:space="preserve">, </w:t>
      </w:r>
      <w:r w:rsidRPr="006A74F8">
        <w:rPr>
          <w:lang w:val="en"/>
        </w:rPr>
        <w:t>four variables are given a range which may be plausible i.e. the number of interested consumers (50</w:t>
      </w:r>
      <w:r w:rsidR="00CE4D9A" w:rsidRPr="006A74F8">
        <w:rPr>
          <w:lang w:val="en"/>
        </w:rPr>
        <w:t>,</w:t>
      </w:r>
      <w:r w:rsidRPr="006A74F8">
        <w:rPr>
          <w:lang w:val="en"/>
        </w:rPr>
        <w:t>000 – 140</w:t>
      </w:r>
      <w:r w:rsidR="00CE4D9A" w:rsidRPr="006A74F8">
        <w:rPr>
          <w:lang w:val="en"/>
        </w:rPr>
        <w:t>,</w:t>
      </w:r>
      <w:r w:rsidRPr="006A74F8">
        <w:rPr>
          <w:lang w:val="en"/>
        </w:rPr>
        <w:t>000), time taken (10 – 30 seconds), percentage of products changed (1 – 10 per cent</w:t>
      </w:r>
      <w:r w:rsidR="00BD2F82" w:rsidRPr="006A74F8">
        <w:rPr>
          <w:lang w:val="en"/>
        </w:rPr>
        <w:t>)</w:t>
      </w:r>
      <w:r w:rsidRPr="006A74F8">
        <w:rPr>
          <w:lang w:val="en"/>
        </w:rPr>
        <w:t xml:space="preserve"> and the number of products per week (30 – 60) (Table </w:t>
      </w:r>
      <w:r w:rsidR="000B26B8" w:rsidRPr="006A74F8">
        <w:rPr>
          <w:lang w:val="en"/>
        </w:rPr>
        <w:t>A</w:t>
      </w:r>
      <w:r w:rsidR="00F92A22" w:rsidRPr="006A74F8">
        <w:rPr>
          <w:lang w:val="en"/>
        </w:rPr>
        <w:t>9</w:t>
      </w:r>
      <w:r w:rsidR="000B26B8" w:rsidRPr="006A74F8">
        <w:rPr>
          <w:lang w:val="en"/>
        </w:rPr>
        <w:t>-</w:t>
      </w:r>
      <w:r w:rsidR="00FF01A9" w:rsidRPr="006A74F8">
        <w:rPr>
          <w:lang w:val="en"/>
        </w:rPr>
        <w:t xml:space="preserve"> 3</w:t>
      </w:r>
      <w:r w:rsidRPr="006A74F8">
        <w:rPr>
          <w:lang w:val="en"/>
        </w:rPr>
        <w:t xml:space="preserve">). </w:t>
      </w:r>
      <w:bookmarkStart w:id="2652" w:name="_Ref503528424"/>
    </w:p>
    <w:bookmarkEnd w:id="2652"/>
    <w:p w:rsidR="00835356" w:rsidRPr="006A74F8" w:rsidRDefault="00835356" w:rsidP="00835356">
      <w:pPr>
        <w:pStyle w:val="Caption"/>
        <w:keepNext/>
      </w:pPr>
      <w:r w:rsidRPr="006A74F8">
        <w:t>Table A</w:t>
      </w:r>
      <w:r w:rsidR="00F92A22" w:rsidRPr="006A74F8">
        <w:t>9</w:t>
      </w:r>
      <w:r w:rsidRPr="006A74F8">
        <w:t xml:space="preserve">- </w:t>
      </w:r>
      <w:r w:rsidR="00C90261" w:rsidRPr="006A74F8">
        <w:rPr>
          <w:noProof/>
        </w:rPr>
        <w:fldChar w:fldCharType="begin"/>
      </w:r>
      <w:r w:rsidR="00C90261" w:rsidRPr="006A74F8">
        <w:rPr>
          <w:noProof/>
        </w:rPr>
        <w:instrText xml:space="preserve"> SEQ Table_A10- \* ARABIC </w:instrText>
      </w:r>
      <w:r w:rsidR="00C90261" w:rsidRPr="006A74F8">
        <w:rPr>
          <w:noProof/>
        </w:rPr>
        <w:fldChar w:fldCharType="separate"/>
      </w:r>
      <w:r w:rsidR="0033017F">
        <w:rPr>
          <w:noProof/>
        </w:rPr>
        <w:t>3</w:t>
      </w:r>
      <w:r w:rsidR="00C90261" w:rsidRPr="006A74F8">
        <w:rPr>
          <w:noProof/>
        </w:rPr>
        <w:fldChar w:fldCharType="end"/>
      </w:r>
      <w:r w:rsidRPr="006A74F8">
        <w:t>: Possible variance in cost to consumers for different options</w:t>
      </w:r>
    </w:p>
    <w:tbl>
      <w:tblPr>
        <w:tblStyle w:val="GridTable4-Accent1"/>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Possible variance in cost for different Options"/>
        <w:tblDescription w:val="Option 2 - Cosmetics, minimum estimate of $6,717 and maximum estimate of $1,128,400. Estimated likely cost is $100,000.&#10;Option 3 - no restrictions, minimum estimate of $51,494 and maximum estimate of $8,651,067. Estimated likely cost is $800, 000.&#10;Option 4 - food and beverages, minimum estimate of $15,672 and maximum estimate of $2,821,000. Estimated likely cost is $200,000. &#10;&#10;"/>
      </w:tblPr>
      <w:tblGrid>
        <w:gridCol w:w="2972"/>
        <w:gridCol w:w="1843"/>
        <w:gridCol w:w="1984"/>
        <w:gridCol w:w="1971"/>
      </w:tblGrid>
      <w:tr w:rsidR="00E52449" w:rsidRPr="006A74F8" w:rsidTr="003204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tcBorders>
            <w:shd w:val="clear" w:color="auto" w:fill="004059" w:themeFill="text2" w:themeFillShade="BF"/>
            <w:noWrap/>
            <w:vAlign w:val="center"/>
          </w:tcPr>
          <w:p w:rsidR="00E52449" w:rsidRPr="006A74F8" w:rsidRDefault="00E52449" w:rsidP="00E52449">
            <w:pPr>
              <w:spacing w:line="300" w:lineRule="auto"/>
              <w:rPr>
                <w:rFonts w:cstheme="minorHAnsi"/>
                <w:color w:val="FFFFFF"/>
                <w:sz w:val="20"/>
              </w:rPr>
            </w:pPr>
            <w:r w:rsidRPr="006A74F8">
              <w:rPr>
                <w:rFonts w:cstheme="minorHAnsi"/>
                <w:color w:val="FFFFFF"/>
                <w:sz w:val="20"/>
              </w:rPr>
              <w:t>Option</w:t>
            </w:r>
          </w:p>
        </w:tc>
        <w:tc>
          <w:tcPr>
            <w:tcW w:w="1843" w:type="dxa"/>
            <w:tcBorders>
              <w:top w:val="single" w:sz="4" w:space="0" w:color="auto"/>
              <w:bottom w:val="single" w:sz="4" w:space="0" w:color="auto"/>
            </w:tcBorders>
            <w:shd w:val="clear" w:color="auto" w:fill="004059" w:themeFill="text2" w:themeFillShade="BF"/>
            <w:noWrap/>
            <w:vAlign w:val="center"/>
          </w:tcPr>
          <w:p w:rsidR="00E52449" w:rsidRPr="006A74F8" w:rsidRDefault="00E52449" w:rsidP="00E52449">
            <w:pPr>
              <w:spacing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6A74F8">
              <w:rPr>
                <w:rFonts w:cstheme="minorHAnsi"/>
                <w:color w:val="FFFFFF"/>
                <w:sz w:val="20"/>
              </w:rPr>
              <w:t xml:space="preserve">Minimum </w:t>
            </w:r>
            <w:r w:rsidR="00BD2F82" w:rsidRPr="006A74F8">
              <w:rPr>
                <w:rFonts w:cstheme="minorHAnsi"/>
                <w:color w:val="FFFFFF"/>
                <w:sz w:val="20"/>
              </w:rPr>
              <w:t>e</w:t>
            </w:r>
            <w:r w:rsidRPr="006A74F8">
              <w:rPr>
                <w:rFonts w:cstheme="minorHAnsi"/>
                <w:color w:val="FFFFFF"/>
                <w:sz w:val="20"/>
              </w:rPr>
              <w:t>stimate</w:t>
            </w:r>
          </w:p>
        </w:tc>
        <w:tc>
          <w:tcPr>
            <w:tcW w:w="1984" w:type="dxa"/>
            <w:tcBorders>
              <w:top w:val="single" w:sz="4" w:space="0" w:color="auto"/>
              <w:bottom w:val="single" w:sz="4" w:space="0" w:color="auto"/>
            </w:tcBorders>
            <w:shd w:val="clear" w:color="auto" w:fill="004059" w:themeFill="text2" w:themeFillShade="BF"/>
            <w:vAlign w:val="center"/>
          </w:tcPr>
          <w:p w:rsidR="00E52449" w:rsidRPr="006A74F8" w:rsidRDefault="00E52449" w:rsidP="00E52449">
            <w:pPr>
              <w:spacing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6A74F8">
              <w:rPr>
                <w:rFonts w:cstheme="minorHAnsi"/>
                <w:color w:val="FFFFFF"/>
                <w:sz w:val="20"/>
              </w:rPr>
              <w:t xml:space="preserve">Maximum </w:t>
            </w:r>
            <w:r w:rsidR="00BD2F82" w:rsidRPr="006A74F8">
              <w:rPr>
                <w:rFonts w:cstheme="minorHAnsi"/>
                <w:color w:val="FFFFFF"/>
                <w:sz w:val="20"/>
              </w:rPr>
              <w:t>e</w:t>
            </w:r>
            <w:r w:rsidRPr="006A74F8">
              <w:rPr>
                <w:rFonts w:cstheme="minorHAnsi"/>
                <w:color w:val="FFFFFF"/>
                <w:sz w:val="20"/>
              </w:rPr>
              <w:t>stimate</w:t>
            </w:r>
          </w:p>
        </w:tc>
        <w:tc>
          <w:tcPr>
            <w:tcW w:w="1971" w:type="dxa"/>
            <w:tcBorders>
              <w:top w:val="single" w:sz="4" w:space="0" w:color="auto"/>
              <w:bottom w:val="single" w:sz="4" w:space="0" w:color="auto"/>
              <w:right w:val="single" w:sz="4" w:space="0" w:color="auto"/>
            </w:tcBorders>
            <w:shd w:val="clear" w:color="auto" w:fill="004059" w:themeFill="text2" w:themeFillShade="BF"/>
            <w:vAlign w:val="center"/>
          </w:tcPr>
          <w:p w:rsidR="00BD2F82" w:rsidRPr="006A74F8" w:rsidRDefault="00E52449" w:rsidP="00E52449">
            <w:pPr>
              <w:spacing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6A74F8">
              <w:rPr>
                <w:rFonts w:cstheme="minorHAnsi"/>
                <w:color w:val="FFFFFF"/>
                <w:sz w:val="20"/>
              </w:rPr>
              <w:t xml:space="preserve">Estimated </w:t>
            </w:r>
          </w:p>
          <w:p w:rsidR="00E52449" w:rsidRPr="006A74F8" w:rsidRDefault="00BD2F82" w:rsidP="00E52449">
            <w:pPr>
              <w:spacing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6A74F8">
              <w:rPr>
                <w:rFonts w:cstheme="minorHAnsi"/>
                <w:color w:val="FFFFFF"/>
                <w:sz w:val="20"/>
              </w:rPr>
              <w:t>consumer c</w:t>
            </w:r>
            <w:r w:rsidR="00E52449" w:rsidRPr="006A74F8">
              <w:rPr>
                <w:rFonts w:cstheme="minorHAnsi"/>
                <w:color w:val="FFFFFF"/>
                <w:sz w:val="20"/>
              </w:rPr>
              <w:t>ost</w:t>
            </w:r>
          </w:p>
        </w:tc>
      </w:tr>
      <w:tr w:rsidR="00E52449" w:rsidRPr="006A74F8" w:rsidTr="00BD2F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vAlign w:val="center"/>
            <w:hideMark/>
          </w:tcPr>
          <w:p w:rsidR="00E52449" w:rsidRPr="006A74F8" w:rsidRDefault="00E52449" w:rsidP="00E52449">
            <w:pPr>
              <w:spacing w:line="300" w:lineRule="auto"/>
              <w:rPr>
                <w:rFonts w:cstheme="minorHAnsi"/>
                <w:sz w:val="20"/>
              </w:rPr>
            </w:pPr>
            <w:r w:rsidRPr="006A74F8">
              <w:rPr>
                <w:rFonts w:cstheme="minorHAnsi"/>
                <w:sz w:val="20"/>
              </w:rPr>
              <w:t>Option 1 – cosmetics</w:t>
            </w:r>
          </w:p>
        </w:tc>
        <w:tc>
          <w:tcPr>
            <w:tcW w:w="1843" w:type="dxa"/>
            <w:shd w:val="clear" w:color="auto" w:fill="auto"/>
            <w:noWrap/>
            <w:vAlign w:val="center"/>
            <w:hideMark/>
          </w:tcPr>
          <w:p w:rsidR="00E52449" w:rsidRPr="006A74F8" w:rsidRDefault="00E52449" w:rsidP="00E52449">
            <w:pPr>
              <w:spacing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A74F8">
              <w:rPr>
                <w:rFonts w:cstheme="minorHAnsi"/>
                <w:sz w:val="20"/>
              </w:rPr>
              <w:t>$</w:t>
            </w:r>
            <w:r w:rsidR="00797571" w:rsidRPr="006A74F8">
              <w:rPr>
                <w:rFonts w:cstheme="minorHAnsi"/>
                <w:sz w:val="20"/>
              </w:rPr>
              <w:t>6</w:t>
            </w:r>
            <w:r w:rsidR="0022596D" w:rsidRPr="006A74F8">
              <w:rPr>
                <w:rFonts w:cstheme="minorHAnsi"/>
                <w:sz w:val="20"/>
              </w:rPr>
              <w:t>,</w:t>
            </w:r>
            <w:r w:rsidR="00797571" w:rsidRPr="006A74F8">
              <w:rPr>
                <w:rFonts w:cstheme="minorHAnsi"/>
                <w:sz w:val="20"/>
              </w:rPr>
              <w:t>933</w:t>
            </w:r>
          </w:p>
        </w:tc>
        <w:tc>
          <w:tcPr>
            <w:tcW w:w="1984" w:type="dxa"/>
            <w:shd w:val="clear" w:color="auto" w:fill="auto"/>
            <w:vAlign w:val="center"/>
          </w:tcPr>
          <w:p w:rsidR="00E52449" w:rsidRPr="006A74F8" w:rsidRDefault="00E52449" w:rsidP="00E52449">
            <w:pPr>
              <w:spacing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A74F8">
              <w:rPr>
                <w:rFonts w:cstheme="minorHAnsi"/>
                <w:sz w:val="20"/>
              </w:rPr>
              <w:t>$1</w:t>
            </w:r>
            <w:r w:rsidR="0022596D" w:rsidRPr="006A74F8">
              <w:rPr>
                <w:rFonts w:cstheme="minorHAnsi"/>
                <w:sz w:val="20"/>
              </w:rPr>
              <w:t>,</w:t>
            </w:r>
            <w:r w:rsidR="00797571" w:rsidRPr="006A74F8">
              <w:rPr>
                <w:rFonts w:cstheme="minorHAnsi"/>
                <w:sz w:val="20"/>
              </w:rPr>
              <w:t>164</w:t>
            </w:r>
            <w:r w:rsidR="0022596D" w:rsidRPr="006A74F8">
              <w:rPr>
                <w:rFonts w:cstheme="minorHAnsi"/>
                <w:sz w:val="20"/>
              </w:rPr>
              <w:t>,</w:t>
            </w:r>
            <w:r w:rsidR="00797571" w:rsidRPr="006A74F8">
              <w:rPr>
                <w:rFonts w:cstheme="minorHAnsi"/>
                <w:sz w:val="20"/>
              </w:rPr>
              <w:t>800</w:t>
            </w:r>
          </w:p>
        </w:tc>
        <w:tc>
          <w:tcPr>
            <w:tcW w:w="1971" w:type="dxa"/>
            <w:shd w:val="clear" w:color="auto" w:fill="auto"/>
            <w:vAlign w:val="center"/>
          </w:tcPr>
          <w:p w:rsidR="00E52449" w:rsidRPr="006A74F8" w:rsidRDefault="00E52449" w:rsidP="00E52449">
            <w:pPr>
              <w:spacing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A74F8">
              <w:rPr>
                <w:rFonts w:cstheme="minorHAnsi"/>
                <w:sz w:val="20"/>
              </w:rPr>
              <w:t>$100</w:t>
            </w:r>
            <w:r w:rsidR="0022596D" w:rsidRPr="006A74F8">
              <w:rPr>
                <w:rFonts w:cstheme="minorHAnsi"/>
                <w:sz w:val="20"/>
              </w:rPr>
              <w:t>,</w:t>
            </w:r>
            <w:r w:rsidRPr="006A74F8">
              <w:rPr>
                <w:rFonts w:cstheme="minorHAnsi"/>
                <w:sz w:val="20"/>
              </w:rPr>
              <w:t>000</w:t>
            </w:r>
          </w:p>
        </w:tc>
      </w:tr>
      <w:tr w:rsidR="00E52449" w:rsidRPr="006A74F8" w:rsidTr="00BD2F82">
        <w:trPr>
          <w:trHeight w:val="454"/>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rsidR="00E52449" w:rsidRPr="006A74F8" w:rsidRDefault="00E52449" w:rsidP="00E52449">
            <w:pPr>
              <w:spacing w:line="300" w:lineRule="auto"/>
              <w:rPr>
                <w:rFonts w:cstheme="minorHAnsi"/>
                <w:sz w:val="20"/>
              </w:rPr>
            </w:pPr>
            <w:r w:rsidRPr="006A74F8">
              <w:rPr>
                <w:rFonts w:cstheme="minorHAnsi"/>
                <w:sz w:val="20"/>
              </w:rPr>
              <w:t>Options 2 and 3 – no restrictions</w:t>
            </w:r>
          </w:p>
        </w:tc>
        <w:tc>
          <w:tcPr>
            <w:tcW w:w="1843" w:type="dxa"/>
            <w:noWrap/>
            <w:vAlign w:val="center"/>
            <w:hideMark/>
          </w:tcPr>
          <w:p w:rsidR="00E52449" w:rsidRPr="006A74F8" w:rsidRDefault="00E52449" w:rsidP="00E52449">
            <w:pPr>
              <w:spacing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6A74F8">
              <w:rPr>
                <w:rFonts w:cstheme="minorHAnsi"/>
                <w:sz w:val="20"/>
              </w:rPr>
              <w:t>$5</w:t>
            </w:r>
            <w:r w:rsidR="00797571" w:rsidRPr="006A74F8">
              <w:rPr>
                <w:rFonts w:cstheme="minorHAnsi"/>
                <w:sz w:val="20"/>
              </w:rPr>
              <w:t>3</w:t>
            </w:r>
            <w:r w:rsidR="0022596D" w:rsidRPr="006A74F8">
              <w:rPr>
                <w:rFonts w:cstheme="minorHAnsi"/>
                <w:sz w:val="20"/>
              </w:rPr>
              <w:t>,</w:t>
            </w:r>
            <w:r w:rsidR="00797571" w:rsidRPr="006A74F8">
              <w:rPr>
                <w:rFonts w:cstheme="minorHAnsi"/>
                <w:sz w:val="20"/>
              </w:rPr>
              <w:t>156</w:t>
            </w:r>
          </w:p>
        </w:tc>
        <w:tc>
          <w:tcPr>
            <w:tcW w:w="1984" w:type="dxa"/>
            <w:vAlign w:val="center"/>
          </w:tcPr>
          <w:p w:rsidR="00E52449" w:rsidRPr="006A74F8" w:rsidRDefault="00E52449" w:rsidP="00E52449">
            <w:pPr>
              <w:spacing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6A74F8">
              <w:rPr>
                <w:rFonts w:cstheme="minorHAnsi"/>
                <w:sz w:val="20"/>
              </w:rPr>
              <w:t>$8</w:t>
            </w:r>
            <w:r w:rsidR="0022596D" w:rsidRPr="006A74F8">
              <w:rPr>
                <w:rFonts w:cstheme="minorHAnsi"/>
                <w:sz w:val="20"/>
              </w:rPr>
              <w:t>,</w:t>
            </w:r>
            <w:r w:rsidR="00797571" w:rsidRPr="006A74F8">
              <w:rPr>
                <w:rFonts w:cstheme="minorHAnsi"/>
                <w:sz w:val="20"/>
              </w:rPr>
              <w:t>830</w:t>
            </w:r>
            <w:r w:rsidR="0022596D" w:rsidRPr="006A74F8">
              <w:rPr>
                <w:rFonts w:cstheme="minorHAnsi"/>
                <w:sz w:val="20"/>
              </w:rPr>
              <w:t>,</w:t>
            </w:r>
            <w:r w:rsidR="00797571" w:rsidRPr="006A74F8">
              <w:rPr>
                <w:rFonts w:cstheme="minorHAnsi"/>
                <w:sz w:val="20"/>
              </w:rPr>
              <w:t>133</w:t>
            </w:r>
          </w:p>
        </w:tc>
        <w:tc>
          <w:tcPr>
            <w:tcW w:w="1971" w:type="dxa"/>
            <w:vAlign w:val="center"/>
          </w:tcPr>
          <w:p w:rsidR="00E52449" w:rsidRPr="006A74F8" w:rsidRDefault="00E52449" w:rsidP="00E52449">
            <w:pPr>
              <w:spacing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6A74F8">
              <w:rPr>
                <w:rFonts w:cstheme="minorHAnsi"/>
                <w:sz w:val="20"/>
              </w:rPr>
              <w:t>$900</w:t>
            </w:r>
            <w:r w:rsidR="0022596D" w:rsidRPr="006A74F8">
              <w:rPr>
                <w:rFonts w:cstheme="minorHAnsi"/>
                <w:sz w:val="20"/>
              </w:rPr>
              <w:t>,</w:t>
            </w:r>
            <w:r w:rsidRPr="006A74F8">
              <w:rPr>
                <w:rFonts w:cstheme="minorHAnsi"/>
                <w:sz w:val="20"/>
              </w:rPr>
              <w:t>000</w:t>
            </w:r>
          </w:p>
        </w:tc>
      </w:tr>
    </w:tbl>
    <w:p w:rsidR="00E52449" w:rsidRPr="006A74F8" w:rsidRDefault="00E52449" w:rsidP="00E52449">
      <w:pPr>
        <w:rPr>
          <w:rFonts w:ascii="Arial" w:eastAsia="Times New Roman" w:hAnsi="Arial" w:cs="Times New Roman"/>
          <w:color w:val="00283E"/>
          <w:sz w:val="24"/>
          <w:szCs w:val="24"/>
        </w:rPr>
      </w:pPr>
      <w:bookmarkStart w:id="2653" w:name="_Toc475545961"/>
      <w:bookmarkStart w:id="2654" w:name="_Toc479769497"/>
      <w:bookmarkStart w:id="2655" w:name="_Toc493510758"/>
      <w:bookmarkStart w:id="2656" w:name="_Toc500929376"/>
      <w:bookmarkStart w:id="2657" w:name="_Toc501463836"/>
      <w:bookmarkStart w:id="2658" w:name="_Toc503535550"/>
      <w:bookmarkStart w:id="2659" w:name="_Toc503539728"/>
      <w:bookmarkStart w:id="2660" w:name="_Toc503882262"/>
      <w:bookmarkStart w:id="2661" w:name="_Toc518032776"/>
    </w:p>
    <w:p w:rsidR="00E52449" w:rsidRPr="006A74F8" w:rsidRDefault="00DB05D6" w:rsidP="00A31A00">
      <w:pPr>
        <w:pStyle w:val="Heading2"/>
        <w:rPr>
          <w:rFonts w:eastAsia="Times New Roman"/>
        </w:rPr>
      </w:pPr>
      <w:bookmarkStart w:id="2662" w:name="_Toc67390622"/>
      <w:r w:rsidRPr="006A74F8">
        <w:rPr>
          <w:rFonts w:eastAsia="Times New Roman"/>
        </w:rPr>
        <w:t xml:space="preserve"> </w:t>
      </w:r>
      <w:r w:rsidR="00E52449" w:rsidRPr="006A74F8">
        <w:rPr>
          <w:rFonts w:eastAsia="Times New Roman"/>
        </w:rPr>
        <w:t xml:space="preserve">Industry </w:t>
      </w:r>
      <w:r w:rsidR="00E67D08" w:rsidRPr="006A74F8">
        <w:rPr>
          <w:rFonts w:eastAsia="Times New Roman"/>
        </w:rPr>
        <w:t>i</w:t>
      </w:r>
      <w:r w:rsidR="00E52449" w:rsidRPr="006A74F8">
        <w:rPr>
          <w:rFonts w:eastAsia="Times New Roman"/>
        </w:rPr>
        <w:t>mpact</w:t>
      </w:r>
      <w:bookmarkEnd w:id="2653"/>
      <w:bookmarkEnd w:id="2654"/>
      <w:bookmarkEnd w:id="2655"/>
      <w:bookmarkEnd w:id="2656"/>
      <w:bookmarkEnd w:id="2657"/>
      <w:bookmarkEnd w:id="2658"/>
      <w:bookmarkEnd w:id="2659"/>
      <w:bookmarkEnd w:id="2660"/>
      <w:bookmarkEnd w:id="2661"/>
      <w:bookmarkEnd w:id="2662"/>
    </w:p>
    <w:p w:rsidR="00E52449" w:rsidRPr="006A74F8" w:rsidRDefault="00834CAD" w:rsidP="00162DEE">
      <w:r w:rsidRPr="006A74F8">
        <w:t>Fast moving consumer goods (</w:t>
      </w:r>
      <w:r w:rsidR="00E52449" w:rsidRPr="006A74F8">
        <w:t>FMCGs</w:t>
      </w:r>
      <w:r w:rsidRPr="006A74F8">
        <w:t>)</w:t>
      </w:r>
      <w:r w:rsidR="00E52449" w:rsidRPr="006A74F8">
        <w:t xml:space="preserve"> such as cosmetics and alcoholic beverages sometimes need relabelling. This is mainly for products imported from the EU</w:t>
      </w:r>
      <w:r w:rsidRPr="006A74F8">
        <w:t xml:space="preserve"> (and the UK).</w:t>
      </w:r>
      <w:r w:rsidR="00E05677" w:rsidRPr="006A74F8">
        <w:rPr>
          <w:rStyle w:val="FootnoteReference"/>
          <w:sz w:val="20"/>
          <w:szCs w:val="20"/>
        </w:rPr>
        <w:footnoteReference w:id="156"/>
      </w:r>
      <w:r w:rsidR="00E52449" w:rsidRPr="006A74F8">
        <w:t xml:space="preserve"> In 2018/19, $1.</w:t>
      </w:r>
      <w:r w:rsidR="00DC2C74" w:rsidRPr="006A74F8">
        <w:t>14 billion</w:t>
      </w:r>
      <w:r w:rsidRPr="006A74F8">
        <w:t xml:space="preserve"> and </w:t>
      </w:r>
      <w:r w:rsidR="00E52449" w:rsidRPr="006A74F8">
        <w:t>$1.</w:t>
      </w:r>
      <w:r w:rsidRPr="006A74F8">
        <w:t>00</w:t>
      </w:r>
      <w:r w:rsidR="00DC2C74" w:rsidRPr="006A74F8">
        <w:t xml:space="preserve"> </w:t>
      </w:r>
      <w:r w:rsidRPr="006A74F8">
        <w:t>b</w:t>
      </w:r>
      <w:r w:rsidR="00DC2C74" w:rsidRPr="006A74F8">
        <w:t>illion</w:t>
      </w:r>
      <w:r w:rsidR="00E52449" w:rsidRPr="006A74F8">
        <w:t xml:space="preserve"> of alcoholic beverages, and perfumery and cosmetics (excluding soap)</w:t>
      </w:r>
      <w:r w:rsidRPr="006A74F8">
        <w:t>,</w:t>
      </w:r>
      <w:r w:rsidR="00E52449" w:rsidRPr="006A74F8">
        <w:t xml:space="preserve"> respectively were imported from the EU.</w:t>
      </w:r>
      <w:r w:rsidR="00E52449" w:rsidRPr="006A74F8">
        <w:rPr>
          <w:vertAlign w:val="superscript"/>
        </w:rPr>
        <w:footnoteReference w:id="157"/>
      </w:r>
      <w:r w:rsidR="00E52449" w:rsidRPr="006A74F8">
        <w:t xml:space="preserve"> Imports in these sectors had increased by 19.7</w:t>
      </w:r>
      <w:r w:rsidR="002519F3" w:rsidRPr="006A74F8">
        <w:t>%</w:t>
      </w:r>
      <w:r w:rsidR="00E52449" w:rsidRPr="006A74F8">
        <w:t xml:space="preserve"> and 30.0</w:t>
      </w:r>
      <w:r w:rsidR="002519F3" w:rsidRPr="006A74F8">
        <w:t>%</w:t>
      </w:r>
      <w:r w:rsidR="00D93243" w:rsidRPr="006A74F8">
        <w:t>,</w:t>
      </w:r>
      <w:r w:rsidR="00E52449" w:rsidRPr="006A74F8">
        <w:t xml:space="preserve"> respectively over the last two year</w:t>
      </w:r>
      <w:r w:rsidRPr="006A74F8">
        <w:t>s</w:t>
      </w:r>
      <w:r w:rsidR="00E52449" w:rsidRPr="006A74F8">
        <w:t>.</w:t>
      </w:r>
      <w:r w:rsidR="00E52449" w:rsidRPr="006A74F8">
        <w:rPr>
          <w:vertAlign w:val="superscript"/>
        </w:rPr>
        <w:footnoteReference w:id="158"/>
      </w:r>
      <w:r w:rsidR="00E52449" w:rsidRPr="006A74F8">
        <w:t xml:space="preserve"> </w:t>
      </w:r>
    </w:p>
    <w:p w:rsidR="00E52449" w:rsidRPr="006A74F8" w:rsidRDefault="00E52449" w:rsidP="00162DEE">
      <w:r w:rsidRPr="006A74F8">
        <w:t>The cost savings to industry is dependent on the number of units relabelled (i.e</w:t>
      </w:r>
      <w:r w:rsidR="00834CAD" w:rsidRPr="006A74F8">
        <w:t>.</w:t>
      </w:r>
      <w:r w:rsidRPr="006A74F8">
        <w:t xml:space="preserve"> the total number of units imported to Australia multiplied by the percentage relabelled) and the cost to relabel one unit.</w:t>
      </w:r>
    </w:p>
    <w:tbl>
      <w:tblPr>
        <w:tblStyle w:val="GridTable1Light-Accent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labelling cost"/>
        <w:tblDescription w:val="Relabelling cost equals (units imported) multiplied by (cost of relabelling) multiplied by (percentage units relabelled)"/>
      </w:tblPr>
      <w:tblGrid>
        <w:gridCol w:w="1656"/>
        <w:gridCol w:w="326"/>
        <w:gridCol w:w="4550"/>
      </w:tblGrid>
      <w:tr w:rsidR="00E52449" w:rsidRPr="006A74F8" w:rsidTr="00D569B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52449" w:rsidRPr="006A74F8" w:rsidRDefault="00E52449" w:rsidP="00E52449">
            <w:pPr>
              <w:spacing w:after="240" w:line="300" w:lineRule="auto"/>
              <w:jc w:val="center"/>
              <w:rPr>
                <w:rFonts w:eastAsia="Calibri" w:cstheme="minorHAnsi"/>
                <w:i/>
              </w:rPr>
            </w:pPr>
            <w:r w:rsidRPr="006A74F8">
              <w:rPr>
                <w:rFonts w:eastAsia="Calibri" w:cstheme="minorHAnsi"/>
                <w:i/>
              </w:rPr>
              <w:t>Relabelling cost</w:t>
            </w:r>
          </w:p>
        </w:tc>
        <w:tc>
          <w:tcPr>
            <w:tcW w:w="0" w:type="auto"/>
            <w:vAlign w:val="center"/>
          </w:tcPr>
          <w:p w:rsidR="00E52449" w:rsidRPr="006A74F8" w:rsidRDefault="00E52449" w:rsidP="00E52449">
            <w:pPr>
              <w:spacing w:after="240" w:line="30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i/>
              </w:rPr>
            </w:pPr>
            <w:r w:rsidRPr="006A74F8">
              <w:rPr>
                <w:rFonts w:eastAsia="Calibri" w:cstheme="minorHAnsi"/>
                <w:i/>
              </w:rPr>
              <w:t>=</w:t>
            </w:r>
          </w:p>
        </w:tc>
        <w:tc>
          <w:tcPr>
            <w:tcW w:w="4550" w:type="dxa"/>
            <w:vAlign w:val="center"/>
          </w:tcPr>
          <w:p w:rsidR="00E52449" w:rsidRPr="006A74F8" w:rsidRDefault="00E52449" w:rsidP="00E52449">
            <w:pPr>
              <w:spacing w:after="240" w:line="30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i/>
              </w:rPr>
            </w:pPr>
            <w:r w:rsidRPr="006A74F8">
              <w:rPr>
                <w:rFonts w:eastAsia="Calibri" w:cstheme="minorHAnsi"/>
                <w:i/>
              </w:rPr>
              <w:t>(units imported) (cost of relabelling) (percentage units relabelled)</w:t>
            </w:r>
          </w:p>
        </w:tc>
      </w:tr>
    </w:tbl>
    <w:p w:rsidR="00E52449" w:rsidRPr="006A74F8" w:rsidRDefault="00E52449" w:rsidP="000272C7">
      <w:pPr>
        <w:pStyle w:val="Heading3"/>
        <w:tabs>
          <w:tab w:val="left" w:pos="993"/>
        </w:tabs>
        <w:rPr>
          <w:rFonts w:eastAsia="Calibri" w:cs="Times New Roman"/>
        </w:rPr>
      </w:pPr>
      <w:r w:rsidRPr="006A74F8">
        <w:rPr>
          <w:rFonts w:eastAsia="Calibri"/>
        </w:rPr>
        <w:lastRenderedPageBreak/>
        <w:t xml:space="preserve">Units </w:t>
      </w:r>
      <w:r w:rsidR="00E67D08" w:rsidRPr="006A74F8">
        <w:rPr>
          <w:rFonts w:eastAsia="Calibri"/>
        </w:rPr>
        <w:t>i</w:t>
      </w:r>
      <w:r w:rsidRPr="006A74F8">
        <w:rPr>
          <w:rFonts w:eastAsia="Calibri"/>
        </w:rPr>
        <w:t>mported</w:t>
      </w:r>
    </w:p>
    <w:p w:rsidR="00E52449" w:rsidRPr="006A74F8" w:rsidRDefault="00E52449" w:rsidP="00162DEE">
      <w:r w:rsidRPr="006A74F8">
        <w:t>Data for cosmetics and alcoholic beverages is sourced from the departmental Trade Information System</w:t>
      </w:r>
      <w:r w:rsidRPr="006A74F8">
        <w:rPr>
          <w:vertAlign w:val="superscript"/>
        </w:rPr>
        <w:footnoteReference w:id="159"/>
      </w:r>
      <w:r w:rsidRPr="006A74F8">
        <w:t xml:space="preserve"> and combined with the Harmonised System codes.</w:t>
      </w:r>
      <w:r w:rsidRPr="006A74F8">
        <w:rPr>
          <w:vertAlign w:val="superscript"/>
        </w:rPr>
        <w:footnoteReference w:id="160"/>
      </w:r>
      <w:r w:rsidRPr="006A74F8">
        <w:t xml:space="preserve"> In each 4-digit code, a proxy product is selected to get an indicative cost and quantity of a type example of a unit </w:t>
      </w:r>
      <w:r w:rsidR="00236C6B" w:rsidRPr="006A74F8">
        <w:t>(</w:t>
      </w:r>
      <w:hyperlink w:anchor="_Proxy_products_for" w:history="1">
        <w:r w:rsidR="00236C6B" w:rsidRPr="006A74F8">
          <w:rPr>
            <w:rStyle w:val="Hyperlink"/>
          </w:rPr>
          <w:t>section 18.4.6</w:t>
        </w:r>
      </w:hyperlink>
      <w:r w:rsidR="00236C6B" w:rsidRPr="006A74F8">
        <w:t xml:space="preserve"> Proxy products for each cosmetic class </w:t>
      </w:r>
      <w:r w:rsidR="00DC2C74" w:rsidRPr="006A74F8">
        <w:t>and</w:t>
      </w:r>
      <w:r w:rsidR="00236C6B" w:rsidRPr="006A74F8">
        <w:t xml:space="preserve"> </w:t>
      </w:r>
      <w:hyperlink w:anchor="_Proxy_products_for_1" w:history="1">
        <w:r w:rsidR="00236C6B" w:rsidRPr="006A74F8">
          <w:rPr>
            <w:rStyle w:val="Hyperlink"/>
          </w:rPr>
          <w:t>section 18.4.10</w:t>
        </w:r>
      </w:hyperlink>
      <w:r w:rsidR="00236C6B" w:rsidRPr="006A74F8">
        <w:t xml:space="preserve"> Proxy products for each beverage class</w:t>
      </w:r>
      <w:r w:rsidR="001B5DB1" w:rsidRPr="006A74F8">
        <w:t>)</w:t>
      </w:r>
      <w:r w:rsidR="00DC2C74" w:rsidRPr="006A74F8">
        <w:t>.</w:t>
      </w:r>
      <w:r w:rsidR="00A068B6" w:rsidRPr="006A74F8">
        <w:t xml:space="preserve"> </w:t>
      </w:r>
      <w:r w:rsidRPr="006A74F8">
        <w:t>The proxy product is then used to estimate the number of units imported, based on value and on quantity</w:t>
      </w:r>
      <w:r w:rsidR="001969F8" w:rsidRPr="006A74F8">
        <w:t>.</w:t>
      </w:r>
    </w:p>
    <w:p w:rsidR="00E52449" w:rsidRPr="006A74F8" w:rsidRDefault="00E52449" w:rsidP="00162DEE">
      <w:r w:rsidRPr="006A74F8">
        <w:t xml:space="preserve">Using the proxy samples, estimates were made of the number of units imported, based on value and on quantity. The number of units calculated by price was generally smaller than by volume. This was attributed to proxy using a retail cost, whereas the trade data is based on wholesale cost. Additionally, the proxy product may not accurately represent the average product, and so the proxy price and volume is adjusted to ensure the unit import volume is similar for both product value and product volume. </w:t>
      </w:r>
      <w:r w:rsidR="003A15CA" w:rsidRPr="006A74F8">
        <w:t>The adjusted values are included in the tables at</w:t>
      </w:r>
      <w:r w:rsidR="00DA2B54" w:rsidRPr="006A74F8">
        <w:t xml:space="preserve"> </w:t>
      </w:r>
      <w:hyperlink w:anchor="_Cosmetics_import_costs" w:history="1">
        <w:r w:rsidR="000F389D" w:rsidRPr="006A74F8">
          <w:rPr>
            <w:rStyle w:val="Hyperlink"/>
          </w:rPr>
          <w:t>section 18.4.5</w:t>
        </w:r>
      </w:hyperlink>
      <w:r w:rsidR="00DA2B54" w:rsidRPr="006A74F8">
        <w:t xml:space="preserve"> </w:t>
      </w:r>
      <w:r w:rsidR="000F389D" w:rsidRPr="006A74F8">
        <w:t>(</w:t>
      </w:r>
      <w:r w:rsidR="00BA2E7E" w:rsidRPr="006A74F8">
        <w:t>Cosmetics import costs and volumes from the EU</w:t>
      </w:r>
      <w:r w:rsidR="000F389D" w:rsidRPr="006A74F8">
        <w:t>)</w:t>
      </w:r>
      <w:r w:rsidR="00BA2E7E" w:rsidRPr="006A74F8">
        <w:t xml:space="preserve"> </w:t>
      </w:r>
      <w:r w:rsidR="00BA2E7E" w:rsidRPr="006A74F8">
        <w:rPr>
          <w:color w:val="000000" w:themeColor="text1"/>
        </w:rPr>
        <w:t>and</w:t>
      </w:r>
      <w:r w:rsidR="00DA2B54" w:rsidRPr="006A74F8">
        <w:rPr>
          <w:color w:val="000000" w:themeColor="text1"/>
        </w:rPr>
        <w:t xml:space="preserve"> </w:t>
      </w:r>
      <w:hyperlink w:anchor="_Beverage_import_costs" w:history="1">
        <w:r w:rsidR="00075D5E" w:rsidRPr="006A74F8">
          <w:rPr>
            <w:rStyle w:val="Hyperlink"/>
          </w:rPr>
          <w:t>section 18.4.9</w:t>
        </w:r>
      </w:hyperlink>
      <w:r w:rsidR="00DA2B54" w:rsidRPr="006A74F8">
        <w:rPr>
          <w:color w:val="000000" w:themeColor="text1"/>
        </w:rPr>
        <w:t xml:space="preserve"> </w:t>
      </w:r>
      <w:r w:rsidR="000F389D" w:rsidRPr="006A74F8">
        <w:rPr>
          <w:color w:val="000000" w:themeColor="text1"/>
        </w:rPr>
        <w:t>(</w:t>
      </w:r>
      <w:r w:rsidR="00BA2E7E" w:rsidRPr="006A74F8">
        <w:rPr>
          <w:color w:val="000000" w:themeColor="text1"/>
        </w:rPr>
        <w:t>Beverage import</w:t>
      </w:r>
      <w:r w:rsidR="00D13929" w:rsidRPr="006A74F8">
        <w:rPr>
          <w:color w:val="000000" w:themeColor="text1"/>
        </w:rPr>
        <w:t xml:space="preserve"> costs and volumes from the EU</w:t>
      </w:r>
      <w:r w:rsidR="000F389D" w:rsidRPr="006A74F8">
        <w:rPr>
          <w:color w:val="000000" w:themeColor="text1"/>
        </w:rPr>
        <w:t>).</w:t>
      </w:r>
      <w:r w:rsidR="00D13929" w:rsidRPr="006A74F8">
        <w:rPr>
          <w:color w:val="000000" w:themeColor="text1"/>
        </w:rPr>
        <w:t xml:space="preserve"> </w:t>
      </w:r>
      <w:r w:rsidR="00BA2E7E" w:rsidRPr="006A74F8">
        <w:t>As data is not complete for the volume imported, estimates of the unit import number only use the product value data.</w:t>
      </w:r>
    </w:p>
    <w:p w:rsidR="00E52449" w:rsidRPr="006A74F8" w:rsidRDefault="00E52449" w:rsidP="000272C7">
      <w:pPr>
        <w:pStyle w:val="Heading4"/>
        <w:tabs>
          <w:tab w:val="left" w:pos="1134"/>
        </w:tabs>
        <w:rPr>
          <w:rFonts w:eastAsia="Calibri" w:cs="Times New Roman"/>
        </w:rPr>
      </w:pPr>
      <w:r w:rsidRPr="006A74F8">
        <w:rPr>
          <w:rFonts w:eastAsia="Calibri"/>
        </w:rPr>
        <w:t xml:space="preserve">Cost of </w:t>
      </w:r>
      <w:r w:rsidR="00E67D08" w:rsidRPr="006A74F8">
        <w:rPr>
          <w:rFonts w:eastAsia="Calibri"/>
        </w:rPr>
        <w:t>r</w:t>
      </w:r>
      <w:r w:rsidRPr="006A74F8">
        <w:rPr>
          <w:rFonts w:eastAsia="Calibri"/>
        </w:rPr>
        <w:t>elabelling</w:t>
      </w:r>
    </w:p>
    <w:p w:rsidR="00E52449" w:rsidRPr="006A74F8" w:rsidRDefault="00507259" w:rsidP="00162DEE">
      <w:r w:rsidRPr="006A74F8">
        <w:t>This</w:t>
      </w:r>
      <w:r w:rsidR="00E52449" w:rsidRPr="006A74F8">
        <w:t xml:space="preserve"> RIS acknowledges the varying cost of relabelling estimates submitted during consultations. For example, industry groups estimate the cost to relabel is 25 cents to $1 per unit for cosmetic goods, and this results in an overall cost of $10</w:t>
      </w:r>
      <w:r w:rsidR="0022596D" w:rsidRPr="006A74F8">
        <w:t>,</w:t>
      </w:r>
      <w:r w:rsidR="00E52449" w:rsidRPr="006A74F8">
        <w:t>000 to $75</w:t>
      </w:r>
      <w:r w:rsidR="0022596D" w:rsidRPr="006A74F8">
        <w:t>,</w:t>
      </w:r>
      <w:r w:rsidR="00E52449" w:rsidRPr="006A74F8">
        <w:t>000 for a product run.</w:t>
      </w:r>
      <w:r w:rsidR="00E52449" w:rsidRPr="006A74F8">
        <w:rPr>
          <w:vertAlign w:val="superscript"/>
        </w:rPr>
        <w:footnoteReference w:id="161"/>
      </w:r>
      <w:r w:rsidR="00E52449" w:rsidRPr="006A74F8">
        <w:t xml:space="preserve"> For this RIS, a range of labelling costs is assumed to be between 30c and 70c per unit for cosmetic and beverage imports. </w:t>
      </w:r>
    </w:p>
    <w:p w:rsidR="00E52449" w:rsidRPr="006A74F8" w:rsidRDefault="00E52449" w:rsidP="000272C7">
      <w:pPr>
        <w:pStyle w:val="Heading4"/>
        <w:tabs>
          <w:tab w:val="left" w:pos="1134"/>
        </w:tabs>
        <w:rPr>
          <w:rFonts w:eastAsia="Calibri"/>
        </w:rPr>
      </w:pPr>
      <w:r w:rsidRPr="006A74F8">
        <w:rPr>
          <w:rFonts w:eastAsia="Calibri"/>
        </w:rPr>
        <w:t>Percentage of Units relabelled</w:t>
      </w:r>
    </w:p>
    <w:p w:rsidR="00E52449" w:rsidRPr="006A74F8" w:rsidRDefault="00E52449" w:rsidP="00162DEE">
      <w:r w:rsidRPr="006A74F8">
        <w:t>This R</w:t>
      </w:r>
      <w:r w:rsidR="00A068B6" w:rsidRPr="006A74F8">
        <w:t>IS</w:t>
      </w:r>
      <w:r w:rsidRPr="006A74F8">
        <w:t xml:space="preserve"> estimates between 5 per cent and 30 per cent of units require relabelling. This is based on A</w:t>
      </w:r>
      <w:r w:rsidR="008619FA" w:rsidRPr="006A74F8">
        <w:t>ccord estimates that around 5</w:t>
      </w:r>
      <w:r w:rsidRPr="006A74F8">
        <w:t xml:space="preserve"> per cent of EU imported products have no unit measure on the principal display panel and 24 per cent who do comply with the principle display panel requirement are below the font height required.</w:t>
      </w:r>
    </w:p>
    <w:p w:rsidR="00E52449" w:rsidRPr="006A74F8" w:rsidRDefault="00E52449" w:rsidP="00162DEE">
      <w:r w:rsidRPr="006A74F8">
        <w:t>This RIS also includes an estimate of the potential cost to relabel imported foods, which would represent a savings for industry under options 2 and 3. The CoOL consultations</w:t>
      </w:r>
      <w:r w:rsidRPr="006A74F8">
        <w:rPr>
          <w:vertAlign w:val="superscript"/>
        </w:rPr>
        <w:footnoteReference w:id="162"/>
      </w:r>
      <w:r w:rsidRPr="006A74F8">
        <w:t xml:space="preserve"> estimates there are 78</w:t>
      </w:r>
      <w:r w:rsidR="0022596D" w:rsidRPr="006A74F8">
        <w:t>,</w:t>
      </w:r>
      <w:r w:rsidRPr="006A74F8">
        <w:t>800 stock keeping units (SKUs) in Australia with imported food products (packaged and unpackaged) accounting for four per cent of all products i.e. 3,152 SKUs. As SKUs are a product’s identification code, it is anticipated the level of savings is likely to be larger if savings were calculated per unit.</w:t>
      </w:r>
    </w:p>
    <w:p w:rsidR="00E52449" w:rsidRPr="006A74F8" w:rsidRDefault="00E52449" w:rsidP="000272C7">
      <w:pPr>
        <w:pStyle w:val="Heading3"/>
        <w:tabs>
          <w:tab w:val="left" w:pos="993"/>
        </w:tabs>
        <w:rPr>
          <w:rFonts w:eastAsia="Times New Roman"/>
        </w:rPr>
      </w:pPr>
      <w:bookmarkStart w:id="2663" w:name="_Toc479769498"/>
      <w:bookmarkStart w:id="2664" w:name="_Toc493510759"/>
      <w:bookmarkStart w:id="2665" w:name="_Toc500929377"/>
      <w:bookmarkStart w:id="2666" w:name="_Toc501463837"/>
      <w:bookmarkStart w:id="2667" w:name="_Toc503535551"/>
      <w:bookmarkStart w:id="2668" w:name="_Toc503539729"/>
      <w:bookmarkStart w:id="2669" w:name="_Toc503882263"/>
      <w:bookmarkStart w:id="2670" w:name="_Toc518032777"/>
      <w:r w:rsidRPr="006A74F8">
        <w:rPr>
          <w:rFonts w:eastAsia="Times New Roman"/>
        </w:rPr>
        <w:t xml:space="preserve">Option 1 – </w:t>
      </w:r>
      <w:r w:rsidR="00E67D08" w:rsidRPr="006A74F8">
        <w:rPr>
          <w:rFonts w:eastAsia="Times New Roman"/>
        </w:rPr>
        <w:t>e</w:t>
      </w:r>
      <w:r w:rsidRPr="006A74F8">
        <w:rPr>
          <w:rFonts w:eastAsia="Times New Roman"/>
        </w:rPr>
        <w:t>xemption for cosmetics</w:t>
      </w:r>
      <w:bookmarkEnd w:id="2663"/>
      <w:bookmarkEnd w:id="2664"/>
      <w:bookmarkEnd w:id="2665"/>
      <w:bookmarkEnd w:id="2666"/>
      <w:bookmarkEnd w:id="2667"/>
      <w:bookmarkEnd w:id="2668"/>
      <w:bookmarkEnd w:id="2669"/>
      <w:bookmarkEnd w:id="2670"/>
    </w:p>
    <w:p w:rsidR="00E52449" w:rsidRPr="006A74F8" w:rsidRDefault="00E52449" w:rsidP="00162DEE">
      <w:r w:rsidRPr="006A74F8">
        <w:t>There is no additional cost to industry from the amendments. The only effect of is a possible savings to the cosmetic sector.</w:t>
      </w:r>
    </w:p>
    <w:p w:rsidR="00E52449" w:rsidRPr="006A74F8" w:rsidRDefault="00E52449" w:rsidP="00162DEE">
      <w:r w:rsidRPr="006A74F8">
        <w:t xml:space="preserve">From the 2019/20 trade data </w:t>
      </w:r>
      <w:r w:rsidR="00584459" w:rsidRPr="006A74F8">
        <w:t>(</w:t>
      </w:r>
      <w:hyperlink w:anchor="_Estimated_costs_to" w:history="1">
        <w:r w:rsidR="00584459" w:rsidRPr="006A74F8">
          <w:rPr>
            <w:rStyle w:val="Hyperlink"/>
          </w:rPr>
          <w:t>section 18.4.7</w:t>
        </w:r>
      </w:hyperlink>
      <w:r w:rsidR="00C03691" w:rsidRPr="006A74F8">
        <w:t xml:space="preserve"> </w:t>
      </w:r>
      <w:r w:rsidR="00584459" w:rsidRPr="006A74F8">
        <w:t>Estimated costs to industry for each cosmetic class – boundary cases)</w:t>
      </w:r>
      <w:r w:rsidRPr="006A74F8">
        <w:t xml:space="preserve"> the number of units imported from the EU per year based on value was estimated </w:t>
      </w:r>
      <w:r w:rsidRPr="006A74F8">
        <w:lastRenderedPageBreak/>
        <w:t>to be 226 million</w:t>
      </w:r>
      <w:r w:rsidR="00046816">
        <w:t xml:space="preserve"> units</w:t>
      </w:r>
      <w:r w:rsidRPr="006A74F8">
        <w:t>. Accord estimates ac</w:t>
      </w:r>
      <w:r w:rsidR="008619FA" w:rsidRPr="006A74F8">
        <w:t>ross all categories, around 5</w:t>
      </w:r>
      <w:r w:rsidRPr="006A74F8">
        <w:t xml:space="preserve"> per cent of products have no unit measure on the principal display panel. Setting the proxy product costs as fixed, the estimate for the cost to relabel has two variables</w:t>
      </w:r>
      <w:r w:rsidR="0068782D" w:rsidRPr="006A74F8">
        <w:t>;</w:t>
      </w:r>
      <w:r w:rsidRPr="006A74F8">
        <w:t xml:space="preserve"> the percentage of products needing relabelling (estimated to be between 5 per cent and 30 per cent</w:t>
      </w:r>
      <w:r w:rsidR="0068782D" w:rsidRPr="006A74F8">
        <w:t>)</w:t>
      </w:r>
      <w:r w:rsidRPr="006A74F8">
        <w:t xml:space="preserve"> and the cost of relabelling (30c to 70c).</w:t>
      </w:r>
    </w:p>
    <w:p w:rsidR="00E52449" w:rsidRPr="006A74F8" w:rsidRDefault="00E52449" w:rsidP="00162DEE">
      <w:r w:rsidRPr="006A74F8">
        <w:t xml:space="preserve">The value for the cost for relabelling is shown below in Table </w:t>
      </w:r>
      <w:r w:rsidR="000B26B8" w:rsidRPr="006A74F8">
        <w:t>A</w:t>
      </w:r>
      <w:r w:rsidR="00C659D7" w:rsidRPr="006A74F8">
        <w:t>9</w:t>
      </w:r>
      <w:r w:rsidR="000B26B8" w:rsidRPr="006A74F8">
        <w:t>-</w:t>
      </w:r>
      <w:r w:rsidR="00D13929" w:rsidRPr="006A74F8">
        <w:t xml:space="preserve"> 4</w:t>
      </w:r>
      <w:r w:rsidRPr="006A74F8">
        <w:t>. Using these estimates, the cost of relabelling to industry could be from $3.4 million to $47.5 million. This equates to between 11.3 million and 67.8 million units being relabelled</w:t>
      </w:r>
      <w:r w:rsidR="00D13929" w:rsidRPr="006A74F8">
        <w:t xml:space="preserve"> (</w:t>
      </w:r>
      <w:r w:rsidR="00C659D7" w:rsidRPr="006A74F8">
        <w:t xml:space="preserve">see </w:t>
      </w:r>
      <w:hyperlink w:anchor="_Estimated_costs_to" w:history="1">
        <w:r w:rsidR="00C659D7" w:rsidRPr="006A74F8">
          <w:rPr>
            <w:rStyle w:val="Hyperlink"/>
          </w:rPr>
          <w:t>section 18.4.7</w:t>
        </w:r>
      </w:hyperlink>
      <w:r w:rsidR="00C659D7" w:rsidRPr="006A74F8">
        <w:t xml:space="preserve"> Estimated costs to industry for each cosmetic class – boundary cases)</w:t>
      </w:r>
      <w:r w:rsidR="00BB47D8" w:rsidRPr="006A74F8">
        <w:t>.</w:t>
      </w:r>
      <w:bookmarkStart w:id="2671" w:name="_Ref503529341"/>
    </w:p>
    <w:bookmarkEnd w:id="2671"/>
    <w:p w:rsidR="00835356" w:rsidRPr="006A74F8" w:rsidRDefault="00835356" w:rsidP="00835356">
      <w:pPr>
        <w:pStyle w:val="Caption"/>
        <w:keepNext/>
      </w:pPr>
      <w:r w:rsidRPr="006A74F8">
        <w:t>Table A</w:t>
      </w:r>
      <w:r w:rsidR="00C76A5E" w:rsidRPr="006A74F8">
        <w:t>9</w:t>
      </w:r>
      <w:r w:rsidRPr="006A74F8">
        <w:t xml:space="preserve">- </w:t>
      </w:r>
      <w:r w:rsidR="00C90261" w:rsidRPr="006A74F8">
        <w:rPr>
          <w:noProof/>
        </w:rPr>
        <w:fldChar w:fldCharType="begin"/>
      </w:r>
      <w:r w:rsidR="00C90261" w:rsidRPr="006A74F8">
        <w:rPr>
          <w:noProof/>
        </w:rPr>
        <w:instrText xml:space="preserve"> SEQ Table_A10- \* ARABIC </w:instrText>
      </w:r>
      <w:r w:rsidR="00C90261" w:rsidRPr="006A74F8">
        <w:rPr>
          <w:noProof/>
        </w:rPr>
        <w:fldChar w:fldCharType="separate"/>
      </w:r>
      <w:r w:rsidR="0033017F">
        <w:rPr>
          <w:noProof/>
        </w:rPr>
        <w:t>4</w:t>
      </w:r>
      <w:r w:rsidR="00C90261" w:rsidRPr="006A74F8">
        <w:rPr>
          <w:noProof/>
        </w:rPr>
        <w:fldChar w:fldCharType="end"/>
      </w:r>
      <w:r w:rsidRPr="006A74F8">
        <w:t>: Varying cost estimates for the relabelling of cosmetics</w:t>
      </w:r>
    </w:p>
    <w:tbl>
      <w:tblPr>
        <w:tblStyle w:val="TableGrid"/>
        <w:tblW w:w="3638" w:type="pct"/>
        <w:tblInd w:w="-5" w:type="dxa"/>
        <w:tblLook w:val="04A0" w:firstRow="1" w:lastRow="0" w:firstColumn="1" w:lastColumn="0" w:noHBand="0" w:noVBand="1"/>
        <w:tblCaption w:val="Table 9: Varying cost estimates for the relabelling of cosmetics"/>
        <w:tblDescription w:val="If 5 percent of the products need relabelling then the cost to relabel is estimated at 2.3 million dollars at 30 cents per unit, and 5.5 million dollars at 70 cents per unit.                                                                                                             If 30 percent of the products need relabelling then the cost to relabel is estimated at 14.0 million dollars at 30 cents per unit, and 32.8 million  dollars at 70 cents per unit.                        "/>
      </w:tblPr>
      <w:tblGrid>
        <w:gridCol w:w="3113"/>
        <w:gridCol w:w="1560"/>
        <w:gridCol w:w="1887"/>
      </w:tblGrid>
      <w:tr w:rsidR="00E52449" w:rsidRPr="006A74F8" w:rsidTr="00320404">
        <w:trPr>
          <w:trHeight w:val="439"/>
          <w:tblHeader/>
        </w:trPr>
        <w:tc>
          <w:tcPr>
            <w:tcW w:w="2373" w:type="pct"/>
            <w:vMerge w:val="restart"/>
            <w:shd w:val="clear" w:color="auto" w:fill="004059" w:themeFill="text2" w:themeFillShade="BF"/>
            <w:vAlign w:val="center"/>
          </w:tcPr>
          <w:p w:rsidR="00E52449" w:rsidRPr="006A74F8" w:rsidRDefault="0068782D" w:rsidP="00DB10A3">
            <w:pPr>
              <w:spacing w:line="300" w:lineRule="auto"/>
              <w:jc w:val="center"/>
              <w:rPr>
                <w:rFonts w:cstheme="minorHAnsi"/>
                <w:b/>
                <w:sz w:val="20"/>
              </w:rPr>
            </w:pPr>
            <w:r w:rsidRPr="006A74F8">
              <w:rPr>
                <w:rFonts w:cstheme="minorHAnsi"/>
                <w:b/>
                <w:sz w:val="20"/>
              </w:rPr>
              <w:t>%</w:t>
            </w:r>
            <w:r w:rsidR="00E52449" w:rsidRPr="006A74F8">
              <w:rPr>
                <w:rFonts w:cstheme="minorHAnsi"/>
                <w:b/>
                <w:sz w:val="20"/>
              </w:rPr>
              <w:t xml:space="preserve"> of </w:t>
            </w:r>
            <w:r w:rsidRPr="006A74F8">
              <w:rPr>
                <w:rFonts w:cstheme="minorHAnsi"/>
                <w:b/>
                <w:sz w:val="20"/>
              </w:rPr>
              <w:t>P</w:t>
            </w:r>
            <w:r w:rsidR="00E52449" w:rsidRPr="006A74F8">
              <w:rPr>
                <w:rFonts w:cstheme="minorHAnsi"/>
                <w:b/>
                <w:sz w:val="20"/>
              </w:rPr>
              <w:t>roducts needing relabelling</w:t>
            </w:r>
          </w:p>
        </w:tc>
        <w:tc>
          <w:tcPr>
            <w:tcW w:w="2627" w:type="pct"/>
            <w:gridSpan w:val="2"/>
            <w:shd w:val="clear" w:color="auto" w:fill="004059" w:themeFill="text2" w:themeFillShade="BF"/>
          </w:tcPr>
          <w:p w:rsidR="00E52449" w:rsidRPr="006A74F8" w:rsidRDefault="00E52449" w:rsidP="00DB10A3">
            <w:pPr>
              <w:spacing w:line="300" w:lineRule="auto"/>
              <w:jc w:val="center"/>
              <w:rPr>
                <w:rFonts w:cstheme="minorHAnsi"/>
                <w:b/>
                <w:sz w:val="20"/>
              </w:rPr>
            </w:pPr>
            <w:r w:rsidRPr="006A74F8">
              <w:rPr>
                <w:rFonts w:cstheme="minorHAnsi"/>
                <w:b/>
                <w:sz w:val="20"/>
              </w:rPr>
              <w:t>Cost to relabel</w:t>
            </w:r>
          </w:p>
        </w:tc>
      </w:tr>
      <w:tr w:rsidR="00E52449" w:rsidRPr="006A74F8" w:rsidTr="003763FF">
        <w:tc>
          <w:tcPr>
            <w:tcW w:w="2373" w:type="pct"/>
            <w:vMerge/>
            <w:shd w:val="clear" w:color="auto" w:fill="004059" w:themeFill="text2" w:themeFillShade="BF"/>
          </w:tcPr>
          <w:p w:rsidR="00E52449" w:rsidRPr="006A74F8" w:rsidRDefault="00E52449" w:rsidP="00DB10A3">
            <w:pPr>
              <w:spacing w:line="300" w:lineRule="auto"/>
              <w:jc w:val="center"/>
              <w:rPr>
                <w:rFonts w:cstheme="minorHAnsi"/>
                <w:b/>
                <w:sz w:val="20"/>
              </w:rPr>
            </w:pPr>
          </w:p>
        </w:tc>
        <w:tc>
          <w:tcPr>
            <w:tcW w:w="1189" w:type="pct"/>
            <w:shd w:val="clear" w:color="auto" w:fill="004059" w:themeFill="text2" w:themeFillShade="BF"/>
          </w:tcPr>
          <w:p w:rsidR="00E52449" w:rsidRPr="006A74F8" w:rsidRDefault="0068782D" w:rsidP="00DB10A3">
            <w:pPr>
              <w:spacing w:line="300" w:lineRule="auto"/>
              <w:jc w:val="center"/>
              <w:rPr>
                <w:rFonts w:cstheme="minorHAnsi"/>
                <w:b/>
                <w:sz w:val="20"/>
              </w:rPr>
            </w:pPr>
            <w:r w:rsidRPr="006A74F8">
              <w:rPr>
                <w:rFonts w:cstheme="minorHAnsi"/>
                <w:b/>
                <w:sz w:val="20"/>
              </w:rPr>
              <w:t>$</w:t>
            </w:r>
            <w:r w:rsidR="00E52449" w:rsidRPr="006A74F8">
              <w:rPr>
                <w:rFonts w:cstheme="minorHAnsi"/>
                <w:b/>
                <w:sz w:val="20"/>
              </w:rPr>
              <w:t>0.3</w:t>
            </w:r>
            <w:r w:rsidRPr="006A74F8">
              <w:rPr>
                <w:rFonts w:cstheme="minorHAnsi"/>
                <w:b/>
                <w:sz w:val="20"/>
              </w:rPr>
              <w:t>0 per unit</w:t>
            </w:r>
          </w:p>
        </w:tc>
        <w:tc>
          <w:tcPr>
            <w:tcW w:w="1438" w:type="pct"/>
            <w:shd w:val="clear" w:color="auto" w:fill="004059" w:themeFill="text2" w:themeFillShade="BF"/>
          </w:tcPr>
          <w:p w:rsidR="00E52449" w:rsidRPr="006A74F8" w:rsidRDefault="0068782D" w:rsidP="00DB10A3">
            <w:pPr>
              <w:spacing w:line="300" w:lineRule="auto"/>
              <w:jc w:val="center"/>
              <w:rPr>
                <w:rFonts w:cstheme="minorHAnsi"/>
                <w:b/>
                <w:sz w:val="20"/>
              </w:rPr>
            </w:pPr>
            <w:r w:rsidRPr="006A74F8">
              <w:rPr>
                <w:rFonts w:cstheme="minorHAnsi"/>
                <w:b/>
                <w:sz w:val="20"/>
              </w:rPr>
              <w:t>$</w:t>
            </w:r>
            <w:r w:rsidR="00E52449" w:rsidRPr="006A74F8">
              <w:rPr>
                <w:rFonts w:cstheme="minorHAnsi"/>
                <w:b/>
                <w:sz w:val="20"/>
              </w:rPr>
              <w:t>0.7</w:t>
            </w:r>
            <w:r w:rsidRPr="006A74F8">
              <w:rPr>
                <w:rFonts w:cstheme="minorHAnsi"/>
                <w:b/>
                <w:sz w:val="20"/>
              </w:rPr>
              <w:t>0 per unit</w:t>
            </w:r>
          </w:p>
        </w:tc>
      </w:tr>
      <w:tr w:rsidR="00E52449" w:rsidRPr="006A74F8" w:rsidTr="003763FF">
        <w:trPr>
          <w:trHeight w:val="454"/>
        </w:trPr>
        <w:tc>
          <w:tcPr>
            <w:tcW w:w="2373" w:type="pct"/>
            <w:vAlign w:val="center"/>
          </w:tcPr>
          <w:p w:rsidR="00E52449" w:rsidRPr="006A74F8" w:rsidRDefault="00E52449" w:rsidP="00E52449">
            <w:pPr>
              <w:spacing w:line="300" w:lineRule="auto"/>
              <w:jc w:val="center"/>
              <w:rPr>
                <w:rFonts w:cstheme="minorHAnsi"/>
                <w:b/>
                <w:sz w:val="20"/>
              </w:rPr>
            </w:pPr>
            <w:r w:rsidRPr="006A74F8">
              <w:rPr>
                <w:rFonts w:cstheme="minorHAnsi"/>
                <w:sz w:val="20"/>
              </w:rPr>
              <w:t>5</w:t>
            </w:r>
          </w:p>
        </w:tc>
        <w:tc>
          <w:tcPr>
            <w:tcW w:w="1189" w:type="pct"/>
            <w:vAlign w:val="center"/>
          </w:tcPr>
          <w:p w:rsidR="00E52449" w:rsidRPr="006A74F8" w:rsidRDefault="00E52449" w:rsidP="00DB10A3">
            <w:pPr>
              <w:spacing w:line="300" w:lineRule="auto"/>
              <w:jc w:val="center"/>
              <w:rPr>
                <w:rFonts w:cstheme="minorHAnsi"/>
                <w:sz w:val="20"/>
              </w:rPr>
            </w:pPr>
            <w:r w:rsidRPr="006A74F8">
              <w:rPr>
                <w:rFonts w:cstheme="minorHAnsi"/>
                <w:sz w:val="20"/>
              </w:rPr>
              <w:t>$3.4m</w:t>
            </w:r>
          </w:p>
        </w:tc>
        <w:tc>
          <w:tcPr>
            <w:tcW w:w="1438" w:type="pct"/>
            <w:vAlign w:val="center"/>
          </w:tcPr>
          <w:p w:rsidR="00E52449" w:rsidRPr="006A74F8" w:rsidRDefault="00E52449" w:rsidP="00DB10A3">
            <w:pPr>
              <w:spacing w:line="300" w:lineRule="auto"/>
              <w:jc w:val="center"/>
              <w:rPr>
                <w:rFonts w:cstheme="minorHAnsi"/>
                <w:sz w:val="20"/>
              </w:rPr>
            </w:pPr>
            <w:r w:rsidRPr="006A74F8">
              <w:rPr>
                <w:rFonts w:cstheme="minorHAnsi"/>
                <w:sz w:val="20"/>
              </w:rPr>
              <w:t>$7.9m</w:t>
            </w:r>
          </w:p>
        </w:tc>
      </w:tr>
      <w:tr w:rsidR="00E52449" w:rsidRPr="006A74F8" w:rsidTr="003763FF">
        <w:trPr>
          <w:trHeight w:val="454"/>
        </w:trPr>
        <w:tc>
          <w:tcPr>
            <w:tcW w:w="2373" w:type="pct"/>
            <w:vAlign w:val="center"/>
          </w:tcPr>
          <w:p w:rsidR="00E52449" w:rsidRPr="006A74F8" w:rsidRDefault="00E52449" w:rsidP="00E52449">
            <w:pPr>
              <w:spacing w:line="300" w:lineRule="auto"/>
              <w:jc w:val="center"/>
              <w:rPr>
                <w:rFonts w:cstheme="minorHAnsi"/>
                <w:b/>
                <w:sz w:val="20"/>
              </w:rPr>
            </w:pPr>
            <w:r w:rsidRPr="006A74F8">
              <w:rPr>
                <w:rFonts w:cstheme="minorHAnsi"/>
                <w:sz w:val="20"/>
              </w:rPr>
              <w:t>30</w:t>
            </w:r>
          </w:p>
        </w:tc>
        <w:tc>
          <w:tcPr>
            <w:tcW w:w="1189" w:type="pct"/>
            <w:vAlign w:val="center"/>
          </w:tcPr>
          <w:p w:rsidR="00E52449" w:rsidRPr="006A74F8" w:rsidRDefault="00E52449" w:rsidP="00DB10A3">
            <w:pPr>
              <w:spacing w:line="300" w:lineRule="auto"/>
              <w:jc w:val="center"/>
              <w:rPr>
                <w:rFonts w:cstheme="minorHAnsi"/>
                <w:sz w:val="20"/>
              </w:rPr>
            </w:pPr>
            <w:r w:rsidRPr="006A74F8">
              <w:rPr>
                <w:rFonts w:cstheme="minorHAnsi"/>
                <w:sz w:val="20"/>
              </w:rPr>
              <w:t>$20.3m</w:t>
            </w:r>
          </w:p>
        </w:tc>
        <w:tc>
          <w:tcPr>
            <w:tcW w:w="1438" w:type="pct"/>
            <w:vAlign w:val="center"/>
          </w:tcPr>
          <w:p w:rsidR="00E52449" w:rsidRPr="006A74F8" w:rsidRDefault="00E52449" w:rsidP="00DB10A3">
            <w:pPr>
              <w:spacing w:line="300" w:lineRule="auto"/>
              <w:jc w:val="center"/>
              <w:rPr>
                <w:rFonts w:cstheme="minorHAnsi"/>
                <w:sz w:val="20"/>
              </w:rPr>
            </w:pPr>
            <w:r w:rsidRPr="006A74F8">
              <w:rPr>
                <w:rFonts w:cstheme="minorHAnsi"/>
                <w:sz w:val="20"/>
              </w:rPr>
              <w:t>$47.5m</w:t>
            </w:r>
          </w:p>
        </w:tc>
      </w:tr>
    </w:tbl>
    <w:p w:rsidR="0068782D" w:rsidRPr="006A74F8" w:rsidRDefault="0068782D" w:rsidP="0068782D">
      <w:pPr>
        <w:jc w:val="center"/>
      </w:pPr>
    </w:p>
    <w:p w:rsidR="00E52449" w:rsidRPr="006A74F8" w:rsidRDefault="00E52449" w:rsidP="00162DEE">
      <w:r w:rsidRPr="006A74F8">
        <w:t xml:space="preserve">Although the upper end of the estimated values is substantial, the expectation is that the number of product lines that currently are being relabelled is towards the lower end of these estimates. </w:t>
      </w:r>
    </w:p>
    <w:p w:rsidR="00E52449" w:rsidRPr="006A74F8" w:rsidRDefault="00E52449" w:rsidP="00162DEE">
      <w:r w:rsidRPr="006A74F8">
        <w:t xml:space="preserve">For the current purposes, in evaluating the savings from </w:t>
      </w:r>
      <w:r w:rsidR="009F0892" w:rsidRPr="006A74F8">
        <w:t>o</w:t>
      </w:r>
      <w:r w:rsidRPr="006A74F8">
        <w:t>ption 1, the assumptions of 5 per cent of products needing relabelling, and 50c per unit results in $5.7 million in savings to industry (</w:t>
      </w:r>
      <w:r w:rsidR="00DF428C" w:rsidRPr="006A74F8">
        <w:t>Table</w:t>
      </w:r>
      <w:r w:rsidR="00C76A5E" w:rsidRPr="006A74F8">
        <w:t> </w:t>
      </w:r>
      <w:r w:rsidR="00DF428C" w:rsidRPr="006A74F8">
        <w:t>A</w:t>
      </w:r>
      <w:r w:rsidR="00C76A5E" w:rsidRPr="006A74F8">
        <w:t>9</w:t>
      </w:r>
      <w:r w:rsidR="00DF428C" w:rsidRPr="006A74F8">
        <w:t>-</w:t>
      </w:r>
      <w:r w:rsidR="00E070A2" w:rsidRPr="006A74F8">
        <w:t xml:space="preserve"> </w:t>
      </w:r>
      <w:r w:rsidR="00DF428C" w:rsidRPr="006A74F8">
        <w:t xml:space="preserve">30 </w:t>
      </w:r>
      <w:r w:rsidR="00324E74" w:rsidRPr="006A74F8">
        <w:t>–</w:t>
      </w:r>
      <w:r w:rsidR="00A32584" w:rsidRPr="006A74F8">
        <w:t xml:space="preserve"> </w:t>
      </w:r>
      <w:hyperlink w:anchor="_Estimated_costs_to_1" w:history="1">
        <w:r w:rsidR="00A32584" w:rsidRPr="006A74F8">
          <w:rPr>
            <w:rStyle w:val="Hyperlink"/>
          </w:rPr>
          <w:t>section 18.4.8</w:t>
        </w:r>
      </w:hyperlink>
      <w:r w:rsidR="00A32584" w:rsidRPr="006A74F8">
        <w:t xml:space="preserve"> Estimated costs to industry for each cosmetic class: final estimated value)</w:t>
      </w:r>
      <w:r w:rsidR="00DC2C74" w:rsidRPr="006A74F8">
        <w:t>.</w:t>
      </w:r>
      <w:r w:rsidRPr="006A74F8">
        <w:t xml:space="preserve"> This value will be used in assessing the overall impact of the change.</w:t>
      </w:r>
    </w:p>
    <w:p w:rsidR="00E52449" w:rsidRPr="006A74F8" w:rsidRDefault="00E52449" w:rsidP="000272C7">
      <w:pPr>
        <w:pStyle w:val="Heading3"/>
        <w:tabs>
          <w:tab w:val="left" w:pos="993"/>
        </w:tabs>
        <w:rPr>
          <w:rFonts w:eastAsia="Times New Roman"/>
        </w:rPr>
      </w:pPr>
      <w:bookmarkStart w:id="2672" w:name="_Toc479769499"/>
      <w:bookmarkStart w:id="2673" w:name="_Toc493510760"/>
      <w:bookmarkStart w:id="2674" w:name="_Toc500929378"/>
      <w:bookmarkStart w:id="2675" w:name="_Toc501463838"/>
      <w:bookmarkStart w:id="2676" w:name="_Toc503535552"/>
      <w:bookmarkStart w:id="2677" w:name="_Toc503539730"/>
      <w:bookmarkStart w:id="2678" w:name="_Toc503882264"/>
      <w:bookmarkStart w:id="2679" w:name="_Toc518032778"/>
      <w:r w:rsidRPr="006A74F8">
        <w:rPr>
          <w:rFonts w:eastAsia="Times New Roman"/>
        </w:rPr>
        <w:t xml:space="preserve">Options </w:t>
      </w:r>
      <w:bookmarkEnd w:id="2672"/>
      <w:bookmarkEnd w:id="2673"/>
      <w:bookmarkEnd w:id="2674"/>
      <w:bookmarkEnd w:id="2675"/>
      <w:bookmarkEnd w:id="2676"/>
      <w:bookmarkEnd w:id="2677"/>
      <w:bookmarkEnd w:id="2678"/>
      <w:bookmarkEnd w:id="2679"/>
      <w:r w:rsidRPr="006A74F8">
        <w:rPr>
          <w:rFonts w:eastAsia="Times New Roman"/>
        </w:rPr>
        <w:t xml:space="preserve">2 and 3 – </w:t>
      </w:r>
      <w:r w:rsidR="00E67D08" w:rsidRPr="006A74F8">
        <w:rPr>
          <w:rFonts w:eastAsia="Times New Roman"/>
        </w:rPr>
        <w:t>p</w:t>
      </w:r>
      <w:r w:rsidRPr="006A74F8">
        <w:rPr>
          <w:rFonts w:eastAsia="Times New Roman"/>
        </w:rPr>
        <w:t xml:space="preserve">rinciples-based </w:t>
      </w:r>
      <w:r w:rsidR="00E67D08" w:rsidRPr="006A74F8">
        <w:rPr>
          <w:rFonts w:eastAsia="Times New Roman"/>
        </w:rPr>
        <w:t>a</w:t>
      </w:r>
      <w:r w:rsidRPr="006A74F8">
        <w:rPr>
          <w:rFonts w:eastAsia="Times New Roman"/>
        </w:rPr>
        <w:t>pproach</w:t>
      </w:r>
    </w:p>
    <w:p w:rsidR="00E52449" w:rsidRPr="006A74F8" w:rsidRDefault="00E52449" w:rsidP="00162DEE">
      <w:r w:rsidRPr="006A74F8">
        <w:t xml:space="preserve">For options 2 and 3, there is no cost to industry for the amendments. The only change is to extend potential savings to all businesses currently required to relabel their products. The expanded use of a principles-based approach has potential application in the grocery and beverage retail environments and considerably widens the applicability of the change in comparison to </w:t>
      </w:r>
      <w:r w:rsidR="009F0892" w:rsidRPr="006A74F8">
        <w:t>o</w:t>
      </w:r>
      <w:r w:rsidRPr="006A74F8">
        <w:t xml:space="preserve">ption 1, particularly for the food and alcoholic and non-alcoholic beverage sectors. </w:t>
      </w:r>
    </w:p>
    <w:p w:rsidR="00E52449" w:rsidRPr="006A74F8" w:rsidRDefault="00E52449" w:rsidP="00162DEE">
      <w:r w:rsidRPr="006A74F8">
        <w:t xml:space="preserve">The need to relabel imported product lines has been raised by the alcoholic beverage sector (noting that wine is already exempt </w:t>
      </w:r>
      <w:r w:rsidR="00CE4920" w:rsidRPr="006A74F8">
        <w:t xml:space="preserve">from </w:t>
      </w:r>
      <w:r w:rsidRPr="006A74F8">
        <w:t>these labelling requirements). This is currently addressed by importing many product lines with Australian specific face labels, as well as Australian specific back labels covering the mandatory inclusions.</w:t>
      </w:r>
    </w:p>
    <w:p w:rsidR="00E52449" w:rsidRPr="006A74F8" w:rsidRDefault="00E52449" w:rsidP="00162DEE">
      <w:r w:rsidRPr="006A74F8">
        <w:t>This RIS assumes imported EU products needing relabelling across the sector is between 0.1 per cent and 1 per cent. Using the cost proxy values for products, between 141</w:t>
      </w:r>
      <w:r w:rsidR="0022596D" w:rsidRPr="006A74F8">
        <w:t>,</w:t>
      </w:r>
      <w:r w:rsidRPr="006A74F8">
        <w:t>000 units and 1.4 million units would be relabelled</w:t>
      </w:r>
      <w:r w:rsidR="00E070A2" w:rsidRPr="006A74F8">
        <w:t xml:space="preserve"> (see Table A</w:t>
      </w:r>
      <w:r w:rsidR="00D82E59" w:rsidRPr="006A74F8">
        <w:t>9</w:t>
      </w:r>
      <w:r w:rsidR="00E070A2" w:rsidRPr="006A74F8">
        <w:t>- 5 below)</w:t>
      </w:r>
      <w:r w:rsidRPr="006A74F8">
        <w:t>. An estimate of the possible costs to industry using is represented in T</w:t>
      </w:r>
      <w:r w:rsidR="00DF428C" w:rsidRPr="006A74F8">
        <w:t>able A</w:t>
      </w:r>
      <w:r w:rsidR="00D82E59" w:rsidRPr="006A74F8">
        <w:t>9</w:t>
      </w:r>
      <w:r w:rsidR="00DF428C" w:rsidRPr="006A74F8">
        <w:t>-</w:t>
      </w:r>
      <w:r w:rsidR="007369C7" w:rsidRPr="006A74F8">
        <w:t xml:space="preserve"> </w:t>
      </w:r>
      <w:r w:rsidR="00DF428C" w:rsidRPr="006A74F8">
        <w:t>33</w:t>
      </w:r>
      <w:r w:rsidRPr="006A74F8">
        <w:t xml:space="preserve"> </w:t>
      </w:r>
      <w:r w:rsidR="002C06D1" w:rsidRPr="006A74F8">
        <w:t>(</w:t>
      </w:r>
      <w:r w:rsidR="00584CC9" w:rsidRPr="006A74F8">
        <w:t>se</w:t>
      </w:r>
      <w:r w:rsidR="00A32584" w:rsidRPr="006A74F8">
        <w:t xml:space="preserve">e </w:t>
      </w:r>
      <w:hyperlink w:anchor="_Estimated_costs_to_2" w:history="1">
        <w:r w:rsidR="00A32584" w:rsidRPr="006A74F8">
          <w:rPr>
            <w:rStyle w:val="Hyperlink"/>
          </w:rPr>
          <w:t>section 18.4.11</w:t>
        </w:r>
      </w:hyperlink>
      <w:r w:rsidR="00A32584" w:rsidRPr="006A74F8">
        <w:t xml:space="preserve"> Estimated costs to industry for each beverage class – boundary cases)</w:t>
      </w:r>
      <w:r w:rsidR="00BB47D8" w:rsidRPr="006A74F8">
        <w:t>.</w:t>
      </w:r>
    </w:p>
    <w:p w:rsidR="00681573" w:rsidRPr="006A74F8" w:rsidRDefault="00622E13" w:rsidP="00162DEE">
      <w:r w:rsidRPr="006A74F8">
        <w:br w:type="page"/>
      </w:r>
    </w:p>
    <w:p w:rsidR="00835356" w:rsidRPr="006A74F8" w:rsidRDefault="00835356" w:rsidP="00835356">
      <w:pPr>
        <w:pStyle w:val="Caption"/>
        <w:keepNext/>
      </w:pPr>
      <w:r w:rsidRPr="006A74F8">
        <w:lastRenderedPageBreak/>
        <w:t>Table A</w:t>
      </w:r>
      <w:r w:rsidR="00D82E59" w:rsidRPr="006A74F8">
        <w:t>9</w:t>
      </w:r>
      <w:r w:rsidRPr="006A74F8">
        <w:t xml:space="preserve">- </w:t>
      </w:r>
      <w:r w:rsidR="00C90261" w:rsidRPr="006A74F8">
        <w:rPr>
          <w:noProof/>
        </w:rPr>
        <w:fldChar w:fldCharType="begin"/>
      </w:r>
      <w:r w:rsidR="00C90261" w:rsidRPr="006A74F8">
        <w:rPr>
          <w:noProof/>
        </w:rPr>
        <w:instrText xml:space="preserve"> SEQ Table_A10- \* ARABIC </w:instrText>
      </w:r>
      <w:r w:rsidR="00C90261" w:rsidRPr="006A74F8">
        <w:rPr>
          <w:noProof/>
        </w:rPr>
        <w:fldChar w:fldCharType="separate"/>
      </w:r>
      <w:r w:rsidR="0033017F">
        <w:rPr>
          <w:noProof/>
        </w:rPr>
        <w:t>5</w:t>
      </w:r>
      <w:r w:rsidR="00C90261" w:rsidRPr="006A74F8">
        <w:rPr>
          <w:noProof/>
        </w:rPr>
        <w:fldChar w:fldCharType="end"/>
      </w:r>
      <w:r w:rsidRPr="006A74F8">
        <w:t>: Varying cost estimates for the relabelling of alcoholic beverages</w:t>
      </w:r>
    </w:p>
    <w:tbl>
      <w:tblPr>
        <w:tblStyle w:val="TableGrid"/>
        <w:tblW w:w="3638" w:type="pct"/>
        <w:tblInd w:w="-5" w:type="dxa"/>
        <w:tblLook w:val="04A0" w:firstRow="1" w:lastRow="0" w:firstColumn="1" w:lastColumn="0" w:noHBand="0" w:noVBand="1"/>
        <w:tblCaption w:val="Table 10: Varying cost estimates for the relabelling of alcoholic beverages "/>
        <w:tblDescription w:val="If 0.1 percent of the products need relabelling then the cost to relabel is estimated at 40 thousand dollars at 30 cents per unit, and 90 thousand dollars at 70 cents per unit.                                                                                                             If 1 percent of the products need relabelling then the cost to relabel is estimated at 0.4 million dollars at 30 cents per unit, and 0.9 million dollars at 70 cents per unit.    "/>
      </w:tblPr>
      <w:tblGrid>
        <w:gridCol w:w="3113"/>
        <w:gridCol w:w="1560"/>
        <w:gridCol w:w="1887"/>
      </w:tblGrid>
      <w:tr w:rsidR="00E52449" w:rsidRPr="006A74F8" w:rsidTr="00320404">
        <w:trPr>
          <w:trHeight w:val="439"/>
          <w:tblHeader/>
        </w:trPr>
        <w:tc>
          <w:tcPr>
            <w:tcW w:w="2373" w:type="pct"/>
            <w:vMerge w:val="restart"/>
            <w:shd w:val="clear" w:color="auto" w:fill="004059" w:themeFill="text2" w:themeFillShade="BF"/>
            <w:vAlign w:val="center"/>
          </w:tcPr>
          <w:p w:rsidR="00E52449" w:rsidRPr="006A74F8" w:rsidRDefault="0014458D" w:rsidP="009F70F7">
            <w:pPr>
              <w:jc w:val="center"/>
              <w:rPr>
                <w:b/>
                <w:sz w:val="20"/>
                <w:szCs w:val="20"/>
              </w:rPr>
            </w:pPr>
            <w:r w:rsidRPr="006A74F8">
              <w:rPr>
                <w:b/>
                <w:sz w:val="20"/>
                <w:szCs w:val="20"/>
              </w:rPr>
              <w:t>%</w:t>
            </w:r>
            <w:r w:rsidR="00E52449" w:rsidRPr="006A74F8">
              <w:rPr>
                <w:b/>
                <w:sz w:val="20"/>
                <w:szCs w:val="20"/>
              </w:rPr>
              <w:t xml:space="preserve"> of </w:t>
            </w:r>
            <w:r w:rsidRPr="006A74F8">
              <w:rPr>
                <w:b/>
                <w:sz w:val="20"/>
                <w:szCs w:val="20"/>
              </w:rPr>
              <w:t>P</w:t>
            </w:r>
            <w:r w:rsidR="00E52449" w:rsidRPr="006A74F8">
              <w:rPr>
                <w:b/>
                <w:sz w:val="20"/>
                <w:szCs w:val="20"/>
              </w:rPr>
              <w:t>roducts needing relabelling</w:t>
            </w:r>
          </w:p>
        </w:tc>
        <w:tc>
          <w:tcPr>
            <w:tcW w:w="2627" w:type="pct"/>
            <w:gridSpan w:val="2"/>
            <w:shd w:val="clear" w:color="auto" w:fill="004059" w:themeFill="text2" w:themeFillShade="BF"/>
          </w:tcPr>
          <w:p w:rsidR="00E52449" w:rsidRPr="006A74F8" w:rsidRDefault="00E52449" w:rsidP="009F70F7">
            <w:pPr>
              <w:jc w:val="center"/>
              <w:rPr>
                <w:b/>
                <w:sz w:val="20"/>
                <w:szCs w:val="20"/>
              </w:rPr>
            </w:pPr>
            <w:r w:rsidRPr="006A74F8">
              <w:rPr>
                <w:b/>
                <w:sz w:val="20"/>
                <w:szCs w:val="20"/>
              </w:rPr>
              <w:t>Cost to relabel</w:t>
            </w:r>
          </w:p>
        </w:tc>
      </w:tr>
      <w:tr w:rsidR="00E52449" w:rsidRPr="006A74F8" w:rsidTr="00222273">
        <w:trPr>
          <w:trHeight w:val="438"/>
        </w:trPr>
        <w:tc>
          <w:tcPr>
            <w:tcW w:w="2373" w:type="pct"/>
            <w:vMerge/>
            <w:shd w:val="clear" w:color="auto" w:fill="004059" w:themeFill="text2" w:themeFillShade="BF"/>
          </w:tcPr>
          <w:p w:rsidR="00E52449" w:rsidRPr="006A74F8" w:rsidRDefault="00E52449" w:rsidP="009F70F7">
            <w:pPr>
              <w:jc w:val="center"/>
              <w:rPr>
                <w:b/>
                <w:sz w:val="20"/>
                <w:szCs w:val="20"/>
              </w:rPr>
            </w:pPr>
          </w:p>
        </w:tc>
        <w:tc>
          <w:tcPr>
            <w:tcW w:w="1189" w:type="pct"/>
            <w:shd w:val="clear" w:color="auto" w:fill="004059" w:themeFill="text2" w:themeFillShade="BF"/>
          </w:tcPr>
          <w:p w:rsidR="00E52449" w:rsidRPr="006A74F8" w:rsidRDefault="0014458D" w:rsidP="009F70F7">
            <w:pPr>
              <w:jc w:val="center"/>
              <w:rPr>
                <w:b/>
                <w:sz w:val="20"/>
                <w:szCs w:val="20"/>
              </w:rPr>
            </w:pPr>
            <w:r w:rsidRPr="006A74F8">
              <w:rPr>
                <w:b/>
                <w:sz w:val="20"/>
                <w:szCs w:val="20"/>
              </w:rPr>
              <w:t>$</w:t>
            </w:r>
            <w:r w:rsidR="00E52449" w:rsidRPr="006A74F8">
              <w:rPr>
                <w:b/>
                <w:sz w:val="20"/>
                <w:szCs w:val="20"/>
              </w:rPr>
              <w:t>0.3</w:t>
            </w:r>
            <w:r w:rsidRPr="006A74F8">
              <w:rPr>
                <w:b/>
                <w:sz w:val="20"/>
                <w:szCs w:val="20"/>
              </w:rPr>
              <w:t xml:space="preserve"> per unit</w:t>
            </w:r>
          </w:p>
        </w:tc>
        <w:tc>
          <w:tcPr>
            <w:tcW w:w="1438" w:type="pct"/>
            <w:shd w:val="clear" w:color="auto" w:fill="004059" w:themeFill="text2" w:themeFillShade="BF"/>
          </w:tcPr>
          <w:p w:rsidR="00E52449" w:rsidRPr="006A74F8" w:rsidRDefault="0014458D">
            <w:pPr>
              <w:rPr>
                <w:b/>
                <w:sz w:val="20"/>
                <w:szCs w:val="20"/>
              </w:rPr>
            </w:pPr>
            <w:r w:rsidRPr="006A74F8">
              <w:rPr>
                <w:b/>
                <w:sz w:val="20"/>
                <w:szCs w:val="20"/>
              </w:rPr>
              <w:t>$</w:t>
            </w:r>
            <w:r w:rsidR="00E52449" w:rsidRPr="006A74F8">
              <w:rPr>
                <w:b/>
                <w:sz w:val="20"/>
                <w:szCs w:val="20"/>
              </w:rPr>
              <w:t>0.7</w:t>
            </w:r>
            <w:r w:rsidRPr="006A74F8">
              <w:rPr>
                <w:b/>
                <w:sz w:val="20"/>
                <w:szCs w:val="20"/>
              </w:rPr>
              <w:t>0 per unit</w:t>
            </w:r>
          </w:p>
        </w:tc>
      </w:tr>
      <w:tr w:rsidR="00E52449" w:rsidRPr="006A74F8" w:rsidTr="00222273">
        <w:trPr>
          <w:trHeight w:val="454"/>
        </w:trPr>
        <w:tc>
          <w:tcPr>
            <w:tcW w:w="2373" w:type="pct"/>
          </w:tcPr>
          <w:p w:rsidR="00E52449" w:rsidRPr="006A74F8" w:rsidRDefault="00E52449" w:rsidP="009F70F7">
            <w:pPr>
              <w:jc w:val="center"/>
              <w:rPr>
                <w:b/>
                <w:sz w:val="20"/>
                <w:szCs w:val="20"/>
              </w:rPr>
            </w:pPr>
            <w:r w:rsidRPr="006A74F8">
              <w:rPr>
                <w:sz w:val="20"/>
                <w:szCs w:val="20"/>
              </w:rPr>
              <w:t>0.1</w:t>
            </w:r>
          </w:p>
        </w:tc>
        <w:tc>
          <w:tcPr>
            <w:tcW w:w="1189" w:type="pct"/>
          </w:tcPr>
          <w:p w:rsidR="00E52449" w:rsidRPr="006A74F8" w:rsidRDefault="00E52449" w:rsidP="009F70F7">
            <w:pPr>
              <w:jc w:val="center"/>
              <w:rPr>
                <w:sz w:val="20"/>
                <w:szCs w:val="20"/>
              </w:rPr>
            </w:pPr>
            <w:r w:rsidRPr="006A74F8">
              <w:rPr>
                <w:sz w:val="20"/>
                <w:szCs w:val="20"/>
              </w:rPr>
              <w:t>$0.04m</w:t>
            </w:r>
          </w:p>
        </w:tc>
        <w:tc>
          <w:tcPr>
            <w:tcW w:w="1438" w:type="pct"/>
          </w:tcPr>
          <w:p w:rsidR="00E52449" w:rsidRPr="006A74F8" w:rsidRDefault="00E52449" w:rsidP="009F70F7">
            <w:pPr>
              <w:jc w:val="center"/>
              <w:rPr>
                <w:sz w:val="20"/>
                <w:szCs w:val="20"/>
              </w:rPr>
            </w:pPr>
            <w:r w:rsidRPr="006A74F8">
              <w:rPr>
                <w:sz w:val="20"/>
                <w:szCs w:val="20"/>
              </w:rPr>
              <w:t>$0.10m</w:t>
            </w:r>
          </w:p>
        </w:tc>
      </w:tr>
      <w:tr w:rsidR="00E52449" w:rsidRPr="006A74F8" w:rsidTr="00222273">
        <w:trPr>
          <w:trHeight w:val="454"/>
        </w:trPr>
        <w:tc>
          <w:tcPr>
            <w:tcW w:w="2373" w:type="pct"/>
          </w:tcPr>
          <w:p w:rsidR="00E52449" w:rsidRPr="006A74F8" w:rsidRDefault="00E52449" w:rsidP="009F70F7">
            <w:pPr>
              <w:jc w:val="center"/>
              <w:rPr>
                <w:b/>
                <w:sz w:val="20"/>
                <w:szCs w:val="20"/>
              </w:rPr>
            </w:pPr>
            <w:r w:rsidRPr="006A74F8">
              <w:rPr>
                <w:sz w:val="20"/>
                <w:szCs w:val="20"/>
              </w:rPr>
              <w:t>1</w:t>
            </w:r>
          </w:p>
        </w:tc>
        <w:tc>
          <w:tcPr>
            <w:tcW w:w="1189" w:type="pct"/>
          </w:tcPr>
          <w:p w:rsidR="00E52449" w:rsidRPr="006A74F8" w:rsidRDefault="00E52449" w:rsidP="009F70F7">
            <w:pPr>
              <w:jc w:val="center"/>
              <w:rPr>
                <w:sz w:val="20"/>
                <w:szCs w:val="20"/>
              </w:rPr>
            </w:pPr>
            <w:r w:rsidRPr="006A74F8">
              <w:rPr>
                <w:sz w:val="20"/>
                <w:szCs w:val="20"/>
              </w:rPr>
              <w:t>$0.4m</w:t>
            </w:r>
          </w:p>
        </w:tc>
        <w:tc>
          <w:tcPr>
            <w:tcW w:w="1438" w:type="pct"/>
          </w:tcPr>
          <w:p w:rsidR="00E52449" w:rsidRPr="006A74F8" w:rsidRDefault="00E52449" w:rsidP="009F70F7">
            <w:pPr>
              <w:jc w:val="center"/>
              <w:rPr>
                <w:sz w:val="20"/>
                <w:szCs w:val="20"/>
              </w:rPr>
            </w:pPr>
            <w:r w:rsidRPr="006A74F8">
              <w:rPr>
                <w:sz w:val="20"/>
                <w:szCs w:val="20"/>
              </w:rPr>
              <w:t>$1.0m</w:t>
            </w:r>
          </w:p>
        </w:tc>
      </w:tr>
    </w:tbl>
    <w:p w:rsidR="00E52449" w:rsidRPr="006A74F8" w:rsidRDefault="00E52449" w:rsidP="0061675C">
      <w:pPr>
        <w:spacing w:before="240"/>
      </w:pPr>
      <w:r w:rsidRPr="006A74F8">
        <w:t>Enquiries to the beverage sector resulted in more targeted relabelling requirements for product categories, HS2204 (4 per cent)</w:t>
      </w:r>
      <w:r w:rsidRPr="006A74F8">
        <w:rPr>
          <w:vertAlign w:val="superscript"/>
        </w:rPr>
        <w:t xml:space="preserve"> </w:t>
      </w:r>
      <w:r w:rsidRPr="006A74F8">
        <w:rPr>
          <w:vertAlign w:val="superscript"/>
        </w:rPr>
        <w:footnoteReference w:id="163"/>
      </w:r>
      <w:r w:rsidRPr="006A74F8">
        <w:t xml:space="preserve"> and HS2208 (12 per cent)</w:t>
      </w:r>
      <w:r w:rsidR="0061675C" w:rsidRPr="006A74F8">
        <w:t>.</w:t>
      </w:r>
      <w:r w:rsidRPr="006A74F8">
        <w:rPr>
          <w:vertAlign w:val="superscript"/>
        </w:rPr>
        <w:t xml:space="preserve"> </w:t>
      </w:r>
      <w:r w:rsidRPr="006A74F8">
        <w:rPr>
          <w:vertAlign w:val="superscript"/>
        </w:rPr>
        <w:footnoteReference w:id="164"/>
      </w:r>
      <w:r w:rsidRPr="006A74F8">
        <w:rPr>
          <w:vertAlign w:val="superscript"/>
        </w:rPr>
        <w:t xml:space="preserve"> </w:t>
      </w:r>
      <w:r w:rsidRPr="006A74F8">
        <w:t xml:space="preserve">However, due to limited engagement by industry, these are deemed upper estimates of the savings. </w:t>
      </w:r>
    </w:p>
    <w:p w:rsidR="00E52449" w:rsidRPr="006A74F8" w:rsidRDefault="00E52449" w:rsidP="00162DEE">
      <w:r w:rsidRPr="006A74F8">
        <w:t xml:space="preserve">Assuming this relabelling applied to 20 per cent of the sector, then approximately 910 000 units would be relabelled. The relabelling cost is assumed to be at 50c per unit. This results in additional savings of approximately $395 000 </w:t>
      </w:r>
      <w:r w:rsidR="00622E13" w:rsidRPr="006A74F8">
        <w:t>(</w:t>
      </w:r>
      <w:hyperlink w:anchor="_Estimated_costs_to_3" w:history="1">
        <w:r w:rsidR="00622E13" w:rsidRPr="006A74F8">
          <w:rPr>
            <w:rStyle w:val="Hyperlink"/>
          </w:rPr>
          <w:t>section 18.4.12</w:t>
        </w:r>
      </w:hyperlink>
      <w:r w:rsidR="0061675C" w:rsidRPr="006A74F8">
        <w:t xml:space="preserve"> </w:t>
      </w:r>
      <w:r w:rsidR="00622E13" w:rsidRPr="006A74F8">
        <w:t>Estimated costs to industry for specific beverage classes - final estimated value)</w:t>
      </w:r>
      <w:r w:rsidRPr="006A74F8">
        <w:t xml:space="preserve"> to those calculated for </w:t>
      </w:r>
      <w:r w:rsidR="009F0892" w:rsidRPr="006A74F8">
        <w:t>o</w:t>
      </w:r>
      <w:r w:rsidRPr="006A74F8">
        <w:t xml:space="preserve">ption 1 ($5.7 million). </w:t>
      </w:r>
    </w:p>
    <w:p w:rsidR="00E52449" w:rsidRPr="006A74F8" w:rsidRDefault="00E52449" w:rsidP="00162DEE">
      <w:r w:rsidRPr="006A74F8">
        <w:t>The savings for options 2 and 3 will also include imported food and non-alcoholic beverages that require relabelling. Data collected from the CoOL consultations</w:t>
      </w:r>
      <w:r w:rsidRPr="006A74F8">
        <w:rPr>
          <w:vertAlign w:val="superscript"/>
        </w:rPr>
        <w:footnoteReference w:id="165"/>
      </w:r>
      <w:r w:rsidRPr="006A74F8">
        <w:t xml:space="preserve"> estimated there are 3</w:t>
      </w:r>
      <w:r w:rsidR="00F9132E" w:rsidRPr="006A74F8">
        <w:t>,</w:t>
      </w:r>
      <w:r w:rsidRPr="006A74F8">
        <w:t>152 SKUs in Australia of imported food products (packaged and unpackaged). Importer re-stickering costs are estimated to be 20 per cent of the cost of the text only labelling changes for domestic products ($2</w:t>
      </w:r>
      <w:r w:rsidR="00F9132E" w:rsidRPr="006A74F8">
        <w:t>,</w:t>
      </w:r>
      <w:r w:rsidRPr="006A74F8">
        <w:t xml:space="preserve">515), that is $503 and $1.6 million for 3,152 SKUs. Assuming that relabelling applies to 20 per cent of the sector this results in additional savings of at least $317,019 noting that savings to relabelling non-alcoholic beverages may apply. </w:t>
      </w:r>
    </w:p>
    <w:p w:rsidR="00E52449" w:rsidRPr="006A74F8" w:rsidRDefault="00E52449" w:rsidP="00162DEE">
      <w:r w:rsidRPr="006A74F8">
        <w:t xml:space="preserve">Therefore the total saving for industry under </w:t>
      </w:r>
      <w:r w:rsidR="009F0892" w:rsidRPr="006A74F8">
        <w:t>o</w:t>
      </w:r>
      <w:r w:rsidRPr="006A74F8">
        <w:t>ptions 2 and 3 is at least $6.4 million.</w:t>
      </w:r>
    </w:p>
    <w:p w:rsidR="00E52449" w:rsidRPr="006A74F8" w:rsidRDefault="00DF73EE" w:rsidP="00A31A00">
      <w:pPr>
        <w:pStyle w:val="Heading2"/>
        <w:rPr>
          <w:rFonts w:eastAsia="Times New Roman"/>
        </w:rPr>
      </w:pPr>
      <w:bookmarkStart w:id="2680" w:name="_Toc479769501"/>
      <w:bookmarkStart w:id="2681" w:name="_Toc493510763"/>
      <w:bookmarkStart w:id="2682" w:name="_Toc500929381"/>
      <w:bookmarkStart w:id="2683" w:name="_Toc501463841"/>
      <w:bookmarkStart w:id="2684" w:name="_Toc503535555"/>
      <w:bookmarkStart w:id="2685" w:name="_Ref503536204"/>
      <w:bookmarkStart w:id="2686" w:name="_Toc503539733"/>
      <w:bookmarkStart w:id="2687" w:name="_Toc503882267"/>
      <w:bookmarkStart w:id="2688" w:name="_Toc518032781"/>
      <w:bookmarkStart w:id="2689" w:name="_Toc67390623"/>
      <w:r w:rsidRPr="006A74F8">
        <w:rPr>
          <w:rFonts w:eastAsia="Times New Roman"/>
        </w:rPr>
        <w:t xml:space="preserve"> </w:t>
      </w:r>
      <w:r w:rsidR="00E52449" w:rsidRPr="006A74F8">
        <w:rPr>
          <w:rFonts w:eastAsia="Times New Roman"/>
        </w:rPr>
        <w:t>Summary of impacts</w:t>
      </w:r>
      <w:bookmarkEnd w:id="2680"/>
      <w:bookmarkEnd w:id="2681"/>
      <w:bookmarkEnd w:id="2682"/>
      <w:bookmarkEnd w:id="2683"/>
      <w:bookmarkEnd w:id="2684"/>
      <w:bookmarkEnd w:id="2685"/>
      <w:bookmarkEnd w:id="2686"/>
      <w:bookmarkEnd w:id="2687"/>
      <w:bookmarkEnd w:id="2688"/>
      <w:bookmarkEnd w:id="2689"/>
    </w:p>
    <w:p w:rsidR="00C353C4" w:rsidRPr="006A74F8" w:rsidRDefault="00E52449" w:rsidP="00162DEE">
      <w:r w:rsidRPr="006A74F8">
        <w:t>T</w:t>
      </w:r>
      <w:r w:rsidR="005728D0" w:rsidRPr="006A74F8">
        <w:t>able A</w:t>
      </w:r>
      <w:r w:rsidR="00D82E59" w:rsidRPr="006A74F8">
        <w:t>9</w:t>
      </w:r>
      <w:r w:rsidR="005728D0" w:rsidRPr="006A74F8">
        <w:t>-</w:t>
      </w:r>
      <w:r w:rsidR="00243CA1" w:rsidRPr="006A74F8">
        <w:t xml:space="preserve"> </w:t>
      </w:r>
      <w:r w:rsidR="005728D0" w:rsidRPr="006A74F8">
        <w:t>6 below</w:t>
      </w:r>
      <w:r w:rsidRPr="006A74F8">
        <w:t xml:space="preserve"> summarises the key quantified impacts on industry and consumers. Given the uncertainty associated with the data used to calculate these impacts, the difference between </w:t>
      </w:r>
      <w:r w:rsidR="00D36EC7" w:rsidRPr="006A74F8">
        <w:t xml:space="preserve">the reform options </w:t>
      </w:r>
      <w:r w:rsidRPr="006A74F8">
        <w:t>are not considered material. Each of the proposed changes deliver benefits to industry, with options 2 and 3 delivering the greatest benefit to industry.</w:t>
      </w:r>
    </w:p>
    <w:p w:rsidR="00835356" w:rsidRPr="006A74F8" w:rsidRDefault="00835356" w:rsidP="00446336">
      <w:pPr>
        <w:pStyle w:val="Caption"/>
        <w:keepNext/>
        <w:spacing w:line="259" w:lineRule="auto"/>
      </w:pPr>
      <w:r w:rsidRPr="006A74F8">
        <w:t>Table A</w:t>
      </w:r>
      <w:r w:rsidR="00D82E59" w:rsidRPr="006A74F8">
        <w:t>9</w:t>
      </w:r>
      <w:r w:rsidRPr="006A74F8">
        <w:t xml:space="preserve">- </w:t>
      </w:r>
      <w:r w:rsidR="00C90261" w:rsidRPr="006A74F8">
        <w:rPr>
          <w:noProof/>
        </w:rPr>
        <w:fldChar w:fldCharType="begin"/>
      </w:r>
      <w:r w:rsidR="00C90261" w:rsidRPr="006A74F8">
        <w:rPr>
          <w:noProof/>
        </w:rPr>
        <w:instrText xml:space="preserve"> SEQ Table_A10- \* ARABIC </w:instrText>
      </w:r>
      <w:r w:rsidR="00C90261" w:rsidRPr="006A74F8">
        <w:rPr>
          <w:noProof/>
        </w:rPr>
        <w:fldChar w:fldCharType="separate"/>
      </w:r>
      <w:r w:rsidR="0033017F">
        <w:rPr>
          <w:noProof/>
        </w:rPr>
        <w:t>6</w:t>
      </w:r>
      <w:r w:rsidR="00C90261" w:rsidRPr="006A74F8">
        <w:rPr>
          <w:noProof/>
        </w:rPr>
        <w:fldChar w:fldCharType="end"/>
      </w:r>
      <w:r w:rsidRPr="006A74F8">
        <w:t>: Total benefits and costs for industry and consumers</w:t>
      </w:r>
    </w:p>
    <w:tbl>
      <w:tblPr>
        <w:tblStyle w:val="TableGrid"/>
        <w:tblW w:w="0" w:type="auto"/>
        <w:tblInd w:w="-5" w:type="dxa"/>
        <w:tblLook w:val="04A0" w:firstRow="1" w:lastRow="0" w:firstColumn="1" w:lastColumn="0" w:noHBand="0" w:noVBand="1"/>
        <w:tblCaption w:val="Table 11: Total benefits and costs for industry and consumers"/>
        <w:tblDescription w:val="Under option 2 - the total savings to industry is 3.9 million dollars and the total cost to consumers is 0.1 million dollars.                                      Under option 3 - the total savings to industry is 4.2 million dollars and the total cost to consumers is 0.8 million dollars.&#10;Under option 4 - the total savings to industry is 4.2 million dollars and the total cost to consumers is 0.2 million dollars.&#10;Therefore, option 2 represents a net present value of 3.8 million dollars, option 3 represents a net present value of 3.4 million dollars, and option 4 represents a net present value of 4.0 million dollars."/>
      </w:tblPr>
      <w:tblGrid>
        <w:gridCol w:w="2863"/>
        <w:gridCol w:w="1084"/>
        <w:gridCol w:w="1084"/>
        <w:gridCol w:w="1084"/>
      </w:tblGrid>
      <w:tr w:rsidR="00E52449" w:rsidRPr="006A74F8" w:rsidTr="00320404">
        <w:trPr>
          <w:trHeight w:val="454"/>
          <w:tblHeader/>
        </w:trPr>
        <w:tc>
          <w:tcPr>
            <w:tcW w:w="2863" w:type="dxa"/>
            <w:shd w:val="clear" w:color="auto" w:fill="004059" w:themeFill="text2" w:themeFillShade="BF"/>
            <w:vAlign w:val="center"/>
          </w:tcPr>
          <w:p w:rsidR="00E52449" w:rsidRPr="006A74F8" w:rsidRDefault="00E52449" w:rsidP="00446336">
            <w:pPr>
              <w:spacing w:line="259" w:lineRule="auto"/>
              <w:jc w:val="center"/>
              <w:rPr>
                <w:rFonts w:ascii="Calibri" w:hAnsi="Calibri" w:cs="Calibri"/>
                <w:b/>
                <w:sz w:val="20"/>
                <w:szCs w:val="20"/>
              </w:rPr>
            </w:pPr>
            <w:r w:rsidRPr="006A74F8">
              <w:rPr>
                <w:rFonts w:ascii="Calibri" w:hAnsi="Calibri" w:cs="Calibri"/>
                <w:b/>
                <w:sz w:val="20"/>
                <w:szCs w:val="20"/>
              </w:rPr>
              <w:t>Impact Category</w:t>
            </w:r>
          </w:p>
        </w:tc>
        <w:tc>
          <w:tcPr>
            <w:tcW w:w="1084" w:type="dxa"/>
            <w:shd w:val="clear" w:color="auto" w:fill="004059" w:themeFill="text2" w:themeFillShade="BF"/>
            <w:vAlign w:val="center"/>
          </w:tcPr>
          <w:p w:rsidR="00E52449" w:rsidRPr="006A74F8" w:rsidRDefault="00E52449" w:rsidP="00446336">
            <w:pPr>
              <w:spacing w:line="259" w:lineRule="auto"/>
              <w:jc w:val="center"/>
              <w:rPr>
                <w:rFonts w:ascii="Calibri" w:hAnsi="Calibri" w:cs="Calibri"/>
                <w:b/>
                <w:sz w:val="20"/>
                <w:szCs w:val="20"/>
              </w:rPr>
            </w:pPr>
            <w:r w:rsidRPr="006A74F8">
              <w:rPr>
                <w:rFonts w:ascii="Calibri" w:hAnsi="Calibri" w:cs="Calibri"/>
                <w:b/>
                <w:sz w:val="20"/>
                <w:szCs w:val="20"/>
              </w:rPr>
              <w:t>Option 1</w:t>
            </w:r>
          </w:p>
        </w:tc>
        <w:tc>
          <w:tcPr>
            <w:tcW w:w="1084" w:type="dxa"/>
            <w:shd w:val="clear" w:color="auto" w:fill="004059" w:themeFill="text2" w:themeFillShade="BF"/>
            <w:vAlign w:val="center"/>
          </w:tcPr>
          <w:p w:rsidR="00E52449" w:rsidRPr="006A74F8" w:rsidRDefault="00E52449" w:rsidP="00446336">
            <w:pPr>
              <w:spacing w:line="259" w:lineRule="auto"/>
              <w:jc w:val="center"/>
              <w:rPr>
                <w:rFonts w:ascii="Calibri" w:hAnsi="Calibri" w:cs="Calibri"/>
                <w:b/>
                <w:sz w:val="20"/>
                <w:szCs w:val="20"/>
              </w:rPr>
            </w:pPr>
            <w:r w:rsidRPr="006A74F8">
              <w:rPr>
                <w:rFonts w:ascii="Calibri" w:hAnsi="Calibri" w:cs="Calibri"/>
                <w:b/>
                <w:sz w:val="20"/>
                <w:szCs w:val="20"/>
              </w:rPr>
              <w:t>Option 2</w:t>
            </w:r>
          </w:p>
        </w:tc>
        <w:tc>
          <w:tcPr>
            <w:tcW w:w="1084" w:type="dxa"/>
            <w:shd w:val="clear" w:color="auto" w:fill="004059" w:themeFill="text2" w:themeFillShade="BF"/>
            <w:vAlign w:val="center"/>
          </w:tcPr>
          <w:p w:rsidR="00E52449" w:rsidRPr="006A74F8" w:rsidRDefault="00E52449" w:rsidP="00446336">
            <w:pPr>
              <w:spacing w:line="259" w:lineRule="auto"/>
              <w:jc w:val="center"/>
              <w:rPr>
                <w:rFonts w:ascii="Calibri" w:hAnsi="Calibri" w:cs="Calibri"/>
                <w:b/>
                <w:sz w:val="20"/>
                <w:szCs w:val="20"/>
              </w:rPr>
            </w:pPr>
            <w:r w:rsidRPr="006A74F8">
              <w:rPr>
                <w:rFonts w:ascii="Calibri" w:hAnsi="Calibri" w:cs="Calibri"/>
                <w:b/>
                <w:sz w:val="20"/>
                <w:szCs w:val="20"/>
              </w:rPr>
              <w:t>Option 3</w:t>
            </w:r>
          </w:p>
        </w:tc>
      </w:tr>
      <w:tr w:rsidR="00E52449" w:rsidRPr="006A74F8" w:rsidTr="001F2D47">
        <w:tc>
          <w:tcPr>
            <w:tcW w:w="2863" w:type="dxa"/>
          </w:tcPr>
          <w:p w:rsidR="00E52449" w:rsidRPr="006A74F8" w:rsidRDefault="00E52449" w:rsidP="00446336">
            <w:pPr>
              <w:spacing w:line="259" w:lineRule="auto"/>
              <w:rPr>
                <w:rFonts w:ascii="Calibri" w:hAnsi="Calibri" w:cs="Calibri"/>
                <w:b/>
                <w:sz w:val="20"/>
                <w:szCs w:val="20"/>
              </w:rPr>
            </w:pPr>
            <w:r w:rsidRPr="006A74F8">
              <w:rPr>
                <w:rFonts w:ascii="Calibri" w:hAnsi="Calibri" w:cs="Calibri"/>
                <w:b/>
                <w:sz w:val="20"/>
                <w:szCs w:val="20"/>
              </w:rPr>
              <w:t xml:space="preserve">Total Benefits </w:t>
            </w:r>
            <w:r w:rsidRPr="006A74F8">
              <w:rPr>
                <w:rFonts w:ascii="Calibri" w:hAnsi="Calibri" w:cs="Calibri"/>
                <w:b/>
                <w:sz w:val="20"/>
                <w:szCs w:val="20"/>
              </w:rPr>
              <w:br/>
              <w:t>Industry Savings</w:t>
            </w:r>
          </w:p>
        </w:tc>
        <w:tc>
          <w:tcPr>
            <w:tcW w:w="1084" w:type="dxa"/>
          </w:tcPr>
          <w:p w:rsidR="00E52449" w:rsidRPr="006A74F8" w:rsidRDefault="00E52449" w:rsidP="00446336">
            <w:pPr>
              <w:spacing w:line="259" w:lineRule="auto"/>
              <w:rPr>
                <w:rFonts w:ascii="Calibri" w:hAnsi="Calibri" w:cs="Calibri"/>
                <w:sz w:val="20"/>
                <w:szCs w:val="20"/>
              </w:rPr>
            </w:pPr>
            <w:r w:rsidRPr="006A74F8">
              <w:rPr>
                <w:rFonts w:ascii="Calibri" w:hAnsi="Calibri" w:cs="Calibri"/>
                <w:sz w:val="20"/>
                <w:szCs w:val="20"/>
              </w:rPr>
              <w:t>-$5.7 m</w:t>
            </w:r>
          </w:p>
        </w:tc>
        <w:tc>
          <w:tcPr>
            <w:tcW w:w="1084" w:type="dxa"/>
          </w:tcPr>
          <w:p w:rsidR="00E52449" w:rsidRPr="006A74F8" w:rsidRDefault="00E52449" w:rsidP="00446336">
            <w:pPr>
              <w:spacing w:line="259" w:lineRule="auto"/>
              <w:rPr>
                <w:rFonts w:ascii="Calibri" w:hAnsi="Calibri" w:cs="Calibri"/>
                <w:sz w:val="20"/>
                <w:szCs w:val="20"/>
              </w:rPr>
            </w:pPr>
            <w:r w:rsidRPr="006A74F8">
              <w:rPr>
                <w:rFonts w:ascii="Calibri" w:hAnsi="Calibri" w:cs="Calibri"/>
                <w:sz w:val="20"/>
                <w:szCs w:val="20"/>
              </w:rPr>
              <w:t>-$6.4 m</w:t>
            </w:r>
          </w:p>
        </w:tc>
        <w:tc>
          <w:tcPr>
            <w:tcW w:w="1084" w:type="dxa"/>
          </w:tcPr>
          <w:p w:rsidR="00E52449" w:rsidRPr="006A74F8" w:rsidRDefault="00E52449" w:rsidP="00446336">
            <w:pPr>
              <w:spacing w:line="259" w:lineRule="auto"/>
              <w:rPr>
                <w:rFonts w:ascii="Calibri" w:hAnsi="Calibri" w:cs="Calibri"/>
                <w:sz w:val="20"/>
                <w:szCs w:val="20"/>
              </w:rPr>
            </w:pPr>
            <w:r w:rsidRPr="006A74F8">
              <w:rPr>
                <w:rFonts w:ascii="Calibri" w:hAnsi="Calibri" w:cs="Calibri"/>
                <w:sz w:val="20"/>
                <w:szCs w:val="20"/>
              </w:rPr>
              <w:t>-$6.4 m</w:t>
            </w:r>
          </w:p>
        </w:tc>
      </w:tr>
      <w:tr w:rsidR="00E52449" w:rsidRPr="006A74F8" w:rsidTr="001F2D47">
        <w:tc>
          <w:tcPr>
            <w:tcW w:w="2863" w:type="dxa"/>
          </w:tcPr>
          <w:p w:rsidR="00E52449" w:rsidRPr="006A74F8" w:rsidRDefault="00E52449" w:rsidP="00446336">
            <w:pPr>
              <w:spacing w:line="259" w:lineRule="auto"/>
              <w:rPr>
                <w:rFonts w:ascii="Calibri" w:hAnsi="Calibri" w:cs="Calibri"/>
                <w:b/>
                <w:sz w:val="20"/>
                <w:szCs w:val="20"/>
              </w:rPr>
            </w:pPr>
            <w:r w:rsidRPr="006A74F8">
              <w:rPr>
                <w:rFonts w:ascii="Calibri" w:hAnsi="Calibri" w:cs="Calibri"/>
                <w:b/>
                <w:sz w:val="20"/>
                <w:szCs w:val="20"/>
              </w:rPr>
              <w:t>Total Costs</w:t>
            </w:r>
            <w:r w:rsidRPr="006A74F8">
              <w:rPr>
                <w:rFonts w:ascii="Calibri" w:hAnsi="Calibri" w:cs="Calibri"/>
                <w:b/>
                <w:sz w:val="20"/>
                <w:szCs w:val="20"/>
              </w:rPr>
              <w:br/>
              <w:t>Consumer Costs</w:t>
            </w:r>
          </w:p>
        </w:tc>
        <w:tc>
          <w:tcPr>
            <w:tcW w:w="1084" w:type="dxa"/>
          </w:tcPr>
          <w:p w:rsidR="00E52449" w:rsidRPr="006A74F8" w:rsidRDefault="00E52449" w:rsidP="00446336">
            <w:pPr>
              <w:spacing w:line="259" w:lineRule="auto"/>
              <w:rPr>
                <w:rFonts w:ascii="Calibri" w:hAnsi="Calibri" w:cs="Calibri"/>
                <w:sz w:val="20"/>
                <w:szCs w:val="20"/>
              </w:rPr>
            </w:pPr>
            <w:r w:rsidRPr="006A74F8">
              <w:rPr>
                <w:rFonts w:ascii="Calibri" w:hAnsi="Calibri" w:cs="Calibri"/>
                <w:sz w:val="20"/>
                <w:szCs w:val="20"/>
              </w:rPr>
              <w:t>+$0.1 m</w:t>
            </w:r>
          </w:p>
        </w:tc>
        <w:tc>
          <w:tcPr>
            <w:tcW w:w="1084" w:type="dxa"/>
          </w:tcPr>
          <w:p w:rsidR="00E52449" w:rsidRPr="006A74F8" w:rsidRDefault="00E52449" w:rsidP="00446336">
            <w:pPr>
              <w:spacing w:line="259" w:lineRule="auto"/>
              <w:rPr>
                <w:rFonts w:ascii="Calibri" w:hAnsi="Calibri" w:cs="Calibri"/>
                <w:sz w:val="20"/>
                <w:szCs w:val="20"/>
              </w:rPr>
            </w:pPr>
            <w:r w:rsidRPr="006A74F8">
              <w:rPr>
                <w:rFonts w:ascii="Calibri" w:hAnsi="Calibri" w:cs="Calibri"/>
                <w:sz w:val="20"/>
                <w:szCs w:val="20"/>
              </w:rPr>
              <w:t>+$0.9 m</w:t>
            </w:r>
          </w:p>
        </w:tc>
        <w:tc>
          <w:tcPr>
            <w:tcW w:w="1084" w:type="dxa"/>
          </w:tcPr>
          <w:p w:rsidR="00E52449" w:rsidRPr="006A74F8" w:rsidRDefault="00E52449" w:rsidP="00446336">
            <w:pPr>
              <w:spacing w:line="259" w:lineRule="auto"/>
              <w:rPr>
                <w:rFonts w:ascii="Calibri" w:hAnsi="Calibri" w:cs="Calibri"/>
                <w:sz w:val="20"/>
                <w:szCs w:val="20"/>
              </w:rPr>
            </w:pPr>
            <w:r w:rsidRPr="006A74F8">
              <w:rPr>
                <w:rFonts w:ascii="Calibri" w:hAnsi="Calibri" w:cs="Calibri"/>
                <w:sz w:val="20"/>
                <w:szCs w:val="20"/>
              </w:rPr>
              <w:t>+$0.9 m</w:t>
            </w:r>
          </w:p>
        </w:tc>
      </w:tr>
      <w:tr w:rsidR="00E52449" w:rsidRPr="006A74F8" w:rsidTr="001F2D47">
        <w:trPr>
          <w:trHeight w:val="510"/>
        </w:trPr>
        <w:tc>
          <w:tcPr>
            <w:tcW w:w="2863" w:type="dxa"/>
          </w:tcPr>
          <w:p w:rsidR="00E52449" w:rsidRPr="006A74F8" w:rsidRDefault="00E52449" w:rsidP="00446336">
            <w:pPr>
              <w:spacing w:line="259" w:lineRule="auto"/>
              <w:rPr>
                <w:rFonts w:ascii="Calibri" w:hAnsi="Calibri" w:cs="Calibri"/>
                <w:b/>
                <w:sz w:val="20"/>
                <w:szCs w:val="20"/>
              </w:rPr>
            </w:pPr>
            <w:r w:rsidRPr="006A74F8">
              <w:rPr>
                <w:rFonts w:ascii="Calibri" w:hAnsi="Calibri" w:cs="Calibri"/>
                <w:b/>
                <w:sz w:val="20"/>
                <w:szCs w:val="20"/>
              </w:rPr>
              <w:t>Change in regulatory burden</w:t>
            </w:r>
          </w:p>
        </w:tc>
        <w:tc>
          <w:tcPr>
            <w:tcW w:w="1084" w:type="dxa"/>
          </w:tcPr>
          <w:p w:rsidR="00E52449" w:rsidRPr="006A74F8" w:rsidRDefault="00E52449" w:rsidP="00446336">
            <w:pPr>
              <w:spacing w:line="259" w:lineRule="auto"/>
              <w:rPr>
                <w:rFonts w:ascii="Calibri" w:hAnsi="Calibri" w:cs="Calibri"/>
                <w:sz w:val="20"/>
                <w:szCs w:val="20"/>
              </w:rPr>
            </w:pPr>
            <w:r w:rsidRPr="006A74F8">
              <w:rPr>
                <w:rFonts w:ascii="Calibri" w:hAnsi="Calibri" w:cs="Calibri"/>
                <w:sz w:val="20"/>
                <w:szCs w:val="20"/>
              </w:rPr>
              <w:t>-$5.6 m</w:t>
            </w:r>
          </w:p>
        </w:tc>
        <w:tc>
          <w:tcPr>
            <w:tcW w:w="1084" w:type="dxa"/>
          </w:tcPr>
          <w:p w:rsidR="00E52449" w:rsidRPr="006A74F8" w:rsidRDefault="00E52449" w:rsidP="00446336">
            <w:pPr>
              <w:spacing w:line="259" w:lineRule="auto"/>
              <w:rPr>
                <w:rFonts w:ascii="Calibri" w:hAnsi="Calibri" w:cs="Calibri"/>
                <w:sz w:val="20"/>
                <w:szCs w:val="20"/>
              </w:rPr>
            </w:pPr>
            <w:r w:rsidRPr="006A74F8">
              <w:rPr>
                <w:rFonts w:ascii="Calibri" w:hAnsi="Calibri" w:cs="Calibri"/>
                <w:sz w:val="20"/>
                <w:szCs w:val="20"/>
              </w:rPr>
              <w:t>-$5.5 m</w:t>
            </w:r>
          </w:p>
        </w:tc>
        <w:tc>
          <w:tcPr>
            <w:tcW w:w="1084" w:type="dxa"/>
          </w:tcPr>
          <w:p w:rsidR="00E52449" w:rsidRPr="006A74F8" w:rsidRDefault="00E52449" w:rsidP="00446336">
            <w:pPr>
              <w:spacing w:line="259" w:lineRule="auto"/>
              <w:rPr>
                <w:rFonts w:ascii="Calibri" w:hAnsi="Calibri" w:cs="Calibri"/>
                <w:sz w:val="20"/>
                <w:szCs w:val="20"/>
              </w:rPr>
            </w:pPr>
            <w:r w:rsidRPr="006A74F8">
              <w:rPr>
                <w:rFonts w:ascii="Calibri" w:hAnsi="Calibri" w:cs="Calibri"/>
                <w:sz w:val="20"/>
                <w:szCs w:val="20"/>
              </w:rPr>
              <w:t>-$5.5 m</w:t>
            </w:r>
          </w:p>
        </w:tc>
      </w:tr>
    </w:tbl>
    <w:p w:rsidR="00E52449" w:rsidRPr="006A74F8" w:rsidRDefault="00E52449" w:rsidP="00446336">
      <w:pPr>
        <w:spacing w:before="240" w:after="240"/>
        <w:rPr>
          <w:rFonts w:ascii="Arial" w:eastAsia="Calibri" w:hAnsi="Arial" w:cs="Times New Roman"/>
          <w:color w:val="2C2C2D"/>
          <w:szCs w:val="18"/>
        </w:rPr>
      </w:pPr>
      <w:r w:rsidRPr="006A74F8">
        <w:rPr>
          <w:rFonts w:ascii="Arial" w:eastAsia="Calibri" w:hAnsi="Arial" w:cs="Times New Roman"/>
        </w:rPr>
        <w:br w:type="page"/>
      </w:r>
      <w:bookmarkStart w:id="2690" w:name="_Toc475545971"/>
      <w:bookmarkStart w:id="2691" w:name="_Toc479769515"/>
    </w:p>
    <w:p w:rsidR="00E52449" w:rsidRPr="006A74F8" w:rsidRDefault="003D26B4" w:rsidP="00A31A00">
      <w:pPr>
        <w:pStyle w:val="Heading2"/>
        <w:rPr>
          <w:rFonts w:eastAsia="Times New Roman"/>
          <w:lang w:val="en"/>
        </w:rPr>
      </w:pPr>
      <w:bookmarkStart w:id="2692" w:name="_Sensitivity_Calculation"/>
      <w:bookmarkStart w:id="2693" w:name="_Ref503527664"/>
      <w:bookmarkStart w:id="2694" w:name="_Toc518032798"/>
      <w:bookmarkStart w:id="2695" w:name="_Toc67390624"/>
      <w:bookmarkEnd w:id="2690"/>
      <w:bookmarkEnd w:id="2691"/>
      <w:bookmarkEnd w:id="2692"/>
      <w:r w:rsidRPr="006A74F8">
        <w:rPr>
          <w:rFonts w:eastAsia="Times New Roman"/>
          <w:lang w:val="en"/>
        </w:rPr>
        <w:lastRenderedPageBreak/>
        <w:t xml:space="preserve"> </w:t>
      </w:r>
      <w:r w:rsidR="00E52449" w:rsidRPr="006A74F8">
        <w:rPr>
          <w:rFonts w:eastAsia="Times New Roman"/>
          <w:lang w:val="en"/>
        </w:rPr>
        <w:t xml:space="preserve">Sensitivity </w:t>
      </w:r>
      <w:r w:rsidR="00E67D08" w:rsidRPr="006A74F8">
        <w:rPr>
          <w:rFonts w:eastAsia="Times New Roman"/>
          <w:lang w:val="en"/>
        </w:rPr>
        <w:t>c</w:t>
      </w:r>
      <w:r w:rsidR="00E52449" w:rsidRPr="006A74F8">
        <w:rPr>
          <w:rFonts w:eastAsia="Times New Roman"/>
          <w:lang w:val="en"/>
        </w:rPr>
        <w:t>alculation</w:t>
      </w:r>
      <w:bookmarkEnd w:id="2693"/>
      <w:bookmarkEnd w:id="2694"/>
      <w:bookmarkEnd w:id="2695"/>
    </w:p>
    <w:p w:rsidR="00E52449" w:rsidRPr="006A74F8" w:rsidRDefault="00E52449" w:rsidP="00446336">
      <w:pPr>
        <w:spacing w:before="240" w:after="240"/>
        <w:rPr>
          <w:rFonts w:eastAsia="Calibri" w:cstheme="minorHAnsi"/>
          <w:lang w:val="en"/>
        </w:rPr>
      </w:pPr>
      <w:r w:rsidRPr="006A74F8">
        <w:rPr>
          <w:rFonts w:eastAsia="Calibri" w:cstheme="minorHAnsi"/>
          <w:lang w:val="en"/>
        </w:rPr>
        <w:t>In recognition of the limitations of the data, sensitivity calculations have been undertaken to determine how much change in each of the variables impacts the final consumer cost and which of the four variabl</w:t>
      </w:r>
      <w:r w:rsidR="006B0197" w:rsidRPr="006A74F8">
        <w:rPr>
          <w:rFonts w:eastAsia="Calibri" w:cstheme="minorHAnsi"/>
          <w:lang w:val="en"/>
        </w:rPr>
        <w:t>es are the most sensitive. The v</w:t>
      </w:r>
      <w:r w:rsidRPr="006A74F8">
        <w:rPr>
          <w:rFonts w:eastAsia="Calibri" w:cstheme="minorHAnsi"/>
          <w:lang w:val="en"/>
        </w:rPr>
        <w:t>ariables under consideration are the number of interested consumers (50 000 – 140 000), time taken (10 – 30 seconds), number of products in scope for each option and percentage of products in scope changed (1 – 10 per cent). Tables are attached showing the different variations</w:t>
      </w:r>
      <w:r w:rsidRPr="006A74F8">
        <w:rPr>
          <w:rFonts w:eastAsia="Calibri" w:cstheme="minorHAnsi"/>
          <w:vertAlign w:val="superscript"/>
          <w:lang w:val="en"/>
        </w:rPr>
        <w:footnoteReference w:id="166"/>
      </w:r>
      <w:r w:rsidRPr="006A74F8">
        <w:rPr>
          <w:rFonts w:eastAsia="Calibri" w:cstheme="minorHAnsi"/>
          <w:lang w:val="en"/>
        </w:rPr>
        <w:t xml:space="preserve">, but the extremes are included in </w:t>
      </w:r>
      <w:r w:rsidR="00E05677" w:rsidRPr="006A74F8">
        <w:rPr>
          <w:rFonts w:eastAsia="Calibri" w:cstheme="minorHAnsi"/>
          <w:lang w:val="en"/>
        </w:rPr>
        <w:t xml:space="preserve">Table </w:t>
      </w:r>
      <w:r w:rsidR="006B0197" w:rsidRPr="006A74F8">
        <w:rPr>
          <w:rFonts w:eastAsia="Calibri" w:cstheme="minorHAnsi"/>
          <w:lang w:val="en"/>
        </w:rPr>
        <w:t>A</w:t>
      </w:r>
      <w:r w:rsidR="00D82E59" w:rsidRPr="006A74F8">
        <w:rPr>
          <w:rFonts w:eastAsia="Calibri" w:cstheme="minorHAnsi"/>
          <w:lang w:val="en"/>
        </w:rPr>
        <w:t>9</w:t>
      </w:r>
      <w:r w:rsidR="006B0197" w:rsidRPr="006A74F8">
        <w:rPr>
          <w:rFonts w:eastAsia="Calibri" w:cstheme="minorHAnsi"/>
          <w:lang w:val="en"/>
        </w:rPr>
        <w:t>-</w:t>
      </w:r>
      <w:r w:rsidR="00EC74E6" w:rsidRPr="006A74F8">
        <w:rPr>
          <w:rFonts w:eastAsia="Calibri" w:cstheme="minorHAnsi"/>
          <w:lang w:val="en"/>
        </w:rPr>
        <w:t xml:space="preserve"> </w:t>
      </w:r>
      <w:r w:rsidR="006B0197" w:rsidRPr="006A74F8">
        <w:rPr>
          <w:rFonts w:eastAsia="Calibri" w:cstheme="minorHAnsi"/>
          <w:lang w:val="en"/>
        </w:rPr>
        <w:t>7</w:t>
      </w:r>
      <w:r w:rsidR="00EC74E6" w:rsidRPr="006A74F8">
        <w:rPr>
          <w:rFonts w:eastAsia="Calibri" w:cstheme="minorHAnsi"/>
          <w:lang w:val="en"/>
        </w:rPr>
        <w:t xml:space="preserve"> below</w:t>
      </w:r>
      <w:r w:rsidRPr="006A74F8">
        <w:rPr>
          <w:rFonts w:eastAsia="Calibri" w:cstheme="minorHAnsi"/>
          <w:lang w:val="en"/>
        </w:rPr>
        <w:t>.</w:t>
      </w:r>
    </w:p>
    <w:p w:rsidR="00835356" w:rsidRPr="006A74F8" w:rsidRDefault="00835356" w:rsidP="00446336">
      <w:pPr>
        <w:pStyle w:val="Caption"/>
        <w:keepNext/>
        <w:spacing w:line="259" w:lineRule="auto"/>
      </w:pPr>
      <w:r w:rsidRPr="006A74F8">
        <w:t>Table A</w:t>
      </w:r>
      <w:r w:rsidR="00D82E59" w:rsidRPr="006A74F8">
        <w:t>9</w:t>
      </w:r>
      <w:r w:rsidRPr="006A74F8">
        <w:t xml:space="preserve">- </w:t>
      </w:r>
      <w:r w:rsidR="00C90261" w:rsidRPr="006A74F8">
        <w:rPr>
          <w:noProof/>
        </w:rPr>
        <w:fldChar w:fldCharType="begin"/>
      </w:r>
      <w:r w:rsidR="00C90261" w:rsidRPr="006A74F8">
        <w:rPr>
          <w:noProof/>
        </w:rPr>
        <w:instrText xml:space="preserve"> SEQ Table_A10- \* ARABIC </w:instrText>
      </w:r>
      <w:r w:rsidR="00C90261" w:rsidRPr="006A74F8">
        <w:rPr>
          <w:noProof/>
        </w:rPr>
        <w:fldChar w:fldCharType="separate"/>
      </w:r>
      <w:r w:rsidR="0033017F">
        <w:rPr>
          <w:noProof/>
        </w:rPr>
        <w:t>7</w:t>
      </w:r>
      <w:r w:rsidR="00C90261" w:rsidRPr="006A74F8">
        <w:rPr>
          <w:noProof/>
        </w:rPr>
        <w:fldChar w:fldCharType="end"/>
      </w:r>
      <w:r w:rsidRPr="006A74F8">
        <w:t>: An estimate of the uncertainty in the options</w:t>
      </w:r>
    </w:p>
    <w:tbl>
      <w:tblPr>
        <w:tblStyle w:val="GridTable4-Accent1"/>
        <w:tblW w:w="0" w:type="auto"/>
        <w:tblInd w:w="-5" w:type="dxa"/>
        <w:tblLook w:val="04A0" w:firstRow="1" w:lastRow="0" w:firstColumn="1" w:lastColumn="0" w:noHBand="0" w:noVBand="1"/>
        <w:tblCaption w:val="Table 16: An estimate of the uncertainty in the options."/>
        <w:tblDescription w:val="Table 20 shows the extreme variations in the options. For Option 2, the minimum estimate is $6,717 and the maximum estimate is $1,128,400. For Option 3, the minimum estimate is $51,494 and the maximum estimate is $8,651,067. For Option 4, the minimum estimate is $15,672 and the maximum estimate is $2,821,000."/>
      </w:tblPr>
      <w:tblGrid>
        <w:gridCol w:w="2595"/>
        <w:gridCol w:w="1802"/>
        <w:gridCol w:w="1836"/>
      </w:tblGrid>
      <w:tr w:rsidR="00E52449" w:rsidRPr="006A74F8" w:rsidTr="0032040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004059" w:themeFill="text2" w:themeFillShade="BF"/>
            <w:noWrap/>
            <w:vAlign w:val="center"/>
          </w:tcPr>
          <w:p w:rsidR="00E52449" w:rsidRPr="006A74F8" w:rsidRDefault="00E52449" w:rsidP="00446336">
            <w:pPr>
              <w:spacing w:after="120" w:line="259" w:lineRule="auto"/>
              <w:jc w:val="center"/>
              <w:rPr>
                <w:rFonts w:cstheme="minorHAnsi"/>
                <w:color w:val="FFFFFF"/>
                <w:sz w:val="20"/>
              </w:rPr>
            </w:pPr>
            <w:r w:rsidRPr="006A74F8">
              <w:rPr>
                <w:rFonts w:cstheme="minorHAnsi"/>
                <w:color w:val="FFFFFF"/>
                <w:sz w:val="20"/>
              </w:rPr>
              <w:t>Option</w:t>
            </w:r>
          </w:p>
        </w:tc>
        <w:tc>
          <w:tcPr>
            <w:tcW w:w="0" w:type="auto"/>
            <w:tcBorders>
              <w:bottom w:val="single" w:sz="4" w:space="0" w:color="auto"/>
            </w:tcBorders>
            <w:shd w:val="clear" w:color="auto" w:fill="004059" w:themeFill="text2" w:themeFillShade="BF"/>
            <w:noWrap/>
            <w:vAlign w:val="center"/>
          </w:tcPr>
          <w:p w:rsidR="00E52449" w:rsidRPr="006A74F8" w:rsidRDefault="00E52449" w:rsidP="00446336">
            <w:pPr>
              <w:spacing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6A74F8">
              <w:rPr>
                <w:rFonts w:cstheme="minorHAnsi"/>
                <w:color w:val="FFFFFF"/>
                <w:sz w:val="20"/>
              </w:rPr>
              <w:t>Minimum Estimate</w:t>
            </w:r>
          </w:p>
        </w:tc>
        <w:tc>
          <w:tcPr>
            <w:tcW w:w="0" w:type="auto"/>
            <w:tcBorders>
              <w:bottom w:val="single" w:sz="4" w:space="0" w:color="auto"/>
            </w:tcBorders>
            <w:shd w:val="clear" w:color="auto" w:fill="004059" w:themeFill="text2" w:themeFillShade="BF"/>
            <w:vAlign w:val="center"/>
          </w:tcPr>
          <w:p w:rsidR="00E52449" w:rsidRPr="006A74F8" w:rsidRDefault="00E52449" w:rsidP="00446336">
            <w:pPr>
              <w:spacing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6A74F8">
              <w:rPr>
                <w:rFonts w:cstheme="minorHAnsi"/>
                <w:color w:val="FFFFFF"/>
                <w:sz w:val="20"/>
              </w:rPr>
              <w:t>Maximum Estimate</w:t>
            </w:r>
          </w:p>
        </w:tc>
      </w:tr>
      <w:tr w:rsidR="00E52449" w:rsidRPr="006A74F8" w:rsidTr="003763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449" w:rsidRPr="006A74F8" w:rsidRDefault="00E52449" w:rsidP="00446336">
            <w:pPr>
              <w:spacing w:after="120" w:line="259" w:lineRule="auto"/>
              <w:rPr>
                <w:rFonts w:cstheme="minorHAnsi"/>
                <w:sz w:val="20"/>
              </w:rPr>
            </w:pPr>
            <w:r w:rsidRPr="006A74F8">
              <w:rPr>
                <w:rFonts w:cstheme="minorHAnsi"/>
                <w:sz w:val="20"/>
              </w:rPr>
              <w:t>Option 1</w:t>
            </w:r>
            <w:r w:rsidR="001F5BDF" w:rsidRPr="006A74F8">
              <w:rPr>
                <w:rFonts w:cstheme="minorHAnsi"/>
                <w:sz w:val="20"/>
              </w:rPr>
              <w:t>:</w:t>
            </w:r>
            <w:r w:rsidRPr="006A74F8">
              <w:rPr>
                <w:rFonts w:cstheme="minorHAnsi"/>
                <w:sz w:val="20"/>
              </w:rPr>
              <w:t xml:space="preserve"> cosmetics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449" w:rsidRPr="006A74F8" w:rsidRDefault="00E52449" w:rsidP="00446336">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A74F8">
              <w:rPr>
                <w:rFonts w:cstheme="minorHAnsi"/>
                <w:sz w:val="20"/>
              </w:rPr>
              <w:t>$6</w:t>
            </w:r>
            <w:r w:rsidR="0022596D" w:rsidRPr="006A74F8">
              <w:rPr>
                <w:rFonts w:cstheme="minorHAnsi"/>
                <w:sz w:val="20"/>
              </w:rPr>
              <w:t>,</w:t>
            </w:r>
            <w:r w:rsidR="00261FC7" w:rsidRPr="006A74F8">
              <w:rPr>
                <w:rFonts w:cstheme="minorHAnsi"/>
                <w:sz w:val="20"/>
              </w:rPr>
              <w:t>933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2449" w:rsidRPr="006A74F8" w:rsidRDefault="00261FC7" w:rsidP="00446336">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A74F8">
              <w:rPr>
                <w:rFonts w:cstheme="minorHAnsi"/>
                <w:sz w:val="20"/>
              </w:rPr>
              <w:t>$1</w:t>
            </w:r>
            <w:r w:rsidR="0022596D" w:rsidRPr="006A74F8">
              <w:rPr>
                <w:rFonts w:cstheme="minorHAnsi"/>
                <w:sz w:val="20"/>
              </w:rPr>
              <w:t>,</w:t>
            </w:r>
            <w:r w:rsidRPr="006A74F8">
              <w:rPr>
                <w:rFonts w:cstheme="minorHAnsi"/>
                <w:sz w:val="20"/>
              </w:rPr>
              <w:t>164</w:t>
            </w:r>
            <w:r w:rsidR="0022596D" w:rsidRPr="006A74F8">
              <w:rPr>
                <w:rFonts w:cstheme="minorHAnsi"/>
                <w:sz w:val="20"/>
              </w:rPr>
              <w:t>,</w:t>
            </w:r>
            <w:r w:rsidRPr="006A74F8">
              <w:rPr>
                <w:rFonts w:cstheme="minorHAnsi"/>
                <w:sz w:val="20"/>
              </w:rPr>
              <w:t>800</w:t>
            </w:r>
          </w:p>
        </w:tc>
      </w:tr>
      <w:tr w:rsidR="00E52449" w:rsidRPr="006A74F8" w:rsidTr="003763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449" w:rsidRPr="006A74F8" w:rsidRDefault="00E52449" w:rsidP="00446336">
            <w:pPr>
              <w:spacing w:after="120" w:line="259" w:lineRule="auto"/>
              <w:rPr>
                <w:rFonts w:cstheme="minorHAnsi"/>
                <w:sz w:val="20"/>
              </w:rPr>
            </w:pPr>
            <w:r w:rsidRPr="006A74F8">
              <w:rPr>
                <w:rFonts w:cstheme="minorHAnsi"/>
                <w:sz w:val="20"/>
              </w:rPr>
              <w:t>Options 2 / 3</w:t>
            </w:r>
            <w:r w:rsidR="001F5BDF" w:rsidRPr="006A74F8">
              <w:rPr>
                <w:rFonts w:cstheme="minorHAnsi"/>
                <w:sz w:val="20"/>
              </w:rPr>
              <w:t>:</w:t>
            </w:r>
            <w:r w:rsidRPr="006A74F8">
              <w:rPr>
                <w:rFonts w:cstheme="minorHAnsi"/>
                <w:sz w:val="20"/>
              </w:rPr>
              <w:t xml:space="preserve"> no restrictions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449" w:rsidRPr="006A74F8" w:rsidRDefault="00E52449" w:rsidP="00446336">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6A74F8">
              <w:rPr>
                <w:rFonts w:cstheme="minorHAnsi"/>
                <w:sz w:val="20"/>
              </w:rPr>
              <w:t>$</w:t>
            </w:r>
            <w:r w:rsidR="00261FC7" w:rsidRPr="006A74F8">
              <w:rPr>
                <w:rFonts w:cstheme="minorHAnsi"/>
                <w:sz w:val="20"/>
              </w:rPr>
              <w:t>53</w:t>
            </w:r>
            <w:r w:rsidR="0022596D" w:rsidRPr="006A74F8">
              <w:rPr>
                <w:rFonts w:cstheme="minorHAnsi"/>
                <w:sz w:val="20"/>
              </w:rPr>
              <w:t>,</w:t>
            </w:r>
            <w:r w:rsidR="00261FC7" w:rsidRPr="006A74F8">
              <w:rPr>
                <w:rFonts w:cstheme="minorHAnsi"/>
                <w:sz w:val="20"/>
              </w:rPr>
              <w:t>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2449" w:rsidRPr="006A74F8" w:rsidRDefault="00E52449" w:rsidP="00446336">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6A74F8">
              <w:rPr>
                <w:rFonts w:cstheme="minorHAnsi"/>
                <w:sz w:val="20"/>
              </w:rPr>
              <w:t>$8</w:t>
            </w:r>
            <w:r w:rsidR="0022596D" w:rsidRPr="006A74F8">
              <w:rPr>
                <w:rFonts w:cstheme="minorHAnsi"/>
                <w:sz w:val="20"/>
              </w:rPr>
              <w:t>,</w:t>
            </w:r>
            <w:r w:rsidR="00261FC7" w:rsidRPr="006A74F8">
              <w:rPr>
                <w:rFonts w:cstheme="minorHAnsi"/>
                <w:sz w:val="20"/>
              </w:rPr>
              <w:t>930</w:t>
            </w:r>
            <w:r w:rsidR="0022596D" w:rsidRPr="006A74F8">
              <w:rPr>
                <w:rFonts w:cstheme="minorHAnsi"/>
                <w:sz w:val="20"/>
              </w:rPr>
              <w:t>,</w:t>
            </w:r>
            <w:r w:rsidR="00261FC7" w:rsidRPr="006A74F8">
              <w:rPr>
                <w:rFonts w:cstheme="minorHAnsi"/>
                <w:sz w:val="20"/>
              </w:rPr>
              <w:t>133</w:t>
            </w:r>
          </w:p>
        </w:tc>
      </w:tr>
    </w:tbl>
    <w:p w:rsidR="00E52449" w:rsidRPr="006A74F8" w:rsidRDefault="00E52449" w:rsidP="00446336">
      <w:pPr>
        <w:spacing w:before="240" w:after="240"/>
        <w:rPr>
          <w:rFonts w:eastAsia="Calibri" w:cstheme="minorHAnsi"/>
          <w:lang w:val="en"/>
        </w:rPr>
      </w:pPr>
      <w:r w:rsidRPr="006A74F8">
        <w:rPr>
          <w:rFonts w:eastAsia="Calibri" w:cstheme="minorHAnsi"/>
          <w:lang w:val="en"/>
        </w:rPr>
        <w:t>For the purposes of comparison, the most likely values have been nominated. These are the number of interested consumers (122</w:t>
      </w:r>
      <w:r w:rsidR="00E05677" w:rsidRPr="006A74F8">
        <w:rPr>
          <w:rFonts w:eastAsia="Calibri" w:cstheme="minorHAnsi"/>
          <w:lang w:val="en"/>
        </w:rPr>
        <w:t>,</w:t>
      </w:r>
      <w:r w:rsidRPr="006A74F8">
        <w:rPr>
          <w:rFonts w:eastAsia="Calibri" w:cstheme="minorHAnsi"/>
          <w:lang w:val="en"/>
        </w:rPr>
        <w:t>535), the time taken (20 seconds), the percentage of products changed (2 per cent), and the number of products purchased per week at 51</w:t>
      </w:r>
      <w:r w:rsidR="00EC74E6" w:rsidRPr="006A74F8">
        <w:rPr>
          <w:rFonts w:eastAsia="Calibri" w:cstheme="minorHAnsi"/>
          <w:lang w:val="en"/>
        </w:rPr>
        <w:t xml:space="preserve"> (Table A</w:t>
      </w:r>
      <w:r w:rsidR="00D82E59" w:rsidRPr="006A74F8">
        <w:rPr>
          <w:rFonts w:eastAsia="Calibri" w:cstheme="minorHAnsi"/>
          <w:lang w:val="en"/>
        </w:rPr>
        <w:t>9</w:t>
      </w:r>
      <w:r w:rsidR="00EC74E6" w:rsidRPr="006A74F8">
        <w:rPr>
          <w:rFonts w:eastAsia="Calibri" w:cstheme="minorHAnsi"/>
          <w:lang w:val="en"/>
        </w:rPr>
        <w:t>- 8)</w:t>
      </w:r>
      <w:r w:rsidRPr="006A74F8">
        <w:rPr>
          <w:rFonts w:eastAsia="Calibri" w:cstheme="minorHAnsi"/>
          <w:lang w:val="en"/>
        </w:rPr>
        <w:t>.</w:t>
      </w:r>
    </w:p>
    <w:p w:rsidR="00835356" w:rsidRPr="006A74F8" w:rsidRDefault="00835356" w:rsidP="00446336">
      <w:pPr>
        <w:pStyle w:val="Caption"/>
        <w:keepNext/>
        <w:spacing w:line="259" w:lineRule="auto"/>
      </w:pPr>
      <w:r w:rsidRPr="006A74F8">
        <w:t>Table A</w:t>
      </w:r>
      <w:r w:rsidR="00D82E59" w:rsidRPr="006A74F8">
        <w:t>9</w:t>
      </w:r>
      <w:r w:rsidRPr="006A74F8">
        <w:t xml:space="preserve">- </w:t>
      </w:r>
      <w:r w:rsidR="00C90261" w:rsidRPr="006A74F8">
        <w:rPr>
          <w:noProof/>
        </w:rPr>
        <w:fldChar w:fldCharType="begin"/>
      </w:r>
      <w:r w:rsidR="00C90261" w:rsidRPr="006A74F8">
        <w:rPr>
          <w:noProof/>
        </w:rPr>
        <w:instrText xml:space="preserve"> SEQ Table_A10- \* ARABIC </w:instrText>
      </w:r>
      <w:r w:rsidR="00C90261" w:rsidRPr="006A74F8">
        <w:rPr>
          <w:noProof/>
        </w:rPr>
        <w:fldChar w:fldCharType="separate"/>
      </w:r>
      <w:r w:rsidR="0033017F">
        <w:rPr>
          <w:noProof/>
        </w:rPr>
        <w:t>8</w:t>
      </w:r>
      <w:r w:rsidR="00C90261" w:rsidRPr="006A74F8">
        <w:rPr>
          <w:noProof/>
        </w:rPr>
        <w:fldChar w:fldCharType="end"/>
      </w:r>
      <w:r w:rsidRPr="006A74F8">
        <w:t>: The estimated likely cost impact on consumers for the different options</w:t>
      </w:r>
    </w:p>
    <w:tbl>
      <w:tblPr>
        <w:tblStyle w:val="GridTable4-Accent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7: The estimated likely cost impact on consumers for the different options"/>
        <w:tblDescription w:val="Estimated cost impact of Option 2 on consumers is $103,578 which has been rounded to $100,000. Estimated cost impact of Option 3 on consumers is $684,802 which has been rounded to $700,000. Estimated cost impact of Option 4 on consumers is $207,516 which has been rounded to $200,000. "/>
      </w:tblPr>
      <w:tblGrid>
        <w:gridCol w:w="2595"/>
        <w:gridCol w:w="976"/>
        <w:gridCol w:w="1585"/>
      </w:tblGrid>
      <w:tr w:rsidR="00E52449" w:rsidRPr="006A74F8" w:rsidTr="0032040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4059" w:themeFill="text2" w:themeFillShade="BF"/>
            <w:noWrap/>
            <w:vAlign w:val="center"/>
          </w:tcPr>
          <w:p w:rsidR="00E52449" w:rsidRPr="006A74F8" w:rsidRDefault="00E52449" w:rsidP="00446336">
            <w:pPr>
              <w:spacing w:after="120" w:line="259" w:lineRule="auto"/>
              <w:jc w:val="center"/>
              <w:rPr>
                <w:rFonts w:cstheme="minorHAnsi"/>
                <w:color w:val="FFFFFF"/>
                <w:sz w:val="20"/>
                <w:szCs w:val="20"/>
              </w:rPr>
            </w:pPr>
            <w:r w:rsidRPr="006A74F8">
              <w:rPr>
                <w:rFonts w:cstheme="minorHAnsi"/>
                <w:color w:val="FFFFFF"/>
                <w:sz w:val="20"/>
                <w:szCs w:val="20"/>
              </w:rPr>
              <w:t>Option</w:t>
            </w:r>
          </w:p>
        </w:tc>
        <w:tc>
          <w:tcPr>
            <w:tcW w:w="0" w:type="auto"/>
            <w:shd w:val="clear" w:color="auto" w:fill="004059" w:themeFill="text2" w:themeFillShade="BF"/>
            <w:noWrap/>
            <w:vAlign w:val="center"/>
          </w:tcPr>
          <w:p w:rsidR="00E52449" w:rsidRPr="006A74F8" w:rsidRDefault="00E52449" w:rsidP="00446336">
            <w:pPr>
              <w:spacing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6A74F8">
              <w:rPr>
                <w:rFonts w:cstheme="minorHAnsi"/>
                <w:color w:val="FFFFFF"/>
                <w:sz w:val="20"/>
                <w:szCs w:val="20"/>
              </w:rPr>
              <w:t>Estimate</w:t>
            </w:r>
          </w:p>
        </w:tc>
        <w:tc>
          <w:tcPr>
            <w:tcW w:w="1585" w:type="dxa"/>
            <w:shd w:val="clear" w:color="auto" w:fill="004059" w:themeFill="text2" w:themeFillShade="BF"/>
            <w:vAlign w:val="center"/>
          </w:tcPr>
          <w:p w:rsidR="00E52449" w:rsidRPr="006A74F8" w:rsidRDefault="00E52449" w:rsidP="00446336">
            <w:pPr>
              <w:spacing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6A74F8">
              <w:rPr>
                <w:rFonts w:cstheme="minorHAnsi"/>
                <w:color w:val="FFFFFF"/>
                <w:sz w:val="20"/>
                <w:szCs w:val="20"/>
              </w:rPr>
              <w:t>Rounded Value</w:t>
            </w:r>
          </w:p>
        </w:tc>
      </w:tr>
      <w:tr w:rsidR="00E52449" w:rsidRPr="006A74F8" w:rsidTr="003763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rsidR="00E52449" w:rsidRPr="006A74F8" w:rsidRDefault="00E52449" w:rsidP="00446336">
            <w:pPr>
              <w:spacing w:after="120" w:line="259" w:lineRule="auto"/>
              <w:rPr>
                <w:rFonts w:cstheme="minorHAnsi"/>
                <w:sz w:val="20"/>
                <w:szCs w:val="20"/>
              </w:rPr>
            </w:pPr>
            <w:r w:rsidRPr="006A74F8">
              <w:rPr>
                <w:rFonts w:cstheme="minorHAnsi"/>
                <w:sz w:val="20"/>
                <w:szCs w:val="20"/>
              </w:rPr>
              <w:t>Option 1</w:t>
            </w:r>
            <w:r w:rsidR="001F5BDF" w:rsidRPr="006A74F8">
              <w:rPr>
                <w:rFonts w:cstheme="minorHAnsi"/>
                <w:sz w:val="20"/>
                <w:szCs w:val="20"/>
              </w:rPr>
              <w:t>:</w:t>
            </w:r>
            <w:r w:rsidRPr="006A74F8">
              <w:rPr>
                <w:rFonts w:cstheme="minorHAnsi"/>
                <w:sz w:val="20"/>
                <w:szCs w:val="20"/>
              </w:rPr>
              <w:t xml:space="preserve"> cosmetics</w:t>
            </w:r>
          </w:p>
        </w:tc>
        <w:tc>
          <w:tcPr>
            <w:tcW w:w="0" w:type="auto"/>
            <w:shd w:val="clear" w:color="auto" w:fill="auto"/>
            <w:noWrap/>
            <w:vAlign w:val="center"/>
            <w:hideMark/>
          </w:tcPr>
          <w:p w:rsidR="00E52449" w:rsidRPr="006A74F8" w:rsidRDefault="00261FC7" w:rsidP="00446336">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$135</w:t>
            </w:r>
            <w:r w:rsidR="0022596D" w:rsidRPr="006A74F8">
              <w:rPr>
                <w:rFonts w:cstheme="minorHAnsi"/>
                <w:sz w:val="20"/>
                <w:szCs w:val="20"/>
              </w:rPr>
              <w:t>,</w:t>
            </w:r>
            <w:r w:rsidRPr="006A74F8">
              <w:rPr>
                <w:rFonts w:cstheme="minorHAnsi"/>
                <w:sz w:val="20"/>
                <w:szCs w:val="20"/>
              </w:rPr>
              <w:t>932</w:t>
            </w:r>
          </w:p>
        </w:tc>
        <w:tc>
          <w:tcPr>
            <w:tcW w:w="1585" w:type="dxa"/>
            <w:shd w:val="clear" w:color="auto" w:fill="auto"/>
            <w:vAlign w:val="center"/>
          </w:tcPr>
          <w:p w:rsidR="00E52449" w:rsidRPr="006A74F8" w:rsidRDefault="00E52449" w:rsidP="00446336">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74F8">
              <w:rPr>
                <w:rFonts w:cstheme="minorHAnsi"/>
                <w:sz w:val="20"/>
                <w:szCs w:val="20"/>
              </w:rPr>
              <w:t>$100</w:t>
            </w:r>
            <w:r w:rsidR="0022596D" w:rsidRPr="006A74F8">
              <w:rPr>
                <w:rFonts w:cstheme="minorHAnsi"/>
                <w:sz w:val="20"/>
                <w:szCs w:val="20"/>
              </w:rPr>
              <w:t>,</w:t>
            </w:r>
            <w:r w:rsidRPr="006A74F8">
              <w:rPr>
                <w:rFonts w:cstheme="minorHAnsi"/>
                <w:sz w:val="20"/>
                <w:szCs w:val="20"/>
              </w:rPr>
              <w:t>000</w:t>
            </w:r>
          </w:p>
        </w:tc>
      </w:tr>
      <w:tr w:rsidR="00E52449" w:rsidRPr="006A74F8" w:rsidTr="003763FF">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rsidR="00E52449" w:rsidRPr="006A74F8" w:rsidRDefault="00E52449" w:rsidP="00446336">
            <w:pPr>
              <w:spacing w:after="120" w:line="259" w:lineRule="auto"/>
              <w:rPr>
                <w:rFonts w:cstheme="minorHAnsi"/>
                <w:sz w:val="20"/>
                <w:szCs w:val="20"/>
              </w:rPr>
            </w:pPr>
            <w:r w:rsidRPr="006A74F8">
              <w:rPr>
                <w:rFonts w:cstheme="minorHAnsi"/>
                <w:sz w:val="20"/>
                <w:szCs w:val="20"/>
              </w:rPr>
              <w:t>Options 2 / 3</w:t>
            </w:r>
            <w:r w:rsidR="001F5BDF" w:rsidRPr="006A74F8">
              <w:rPr>
                <w:rFonts w:cstheme="minorHAnsi"/>
                <w:sz w:val="20"/>
                <w:szCs w:val="20"/>
              </w:rPr>
              <w:t>:</w:t>
            </w:r>
            <w:r w:rsidRPr="006A74F8">
              <w:rPr>
                <w:rFonts w:cstheme="minorHAnsi"/>
                <w:sz w:val="20"/>
                <w:szCs w:val="20"/>
              </w:rPr>
              <w:t xml:space="preserve"> no restrictions</w:t>
            </w:r>
          </w:p>
        </w:tc>
        <w:tc>
          <w:tcPr>
            <w:tcW w:w="0" w:type="auto"/>
            <w:shd w:val="clear" w:color="auto" w:fill="auto"/>
            <w:noWrap/>
            <w:vAlign w:val="center"/>
            <w:hideMark/>
          </w:tcPr>
          <w:p w:rsidR="00E52449" w:rsidRPr="006A74F8" w:rsidRDefault="00E52449" w:rsidP="00446336">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w:t>
            </w:r>
            <w:r w:rsidR="00261FC7" w:rsidRPr="006A74F8">
              <w:rPr>
                <w:rFonts w:cstheme="minorHAnsi"/>
                <w:sz w:val="20"/>
                <w:szCs w:val="20"/>
              </w:rPr>
              <w:t>906</w:t>
            </w:r>
            <w:r w:rsidR="0022596D" w:rsidRPr="006A74F8">
              <w:rPr>
                <w:rFonts w:cstheme="minorHAnsi"/>
                <w:sz w:val="20"/>
                <w:szCs w:val="20"/>
              </w:rPr>
              <w:t>,</w:t>
            </w:r>
            <w:r w:rsidR="00261FC7" w:rsidRPr="006A74F8">
              <w:rPr>
                <w:rFonts w:cstheme="minorHAnsi"/>
                <w:sz w:val="20"/>
                <w:szCs w:val="20"/>
              </w:rPr>
              <w:t>214</w:t>
            </w:r>
          </w:p>
        </w:tc>
        <w:tc>
          <w:tcPr>
            <w:tcW w:w="1585" w:type="dxa"/>
            <w:shd w:val="clear" w:color="auto" w:fill="auto"/>
            <w:vAlign w:val="center"/>
          </w:tcPr>
          <w:p w:rsidR="00E52449" w:rsidRPr="006A74F8" w:rsidRDefault="00E52449" w:rsidP="00446336">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74F8">
              <w:rPr>
                <w:rFonts w:cstheme="minorHAnsi"/>
                <w:sz w:val="20"/>
                <w:szCs w:val="20"/>
              </w:rPr>
              <w:t>$</w:t>
            </w:r>
            <w:r w:rsidR="00261FC7" w:rsidRPr="006A74F8">
              <w:rPr>
                <w:rFonts w:cstheme="minorHAnsi"/>
                <w:sz w:val="20"/>
                <w:szCs w:val="20"/>
              </w:rPr>
              <w:t>9</w:t>
            </w:r>
            <w:r w:rsidRPr="006A74F8">
              <w:rPr>
                <w:rFonts w:cstheme="minorHAnsi"/>
                <w:sz w:val="20"/>
                <w:szCs w:val="20"/>
              </w:rPr>
              <w:t>00</w:t>
            </w:r>
            <w:r w:rsidR="0022596D" w:rsidRPr="006A74F8">
              <w:rPr>
                <w:rFonts w:cstheme="minorHAnsi"/>
                <w:sz w:val="20"/>
                <w:szCs w:val="20"/>
              </w:rPr>
              <w:t>,</w:t>
            </w:r>
            <w:r w:rsidRPr="006A74F8">
              <w:rPr>
                <w:rFonts w:cstheme="minorHAnsi"/>
                <w:sz w:val="20"/>
                <w:szCs w:val="20"/>
              </w:rPr>
              <w:t>000</w:t>
            </w:r>
          </w:p>
        </w:tc>
      </w:tr>
    </w:tbl>
    <w:p w:rsidR="00E52449" w:rsidRPr="006A74F8" w:rsidRDefault="00E52449" w:rsidP="00446336">
      <w:pPr>
        <w:spacing w:before="240" w:after="0"/>
        <w:rPr>
          <w:rFonts w:eastAsia="Calibri" w:cstheme="minorHAnsi"/>
        </w:rPr>
      </w:pPr>
      <w:r w:rsidRPr="006A74F8">
        <w:rPr>
          <w:rFonts w:eastAsia="Calibri" w:cstheme="minorHAnsi"/>
        </w:rPr>
        <w:t>Acknowledging the variability in these calculations, it is not expected that the calculations are accurate to much more than the nearest $100,000.</w:t>
      </w:r>
    </w:p>
    <w:p w:rsidR="00E52449" w:rsidRPr="006A74F8" w:rsidRDefault="00E52449" w:rsidP="00446336">
      <w:pPr>
        <w:spacing w:before="240" w:after="0"/>
        <w:rPr>
          <w:rFonts w:eastAsia="Calibri" w:cstheme="minorHAnsi"/>
        </w:rPr>
      </w:pPr>
      <w:r w:rsidRPr="006A74F8">
        <w:rPr>
          <w:rFonts w:eastAsia="Calibri" w:cstheme="minorHAnsi"/>
        </w:rPr>
        <w:t>An observation about the four variables discussed above is</w:t>
      </w:r>
      <w:r w:rsidR="002B4351">
        <w:rPr>
          <w:rFonts w:eastAsia="Calibri" w:cstheme="minorHAnsi"/>
        </w:rPr>
        <w:t xml:space="preserve"> that</w:t>
      </w:r>
      <w:r w:rsidRPr="006A74F8">
        <w:rPr>
          <w:rFonts w:eastAsia="Calibri" w:cstheme="minorHAnsi"/>
        </w:rPr>
        <w:t xml:space="preserve"> the percentage of products changed is the most sensitive variable</w:t>
      </w:r>
      <w:r w:rsidR="004F4C2B" w:rsidRPr="006A74F8">
        <w:rPr>
          <w:rFonts w:eastAsia="Calibri" w:cstheme="minorHAnsi"/>
        </w:rPr>
        <w:t xml:space="preserve"> (see Figure A</w:t>
      </w:r>
      <w:r w:rsidR="00D82E59" w:rsidRPr="006A74F8">
        <w:rPr>
          <w:rFonts w:eastAsia="Calibri" w:cstheme="minorHAnsi"/>
        </w:rPr>
        <w:t>9</w:t>
      </w:r>
      <w:r w:rsidR="004F4C2B" w:rsidRPr="006A74F8">
        <w:rPr>
          <w:rFonts w:eastAsia="Calibri" w:cstheme="minorHAnsi"/>
        </w:rPr>
        <w:t>- 4)</w:t>
      </w:r>
      <w:r w:rsidRPr="006A74F8">
        <w:rPr>
          <w:rFonts w:eastAsia="Calibri" w:cstheme="minorHAnsi"/>
        </w:rPr>
        <w:t xml:space="preserve">. For each variable, the range discussed above is normalised with reference to the fixed values. For example, the number of products has a range of 30-60 products per week, and the fixed value used was 51 products per week. The normalised value is the range value divided by the fixed value, and then spread across 10 data points. The effect is to show the relative sensitivity of the different variables. The steeper the slope, the more sensitive. The most notable observation is the percentage change is the most sensitive variable. Beyond that, changes in time and consumers have a very similar outcome, and are slightly more important than the number of products.  </w:t>
      </w:r>
    </w:p>
    <w:p w:rsidR="00E52449" w:rsidRPr="006A74F8" w:rsidRDefault="006B26B4" w:rsidP="00835356">
      <w:bookmarkStart w:id="2696" w:name="_Ref503535991"/>
      <w:r w:rsidRPr="006A74F8">
        <w:rPr>
          <w:noProof/>
          <w:lang w:eastAsia="en-AU"/>
        </w:rPr>
        <w:lastRenderedPageBreak/>
        <mc:AlternateContent>
          <mc:Choice Requires="wps">
            <w:drawing>
              <wp:inline distT="0" distB="0" distL="0" distR="0" wp14:anchorId="3075F5D4" wp14:editId="453B9384">
                <wp:extent cx="4376420" cy="369570"/>
                <wp:effectExtent l="0" t="0" r="5080" b="0"/>
                <wp:docPr id="1882" name="Text Box 1882"/>
                <wp:cNvGraphicFramePr/>
                <a:graphic xmlns:a="http://schemas.openxmlformats.org/drawingml/2006/main">
                  <a:graphicData uri="http://schemas.microsoft.com/office/word/2010/wordprocessingShape">
                    <wps:wsp>
                      <wps:cNvSpPr txBox="1"/>
                      <wps:spPr>
                        <a:xfrm>
                          <a:off x="0" y="0"/>
                          <a:ext cx="4376420" cy="369570"/>
                        </a:xfrm>
                        <a:prstGeom prst="rect">
                          <a:avLst/>
                        </a:prstGeom>
                        <a:solidFill>
                          <a:prstClr val="white"/>
                        </a:solidFill>
                        <a:ln>
                          <a:noFill/>
                        </a:ln>
                        <a:effectLst/>
                      </wps:spPr>
                      <wps:txbx>
                        <w:txbxContent>
                          <w:p w:rsidR="006A65A2" w:rsidRPr="009439FD" w:rsidRDefault="006A65A2" w:rsidP="00835356">
                            <w:pPr>
                              <w:pStyle w:val="Caption"/>
                            </w:pPr>
                            <w:r>
                              <w:t xml:space="preserve">Figure A9- </w:t>
                            </w:r>
                            <w:r>
                              <w:rPr>
                                <w:noProof/>
                              </w:rPr>
                              <w:fldChar w:fldCharType="begin"/>
                            </w:r>
                            <w:r>
                              <w:rPr>
                                <w:noProof/>
                              </w:rPr>
                              <w:instrText xml:space="preserve"> SEQ FigureA10- \* ARABIC </w:instrText>
                            </w:r>
                            <w:r>
                              <w:rPr>
                                <w:noProof/>
                              </w:rPr>
                              <w:fldChar w:fldCharType="separate"/>
                            </w:r>
                            <w:r w:rsidR="0033017F">
                              <w:rPr>
                                <w:noProof/>
                              </w:rPr>
                              <w:t>4</w:t>
                            </w:r>
                            <w:r>
                              <w:rPr>
                                <w:noProof/>
                              </w:rPr>
                              <w:fldChar w:fldCharType="end"/>
                            </w:r>
                            <w:r w:rsidRPr="00C5535F">
                              <w:t>: Relative sensitivity of the main variables of consumer cost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075F5D4" id="Text Box 1882" o:spid="_x0000_s1027" type="#_x0000_t202" style="width:344.6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" stroked="f">
                <v:textbox inset="0,0,0,0">
                  <w:txbxContent>
                    <w:p w:rsidR="006A65A2" w:rsidRPr="009439FD" w:rsidRDefault="006A65A2" w:rsidP="00835356">
                      <w:pPr>
                        <w:pStyle w:val="Caption"/>
                      </w:pPr>
                      <w:r>
                        <w:t xml:space="preserve">Figure A9- </w:t>
                      </w:r>
                      <w:r>
                        <w:rPr>
                          <w:noProof/>
                        </w:rPr>
                        <w:fldChar w:fldCharType="begin"/>
                      </w:r>
                      <w:r>
                        <w:rPr>
                          <w:noProof/>
                        </w:rPr>
                        <w:instrText xml:space="preserve"> SEQ FigureA10- \* ARABIC </w:instrText>
                      </w:r>
                      <w:r>
                        <w:rPr>
                          <w:noProof/>
                        </w:rPr>
                        <w:fldChar w:fldCharType="separate"/>
                      </w:r>
                      <w:r w:rsidR="0033017F">
                        <w:rPr>
                          <w:noProof/>
                        </w:rPr>
                        <w:t>4</w:t>
                      </w:r>
                      <w:r>
                        <w:rPr>
                          <w:noProof/>
                        </w:rPr>
                        <w:fldChar w:fldCharType="end"/>
                      </w:r>
                      <w:r w:rsidRPr="00C5535F">
                        <w:t>: Relative sensitivity of the main variables of consumer cost</w:t>
                      </w:r>
                    </w:p>
                  </w:txbxContent>
                </v:textbox>
                <w10:anchorlock/>
              </v:shape>
            </w:pict>
          </mc:Fallback>
        </mc:AlternateContent>
      </w:r>
      <w:r w:rsidRPr="006A74F8">
        <w:rPr>
          <w:noProof/>
          <w:lang w:eastAsia="en-AU"/>
        </w:rPr>
        <w:drawing>
          <wp:inline distT="0" distB="0" distL="0" distR="0" wp14:anchorId="0D672719" wp14:editId="3BE215DA">
            <wp:extent cx="3655372" cy="2162216"/>
            <wp:effectExtent l="0" t="0" r="2540" b="9525"/>
            <wp:docPr id="10" name="Chart 10" descr="A graph showing the sensitivity of the main variables of consumer cost. These are the number of consumers, number of products, the percentage of products that have their label changed and the time to find the measurement mark. " title="Figure A10- 4: Relative sensitivity of the main variables of consumer cost"/>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2696"/>
    </w:p>
    <w:p w:rsidR="00E52449" w:rsidRPr="006A74F8" w:rsidRDefault="00E52449" w:rsidP="00FA35BB">
      <w:pPr>
        <w:spacing w:before="240" w:after="240"/>
        <w:rPr>
          <w:rFonts w:eastAsia="Calibri" w:cstheme="minorHAnsi"/>
        </w:rPr>
      </w:pPr>
      <w:r w:rsidRPr="006A74F8">
        <w:rPr>
          <w:rFonts w:eastAsia="Calibri" w:cstheme="minorHAnsi"/>
        </w:rPr>
        <w:t>However, the reason for the percentage change to have such an exaggerated effect is due to the small value assumed to have changed. Because of this, it is quite easy to change the estimate by a moderate amount 5-10 per cent and multiply the effect by several times.</w:t>
      </w:r>
    </w:p>
    <w:p w:rsidR="00E52449" w:rsidRPr="006A74F8" w:rsidRDefault="00E52449" w:rsidP="000272C7">
      <w:pPr>
        <w:pStyle w:val="Heading3"/>
        <w:tabs>
          <w:tab w:val="left" w:pos="993"/>
        </w:tabs>
        <w:rPr>
          <w:rFonts w:eastAsia="Times New Roman"/>
        </w:rPr>
      </w:pPr>
      <w:r w:rsidRPr="006A74F8">
        <w:rPr>
          <w:rFonts w:eastAsia="Times New Roman"/>
        </w:rPr>
        <w:t xml:space="preserve">Combined costs for each option </w:t>
      </w:r>
    </w:p>
    <w:p w:rsidR="00E52449" w:rsidRPr="006A74F8" w:rsidRDefault="00E52449" w:rsidP="00FA35BB">
      <w:pPr>
        <w:spacing w:before="240" w:after="120"/>
        <w:rPr>
          <w:rFonts w:eastAsia="Calibri" w:cstheme="minorHAnsi"/>
        </w:rPr>
      </w:pPr>
      <w:r w:rsidRPr="006A74F8">
        <w:rPr>
          <w:rFonts w:eastAsia="Calibri" w:cstheme="minorHAnsi"/>
        </w:rPr>
        <w:t xml:space="preserve">The overall impact for all of the options is </w:t>
      </w:r>
      <w:r w:rsidR="007369C7" w:rsidRPr="006A74F8">
        <w:rPr>
          <w:rFonts w:eastAsia="Calibri" w:cstheme="minorHAnsi"/>
        </w:rPr>
        <w:t xml:space="preserve">in the tables </w:t>
      </w:r>
      <w:r w:rsidRPr="006A74F8">
        <w:rPr>
          <w:rFonts w:eastAsia="Calibri" w:cstheme="minorHAnsi"/>
        </w:rPr>
        <w:t>below.</w:t>
      </w:r>
    </w:p>
    <w:p w:rsidR="002D4329" w:rsidRPr="006A74F8" w:rsidRDefault="002D4329" w:rsidP="00FA35BB">
      <w:pPr>
        <w:pStyle w:val="Caption"/>
        <w:keepNext/>
        <w:spacing w:line="259" w:lineRule="auto"/>
      </w:pPr>
      <w:r w:rsidRPr="006A74F8">
        <w:t>Table A</w:t>
      </w:r>
      <w:r w:rsidR="005C7EB5" w:rsidRPr="006A74F8">
        <w:t>9</w:t>
      </w:r>
      <w:r w:rsidRPr="006A74F8">
        <w:t xml:space="preserve">- </w:t>
      </w:r>
      <w:r w:rsidR="00517AFF" w:rsidRPr="006A74F8">
        <w:rPr>
          <w:noProof/>
        </w:rPr>
        <w:fldChar w:fldCharType="begin"/>
      </w:r>
      <w:r w:rsidR="00517AFF" w:rsidRPr="006A74F8">
        <w:rPr>
          <w:noProof/>
        </w:rPr>
        <w:instrText xml:space="preserve"> SEQ Table_A10- \* ARABIC </w:instrText>
      </w:r>
      <w:r w:rsidR="00517AFF" w:rsidRPr="006A74F8">
        <w:rPr>
          <w:noProof/>
        </w:rPr>
        <w:fldChar w:fldCharType="separate"/>
      </w:r>
      <w:r w:rsidR="0033017F">
        <w:rPr>
          <w:noProof/>
        </w:rPr>
        <w:t>9</w:t>
      </w:r>
      <w:r w:rsidR="00517AFF" w:rsidRPr="006A74F8">
        <w:rPr>
          <w:noProof/>
        </w:rPr>
        <w:fldChar w:fldCharType="end"/>
      </w:r>
      <w:r w:rsidRPr="006A74F8">
        <w:t>: Summary of impacts</w:t>
      </w:r>
    </w:p>
    <w:tbl>
      <w:tblPr>
        <w:tblStyle w:val="TableGrid"/>
        <w:tblW w:w="0" w:type="auto"/>
        <w:tblInd w:w="-5" w:type="dxa"/>
        <w:tblLook w:val="04A0" w:firstRow="1" w:lastRow="0" w:firstColumn="1" w:lastColumn="0" w:noHBand="0" w:noVBand="1"/>
        <w:tblCaption w:val="Table 11: Total benefits and costs for industry and consumers"/>
        <w:tblDescription w:val="Under option 2 - the total savings to industry is 3.9 million dollars and the total cost to consumers is 0.1 million dollars.                                      Under option 3 - the total savings to industry is 4.2 million dollars and the total cost to consumers is 0.8 million dollars.&#10;Under option 4 - the total savings to industry is 4.2 million dollars and the total cost to consumers is 0.2 million dollars.&#10;Therefore, option 2 represents a net present value of 3.8 million dollars, option 3 represents a net present value of 3.4 million dollars, and option 4 represents a net present value of 4.0 million dollars."/>
      </w:tblPr>
      <w:tblGrid>
        <w:gridCol w:w="2863"/>
        <w:gridCol w:w="1084"/>
        <w:gridCol w:w="1084"/>
        <w:gridCol w:w="1084"/>
      </w:tblGrid>
      <w:tr w:rsidR="00E52449" w:rsidRPr="006A74F8" w:rsidTr="00320404">
        <w:trPr>
          <w:trHeight w:val="454"/>
          <w:tblHeader/>
        </w:trPr>
        <w:tc>
          <w:tcPr>
            <w:tcW w:w="2863" w:type="dxa"/>
            <w:shd w:val="clear" w:color="auto" w:fill="004059" w:themeFill="text2" w:themeFillShade="BF"/>
            <w:vAlign w:val="center"/>
          </w:tcPr>
          <w:p w:rsidR="00E52449" w:rsidRPr="006A74F8" w:rsidRDefault="00E52449">
            <w:pPr>
              <w:spacing w:after="160" w:line="259" w:lineRule="auto"/>
              <w:rPr>
                <w:rFonts w:eastAsia="Calibri" w:cstheme="minorHAnsi"/>
                <w:b/>
                <w:sz w:val="20"/>
                <w:szCs w:val="20"/>
              </w:rPr>
            </w:pPr>
            <w:r w:rsidRPr="006A74F8">
              <w:rPr>
                <w:rFonts w:eastAsia="Calibri" w:cstheme="minorHAnsi"/>
                <w:b/>
                <w:sz w:val="20"/>
                <w:szCs w:val="20"/>
              </w:rPr>
              <w:t>Impact Category</w:t>
            </w:r>
          </w:p>
        </w:tc>
        <w:tc>
          <w:tcPr>
            <w:tcW w:w="1084" w:type="dxa"/>
            <w:shd w:val="clear" w:color="auto" w:fill="004059" w:themeFill="text2" w:themeFillShade="BF"/>
            <w:vAlign w:val="center"/>
          </w:tcPr>
          <w:p w:rsidR="00E52449" w:rsidRPr="006A74F8" w:rsidRDefault="00E52449" w:rsidP="00FA35BB">
            <w:pPr>
              <w:spacing w:line="259" w:lineRule="auto"/>
              <w:contextualSpacing/>
              <w:jc w:val="center"/>
              <w:rPr>
                <w:rFonts w:eastAsia="Calibri" w:cstheme="minorHAnsi"/>
                <w:b/>
                <w:sz w:val="20"/>
                <w:szCs w:val="20"/>
              </w:rPr>
            </w:pPr>
            <w:r w:rsidRPr="006A74F8">
              <w:rPr>
                <w:rFonts w:eastAsia="Calibri" w:cstheme="minorHAnsi"/>
                <w:b/>
                <w:sz w:val="20"/>
                <w:szCs w:val="20"/>
              </w:rPr>
              <w:t>Option 1</w:t>
            </w:r>
          </w:p>
        </w:tc>
        <w:tc>
          <w:tcPr>
            <w:tcW w:w="1084" w:type="dxa"/>
            <w:shd w:val="clear" w:color="auto" w:fill="004059" w:themeFill="text2" w:themeFillShade="BF"/>
            <w:vAlign w:val="center"/>
          </w:tcPr>
          <w:p w:rsidR="00E52449" w:rsidRPr="006A74F8" w:rsidRDefault="00E52449" w:rsidP="00FA35BB">
            <w:pPr>
              <w:spacing w:line="259" w:lineRule="auto"/>
              <w:contextualSpacing/>
              <w:jc w:val="center"/>
              <w:rPr>
                <w:rFonts w:eastAsia="Calibri" w:cstheme="minorHAnsi"/>
                <w:b/>
                <w:sz w:val="20"/>
                <w:szCs w:val="20"/>
              </w:rPr>
            </w:pPr>
            <w:r w:rsidRPr="006A74F8">
              <w:rPr>
                <w:rFonts w:eastAsia="Calibri" w:cstheme="minorHAnsi"/>
                <w:b/>
                <w:sz w:val="20"/>
                <w:szCs w:val="20"/>
              </w:rPr>
              <w:t>Option 2</w:t>
            </w:r>
          </w:p>
        </w:tc>
        <w:tc>
          <w:tcPr>
            <w:tcW w:w="1084" w:type="dxa"/>
            <w:shd w:val="clear" w:color="auto" w:fill="004059" w:themeFill="text2" w:themeFillShade="BF"/>
            <w:vAlign w:val="center"/>
          </w:tcPr>
          <w:p w:rsidR="00E52449" w:rsidRPr="006A74F8" w:rsidRDefault="00E52449" w:rsidP="00FA35BB">
            <w:pPr>
              <w:spacing w:line="259" w:lineRule="auto"/>
              <w:contextualSpacing/>
              <w:jc w:val="center"/>
              <w:rPr>
                <w:rFonts w:eastAsia="Calibri" w:cstheme="minorHAnsi"/>
                <w:b/>
                <w:sz w:val="20"/>
                <w:szCs w:val="20"/>
              </w:rPr>
            </w:pPr>
            <w:r w:rsidRPr="006A74F8">
              <w:rPr>
                <w:rFonts w:eastAsia="Calibri" w:cstheme="minorHAnsi"/>
                <w:b/>
                <w:sz w:val="20"/>
                <w:szCs w:val="20"/>
              </w:rPr>
              <w:t>Option 3</w:t>
            </w:r>
          </w:p>
        </w:tc>
      </w:tr>
      <w:tr w:rsidR="00E52449" w:rsidRPr="006A74F8" w:rsidTr="006B26B4">
        <w:tc>
          <w:tcPr>
            <w:tcW w:w="2863" w:type="dxa"/>
            <w:vAlign w:val="center"/>
          </w:tcPr>
          <w:p w:rsidR="00E52449" w:rsidRPr="006A74F8" w:rsidRDefault="00E52449" w:rsidP="00FA35BB">
            <w:pPr>
              <w:spacing w:after="240" w:line="259" w:lineRule="auto"/>
              <w:contextualSpacing/>
              <w:rPr>
                <w:rFonts w:eastAsia="Calibri" w:cstheme="minorHAnsi"/>
                <w:sz w:val="20"/>
                <w:szCs w:val="20"/>
              </w:rPr>
            </w:pPr>
            <w:r w:rsidRPr="006A74F8">
              <w:rPr>
                <w:rFonts w:eastAsia="Calibri" w:cstheme="minorHAnsi"/>
                <w:sz w:val="20"/>
                <w:szCs w:val="20"/>
              </w:rPr>
              <w:t xml:space="preserve">Total Benefits </w:t>
            </w:r>
            <w:r w:rsidRPr="006A74F8">
              <w:rPr>
                <w:rFonts w:eastAsia="Calibri" w:cstheme="minorHAnsi"/>
                <w:sz w:val="20"/>
                <w:szCs w:val="20"/>
              </w:rPr>
              <w:br/>
              <w:t>Industry Savings</w:t>
            </w:r>
          </w:p>
        </w:tc>
        <w:tc>
          <w:tcPr>
            <w:tcW w:w="1084" w:type="dxa"/>
            <w:vAlign w:val="center"/>
          </w:tcPr>
          <w:p w:rsidR="00E52449" w:rsidRPr="006A74F8" w:rsidRDefault="00E52449" w:rsidP="00FA35BB">
            <w:pPr>
              <w:spacing w:after="240" w:line="259" w:lineRule="auto"/>
              <w:contextualSpacing/>
              <w:rPr>
                <w:rFonts w:eastAsia="Calibri" w:cstheme="minorHAnsi"/>
                <w:sz w:val="20"/>
                <w:szCs w:val="20"/>
              </w:rPr>
            </w:pPr>
            <w:r w:rsidRPr="006A74F8">
              <w:rPr>
                <w:rFonts w:cstheme="minorHAnsi"/>
                <w:sz w:val="20"/>
                <w:szCs w:val="20"/>
              </w:rPr>
              <w:t>-$</w:t>
            </w:r>
            <w:r w:rsidR="00442B88" w:rsidRPr="006A74F8">
              <w:rPr>
                <w:rFonts w:cstheme="minorHAnsi"/>
                <w:sz w:val="20"/>
                <w:szCs w:val="20"/>
              </w:rPr>
              <w:t>5.7</w:t>
            </w:r>
            <w:r w:rsidRPr="006A74F8">
              <w:rPr>
                <w:rFonts w:cstheme="minorHAnsi"/>
                <w:sz w:val="20"/>
                <w:szCs w:val="20"/>
              </w:rPr>
              <w:t xml:space="preserve"> m</w:t>
            </w:r>
          </w:p>
        </w:tc>
        <w:tc>
          <w:tcPr>
            <w:tcW w:w="1084" w:type="dxa"/>
            <w:vAlign w:val="center"/>
          </w:tcPr>
          <w:p w:rsidR="00E52449" w:rsidRPr="006A74F8" w:rsidRDefault="00E52449" w:rsidP="00FA35BB">
            <w:pPr>
              <w:spacing w:after="240" w:line="259" w:lineRule="auto"/>
              <w:contextualSpacing/>
              <w:rPr>
                <w:rFonts w:eastAsia="Calibri" w:cstheme="minorHAnsi"/>
                <w:sz w:val="20"/>
                <w:szCs w:val="20"/>
              </w:rPr>
            </w:pPr>
            <w:r w:rsidRPr="006A74F8">
              <w:rPr>
                <w:rFonts w:cstheme="minorHAnsi"/>
                <w:sz w:val="20"/>
                <w:szCs w:val="20"/>
              </w:rPr>
              <w:t>-$</w:t>
            </w:r>
            <w:r w:rsidR="00442B88" w:rsidRPr="006A74F8">
              <w:rPr>
                <w:rFonts w:cstheme="minorHAnsi"/>
                <w:sz w:val="20"/>
                <w:szCs w:val="20"/>
              </w:rPr>
              <w:t>6.4</w:t>
            </w:r>
            <w:r w:rsidRPr="006A74F8">
              <w:rPr>
                <w:rFonts w:cstheme="minorHAnsi"/>
                <w:sz w:val="20"/>
                <w:szCs w:val="20"/>
              </w:rPr>
              <w:t xml:space="preserve"> m</w:t>
            </w:r>
          </w:p>
        </w:tc>
        <w:tc>
          <w:tcPr>
            <w:tcW w:w="1084" w:type="dxa"/>
            <w:vAlign w:val="center"/>
          </w:tcPr>
          <w:p w:rsidR="00E52449" w:rsidRPr="006A74F8" w:rsidRDefault="00E52449" w:rsidP="00FA35BB">
            <w:pPr>
              <w:spacing w:after="240" w:line="259" w:lineRule="auto"/>
              <w:contextualSpacing/>
              <w:rPr>
                <w:rFonts w:eastAsia="Calibri" w:cstheme="minorHAnsi"/>
                <w:sz w:val="20"/>
                <w:szCs w:val="20"/>
              </w:rPr>
            </w:pPr>
            <w:r w:rsidRPr="006A74F8">
              <w:rPr>
                <w:rFonts w:cstheme="minorHAnsi"/>
                <w:sz w:val="20"/>
                <w:szCs w:val="20"/>
              </w:rPr>
              <w:t>-$</w:t>
            </w:r>
            <w:r w:rsidR="00442B88" w:rsidRPr="006A74F8">
              <w:rPr>
                <w:rFonts w:cstheme="minorHAnsi"/>
                <w:sz w:val="20"/>
                <w:szCs w:val="20"/>
              </w:rPr>
              <w:t>6.</w:t>
            </w:r>
            <w:r w:rsidRPr="006A74F8">
              <w:rPr>
                <w:rFonts w:cstheme="minorHAnsi"/>
                <w:sz w:val="20"/>
                <w:szCs w:val="20"/>
              </w:rPr>
              <w:t>4 m</w:t>
            </w:r>
          </w:p>
        </w:tc>
      </w:tr>
      <w:tr w:rsidR="00E52449" w:rsidRPr="006A74F8" w:rsidTr="006B26B4">
        <w:tc>
          <w:tcPr>
            <w:tcW w:w="2863" w:type="dxa"/>
            <w:vAlign w:val="center"/>
          </w:tcPr>
          <w:p w:rsidR="00E52449" w:rsidRPr="006A74F8" w:rsidRDefault="00E52449" w:rsidP="00FA35BB">
            <w:pPr>
              <w:spacing w:after="240" w:line="259" w:lineRule="auto"/>
              <w:contextualSpacing/>
              <w:rPr>
                <w:rFonts w:eastAsia="Calibri" w:cstheme="minorHAnsi"/>
                <w:sz w:val="20"/>
                <w:szCs w:val="20"/>
              </w:rPr>
            </w:pPr>
            <w:r w:rsidRPr="006A74F8">
              <w:rPr>
                <w:rFonts w:eastAsia="Calibri" w:cstheme="minorHAnsi"/>
                <w:sz w:val="20"/>
                <w:szCs w:val="20"/>
              </w:rPr>
              <w:t>Total Costs</w:t>
            </w:r>
            <w:r w:rsidRPr="006A74F8">
              <w:rPr>
                <w:rFonts w:eastAsia="Calibri" w:cstheme="minorHAnsi"/>
                <w:sz w:val="20"/>
                <w:szCs w:val="20"/>
              </w:rPr>
              <w:br/>
              <w:t>Consumer Costs</w:t>
            </w:r>
          </w:p>
        </w:tc>
        <w:tc>
          <w:tcPr>
            <w:tcW w:w="1084" w:type="dxa"/>
            <w:vAlign w:val="center"/>
          </w:tcPr>
          <w:p w:rsidR="00E52449" w:rsidRPr="006A74F8" w:rsidRDefault="00E52449" w:rsidP="00FA35BB">
            <w:pPr>
              <w:spacing w:after="240" w:line="259" w:lineRule="auto"/>
              <w:contextualSpacing/>
              <w:rPr>
                <w:rFonts w:eastAsia="Calibri" w:cstheme="minorHAnsi"/>
                <w:sz w:val="20"/>
                <w:szCs w:val="20"/>
              </w:rPr>
            </w:pPr>
            <w:r w:rsidRPr="006A74F8">
              <w:rPr>
                <w:rFonts w:cstheme="minorHAnsi"/>
                <w:sz w:val="20"/>
                <w:szCs w:val="20"/>
              </w:rPr>
              <w:t>+$0.1 m</w:t>
            </w:r>
          </w:p>
        </w:tc>
        <w:tc>
          <w:tcPr>
            <w:tcW w:w="1084" w:type="dxa"/>
            <w:vAlign w:val="center"/>
          </w:tcPr>
          <w:p w:rsidR="00E52449" w:rsidRPr="006A74F8" w:rsidRDefault="00E52449" w:rsidP="00FA35BB">
            <w:pPr>
              <w:spacing w:after="240" w:line="259" w:lineRule="auto"/>
              <w:contextualSpacing/>
              <w:rPr>
                <w:rFonts w:eastAsia="Calibri" w:cstheme="minorHAnsi"/>
                <w:sz w:val="20"/>
                <w:szCs w:val="20"/>
              </w:rPr>
            </w:pPr>
            <w:r w:rsidRPr="006A74F8">
              <w:rPr>
                <w:rFonts w:cstheme="minorHAnsi"/>
                <w:sz w:val="20"/>
                <w:szCs w:val="20"/>
              </w:rPr>
              <w:t>+$0.</w:t>
            </w:r>
            <w:r w:rsidR="00442B88" w:rsidRPr="006A74F8">
              <w:rPr>
                <w:rFonts w:cstheme="minorHAnsi"/>
                <w:sz w:val="20"/>
                <w:szCs w:val="20"/>
              </w:rPr>
              <w:t>9</w:t>
            </w:r>
            <w:r w:rsidRPr="006A74F8">
              <w:rPr>
                <w:rFonts w:cstheme="minorHAnsi"/>
                <w:sz w:val="20"/>
                <w:szCs w:val="20"/>
              </w:rPr>
              <w:t xml:space="preserve"> m</w:t>
            </w:r>
          </w:p>
        </w:tc>
        <w:tc>
          <w:tcPr>
            <w:tcW w:w="1084" w:type="dxa"/>
            <w:vAlign w:val="center"/>
          </w:tcPr>
          <w:p w:rsidR="00E52449" w:rsidRPr="006A74F8" w:rsidRDefault="00E52449" w:rsidP="00FA35BB">
            <w:pPr>
              <w:spacing w:after="240" w:line="259" w:lineRule="auto"/>
              <w:contextualSpacing/>
              <w:rPr>
                <w:rFonts w:eastAsia="Calibri" w:cstheme="minorHAnsi"/>
                <w:sz w:val="20"/>
                <w:szCs w:val="20"/>
              </w:rPr>
            </w:pPr>
            <w:r w:rsidRPr="006A74F8">
              <w:rPr>
                <w:rFonts w:cstheme="minorHAnsi"/>
                <w:sz w:val="20"/>
                <w:szCs w:val="20"/>
              </w:rPr>
              <w:t>+$0.</w:t>
            </w:r>
            <w:r w:rsidR="00442B88" w:rsidRPr="006A74F8">
              <w:rPr>
                <w:rFonts w:cstheme="minorHAnsi"/>
                <w:sz w:val="20"/>
                <w:szCs w:val="20"/>
              </w:rPr>
              <w:t>9</w:t>
            </w:r>
            <w:r w:rsidRPr="006A74F8">
              <w:rPr>
                <w:rFonts w:cstheme="minorHAnsi"/>
                <w:sz w:val="20"/>
                <w:szCs w:val="20"/>
              </w:rPr>
              <w:t xml:space="preserve"> m</w:t>
            </w:r>
          </w:p>
        </w:tc>
      </w:tr>
      <w:tr w:rsidR="00E52449" w:rsidRPr="006A74F8" w:rsidTr="006B26B4">
        <w:trPr>
          <w:trHeight w:val="510"/>
        </w:trPr>
        <w:tc>
          <w:tcPr>
            <w:tcW w:w="2863" w:type="dxa"/>
            <w:vAlign w:val="center"/>
          </w:tcPr>
          <w:p w:rsidR="00E52449" w:rsidRPr="006A74F8" w:rsidRDefault="00E52449" w:rsidP="00FA35BB">
            <w:pPr>
              <w:spacing w:after="240" w:line="259" w:lineRule="auto"/>
              <w:contextualSpacing/>
              <w:rPr>
                <w:rFonts w:eastAsia="Calibri" w:cstheme="minorHAnsi"/>
                <w:b/>
                <w:sz w:val="20"/>
                <w:szCs w:val="20"/>
              </w:rPr>
            </w:pPr>
            <w:r w:rsidRPr="006A74F8">
              <w:rPr>
                <w:rFonts w:eastAsia="Calibri" w:cstheme="minorHAnsi"/>
                <w:b/>
                <w:sz w:val="20"/>
                <w:szCs w:val="20"/>
              </w:rPr>
              <w:t>Change in regulatory burden</w:t>
            </w:r>
          </w:p>
        </w:tc>
        <w:tc>
          <w:tcPr>
            <w:tcW w:w="1084" w:type="dxa"/>
            <w:vAlign w:val="center"/>
          </w:tcPr>
          <w:p w:rsidR="00E52449" w:rsidRPr="006A74F8" w:rsidRDefault="00E52449" w:rsidP="00FA35BB">
            <w:pPr>
              <w:spacing w:after="240" w:line="259" w:lineRule="auto"/>
              <w:contextualSpacing/>
              <w:rPr>
                <w:rFonts w:eastAsia="Calibri" w:cstheme="minorHAnsi"/>
                <w:b/>
                <w:sz w:val="20"/>
                <w:szCs w:val="20"/>
              </w:rPr>
            </w:pPr>
            <w:r w:rsidRPr="006A74F8">
              <w:rPr>
                <w:rFonts w:cstheme="minorHAnsi"/>
                <w:b/>
                <w:sz w:val="20"/>
                <w:szCs w:val="20"/>
              </w:rPr>
              <w:t>-$</w:t>
            </w:r>
            <w:r w:rsidR="00442B88" w:rsidRPr="006A74F8">
              <w:rPr>
                <w:rFonts w:cstheme="minorHAnsi"/>
                <w:b/>
                <w:sz w:val="20"/>
                <w:szCs w:val="20"/>
              </w:rPr>
              <w:t>5.6</w:t>
            </w:r>
            <w:r w:rsidRPr="006A74F8">
              <w:rPr>
                <w:rFonts w:cstheme="minorHAnsi"/>
                <w:b/>
                <w:sz w:val="20"/>
                <w:szCs w:val="20"/>
              </w:rPr>
              <w:t xml:space="preserve"> m</w:t>
            </w:r>
          </w:p>
        </w:tc>
        <w:tc>
          <w:tcPr>
            <w:tcW w:w="1084" w:type="dxa"/>
            <w:vAlign w:val="center"/>
          </w:tcPr>
          <w:p w:rsidR="00E52449" w:rsidRPr="006A74F8" w:rsidRDefault="00E52449" w:rsidP="00FA35BB">
            <w:pPr>
              <w:spacing w:after="240" w:line="259" w:lineRule="auto"/>
              <w:contextualSpacing/>
              <w:rPr>
                <w:rFonts w:eastAsia="Calibri" w:cstheme="minorHAnsi"/>
                <w:b/>
                <w:sz w:val="20"/>
                <w:szCs w:val="20"/>
              </w:rPr>
            </w:pPr>
            <w:r w:rsidRPr="006A74F8">
              <w:rPr>
                <w:rFonts w:cstheme="minorHAnsi"/>
                <w:b/>
                <w:sz w:val="20"/>
                <w:szCs w:val="20"/>
              </w:rPr>
              <w:t>-$</w:t>
            </w:r>
            <w:r w:rsidR="00442B88" w:rsidRPr="006A74F8">
              <w:rPr>
                <w:rFonts w:cstheme="minorHAnsi"/>
                <w:b/>
                <w:sz w:val="20"/>
                <w:szCs w:val="20"/>
              </w:rPr>
              <w:t>5.5</w:t>
            </w:r>
            <w:r w:rsidRPr="006A74F8">
              <w:rPr>
                <w:rFonts w:cstheme="minorHAnsi"/>
                <w:b/>
                <w:sz w:val="20"/>
                <w:szCs w:val="20"/>
              </w:rPr>
              <w:t xml:space="preserve"> m</w:t>
            </w:r>
          </w:p>
        </w:tc>
        <w:tc>
          <w:tcPr>
            <w:tcW w:w="1084" w:type="dxa"/>
            <w:vAlign w:val="center"/>
          </w:tcPr>
          <w:p w:rsidR="00E52449" w:rsidRPr="006A74F8" w:rsidRDefault="00E52449" w:rsidP="00FA35BB">
            <w:pPr>
              <w:spacing w:after="240" w:line="259" w:lineRule="auto"/>
              <w:contextualSpacing/>
              <w:rPr>
                <w:rFonts w:eastAsia="Calibri" w:cstheme="minorHAnsi"/>
                <w:b/>
                <w:sz w:val="20"/>
                <w:szCs w:val="20"/>
              </w:rPr>
            </w:pPr>
            <w:r w:rsidRPr="006A74F8">
              <w:rPr>
                <w:rFonts w:cstheme="minorHAnsi"/>
                <w:b/>
                <w:sz w:val="20"/>
                <w:szCs w:val="20"/>
              </w:rPr>
              <w:t>-$</w:t>
            </w:r>
            <w:r w:rsidR="00442B88" w:rsidRPr="006A74F8">
              <w:rPr>
                <w:rFonts w:cstheme="minorHAnsi"/>
                <w:b/>
                <w:sz w:val="20"/>
                <w:szCs w:val="20"/>
              </w:rPr>
              <w:t>5.5</w:t>
            </w:r>
            <w:r w:rsidRPr="006A74F8">
              <w:rPr>
                <w:rFonts w:cstheme="minorHAnsi"/>
                <w:b/>
                <w:sz w:val="20"/>
                <w:szCs w:val="20"/>
              </w:rPr>
              <w:t xml:space="preserve"> m</w:t>
            </w:r>
          </w:p>
        </w:tc>
      </w:tr>
    </w:tbl>
    <w:p w:rsidR="00E52449" w:rsidRPr="006A74F8" w:rsidRDefault="00E52449" w:rsidP="00FA35BB">
      <w:pPr>
        <w:spacing w:before="240" w:after="120"/>
        <w:rPr>
          <w:rFonts w:eastAsia="Calibri" w:cstheme="minorHAnsi"/>
          <w:i/>
          <w:color w:val="2C2C2D"/>
          <w:szCs w:val="18"/>
        </w:rPr>
      </w:pPr>
      <w:r w:rsidRPr="006A74F8">
        <w:rPr>
          <w:rFonts w:eastAsia="Calibri" w:cstheme="minorHAnsi"/>
        </w:rPr>
        <w:t xml:space="preserve">Further, the uncertainty calculated for each option is presented </w:t>
      </w:r>
      <w:r w:rsidR="00553B83" w:rsidRPr="006A74F8">
        <w:rPr>
          <w:rFonts w:eastAsia="Calibri" w:cstheme="minorHAnsi"/>
        </w:rPr>
        <w:t>in the next two tables</w:t>
      </w:r>
      <w:r w:rsidRPr="006A74F8">
        <w:rPr>
          <w:rFonts w:eastAsia="Calibri" w:cstheme="minorHAnsi"/>
        </w:rPr>
        <w:t xml:space="preserve">. </w:t>
      </w:r>
      <w:bookmarkStart w:id="2697" w:name="_Ref503536259"/>
    </w:p>
    <w:bookmarkEnd w:id="2697"/>
    <w:p w:rsidR="002D4329" w:rsidRPr="006A74F8" w:rsidRDefault="002D4329" w:rsidP="00FA35BB">
      <w:pPr>
        <w:pStyle w:val="Caption"/>
        <w:keepNext/>
        <w:spacing w:line="259" w:lineRule="auto"/>
      </w:pPr>
      <w:r w:rsidRPr="006A74F8">
        <w:t>Table A</w:t>
      </w:r>
      <w:r w:rsidR="00CA49C7" w:rsidRPr="006A74F8">
        <w:t>9</w:t>
      </w:r>
      <w:r w:rsidRPr="006A74F8">
        <w:t xml:space="preserve">- </w:t>
      </w:r>
      <w:r w:rsidR="00517AFF" w:rsidRPr="006A74F8">
        <w:rPr>
          <w:noProof/>
        </w:rPr>
        <w:fldChar w:fldCharType="begin"/>
      </w:r>
      <w:r w:rsidR="00517AFF" w:rsidRPr="006A74F8">
        <w:rPr>
          <w:noProof/>
        </w:rPr>
        <w:instrText xml:space="preserve"> SEQ Table_A10- \* ARABIC </w:instrText>
      </w:r>
      <w:r w:rsidR="00517AFF" w:rsidRPr="006A74F8">
        <w:rPr>
          <w:noProof/>
        </w:rPr>
        <w:fldChar w:fldCharType="separate"/>
      </w:r>
      <w:r w:rsidR="0033017F">
        <w:rPr>
          <w:noProof/>
        </w:rPr>
        <w:t>10</w:t>
      </w:r>
      <w:r w:rsidR="00517AFF" w:rsidRPr="006A74F8">
        <w:rPr>
          <w:noProof/>
        </w:rPr>
        <w:fldChar w:fldCharType="end"/>
      </w:r>
      <w:r w:rsidRPr="006A74F8">
        <w:t>: Option 1 estimated costs and benefits alongside the range of calculated uncertainties</w:t>
      </w:r>
    </w:p>
    <w:tbl>
      <w:tblPr>
        <w:tblStyle w:val="TableGrid"/>
        <w:tblW w:w="0" w:type="auto"/>
        <w:tblInd w:w="-5" w:type="dxa"/>
        <w:tblLook w:val="04A0" w:firstRow="1" w:lastRow="0" w:firstColumn="1" w:lastColumn="0" w:noHBand="0" w:noVBand="1"/>
        <w:tblCaption w:val="Table 23a: Estimated costs and benefits alongside the range of calculated uncertainties for Option 2"/>
        <w:tblDescription w:val="Total Benefits - Industry Savings: low $2.3 million, estimated $3.9 million, high $32.8 million.&#10;Total Costs - Consumer costs: low $0, estimated $0.1 million, high $1.1 million."/>
      </w:tblPr>
      <w:tblGrid>
        <w:gridCol w:w="2755"/>
        <w:gridCol w:w="776"/>
        <w:gridCol w:w="944"/>
        <w:gridCol w:w="877"/>
      </w:tblGrid>
      <w:tr w:rsidR="00E52449" w:rsidRPr="006A74F8" w:rsidTr="00320404">
        <w:trPr>
          <w:trHeight w:val="300"/>
          <w:tblHeader/>
        </w:trPr>
        <w:tc>
          <w:tcPr>
            <w:tcW w:w="0" w:type="auto"/>
            <w:shd w:val="clear" w:color="auto" w:fill="004059" w:themeFill="text2" w:themeFillShade="BF"/>
            <w:noWrap/>
            <w:hideMark/>
          </w:tcPr>
          <w:p w:rsidR="00E52449" w:rsidRPr="006A74F8" w:rsidRDefault="00E52449" w:rsidP="00FA35BB">
            <w:pPr>
              <w:spacing w:after="120" w:line="259" w:lineRule="auto"/>
              <w:rPr>
                <w:rFonts w:eastAsia="Times New Roman" w:cstheme="minorHAnsi"/>
                <w:b/>
                <w:sz w:val="20"/>
                <w:szCs w:val="20"/>
                <w:lang w:eastAsia="en-AU"/>
              </w:rPr>
            </w:pPr>
          </w:p>
        </w:tc>
        <w:tc>
          <w:tcPr>
            <w:tcW w:w="0" w:type="auto"/>
            <w:shd w:val="clear" w:color="auto" w:fill="004059" w:themeFill="text2" w:themeFillShade="BF"/>
            <w:noWrap/>
            <w:vAlign w:val="center"/>
            <w:hideMark/>
          </w:tcPr>
          <w:p w:rsidR="00E52449" w:rsidRPr="006A74F8" w:rsidRDefault="00E52449" w:rsidP="00FA35BB">
            <w:pPr>
              <w:spacing w:after="40" w:line="259" w:lineRule="auto"/>
              <w:rPr>
                <w:rFonts w:eastAsia="Times New Roman" w:cstheme="minorHAnsi"/>
                <w:b/>
                <w:sz w:val="20"/>
                <w:szCs w:val="20"/>
                <w:lang w:eastAsia="en-AU"/>
              </w:rPr>
            </w:pPr>
            <w:r w:rsidRPr="006A74F8">
              <w:rPr>
                <w:rFonts w:eastAsia="Times New Roman" w:cstheme="minorHAnsi"/>
                <w:b/>
                <w:sz w:val="20"/>
                <w:szCs w:val="20"/>
                <w:lang w:eastAsia="en-AU"/>
              </w:rPr>
              <w:t>Low</w:t>
            </w:r>
          </w:p>
        </w:tc>
        <w:tc>
          <w:tcPr>
            <w:tcW w:w="0" w:type="auto"/>
            <w:shd w:val="clear" w:color="auto" w:fill="004059" w:themeFill="text2" w:themeFillShade="BF"/>
            <w:noWrap/>
            <w:vAlign w:val="center"/>
            <w:hideMark/>
          </w:tcPr>
          <w:p w:rsidR="00E52449" w:rsidRPr="006A74F8" w:rsidRDefault="00155DFC" w:rsidP="00FA35BB">
            <w:pPr>
              <w:spacing w:after="40" w:line="259" w:lineRule="auto"/>
              <w:rPr>
                <w:rFonts w:eastAsia="Times New Roman" w:cstheme="minorHAnsi"/>
                <w:b/>
                <w:sz w:val="20"/>
                <w:szCs w:val="20"/>
                <w:lang w:eastAsia="en-AU"/>
              </w:rPr>
            </w:pPr>
            <w:r w:rsidRPr="006A74F8">
              <w:rPr>
                <w:rFonts w:eastAsia="Times New Roman" w:cstheme="minorHAnsi"/>
                <w:b/>
                <w:sz w:val="20"/>
                <w:szCs w:val="20"/>
                <w:lang w:eastAsia="en-AU"/>
              </w:rPr>
              <w:t>Estimate</w:t>
            </w:r>
          </w:p>
        </w:tc>
        <w:tc>
          <w:tcPr>
            <w:tcW w:w="0" w:type="auto"/>
            <w:shd w:val="clear" w:color="auto" w:fill="004059" w:themeFill="text2" w:themeFillShade="BF"/>
            <w:noWrap/>
            <w:vAlign w:val="center"/>
            <w:hideMark/>
          </w:tcPr>
          <w:p w:rsidR="00E52449" w:rsidRPr="006A74F8" w:rsidRDefault="00E52449" w:rsidP="00FA35BB">
            <w:pPr>
              <w:spacing w:after="40" w:line="259" w:lineRule="auto"/>
              <w:rPr>
                <w:rFonts w:eastAsia="Times New Roman" w:cstheme="minorHAnsi"/>
                <w:b/>
                <w:sz w:val="20"/>
                <w:szCs w:val="20"/>
                <w:lang w:eastAsia="en-AU"/>
              </w:rPr>
            </w:pPr>
            <w:r w:rsidRPr="006A74F8">
              <w:rPr>
                <w:rFonts w:eastAsia="Times New Roman" w:cstheme="minorHAnsi"/>
                <w:b/>
                <w:sz w:val="20"/>
                <w:szCs w:val="20"/>
                <w:lang w:eastAsia="en-AU"/>
              </w:rPr>
              <w:t>High</w:t>
            </w:r>
          </w:p>
        </w:tc>
      </w:tr>
      <w:tr w:rsidR="00E52449" w:rsidRPr="006A74F8" w:rsidTr="00C7753E">
        <w:trPr>
          <w:trHeight w:hRule="exact" w:val="510"/>
        </w:trPr>
        <w:tc>
          <w:tcPr>
            <w:tcW w:w="0" w:type="auto"/>
            <w:noWrap/>
            <w:vAlign w:val="center"/>
            <w:hideMark/>
          </w:tcPr>
          <w:p w:rsidR="00E52449" w:rsidRPr="006A74F8" w:rsidRDefault="00E52449" w:rsidP="00FA35BB">
            <w:pPr>
              <w:spacing w:line="259" w:lineRule="auto"/>
              <w:rPr>
                <w:rFonts w:eastAsia="Times New Roman" w:cstheme="minorHAnsi"/>
                <w:sz w:val="20"/>
                <w:szCs w:val="20"/>
                <w:lang w:eastAsia="en-AU"/>
              </w:rPr>
            </w:pPr>
            <w:r w:rsidRPr="006A74F8">
              <w:rPr>
                <w:rFonts w:cstheme="minorHAnsi"/>
                <w:sz w:val="20"/>
                <w:szCs w:val="20"/>
                <w:lang w:eastAsia="en-AU"/>
              </w:rPr>
              <w:t>Total Benefits</w:t>
            </w:r>
            <w:r w:rsidR="001F5BDF" w:rsidRPr="006A74F8">
              <w:rPr>
                <w:rFonts w:cstheme="minorHAnsi"/>
                <w:sz w:val="20"/>
                <w:szCs w:val="20"/>
                <w:lang w:eastAsia="en-AU"/>
              </w:rPr>
              <w:t>:</w:t>
            </w:r>
            <w:r w:rsidRPr="006A74F8">
              <w:rPr>
                <w:rFonts w:cstheme="minorHAnsi"/>
                <w:sz w:val="20"/>
                <w:szCs w:val="20"/>
                <w:lang w:eastAsia="en-AU"/>
              </w:rPr>
              <w:t xml:space="preserve"> Industry Savings</w:t>
            </w:r>
          </w:p>
        </w:tc>
        <w:tc>
          <w:tcPr>
            <w:tcW w:w="0" w:type="auto"/>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w:t>
            </w:r>
            <w:r w:rsidR="00DD0D87" w:rsidRPr="006A74F8">
              <w:rPr>
                <w:rFonts w:cstheme="minorHAnsi"/>
                <w:sz w:val="20"/>
                <w:szCs w:val="20"/>
              </w:rPr>
              <w:t>3.4</w:t>
            </w:r>
            <w:r w:rsidRPr="006A74F8">
              <w:rPr>
                <w:rFonts w:cstheme="minorHAnsi"/>
                <w:sz w:val="20"/>
                <w:szCs w:val="20"/>
              </w:rPr>
              <w:t xml:space="preserve"> m</w:t>
            </w:r>
          </w:p>
        </w:tc>
        <w:tc>
          <w:tcPr>
            <w:tcW w:w="0" w:type="auto"/>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w:t>
            </w:r>
            <w:r w:rsidR="00DD0D87" w:rsidRPr="006A74F8">
              <w:rPr>
                <w:rFonts w:cstheme="minorHAnsi"/>
                <w:sz w:val="20"/>
                <w:szCs w:val="20"/>
              </w:rPr>
              <w:t>5.7</w:t>
            </w:r>
            <w:r w:rsidRPr="006A74F8">
              <w:rPr>
                <w:rFonts w:cstheme="minorHAnsi"/>
                <w:sz w:val="20"/>
                <w:szCs w:val="20"/>
              </w:rPr>
              <w:t xml:space="preserve"> m</w:t>
            </w:r>
          </w:p>
        </w:tc>
        <w:tc>
          <w:tcPr>
            <w:tcW w:w="0" w:type="auto"/>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w:t>
            </w:r>
            <w:r w:rsidR="00DD0D87" w:rsidRPr="006A74F8">
              <w:rPr>
                <w:rFonts w:cstheme="minorHAnsi"/>
                <w:sz w:val="20"/>
                <w:szCs w:val="20"/>
              </w:rPr>
              <w:t>47.5</w:t>
            </w:r>
            <w:r w:rsidRPr="006A74F8">
              <w:rPr>
                <w:rFonts w:cstheme="minorHAnsi"/>
                <w:sz w:val="20"/>
                <w:szCs w:val="20"/>
              </w:rPr>
              <w:t xml:space="preserve"> m</w:t>
            </w:r>
          </w:p>
        </w:tc>
      </w:tr>
      <w:tr w:rsidR="00E52449" w:rsidRPr="006A74F8" w:rsidTr="00C7753E">
        <w:trPr>
          <w:trHeight w:hRule="exact" w:val="510"/>
        </w:trPr>
        <w:tc>
          <w:tcPr>
            <w:tcW w:w="0" w:type="auto"/>
            <w:noWrap/>
            <w:vAlign w:val="center"/>
            <w:hideMark/>
          </w:tcPr>
          <w:p w:rsidR="00E52449" w:rsidRPr="006A74F8" w:rsidRDefault="00E52449" w:rsidP="00FA35BB">
            <w:pPr>
              <w:spacing w:line="259" w:lineRule="auto"/>
              <w:rPr>
                <w:rFonts w:eastAsia="Times New Roman" w:cstheme="minorHAnsi"/>
                <w:sz w:val="20"/>
                <w:szCs w:val="20"/>
                <w:lang w:eastAsia="en-AU"/>
              </w:rPr>
            </w:pPr>
            <w:r w:rsidRPr="006A74F8">
              <w:rPr>
                <w:rFonts w:eastAsia="Times New Roman" w:cstheme="minorHAnsi"/>
                <w:sz w:val="20"/>
                <w:szCs w:val="20"/>
                <w:lang w:eastAsia="en-AU"/>
              </w:rPr>
              <w:t>Total Costs</w:t>
            </w:r>
            <w:r w:rsidR="001F5BDF" w:rsidRPr="006A74F8">
              <w:rPr>
                <w:rFonts w:eastAsia="Times New Roman" w:cstheme="minorHAnsi"/>
                <w:sz w:val="20"/>
                <w:szCs w:val="20"/>
                <w:lang w:eastAsia="en-AU"/>
              </w:rPr>
              <w:t>:</w:t>
            </w:r>
            <w:r w:rsidRPr="006A74F8">
              <w:rPr>
                <w:rFonts w:eastAsia="Times New Roman" w:cstheme="minorHAnsi"/>
                <w:sz w:val="20"/>
                <w:szCs w:val="20"/>
                <w:lang w:eastAsia="en-AU"/>
              </w:rPr>
              <w:t xml:space="preserve"> Consumer Costs</w:t>
            </w:r>
          </w:p>
        </w:tc>
        <w:tc>
          <w:tcPr>
            <w:tcW w:w="0" w:type="auto"/>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$0</w:t>
            </w:r>
            <w:r w:rsidR="00DD0D87" w:rsidRPr="006A74F8">
              <w:rPr>
                <w:rFonts w:cstheme="minorHAnsi"/>
                <w:sz w:val="20"/>
                <w:szCs w:val="20"/>
              </w:rPr>
              <w:t>.0</w:t>
            </w:r>
            <w:r w:rsidRPr="006A74F8">
              <w:rPr>
                <w:rFonts w:cstheme="minorHAnsi"/>
                <w:sz w:val="20"/>
                <w:szCs w:val="20"/>
              </w:rPr>
              <w:t xml:space="preserve"> m</w:t>
            </w:r>
          </w:p>
        </w:tc>
        <w:tc>
          <w:tcPr>
            <w:tcW w:w="0" w:type="auto"/>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$0.1 m</w:t>
            </w:r>
          </w:p>
        </w:tc>
        <w:tc>
          <w:tcPr>
            <w:tcW w:w="0" w:type="auto"/>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$1.</w:t>
            </w:r>
            <w:r w:rsidR="00DD0D87" w:rsidRPr="006A74F8">
              <w:rPr>
                <w:rFonts w:cstheme="minorHAnsi"/>
                <w:sz w:val="20"/>
                <w:szCs w:val="20"/>
              </w:rPr>
              <w:t>2</w:t>
            </w:r>
            <w:r w:rsidRPr="006A74F8">
              <w:rPr>
                <w:rFonts w:cstheme="minorHAnsi"/>
                <w:sz w:val="20"/>
                <w:szCs w:val="20"/>
              </w:rPr>
              <w:t xml:space="preserve"> m</w:t>
            </w:r>
          </w:p>
        </w:tc>
      </w:tr>
    </w:tbl>
    <w:p w:rsidR="002D4329" w:rsidRPr="006A74F8" w:rsidRDefault="002D4329" w:rsidP="00FA35BB">
      <w:pPr>
        <w:pStyle w:val="Caption"/>
        <w:keepNext/>
        <w:spacing w:before="240" w:line="259" w:lineRule="auto"/>
      </w:pPr>
      <w:r w:rsidRPr="006A74F8">
        <w:t>Table A</w:t>
      </w:r>
      <w:r w:rsidR="001537DE" w:rsidRPr="006A74F8">
        <w:t>9</w:t>
      </w:r>
      <w:r w:rsidRPr="006A74F8">
        <w:t xml:space="preserve">- </w:t>
      </w:r>
      <w:r w:rsidR="00517AFF" w:rsidRPr="006A74F8">
        <w:rPr>
          <w:noProof/>
        </w:rPr>
        <w:fldChar w:fldCharType="begin"/>
      </w:r>
      <w:r w:rsidR="00517AFF" w:rsidRPr="006A74F8">
        <w:rPr>
          <w:noProof/>
        </w:rPr>
        <w:instrText xml:space="preserve"> SEQ Table_A10- \* ARABIC </w:instrText>
      </w:r>
      <w:r w:rsidR="00517AFF" w:rsidRPr="006A74F8">
        <w:rPr>
          <w:noProof/>
        </w:rPr>
        <w:fldChar w:fldCharType="separate"/>
      </w:r>
      <w:r w:rsidR="0033017F">
        <w:rPr>
          <w:noProof/>
        </w:rPr>
        <w:t>11</w:t>
      </w:r>
      <w:r w:rsidR="00517AFF" w:rsidRPr="006A74F8">
        <w:rPr>
          <w:noProof/>
        </w:rPr>
        <w:fldChar w:fldCharType="end"/>
      </w:r>
      <w:r w:rsidRPr="006A74F8">
        <w:t>: Options 2 and 3 estimated costs and benefits alongside the range of calculated uncertainties</w:t>
      </w:r>
    </w:p>
    <w:tbl>
      <w:tblPr>
        <w:tblStyle w:val="TableGrid"/>
        <w:tblW w:w="0" w:type="auto"/>
        <w:tblInd w:w="-5" w:type="dxa"/>
        <w:tblLook w:val="04A0" w:firstRow="1" w:lastRow="0" w:firstColumn="1" w:lastColumn="0" w:noHBand="0" w:noVBand="1"/>
        <w:tblCaption w:val="Table 23b: Estimated costs and benefits alongside the range of calculated uncertainties for Option 3"/>
        <w:tblDescription w:val="Total Benefits - Industry Savings: low $2.3 million, estimated $4.2 million, high $33.7 million.&#10;Total Costs - Consumer costs: low $0, estimated $0.6 million, high $8.1 million."/>
      </w:tblPr>
      <w:tblGrid>
        <w:gridCol w:w="2835"/>
        <w:gridCol w:w="1134"/>
        <w:gridCol w:w="1134"/>
        <w:gridCol w:w="1134"/>
      </w:tblGrid>
      <w:tr w:rsidR="00E52449" w:rsidRPr="006A74F8" w:rsidTr="00320404">
        <w:trPr>
          <w:trHeight w:val="300"/>
          <w:tblHeader/>
        </w:trPr>
        <w:tc>
          <w:tcPr>
            <w:tcW w:w="0" w:type="auto"/>
            <w:shd w:val="clear" w:color="auto" w:fill="004059" w:themeFill="text2" w:themeFillShade="BF"/>
            <w:noWrap/>
            <w:vAlign w:val="center"/>
            <w:hideMark/>
          </w:tcPr>
          <w:p w:rsidR="00E52449" w:rsidRPr="006A74F8" w:rsidRDefault="00DD0D87" w:rsidP="00FA35BB">
            <w:pPr>
              <w:spacing w:after="40" w:line="259" w:lineRule="auto"/>
              <w:rPr>
                <w:rFonts w:eastAsia="Times New Roman" w:cstheme="minorHAnsi"/>
                <w:b/>
                <w:sz w:val="20"/>
                <w:szCs w:val="20"/>
                <w:lang w:eastAsia="en-AU"/>
              </w:rPr>
            </w:pPr>
            <w:r w:rsidRPr="006A74F8">
              <w:rPr>
                <w:rFonts w:eastAsia="Times New Roman" w:cstheme="minorHAnsi"/>
                <w:b/>
                <w:sz w:val="20"/>
                <w:szCs w:val="20"/>
                <w:lang w:eastAsia="en-AU"/>
              </w:rPr>
              <w:t>Impact Category</w:t>
            </w:r>
          </w:p>
        </w:tc>
        <w:tc>
          <w:tcPr>
            <w:tcW w:w="0" w:type="auto"/>
            <w:shd w:val="clear" w:color="auto" w:fill="004059" w:themeFill="text2" w:themeFillShade="BF"/>
            <w:noWrap/>
            <w:vAlign w:val="center"/>
            <w:hideMark/>
          </w:tcPr>
          <w:p w:rsidR="00E52449" w:rsidRPr="006A74F8" w:rsidRDefault="00E52449" w:rsidP="00FA35BB">
            <w:pPr>
              <w:spacing w:after="40" w:line="259" w:lineRule="auto"/>
              <w:rPr>
                <w:rFonts w:eastAsia="Times New Roman" w:cstheme="minorHAnsi"/>
                <w:b/>
                <w:sz w:val="20"/>
                <w:szCs w:val="20"/>
                <w:lang w:eastAsia="en-AU"/>
              </w:rPr>
            </w:pPr>
            <w:r w:rsidRPr="006A74F8">
              <w:rPr>
                <w:rFonts w:eastAsia="Times New Roman" w:cstheme="minorHAnsi"/>
                <w:b/>
                <w:sz w:val="20"/>
                <w:szCs w:val="20"/>
                <w:lang w:eastAsia="en-AU"/>
              </w:rPr>
              <w:t>Low</w:t>
            </w:r>
          </w:p>
        </w:tc>
        <w:tc>
          <w:tcPr>
            <w:tcW w:w="0" w:type="auto"/>
            <w:shd w:val="clear" w:color="auto" w:fill="004059" w:themeFill="text2" w:themeFillShade="BF"/>
            <w:noWrap/>
            <w:vAlign w:val="center"/>
            <w:hideMark/>
          </w:tcPr>
          <w:p w:rsidR="00E52449" w:rsidRPr="006A74F8" w:rsidRDefault="00155DFC" w:rsidP="00FA35BB">
            <w:pPr>
              <w:spacing w:after="40" w:line="259" w:lineRule="auto"/>
              <w:rPr>
                <w:rFonts w:eastAsia="Times New Roman" w:cstheme="minorHAnsi"/>
                <w:b/>
                <w:sz w:val="20"/>
                <w:szCs w:val="20"/>
                <w:lang w:eastAsia="en-AU"/>
              </w:rPr>
            </w:pPr>
            <w:r w:rsidRPr="006A74F8">
              <w:rPr>
                <w:rFonts w:eastAsia="Times New Roman" w:cstheme="minorHAnsi"/>
                <w:b/>
                <w:sz w:val="20"/>
                <w:szCs w:val="20"/>
                <w:lang w:eastAsia="en-AU"/>
              </w:rPr>
              <w:t>Estimate</w:t>
            </w:r>
          </w:p>
        </w:tc>
        <w:tc>
          <w:tcPr>
            <w:tcW w:w="1134" w:type="dxa"/>
            <w:shd w:val="clear" w:color="auto" w:fill="004059" w:themeFill="text2" w:themeFillShade="BF"/>
            <w:noWrap/>
            <w:vAlign w:val="center"/>
            <w:hideMark/>
          </w:tcPr>
          <w:p w:rsidR="00E52449" w:rsidRPr="006A74F8" w:rsidRDefault="00E52449" w:rsidP="00FA35BB">
            <w:pPr>
              <w:spacing w:after="40" w:line="259" w:lineRule="auto"/>
              <w:rPr>
                <w:rFonts w:eastAsia="Times New Roman" w:cstheme="minorHAnsi"/>
                <w:b/>
                <w:sz w:val="20"/>
                <w:szCs w:val="20"/>
                <w:lang w:eastAsia="en-AU"/>
              </w:rPr>
            </w:pPr>
            <w:r w:rsidRPr="006A74F8">
              <w:rPr>
                <w:rFonts w:eastAsia="Times New Roman" w:cstheme="minorHAnsi"/>
                <w:b/>
                <w:sz w:val="20"/>
                <w:szCs w:val="20"/>
                <w:lang w:eastAsia="en-AU"/>
              </w:rPr>
              <w:t>High</w:t>
            </w:r>
          </w:p>
        </w:tc>
      </w:tr>
      <w:tr w:rsidR="00E52449" w:rsidRPr="006A74F8" w:rsidTr="00FC6EC2">
        <w:trPr>
          <w:trHeight w:hRule="exact" w:val="510"/>
        </w:trPr>
        <w:tc>
          <w:tcPr>
            <w:tcW w:w="2835" w:type="dxa"/>
            <w:noWrap/>
            <w:vAlign w:val="center"/>
            <w:hideMark/>
          </w:tcPr>
          <w:p w:rsidR="00E52449" w:rsidRPr="006A74F8" w:rsidRDefault="00E52449" w:rsidP="00FA35BB">
            <w:pPr>
              <w:spacing w:line="259" w:lineRule="auto"/>
              <w:rPr>
                <w:rFonts w:eastAsia="Times New Roman" w:cstheme="minorHAnsi"/>
                <w:sz w:val="20"/>
                <w:szCs w:val="20"/>
                <w:lang w:eastAsia="en-AU"/>
              </w:rPr>
            </w:pPr>
            <w:r w:rsidRPr="006A74F8">
              <w:rPr>
                <w:rFonts w:eastAsia="Times New Roman" w:cstheme="minorHAnsi"/>
                <w:sz w:val="20"/>
                <w:szCs w:val="20"/>
                <w:lang w:eastAsia="en-AU"/>
              </w:rPr>
              <w:t>Total Benefits</w:t>
            </w:r>
            <w:r w:rsidR="001F5BDF" w:rsidRPr="006A74F8">
              <w:rPr>
                <w:rFonts w:eastAsia="Times New Roman" w:cstheme="minorHAnsi"/>
                <w:sz w:val="20"/>
                <w:szCs w:val="20"/>
                <w:lang w:eastAsia="en-AU"/>
              </w:rPr>
              <w:t>:</w:t>
            </w:r>
            <w:r w:rsidRPr="006A74F8">
              <w:rPr>
                <w:rFonts w:eastAsia="Times New Roman" w:cstheme="minorHAnsi"/>
                <w:sz w:val="20"/>
                <w:szCs w:val="20"/>
                <w:lang w:eastAsia="en-AU"/>
              </w:rPr>
              <w:t xml:space="preserve"> Industry Savings</w:t>
            </w:r>
          </w:p>
        </w:tc>
        <w:tc>
          <w:tcPr>
            <w:tcW w:w="1134" w:type="dxa"/>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w:t>
            </w:r>
            <w:r w:rsidR="00DD0D87" w:rsidRPr="006A74F8">
              <w:rPr>
                <w:rFonts w:cstheme="minorHAnsi"/>
                <w:sz w:val="20"/>
                <w:szCs w:val="20"/>
              </w:rPr>
              <w:t>3.4</w:t>
            </w:r>
            <w:r w:rsidRPr="006A74F8">
              <w:rPr>
                <w:rFonts w:cstheme="minorHAnsi"/>
                <w:sz w:val="20"/>
                <w:szCs w:val="20"/>
              </w:rPr>
              <w:t xml:space="preserve"> m</w:t>
            </w:r>
          </w:p>
        </w:tc>
        <w:tc>
          <w:tcPr>
            <w:tcW w:w="1134" w:type="dxa"/>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w:t>
            </w:r>
            <w:r w:rsidR="00DD0D87" w:rsidRPr="006A74F8">
              <w:rPr>
                <w:rFonts w:cstheme="minorHAnsi"/>
                <w:sz w:val="20"/>
                <w:szCs w:val="20"/>
              </w:rPr>
              <w:t>6.4</w:t>
            </w:r>
            <w:r w:rsidRPr="006A74F8">
              <w:rPr>
                <w:rFonts w:cstheme="minorHAnsi"/>
                <w:sz w:val="20"/>
                <w:szCs w:val="20"/>
              </w:rPr>
              <w:t xml:space="preserve"> m</w:t>
            </w:r>
          </w:p>
        </w:tc>
        <w:tc>
          <w:tcPr>
            <w:tcW w:w="1134" w:type="dxa"/>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w:t>
            </w:r>
            <w:r w:rsidR="00DD0D87" w:rsidRPr="006A74F8">
              <w:rPr>
                <w:rFonts w:cstheme="minorHAnsi"/>
                <w:sz w:val="20"/>
                <w:szCs w:val="20"/>
              </w:rPr>
              <w:t>48.5</w:t>
            </w:r>
            <w:r w:rsidRPr="006A74F8">
              <w:rPr>
                <w:rFonts w:cstheme="minorHAnsi"/>
                <w:sz w:val="20"/>
                <w:szCs w:val="20"/>
              </w:rPr>
              <w:t xml:space="preserve"> m</w:t>
            </w:r>
          </w:p>
        </w:tc>
      </w:tr>
      <w:tr w:rsidR="00E52449" w:rsidRPr="006A74F8" w:rsidTr="00FC6EC2">
        <w:trPr>
          <w:trHeight w:hRule="exact" w:val="510"/>
        </w:trPr>
        <w:tc>
          <w:tcPr>
            <w:tcW w:w="2835" w:type="dxa"/>
            <w:noWrap/>
            <w:vAlign w:val="center"/>
            <w:hideMark/>
          </w:tcPr>
          <w:p w:rsidR="00E52449" w:rsidRPr="006A74F8" w:rsidRDefault="00E52449" w:rsidP="00FA35BB">
            <w:pPr>
              <w:spacing w:line="259" w:lineRule="auto"/>
              <w:rPr>
                <w:rFonts w:eastAsia="Times New Roman" w:cstheme="minorHAnsi"/>
                <w:sz w:val="20"/>
                <w:szCs w:val="20"/>
                <w:lang w:eastAsia="en-AU"/>
              </w:rPr>
            </w:pPr>
            <w:r w:rsidRPr="006A74F8">
              <w:rPr>
                <w:rFonts w:eastAsia="Times New Roman" w:cstheme="minorHAnsi"/>
                <w:sz w:val="20"/>
                <w:szCs w:val="20"/>
                <w:lang w:eastAsia="en-AU"/>
              </w:rPr>
              <w:t>Total Costs</w:t>
            </w:r>
            <w:r w:rsidR="001F5BDF" w:rsidRPr="006A74F8">
              <w:rPr>
                <w:rFonts w:eastAsia="Times New Roman" w:cstheme="minorHAnsi"/>
                <w:sz w:val="20"/>
                <w:szCs w:val="20"/>
                <w:lang w:eastAsia="en-AU"/>
              </w:rPr>
              <w:t>:</w:t>
            </w:r>
            <w:r w:rsidRPr="006A74F8">
              <w:rPr>
                <w:rFonts w:eastAsia="Times New Roman" w:cstheme="minorHAnsi"/>
                <w:sz w:val="20"/>
                <w:szCs w:val="20"/>
                <w:lang w:eastAsia="en-AU"/>
              </w:rPr>
              <w:t xml:space="preserve"> Consumer Costs</w:t>
            </w:r>
          </w:p>
        </w:tc>
        <w:tc>
          <w:tcPr>
            <w:tcW w:w="1134" w:type="dxa"/>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$0</w:t>
            </w:r>
            <w:r w:rsidR="00DD0D87" w:rsidRPr="006A74F8">
              <w:rPr>
                <w:rFonts w:cstheme="minorHAnsi"/>
                <w:sz w:val="20"/>
                <w:szCs w:val="20"/>
              </w:rPr>
              <w:t>.0</w:t>
            </w:r>
            <w:r w:rsidRPr="006A74F8">
              <w:rPr>
                <w:rFonts w:cstheme="minorHAnsi"/>
                <w:sz w:val="20"/>
                <w:szCs w:val="20"/>
              </w:rPr>
              <w:t xml:space="preserve"> m</w:t>
            </w:r>
          </w:p>
        </w:tc>
        <w:tc>
          <w:tcPr>
            <w:tcW w:w="1134" w:type="dxa"/>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$0.</w:t>
            </w:r>
            <w:r w:rsidR="00DD0D87" w:rsidRPr="006A74F8">
              <w:rPr>
                <w:rFonts w:cstheme="minorHAnsi"/>
                <w:sz w:val="20"/>
                <w:szCs w:val="20"/>
              </w:rPr>
              <w:t>9</w:t>
            </w:r>
            <w:r w:rsidRPr="006A74F8">
              <w:rPr>
                <w:rFonts w:cstheme="minorHAnsi"/>
                <w:sz w:val="20"/>
                <w:szCs w:val="20"/>
              </w:rPr>
              <w:t xml:space="preserve"> m</w:t>
            </w:r>
          </w:p>
        </w:tc>
        <w:tc>
          <w:tcPr>
            <w:tcW w:w="1134" w:type="dxa"/>
            <w:noWrap/>
            <w:vAlign w:val="center"/>
            <w:hideMark/>
          </w:tcPr>
          <w:p w:rsidR="00E52449" w:rsidRPr="006A74F8" w:rsidRDefault="00E52449" w:rsidP="00FA35BB">
            <w:pPr>
              <w:spacing w:line="259" w:lineRule="auto"/>
              <w:rPr>
                <w:rFonts w:eastAsia="Times New Roman" w:cs="Arial"/>
                <w:sz w:val="20"/>
                <w:lang w:eastAsia="en-AU"/>
              </w:rPr>
            </w:pPr>
            <w:r w:rsidRPr="006A74F8">
              <w:rPr>
                <w:rFonts w:cstheme="minorHAnsi"/>
                <w:sz w:val="20"/>
                <w:szCs w:val="20"/>
              </w:rPr>
              <w:t>$</w:t>
            </w:r>
            <w:r w:rsidR="00DD0D87" w:rsidRPr="006A74F8">
              <w:rPr>
                <w:rFonts w:cstheme="minorHAnsi"/>
                <w:sz w:val="20"/>
                <w:szCs w:val="20"/>
              </w:rPr>
              <w:t>9.0</w:t>
            </w:r>
            <w:r w:rsidRPr="006A74F8">
              <w:rPr>
                <w:rFonts w:cstheme="minorHAnsi"/>
                <w:sz w:val="20"/>
                <w:szCs w:val="20"/>
              </w:rPr>
              <w:t xml:space="preserve"> m</w:t>
            </w:r>
          </w:p>
        </w:tc>
      </w:tr>
    </w:tbl>
    <w:p w:rsidR="00E52449" w:rsidRPr="006A74F8" w:rsidRDefault="00E52449" w:rsidP="00FA35BB">
      <w:pPr>
        <w:spacing w:before="240" w:after="0"/>
        <w:rPr>
          <w:rFonts w:eastAsia="Calibri" w:cstheme="minorHAnsi"/>
        </w:rPr>
      </w:pPr>
      <w:r w:rsidRPr="006A74F8">
        <w:rPr>
          <w:rFonts w:eastAsia="Calibri" w:cstheme="minorHAnsi"/>
        </w:rPr>
        <w:lastRenderedPageBreak/>
        <w:t xml:space="preserve">In considering the data it is worth noting:  </w:t>
      </w:r>
    </w:p>
    <w:p w:rsidR="00E52449" w:rsidRPr="006A74F8" w:rsidRDefault="00E52449" w:rsidP="00FA35BB">
      <w:pPr>
        <w:numPr>
          <w:ilvl w:val="0"/>
          <w:numId w:val="63"/>
        </w:numPr>
        <w:spacing w:before="240" w:after="0"/>
        <w:contextualSpacing/>
        <w:rPr>
          <w:rFonts w:eastAsia="Calibri" w:cstheme="minorHAnsi"/>
        </w:rPr>
      </w:pPr>
      <w:r w:rsidRPr="006A74F8">
        <w:rPr>
          <w:rFonts w:eastAsia="Calibri" w:cstheme="minorHAnsi"/>
        </w:rPr>
        <w:t>It is not necessary for the upper and lower estimates to match up for costs and savings.</w:t>
      </w:r>
    </w:p>
    <w:p w:rsidR="00E52449" w:rsidRPr="006A74F8" w:rsidRDefault="00E52449" w:rsidP="00FA35BB">
      <w:pPr>
        <w:numPr>
          <w:ilvl w:val="0"/>
          <w:numId w:val="63"/>
        </w:numPr>
        <w:spacing w:before="240" w:after="0"/>
        <w:contextualSpacing/>
        <w:rPr>
          <w:rFonts w:eastAsia="Calibri" w:cstheme="minorHAnsi"/>
        </w:rPr>
      </w:pPr>
      <w:r w:rsidRPr="006A74F8">
        <w:rPr>
          <w:rFonts w:eastAsia="Calibri" w:cstheme="minorHAnsi"/>
        </w:rPr>
        <w:t>Assuming the consumer cost is close to the low estimate, there is an industry benefit, but very little to separate the options from a savings perspective.</w:t>
      </w:r>
    </w:p>
    <w:p w:rsidR="00E52449" w:rsidRPr="006A74F8" w:rsidRDefault="00E52449" w:rsidP="00FA35BB">
      <w:pPr>
        <w:numPr>
          <w:ilvl w:val="0"/>
          <w:numId w:val="63"/>
        </w:numPr>
        <w:spacing w:before="240" w:after="0"/>
        <w:contextualSpacing/>
        <w:rPr>
          <w:rFonts w:eastAsia="Calibri" w:cstheme="minorHAnsi"/>
        </w:rPr>
      </w:pPr>
      <w:r w:rsidRPr="006A74F8">
        <w:rPr>
          <w:rFonts w:eastAsia="Calibri" w:cstheme="minorHAnsi"/>
        </w:rPr>
        <w:t xml:space="preserve">Assuming the consumer cost is close to the upper estimate, there could be a net loss to society based on the calculations for </w:t>
      </w:r>
      <w:r w:rsidR="00DD0D87" w:rsidRPr="006A74F8">
        <w:rPr>
          <w:rFonts w:eastAsia="Calibri" w:cstheme="minorHAnsi"/>
        </w:rPr>
        <w:t>o</w:t>
      </w:r>
      <w:r w:rsidRPr="006A74F8">
        <w:rPr>
          <w:rFonts w:eastAsia="Calibri" w:cstheme="minorHAnsi"/>
        </w:rPr>
        <w:t xml:space="preserve">ptions 2 and 3, if the benefit to industry is moderate. </w:t>
      </w:r>
    </w:p>
    <w:p w:rsidR="00E52449" w:rsidRPr="006A74F8" w:rsidRDefault="00E52449" w:rsidP="00FA35BB">
      <w:pPr>
        <w:spacing w:before="240" w:after="0"/>
        <w:rPr>
          <w:rFonts w:eastAsia="Calibri" w:cstheme="minorHAnsi"/>
        </w:rPr>
      </w:pPr>
    </w:p>
    <w:p w:rsidR="00E52449" w:rsidRPr="006A74F8" w:rsidRDefault="00E52449" w:rsidP="00E52449">
      <w:pPr>
        <w:spacing w:before="240" w:after="240" w:line="300" w:lineRule="auto"/>
        <w:rPr>
          <w:rFonts w:eastAsia="Calibri" w:cstheme="minorHAnsi"/>
        </w:rPr>
        <w:sectPr w:rsidR="00E52449" w:rsidRPr="006A74F8" w:rsidSect="00EC61D8">
          <w:pgSz w:w="11906" w:h="16838"/>
          <w:pgMar w:top="1440" w:right="1440" w:bottom="1440" w:left="1440" w:header="708" w:footer="708" w:gutter="0"/>
          <w:cols w:space="708"/>
          <w:docGrid w:linePitch="360"/>
        </w:sectPr>
      </w:pPr>
    </w:p>
    <w:p w:rsidR="00E52449" w:rsidRPr="006A74F8" w:rsidRDefault="00E52449" w:rsidP="000272C7">
      <w:pPr>
        <w:pStyle w:val="Heading3"/>
        <w:tabs>
          <w:tab w:val="left" w:pos="993"/>
        </w:tabs>
        <w:rPr>
          <w:rFonts w:eastAsia="Times New Roman"/>
        </w:rPr>
      </w:pPr>
      <w:bookmarkStart w:id="2698" w:name="_Option_differentiation_estimates"/>
      <w:bookmarkStart w:id="2699" w:name="_Toc493510781"/>
      <w:bookmarkStart w:id="2700" w:name="_Toc500929399"/>
      <w:bookmarkStart w:id="2701" w:name="_Toc501463859"/>
      <w:bookmarkStart w:id="2702" w:name="_Ref503524756"/>
      <w:bookmarkStart w:id="2703" w:name="_Toc503535574"/>
      <w:bookmarkStart w:id="2704" w:name="_Toc503539750"/>
      <w:bookmarkStart w:id="2705" w:name="_Toc503882284"/>
      <w:bookmarkStart w:id="2706" w:name="_Ref506199036"/>
      <w:bookmarkStart w:id="2707" w:name="_Ref510606429"/>
      <w:bookmarkStart w:id="2708" w:name="_Ref510606443"/>
      <w:bookmarkStart w:id="2709" w:name="_Toc518032799"/>
      <w:bookmarkStart w:id="2710" w:name="_Ref67653348"/>
      <w:bookmarkStart w:id="2711" w:name="_Ref67653363"/>
      <w:bookmarkEnd w:id="2698"/>
      <w:r w:rsidRPr="006A74F8">
        <w:rPr>
          <w:rFonts w:eastAsia="Times New Roman"/>
        </w:rPr>
        <w:lastRenderedPageBreak/>
        <w:t>Option differentiation estimates</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rsidR="00E52449" w:rsidRPr="006A74F8" w:rsidRDefault="00E52449" w:rsidP="00A33C15">
      <w:pPr>
        <w:spacing w:before="240" w:after="240"/>
        <w:rPr>
          <w:rFonts w:eastAsia="Calibri" w:cstheme="minorHAnsi"/>
        </w:rPr>
      </w:pPr>
      <w:r w:rsidRPr="006A74F8">
        <w:rPr>
          <w:rFonts w:eastAsia="Calibri" w:cstheme="minorHAnsi"/>
        </w:rPr>
        <w:t xml:space="preserve">Table </w:t>
      </w:r>
      <w:r w:rsidR="008E1477" w:rsidRPr="006A74F8">
        <w:rPr>
          <w:rFonts w:eastAsia="Calibri" w:cstheme="minorHAnsi"/>
        </w:rPr>
        <w:t>A</w:t>
      </w:r>
      <w:r w:rsidR="00FA71FC" w:rsidRPr="006A74F8">
        <w:rPr>
          <w:rFonts w:eastAsia="Calibri" w:cstheme="minorHAnsi"/>
        </w:rPr>
        <w:t>9</w:t>
      </w:r>
      <w:r w:rsidR="00CF1C6D" w:rsidRPr="006A74F8">
        <w:rPr>
          <w:rFonts w:eastAsia="Calibri" w:cstheme="minorHAnsi"/>
        </w:rPr>
        <w:t>-</w:t>
      </w:r>
      <w:r w:rsidR="006938F6" w:rsidRPr="006A74F8">
        <w:rPr>
          <w:rFonts w:eastAsia="Calibri" w:cstheme="minorHAnsi"/>
        </w:rPr>
        <w:t xml:space="preserve"> </w:t>
      </w:r>
      <w:r w:rsidR="00CF1C6D" w:rsidRPr="006A74F8">
        <w:rPr>
          <w:rFonts w:eastAsia="Calibri" w:cstheme="minorHAnsi"/>
        </w:rPr>
        <w:t>1</w:t>
      </w:r>
      <w:r w:rsidR="00553B83" w:rsidRPr="006A74F8">
        <w:rPr>
          <w:rFonts w:eastAsia="Calibri" w:cstheme="minorHAnsi"/>
        </w:rPr>
        <w:t>2</w:t>
      </w:r>
      <w:r w:rsidRPr="006A74F8">
        <w:rPr>
          <w:rFonts w:eastAsia="Calibri" w:cstheme="minorHAnsi"/>
        </w:rPr>
        <w:t xml:space="preserve"> is extracted from the 2009-10 Household Expenditure Survey (ABS 6530): Detail Expenditure Items</w:t>
      </w:r>
      <w:r w:rsidR="008E1477" w:rsidRPr="006A74F8">
        <w:rPr>
          <w:rFonts w:eastAsia="Calibri" w:cstheme="minorHAnsi"/>
        </w:rPr>
        <w:t>.</w:t>
      </w:r>
      <w:r w:rsidRPr="006A74F8">
        <w:rPr>
          <w:rFonts w:eastAsia="Calibri" w:cstheme="minorHAnsi"/>
          <w:vertAlign w:val="superscript"/>
        </w:rPr>
        <w:footnoteReference w:id="167"/>
      </w:r>
      <w:r w:rsidRPr="006A74F8">
        <w:rPr>
          <w:rFonts w:eastAsia="Calibri" w:cstheme="minorHAnsi"/>
        </w:rPr>
        <w:t xml:space="preserve"> The categories which could represent FMCG were identified (marked with an ‘x’ in the FMCG column). Those which would be within scope for options 1-3 are marked with an ‘x’ in the respective columns. The totals at the bottom of each column is the sum of the expenditures. The percentages listed in the row below the totals is the percentage of that column</w:t>
      </w:r>
      <w:r w:rsidR="006E33C1">
        <w:rPr>
          <w:rFonts w:eastAsia="Calibri" w:cstheme="minorHAnsi"/>
        </w:rPr>
        <w:t>’s</w:t>
      </w:r>
      <w:r w:rsidRPr="006A74F8">
        <w:rPr>
          <w:rFonts w:eastAsia="Calibri" w:cstheme="minorHAnsi"/>
        </w:rPr>
        <w:t xml:space="preserve"> total relative to the average weekly spend from the FMCG column.</w:t>
      </w:r>
    </w:p>
    <w:p w:rsidR="002D4329" w:rsidRPr="006A74F8" w:rsidRDefault="002D4329" w:rsidP="007E39DC">
      <w:pPr>
        <w:pStyle w:val="Caption"/>
        <w:keepNext/>
      </w:pPr>
      <w:bookmarkStart w:id="2712" w:name="RANGE!A1:B91"/>
      <w:r w:rsidRPr="006A74F8">
        <w:t>Table A</w:t>
      </w:r>
      <w:r w:rsidR="00F0661A" w:rsidRPr="006A74F8">
        <w:t>9</w:t>
      </w:r>
      <w:r w:rsidRPr="006A74F8">
        <w:t xml:space="preserve">- </w:t>
      </w:r>
      <w:r w:rsidR="00DF4AF9" w:rsidRPr="006A74F8">
        <w:rPr>
          <w:noProof/>
        </w:rPr>
        <w:fldChar w:fldCharType="begin"/>
      </w:r>
      <w:r w:rsidR="00DF4AF9" w:rsidRPr="006A74F8">
        <w:rPr>
          <w:noProof/>
        </w:rPr>
        <w:instrText xml:space="preserve"> SEQ Table_A10- \* ARABIC </w:instrText>
      </w:r>
      <w:r w:rsidR="00DF4AF9" w:rsidRPr="006A74F8">
        <w:rPr>
          <w:noProof/>
        </w:rPr>
        <w:fldChar w:fldCharType="separate"/>
      </w:r>
      <w:r w:rsidR="0033017F">
        <w:rPr>
          <w:noProof/>
        </w:rPr>
        <w:t>12</w:t>
      </w:r>
      <w:r w:rsidR="00DF4AF9" w:rsidRPr="006A74F8">
        <w:rPr>
          <w:noProof/>
        </w:rPr>
        <w:fldChar w:fldCharType="end"/>
      </w:r>
      <w:r w:rsidRPr="006A74F8">
        <w:t>: Data from ABS 6530 Household Expenditure Survey, 2009-10</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0– Data from ABS 6530 Household Expenditure Survey, 2009-10, Table 3A. "/>
        <w:tblDescription w:val="Table 20  is extracted from the 2009-10 Household Expenditure Survey (ABS 6530): Detail Expenditure Items . The categories which could represent FMCG were identified (marked with an ‘x’ in the FMCG column). Those which would be within scope for options 2-4 are marked with an ‘x’ in the respective columns. The totals at the bottom of each column is the sum of the expenditures. The percentages listed in the row below the totals, is the percentage of that column total relative to the average weekly spend from the FMCG column."/>
      </w:tblPr>
      <w:tblGrid>
        <w:gridCol w:w="6546"/>
        <w:gridCol w:w="777"/>
        <w:gridCol w:w="675"/>
        <w:gridCol w:w="875"/>
        <w:gridCol w:w="1011"/>
        <w:gridCol w:w="1305"/>
      </w:tblGrid>
      <w:tr w:rsidR="00E52449" w:rsidRPr="006A74F8" w:rsidTr="0032040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004059" w:themeFill="text2" w:themeFillShade="BF"/>
            <w:noWrap/>
            <w:hideMark/>
          </w:tcPr>
          <w:bookmarkEnd w:id="2712"/>
          <w:p w:rsidR="00E52449" w:rsidRPr="006A74F8" w:rsidRDefault="00E52449" w:rsidP="00E52449">
            <w:pPr>
              <w:spacing w:after="0" w:line="300" w:lineRule="auto"/>
              <w:jc w:val="right"/>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Average Weekly Exp</w:t>
            </w:r>
            <w:r w:rsidR="009B6407" w:rsidRPr="006A74F8">
              <w:rPr>
                <w:rFonts w:asciiTheme="minorHAnsi" w:eastAsia="Times New Roman" w:hAnsiTheme="minorHAnsi" w:cstheme="minorHAnsi"/>
                <w:b/>
                <w:color w:val="auto"/>
                <w:sz w:val="20"/>
                <w:szCs w:val="20"/>
                <w:lang w:eastAsia="en-AU"/>
              </w:rPr>
              <w:t>.</w:t>
            </w:r>
            <w:r w:rsidRPr="006A74F8">
              <w:rPr>
                <w:rFonts w:asciiTheme="minorHAnsi" w:eastAsia="Times New Roman" w:hAnsiTheme="minorHAnsi" w:cstheme="minorHAnsi"/>
                <w:b/>
                <w:color w:val="auto"/>
                <w:sz w:val="20"/>
                <w:szCs w:val="20"/>
                <w:lang w:eastAsia="en-AU"/>
              </w:rPr>
              <w:t xml:space="preserve"> ($)</w:t>
            </w:r>
          </w:p>
        </w:tc>
        <w:tc>
          <w:tcPr>
            <w:tcW w:w="0" w:type="auto"/>
            <w:shd w:val="clear" w:color="auto" w:fill="004059" w:themeFill="text2" w:themeFillShade="BF"/>
            <w:noWrap/>
            <w:hideMark/>
          </w:tcPr>
          <w:p w:rsidR="00E52449" w:rsidRPr="006A74F8" w:rsidRDefault="009B6407" w:rsidP="00E52449">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eastAsia="en-AU"/>
              </w:rPr>
            </w:pPr>
            <w:r w:rsidRPr="006A74F8">
              <w:rPr>
                <w:rFonts w:asciiTheme="minorHAnsi" w:eastAsia="Times New Roman" w:hAnsiTheme="minorHAnsi" w:cstheme="minorHAnsi"/>
                <w:b/>
                <w:color w:val="auto"/>
                <w:lang w:eastAsia="en-AU"/>
              </w:rPr>
              <w:t>E</w:t>
            </w:r>
            <w:r w:rsidR="00E52449" w:rsidRPr="006A74F8">
              <w:rPr>
                <w:rFonts w:asciiTheme="minorHAnsi" w:eastAsia="Times New Roman" w:hAnsiTheme="minorHAnsi" w:cstheme="minorHAnsi"/>
                <w:b/>
                <w:color w:val="auto"/>
                <w:lang w:eastAsia="en-AU"/>
              </w:rPr>
              <w:t>st</w:t>
            </w:r>
            <w:r w:rsidRPr="006A74F8">
              <w:rPr>
                <w:rFonts w:asciiTheme="minorHAnsi" w:eastAsia="Times New Roman" w:hAnsiTheme="minorHAnsi" w:cstheme="minorHAnsi"/>
                <w:b/>
                <w:color w:val="auto"/>
                <w:lang w:eastAsia="en-AU"/>
              </w:rPr>
              <w:t>.</w:t>
            </w:r>
          </w:p>
        </w:tc>
        <w:tc>
          <w:tcPr>
            <w:tcW w:w="0" w:type="auto"/>
            <w:shd w:val="clear" w:color="auto" w:fill="004059" w:themeFill="text2" w:themeFillShade="BF"/>
            <w:noWrap/>
            <w:hideMark/>
          </w:tcPr>
          <w:p w:rsidR="00E52449" w:rsidRPr="006A74F8" w:rsidRDefault="00E52449" w:rsidP="00E52449">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eastAsia="en-AU"/>
              </w:rPr>
            </w:pPr>
            <w:r w:rsidRPr="006A74F8">
              <w:rPr>
                <w:rFonts w:asciiTheme="minorHAnsi" w:eastAsia="Times New Roman" w:hAnsiTheme="minorHAnsi" w:cstheme="minorHAnsi"/>
                <w:b/>
                <w:color w:val="auto"/>
                <w:lang w:eastAsia="en-AU"/>
              </w:rPr>
              <w:t xml:space="preserve">FMCG </w:t>
            </w:r>
          </w:p>
        </w:tc>
        <w:tc>
          <w:tcPr>
            <w:tcW w:w="0" w:type="auto"/>
            <w:shd w:val="clear" w:color="auto" w:fill="004059" w:themeFill="text2" w:themeFillShade="BF"/>
            <w:noWrap/>
            <w:hideMark/>
          </w:tcPr>
          <w:p w:rsidR="00E52449" w:rsidRPr="006A74F8" w:rsidRDefault="00E52449" w:rsidP="00E52449">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eastAsia="en-AU"/>
              </w:rPr>
            </w:pPr>
            <w:r w:rsidRPr="006A74F8">
              <w:rPr>
                <w:rFonts w:asciiTheme="minorHAnsi" w:eastAsia="Times New Roman" w:hAnsiTheme="minorHAnsi" w:cstheme="minorHAnsi"/>
                <w:b/>
                <w:color w:val="auto"/>
                <w:lang w:eastAsia="en-AU"/>
              </w:rPr>
              <w:t>Option 1</w:t>
            </w:r>
          </w:p>
        </w:tc>
        <w:tc>
          <w:tcPr>
            <w:tcW w:w="0" w:type="auto"/>
            <w:shd w:val="clear" w:color="auto" w:fill="004059" w:themeFill="text2" w:themeFillShade="BF"/>
            <w:noWrap/>
            <w:hideMark/>
          </w:tcPr>
          <w:p w:rsidR="00E52449" w:rsidRPr="006A74F8" w:rsidRDefault="00E52449" w:rsidP="00E52449">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eastAsia="en-AU"/>
              </w:rPr>
            </w:pPr>
            <w:r w:rsidRPr="006A74F8">
              <w:rPr>
                <w:rFonts w:asciiTheme="minorHAnsi" w:eastAsia="Times New Roman" w:hAnsiTheme="minorHAnsi" w:cstheme="minorHAnsi"/>
                <w:b/>
                <w:color w:val="auto"/>
                <w:lang w:eastAsia="en-AU"/>
              </w:rPr>
              <w:t>Options 2/3</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0101 Current housing costs (selected dwelling)</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10.48</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010106</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Repairs and maintenance (materials only)</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10.48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0101060101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Repairs and maintenance – paint</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1.00</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0101060199</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Repairs and maintenance (materials only) nec</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9.48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w:t>
            </w:r>
            <w:r w:rsidR="00320404"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Food and non-alcoholic beverages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204.20</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0300</w:t>
            </w:r>
            <w:r w:rsidR="00320404"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Food and non-alcoholic beverages nfd</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7.68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7.68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0301</w:t>
            </w:r>
            <w:r w:rsidR="00320404"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Bakery products, flour and cereals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20.42</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030101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Bread</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6.99</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030102</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Flour</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0.34</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lastRenderedPageBreak/>
              <w:t>030103</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Cakes, biscuits, puddings and related products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8.43</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030104</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Cereals and pasta</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4.67</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0302</w:t>
            </w:r>
            <w:r w:rsidR="00320404"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Meat (excluding fish and seafood)</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24.86</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030200</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Meat (excluding fish and seafood) nfd</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2.13</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Processed meat (including ham, bacon and sausages)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8.58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0302010101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Ham (including canned)</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1.69</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0302010201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Bacon (including canned)</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1.08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0302010301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Sausages (not continental)</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1.16</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0302010401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Canned meat (other than bacon and ham)</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0.08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0302010501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Frozen processed meat</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0.22</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0302019901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Mince</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2.18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0302019902</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Smallgoods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1.52</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0302019999</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Processed meat nec</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0.66</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030202</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Beef and veal</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4.86</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lastRenderedPageBreak/>
              <w:t>030203</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Mutton and lamb</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2.47</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030204</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Pork (excluding bacon and ham)</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1.34</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030205</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Poultry</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5.11</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030206</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Game</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*0.02</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855191">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030207</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Offal</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0.21</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855191">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030299</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Other meat (excluding fish and seafood)</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0.13</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855191">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0303</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Fish and seafood</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4.89</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855191">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030300</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Fish and seafood nfd</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0.11</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855191">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030301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Fish and seafood</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4.78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855191">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0303010101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Fresh fish and seafood</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2.10</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855191">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0303010201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Frozen fish and seafood</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1.06</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855191">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0303010301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Canned and bottled fish and seafood</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1.41</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0303019999</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Fish and seafood nec</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0.21</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0304</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Eggs and egg products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1.41</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lastRenderedPageBreak/>
              <w:t>0304010101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Fresh eggs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1.40</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0304019999</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Eggs and egg products nec</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*0.01</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0305</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Dairy products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15.07</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15.07</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0306</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Edible oils and fats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1.71</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1.71</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0307</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Fruit and nuts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12.46</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12.45</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030700</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Fruit and nuts nfd</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0.11</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030701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Fresh fruit</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9.60</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030702</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Canned, frozen and bottled fruit</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0.76</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030703</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Dried fruit and nuts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1.98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0308</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Vegetables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13.70</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13.71</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030800</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Vegetables nfd</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0.11</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030801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Fresh vegetables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10.79</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030802</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Frozen vegetables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1.28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030899</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Other vegetables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1.53</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lastRenderedPageBreak/>
              <w:t>0309</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Condiments, confectionery, food additives and prepared meals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22.71</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22.71</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0310</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Non-alcoholic beverages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16.00</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16.00</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0399</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Other food and non-alcoholic beverages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0.33</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0.33</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0401</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Alcoholic beverages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19.84</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0401000101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Alcoholic beverages nfd for consumption off licensed premises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1.05</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0401010101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Beer for consumption off licensed premises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7.82</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0401020101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Wine for consumption off licensed premises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6.78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0401030101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Spirits for consumption off licensed premises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3.92</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0401040101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Other alcoholic beverages for consumption off licensed premises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0.27</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05</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Tobacco products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12.57</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12.57</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0801</w:t>
            </w:r>
            <w:r w:rsidR="00320404"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Household services and operation</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14.05</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0801010000</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Household non-durables nfd</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0.86</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0801010101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Nails, screws and other fasteners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0.38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0801010201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Household soaps and detergents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2.31</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lastRenderedPageBreak/>
              <w:t>0801010301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Household polishes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0.09</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0801010401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Other household cleaning agents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1.21</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0801010501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Household paper products (excluding stationery)</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2.93</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0801010701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Other gardening products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2.00</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0801010801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Swimming pool chemicals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*0.78</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0801010901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Foodwraps (excluding paper)</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0.36</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0801019999</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Household non-durables nec</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3.13</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0903</w:t>
            </w:r>
            <w:r w:rsidR="00320404"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Medicines, pharmaceutical products and therapeutic appliances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10.18</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090300</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Medicines, pharmaceutical products and therapeutic appliances nfd</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**1.62</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0903010000</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Medicines and pharmaceutical products nfd</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1.58</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0903010201</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Non-prescribed pain relievers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0.84</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0903010301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Sunscreens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0.16</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0903010399</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Non-prescribed ointments and lotions nec</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0.94</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0903019999</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Medicines and pharmaceutical products nec</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4.77</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lastRenderedPageBreak/>
              <w:t>0903020101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Surgical dressings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0.27</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1104</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Animal expenses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4.87</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320404">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1104010200</w:t>
            </w:r>
            <w:r w:rsidR="00320404"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Animal food nfd</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0.21</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1104010201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Prepared dog and cat food</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3.96</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1104010202</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Bird seed and other seeds</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0.25</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1104010299</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Animal food nec</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0.45</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1201</w:t>
            </w:r>
            <w:r w:rsidR="00855191" w:rsidRPr="006A74F8">
              <w:rPr>
                <w:rFonts w:asciiTheme="minorHAnsi" w:eastAsia="Times New Roman" w:hAnsiTheme="minorHAnsi" w:cstheme="minorHAnsi"/>
                <w:b/>
                <w:color w:val="auto"/>
                <w:sz w:val="20"/>
                <w:szCs w:val="20"/>
                <w:lang w:eastAsia="en-AU"/>
              </w:rPr>
              <w:t xml:space="preserve"> </w:t>
            </w:r>
            <w:r w:rsidRPr="006A74F8">
              <w:rPr>
                <w:rFonts w:asciiTheme="minorHAnsi" w:eastAsia="Times New Roman" w:hAnsiTheme="minorHAnsi" w:cstheme="minorHAnsi"/>
                <w:b/>
                <w:color w:val="auto"/>
                <w:sz w:val="20"/>
                <w:szCs w:val="20"/>
                <w:lang w:eastAsia="en-AU"/>
              </w:rPr>
              <w:t>Personal care</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13.03</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rPr>
                <w:rFonts w:asciiTheme="minorHAnsi" w:eastAsia="Times New Roman" w:hAnsiTheme="minorHAnsi" w:cstheme="minorHAnsi"/>
                <w:color w:val="auto"/>
                <w:sz w:val="20"/>
                <w:szCs w:val="20"/>
                <w:lang w:eastAsia="en-AU"/>
              </w:rPr>
            </w:pPr>
            <w:r w:rsidRPr="006A74F8">
              <w:rPr>
                <w:rFonts w:asciiTheme="minorHAnsi" w:eastAsia="Times New Roman" w:hAnsiTheme="minorHAnsi" w:cstheme="minorHAnsi"/>
                <w:color w:val="auto"/>
                <w:sz w:val="20"/>
                <w:szCs w:val="20"/>
                <w:lang w:eastAsia="en-AU"/>
              </w:rPr>
              <w:t>120101</w:t>
            </w:r>
            <w:r w:rsidR="00855191" w:rsidRPr="006A74F8">
              <w:rPr>
                <w:rFonts w:asciiTheme="minorHAnsi" w:eastAsia="Times New Roman" w:hAnsiTheme="minorHAnsi" w:cstheme="minorHAnsi"/>
                <w:color w:val="auto"/>
                <w:sz w:val="20"/>
                <w:szCs w:val="20"/>
                <w:lang w:eastAsia="en-AU"/>
              </w:rPr>
              <w:t xml:space="preserve"> </w:t>
            </w:r>
            <w:r w:rsidRPr="006A74F8">
              <w:rPr>
                <w:rFonts w:asciiTheme="minorHAnsi" w:eastAsia="Times New Roman" w:hAnsiTheme="minorHAnsi" w:cstheme="minorHAnsi"/>
                <w:color w:val="auto"/>
                <w:sz w:val="20"/>
                <w:szCs w:val="20"/>
                <w:lang w:eastAsia="en-AU"/>
              </w:rPr>
              <w:t>Toiletries and cosmetics</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13.03</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c>
          <w:tcPr>
            <w:tcW w:w="0" w:type="auto"/>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A74F8">
              <w:rPr>
                <w:rFonts w:asciiTheme="minorHAnsi" w:eastAsia="Times New Roman" w:hAnsiTheme="minorHAnsi" w:cstheme="minorHAnsi"/>
                <w:lang w:eastAsia="en-AU"/>
              </w:rPr>
              <w:t>x</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jc w:val="right"/>
              <w:rPr>
                <w:rFonts w:asciiTheme="minorHAnsi" w:eastAsia="Times New Roman" w:hAnsiTheme="minorHAnsi" w:cstheme="minorHAnsi"/>
                <w:b/>
                <w:color w:val="auto"/>
                <w:sz w:val="20"/>
                <w:szCs w:val="20"/>
                <w:lang w:eastAsia="en-AU"/>
              </w:rPr>
            </w:pPr>
            <w:r w:rsidRPr="006A74F8">
              <w:rPr>
                <w:rFonts w:asciiTheme="minorHAnsi" w:hAnsiTheme="minorHAnsi" w:cstheme="minorHAnsi"/>
                <w:b/>
                <w:color w:val="auto"/>
                <w:sz w:val="20"/>
                <w:szCs w:val="20"/>
              </w:rPr>
              <w:t>2009-10 cost</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$226.26</w:t>
            </w:r>
          </w:p>
        </w:tc>
        <w:tc>
          <w:tcPr>
            <w:tcW w:w="0" w:type="auto"/>
            <w:shd w:val="clear" w:color="auto" w:fill="auto"/>
            <w:noWrap/>
            <w:hideMark/>
          </w:tcPr>
          <w:p w:rsidR="00E52449" w:rsidRPr="006A74F8"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$23.21</w:t>
            </w:r>
          </w:p>
        </w:tc>
        <w:tc>
          <w:tcPr>
            <w:tcW w:w="0" w:type="auto"/>
            <w:shd w:val="clear" w:color="auto" w:fill="auto"/>
            <w:noWrap/>
            <w:hideMark/>
          </w:tcPr>
          <w:p w:rsidR="00E52449" w:rsidRPr="006A74F8"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$172.67</w:t>
            </w:r>
          </w:p>
        </w:tc>
      </w:tr>
      <w:tr w:rsidR="00E52449" w:rsidRPr="006A74F8"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tcPr>
          <w:p w:rsidR="00E52449" w:rsidRPr="006A74F8" w:rsidRDefault="00E52449" w:rsidP="00E52449">
            <w:pPr>
              <w:spacing w:after="240" w:line="300" w:lineRule="auto"/>
              <w:jc w:val="right"/>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Adjusted for inflation</w:t>
            </w:r>
            <w:r w:rsidRPr="006A74F8">
              <w:rPr>
                <w:rFonts w:asciiTheme="minorHAnsi" w:eastAsia="Times New Roman" w:hAnsiTheme="minorHAnsi" w:cstheme="minorHAnsi"/>
                <w:b/>
                <w:color w:val="auto"/>
                <w:sz w:val="20"/>
                <w:szCs w:val="20"/>
                <w:vertAlign w:val="superscript"/>
                <w:lang w:eastAsia="en-AU"/>
              </w:rPr>
              <w:footnoteReference w:id="168"/>
            </w:r>
            <w:r w:rsidRPr="006A74F8">
              <w:rPr>
                <w:rFonts w:asciiTheme="minorHAnsi" w:eastAsia="Times New Roman" w:hAnsiTheme="minorHAnsi" w:cstheme="minorHAnsi"/>
                <w:b/>
                <w:color w:val="auto"/>
                <w:sz w:val="20"/>
                <w:szCs w:val="20"/>
                <w:lang w:eastAsia="en-AU"/>
              </w:rPr>
              <w:t xml:space="preserve"> to 2016/17 cost</w:t>
            </w:r>
          </w:p>
        </w:tc>
        <w:tc>
          <w:tcPr>
            <w:tcW w:w="0" w:type="auto"/>
            <w:shd w:val="clear" w:color="auto" w:fill="auto"/>
            <w:noWrap/>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$262.97</w:t>
            </w:r>
          </w:p>
        </w:tc>
        <w:tc>
          <w:tcPr>
            <w:tcW w:w="0" w:type="auto"/>
            <w:shd w:val="clear" w:color="auto" w:fill="auto"/>
            <w:noWrap/>
          </w:tcPr>
          <w:p w:rsidR="00E52449" w:rsidRPr="006A74F8"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$26.98</w:t>
            </w:r>
          </w:p>
        </w:tc>
        <w:tc>
          <w:tcPr>
            <w:tcW w:w="0" w:type="auto"/>
            <w:shd w:val="clear" w:color="auto" w:fill="auto"/>
            <w:noWrap/>
          </w:tcPr>
          <w:p w:rsidR="00E52449" w:rsidRPr="006A74F8"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$200.68</w:t>
            </w:r>
          </w:p>
        </w:tc>
      </w:tr>
      <w:tr w:rsidR="00E52449" w:rsidRPr="006A74F8"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E9E9EA" w:themeFill="accent1" w:themeFillTint="33"/>
            <w:noWrap/>
            <w:hideMark/>
          </w:tcPr>
          <w:p w:rsidR="00E52449" w:rsidRPr="006A74F8" w:rsidRDefault="00E52449" w:rsidP="00E52449">
            <w:pPr>
              <w:spacing w:after="240" w:line="300" w:lineRule="auto"/>
              <w:jc w:val="right"/>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Market share</w:t>
            </w: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rsidR="00E52449" w:rsidRPr="006A74F8"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10.3%</w:t>
            </w:r>
          </w:p>
        </w:tc>
        <w:tc>
          <w:tcPr>
            <w:tcW w:w="0" w:type="auto"/>
            <w:shd w:val="clear" w:color="auto" w:fill="auto"/>
            <w:noWrap/>
            <w:hideMark/>
          </w:tcPr>
          <w:p w:rsidR="00E52449" w:rsidRPr="006A74F8"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76.3%</w:t>
            </w:r>
          </w:p>
        </w:tc>
      </w:tr>
    </w:tbl>
    <w:p w:rsidR="00E52449" w:rsidRPr="006A74F8" w:rsidRDefault="00E52449" w:rsidP="00E52449">
      <w:pPr>
        <w:spacing w:before="240" w:after="0" w:line="300" w:lineRule="auto"/>
        <w:rPr>
          <w:rFonts w:eastAsia="Calibri" w:cstheme="minorHAnsi"/>
        </w:rPr>
      </w:pPr>
    </w:p>
    <w:p w:rsidR="00E52449" w:rsidRPr="006A74F8" w:rsidRDefault="00E52449" w:rsidP="00E52449">
      <w:pPr>
        <w:spacing w:before="240" w:after="0" w:line="300" w:lineRule="auto"/>
        <w:rPr>
          <w:rFonts w:eastAsia="Calibri" w:cstheme="minorHAnsi"/>
        </w:rPr>
        <w:sectPr w:rsidR="00E52449" w:rsidRPr="006A74F8" w:rsidSect="00EC61D8">
          <w:pgSz w:w="16838" w:h="11906" w:orient="landscape"/>
          <w:pgMar w:top="1440" w:right="1440" w:bottom="1440" w:left="1440" w:header="708" w:footer="708" w:gutter="0"/>
          <w:cols w:space="708"/>
          <w:docGrid w:linePitch="360"/>
        </w:sectPr>
      </w:pPr>
    </w:p>
    <w:p w:rsidR="00E52449" w:rsidRPr="006A74F8" w:rsidRDefault="00E52449" w:rsidP="000272C7">
      <w:pPr>
        <w:pStyle w:val="Heading3"/>
        <w:tabs>
          <w:tab w:val="left" w:pos="993"/>
        </w:tabs>
        <w:rPr>
          <w:rFonts w:eastAsia="Times New Roman"/>
        </w:rPr>
      </w:pPr>
      <w:bookmarkStart w:id="2713" w:name="_Toc493510782"/>
      <w:bookmarkStart w:id="2714" w:name="_Toc500929400"/>
      <w:bookmarkStart w:id="2715" w:name="_Toc501463860"/>
      <w:bookmarkStart w:id="2716" w:name="_Toc503535575"/>
      <w:bookmarkStart w:id="2717" w:name="_Toc503539751"/>
      <w:bookmarkStart w:id="2718" w:name="_Toc503882285"/>
      <w:bookmarkStart w:id="2719" w:name="_Toc518032800"/>
      <w:bookmarkStart w:id="2720" w:name="_Ref67989957"/>
      <w:bookmarkStart w:id="2721" w:name="_Ref67989962"/>
      <w:r w:rsidRPr="006A74F8">
        <w:rPr>
          <w:rFonts w:eastAsia="Times New Roman"/>
        </w:rPr>
        <w:lastRenderedPageBreak/>
        <w:t>Sensitivity tables</w:t>
      </w:r>
      <w:bookmarkEnd w:id="2713"/>
      <w:bookmarkEnd w:id="2714"/>
      <w:bookmarkEnd w:id="2715"/>
      <w:bookmarkEnd w:id="2716"/>
      <w:bookmarkEnd w:id="2717"/>
      <w:bookmarkEnd w:id="2718"/>
      <w:bookmarkEnd w:id="2719"/>
      <w:bookmarkEnd w:id="2720"/>
      <w:bookmarkEnd w:id="2721"/>
    </w:p>
    <w:p w:rsidR="00E52449" w:rsidRPr="006A74F8" w:rsidRDefault="00A3281E" w:rsidP="00A33C15">
      <w:pPr>
        <w:spacing w:before="240" w:after="240"/>
        <w:rPr>
          <w:rFonts w:eastAsia="Calibri" w:cstheme="minorHAnsi"/>
          <w:lang w:val="en"/>
        </w:rPr>
      </w:pPr>
      <w:r w:rsidRPr="006A74F8">
        <w:rPr>
          <w:rFonts w:eastAsia="Calibri" w:cstheme="minorHAnsi"/>
        </w:rPr>
        <w:t>The series of tables below (</w:t>
      </w:r>
      <w:r w:rsidR="00E52449" w:rsidRPr="006A74F8">
        <w:rPr>
          <w:rFonts w:eastAsia="Calibri" w:cstheme="minorHAnsi"/>
        </w:rPr>
        <w:t xml:space="preserve">Table </w:t>
      </w:r>
      <w:r w:rsidR="00036B85" w:rsidRPr="006A74F8">
        <w:rPr>
          <w:rFonts w:eastAsia="Calibri" w:cstheme="minorHAnsi"/>
        </w:rPr>
        <w:t>A</w:t>
      </w:r>
      <w:r w:rsidR="004A61F6" w:rsidRPr="006A74F8">
        <w:rPr>
          <w:rFonts w:eastAsia="Calibri" w:cstheme="minorHAnsi"/>
        </w:rPr>
        <w:t>9</w:t>
      </w:r>
      <w:r w:rsidR="00CF1C6D" w:rsidRPr="006A74F8">
        <w:rPr>
          <w:rFonts w:eastAsia="Calibri" w:cstheme="minorHAnsi"/>
        </w:rPr>
        <w:t>-1</w:t>
      </w:r>
      <w:r w:rsidR="00553B83" w:rsidRPr="006A74F8">
        <w:rPr>
          <w:rFonts w:eastAsia="Calibri" w:cstheme="minorHAnsi"/>
        </w:rPr>
        <w:t>4</w:t>
      </w:r>
      <w:r w:rsidRPr="006A74F8">
        <w:rPr>
          <w:rFonts w:eastAsia="Calibri" w:cstheme="minorHAnsi"/>
        </w:rPr>
        <w:t xml:space="preserve"> to Table A</w:t>
      </w:r>
      <w:r w:rsidR="004A61F6" w:rsidRPr="006A74F8">
        <w:rPr>
          <w:rFonts w:eastAsia="Calibri" w:cstheme="minorHAnsi"/>
        </w:rPr>
        <w:t>9</w:t>
      </w:r>
      <w:r w:rsidRPr="006A74F8">
        <w:rPr>
          <w:rFonts w:eastAsia="Calibri" w:cstheme="minorHAnsi"/>
        </w:rPr>
        <w:t>-2</w:t>
      </w:r>
      <w:r w:rsidR="00553B83" w:rsidRPr="006A74F8">
        <w:rPr>
          <w:rFonts w:eastAsia="Calibri" w:cstheme="minorHAnsi"/>
        </w:rPr>
        <w:t>2</w:t>
      </w:r>
      <w:r w:rsidRPr="006A74F8">
        <w:rPr>
          <w:rFonts w:eastAsia="Calibri" w:cstheme="minorHAnsi"/>
        </w:rPr>
        <w:t>)</w:t>
      </w:r>
      <w:r w:rsidR="00E52449" w:rsidRPr="006A74F8">
        <w:rPr>
          <w:rFonts w:eastAsia="Calibri" w:cstheme="minorHAnsi"/>
        </w:rPr>
        <w:t xml:space="preserve"> show possible variations in the consumer costs as four key variables are varied (time, interested consumers, different options number of product in scope, percentage of products changed). </w:t>
      </w:r>
      <w:r w:rsidRPr="006A74F8">
        <w:rPr>
          <w:rFonts w:eastAsia="Calibri" w:cstheme="minorHAnsi"/>
        </w:rPr>
        <w:t>Table A</w:t>
      </w:r>
      <w:r w:rsidR="004A61F6" w:rsidRPr="006A74F8">
        <w:rPr>
          <w:rFonts w:eastAsia="Calibri" w:cstheme="minorHAnsi"/>
        </w:rPr>
        <w:t>9</w:t>
      </w:r>
      <w:r w:rsidRPr="006A74F8">
        <w:rPr>
          <w:rFonts w:eastAsia="Calibri" w:cstheme="minorHAnsi"/>
        </w:rPr>
        <w:t>-1</w:t>
      </w:r>
      <w:r w:rsidR="00553B83" w:rsidRPr="006A74F8">
        <w:rPr>
          <w:rFonts w:eastAsia="Calibri" w:cstheme="minorHAnsi"/>
        </w:rPr>
        <w:t>3</w:t>
      </w:r>
      <w:r w:rsidRPr="006A74F8">
        <w:rPr>
          <w:rFonts w:eastAsia="Calibri" w:cstheme="minorHAnsi"/>
        </w:rPr>
        <w:t xml:space="preserve"> provides a summary of </w:t>
      </w:r>
      <w:r w:rsidR="00E52449" w:rsidRPr="006A74F8">
        <w:rPr>
          <w:rFonts w:eastAsia="Calibri" w:cstheme="minorHAnsi"/>
          <w:lang w:val="en"/>
        </w:rPr>
        <w:t>the</w:t>
      </w:r>
      <w:r w:rsidRPr="006A74F8">
        <w:rPr>
          <w:rFonts w:eastAsia="Calibri" w:cstheme="minorHAnsi"/>
          <w:lang w:val="en"/>
        </w:rPr>
        <w:t>se</w:t>
      </w:r>
      <w:r w:rsidR="00E52449" w:rsidRPr="006A74F8">
        <w:rPr>
          <w:rFonts w:eastAsia="Calibri" w:cstheme="minorHAnsi"/>
          <w:lang w:val="en"/>
        </w:rPr>
        <w:t xml:space="preserve"> results below</w:t>
      </w:r>
      <w:r w:rsidRPr="006A74F8">
        <w:rPr>
          <w:rFonts w:eastAsia="Calibri" w:cstheme="minorHAnsi"/>
          <w:lang w:val="en"/>
        </w:rPr>
        <w:t xml:space="preserve">. </w:t>
      </w:r>
      <w:r w:rsidR="00C2446B" w:rsidRPr="006A74F8">
        <w:rPr>
          <w:rFonts w:eastAsia="Calibri" w:cstheme="minorHAnsi"/>
        </w:rPr>
        <w:t>Table</w:t>
      </w:r>
      <w:r w:rsidR="00553B83" w:rsidRPr="006A74F8">
        <w:rPr>
          <w:rFonts w:eastAsia="Calibri" w:cstheme="minorHAnsi"/>
        </w:rPr>
        <w:t>s</w:t>
      </w:r>
      <w:r w:rsidR="00C2446B" w:rsidRPr="006A74F8">
        <w:rPr>
          <w:rFonts w:eastAsia="Calibri" w:cstheme="minorHAnsi"/>
        </w:rPr>
        <w:t xml:space="preserve"> A</w:t>
      </w:r>
      <w:r w:rsidR="004A61F6" w:rsidRPr="006A74F8">
        <w:rPr>
          <w:rFonts w:eastAsia="Calibri" w:cstheme="minorHAnsi"/>
        </w:rPr>
        <w:t>9</w:t>
      </w:r>
      <w:r w:rsidR="00C2446B" w:rsidRPr="006A74F8">
        <w:rPr>
          <w:rFonts w:eastAsia="Calibri" w:cstheme="minorHAnsi"/>
        </w:rPr>
        <w:t>-1</w:t>
      </w:r>
      <w:r w:rsidR="00553B83" w:rsidRPr="006A74F8">
        <w:rPr>
          <w:rFonts w:eastAsia="Calibri" w:cstheme="minorHAnsi"/>
        </w:rPr>
        <w:t>4</w:t>
      </w:r>
      <w:r w:rsidR="00C2446B" w:rsidRPr="006A74F8">
        <w:rPr>
          <w:rFonts w:eastAsia="Calibri" w:cstheme="minorHAnsi"/>
        </w:rPr>
        <w:t xml:space="preserve"> to A</w:t>
      </w:r>
      <w:r w:rsidR="004A61F6" w:rsidRPr="006A74F8">
        <w:rPr>
          <w:rFonts w:eastAsia="Calibri" w:cstheme="minorHAnsi"/>
        </w:rPr>
        <w:t>9</w:t>
      </w:r>
      <w:r w:rsidR="00C2446B" w:rsidRPr="006A74F8">
        <w:rPr>
          <w:rFonts w:eastAsia="Calibri" w:cstheme="minorHAnsi"/>
        </w:rPr>
        <w:t>-</w:t>
      </w:r>
      <w:r w:rsidR="00553B83" w:rsidRPr="006A74F8">
        <w:rPr>
          <w:rFonts w:eastAsia="Calibri" w:cstheme="minorHAnsi"/>
        </w:rPr>
        <w:t>22</w:t>
      </w:r>
      <w:r w:rsidR="00E52449" w:rsidRPr="006A74F8">
        <w:rPr>
          <w:rFonts w:eastAsia="Calibri" w:cstheme="minorHAnsi"/>
        </w:rPr>
        <w:t xml:space="preserve"> </w:t>
      </w:r>
      <w:r w:rsidR="00E52449" w:rsidRPr="006A74F8">
        <w:rPr>
          <w:rFonts w:eastAsia="Calibri" w:cstheme="minorHAnsi"/>
          <w:lang w:val="en"/>
        </w:rPr>
        <w:t>provides the ranges for the sensitivity calculations.</w:t>
      </w:r>
    </w:p>
    <w:p w:rsidR="002D4329" w:rsidRPr="006A74F8" w:rsidRDefault="002D4329" w:rsidP="007E39DC">
      <w:pPr>
        <w:pStyle w:val="Caption"/>
        <w:keepNext/>
      </w:pPr>
      <w:r w:rsidRPr="006A74F8">
        <w:t>Table A</w:t>
      </w:r>
      <w:r w:rsidR="008B7827" w:rsidRPr="006A74F8">
        <w:t>9</w:t>
      </w:r>
      <w:r w:rsidRPr="006A74F8">
        <w:t xml:space="preserve">- </w:t>
      </w:r>
      <w:r w:rsidR="00DF4AF9" w:rsidRPr="006A74F8">
        <w:rPr>
          <w:noProof/>
        </w:rPr>
        <w:fldChar w:fldCharType="begin"/>
      </w:r>
      <w:r w:rsidR="00DF4AF9" w:rsidRPr="006A74F8">
        <w:rPr>
          <w:noProof/>
        </w:rPr>
        <w:instrText xml:space="preserve"> SEQ Table_A10- \* ARABIC </w:instrText>
      </w:r>
      <w:r w:rsidR="00DF4AF9" w:rsidRPr="006A74F8">
        <w:rPr>
          <w:noProof/>
        </w:rPr>
        <w:fldChar w:fldCharType="separate"/>
      </w:r>
      <w:r w:rsidR="0033017F">
        <w:rPr>
          <w:noProof/>
        </w:rPr>
        <w:t>13</w:t>
      </w:r>
      <w:r w:rsidR="00DF4AF9" w:rsidRPr="006A74F8">
        <w:rPr>
          <w:noProof/>
        </w:rPr>
        <w:fldChar w:fldCharType="end"/>
      </w:r>
      <w:r w:rsidRPr="006A74F8">
        <w:t>: The variability of products purchased per week for different options</w:t>
      </w:r>
    </w:p>
    <w:tbl>
      <w:tblPr>
        <w:tblStyle w:val="GridTable4-Accent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1: The variability of products purchased per week for different options"/>
        <w:tblDescription w:val="Table 19 provides the ranges of products for the sensitivity calculations. For Option 2, the range of products per week is 3 to 6. For Option 3, the range of products per week is 23 to 46. For Option 4, the range of products is 7 to 15."/>
      </w:tblPr>
      <w:tblGrid>
        <w:gridCol w:w="3583"/>
        <w:gridCol w:w="2541"/>
      </w:tblGrid>
      <w:tr w:rsidR="00E52449" w:rsidRPr="006A74F8" w:rsidTr="00320404">
        <w:trPr>
          <w:cnfStyle w:val="100000000000" w:firstRow="1" w:lastRow="0" w:firstColumn="0" w:lastColumn="0" w:oddVBand="0" w:evenVBand="0" w:oddHBand="0" w:evenHBand="0" w:firstRowFirstColumn="0" w:firstRowLastColumn="0" w:lastRowFirstColumn="0" w:lastRowLastColumn="0"/>
          <w:trHeight w:val="399"/>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004059" w:themeFill="text2" w:themeFillShade="BF"/>
            <w:noWrap/>
            <w:vAlign w:val="center"/>
          </w:tcPr>
          <w:p w:rsidR="00E52449" w:rsidRPr="006A74F8" w:rsidRDefault="00E52449" w:rsidP="008908D7">
            <w:pPr>
              <w:spacing w:line="300" w:lineRule="auto"/>
              <w:rPr>
                <w:rFonts w:cstheme="minorHAnsi"/>
                <w:color w:val="auto"/>
                <w:sz w:val="20"/>
              </w:rPr>
            </w:pPr>
            <w:r w:rsidRPr="006A74F8">
              <w:rPr>
                <w:rFonts w:cstheme="minorHAnsi"/>
                <w:color w:val="auto"/>
                <w:sz w:val="20"/>
              </w:rPr>
              <w:t>Option</w:t>
            </w:r>
          </w:p>
        </w:tc>
        <w:tc>
          <w:tcPr>
            <w:tcW w:w="0" w:type="auto"/>
            <w:tcBorders>
              <w:top w:val="single" w:sz="4" w:space="0" w:color="auto"/>
              <w:left w:val="single" w:sz="4" w:space="0" w:color="auto"/>
              <w:bottom w:val="single" w:sz="4" w:space="0" w:color="auto"/>
              <w:right w:val="single" w:sz="4" w:space="0" w:color="auto"/>
            </w:tcBorders>
            <w:shd w:val="clear" w:color="auto" w:fill="004059" w:themeFill="text2" w:themeFillShade="BF"/>
            <w:noWrap/>
            <w:vAlign w:val="center"/>
          </w:tcPr>
          <w:p w:rsidR="00E52449" w:rsidRPr="006A74F8" w:rsidRDefault="00E52449" w:rsidP="008908D7">
            <w:pPr>
              <w:spacing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6A74F8">
              <w:rPr>
                <w:rFonts w:cstheme="minorHAnsi"/>
                <w:color w:val="auto"/>
                <w:sz w:val="20"/>
              </w:rPr>
              <w:t>Range of products per week</w:t>
            </w:r>
          </w:p>
        </w:tc>
      </w:tr>
      <w:tr w:rsidR="00E52449" w:rsidRPr="006A74F8" w:rsidTr="003763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vAlign w:val="center"/>
          </w:tcPr>
          <w:p w:rsidR="00E52449" w:rsidRPr="006A74F8" w:rsidRDefault="00E6450C" w:rsidP="00E6450C">
            <w:pPr>
              <w:spacing w:after="240" w:line="300" w:lineRule="auto"/>
              <w:rPr>
                <w:rFonts w:cstheme="minorHAnsi"/>
                <w:sz w:val="20"/>
              </w:rPr>
            </w:pPr>
            <w:r w:rsidRPr="006A74F8">
              <w:rPr>
                <w:rFonts w:cstheme="minorHAnsi"/>
                <w:sz w:val="20"/>
              </w:rPr>
              <w:t>S</w:t>
            </w:r>
            <w:r w:rsidR="00E52449" w:rsidRPr="006A74F8">
              <w:rPr>
                <w:rFonts w:cstheme="minorHAnsi"/>
                <w:sz w:val="20"/>
              </w:rPr>
              <w:t>tatus quo</w:t>
            </w:r>
          </w:p>
        </w:tc>
        <w:tc>
          <w:tcPr>
            <w:tcW w:w="0" w:type="auto"/>
            <w:tcBorders>
              <w:top w:val="single" w:sz="4" w:space="0" w:color="auto"/>
            </w:tcBorders>
            <w:shd w:val="clear" w:color="auto" w:fill="auto"/>
            <w:noWrap/>
            <w:vAlign w:val="center"/>
          </w:tcPr>
          <w:p w:rsidR="00E52449" w:rsidRPr="006A74F8" w:rsidRDefault="00E52449" w:rsidP="00E52449">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A74F8">
              <w:rPr>
                <w:rFonts w:cstheme="minorHAnsi"/>
                <w:sz w:val="20"/>
              </w:rPr>
              <w:t>-</w:t>
            </w:r>
          </w:p>
        </w:tc>
      </w:tr>
      <w:tr w:rsidR="00E52449" w:rsidRPr="006A74F8" w:rsidTr="003763FF">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rsidR="00E52449" w:rsidRPr="006A74F8" w:rsidRDefault="00E52449" w:rsidP="00E6450C">
            <w:pPr>
              <w:spacing w:after="240" w:line="300" w:lineRule="auto"/>
              <w:rPr>
                <w:rFonts w:cstheme="minorHAnsi"/>
                <w:sz w:val="20"/>
              </w:rPr>
            </w:pPr>
            <w:r w:rsidRPr="006A74F8">
              <w:rPr>
                <w:rFonts w:cstheme="minorHAnsi"/>
                <w:sz w:val="20"/>
              </w:rPr>
              <w:t>Option 1 – cosmetics excluded from MM</w:t>
            </w:r>
          </w:p>
        </w:tc>
        <w:tc>
          <w:tcPr>
            <w:tcW w:w="0" w:type="auto"/>
            <w:shd w:val="clear" w:color="auto" w:fill="auto"/>
            <w:noWrap/>
            <w:vAlign w:val="center"/>
            <w:hideMark/>
          </w:tcPr>
          <w:p w:rsidR="00E52449" w:rsidRPr="006A74F8" w:rsidRDefault="00E52449" w:rsidP="00E52449">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6A74F8">
              <w:rPr>
                <w:rFonts w:cstheme="minorHAnsi"/>
                <w:sz w:val="20"/>
              </w:rPr>
              <w:t>3-6</w:t>
            </w:r>
          </w:p>
        </w:tc>
      </w:tr>
      <w:tr w:rsidR="00E52449" w:rsidRPr="006A74F8" w:rsidTr="003763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rsidR="00E52449" w:rsidRPr="006A74F8" w:rsidRDefault="00E52449" w:rsidP="00E6450C">
            <w:pPr>
              <w:spacing w:after="240" w:line="300" w:lineRule="auto"/>
              <w:rPr>
                <w:rFonts w:cstheme="minorHAnsi"/>
                <w:sz w:val="20"/>
              </w:rPr>
            </w:pPr>
            <w:r w:rsidRPr="006A74F8">
              <w:rPr>
                <w:rFonts w:cstheme="minorHAnsi"/>
                <w:sz w:val="20"/>
              </w:rPr>
              <w:t>Option 2 / 3 – no restrictions</w:t>
            </w:r>
          </w:p>
        </w:tc>
        <w:tc>
          <w:tcPr>
            <w:tcW w:w="0" w:type="auto"/>
            <w:shd w:val="clear" w:color="auto" w:fill="auto"/>
            <w:noWrap/>
            <w:vAlign w:val="center"/>
            <w:hideMark/>
          </w:tcPr>
          <w:p w:rsidR="00E52449" w:rsidRPr="006A74F8" w:rsidRDefault="00E52449" w:rsidP="00E52449">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A74F8">
              <w:rPr>
                <w:rFonts w:cstheme="minorHAnsi"/>
                <w:sz w:val="20"/>
              </w:rPr>
              <w:t>23-46</w:t>
            </w:r>
          </w:p>
        </w:tc>
      </w:tr>
    </w:tbl>
    <w:p w:rsidR="00E52449" w:rsidRPr="006A74F8" w:rsidRDefault="00E52449" w:rsidP="00A3281E"/>
    <w:p w:rsidR="00A3281E" w:rsidRPr="006A74F8" w:rsidRDefault="00E52449" w:rsidP="000272C7">
      <w:pPr>
        <w:pStyle w:val="Heading4"/>
        <w:tabs>
          <w:tab w:val="left" w:pos="1134"/>
        </w:tabs>
        <w:spacing w:after="120"/>
        <w:ind w:left="1134" w:hanging="1134"/>
      </w:pPr>
      <w:r w:rsidRPr="006A74F8">
        <w:t xml:space="preserve">A presentation of the different options by number of products under an array of varying assumptions </w:t>
      </w:r>
    </w:p>
    <w:p w:rsidR="002D4329" w:rsidRPr="006A74F8" w:rsidRDefault="002D4329" w:rsidP="007E39DC">
      <w:pPr>
        <w:pStyle w:val="Caption"/>
        <w:keepNext/>
      </w:pPr>
      <w:r w:rsidRPr="006A74F8">
        <w:t>Table A</w:t>
      </w:r>
      <w:r w:rsidR="00B754E9" w:rsidRPr="006A74F8">
        <w:t>9</w:t>
      </w:r>
      <w:r w:rsidRPr="006A74F8">
        <w:t xml:space="preserve">- </w:t>
      </w:r>
      <w:r w:rsidR="00DF4AF9" w:rsidRPr="006A74F8">
        <w:rPr>
          <w:noProof/>
        </w:rPr>
        <w:fldChar w:fldCharType="begin"/>
      </w:r>
      <w:r w:rsidR="00DF4AF9" w:rsidRPr="006A74F8">
        <w:rPr>
          <w:noProof/>
        </w:rPr>
        <w:instrText xml:space="preserve"> SEQ Table_A10- \* ARABIC </w:instrText>
      </w:r>
      <w:r w:rsidR="00DF4AF9" w:rsidRPr="006A74F8">
        <w:rPr>
          <w:noProof/>
        </w:rPr>
        <w:fldChar w:fldCharType="separate"/>
      </w:r>
      <w:r w:rsidR="0033017F">
        <w:rPr>
          <w:noProof/>
        </w:rPr>
        <w:t>14</w:t>
      </w:r>
      <w:r w:rsidR="00DF4AF9" w:rsidRPr="006A74F8">
        <w:rPr>
          <w:noProof/>
        </w:rPr>
        <w:fldChar w:fldCharType="end"/>
      </w:r>
      <w:r w:rsidRPr="006A74F8">
        <w:t>: Scenario 1 - Interested Consumers = 50,000 | Time taken = 10 Seconds</w:t>
      </w:r>
    </w:p>
    <w:tbl>
      <w:tblPr>
        <w:tblStyle w:val="GridTable5Dark-Accent1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14: Scenario 1 - Interested Consumers = 50,000 | Time taken = 10 Seconds"/>
        <w:tblDescription w:val="Table A10-14 is a presentation of the different options (1, 2, 3) with the assumption of 50,000 interested consumers and 10 Seconds in time taken. The vertical-axis displays a percentage production change of  1 precent, 2 percent, 5 percent and 10 percent."/>
      </w:tblPr>
      <w:tblGrid>
        <w:gridCol w:w="750"/>
        <w:gridCol w:w="617"/>
        <w:gridCol w:w="1180"/>
        <w:gridCol w:w="1134"/>
        <w:gridCol w:w="1276"/>
        <w:gridCol w:w="1417"/>
      </w:tblGrid>
      <w:tr w:rsidR="00DB682C" w:rsidRPr="006A74F8"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rsidR="00DB682C" w:rsidRPr="006A74F8" w:rsidRDefault="00DB682C" w:rsidP="00DB682C">
            <w:pPr>
              <w:spacing w:before="100" w:beforeAutospacing="1" w:after="0" w:line="300" w:lineRule="auto"/>
              <w:rPr>
                <w:rFonts w:asciiTheme="minorHAnsi" w:eastAsia="Times New Roman" w:hAnsiTheme="minorHAnsi" w:cstheme="minorHAnsi"/>
                <w:b/>
                <w:color w:val="auto"/>
                <w:sz w:val="20"/>
                <w:szCs w:val="20"/>
                <w:lang w:eastAsia="en-AU"/>
              </w:rPr>
            </w:pPr>
          </w:p>
        </w:tc>
        <w:tc>
          <w:tcPr>
            <w:tcW w:w="617" w:type="dxa"/>
            <w:tcBorders>
              <w:top w:val="single" w:sz="4" w:space="0" w:color="auto"/>
            </w:tcBorders>
            <w:shd w:val="clear" w:color="auto" w:fill="004059" w:themeFill="text2" w:themeFillShade="BF"/>
            <w:noWrap/>
          </w:tcPr>
          <w:p w:rsidR="00DB682C" w:rsidRPr="006A74F8" w:rsidRDefault="00DB682C" w:rsidP="00DB682C">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p>
        </w:tc>
        <w:tc>
          <w:tcPr>
            <w:tcW w:w="2314" w:type="dxa"/>
            <w:gridSpan w:val="2"/>
            <w:tcBorders>
              <w:top w:val="single" w:sz="4" w:space="0" w:color="auto"/>
            </w:tcBorders>
            <w:shd w:val="clear" w:color="auto" w:fill="004059" w:themeFill="text2" w:themeFillShade="BF"/>
            <w:noWrap/>
          </w:tcPr>
          <w:p w:rsidR="00DB682C" w:rsidRPr="006A74F8" w:rsidRDefault="00DB682C" w:rsidP="00DB682C">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rsidR="00DB682C" w:rsidRPr="006A74F8" w:rsidRDefault="00DB682C" w:rsidP="00DB682C">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 xml:space="preserve">Options 2 and 3  </w:t>
            </w:r>
          </w:p>
        </w:tc>
      </w:tr>
      <w:tr w:rsidR="00DB682C" w:rsidRPr="006A74F8" w:rsidTr="00715D25">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rsidR="00DB682C" w:rsidRPr="006A74F8" w:rsidRDefault="00DB682C" w:rsidP="00DB682C">
            <w:pPr>
              <w:spacing w:before="100" w:beforeAutospacing="1" w:after="240" w:line="300" w:lineRule="auto"/>
              <w:ind w:left="113" w:right="113"/>
              <w:jc w:val="center"/>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rsidR="00DB682C" w:rsidRPr="006A74F8"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1180" w:type="dxa"/>
            <w:shd w:val="clear" w:color="auto" w:fill="auto"/>
            <w:noWrap/>
            <w:hideMark/>
          </w:tcPr>
          <w:p w:rsidR="00DB682C" w:rsidRPr="006A74F8" w:rsidRDefault="00DB682C" w:rsidP="00554592">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3</w:t>
            </w:r>
          </w:p>
        </w:tc>
        <w:tc>
          <w:tcPr>
            <w:tcW w:w="1134" w:type="dxa"/>
            <w:shd w:val="clear" w:color="auto" w:fill="auto"/>
            <w:noWrap/>
            <w:hideMark/>
          </w:tcPr>
          <w:p w:rsidR="00DB682C" w:rsidRPr="006A74F8" w:rsidRDefault="00DB682C" w:rsidP="00554592">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6</w:t>
            </w:r>
          </w:p>
        </w:tc>
        <w:tc>
          <w:tcPr>
            <w:tcW w:w="1276" w:type="dxa"/>
            <w:shd w:val="clear" w:color="auto" w:fill="auto"/>
            <w:noWrap/>
            <w:hideMark/>
          </w:tcPr>
          <w:p w:rsidR="00DB682C" w:rsidRPr="006A74F8" w:rsidRDefault="00DB682C" w:rsidP="00554592">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23</w:t>
            </w:r>
          </w:p>
        </w:tc>
        <w:tc>
          <w:tcPr>
            <w:tcW w:w="1417" w:type="dxa"/>
            <w:shd w:val="clear" w:color="auto" w:fill="auto"/>
            <w:noWrap/>
            <w:hideMark/>
          </w:tcPr>
          <w:p w:rsidR="00DB682C" w:rsidRPr="006A74F8" w:rsidRDefault="00DB682C" w:rsidP="00554592">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46</w:t>
            </w:r>
          </w:p>
        </w:tc>
      </w:tr>
      <w:tr w:rsidR="00DB682C" w:rsidRPr="006A74F8" w:rsidTr="009B6407">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rsidR="00DB682C" w:rsidRPr="006A74F8" w:rsidRDefault="00DB682C" w:rsidP="00DB682C">
            <w:pPr>
              <w:spacing w:before="100" w:beforeAutospacing="1" w:after="240" w:line="300" w:lineRule="auto"/>
              <w:ind w:left="113" w:right="113"/>
              <w:jc w:val="center"/>
              <w:rPr>
                <w:rFonts w:asciiTheme="minorHAnsi" w:eastAsia="Times New Roman" w:hAnsiTheme="minorHAnsi" w:cstheme="minorHAnsi"/>
                <w:sz w:val="20"/>
                <w:szCs w:val="20"/>
                <w:lang w:eastAsia="en-AU"/>
              </w:rPr>
            </w:pPr>
          </w:p>
        </w:tc>
        <w:tc>
          <w:tcPr>
            <w:tcW w:w="617" w:type="dxa"/>
            <w:noWrap/>
            <w:hideMark/>
          </w:tcPr>
          <w:p w:rsidR="00DB682C" w:rsidRPr="006A74F8"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w:t>
            </w:r>
          </w:p>
        </w:tc>
        <w:tc>
          <w:tcPr>
            <w:tcW w:w="1180" w:type="dxa"/>
            <w:shd w:val="clear" w:color="auto" w:fill="auto"/>
            <w:noWrap/>
            <w:hideMark/>
          </w:tcPr>
          <w:p w:rsidR="00DB682C" w:rsidRPr="006A74F8"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$6,933</w:t>
            </w:r>
          </w:p>
        </w:tc>
        <w:tc>
          <w:tcPr>
            <w:tcW w:w="1134" w:type="dxa"/>
            <w:shd w:val="clear" w:color="auto" w:fill="auto"/>
            <w:noWrap/>
            <w:hideMark/>
          </w:tcPr>
          <w:p w:rsidR="00DB682C" w:rsidRPr="006A74F8"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$13,867</w:t>
            </w:r>
          </w:p>
        </w:tc>
        <w:tc>
          <w:tcPr>
            <w:tcW w:w="1276" w:type="dxa"/>
            <w:shd w:val="clear" w:color="auto" w:fill="auto"/>
            <w:noWrap/>
            <w:hideMark/>
          </w:tcPr>
          <w:p w:rsidR="00DB682C" w:rsidRPr="006A74F8"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$53,156</w:t>
            </w:r>
          </w:p>
        </w:tc>
        <w:tc>
          <w:tcPr>
            <w:tcW w:w="1417" w:type="dxa"/>
            <w:shd w:val="clear" w:color="auto" w:fill="auto"/>
            <w:noWrap/>
            <w:hideMark/>
          </w:tcPr>
          <w:p w:rsidR="00DB682C" w:rsidRPr="006A74F8"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$106,311</w:t>
            </w:r>
          </w:p>
        </w:tc>
      </w:tr>
      <w:tr w:rsidR="00DB682C" w:rsidRPr="006A74F8" w:rsidTr="009B640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DB682C" w:rsidRPr="006A74F8" w:rsidRDefault="00DB682C" w:rsidP="00DB682C">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noWrap/>
            <w:hideMark/>
          </w:tcPr>
          <w:p w:rsidR="00DB682C" w:rsidRPr="006A74F8"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w:t>
            </w:r>
          </w:p>
        </w:tc>
        <w:tc>
          <w:tcPr>
            <w:tcW w:w="1180" w:type="dxa"/>
            <w:shd w:val="clear" w:color="auto" w:fill="auto"/>
            <w:noWrap/>
            <w:hideMark/>
          </w:tcPr>
          <w:p w:rsidR="00DB682C" w:rsidRPr="006A74F8"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$13,867</w:t>
            </w:r>
          </w:p>
        </w:tc>
        <w:tc>
          <w:tcPr>
            <w:tcW w:w="1134" w:type="dxa"/>
            <w:shd w:val="clear" w:color="auto" w:fill="auto"/>
            <w:noWrap/>
            <w:hideMark/>
          </w:tcPr>
          <w:p w:rsidR="00DB682C" w:rsidRPr="006A74F8"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$27,733</w:t>
            </w:r>
          </w:p>
        </w:tc>
        <w:tc>
          <w:tcPr>
            <w:tcW w:w="1276" w:type="dxa"/>
            <w:shd w:val="clear" w:color="auto" w:fill="auto"/>
            <w:noWrap/>
            <w:hideMark/>
          </w:tcPr>
          <w:p w:rsidR="00DB682C" w:rsidRPr="006A74F8"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$106,311</w:t>
            </w:r>
          </w:p>
        </w:tc>
        <w:tc>
          <w:tcPr>
            <w:tcW w:w="1417" w:type="dxa"/>
            <w:shd w:val="clear" w:color="auto" w:fill="auto"/>
            <w:noWrap/>
            <w:hideMark/>
          </w:tcPr>
          <w:p w:rsidR="00DB682C" w:rsidRPr="006A74F8"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$212,622</w:t>
            </w:r>
          </w:p>
        </w:tc>
      </w:tr>
      <w:tr w:rsidR="00DB682C" w:rsidRPr="006A74F8" w:rsidTr="009B6407">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DB682C" w:rsidRPr="006A74F8" w:rsidRDefault="00DB682C" w:rsidP="00DB682C">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noWrap/>
            <w:hideMark/>
          </w:tcPr>
          <w:p w:rsidR="00DB682C" w:rsidRPr="006A74F8"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5%</w:t>
            </w:r>
          </w:p>
        </w:tc>
        <w:tc>
          <w:tcPr>
            <w:tcW w:w="1180" w:type="dxa"/>
            <w:shd w:val="clear" w:color="auto" w:fill="auto"/>
            <w:noWrap/>
            <w:hideMark/>
          </w:tcPr>
          <w:p w:rsidR="00DB682C" w:rsidRPr="006A74F8"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$34,667</w:t>
            </w:r>
          </w:p>
        </w:tc>
        <w:tc>
          <w:tcPr>
            <w:tcW w:w="1134" w:type="dxa"/>
            <w:shd w:val="clear" w:color="auto" w:fill="auto"/>
            <w:noWrap/>
            <w:hideMark/>
          </w:tcPr>
          <w:p w:rsidR="00DB682C" w:rsidRPr="006A74F8"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$69,333</w:t>
            </w:r>
          </w:p>
        </w:tc>
        <w:tc>
          <w:tcPr>
            <w:tcW w:w="1276" w:type="dxa"/>
            <w:shd w:val="clear" w:color="auto" w:fill="auto"/>
            <w:noWrap/>
            <w:hideMark/>
          </w:tcPr>
          <w:p w:rsidR="00DB682C" w:rsidRPr="006A74F8"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$265,778</w:t>
            </w:r>
          </w:p>
        </w:tc>
        <w:tc>
          <w:tcPr>
            <w:tcW w:w="1417" w:type="dxa"/>
            <w:shd w:val="clear" w:color="auto" w:fill="auto"/>
            <w:noWrap/>
            <w:hideMark/>
          </w:tcPr>
          <w:p w:rsidR="00DB682C" w:rsidRPr="006A74F8"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$531,556</w:t>
            </w:r>
          </w:p>
        </w:tc>
      </w:tr>
      <w:tr w:rsidR="00DB682C" w:rsidRPr="006A74F8" w:rsidTr="009B640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DB682C" w:rsidRPr="006A74F8" w:rsidRDefault="00DB682C" w:rsidP="00DB682C">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tcBorders>
              <w:bottom w:val="single" w:sz="4" w:space="0" w:color="auto"/>
            </w:tcBorders>
            <w:noWrap/>
            <w:hideMark/>
          </w:tcPr>
          <w:p w:rsidR="00DB682C" w:rsidRPr="006A74F8"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10%</w:t>
            </w:r>
          </w:p>
        </w:tc>
        <w:tc>
          <w:tcPr>
            <w:tcW w:w="1180" w:type="dxa"/>
            <w:tcBorders>
              <w:bottom w:val="single" w:sz="4" w:space="0" w:color="auto"/>
            </w:tcBorders>
            <w:shd w:val="clear" w:color="auto" w:fill="auto"/>
            <w:noWrap/>
            <w:hideMark/>
          </w:tcPr>
          <w:p w:rsidR="00DB682C" w:rsidRPr="006A74F8"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$69,333</w:t>
            </w:r>
          </w:p>
        </w:tc>
        <w:tc>
          <w:tcPr>
            <w:tcW w:w="1134" w:type="dxa"/>
            <w:tcBorders>
              <w:bottom w:val="single" w:sz="4" w:space="0" w:color="auto"/>
            </w:tcBorders>
            <w:shd w:val="clear" w:color="auto" w:fill="auto"/>
            <w:noWrap/>
            <w:hideMark/>
          </w:tcPr>
          <w:p w:rsidR="00DB682C" w:rsidRPr="006A74F8"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$138,667</w:t>
            </w:r>
          </w:p>
        </w:tc>
        <w:tc>
          <w:tcPr>
            <w:tcW w:w="1276" w:type="dxa"/>
            <w:tcBorders>
              <w:bottom w:val="single" w:sz="4" w:space="0" w:color="auto"/>
            </w:tcBorders>
            <w:shd w:val="clear" w:color="auto" w:fill="auto"/>
            <w:noWrap/>
            <w:hideMark/>
          </w:tcPr>
          <w:p w:rsidR="00DB682C" w:rsidRPr="006A74F8"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$531,556</w:t>
            </w:r>
          </w:p>
        </w:tc>
        <w:tc>
          <w:tcPr>
            <w:tcW w:w="1417" w:type="dxa"/>
            <w:tcBorders>
              <w:bottom w:val="single" w:sz="4" w:space="0" w:color="auto"/>
            </w:tcBorders>
            <w:shd w:val="clear" w:color="auto" w:fill="auto"/>
            <w:noWrap/>
            <w:hideMark/>
          </w:tcPr>
          <w:p w:rsidR="00DB682C" w:rsidRPr="006A74F8"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6A74F8">
              <w:rPr>
                <w:rFonts w:asciiTheme="majorHAnsi" w:hAnsiTheme="majorHAnsi" w:cstheme="majorHAnsi"/>
                <w:sz w:val="20"/>
                <w:szCs w:val="20"/>
              </w:rPr>
              <w:t>$1,063,111</w:t>
            </w:r>
          </w:p>
        </w:tc>
      </w:tr>
    </w:tbl>
    <w:p w:rsidR="00DB682C" w:rsidRPr="006A74F8" w:rsidRDefault="00DB682C" w:rsidP="00327190">
      <w:pPr>
        <w:spacing w:before="240" w:after="0" w:line="300" w:lineRule="auto"/>
        <w:contextualSpacing/>
        <w:rPr>
          <w:rFonts w:eastAsia="Calibri" w:cstheme="minorHAnsi"/>
          <w:szCs w:val="20"/>
        </w:rPr>
      </w:pPr>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15</w:t>
      </w:r>
      <w:r w:rsidR="00D003A8" w:rsidRPr="006A74F8">
        <w:rPr>
          <w:noProof/>
        </w:rPr>
        <w:fldChar w:fldCharType="end"/>
      </w:r>
      <w:r w:rsidRPr="006A74F8">
        <w:t>: Scenario 2 - Interested Consumers = 50,000 | Time taken = 20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Table A10- 15: Scenario 2 - Interested Consumers = 50,000 | Time taken = 20 Seconds"/>
        <w:tblDescription w:val="Table A10-15 is a presentation of the different options (1, 2, 3) with the assumption of 50,000 interested consumers and 20 Seconds in time taken. The vertical-axis displays a percentage production change of  1 precent, 2 percent, 5 percent and 10 percent."/>
      </w:tblPr>
      <w:tblGrid>
        <w:gridCol w:w="750"/>
        <w:gridCol w:w="617"/>
        <w:gridCol w:w="1180"/>
        <w:gridCol w:w="1134"/>
        <w:gridCol w:w="1276"/>
        <w:gridCol w:w="1417"/>
      </w:tblGrid>
      <w:tr w:rsidR="00E52449" w:rsidRPr="006A74F8"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rsidR="00E52449" w:rsidRPr="006A74F8" w:rsidRDefault="00E52449" w:rsidP="00327190">
            <w:pPr>
              <w:spacing w:before="100" w:beforeAutospacing="1" w:after="0" w:line="300" w:lineRule="auto"/>
              <w:rPr>
                <w:rFonts w:asciiTheme="minorHAnsi" w:eastAsia="Times New Roman" w:hAnsiTheme="minorHAnsi" w:cstheme="minorHAnsi"/>
                <w:b/>
                <w:color w:val="auto"/>
                <w:sz w:val="20"/>
                <w:szCs w:val="20"/>
                <w:lang w:eastAsia="en-AU"/>
              </w:rPr>
            </w:pPr>
          </w:p>
        </w:tc>
        <w:tc>
          <w:tcPr>
            <w:tcW w:w="617" w:type="dxa"/>
            <w:tcBorders>
              <w:top w:val="single" w:sz="4" w:space="0" w:color="auto"/>
              <w:bottom w:val="single" w:sz="4" w:space="0" w:color="auto"/>
            </w:tcBorders>
            <w:shd w:val="clear" w:color="auto" w:fill="004059" w:themeFill="text2" w:themeFillShade="BF"/>
            <w:noWrap/>
          </w:tcPr>
          <w:p w:rsidR="00E52449" w:rsidRPr="006A74F8" w:rsidRDefault="00E52449" w:rsidP="00327190">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p>
        </w:tc>
        <w:tc>
          <w:tcPr>
            <w:tcW w:w="2314" w:type="dxa"/>
            <w:gridSpan w:val="2"/>
            <w:tcBorders>
              <w:top w:val="single" w:sz="4" w:space="0" w:color="auto"/>
              <w:bottom w:val="single" w:sz="4" w:space="0" w:color="auto"/>
            </w:tcBorders>
            <w:shd w:val="clear" w:color="auto" w:fill="004059" w:themeFill="text2" w:themeFillShade="BF"/>
            <w:noWrap/>
          </w:tcPr>
          <w:p w:rsidR="00E52449" w:rsidRPr="006A74F8" w:rsidRDefault="00E52449" w:rsidP="00327190">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bottom w:val="single" w:sz="4" w:space="0" w:color="auto"/>
              <w:right w:val="single" w:sz="4" w:space="0" w:color="auto"/>
            </w:tcBorders>
            <w:shd w:val="clear" w:color="auto" w:fill="004059" w:themeFill="text2" w:themeFillShade="BF"/>
            <w:noWrap/>
          </w:tcPr>
          <w:p w:rsidR="00E52449" w:rsidRPr="006A74F8" w:rsidRDefault="00E52449" w:rsidP="00327190">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 xml:space="preserve">Options 2 and 3  </w:t>
            </w:r>
          </w:p>
        </w:tc>
      </w:tr>
      <w:tr w:rsidR="00E52449" w:rsidRPr="006A74F8" w:rsidTr="00715D25">
        <w:tblPrEx>
          <w:jc w:val="center"/>
        </w:tblPrEx>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bottom w:val="nil"/>
            </w:tcBorders>
            <w:shd w:val="clear" w:color="auto" w:fill="004059" w:themeFill="text2" w:themeFillShade="BF"/>
            <w:textDirection w:val="btLr"/>
          </w:tcPr>
          <w:p w:rsidR="00E52449" w:rsidRPr="006A74F8" w:rsidRDefault="00E52449" w:rsidP="00E52449">
            <w:pPr>
              <w:spacing w:before="100" w:beforeAutospacing="1" w:after="240" w:line="300" w:lineRule="auto"/>
              <w:ind w:left="113" w:right="113"/>
              <w:jc w:val="center"/>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rsidR="00E52449" w:rsidRPr="006A74F8" w:rsidRDefault="00E52449" w:rsidP="00715D25">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1180" w:type="dxa"/>
            <w:shd w:val="clear" w:color="auto" w:fill="auto"/>
            <w:noWrap/>
            <w:hideMark/>
          </w:tcPr>
          <w:p w:rsidR="00E52449" w:rsidRPr="006A74F8" w:rsidRDefault="00E52449" w:rsidP="00715D25">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3</w:t>
            </w:r>
          </w:p>
        </w:tc>
        <w:tc>
          <w:tcPr>
            <w:tcW w:w="1134" w:type="dxa"/>
            <w:shd w:val="clear" w:color="auto" w:fill="auto"/>
            <w:noWrap/>
            <w:hideMark/>
          </w:tcPr>
          <w:p w:rsidR="00E52449" w:rsidRPr="006A74F8" w:rsidRDefault="00E52449" w:rsidP="00715D25">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6</w:t>
            </w:r>
          </w:p>
        </w:tc>
        <w:tc>
          <w:tcPr>
            <w:tcW w:w="1276" w:type="dxa"/>
            <w:shd w:val="clear" w:color="auto" w:fill="auto"/>
            <w:noWrap/>
            <w:hideMark/>
          </w:tcPr>
          <w:p w:rsidR="00E52449" w:rsidRPr="006A74F8" w:rsidRDefault="00E52449" w:rsidP="00715D25">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23</w:t>
            </w:r>
          </w:p>
        </w:tc>
        <w:tc>
          <w:tcPr>
            <w:tcW w:w="1417" w:type="dxa"/>
            <w:shd w:val="clear" w:color="auto" w:fill="auto"/>
            <w:noWrap/>
            <w:hideMark/>
          </w:tcPr>
          <w:p w:rsidR="00E52449" w:rsidRPr="006A74F8" w:rsidRDefault="00E52449" w:rsidP="00715D25">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46</w:t>
            </w:r>
          </w:p>
        </w:tc>
      </w:tr>
      <w:tr w:rsidR="00E52449" w:rsidRPr="006A74F8"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top w:val="nil"/>
              <w:left w:val="single" w:sz="4" w:space="0" w:color="auto"/>
              <w:bottom w:val="nil"/>
            </w:tcBorders>
            <w:shd w:val="clear" w:color="auto" w:fill="004059" w:themeFill="text2" w:themeFillShade="BF"/>
            <w:textDirection w:val="btLr"/>
          </w:tcPr>
          <w:p w:rsidR="00E52449" w:rsidRPr="006A74F8" w:rsidRDefault="00E52449" w:rsidP="00E52449">
            <w:pPr>
              <w:spacing w:before="100" w:beforeAutospacing="1" w:after="240" w:line="300" w:lineRule="auto"/>
              <w:ind w:left="113" w:right="113"/>
              <w:jc w:val="center"/>
              <w:rPr>
                <w:rFonts w:asciiTheme="minorHAnsi" w:eastAsia="Times New Roman" w:hAnsiTheme="minorHAnsi" w:cstheme="minorHAnsi"/>
                <w:sz w:val="20"/>
                <w:szCs w:val="20"/>
                <w:lang w:eastAsia="en-AU"/>
              </w:rPr>
            </w:pPr>
          </w:p>
        </w:tc>
        <w:tc>
          <w:tcPr>
            <w:tcW w:w="617" w:type="dxa"/>
            <w:noWrap/>
            <w:hideMark/>
          </w:tcPr>
          <w:p w:rsidR="00E52449" w:rsidRPr="006A74F8" w:rsidRDefault="00E52449"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w:t>
            </w:r>
          </w:p>
        </w:tc>
        <w:tc>
          <w:tcPr>
            <w:tcW w:w="1180" w:type="dxa"/>
            <w:shd w:val="clear" w:color="auto" w:fill="auto"/>
            <w:noWrap/>
            <w:hideMark/>
          </w:tcPr>
          <w:p w:rsidR="00E52449" w:rsidRPr="006A74F8"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w:t>
            </w:r>
            <w:r w:rsidR="00E52449" w:rsidRPr="006A74F8">
              <w:rPr>
                <w:rFonts w:asciiTheme="minorHAnsi" w:hAnsiTheme="minorHAnsi" w:cstheme="minorHAnsi"/>
                <w:sz w:val="20"/>
                <w:szCs w:val="20"/>
              </w:rPr>
              <w:t>13,</w:t>
            </w:r>
            <w:r w:rsidRPr="006A74F8">
              <w:rPr>
                <w:rFonts w:asciiTheme="minorHAnsi" w:hAnsiTheme="minorHAnsi" w:cstheme="minorHAnsi"/>
                <w:sz w:val="20"/>
                <w:szCs w:val="20"/>
              </w:rPr>
              <w:t>867</w:t>
            </w:r>
          </w:p>
        </w:tc>
        <w:tc>
          <w:tcPr>
            <w:tcW w:w="1134" w:type="dxa"/>
            <w:shd w:val="clear" w:color="auto" w:fill="auto"/>
            <w:noWrap/>
            <w:hideMark/>
          </w:tcPr>
          <w:p w:rsidR="00E52449" w:rsidRPr="006A74F8"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$27,733</w:t>
            </w:r>
          </w:p>
        </w:tc>
        <w:tc>
          <w:tcPr>
            <w:tcW w:w="1276" w:type="dxa"/>
            <w:shd w:val="clear" w:color="auto" w:fill="auto"/>
            <w:noWrap/>
            <w:hideMark/>
          </w:tcPr>
          <w:p w:rsidR="00E52449" w:rsidRPr="006A74F8"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$106,311</w:t>
            </w:r>
          </w:p>
        </w:tc>
        <w:tc>
          <w:tcPr>
            <w:tcW w:w="1417" w:type="dxa"/>
            <w:shd w:val="clear" w:color="auto" w:fill="auto"/>
            <w:noWrap/>
            <w:hideMark/>
          </w:tcPr>
          <w:p w:rsidR="00E52449" w:rsidRPr="006A74F8"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$212,622</w:t>
            </w:r>
          </w:p>
        </w:tc>
      </w:tr>
      <w:tr w:rsidR="00E52449" w:rsidRPr="006A74F8" w:rsidTr="009B6407">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top w:val="nil"/>
              <w:left w:val="single" w:sz="4" w:space="0" w:color="auto"/>
              <w:bottom w:val="nil"/>
            </w:tcBorders>
            <w:shd w:val="clear" w:color="auto" w:fill="004059" w:themeFill="text2" w:themeFillShade="BF"/>
          </w:tcPr>
          <w:p w:rsidR="00E52449" w:rsidRPr="006A74F8" w:rsidRDefault="00E52449" w:rsidP="00E52449">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noWrap/>
            <w:hideMark/>
          </w:tcPr>
          <w:p w:rsidR="00E52449" w:rsidRPr="006A74F8" w:rsidRDefault="00E52449"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2%</w:t>
            </w:r>
          </w:p>
        </w:tc>
        <w:tc>
          <w:tcPr>
            <w:tcW w:w="1180" w:type="dxa"/>
            <w:shd w:val="clear" w:color="auto" w:fill="auto"/>
            <w:noWrap/>
            <w:hideMark/>
          </w:tcPr>
          <w:p w:rsidR="00E52449" w:rsidRPr="006A74F8"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$27,733</w:t>
            </w:r>
          </w:p>
        </w:tc>
        <w:tc>
          <w:tcPr>
            <w:tcW w:w="1134" w:type="dxa"/>
            <w:shd w:val="clear" w:color="auto" w:fill="auto"/>
            <w:noWrap/>
            <w:hideMark/>
          </w:tcPr>
          <w:p w:rsidR="00E52449" w:rsidRPr="006A74F8"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$55,467</w:t>
            </w:r>
          </w:p>
        </w:tc>
        <w:tc>
          <w:tcPr>
            <w:tcW w:w="1276" w:type="dxa"/>
            <w:shd w:val="clear" w:color="auto" w:fill="auto"/>
            <w:noWrap/>
            <w:hideMark/>
          </w:tcPr>
          <w:p w:rsidR="00E52449" w:rsidRPr="006A74F8"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$212,622</w:t>
            </w:r>
          </w:p>
        </w:tc>
        <w:tc>
          <w:tcPr>
            <w:tcW w:w="1417" w:type="dxa"/>
            <w:shd w:val="clear" w:color="auto" w:fill="auto"/>
            <w:noWrap/>
            <w:hideMark/>
          </w:tcPr>
          <w:p w:rsidR="00E52449" w:rsidRPr="006A74F8"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$425,244</w:t>
            </w:r>
          </w:p>
        </w:tc>
      </w:tr>
      <w:tr w:rsidR="00E52449" w:rsidRPr="006A74F8"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top w:val="nil"/>
              <w:left w:val="single" w:sz="4" w:space="0" w:color="auto"/>
              <w:bottom w:val="nil"/>
            </w:tcBorders>
            <w:shd w:val="clear" w:color="auto" w:fill="004059" w:themeFill="text2" w:themeFillShade="BF"/>
          </w:tcPr>
          <w:p w:rsidR="00E52449" w:rsidRPr="006A74F8" w:rsidRDefault="00E52449" w:rsidP="00E52449">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noWrap/>
            <w:hideMark/>
          </w:tcPr>
          <w:p w:rsidR="00E52449" w:rsidRPr="006A74F8" w:rsidRDefault="00E52449"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5%</w:t>
            </w:r>
          </w:p>
        </w:tc>
        <w:tc>
          <w:tcPr>
            <w:tcW w:w="1180" w:type="dxa"/>
            <w:shd w:val="clear" w:color="auto" w:fill="auto"/>
            <w:noWrap/>
            <w:hideMark/>
          </w:tcPr>
          <w:p w:rsidR="00E52449" w:rsidRPr="006A74F8"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$69,333</w:t>
            </w:r>
          </w:p>
        </w:tc>
        <w:tc>
          <w:tcPr>
            <w:tcW w:w="1134" w:type="dxa"/>
            <w:shd w:val="clear" w:color="auto" w:fill="auto"/>
            <w:noWrap/>
            <w:hideMark/>
          </w:tcPr>
          <w:p w:rsidR="00E52449" w:rsidRPr="006A74F8"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$138,667</w:t>
            </w:r>
          </w:p>
        </w:tc>
        <w:tc>
          <w:tcPr>
            <w:tcW w:w="1276" w:type="dxa"/>
            <w:shd w:val="clear" w:color="auto" w:fill="auto"/>
            <w:noWrap/>
            <w:hideMark/>
          </w:tcPr>
          <w:p w:rsidR="00E52449" w:rsidRPr="006A74F8"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$531,556</w:t>
            </w:r>
          </w:p>
        </w:tc>
        <w:tc>
          <w:tcPr>
            <w:tcW w:w="1417" w:type="dxa"/>
            <w:shd w:val="clear" w:color="auto" w:fill="auto"/>
            <w:noWrap/>
            <w:hideMark/>
          </w:tcPr>
          <w:p w:rsidR="00E52449" w:rsidRPr="006A74F8"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$1,063,111</w:t>
            </w:r>
          </w:p>
        </w:tc>
      </w:tr>
      <w:tr w:rsidR="00E52449" w:rsidRPr="006A74F8" w:rsidTr="009B640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50" w:type="dxa"/>
            <w:tcBorders>
              <w:top w:val="nil"/>
              <w:left w:val="single" w:sz="4" w:space="0" w:color="auto"/>
              <w:bottom w:val="single" w:sz="4" w:space="0" w:color="auto"/>
            </w:tcBorders>
            <w:shd w:val="clear" w:color="auto" w:fill="004059" w:themeFill="text2" w:themeFillShade="BF"/>
          </w:tcPr>
          <w:p w:rsidR="00E52449" w:rsidRPr="006A74F8" w:rsidRDefault="00E52449" w:rsidP="00E52449">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tcBorders>
              <w:bottom w:val="single" w:sz="4" w:space="0" w:color="auto"/>
            </w:tcBorders>
            <w:noWrap/>
            <w:hideMark/>
          </w:tcPr>
          <w:p w:rsidR="00E52449" w:rsidRPr="006A74F8" w:rsidRDefault="00E52449"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eastAsia="Times New Roman" w:hAnsiTheme="minorHAnsi" w:cstheme="minorHAnsi"/>
                <w:sz w:val="20"/>
                <w:szCs w:val="20"/>
                <w:lang w:eastAsia="en-AU"/>
              </w:rPr>
              <w:t>10%</w:t>
            </w:r>
          </w:p>
        </w:tc>
        <w:tc>
          <w:tcPr>
            <w:tcW w:w="1180" w:type="dxa"/>
            <w:tcBorders>
              <w:bottom w:val="single" w:sz="4" w:space="0" w:color="auto"/>
            </w:tcBorders>
            <w:shd w:val="clear" w:color="auto" w:fill="auto"/>
            <w:noWrap/>
            <w:hideMark/>
          </w:tcPr>
          <w:p w:rsidR="00E52449" w:rsidRPr="006A74F8"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$138,667</w:t>
            </w:r>
          </w:p>
        </w:tc>
        <w:tc>
          <w:tcPr>
            <w:tcW w:w="1134" w:type="dxa"/>
            <w:tcBorders>
              <w:bottom w:val="single" w:sz="4" w:space="0" w:color="auto"/>
            </w:tcBorders>
            <w:shd w:val="clear" w:color="auto" w:fill="auto"/>
            <w:noWrap/>
            <w:hideMark/>
          </w:tcPr>
          <w:p w:rsidR="00E52449" w:rsidRPr="006A74F8"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$277,333</w:t>
            </w:r>
          </w:p>
        </w:tc>
        <w:tc>
          <w:tcPr>
            <w:tcW w:w="1276" w:type="dxa"/>
            <w:tcBorders>
              <w:bottom w:val="single" w:sz="4" w:space="0" w:color="auto"/>
            </w:tcBorders>
            <w:shd w:val="clear" w:color="auto" w:fill="auto"/>
            <w:noWrap/>
            <w:hideMark/>
          </w:tcPr>
          <w:p w:rsidR="00E52449" w:rsidRPr="006A74F8"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$1,063,111</w:t>
            </w:r>
          </w:p>
        </w:tc>
        <w:tc>
          <w:tcPr>
            <w:tcW w:w="1417" w:type="dxa"/>
            <w:tcBorders>
              <w:bottom w:val="single" w:sz="4" w:space="0" w:color="auto"/>
            </w:tcBorders>
            <w:shd w:val="clear" w:color="auto" w:fill="auto"/>
            <w:noWrap/>
            <w:hideMark/>
          </w:tcPr>
          <w:p w:rsidR="00E52449" w:rsidRPr="006A74F8"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A74F8">
              <w:rPr>
                <w:rFonts w:asciiTheme="minorHAnsi" w:hAnsiTheme="minorHAnsi" w:cstheme="minorHAnsi"/>
                <w:sz w:val="20"/>
                <w:szCs w:val="20"/>
              </w:rPr>
              <w:t>$2,126,222</w:t>
            </w:r>
          </w:p>
        </w:tc>
      </w:tr>
    </w:tbl>
    <w:p w:rsidR="008B4226" w:rsidRPr="006A74F8" w:rsidRDefault="008B4226" w:rsidP="008B4226">
      <w:pPr>
        <w:spacing w:before="240" w:after="0" w:line="300" w:lineRule="auto"/>
        <w:ind w:left="720"/>
        <w:contextualSpacing/>
        <w:rPr>
          <w:rFonts w:eastAsia="Calibri" w:cstheme="minorHAnsi"/>
          <w:szCs w:val="20"/>
        </w:rPr>
      </w:pPr>
    </w:p>
    <w:p w:rsidR="0015010A" w:rsidRPr="006A74F8" w:rsidRDefault="0015010A" w:rsidP="0015010A">
      <w:pPr>
        <w:pStyle w:val="Caption"/>
        <w:keepNext/>
      </w:pPr>
      <w:r w:rsidRPr="006A74F8">
        <w:lastRenderedPageBreak/>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16</w:t>
      </w:r>
      <w:r w:rsidR="00D003A8" w:rsidRPr="006A74F8">
        <w:rPr>
          <w:noProof/>
        </w:rPr>
        <w:fldChar w:fldCharType="end"/>
      </w:r>
      <w:r w:rsidRPr="006A74F8">
        <w:t>: Scenario 3 - Interested Consumers = 50,000 | Time taken = 30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16: Scenario 3 - Interested Consumers = 50,000 | Time taken = 30 Seconds"/>
        <w:tblDescription w:val="Table A10-16 is a presentation of the different options (1, 2, 3) with the assumption of 50,000 interested consumers and 30 Seconds in time taken. The vertical-axis displays a percentage production change of  1 precent, 2 percent, 5 percent and 10 percent."/>
      </w:tblPr>
      <w:tblGrid>
        <w:gridCol w:w="750"/>
        <w:gridCol w:w="617"/>
        <w:gridCol w:w="1179"/>
        <w:gridCol w:w="1135"/>
        <w:gridCol w:w="1276"/>
        <w:gridCol w:w="1417"/>
      </w:tblGrid>
      <w:tr w:rsidR="00E52449" w:rsidRPr="006A74F8"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rsidR="00E52449" w:rsidRPr="006A74F8" w:rsidRDefault="00E52449" w:rsidP="00327190">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rsidR="00E52449" w:rsidRPr="006A74F8"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rsidR="00E52449" w:rsidRPr="006A74F8"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rsidR="00E52449" w:rsidRPr="006A74F8"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Options 2  and 3</w:t>
            </w:r>
          </w:p>
        </w:tc>
      </w:tr>
      <w:tr w:rsidR="00E52449" w:rsidRPr="006A74F8" w:rsidTr="00715D25">
        <w:tblPrEx>
          <w:jc w:val="center"/>
        </w:tblPrEx>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rsidR="00E52449" w:rsidRPr="006A74F8" w:rsidRDefault="00E52449" w:rsidP="00E52449">
            <w:pPr>
              <w:spacing w:after="240" w:line="300" w:lineRule="auto"/>
              <w:ind w:left="113" w:right="113"/>
              <w:jc w:val="center"/>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rsidR="00E52449" w:rsidRPr="006A74F8"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1179" w:type="dxa"/>
            <w:shd w:val="clear" w:color="auto" w:fill="auto"/>
            <w:noWrap/>
            <w:hideMark/>
          </w:tcPr>
          <w:p w:rsidR="00E52449" w:rsidRPr="006A74F8"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3</w:t>
            </w:r>
          </w:p>
        </w:tc>
        <w:tc>
          <w:tcPr>
            <w:tcW w:w="1135" w:type="dxa"/>
            <w:shd w:val="clear" w:color="auto" w:fill="auto"/>
            <w:noWrap/>
            <w:hideMark/>
          </w:tcPr>
          <w:p w:rsidR="00E52449" w:rsidRPr="006A74F8"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6</w:t>
            </w:r>
          </w:p>
        </w:tc>
        <w:tc>
          <w:tcPr>
            <w:tcW w:w="1276" w:type="dxa"/>
            <w:shd w:val="clear" w:color="auto" w:fill="auto"/>
            <w:noWrap/>
            <w:hideMark/>
          </w:tcPr>
          <w:p w:rsidR="00E52449" w:rsidRPr="006A74F8"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23</w:t>
            </w:r>
          </w:p>
        </w:tc>
        <w:tc>
          <w:tcPr>
            <w:tcW w:w="1417" w:type="dxa"/>
            <w:shd w:val="clear" w:color="auto" w:fill="auto"/>
            <w:noWrap/>
            <w:hideMark/>
          </w:tcPr>
          <w:p w:rsidR="00E52449" w:rsidRPr="006A74F8"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46</w:t>
            </w:r>
          </w:p>
        </w:tc>
      </w:tr>
      <w:tr w:rsidR="00E52449" w:rsidRPr="006A74F8" w:rsidTr="00715D25">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rsidR="00E52449" w:rsidRPr="006A74F8" w:rsidRDefault="00E52449" w:rsidP="00E52449">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rsidR="00E52449" w:rsidRPr="006A74F8"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w:t>
            </w:r>
          </w:p>
        </w:tc>
        <w:tc>
          <w:tcPr>
            <w:tcW w:w="1179"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w:t>
            </w:r>
            <w:r w:rsidR="00E52449" w:rsidRPr="006A74F8">
              <w:rPr>
                <w:rFonts w:asciiTheme="minorHAnsi" w:hAnsiTheme="minorHAnsi" w:cstheme="minorHAnsi"/>
                <w:sz w:val="20"/>
                <w:szCs w:val="20"/>
              </w:rPr>
              <w:t>20,</w:t>
            </w:r>
            <w:r w:rsidRPr="006A74F8">
              <w:rPr>
                <w:rFonts w:asciiTheme="minorHAnsi" w:hAnsiTheme="minorHAnsi" w:cstheme="minorHAnsi"/>
                <w:sz w:val="20"/>
                <w:szCs w:val="20"/>
              </w:rPr>
              <w:t>800</w:t>
            </w:r>
          </w:p>
        </w:tc>
        <w:tc>
          <w:tcPr>
            <w:tcW w:w="1135"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$41,600</w:t>
            </w:r>
          </w:p>
        </w:tc>
        <w:tc>
          <w:tcPr>
            <w:tcW w:w="1276"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$159,467</w:t>
            </w:r>
          </w:p>
        </w:tc>
        <w:tc>
          <w:tcPr>
            <w:tcW w:w="1417"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$318,933</w:t>
            </w:r>
          </w:p>
        </w:tc>
      </w:tr>
      <w:tr w:rsidR="00E52449" w:rsidRPr="006A74F8" w:rsidTr="00715D25">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E52449" w:rsidRPr="006A74F8"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E52449" w:rsidRPr="006A74F8"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2%</w:t>
            </w:r>
          </w:p>
        </w:tc>
        <w:tc>
          <w:tcPr>
            <w:tcW w:w="1179"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$41,600</w:t>
            </w:r>
          </w:p>
        </w:tc>
        <w:tc>
          <w:tcPr>
            <w:tcW w:w="1135"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$83,200</w:t>
            </w:r>
          </w:p>
        </w:tc>
        <w:tc>
          <w:tcPr>
            <w:tcW w:w="1276"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$318,933</w:t>
            </w:r>
          </w:p>
        </w:tc>
        <w:tc>
          <w:tcPr>
            <w:tcW w:w="1417"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$637,867</w:t>
            </w:r>
          </w:p>
        </w:tc>
      </w:tr>
      <w:tr w:rsidR="00E52449" w:rsidRPr="006A74F8" w:rsidTr="00715D25">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E52449" w:rsidRPr="006A74F8"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E52449" w:rsidRPr="006A74F8"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5%</w:t>
            </w:r>
          </w:p>
        </w:tc>
        <w:tc>
          <w:tcPr>
            <w:tcW w:w="1179"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$104,000</w:t>
            </w:r>
          </w:p>
        </w:tc>
        <w:tc>
          <w:tcPr>
            <w:tcW w:w="1135"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$208,000</w:t>
            </w:r>
          </w:p>
        </w:tc>
        <w:tc>
          <w:tcPr>
            <w:tcW w:w="1276"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$797,333</w:t>
            </w:r>
          </w:p>
        </w:tc>
        <w:tc>
          <w:tcPr>
            <w:tcW w:w="1417"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$1,594,667</w:t>
            </w:r>
          </w:p>
        </w:tc>
      </w:tr>
      <w:tr w:rsidR="00E52449" w:rsidRPr="006A74F8" w:rsidTr="00715D25">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E52449" w:rsidRPr="006A74F8"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E52449" w:rsidRPr="006A74F8"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10%</w:t>
            </w:r>
          </w:p>
        </w:tc>
        <w:tc>
          <w:tcPr>
            <w:tcW w:w="1179"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$208,000</w:t>
            </w:r>
          </w:p>
        </w:tc>
        <w:tc>
          <w:tcPr>
            <w:tcW w:w="1135"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$416</w:t>
            </w:r>
            <w:r w:rsidR="00E52449" w:rsidRPr="006A74F8">
              <w:rPr>
                <w:rFonts w:asciiTheme="minorHAnsi" w:hAnsiTheme="minorHAnsi" w:cstheme="minorHAnsi"/>
                <w:sz w:val="20"/>
                <w:szCs w:val="20"/>
              </w:rPr>
              <w:t>,000</w:t>
            </w:r>
          </w:p>
        </w:tc>
        <w:tc>
          <w:tcPr>
            <w:tcW w:w="1276"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$1,594,667</w:t>
            </w:r>
          </w:p>
        </w:tc>
        <w:tc>
          <w:tcPr>
            <w:tcW w:w="1417"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$3,189,333</w:t>
            </w:r>
          </w:p>
        </w:tc>
      </w:tr>
    </w:tbl>
    <w:p w:rsidR="00C974F7" w:rsidRPr="006A74F8" w:rsidRDefault="00C974F7" w:rsidP="008B4226">
      <w:pPr>
        <w:spacing w:before="240" w:after="0" w:line="300" w:lineRule="auto"/>
        <w:ind w:left="720"/>
        <w:contextualSpacing/>
        <w:rPr>
          <w:rFonts w:eastAsia="Calibri" w:cstheme="minorHAnsi"/>
          <w:szCs w:val="20"/>
        </w:rPr>
      </w:pPr>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17</w:t>
      </w:r>
      <w:r w:rsidR="00D003A8" w:rsidRPr="006A74F8">
        <w:rPr>
          <w:noProof/>
        </w:rPr>
        <w:fldChar w:fldCharType="end"/>
      </w:r>
      <w:r w:rsidRPr="006A74F8">
        <w:t>: Scenario 4 - Interested Consumers = 110,000 | Time taken = 10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17: Scenario 4 - Interested Consumers = 110,000 | Time taken = 10 Seconds"/>
        <w:tblDescription w:val="Table A10-17 is a presentation of the different options (1, 2, 3) with the assumption of 110,000 interested consumers and 10 Seconds in time taken. The vertical-axis displays a percentage production change of  1 precent, 2 percent, 5 percent and 10 percent.&#10;"/>
      </w:tblPr>
      <w:tblGrid>
        <w:gridCol w:w="750"/>
        <w:gridCol w:w="617"/>
        <w:gridCol w:w="1179"/>
        <w:gridCol w:w="1135"/>
        <w:gridCol w:w="1276"/>
        <w:gridCol w:w="1417"/>
      </w:tblGrid>
      <w:tr w:rsidR="00E52449" w:rsidRPr="006A74F8"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rsidR="00E52449" w:rsidRPr="006A74F8" w:rsidRDefault="00E52449" w:rsidP="00327190">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rsidR="00E52449" w:rsidRPr="006A74F8"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rsidR="00E52449" w:rsidRPr="006A74F8"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rsidR="00E52449" w:rsidRPr="006A74F8"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Options 2  and 3</w:t>
            </w:r>
          </w:p>
        </w:tc>
      </w:tr>
      <w:tr w:rsidR="00E52449" w:rsidRPr="006A74F8" w:rsidTr="00715D25">
        <w:tblPrEx>
          <w:jc w:val="center"/>
        </w:tblPrEx>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rsidR="00E52449" w:rsidRPr="006A74F8" w:rsidRDefault="00E52449" w:rsidP="00E52449">
            <w:pPr>
              <w:spacing w:after="240" w:line="300" w:lineRule="auto"/>
              <w:ind w:left="113" w:right="113"/>
              <w:jc w:val="center"/>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rsidR="00E52449" w:rsidRPr="006A74F8"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1179" w:type="dxa"/>
            <w:shd w:val="clear" w:color="auto" w:fill="auto"/>
            <w:noWrap/>
            <w:hideMark/>
          </w:tcPr>
          <w:p w:rsidR="00E52449" w:rsidRPr="006A74F8"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3</w:t>
            </w:r>
          </w:p>
        </w:tc>
        <w:tc>
          <w:tcPr>
            <w:tcW w:w="1135" w:type="dxa"/>
            <w:shd w:val="clear" w:color="auto" w:fill="auto"/>
            <w:noWrap/>
            <w:hideMark/>
          </w:tcPr>
          <w:p w:rsidR="00E52449" w:rsidRPr="006A74F8"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6</w:t>
            </w:r>
          </w:p>
        </w:tc>
        <w:tc>
          <w:tcPr>
            <w:tcW w:w="1276" w:type="dxa"/>
            <w:shd w:val="clear" w:color="auto" w:fill="auto"/>
            <w:noWrap/>
            <w:hideMark/>
          </w:tcPr>
          <w:p w:rsidR="00E52449" w:rsidRPr="006A74F8"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23</w:t>
            </w:r>
          </w:p>
        </w:tc>
        <w:tc>
          <w:tcPr>
            <w:tcW w:w="1417" w:type="dxa"/>
            <w:shd w:val="clear" w:color="auto" w:fill="auto"/>
            <w:noWrap/>
            <w:hideMark/>
          </w:tcPr>
          <w:p w:rsidR="00E52449" w:rsidRPr="006A74F8"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46</w:t>
            </w:r>
          </w:p>
        </w:tc>
      </w:tr>
      <w:tr w:rsidR="00E52449" w:rsidRPr="006A74F8" w:rsidTr="00715D25">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rsidR="00E52449" w:rsidRPr="006A74F8" w:rsidRDefault="00E52449" w:rsidP="00E52449">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rsidR="00E52449" w:rsidRPr="006A74F8"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w:t>
            </w:r>
          </w:p>
        </w:tc>
        <w:tc>
          <w:tcPr>
            <w:tcW w:w="1179"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$15,253</w:t>
            </w:r>
          </w:p>
        </w:tc>
        <w:tc>
          <w:tcPr>
            <w:tcW w:w="1135"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$30,507</w:t>
            </w:r>
          </w:p>
        </w:tc>
        <w:tc>
          <w:tcPr>
            <w:tcW w:w="1276"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$116,942</w:t>
            </w:r>
          </w:p>
        </w:tc>
        <w:tc>
          <w:tcPr>
            <w:tcW w:w="1417"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$233,884</w:t>
            </w:r>
          </w:p>
        </w:tc>
      </w:tr>
      <w:tr w:rsidR="00E52449" w:rsidRPr="006A74F8" w:rsidTr="00715D25">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E52449" w:rsidRPr="006A74F8"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E52449" w:rsidRPr="006A74F8"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2%</w:t>
            </w:r>
          </w:p>
        </w:tc>
        <w:tc>
          <w:tcPr>
            <w:tcW w:w="1179"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$30,507</w:t>
            </w:r>
          </w:p>
        </w:tc>
        <w:tc>
          <w:tcPr>
            <w:tcW w:w="1135"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$61,013</w:t>
            </w:r>
          </w:p>
        </w:tc>
        <w:tc>
          <w:tcPr>
            <w:tcW w:w="1276"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$233,884</w:t>
            </w:r>
          </w:p>
        </w:tc>
        <w:tc>
          <w:tcPr>
            <w:tcW w:w="1417"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$467,769</w:t>
            </w:r>
          </w:p>
        </w:tc>
      </w:tr>
      <w:tr w:rsidR="00E52449" w:rsidRPr="006A74F8" w:rsidTr="00715D25">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E52449" w:rsidRPr="006A74F8"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E52449" w:rsidRPr="006A74F8"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5%</w:t>
            </w:r>
          </w:p>
        </w:tc>
        <w:tc>
          <w:tcPr>
            <w:tcW w:w="1179"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$76,267</w:t>
            </w:r>
          </w:p>
        </w:tc>
        <w:tc>
          <w:tcPr>
            <w:tcW w:w="1135"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$152,533</w:t>
            </w:r>
          </w:p>
        </w:tc>
        <w:tc>
          <w:tcPr>
            <w:tcW w:w="1276"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$584,711</w:t>
            </w:r>
          </w:p>
        </w:tc>
        <w:tc>
          <w:tcPr>
            <w:tcW w:w="1417" w:type="dxa"/>
            <w:shd w:val="clear" w:color="auto" w:fill="auto"/>
            <w:noWrap/>
            <w:hideMark/>
          </w:tcPr>
          <w:p w:rsidR="00E52449" w:rsidRPr="006A74F8"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$1,169,422</w:t>
            </w:r>
          </w:p>
        </w:tc>
      </w:tr>
      <w:tr w:rsidR="00E52449" w:rsidRPr="006A74F8" w:rsidTr="00715D25">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E52449" w:rsidRPr="006A74F8"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E52449" w:rsidRPr="006A74F8"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10%</w:t>
            </w:r>
          </w:p>
        </w:tc>
        <w:tc>
          <w:tcPr>
            <w:tcW w:w="1179"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$152,533</w:t>
            </w:r>
          </w:p>
        </w:tc>
        <w:tc>
          <w:tcPr>
            <w:tcW w:w="1135"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$305,067</w:t>
            </w:r>
          </w:p>
        </w:tc>
        <w:tc>
          <w:tcPr>
            <w:tcW w:w="1276"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$1,169,422</w:t>
            </w:r>
          </w:p>
        </w:tc>
        <w:tc>
          <w:tcPr>
            <w:tcW w:w="1417" w:type="dxa"/>
            <w:shd w:val="clear" w:color="auto" w:fill="auto"/>
            <w:noWrap/>
            <w:hideMark/>
          </w:tcPr>
          <w:p w:rsidR="00E52449" w:rsidRPr="006A74F8"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$2,338,844</w:t>
            </w:r>
          </w:p>
        </w:tc>
      </w:tr>
    </w:tbl>
    <w:p w:rsidR="003E2145" w:rsidRPr="006A74F8" w:rsidRDefault="003E2145" w:rsidP="00CF2334">
      <w:pPr>
        <w:spacing w:before="240" w:after="0" w:line="300" w:lineRule="auto"/>
        <w:contextualSpacing/>
        <w:rPr>
          <w:rFonts w:eastAsia="Calibri" w:cstheme="minorHAnsi"/>
          <w:szCs w:val="20"/>
        </w:rPr>
      </w:pPr>
    </w:p>
    <w:p w:rsidR="00715D25" w:rsidRPr="006A74F8" w:rsidRDefault="0015010A" w:rsidP="00715D25">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18</w:t>
      </w:r>
      <w:r w:rsidR="00D003A8" w:rsidRPr="006A74F8">
        <w:rPr>
          <w:noProof/>
        </w:rPr>
        <w:fldChar w:fldCharType="end"/>
      </w:r>
      <w:r w:rsidRPr="006A74F8">
        <w:t>: Scenario 5 - Interested Consumers = 110,000 | Time taken = 20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18: Scenario 5 - Interested Consumers = 110,000 | Time taken = 20 Seconds"/>
        <w:tblDescription w:val="Table A10-18 is a presentation of the different options (1, 2, 3) with the assumption of 110,000 interested consumers and 20 Seconds in time taken. The vertical-axis displays a percentage production change of  1 precent, 2 percent, 5 percent and 10 percent."/>
      </w:tblPr>
      <w:tblGrid>
        <w:gridCol w:w="750"/>
        <w:gridCol w:w="617"/>
        <w:gridCol w:w="1179"/>
        <w:gridCol w:w="1135"/>
        <w:gridCol w:w="1276"/>
        <w:gridCol w:w="1417"/>
      </w:tblGrid>
      <w:tr w:rsidR="00715D25" w:rsidRPr="006A74F8"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rsidR="00715D25" w:rsidRPr="006A74F8" w:rsidRDefault="00715D25" w:rsidP="007F01B1">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rsidR="00715D25" w:rsidRPr="006A74F8" w:rsidRDefault="00715D25"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rsidR="00715D25" w:rsidRPr="006A74F8" w:rsidRDefault="00715D25"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rsidR="00715D25" w:rsidRPr="006A74F8" w:rsidRDefault="00715D25"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Options 2  and 3</w:t>
            </w:r>
          </w:p>
        </w:tc>
      </w:tr>
      <w:tr w:rsidR="00715D25" w:rsidRPr="006A74F8" w:rsidTr="007F01B1">
        <w:tblPrEx>
          <w:jc w:val="center"/>
        </w:tblPrEx>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rsidR="00715D25" w:rsidRPr="006A74F8" w:rsidRDefault="00715D25" w:rsidP="00FC32D8">
            <w:pPr>
              <w:spacing w:after="240" w:line="300" w:lineRule="auto"/>
              <w:ind w:left="113" w:right="113"/>
              <w:jc w:val="center"/>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rsidR="00715D25" w:rsidRPr="006A74F8" w:rsidRDefault="00715D25" w:rsidP="007F01B1">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1179" w:type="dxa"/>
            <w:shd w:val="clear" w:color="auto" w:fill="auto"/>
            <w:noWrap/>
            <w:hideMark/>
          </w:tcPr>
          <w:p w:rsidR="00715D25" w:rsidRPr="006A74F8" w:rsidRDefault="00715D25"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3</w:t>
            </w:r>
          </w:p>
        </w:tc>
        <w:tc>
          <w:tcPr>
            <w:tcW w:w="1135" w:type="dxa"/>
            <w:shd w:val="clear" w:color="auto" w:fill="auto"/>
            <w:noWrap/>
            <w:hideMark/>
          </w:tcPr>
          <w:p w:rsidR="00715D25" w:rsidRPr="006A74F8" w:rsidRDefault="00715D25"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6</w:t>
            </w:r>
          </w:p>
        </w:tc>
        <w:tc>
          <w:tcPr>
            <w:tcW w:w="1276" w:type="dxa"/>
            <w:shd w:val="clear" w:color="auto" w:fill="auto"/>
            <w:noWrap/>
            <w:hideMark/>
          </w:tcPr>
          <w:p w:rsidR="00715D25" w:rsidRPr="006A74F8" w:rsidRDefault="00715D25"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23</w:t>
            </w:r>
          </w:p>
        </w:tc>
        <w:tc>
          <w:tcPr>
            <w:tcW w:w="1417" w:type="dxa"/>
            <w:shd w:val="clear" w:color="auto" w:fill="auto"/>
            <w:noWrap/>
            <w:hideMark/>
          </w:tcPr>
          <w:p w:rsidR="00715D25" w:rsidRPr="006A74F8" w:rsidRDefault="00715D25"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46</w:t>
            </w:r>
          </w:p>
        </w:tc>
      </w:tr>
      <w:tr w:rsidR="00715D25" w:rsidRPr="006A74F8" w:rsidTr="007F01B1">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rsidR="00715D25" w:rsidRPr="006A74F8" w:rsidRDefault="00715D25" w:rsidP="00715D25">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rsidR="00715D25" w:rsidRPr="006A74F8"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w:t>
            </w:r>
          </w:p>
        </w:tc>
        <w:tc>
          <w:tcPr>
            <w:tcW w:w="1179" w:type="dxa"/>
            <w:shd w:val="clear" w:color="auto" w:fill="auto"/>
            <w:noWrap/>
            <w:hideMark/>
          </w:tcPr>
          <w:p w:rsidR="00715D25" w:rsidRPr="006A74F8"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$40,676</w:t>
            </w:r>
          </w:p>
        </w:tc>
        <w:tc>
          <w:tcPr>
            <w:tcW w:w="1135" w:type="dxa"/>
            <w:shd w:val="clear" w:color="auto" w:fill="auto"/>
            <w:noWrap/>
            <w:hideMark/>
          </w:tcPr>
          <w:p w:rsidR="00715D25" w:rsidRPr="006A74F8"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$315,236</w:t>
            </w:r>
          </w:p>
        </w:tc>
        <w:tc>
          <w:tcPr>
            <w:tcW w:w="1276" w:type="dxa"/>
            <w:shd w:val="clear" w:color="auto" w:fill="auto"/>
            <w:noWrap/>
            <w:hideMark/>
          </w:tcPr>
          <w:p w:rsidR="00715D25" w:rsidRPr="006A74F8"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$122,027</w:t>
            </w:r>
          </w:p>
        </w:tc>
        <w:tc>
          <w:tcPr>
            <w:tcW w:w="1417" w:type="dxa"/>
            <w:shd w:val="clear" w:color="auto" w:fill="auto"/>
            <w:noWrap/>
            <w:hideMark/>
          </w:tcPr>
          <w:p w:rsidR="00715D25" w:rsidRPr="006A74F8"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$101,689</w:t>
            </w:r>
          </w:p>
        </w:tc>
      </w:tr>
      <w:tr w:rsidR="00715D25" w:rsidRPr="006A74F8" w:rsidTr="007F01B1">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715D25" w:rsidRPr="006A74F8" w:rsidRDefault="00715D25" w:rsidP="00715D25">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715D25" w:rsidRPr="006A74F8"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2%</w:t>
            </w:r>
          </w:p>
        </w:tc>
        <w:tc>
          <w:tcPr>
            <w:tcW w:w="1179" w:type="dxa"/>
            <w:shd w:val="clear" w:color="auto" w:fill="auto"/>
            <w:noWrap/>
            <w:hideMark/>
          </w:tcPr>
          <w:p w:rsidR="00715D25" w:rsidRPr="006A74F8"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$81,351</w:t>
            </w:r>
          </w:p>
        </w:tc>
        <w:tc>
          <w:tcPr>
            <w:tcW w:w="1135" w:type="dxa"/>
            <w:shd w:val="clear" w:color="auto" w:fill="auto"/>
            <w:noWrap/>
            <w:hideMark/>
          </w:tcPr>
          <w:p w:rsidR="00715D25" w:rsidRPr="006A74F8"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$630,471</w:t>
            </w:r>
          </w:p>
        </w:tc>
        <w:tc>
          <w:tcPr>
            <w:tcW w:w="1276" w:type="dxa"/>
            <w:shd w:val="clear" w:color="auto" w:fill="auto"/>
            <w:noWrap/>
            <w:hideMark/>
          </w:tcPr>
          <w:p w:rsidR="00715D25" w:rsidRPr="006A74F8"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$244,053</w:t>
            </w:r>
          </w:p>
        </w:tc>
        <w:tc>
          <w:tcPr>
            <w:tcW w:w="1417" w:type="dxa"/>
            <w:shd w:val="clear" w:color="auto" w:fill="auto"/>
            <w:noWrap/>
            <w:hideMark/>
          </w:tcPr>
          <w:p w:rsidR="00715D25" w:rsidRPr="006A74F8"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$203,378</w:t>
            </w:r>
          </w:p>
        </w:tc>
      </w:tr>
      <w:tr w:rsidR="00715D25" w:rsidRPr="006A74F8" w:rsidTr="007F01B1">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715D25" w:rsidRPr="006A74F8" w:rsidRDefault="00715D25" w:rsidP="00715D25">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715D25" w:rsidRPr="006A74F8"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5%</w:t>
            </w:r>
          </w:p>
        </w:tc>
        <w:tc>
          <w:tcPr>
            <w:tcW w:w="1179" w:type="dxa"/>
            <w:shd w:val="clear" w:color="auto" w:fill="auto"/>
            <w:noWrap/>
            <w:hideMark/>
          </w:tcPr>
          <w:p w:rsidR="00715D25" w:rsidRPr="006A74F8"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$203,378</w:t>
            </w:r>
          </w:p>
        </w:tc>
        <w:tc>
          <w:tcPr>
            <w:tcW w:w="1135" w:type="dxa"/>
            <w:shd w:val="clear" w:color="auto" w:fill="auto"/>
            <w:noWrap/>
            <w:hideMark/>
          </w:tcPr>
          <w:p w:rsidR="00715D25" w:rsidRPr="006A74F8"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$1,576,178</w:t>
            </w:r>
          </w:p>
        </w:tc>
        <w:tc>
          <w:tcPr>
            <w:tcW w:w="1276" w:type="dxa"/>
            <w:shd w:val="clear" w:color="auto" w:fill="auto"/>
            <w:noWrap/>
            <w:hideMark/>
          </w:tcPr>
          <w:p w:rsidR="00715D25" w:rsidRPr="006A74F8"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$610,133</w:t>
            </w:r>
          </w:p>
        </w:tc>
        <w:tc>
          <w:tcPr>
            <w:tcW w:w="1417" w:type="dxa"/>
            <w:shd w:val="clear" w:color="auto" w:fill="auto"/>
            <w:noWrap/>
            <w:hideMark/>
          </w:tcPr>
          <w:p w:rsidR="00715D25" w:rsidRPr="006A74F8"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$508,444</w:t>
            </w:r>
          </w:p>
        </w:tc>
      </w:tr>
      <w:tr w:rsidR="00715D25" w:rsidRPr="006A74F8" w:rsidTr="007F01B1">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715D25" w:rsidRPr="006A74F8" w:rsidRDefault="00715D25" w:rsidP="00715D25">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715D25" w:rsidRPr="006A74F8"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10%</w:t>
            </w:r>
          </w:p>
        </w:tc>
        <w:tc>
          <w:tcPr>
            <w:tcW w:w="1179" w:type="dxa"/>
            <w:shd w:val="clear" w:color="auto" w:fill="auto"/>
            <w:noWrap/>
            <w:hideMark/>
          </w:tcPr>
          <w:p w:rsidR="00715D25" w:rsidRPr="006A74F8"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$406,756</w:t>
            </w:r>
          </w:p>
        </w:tc>
        <w:tc>
          <w:tcPr>
            <w:tcW w:w="1135" w:type="dxa"/>
            <w:shd w:val="clear" w:color="auto" w:fill="auto"/>
            <w:noWrap/>
            <w:hideMark/>
          </w:tcPr>
          <w:p w:rsidR="00715D25" w:rsidRPr="006A74F8"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$3,152,356</w:t>
            </w:r>
          </w:p>
        </w:tc>
        <w:tc>
          <w:tcPr>
            <w:tcW w:w="1276" w:type="dxa"/>
            <w:shd w:val="clear" w:color="auto" w:fill="auto"/>
            <w:noWrap/>
            <w:hideMark/>
          </w:tcPr>
          <w:p w:rsidR="00715D25" w:rsidRPr="006A74F8"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$1,220,267</w:t>
            </w:r>
          </w:p>
        </w:tc>
        <w:tc>
          <w:tcPr>
            <w:tcW w:w="1417" w:type="dxa"/>
            <w:shd w:val="clear" w:color="auto" w:fill="auto"/>
            <w:noWrap/>
            <w:hideMark/>
          </w:tcPr>
          <w:p w:rsidR="00715D25" w:rsidRPr="006A74F8"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$1,016,889</w:t>
            </w:r>
          </w:p>
        </w:tc>
      </w:tr>
    </w:tbl>
    <w:p w:rsidR="00855191" w:rsidRPr="006A74F8" w:rsidRDefault="00855191" w:rsidP="00715D25">
      <w:pPr>
        <w:sectPr w:rsidR="00855191" w:rsidRPr="006A74F8" w:rsidSect="00EC61D8">
          <w:pgSz w:w="11906" w:h="16838"/>
          <w:pgMar w:top="1440" w:right="1440" w:bottom="1440" w:left="1440" w:header="708" w:footer="708" w:gutter="0"/>
          <w:cols w:space="708"/>
          <w:docGrid w:linePitch="360"/>
        </w:sectPr>
      </w:pPr>
    </w:p>
    <w:p w:rsidR="00B33217" w:rsidRPr="006A74F8" w:rsidRDefault="0015010A" w:rsidP="00B33217">
      <w:pPr>
        <w:pStyle w:val="Caption"/>
        <w:keepNext/>
      </w:pPr>
      <w:r w:rsidRPr="006A74F8">
        <w:lastRenderedPageBreak/>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19</w:t>
      </w:r>
      <w:r w:rsidR="00D003A8" w:rsidRPr="006A74F8">
        <w:rPr>
          <w:noProof/>
        </w:rPr>
        <w:fldChar w:fldCharType="end"/>
      </w:r>
      <w:r w:rsidRPr="006A74F8">
        <w:t xml:space="preserve">: Scenario 6 - Interested Consumers = 110,000 | Time taken = </w:t>
      </w:r>
      <w:r w:rsidR="00CF17C2" w:rsidRPr="006A74F8">
        <w:t>3</w:t>
      </w:r>
      <w:r w:rsidRPr="006A74F8">
        <w:t>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19: Scenario 6 - Interested Consumers = 110,000 | Time taken = 30 Seconds"/>
        <w:tblDescription w:val="Table A10-19 is a presentation of the different options (1, 2, 3) with the assumption of 110,000 interested consumers and 30 Seconds in time taken. The vertical-axis displays a percentage production change of  1 precent, 2 percent, 5 percent and 10 percent."/>
      </w:tblPr>
      <w:tblGrid>
        <w:gridCol w:w="750"/>
        <w:gridCol w:w="617"/>
        <w:gridCol w:w="1179"/>
        <w:gridCol w:w="1135"/>
        <w:gridCol w:w="1276"/>
        <w:gridCol w:w="1417"/>
      </w:tblGrid>
      <w:tr w:rsidR="00B33217" w:rsidRPr="006A74F8"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rsidR="00B33217" w:rsidRPr="006A74F8" w:rsidRDefault="00B33217" w:rsidP="007F01B1">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rsidR="00B33217" w:rsidRPr="006A74F8" w:rsidRDefault="00B33217"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rsidR="00B33217" w:rsidRPr="006A74F8" w:rsidRDefault="00B33217"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rsidR="00B33217" w:rsidRPr="006A74F8" w:rsidRDefault="00B33217"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Options 2  and 3</w:t>
            </w:r>
          </w:p>
        </w:tc>
      </w:tr>
      <w:tr w:rsidR="00B33217" w:rsidRPr="006A74F8" w:rsidTr="007F01B1">
        <w:tblPrEx>
          <w:jc w:val="center"/>
        </w:tblPrEx>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rsidR="00B33217" w:rsidRPr="006A74F8" w:rsidRDefault="00B33217" w:rsidP="00FC32D8">
            <w:pPr>
              <w:spacing w:after="240" w:line="300" w:lineRule="auto"/>
              <w:ind w:left="113" w:right="113"/>
              <w:jc w:val="center"/>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rsidR="00B33217" w:rsidRPr="006A74F8" w:rsidRDefault="00B33217" w:rsidP="007F01B1">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1179" w:type="dxa"/>
            <w:shd w:val="clear" w:color="auto" w:fill="auto"/>
            <w:noWrap/>
            <w:hideMark/>
          </w:tcPr>
          <w:p w:rsidR="00B33217" w:rsidRPr="006A74F8" w:rsidRDefault="00B33217"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3</w:t>
            </w:r>
          </w:p>
        </w:tc>
        <w:tc>
          <w:tcPr>
            <w:tcW w:w="1135" w:type="dxa"/>
            <w:shd w:val="clear" w:color="auto" w:fill="auto"/>
            <w:noWrap/>
            <w:hideMark/>
          </w:tcPr>
          <w:p w:rsidR="00B33217" w:rsidRPr="006A74F8" w:rsidRDefault="00B33217"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6</w:t>
            </w:r>
          </w:p>
        </w:tc>
        <w:tc>
          <w:tcPr>
            <w:tcW w:w="1276" w:type="dxa"/>
            <w:shd w:val="clear" w:color="auto" w:fill="auto"/>
            <w:noWrap/>
            <w:hideMark/>
          </w:tcPr>
          <w:p w:rsidR="00B33217" w:rsidRPr="006A74F8" w:rsidRDefault="00B33217"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23</w:t>
            </w:r>
          </w:p>
        </w:tc>
        <w:tc>
          <w:tcPr>
            <w:tcW w:w="1417" w:type="dxa"/>
            <w:shd w:val="clear" w:color="auto" w:fill="auto"/>
            <w:noWrap/>
            <w:hideMark/>
          </w:tcPr>
          <w:p w:rsidR="00B33217" w:rsidRPr="006A74F8" w:rsidRDefault="00B33217"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46</w:t>
            </w:r>
          </w:p>
        </w:tc>
      </w:tr>
      <w:tr w:rsidR="00B33217" w:rsidRPr="006A74F8" w:rsidTr="007F01B1">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rsidR="00B33217" w:rsidRPr="006A74F8" w:rsidRDefault="00B33217" w:rsidP="00B33217">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rsidR="00B33217" w:rsidRPr="006A74F8"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w:t>
            </w:r>
          </w:p>
        </w:tc>
        <w:tc>
          <w:tcPr>
            <w:tcW w:w="1179" w:type="dxa"/>
            <w:shd w:val="clear" w:color="auto" w:fill="auto"/>
            <w:noWrap/>
            <w:hideMark/>
          </w:tcPr>
          <w:p w:rsidR="00B33217" w:rsidRPr="006A74F8"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$45,760</w:t>
            </w:r>
          </w:p>
        </w:tc>
        <w:tc>
          <w:tcPr>
            <w:tcW w:w="1135" w:type="dxa"/>
            <w:shd w:val="clear" w:color="auto" w:fill="auto"/>
            <w:noWrap/>
            <w:hideMark/>
          </w:tcPr>
          <w:p w:rsidR="00B33217" w:rsidRPr="006A74F8"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$91,520</w:t>
            </w:r>
          </w:p>
        </w:tc>
        <w:tc>
          <w:tcPr>
            <w:tcW w:w="1276" w:type="dxa"/>
            <w:shd w:val="clear" w:color="auto" w:fill="auto"/>
            <w:noWrap/>
            <w:hideMark/>
          </w:tcPr>
          <w:p w:rsidR="00B33217" w:rsidRPr="006A74F8"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$350,827</w:t>
            </w:r>
          </w:p>
        </w:tc>
        <w:tc>
          <w:tcPr>
            <w:tcW w:w="1417" w:type="dxa"/>
            <w:shd w:val="clear" w:color="auto" w:fill="auto"/>
            <w:noWrap/>
            <w:hideMark/>
          </w:tcPr>
          <w:p w:rsidR="00B33217" w:rsidRPr="006A74F8"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$701,653</w:t>
            </w:r>
          </w:p>
        </w:tc>
      </w:tr>
      <w:tr w:rsidR="00B33217" w:rsidRPr="006A74F8" w:rsidTr="007F01B1">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B33217" w:rsidRPr="006A74F8" w:rsidRDefault="00B33217" w:rsidP="00B332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B33217" w:rsidRPr="006A74F8"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2%</w:t>
            </w:r>
          </w:p>
        </w:tc>
        <w:tc>
          <w:tcPr>
            <w:tcW w:w="1179" w:type="dxa"/>
            <w:shd w:val="clear" w:color="auto" w:fill="auto"/>
            <w:noWrap/>
            <w:hideMark/>
          </w:tcPr>
          <w:p w:rsidR="00B33217" w:rsidRPr="006A74F8"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$91,520</w:t>
            </w:r>
          </w:p>
        </w:tc>
        <w:tc>
          <w:tcPr>
            <w:tcW w:w="1135" w:type="dxa"/>
            <w:shd w:val="clear" w:color="auto" w:fill="auto"/>
            <w:noWrap/>
            <w:hideMark/>
          </w:tcPr>
          <w:p w:rsidR="00B33217" w:rsidRPr="006A74F8"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$183,040</w:t>
            </w:r>
          </w:p>
        </w:tc>
        <w:tc>
          <w:tcPr>
            <w:tcW w:w="1276" w:type="dxa"/>
            <w:shd w:val="clear" w:color="auto" w:fill="auto"/>
            <w:noWrap/>
            <w:hideMark/>
          </w:tcPr>
          <w:p w:rsidR="00B33217" w:rsidRPr="006A74F8"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$701,653</w:t>
            </w:r>
          </w:p>
        </w:tc>
        <w:tc>
          <w:tcPr>
            <w:tcW w:w="1417" w:type="dxa"/>
            <w:shd w:val="clear" w:color="auto" w:fill="auto"/>
            <w:noWrap/>
            <w:hideMark/>
          </w:tcPr>
          <w:p w:rsidR="00B33217" w:rsidRPr="006A74F8"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$1,403,307</w:t>
            </w:r>
          </w:p>
        </w:tc>
      </w:tr>
      <w:tr w:rsidR="00B33217" w:rsidRPr="006A74F8" w:rsidTr="007F01B1">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B33217" w:rsidRPr="006A74F8" w:rsidRDefault="00B33217" w:rsidP="00B332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B33217" w:rsidRPr="006A74F8"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5%</w:t>
            </w:r>
          </w:p>
        </w:tc>
        <w:tc>
          <w:tcPr>
            <w:tcW w:w="1179" w:type="dxa"/>
            <w:shd w:val="clear" w:color="auto" w:fill="auto"/>
            <w:noWrap/>
            <w:hideMark/>
          </w:tcPr>
          <w:p w:rsidR="00B33217" w:rsidRPr="006A74F8"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$228,800</w:t>
            </w:r>
          </w:p>
        </w:tc>
        <w:tc>
          <w:tcPr>
            <w:tcW w:w="1135" w:type="dxa"/>
            <w:shd w:val="clear" w:color="auto" w:fill="auto"/>
            <w:noWrap/>
            <w:hideMark/>
          </w:tcPr>
          <w:p w:rsidR="00B33217" w:rsidRPr="006A74F8"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$457,600</w:t>
            </w:r>
          </w:p>
        </w:tc>
        <w:tc>
          <w:tcPr>
            <w:tcW w:w="1276" w:type="dxa"/>
            <w:shd w:val="clear" w:color="auto" w:fill="auto"/>
            <w:noWrap/>
            <w:hideMark/>
          </w:tcPr>
          <w:p w:rsidR="00B33217" w:rsidRPr="006A74F8"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$1,754,133</w:t>
            </w:r>
          </w:p>
        </w:tc>
        <w:tc>
          <w:tcPr>
            <w:tcW w:w="1417" w:type="dxa"/>
            <w:shd w:val="clear" w:color="auto" w:fill="auto"/>
            <w:noWrap/>
            <w:hideMark/>
          </w:tcPr>
          <w:p w:rsidR="00B33217" w:rsidRPr="006A74F8"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$3,508,267</w:t>
            </w:r>
          </w:p>
        </w:tc>
      </w:tr>
      <w:tr w:rsidR="00B33217" w:rsidRPr="006A74F8" w:rsidTr="007F01B1">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B33217" w:rsidRPr="006A74F8" w:rsidRDefault="00B33217" w:rsidP="00B332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B33217" w:rsidRPr="006A74F8"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10%</w:t>
            </w:r>
          </w:p>
        </w:tc>
        <w:tc>
          <w:tcPr>
            <w:tcW w:w="1179" w:type="dxa"/>
            <w:shd w:val="clear" w:color="auto" w:fill="auto"/>
            <w:noWrap/>
            <w:hideMark/>
          </w:tcPr>
          <w:p w:rsidR="00B33217" w:rsidRPr="006A74F8"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$457,600</w:t>
            </w:r>
          </w:p>
        </w:tc>
        <w:tc>
          <w:tcPr>
            <w:tcW w:w="1135" w:type="dxa"/>
            <w:shd w:val="clear" w:color="auto" w:fill="auto"/>
            <w:noWrap/>
            <w:hideMark/>
          </w:tcPr>
          <w:p w:rsidR="00B33217" w:rsidRPr="006A74F8"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$915,200</w:t>
            </w:r>
          </w:p>
        </w:tc>
        <w:tc>
          <w:tcPr>
            <w:tcW w:w="1276" w:type="dxa"/>
            <w:shd w:val="clear" w:color="auto" w:fill="auto"/>
            <w:noWrap/>
            <w:hideMark/>
          </w:tcPr>
          <w:p w:rsidR="00B33217" w:rsidRPr="006A74F8"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$3,508,267</w:t>
            </w:r>
          </w:p>
        </w:tc>
        <w:tc>
          <w:tcPr>
            <w:tcW w:w="1417" w:type="dxa"/>
            <w:shd w:val="clear" w:color="auto" w:fill="auto"/>
            <w:noWrap/>
            <w:hideMark/>
          </w:tcPr>
          <w:p w:rsidR="00B33217" w:rsidRPr="006A74F8"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$7,016,533</w:t>
            </w:r>
          </w:p>
        </w:tc>
      </w:tr>
    </w:tbl>
    <w:p w:rsidR="0015010A" w:rsidRPr="006A74F8" w:rsidRDefault="0015010A" w:rsidP="0015010A"/>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20</w:t>
      </w:r>
      <w:r w:rsidR="00D003A8" w:rsidRPr="006A74F8">
        <w:rPr>
          <w:noProof/>
        </w:rPr>
        <w:fldChar w:fldCharType="end"/>
      </w:r>
      <w:r w:rsidRPr="006A74F8">
        <w:t>: Scenario 7 - Interested Consumers = 140,000 | Time taken = 10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20: Scenario 7 - Interested Consumers = 140,000 | Time taken = 10 Seconds"/>
        <w:tblDescription w:val="Table A10-20 is a presentation of the different options (1, 2, 3) with the assumption of 140,000 interested consumers and 10 Seconds in time taken. The vertical-axis displays a percentage production change of  1 precent, 2 percent, 5 percent and 10 percent.&#10;"/>
      </w:tblPr>
      <w:tblGrid>
        <w:gridCol w:w="750"/>
        <w:gridCol w:w="617"/>
        <w:gridCol w:w="1179"/>
        <w:gridCol w:w="1135"/>
        <w:gridCol w:w="1276"/>
        <w:gridCol w:w="1417"/>
      </w:tblGrid>
      <w:tr w:rsidR="00007317" w:rsidRPr="006A74F8"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rsidR="00007317" w:rsidRPr="006A74F8" w:rsidRDefault="00007317" w:rsidP="00007317">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rsidR="00007317" w:rsidRPr="006A74F8"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rsidR="00007317" w:rsidRPr="006A74F8"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rsidR="00007317" w:rsidRPr="006A74F8"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Options 2  and 3</w:t>
            </w:r>
          </w:p>
        </w:tc>
      </w:tr>
      <w:tr w:rsidR="00007317" w:rsidRPr="006A74F8" w:rsidTr="00CF17C2">
        <w:tblPrEx>
          <w:jc w:val="center"/>
        </w:tblPrEx>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bottom w:val="single" w:sz="4" w:space="0" w:color="auto"/>
            </w:tcBorders>
            <w:shd w:val="clear" w:color="auto" w:fill="004059" w:themeFill="text2" w:themeFillShade="BF"/>
            <w:textDirection w:val="btLr"/>
          </w:tcPr>
          <w:p w:rsidR="00007317" w:rsidRPr="006A74F8" w:rsidRDefault="00007317" w:rsidP="00007317">
            <w:pPr>
              <w:spacing w:after="240" w:line="300" w:lineRule="auto"/>
              <w:ind w:left="113" w:right="113"/>
              <w:jc w:val="center"/>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rsidR="00007317" w:rsidRPr="006A74F8" w:rsidRDefault="00007317" w:rsidP="00CF17C2">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1179" w:type="dxa"/>
            <w:shd w:val="clear" w:color="auto" w:fill="auto"/>
            <w:noWrap/>
            <w:hideMark/>
          </w:tcPr>
          <w:p w:rsidR="00007317" w:rsidRPr="006A74F8" w:rsidRDefault="00007317" w:rsidP="00CF17C2">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3</w:t>
            </w:r>
          </w:p>
        </w:tc>
        <w:tc>
          <w:tcPr>
            <w:tcW w:w="1135" w:type="dxa"/>
            <w:shd w:val="clear" w:color="auto" w:fill="auto"/>
            <w:noWrap/>
            <w:hideMark/>
          </w:tcPr>
          <w:p w:rsidR="00007317" w:rsidRPr="006A74F8" w:rsidRDefault="00007317" w:rsidP="00CF17C2">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6</w:t>
            </w:r>
          </w:p>
        </w:tc>
        <w:tc>
          <w:tcPr>
            <w:tcW w:w="1276" w:type="dxa"/>
            <w:shd w:val="clear" w:color="auto" w:fill="auto"/>
            <w:noWrap/>
            <w:hideMark/>
          </w:tcPr>
          <w:p w:rsidR="00007317" w:rsidRPr="006A74F8" w:rsidRDefault="00007317" w:rsidP="00CF17C2">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23</w:t>
            </w:r>
          </w:p>
        </w:tc>
        <w:tc>
          <w:tcPr>
            <w:tcW w:w="1417" w:type="dxa"/>
            <w:shd w:val="clear" w:color="auto" w:fill="auto"/>
            <w:noWrap/>
            <w:hideMark/>
          </w:tcPr>
          <w:p w:rsidR="00007317" w:rsidRPr="006A74F8" w:rsidRDefault="00007317" w:rsidP="00CF17C2">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46</w:t>
            </w:r>
          </w:p>
        </w:tc>
      </w:tr>
      <w:tr w:rsidR="00007317" w:rsidRPr="006A74F8"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extDirection w:val="btLr"/>
          </w:tcPr>
          <w:p w:rsidR="00007317" w:rsidRPr="006A74F8" w:rsidRDefault="00007317" w:rsidP="00007317">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w:t>
            </w:r>
          </w:p>
        </w:tc>
        <w:tc>
          <w:tcPr>
            <w:tcW w:w="1179"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$19,413</w:t>
            </w:r>
          </w:p>
        </w:tc>
        <w:tc>
          <w:tcPr>
            <w:tcW w:w="1135"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$38,827</w:t>
            </w:r>
          </w:p>
        </w:tc>
        <w:tc>
          <w:tcPr>
            <w:tcW w:w="1276"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$148,836</w:t>
            </w:r>
          </w:p>
        </w:tc>
        <w:tc>
          <w:tcPr>
            <w:tcW w:w="1417"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$297,671</w:t>
            </w:r>
          </w:p>
        </w:tc>
      </w:tr>
      <w:tr w:rsidR="00007317" w:rsidRPr="006A74F8" w:rsidTr="009B6407">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007317" w:rsidRPr="006A74F8"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2%</w:t>
            </w:r>
          </w:p>
        </w:tc>
        <w:tc>
          <w:tcPr>
            <w:tcW w:w="1179"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$38,827</w:t>
            </w:r>
          </w:p>
        </w:tc>
        <w:tc>
          <w:tcPr>
            <w:tcW w:w="1135"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$77,653</w:t>
            </w:r>
          </w:p>
        </w:tc>
        <w:tc>
          <w:tcPr>
            <w:tcW w:w="1276"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$297,671</w:t>
            </w:r>
          </w:p>
        </w:tc>
        <w:tc>
          <w:tcPr>
            <w:tcW w:w="1417"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$595,342</w:t>
            </w:r>
          </w:p>
        </w:tc>
      </w:tr>
      <w:tr w:rsidR="00007317" w:rsidRPr="006A74F8"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007317" w:rsidRPr="006A74F8"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5%</w:t>
            </w:r>
          </w:p>
        </w:tc>
        <w:tc>
          <w:tcPr>
            <w:tcW w:w="1179"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$97,067</w:t>
            </w:r>
          </w:p>
        </w:tc>
        <w:tc>
          <w:tcPr>
            <w:tcW w:w="1135"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$194,133</w:t>
            </w:r>
          </w:p>
        </w:tc>
        <w:tc>
          <w:tcPr>
            <w:tcW w:w="1276"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$744,178</w:t>
            </w:r>
          </w:p>
        </w:tc>
        <w:tc>
          <w:tcPr>
            <w:tcW w:w="1417"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$1,488,356</w:t>
            </w:r>
          </w:p>
        </w:tc>
      </w:tr>
      <w:tr w:rsidR="00007317" w:rsidRPr="006A74F8" w:rsidTr="009B6407">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007317" w:rsidRPr="006A74F8"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10%</w:t>
            </w:r>
          </w:p>
        </w:tc>
        <w:tc>
          <w:tcPr>
            <w:tcW w:w="1179"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$194,133</w:t>
            </w:r>
          </w:p>
        </w:tc>
        <w:tc>
          <w:tcPr>
            <w:tcW w:w="1135"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$388,267</w:t>
            </w:r>
          </w:p>
        </w:tc>
        <w:tc>
          <w:tcPr>
            <w:tcW w:w="1276"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$1,488,356</w:t>
            </w:r>
          </w:p>
        </w:tc>
        <w:tc>
          <w:tcPr>
            <w:tcW w:w="1417"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$2,976,711</w:t>
            </w:r>
          </w:p>
        </w:tc>
      </w:tr>
    </w:tbl>
    <w:p w:rsidR="00007317" w:rsidRPr="006A74F8" w:rsidRDefault="00007317" w:rsidP="00007317">
      <w:pPr>
        <w:pStyle w:val="Caption"/>
        <w:rPr>
          <w:i w:val="0"/>
          <w:iCs w:val="0"/>
          <w:color w:val="auto"/>
          <w:szCs w:val="22"/>
        </w:rPr>
      </w:pPr>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21</w:t>
      </w:r>
      <w:r w:rsidR="00D003A8" w:rsidRPr="006A74F8">
        <w:rPr>
          <w:noProof/>
        </w:rPr>
        <w:fldChar w:fldCharType="end"/>
      </w:r>
      <w:r w:rsidRPr="006A74F8">
        <w:t>: Scenario 8 - Interested Consumers = 140,000 | Time taken = 20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21: Scenario 8 - Interested Consumers = 140,000 | Time taken = 20 Seconds"/>
        <w:tblDescription w:val="Table A10-21 is a presentation of the different options (1, 2, 3) with the assumption of 140,000 interested consumers and 20 Seconds in time taken. The vertical-axis displays a percentage production change of  1 precent, 2 percent, 5 percent and 10 percent.&#10;"/>
      </w:tblPr>
      <w:tblGrid>
        <w:gridCol w:w="750"/>
        <w:gridCol w:w="617"/>
        <w:gridCol w:w="1179"/>
        <w:gridCol w:w="1135"/>
        <w:gridCol w:w="1276"/>
        <w:gridCol w:w="1417"/>
      </w:tblGrid>
      <w:tr w:rsidR="00007317" w:rsidRPr="006A74F8"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rsidR="00007317" w:rsidRPr="006A74F8" w:rsidRDefault="00007317" w:rsidP="00007317">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rsidR="00007317" w:rsidRPr="006A74F8"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rsidR="00007317" w:rsidRPr="006A74F8"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rsidR="00007317" w:rsidRPr="006A74F8"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Options 2  and 3</w:t>
            </w:r>
          </w:p>
        </w:tc>
      </w:tr>
      <w:tr w:rsidR="00007317" w:rsidRPr="006A74F8" w:rsidTr="00CF17C2">
        <w:tblPrEx>
          <w:jc w:val="center"/>
        </w:tblPrEx>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rsidR="00007317" w:rsidRPr="006A74F8" w:rsidRDefault="00007317" w:rsidP="00007317">
            <w:pPr>
              <w:spacing w:after="240" w:line="300" w:lineRule="auto"/>
              <w:ind w:left="113" w:right="113"/>
              <w:jc w:val="center"/>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rsidR="00007317" w:rsidRPr="006A74F8" w:rsidRDefault="00007317" w:rsidP="00007317">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1179" w:type="dxa"/>
            <w:shd w:val="clear" w:color="auto" w:fill="auto"/>
            <w:noWrap/>
            <w:hideMark/>
          </w:tcPr>
          <w:p w:rsidR="00007317" w:rsidRPr="006A74F8"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3</w:t>
            </w:r>
          </w:p>
        </w:tc>
        <w:tc>
          <w:tcPr>
            <w:tcW w:w="1135" w:type="dxa"/>
            <w:shd w:val="clear" w:color="auto" w:fill="auto"/>
            <w:noWrap/>
            <w:hideMark/>
          </w:tcPr>
          <w:p w:rsidR="00007317" w:rsidRPr="006A74F8"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6</w:t>
            </w:r>
          </w:p>
        </w:tc>
        <w:tc>
          <w:tcPr>
            <w:tcW w:w="1276" w:type="dxa"/>
            <w:shd w:val="clear" w:color="auto" w:fill="auto"/>
            <w:noWrap/>
            <w:hideMark/>
          </w:tcPr>
          <w:p w:rsidR="00007317" w:rsidRPr="006A74F8"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23</w:t>
            </w:r>
          </w:p>
        </w:tc>
        <w:tc>
          <w:tcPr>
            <w:tcW w:w="1417" w:type="dxa"/>
            <w:shd w:val="clear" w:color="auto" w:fill="auto"/>
            <w:noWrap/>
            <w:hideMark/>
          </w:tcPr>
          <w:p w:rsidR="00007317" w:rsidRPr="006A74F8"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46</w:t>
            </w:r>
          </w:p>
        </w:tc>
      </w:tr>
      <w:tr w:rsidR="00007317" w:rsidRPr="006A74F8"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rsidR="00007317" w:rsidRPr="006A74F8" w:rsidRDefault="00007317" w:rsidP="00007317">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w:t>
            </w:r>
          </w:p>
        </w:tc>
        <w:tc>
          <w:tcPr>
            <w:tcW w:w="1179"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$38,827</w:t>
            </w:r>
          </w:p>
        </w:tc>
        <w:tc>
          <w:tcPr>
            <w:tcW w:w="1135"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$77,653</w:t>
            </w:r>
          </w:p>
        </w:tc>
        <w:tc>
          <w:tcPr>
            <w:tcW w:w="1276"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$297,671</w:t>
            </w:r>
          </w:p>
        </w:tc>
        <w:tc>
          <w:tcPr>
            <w:tcW w:w="1417"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$595,342</w:t>
            </w:r>
          </w:p>
        </w:tc>
      </w:tr>
      <w:tr w:rsidR="00007317" w:rsidRPr="006A74F8" w:rsidTr="009B6407">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007317" w:rsidRPr="006A74F8"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2%</w:t>
            </w:r>
          </w:p>
        </w:tc>
        <w:tc>
          <w:tcPr>
            <w:tcW w:w="1179"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$77,653</w:t>
            </w:r>
          </w:p>
        </w:tc>
        <w:tc>
          <w:tcPr>
            <w:tcW w:w="1135"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$155,307</w:t>
            </w:r>
          </w:p>
        </w:tc>
        <w:tc>
          <w:tcPr>
            <w:tcW w:w="1276"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$595,342</w:t>
            </w:r>
          </w:p>
        </w:tc>
        <w:tc>
          <w:tcPr>
            <w:tcW w:w="1417"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$1,190,684</w:t>
            </w:r>
          </w:p>
        </w:tc>
      </w:tr>
      <w:tr w:rsidR="00007317" w:rsidRPr="006A74F8"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rsidR="00007317" w:rsidRPr="006A74F8"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5%</w:t>
            </w:r>
          </w:p>
        </w:tc>
        <w:tc>
          <w:tcPr>
            <w:tcW w:w="1179"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$194,133</w:t>
            </w:r>
          </w:p>
        </w:tc>
        <w:tc>
          <w:tcPr>
            <w:tcW w:w="1135"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$388,267</w:t>
            </w:r>
          </w:p>
        </w:tc>
        <w:tc>
          <w:tcPr>
            <w:tcW w:w="1276"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$1,488,356</w:t>
            </w:r>
          </w:p>
        </w:tc>
        <w:tc>
          <w:tcPr>
            <w:tcW w:w="1417" w:type="dxa"/>
            <w:shd w:val="clear" w:color="auto" w:fill="auto"/>
            <w:noWrap/>
          </w:tcPr>
          <w:p w:rsidR="00007317" w:rsidRPr="006A74F8"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$2,976,711</w:t>
            </w:r>
          </w:p>
        </w:tc>
      </w:tr>
      <w:tr w:rsidR="00007317" w:rsidRPr="006A74F8" w:rsidTr="009B6407">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007317" w:rsidRPr="006A74F8"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10%</w:t>
            </w:r>
          </w:p>
        </w:tc>
        <w:tc>
          <w:tcPr>
            <w:tcW w:w="1179"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$388,267</w:t>
            </w:r>
          </w:p>
        </w:tc>
        <w:tc>
          <w:tcPr>
            <w:tcW w:w="1135"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$776,533</w:t>
            </w:r>
          </w:p>
        </w:tc>
        <w:tc>
          <w:tcPr>
            <w:tcW w:w="1276"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$2,976,711</w:t>
            </w:r>
          </w:p>
        </w:tc>
        <w:tc>
          <w:tcPr>
            <w:tcW w:w="1417" w:type="dxa"/>
            <w:shd w:val="clear" w:color="auto" w:fill="auto"/>
            <w:noWrap/>
          </w:tcPr>
          <w:p w:rsidR="00007317" w:rsidRPr="006A74F8"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hAnsiTheme="minorHAnsi" w:cstheme="minorHAnsi"/>
                <w:sz w:val="20"/>
                <w:szCs w:val="20"/>
              </w:rPr>
              <w:t>$5,953,422</w:t>
            </w:r>
          </w:p>
        </w:tc>
      </w:tr>
    </w:tbl>
    <w:p w:rsidR="00855191" w:rsidRPr="006A74F8" w:rsidRDefault="00855191" w:rsidP="00A23C84">
      <w:pPr>
        <w:pStyle w:val="Caption"/>
        <w:sectPr w:rsidR="00855191" w:rsidRPr="006A74F8" w:rsidSect="00EC61D8">
          <w:pgSz w:w="11906" w:h="16838"/>
          <w:pgMar w:top="1440" w:right="1440" w:bottom="1440" w:left="1440" w:header="708" w:footer="708" w:gutter="0"/>
          <w:cols w:space="708"/>
          <w:titlePg/>
          <w:docGrid w:linePitch="360"/>
        </w:sectPr>
      </w:pPr>
    </w:p>
    <w:p w:rsidR="0015010A" w:rsidRPr="006A74F8" w:rsidRDefault="0015010A" w:rsidP="0015010A">
      <w:pPr>
        <w:pStyle w:val="Caption"/>
        <w:keepNext/>
      </w:pPr>
      <w:r w:rsidRPr="006A74F8">
        <w:lastRenderedPageBreak/>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22</w:t>
      </w:r>
      <w:r w:rsidR="00D003A8" w:rsidRPr="006A74F8">
        <w:rPr>
          <w:noProof/>
        </w:rPr>
        <w:fldChar w:fldCharType="end"/>
      </w:r>
      <w:r w:rsidRPr="006A74F8">
        <w:t>: Scenario 9 - Interested Consumers = 140,000 | Time taken = 30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22: Scenario 9 - Interested Consumers = 140,000 | Time taken = 30 Seconds"/>
        <w:tblDescription w:val="Table A10-22 is a presentation of the different options (1, 2, 3) with the assumption of 140,000 interested consumers and 30 Seconds in time taken. The vertical-axis displays a percentage production change of  1 precent, 2 percent, 5 percent and 10 percent."/>
      </w:tblPr>
      <w:tblGrid>
        <w:gridCol w:w="750"/>
        <w:gridCol w:w="617"/>
        <w:gridCol w:w="1179"/>
        <w:gridCol w:w="1135"/>
        <w:gridCol w:w="1276"/>
        <w:gridCol w:w="1417"/>
      </w:tblGrid>
      <w:tr w:rsidR="00007317" w:rsidRPr="006A74F8"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rsidR="00007317" w:rsidRPr="006A74F8" w:rsidRDefault="00007317" w:rsidP="00007317">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rsidR="00007317" w:rsidRPr="006A74F8"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rsidR="00007317" w:rsidRPr="006A74F8"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rsidR="00007317" w:rsidRPr="006A74F8"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Options 2  and 3</w:t>
            </w:r>
          </w:p>
        </w:tc>
      </w:tr>
      <w:tr w:rsidR="00007317" w:rsidRPr="006A74F8" w:rsidTr="00CF17C2">
        <w:tblPrEx>
          <w:jc w:val="center"/>
        </w:tblPrEx>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bottom w:val="single" w:sz="4" w:space="0" w:color="auto"/>
            </w:tcBorders>
            <w:shd w:val="clear" w:color="auto" w:fill="004059" w:themeFill="text2" w:themeFillShade="BF"/>
            <w:textDirection w:val="btLr"/>
          </w:tcPr>
          <w:p w:rsidR="00007317" w:rsidRPr="006A74F8" w:rsidRDefault="00007317" w:rsidP="00007317">
            <w:pPr>
              <w:spacing w:after="240" w:line="300" w:lineRule="auto"/>
              <w:ind w:left="113" w:right="113"/>
              <w:jc w:val="center"/>
              <w:rPr>
                <w:rFonts w:asciiTheme="minorHAnsi" w:eastAsia="Times New Roman" w:hAnsiTheme="minorHAnsi" w:cstheme="minorHAnsi"/>
                <w:b/>
                <w:color w:val="auto"/>
                <w:sz w:val="20"/>
                <w:szCs w:val="20"/>
                <w:lang w:eastAsia="en-AU"/>
              </w:rPr>
            </w:pPr>
            <w:r w:rsidRPr="006A74F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rsidR="00007317" w:rsidRPr="006A74F8" w:rsidRDefault="00007317" w:rsidP="00007317">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1179" w:type="dxa"/>
            <w:shd w:val="clear" w:color="auto" w:fill="auto"/>
            <w:noWrap/>
            <w:hideMark/>
          </w:tcPr>
          <w:p w:rsidR="00007317" w:rsidRPr="006A74F8"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3</w:t>
            </w:r>
          </w:p>
        </w:tc>
        <w:tc>
          <w:tcPr>
            <w:tcW w:w="1135" w:type="dxa"/>
            <w:shd w:val="clear" w:color="auto" w:fill="auto"/>
            <w:noWrap/>
            <w:hideMark/>
          </w:tcPr>
          <w:p w:rsidR="00007317" w:rsidRPr="006A74F8"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6</w:t>
            </w:r>
          </w:p>
        </w:tc>
        <w:tc>
          <w:tcPr>
            <w:tcW w:w="1276" w:type="dxa"/>
            <w:shd w:val="clear" w:color="auto" w:fill="auto"/>
            <w:noWrap/>
            <w:hideMark/>
          </w:tcPr>
          <w:p w:rsidR="00007317" w:rsidRPr="006A74F8"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23</w:t>
            </w:r>
          </w:p>
        </w:tc>
        <w:tc>
          <w:tcPr>
            <w:tcW w:w="1417" w:type="dxa"/>
            <w:shd w:val="clear" w:color="auto" w:fill="auto"/>
            <w:noWrap/>
            <w:hideMark/>
          </w:tcPr>
          <w:p w:rsidR="00007317" w:rsidRPr="006A74F8"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A74F8">
              <w:rPr>
                <w:rFonts w:asciiTheme="minorHAnsi" w:eastAsia="Times New Roman" w:hAnsiTheme="minorHAnsi" w:cstheme="minorHAnsi"/>
                <w:b/>
                <w:sz w:val="20"/>
                <w:szCs w:val="20"/>
                <w:lang w:eastAsia="en-AU"/>
              </w:rPr>
              <w:t>46</w:t>
            </w:r>
          </w:p>
        </w:tc>
      </w:tr>
      <w:tr w:rsidR="006B0197" w:rsidRPr="006A74F8" w:rsidTr="009B6407">
        <w:tblPrEx>
          <w:jc w:val="center"/>
        </w:tblPrEx>
        <w:trPr>
          <w:cnfStyle w:val="000000010000" w:firstRow="0" w:lastRow="0" w:firstColumn="0" w:lastColumn="0" w:oddVBand="0" w:evenVBand="0" w:oddHBand="0" w:evenHBand="1"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extDirection w:val="btLr"/>
          </w:tcPr>
          <w:p w:rsidR="006B0197" w:rsidRPr="006A74F8" w:rsidRDefault="006B0197" w:rsidP="006B0197">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rsidR="006B0197" w:rsidRPr="006A74F8"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w:t>
            </w:r>
          </w:p>
        </w:tc>
        <w:tc>
          <w:tcPr>
            <w:tcW w:w="1179" w:type="dxa"/>
            <w:shd w:val="clear" w:color="auto" w:fill="auto"/>
            <w:noWrap/>
          </w:tcPr>
          <w:p w:rsidR="006B0197" w:rsidRPr="006A74F8"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$58,240</w:t>
            </w:r>
          </w:p>
        </w:tc>
        <w:tc>
          <w:tcPr>
            <w:tcW w:w="1135" w:type="dxa"/>
            <w:shd w:val="clear" w:color="auto" w:fill="auto"/>
            <w:noWrap/>
          </w:tcPr>
          <w:p w:rsidR="006B0197" w:rsidRPr="006A74F8"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$116,480</w:t>
            </w:r>
          </w:p>
        </w:tc>
        <w:tc>
          <w:tcPr>
            <w:tcW w:w="1276" w:type="dxa"/>
            <w:shd w:val="clear" w:color="auto" w:fill="auto"/>
            <w:noWrap/>
          </w:tcPr>
          <w:p w:rsidR="006B0197" w:rsidRPr="006A74F8"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$446,507</w:t>
            </w:r>
          </w:p>
        </w:tc>
        <w:tc>
          <w:tcPr>
            <w:tcW w:w="1417" w:type="dxa"/>
            <w:shd w:val="clear" w:color="auto" w:fill="auto"/>
            <w:noWrap/>
          </w:tcPr>
          <w:p w:rsidR="006B0197" w:rsidRPr="006A74F8"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$893,013</w:t>
            </w:r>
          </w:p>
        </w:tc>
      </w:tr>
      <w:tr w:rsidR="006B0197" w:rsidRPr="006A74F8" w:rsidTr="009B6407">
        <w:tblPrEx>
          <w:jc w:val="center"/>
        </w:tblPrEx>
        <w:trPr>
          <w:cnfStyle w:val="000000100000" w:firstRow="0" w:lastRow="0" w:firstColumn="0" w:lastColumn="0" w:oddVBand="0" w:evenVBand="0" w:oddHBand="1" w:evenHBand="0"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6B0197" w:rsidRPr="006A74F8" w:rsidRDefault="006B0197" w:rsidP="006B019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6B0197" w:rsidRPr="006A74F8"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2%</w:t>
            </w:r>
          </w:p>
        </w:tc>
        <w:tc>
          <w:tcPr>
            <w:tcW w:w="1179" w:type="dxa"/>
            <w:shd w:val="clear" w:color="auto" w:fill="auto"/>
            <w:noWrap/>
          </w:tcPr>
          <w:p w:rsidR="006B0197" w:rsidRPr="006A74F8"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$116,480</w:t>
            </w:r>
          </w:p>
        </w:tc>
        <w:tc>
          <w:tcPr>
            <w:tcW w:w="1135" w:type="dxa"/>
            <w:shd w:val="clear" w:color="auto" w:fill="auto"/>
            <w:noWrap/>
          </w:tcPr>
          <w:p w:rsidR="006B0197" w:rsidRPr="006A74F8"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$232,960</w:t>
            </w:r>
          </w:p>
        </w:tc>
        <w:tc>
          <w:tcPr>
            <w:tcW w:w="1276" w:type="dxa"/>
            <w:shd w:val="clear" w:color="auto" w:fill="auto"/>
            <w:noWrap/>
          </w:tcPr>
          <w:p w:rsidR="006B0197" w:rsidRPr="006A74F8"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$893,013</w:t>
            </w:r>
          </w:p>
        </w:tc>
        <w:tc>
          <w:tcPr>
            <w:tcW w:w="1417" w:type="dxa"/>
            <w:shd w:val="clear" w:color="auto" w:fill="auto"/>
            <w:noWrap/>
          </w:tcPr>
          <w:p w:rsidR="006B0197" w:rsidRPr="006A74F8"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$1,786,027</w:t>
            </w:r>
          </w:p>
        </w:tc>
      </w:tr>
      <w:tr w:rsidR="006B0197" w:rsidRPr="006A74F8" w:rsidTr="009B6407">
        <w:tblPrEx>
          <w:jc w:val="center"/>
        </w:tblPrEx>
        <w:trPr>
          <w:cnfStyle w:val="000000010000" w:firstRow="0" w:lastRow="0" w:firstColumn="0" w:lastColumn="0" w:oddVBand="0" w:evenVBand="0" w:oddHBand="0" w:evenHBand="1"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6B0197" w:rsidRPr="006A74F8" w:rsidRDefault="006B0197" w:rsidP="006B019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6B0197" w:rsidRPr="006A74F8"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5%</w:t>
            </w:r>
          </w:p>
        </w:tc>
        <w:tc>
          <w:tcPr>
            <w:tcW w:w="1179" w:type="dxa"/>
            <w:shd w:val="clear" w:color="auto" w:fill="auto"/>
            <w:noWrap/>
          </w:tcPr>
          <w:p w:rsidR="006B0197" w:rsidRPr="006A74F8"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$291,200</w:t>
            </w:r>
          </w:p>
        </w:tc>
        <w:tc>
          <w:tcPr>
            <w:tcW w:w="1135" w:type="dxa"/>
            <w:shd w:val="clear" w:color="auto" w:fill="auto"/>
            <w:noWrap/>
          </w:tcPr>
          <w:p w:rsidR="006B0197" w:rsidRPr="006A74F8"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$582,400</w:t>
            </w:r>
          </w:p>
        </w:tc>
        <w:tc>
          <w:tcPr>
            <w:tcW w:w="1276" w:type="dxa"/>
            <w:shd w:val="clear" w:color="auto" w:fill="auto"/>
            <w:noWrap/>
          </w:tcPr>
          <w:p w:rsidR="006B0197" w:rsidRPr="006A74F8"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$2,232,533</w:t>
            </w:r>
          </w:p>
        </w:tc>
        <w:tc>
          <w:tcPr>
            <w:tcW w:w="1417" w:type="dxa"/>
            <w:shd w:val="clear" w:color="auto" w:fill="auto"/>
            <w:noWrap/>
          </w:tcPr>
          <w:p w:rsidR="006B0197" w:rsidRPr="006A74F8"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$4,465,067</w:t>
            </w:r>
          </w:p>
        </w:tc>
      </w:tr>
      <w:tr w:rsidR="006B0197" w:rsidRPr="006A74F8" w:rsidTr="009B6407">
        <w:tblPrEx>
          <w:jc w:val="center"/>
        </w:tblPrEx>
        <w:trPr>
          <w:cnfStyle w:val="000000100000" w:firstRow="0" w:lastRow="0" w:firstColumn="0" w:lastColumn="0" w:oddVBand="0" w:evenVBand="0" w:oddHBand="1" w:evenHBand="0"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rsidR="006B0197" w:rsidRPr="006A74F8" w:rsidRDefault="006B0197" w:rsidP="006B019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rsidR="006B0197" w:rsidRPr="006A74F8"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A74F8">
              <w:rPr>
                <w:rFonts w:asciiTheme="minorHAnsi" w:eastAsia="Times New Roman" w:hAnsiTheme="minorHAnsi" w:cstheme="minorHAnsi"/>
                <w:color w:val="000000"/>
                <w:sz w:val="20"/>
                <w:szCs w:val="20"/>
                <w:lang w:eastAsia="en-AU"/>
              </w:rPr>
              <w:t>10%</w:t>
            </w:r>
          </w:p>
        </w:tc>
        <w:tc>
          <w:tcPr>
            <w:tcW w:w="1179" w:type="dxa"/>
            <w:shd w:val="clear" w:color="auto" w:fill="auto"/>
            <w:noWrap/>
          </w:tcPr>
          <w:p w:rsidR="006B0197" w:rsidRPr="006A74F8"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$582,400</w:t>
            </w:r>
          </w:p>
        </w:tc>
        <w:tc>
          <w:tcPr>
            <w:tcW w:w="1135" w:type="dxa"/>
            <w:shd w:val="clear" w:color="auto" w:fill="auto"/>
            <w:noWrap/>
          </w:tcPr>
          <w:p w:rsidR="006B0197" w:rsidRPr="006A74F8"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$1,164,800</w:t>
            </w:r>
          </w:p>
        </w:tc>
        <w:tc>
          <w:tcPr>
            <w:tcW w:w="1276" w:type="dxa"/>
            <w:shd w:val="clear" w:color="auto" w:fill="auto"/>
            <w:noWrap/>
          </w:tcPr>
          <w:p w:rsidR="006B0197" w:rsidRPr="006A74F8"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$4,465,067</w:t>
            </w:r>
          </w:p>
        </w:tc>
        <w:tc>
          <w:tcPr>
            <w:tcW w:w="1417" w:type="dxa"/>
            <w:shd w:val="clear" w:color="auto" w:fill="auto"/>
            <w:noWrap/>
          </w:tcPr>
          <w:p w:rsidR="006B0197" w:rsidRPr="006A74F8"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6A74F8">
              <w:rPr>
                <w:rFonts w:ascii="Calibri" w:hAnsi="Calibri" w:cs="Calibri"/>
                <w:sz w:val="20"/>
                <w:szCs w:val="20"/>
              </w:rPr>
              <w:t>$8,930,133</w:t>
            </w:r>
          </w:p>
        </w:tc>
      </w:tr>
    </w:tbl>
    <w:p w:rsidR="006B4A99" w:rsidRPr="006A74F8" w:rsidRDefault="006B4A99" w:rsidP="00DD5C68">
      <w:pPr>
        <w:rPr>
          <w:rFonts w:eastAsia="Times New Roman"/>
        </w:rPr>
      </w:pPr>
      <w:bookmarkStart w:id="2722" w:name="_Ref505937658"/>
      <w:bookmarkStart w:id="2723" w:name="_Toc518032802"/>
    </w:p>
    <w:p w:rsidR="00E52449" w:rsidRPr="006A74F8" w:rsidRDefault="00E52449" w:rsidP="00294766">
      <w:pPr>
        <w:pStyle w:val="Heading3"/>
        <w:tabs>
          <w:tab w:val="left" w:pos="993"/>
        </w:tabs>
        <w:rPr>
          <w:rFonts w:eastAsia="Times New Roman"/>
        </w:rPr>
      </w:pPr>
      <w:r w:rsidRPr="006A74F8">
        <w:rPr>
          <w:rFonts w:eastAsia="Times New Roman"/>
        </w:rPr>
        <w:t xml:space="preserve">Impact </w:t>
      </w:r>
      <w:r w:rsidR="00E67D08" w:rsidRPr="006A74F8">
        <w:rPr>
          <w:rFonts w:eastAsia="Times New Roman"/>
        </w:rPr>
        <w:t>a</w:t>
      </w:r>
      <w:r w:rsidRPr="006A74F8">
        <w:rPr>
          <w:rFonts w:eastAsia="Times New Roman"/>
        </w:rPr>
        <w:t xml:space="preserve">nalysis </w:t>
      </w:r>
      <w:r w:rsidR="00E67D08" w:rsidRPr="006A74F8">
        <w:rPr>
          <w:rFonts w:eastAsia="Times New Roman"/>
        </w:rPr>
        <w:t>a</w:t>
      </w:r>
      <w:r w:rsidRPr="006A74F8">
        <w:rPr>
          <w:rFonts w:eastAsia="Times New Roman"/>
        </w:rPr>
        <w:t xml:space="preserve">ssumptions </w:t>
      </w:r>
      <w:bookmarkEnd w:id="2722"/>
      <w:bookmarkEnd w:id="2723"/>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23</w:t>
      </w:r>
      <w:r w:rsidR="00D003A8" w:rsidRPr="006A74F8">
        <w:rPr>
          <w:noProof/>
        </w:rPr>
        <w:fldChar w:fldCharType="end"/>
      </w:r>
      <w:r w:rsidRPr="006A74F8">
        <w:t>: Consumer data/assumptions</w:t>
      </w:r>
    </w:p>
    <w:tbl>
      <w:tblPr>
        <w:tblStyle w:val="TableGrid"/>
        <w:tblW w:w="5063" w:type="pct"/>
        <w:tblLayout w:type="fixed"/>
        <w:tblLook w:val="04A0" w:firstRow="1" w:lastRow="0" w:firstColumn="1" w:lastColumn="0" w:noHBand="0" w:noVBand="1"/>
        <w:tblCaption w:val="Table 23 - Consumer Data/Assumptions"/>
        <w:tblDescription w:val="This table outlines a number of assumption items including:&#10;Number of consumers (number of household shoppers);&#10;Estimated use of measurement mark (categorised);&#10;Actual number of shoppers by category using the measurement mark;&#10;Per cent use of measurement mark each week (estimated use);&#10;Number of shoppers using measurement mark each week;&#10;Consumer hourly cost ($/hr);&#10;Consumer time to find measurement mark;&#10;Average household expenditure;&#10;Average grocery product price, per item;                                            Number of products purchased each week (by the average household);&#10;Consumer market share;&#10;Number of products affected each week;&#10;per cent of products where measurement mark may be changed; and&#10;Total Consumer Cost.&#10;&#10;"/>
      </w:tblPr>
      <w:tblGrid>
        <w:gridCol w:w="2405"/>
        <w:gridCol w:w="1842"/>
        <w:gridCol w:w="4883"/>
      </w:tblGrid>
      <w:tr w:rsidR="00E52449" w:rsidRPr="006A74F8" w:rsidTr="002265D9">
        <w:trPr>
          <w:trHeight w:val="343"/>
          <w:tblHeader/>
        </w:trPr>
        <w:tc>
          <w:tcPr>
            <w:tcW w:w="1317" w:type="pct"/>
            <w:shd w:val="clear" w:color="auto" w:fill="1F3864"/>
          </w:tcPr>
          <w:p w:rsidR="00E52449" w:rsidRPr="006A74F8" w:rsidRDefault="00E52449" w:rsidP="00AF3C29">
            <w:pPr>
              <w:tabs>
                <w:tab w:val="right" w:pos="2579"/>
              </w:tabs>
              <w:rPr>
                <w:b/>
              </w:rPr>
            </w:pPr>
            <w:r w:rsidRPr="006A74F8">
              <w:rPr>
                <w:b/>
              </w:rPr>
              <w:t>Assumption item</w:t>
            </w:r>
            <w:r w:rsidR="00AF3C29" w:rsidRPr="006A74F8">
              <w:rPr>
                <w:b/>
              </w:rPr>
              <w:tab/>
            </w:r>
          </w:p>
        </w:tc>
        <w:tc>
          <w:tcPr>
            <w:tcW w:w="1009" w:type="pct"/>
            <w:shd w:val="clear" w:color="auto" w:fill="1F3864"/>
          </w:tcPr>
          <w:p w:rsidR="00E52449" w:rsidRPr="006A74F8" w:rsidRDefault="00E52449" w:rsidP="009F0892">
            <w:pPr>
              <w:rPr>
                <w:b/>
              </w:rPr>
            </w:pPr>
            <w:r w:rsidRPr="006A74F8">
              <w:rPr>
                <w:b/>
              </w:rPr>
              <w:t>Data source used</w:t>
            </w:r>
          </w:p>
        </w:tc>
        <w:tc>
          <w:tcPr>
            <w:tcW w:w="2674" w:type="pct"/>
            <w:shd w:val="clear" w:color="auto" w:fill="1F3864"/>
          </w:tcPr>
          <w:p w:rsidR="00E52449" w:rsidRPr="006A74F8" w:rsidRDefault="00E52449" w:rsidP="009F0892">
            <w:pPr>
              <w:rPr>
                <w:b/>
              </w:rPr>
            </w:pPr>
            <w:r w:rsidRPr="006A74F8">
              <w:rPr>
                <w:b/>
              </w:rPr>
              <w:t>How assumption(s) is derived</w:t>
            </w:r>
          </w:p>
        </w:tc>
      </w:tr>
      <w:tr w:rsidR="00E52449" w:rsidRPr="006A74F8" w:rsidTr="002265D9">
        <w:tc>
          <w:tcPr>
            <w:tcW w:w="1317" w:type="pct"/>
          </w:tcPr>
          <w:p w:rsidR="00E52449" w:rsidRPr="006A74F8" w:rsidRDefault="00E52449" w:rsidP="009F0892">
            <w:r w:rsidRPr="006A74F8">
              <w:t xml:space="preserve">Number of consumers (number of household shoppers) </w:t>
            </w:r>
          </w:p>
          <w:p w:rsidR="00E52449" w:rsidRPr="006A74F8" w:rsidRDefault="00E52449" w:rsidP="009F0892"/>
        </w:tc>
        <w:tc>
          <w:tcPr>
            <w:tcW w:w="1009" w:type="pct"/>
          </w:tcPr>
          <w:p w:rsidR="00E52449" w:rsidRPr="006A74F8" w:rsidRDefault="00E52449" w:rsidP="009F0892">
            <w:r w:rsidRPr="006A74F8">
              <w:t xml:space="preserve">2020 Australian Demographic Statistics [ABS data 3236.0] </w:t>
            </w:r>
            <w:r w:rsidRPr="006A74F8">
              <w:rPr>
                <w:vertAlign w:val="superscript"/>
              </w:rPr>
              <w:footnoteReference w:id="169"/>
            </w:r>
            <w:r w:rsidRPr="006A74F8">
              <w:t xml:space="preserve"> </w:t>
            </w:r>
          </w:p>
        </w:tc>
        <w:tc>
          <w:tcPr>
            <w:tcW w:w="2674" w:type="pct"/>
          </w:tcPr>
          <w:p w:rsidR="00E52449" w:rsidRPr="006A74F8" w:rsidRDefault="00E52449" w:rsidP="009F0892">
            <w:r w:rsidRPr="006A74F8">
              <w:t>Data is a projection for Australian households in 2020. Data is based on the 2011 Census –</w:t>
            </w:r>
            <w:r w:rsidR="006E33C1">
              <w:t xml:space="preserve"> </w:t>
            </w:r>
            <w:r w:rsidRPr="006A74F8">
              <w:t xml:space="preserve">Household and Family Projections, Australia, 2011 to 2036 [ABS data 3236.0]. </w:t>
            </w:r>
          </w:p>
        </w:tc>
      </w:tr>
      <w:tr w:rsidR="00E52449" w:rsidRPr="006A74F8" w:rsidTr="002265D9">
        <w:tc>
          <w:tcPr>
            <w:tcW w:w="1317" w:type="pct"/>
          </w:tcPr>
          <w:p w:rsidR="00E52449" w:rsidRPr="006A74F8" w:rsidRDefault="00E52449" w:rsidP="009F0892">
            <w:r w:rsidRPr="006A74F8">
              <w:t>Estimated use of measurement mark (categorised)</w:t>
            </w:r>
          </w:p>
        </w:tc>
        <w:tc>
          <w:tcPr>
            <w:tcW w:w="1009" w:type="pct"/>
          </w:tcPr>
          <w:p w:rsidR="00E52449" w:rsidRPr="006A74F8" w:rsidRDefault="00E52449" w:rsidP="009F0892">
            <w:r w:rsidRPr="006A74F8">
              <w:t>ORIMA research</w:t>
            </w:r>
            <w:r w:rsidRPr="006A74F8">
              <w:rPr>
                <w:vertAlign w:val="superscript"/>
              </w:rPr>
              <w:footnoteReference w:id="170"/>
            </w:r>
            <w:r w:rsidRPr="006A74F8">
              <w:t>, UK Study</w:t>
            </w:r>
            <w:r w:rsidRPr="006A74F8">
              <w:rPr>
                <w:vertAlign w:val="superscript"/>
              </w:rPr>
              <w:footnoteReference w:id="171"/>
            </w:r>
            <w:r w:rsidRPr="006A74F8">
              <w:t xml:space="preserve"> and estimated</w:t>
            </w:r>
          </w:p>
        </w:tc>
        <w:tc>
          <w:tcPr>
            <w:tcW w:w="2674" w:type="pct"/>
          </w:tcPr>
          <w:p w:rsidR="00E52449" w:rsidRPr="006A74F8" w:rsidRDefault="00E52449" w:rsidP="009F0892">
            <w:r w:rsidRPr="006A74F8">
              <w:t xml:space="preserve">Estimated percentage breakdown categorised based on level of consumer interest [never, rarely sometimes, often] i.e. assumes 10 per cent of shoppers use the measurement mark often and roughly 30 per cent of the shopping population could be classified as not using the measurement mark. The remaining 60 per cent are divided into two groups, rarely and sometimes. </w:t>
            </w:r>
          </w:p>
        </w:tc>
      </w:tr>
      <w:tr w:rsidR="00E52449" w:rsidRPr="006A74F8" w:rsidTr="002265D9">
        <w:tc>
          <w:tcPr>
            <w:tcW w:w="1317" w:type="pct"/>
          </w:tcPr>
          <w:p w:rsidR="00E52449" w:rsidRPr="006A74F8" w:rsidRDefault="00E52449" w:rsidP="009F0892">
            <w:r w:rsidRPr="006A74F8">
              <w:t xml:space="preserve">Actual no. </w:t>
            </w:r>
            <w:r w:rsidR="006E33C1">
              <w:t xml:space="preserve">of </w:t>
            </w:r>
            <w:r w:rsidRPr="006A74F8">
              <w:t>shoppers by category using the measurement mark</w:t>
            </w:r>
          </w:p>
        </w:tc>
        <w:tc>
          <w:tcPr>
            <w:tcW w:w="1009" w:type="pct"/>
          </w:tcPr>
          <w:p w:rsidR="00E52449" w:rsidRPr="006A74F8" w:rsidRDefault="00E52449" w:rsidP="009F0892">
            <w:r w:rsidRPr="006A74F8">
              <w:t xml:space="preserve">Calculation </w:t>
            </w:r>
          </w:p>
        </w:tc>
        <w:tc>
          <w:tcPr>
            <w:tcW w:w="2674" w:type="pct"/>
          </w:tcPr>
          <w:p w:rsidR="00E52449" w:rsidRPr="006A74F8" w:rsidRDefault="00E52449" w:rsidP="009F0892">
            <w:r w:rsidRPr="006A74F8">
              <w:t>Multiplies the number of consumers by the estimated use of measure mark.</w:t>
            </w:r>
          </w:p>
        </w:tc>
      </w:tr>
      <w:tr w:rsidR="00E52449" w:rsidRPr="006A74F8" w:rsidTr="002265D9">
        <w:tc>
          <w:tcPr>
            <w:tcW w:w="1317" w:type="pct"/>
          </w:tcPr>
          <w:p w:rsidR="00E52449" w:rsidRPr="006A74F8" w:rsidRDefault="00E52449" w:rsidP="009F0892">
            <w:r w:rsidRPr="006A74F8">
              <w:t xml:space="preserve">Per cent use of measurement mark </w:t>
            </w:r>
            <w:r w:rsidRPr="006A74F8">
              <w:rPr>
                <w:u w:val="single"/>
              </w:rPr>
              <w:t>each week</w:t>
            </w:r>
            <w:r w:rsidRPr="006A74F8">
              <w:t xml:space="preserve"> (estimated use)</w:t>
            </w:r>
          </w:p>
        </w:tc>
        <w:tc>
          <w:tcPr>
            <w:tcW w:w="1009" w:type="pct"/>
          </w:tcPr>
          <w:p w:rsidR="00E52449" w:rsidRPr="006A74F8" w:rsidRDefault="00E52449" w:rsidP="009F0892">
            <w:r w:rsidRPr="006A74F8">
              <w:t>Estimated</w:t>
            </w:r>
          </w:p>
        </w:tc>
        <w:tc>
          <w:tcPr>
            <w:tcW w:w="2674" w:type="pct"/>
          </w:tcPr>
          <w:p w:rsidR="00E52449" w:rsidRPr="006A74F8" w:rsidRDefault="00E52449" w:rsidP="009F0892">
            <w:r w:rsidRPr="006A74F8">
              <w:t xml:space="preserve">The level of use of the measurement mark each week corresponding to each category was estimated at 0.5 per cent for rarely, 2 per cent for sometimes and 5 per cent for often. The percentages of use are approximately equal to a shopper using the measurement mark for </w:t>
            </w:r>
            <w:r w:rsidR="00A33C15" w:rsidRPr="006A74F8">
              <w:t>2</w:t>
            </w:r>
            <w:r w:rsidRPr="006A74F8">
              <w:t xml:space="preserve"> products a week for often households, for around one product a week for sometimes and for around one product every </w:t>
            </w:r>
            <w:r w:rsidR="00A33C15" w:rsidRPr="006A74F8">
              <w:t>4</w:t>
            </w:r>
            <w:r w:rsidRPr="006A74F8">
              <w:t xml:space="preserve"> weeks for rarely. </w:t>
            </w:r>
          </w:p>
        </w:tc>
      </w:tr>
      <w:tr w:rsidR="00E52449" w:rsidRPr="006A74F8" w:rsidTr="002265D9">
        <w:tc>
          <w:tcPr>
            <w:tcW w:w="1317" w:type="pct"/>
          </w:tcPr>
          <w:p w:rsidR="00E52449" w:rsidRPr="006A74F8" w:rsidRDefault="00E52449" w:rsidP="009F0892">
            <w:r w:rsidRPr="006A74F8">
              <w:lastRenderedPageBreak/>
              <w:t>Number of shoppers using measurement mark each week</w:t>
            </w:r>
          </w:p>
        </w:tc>
        <w:tc>
          <w:tcPr>
            <w:tcW w:w="1009" w:type="pct"/>
          </w:tcPr>
          <w:p w:rsidR="00E52449" w:rsidRPr="006A74F8" w:rsidRDefault="00E52449" w:rsidP="009F0892">
            <w:r w:rsidRPr="006A74F8">
              <w:t>Calculation</w:t>
            </w:r>
          </w:p>
        </w:tc>
        <w:tc>
          <w:tcPr>
            <w:tcW w:w="2674" w:type="pct"/>
          </w:tcPr>
          <w:p w:rsidR="00E52449" w:rsidRPr="006A74F8" w:rsidRDefault="00E52449" w:rsidP="009F0892">
            <w:r w:rsidRPr="006A74F8">
              <w:t>Multiplies the ‘actual no. of shoppers by category using the measurement mark’ (previously calculated) by the ‘per cent of use of measurement mark each week’ (estimated use)</w:t>
            </w:r>
          </w:p>
        </w:tc>
      </w:tr>
      <w:tr w:rsidR="00E52449" w:rsidRPr="006A74F8" w:rsidTr="002265D9">
        <w:trPr>
          <w:trHeight w:val="557"/>
        </w:trPr>
        <w:tc>
          <w:tcPr>
            <w:tcW w:w="1317" w:type="pct"/>
          </w:tcPr>
          <w:p w:rsidR="00E52449" w:rsidRPr="006A74F8" w:rsidRDefault="00E52449" w:rsidP="009F0892">
            <w:r w:rsidRPr="006A74F8">
              <w:t>Consumer hourly cost ($/hr)</w:t>
            </w:r>
          </w:p>
        </w:tc>
        <w:tc>
          <w:tcPr>
            <w:tcW w:w="1009" w:type="pct"/>
          </w:tcPr>
          <w:p w:rsidR="00E52449" w:rsidRPr="006A74F8" w:rsidRDefault="00E52449" w:rsidP="009F0892">
            <w:r w:rsidRPr="006A74F8">
              <w:t>Office of Best Practice Regulation</w:t>
            </w:r>
            <w:r w:rsidRPr="006A74F8">
              <w:rPr>
                <w:vertAlign w:val="superscript"/>
              </w:rPr>
              <w:footnoteReference w:id="172"/>
            </w:r>
          </w:p>
        </w:tc>
        <w:tc>
          <w:tcPr>
            <w:tcW w:w="2674" w:type="pct"/>
          </w:tcPr>
          <w:p w:rsidR="00E52449" w:rsidRPr="006A74F8" w:rsidRDefault="00E52449" w:rsidP="009F0892">
            <w:r w:rsidRPr="006A74F8">
              <w:t>This figure is $32/hr.</w:t>
            </w:r>
          </w:p>
        </w:tc>
      </w:tr>
      <w:tr w:rsidR="00E52449" w:rsidRPr="006A74F8" w:rsidTr="002265D9">
        <w:tc>
          <w:tcPr>
            <w:tcW w:w="1317" w:type="pct"/>
          </w:tcPr>
          <w:p w:rsidR="00E52449" w:rsidRPr="006A74F8" w:rsidRDefault="00E52449" w:rsidP="009F0892">
            <w:r w:rsidRPr="006A74F8">
              <w:t>Consumer time to find measurement mark</w:t>
            </w:r>
          </w:p>
        </w:tc>
        <w:tc>
          <w:tcPr>
            <w:tcW w:w="1009" w:type="pct"/>
          </w:tcPr>
          <w:p w:rsidR="00E52449" w:rsidRPr="006A74F8" w:rsidRDefault="00E52449" w:rsidP="009F0892">
            <w:r w:rsidRPr="006A74F8">
              <w:t>Estimated</w:t>
            </w:r>
          </w:p>
        </w:tc>
        <w:tc>
          <w:tcPr>
            <w:tcW w:w="2674" w:type="pct"/>
          </w:tcPr>
          <w:p w:rsidR="00E52449" w:rsidRPr="006A74F8" w:rsidRDefault="00E52449" w:rsidP="009F0892">
            <w:r w:rsidRPr="006A74F8">
              <w:t>Assumes the time to find the measurement mark is 20 seconds.</w:t>
            </w:r>
          </w:p>
        </w:tc>
      </w:tr>
      <w:tr w:rsidR="00E52449" w:rsidRPr="006A74F8" w:rsidTr="002265D9">
        <w:tc>
          <w:tcPr>
            <w:tcW w:w="1317" w:type="pct"/>
          </w:tcPr>
          <w:p w:rsidR="00E52449" w:rsidRPr="006A74F8" w:rsidRDefault="00E52449" w:rsidP="009F0892">
            <w:r w:rsidRPr="006A74F8">
              <w:t xml:space="preserve">Average household expenditure </w:t>
            </w:r>
          </w:p>
          <w:p w:rsidR="00E52449" w:rsidRPr="006A74F8" w:rsidRDefault="00E52449" w:rsidP="009F0892"/>
        </w:tc>
        <w:tc>
          <w:tcPr>
            <w:tcW w:w="1009" w:type="pct"/>
          </w:tcPr>
          <w:p w:rsidR="00E52449" w:rsidRPr="006A74F8" w:rsidRDefault="00E52449" w:rsidP="009F0892">
            <w:r w:rsidRPr="006A74F8">
              <w:t xml:space="preserve">Calculation. Calculated average weekly household expenditure using 2009-10 Household Expenditure Survey [ABS 6530.0] </w:t>
            </w:r>
            <w:r w:rsidRPr="006A74F8">
              <w:rPr>
                <w:vertAlign w:val="superscript"/>
              </w:rPr>
              <w:footnoteReference w:id="173"/>
            </w:r>
            <w:r w:rsidRPr="006A74F8">
              <w:t xml:space="preserve"> </w:t>
            </w:r>
          </w:p>
        </w:tc>
        <w:tc>
          <w:tcPr>
            <w:tcW w:w="2674" w:type="pct"/>
          </w:tcPr>
          <w:p w:rsidR="00E52449" w:rsidRPr="006A74F8" w:rsidRDefault="00E52449" w:rsidP="009F0892">
            <w:r w:rsidRPr="006A74F8">
              <w:t>Calculated average weekly household spend is $263.</w:t>
            </w:r>
          </w:p>
          <w:p w:rsidR="00E52449" w:rsidRPr="006A74F8" w:rsidRDefault="00E52449" w:rsidP="009F0892">
            <w:r w:rsidRPr="006A74F8">
              <w:t>The 2009-10 household expenditure value was adjusted to 2016/17 cost using the Reserve Bank of Australia inflation calculator.</w:t>
            </w:r>
            <w:r w:rsidRPr="006A74F8">
              <w:rPr>
                <w:vertAlign w:val="superscript"/>
              </w:rPr>
              <w:footnoteReference w:id="174"/>
            </w:r>
            <w:r w:rsidRPr="006A74F8">
              <w:t xml:space="preserve">  </w:t>
            </w:r>
          </w:p>
        </w:tc>
      </w:tr>
      <w:tr w:rsidR="00E52449" w:rsidRPr="006A74F8" w:rsidTr="002265D9">
        <w:tc>
          <w:tcPr>
            <w:tcW w:w="1317" w:type="pct"/>
          </w:tcPr>
          <w:p w:rsidR="00E52449" w:rsidRPr="006A74F8" w:rsidRDefault="00E52449" w:rsidP="009F0892">
            <w:r w:rsidRPr="006A74F8">
              <w:t>Average grocery product price, per item.</w:t>
            </w:r>
          </w:p>
        </w:tc>
        <w:tc>
          <w:tcPr>
            <w:tcW w:w="1009" w:type="pct"/>
          </w:tcPr>
          <w:p w:rsidR="00E52449" w:rsidRPr="006A74F8" w:rsidRDefault="00E52449" w:rsidP="009F0892">
            <w:r w:rsidRPr="006A74F8">
              <w:t>Sourced from 2017 CHOICE shopping basket data</w:t>
            </w:r>
            <w:r w:rsidRPr="006A74F8">
              <w:rPr>
                <w:vertAlign w:val="superscript"/>
              </w:rPr>
              <w:footnoteReference w:id="175"/>
            </w:r>
            <w:r w:rsidRPr="006A74F8">
              <w:t xml:space="preserve"> </w:t>
            </w:r>
          </w:p>
        </w:tc>
        <w:tc>
          <w:tcPr>
            <w:tcW w:w="2674" w:type="pct"/>
          </w:tcPr>
          <w:p w:rsidR="00E52449" w:rsidRPr="006A74F8" w:rsidRDefault="00E52449" w:rsidP="009F0892">
            <w:r w:rsidRPr="006A74F8">
              <w:t>Calculated average product price, each week. $170 single shop spend / 33 items in shop = $5.15 per item.</w:t>
            </w:r>
          </w:p>
        </w:tc>
      </w:tr>
      <w:tr w:rsidR="00E52449" w:rsidRPr="006A74F8" w:rsidTr="002265D9">
        <w:tc>
          <w:tcPr>
            <w:tcW w:w="1317" w:type="pct"/>
          </w:tcPr>
          <w:p w:rsidR="00E52449" w:rsidRPr="006A74F8" w:rsidRDefault="00E52449" w:rsidP="009F0892">
            <w:r w:rsidRPr="006A74F8">
              <w:t>Number of products purchased each week (by the average household).</w:t>
            </w:r>
          </w:p>
        </w:tc>
        <w:tc>
          <w:tcPr>
            <w:tcW w:w="1009" w:type="pct"/>
          </w:tcPr>
          <w:p w:rsidR="00E52449" w:rsidRPr="006A74F8" w:rsidRDefault="00E52449" w:rsidP="009F0892">
            <w:r w:rsidRPr="006A74F8">
              <w:t>Calculated by dividing average weekly household shop expenditure by average price per grocery product.</w:t>
            </w:r>
          </w:p>
        </w:tc>
        <w:tc>
          <w:tcPr>
            <w:tcW w:w="2674" w:type="pct"/>
          </w:tcPr>
          <w:p w:rsidR="00E52449" w:rsidRPr="006A74F8" w:rsidRDefault="00E52449" w:rsidP="009F0892">
            <w:r w:rsidRPr="006A74F8">
              <w:t xml:space="preserve">The number of products (51) purchased in a week is based on 2009-10 Household Expenditure Survey [ABS 6530.0] and CHOICE shopping basket data. </w:t>
            </w:r>
          </w:p>
        </w:tc>
      </w:tr>
      <w:tr w:rsidR="00E52449" w:rsidRPr="006A74F8" w:rsidTr="002265D9">
        <w:tc>
          <w:tcPr>
            <w:tcW w:w="1317" w:type="pct"/>
          </w:tcPr>
          <w:p w:rsidR="00E52449" w:rsidRPr="006A74F8" w:rsidRDefault="00E52449" w:rsidP="009F0892">
            <w:r w:rsidRPr="006A74F8">
              <w:t>Consumer market share</w:t>
            </w:r>
          </w:p>
        </w:tc>
        <w:tc>
          <w:tcPr>
            <w:tcW w:w="1009" w:type="pct"/>
          </w:tcPr>
          <w:p w:rsidR="00E52449" w:rsidRPr="006A74F8" w:rsidRDefault="00E52449" w:rsidP="009F0892">
            <w:r w:rsidRPr="006A74F8">
              <w:t>Extracted from 2009-10 Household Expenditure Survey [ABS 6530.0]: Detail Expenditure Items.</w:t>
            </w:r>
          </w:p>
        </w:tc>
        <w:tc>
          <w:tcPr>
            <w:tcW w:w="2674" w:type="pct"/>
          </w:tcPr>
          <w:p w:rsidR="00E52449" w:rsidRPr="006A74F8" w:rsidRDefault="00E52449" w:rsidP="009F0892">
            <w:r w:rsidRPr="006A74F8">
              <w:t>The categories which could represent FMCG were identified (marked with an ‘x’ in the FMCG column –</w:t>
            </w:r>
            <w:r w:rsidR="00435508" w:rsidRPr="006A74F8">
              <w:t xml:space="preserve"> </w:t>
            </w:r>
            <w:r w:rsidRPr="006A74F8">
              <w:t>please refer to</w:t>
            </w:r>
            <w:r w:rsidR="00435508" w:rsidRPr="006A74F8">
              <w:t xml:space="preserve"> </w:t>
            </w:r>
            <w:hyperlink w:anchor="_Option_differentiation_estimates" w:history="1">
              <w:r w:rsidR="00A33C15" w:rsidRPr="006A74F8">
                <w:rPr>
                  <w:rStyle w:val="Hyperlink"/>
                </w:rPr>
                <w:t>section 18.4.2</w:t>
              </w:r>
            </w:hyperlink>
            <w:r w:rsidR="00A33C15" w:rsidRPr="006A74F8">
              <w:t xml:space="preserve"> </w:t>
            </w:r>
            <w:r w:rsidR="001272F8" w:rsidRPr="006A74F8">
              <w:t>(</w:t>
            </w:r>
            <w:r w:rsidR="00A33C15" w:rsidRPr="006A74F8">
              <w:t>Option differentiation estimates</w:t>
            </w:r>
            <w:r w:rsidRPr="006A74F8">
              <w:t>). Those which would be within scope for options 2-</w:t>
            </w:r>
            <w:r w:rsidR="001272F8" w:rsidRPr="006A74F8">
              <w:t>3</w:t>
            </w:r>
            <w:r w:rsidRPr="006A74F8">
              <w:t xml:space="preserve"> are marked with an ‘x’ in the respective columns. Data has been adjusted for inflation to 2016/17. </w:t>
            </w:r>
          </w:p>
          <w:p w:rsidR="00E52449" w:rsidRPr="006A74F8" w:rsidRDefault="00E52449" w:rsidP="009F0892">
            <w:r w:rsidRPr="006A74F8">
              <w:t>The totals at the bottom of each column is the sum of the expenditures. The percentages listed in the row below the totals, is the percentage of that column total relative to the average weekly spend from the FMCG column.</w:t>
            </w:r>
          </w:p>
        </w:tc>
      </w:tr>
      <w:tr w:rsidR="00E52449" w:rsidRPr="006A74F8" w:rsidTr="002265D9">
        <w:tc>
          <w:tcPr>
            <w:tcW w:w="1317" w:type="pct"/>
          </w:tcPr>
          <w:p w:rsidR="00E52449" w:rsidRPr="006A74F8" w:rsidRDefault="00E52449" w:rsidP="009F0892">
            <w:r w:rsidRPr="006A74F8">
              <w:t xml:space="preserve">Number of products affected each week  </w:t>
            </w:r>
          </w:p>
        </w:tc>
        <w:tc>
          <w:tcPr>
            <w:tcW w:w="1009" w:type="pct"/>
          </w:tcPr>
          <w:p w:rsidR="00E52449" w:rsidRPr="006A74F8" w:rsidRDefault="00E52449" w:rsidP="009F0892">
            <w:r w:rsidRPr="006A74F8">
              <w:t xml:space="preserve">Calculation </w:t>
            </w:r>
          </w:p>
        </w:tc>
        <w:tc>
          <w:tcPr>
            <w:tcW w:w="2674" w:type="pct"/>
          </w:tcPr>
          <w:p w:rsidR="00E52449" w:rsidRPr="006A74F8" w:rsidRDefault="00E52449" w:rsidP="009F0892">
            <w:r w:rsidRPr="006A74F8">
              <w:t>Multiplies the ‘number of products purchased each week’ by the ‘consumer market share’.</w:t>
            </w:r>
          </w:p>
        </w:tc>
      </w:tr>
      <w:tr w:rsidR="00E52449" w:rsidRPr="006A74F8" w:rsidTr="002265D9">
        <w:tc>
          <w:tcPr>
            <w:tcW w:w="1317" w:type="pct"/>
          </w:tcPr>
          <w:p w:rsidR="00E52449" w:rsidRPr="006A74F8" w:rsidRDefault="00E52449" w:rsidP="009F0892">
            <w:r w:rsidRPr="006A74F8">
              <w:lastRenderedPageBreak/>
              <w:t>Per cent of products where measurement mark may be changed</w:t>
            </w:r>
          </w:p>
        </w:tc>
        <w:tc>
          <w:tcPr>
            <w:tcW w:w="1009" w:type="pct"/>
          </w:tcPr>
          <w:p w:rsidR="00E52449" w:rsidRPr="006A74F8" w:rsidRDefault="00E52449" w:rsidP="009F0892">
            <w:r w:rsidRPr="006A74F8">
              <w:t>Calculation</w:t>
            </w:r>
          </w:p>
        </w:tc>
        <w:tc>
          <w:tcPr>
            <w:tcW w:w="2674" w:type="pct"/>
          </w:tcPr>
          <w:p w:rsidR="00E52449" w:rsidRPr="006A74F8" w:rsidRDefault="00E52449" w:rsidP="009F0892">
            <w:r w:rsidRPr="006A74F8">
              <w:t xml:space="preserve">Possible percentage of the product line which may have the measurement mark changed (1 -10 per cent) </w:t>
            </w:r>
          </w:p>
        </w:tc>
      </w:tr>
      <w:tr w:rsidR="00E52449" w:rsidRPr="006A74F8" w:rsidTr="002265D9">
        <w:tc>
          <w:tcPr>
            <w:tcW w:w="1317" w:type="pct"/>
          </w:tcPr>
          <w:p w:rsidR="00E52449" w:rsidRPr="006A74F8" w:rsidRDefault="00E52449" w:rsidP="009F0892">
            <w:r w:rsidRPr="006A74F8">
              <w:t>Total Consumer Cost</w:t>
            </w:r>
          </w:p>
        </w:tc>
        <w:tc>
          <w:tcPr>
            <w:tcW w:w="1009" w:type="pct"/>
          </w:tcPr>
          <w:p w:rsidR="00E52449" w:rsidRPr="006A74F8" w:rsidRDefault="00E52449" w:rsidP="009F0892">
            <w:r w:rsidRPr="006A74F8">
              <w:t>Calculation</w:t>
            </w:r>
          </w:p>
        </w:tc>
        <w:tc>
          <w:tcPr>
            <w:tcW w:w="2674" w:type="pct"/>
          </w:tcPr>
          <w:p w:rsidR="00E52449" w:rsidRPr="006A74F8" w:rsidRDefault="00E52449" w:rsidP="009F0892">
            <w:r w:rsidRPr="006A74F8">
              <w:t>Consumer cost for each option calculated as  = number of shoppers using measurement mark each week x number of products affected each week x 52 weeks per year x 20 seconds x 1/3600 hours / second x $32 / hour x percentage of products</w:t>
            </w:r>
          </w:p>
        </w:tc>
      </w:tr>
    </w:tbl>
    <w:p w:rsidR="0015010A" w:rsidRPr="006A74F8" w:rsidRDefault="0015010A" w:rsidP="00764D2A">
      <w:pPr>
        <w:pStyle w:val="Caption"/>
        <w:keepNext/>
        <w:spacing w:before="240"/>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24</w:t>
      </w:r>
      <w:r w:rsidR="00D003A8" w:rsidRPr="006A74F8">
        <w:rPr>
          <w:noProof/>
        </w:rPr>
        <w:fldChar w:fldCharType="end"/>
      </w:r>
      <w:r w:rsidRPr="006A74F8">
        <w:t>: Industry Data/Assumptions</w:t>
      </w:r>
    </w:p>
    <w:tbl>
      <w:tblPr>
        <w:tblStyle w:val="TableGrid"/>
        <w:tblW w:w="5028" w:type="pct"/>
        <w:tblLook w:val="04A0" w:firstRow="1" w:lastRow="0" w:firstColumn="1" w:lastColumn="0" w:noHBand="0" w:noVBand="1"/>
        <w:tblCaption w:val="Table 23 - Assumption Item"/>
        <w:tblDescription w:val="This table outlines a number of assumption items including:    Cosmetic import costs and volumes from the EU; &#10;Proxy products for each cosmetic class;&#10;Relabelling cost;&#10;Cost to industry – Option 2 – exemption for cosmetics;&#10;Cost to industry – Option 3 – Principles-based approach; and&#10;Estimated costs for specific beverage classes.&#10;"/>
      </w:tblPr>
      <w:tblGrid>
        <w:gridCol w:w="2404"/>
        <w:gridCol w:w="1844"/>
        <w:gridCol w:w="4818"/>
      </w:tblGrid>
      <w:tr w:rsidR="00E52449" w:rsidRPr="006A74F8" w:rsidTr="002265D9">
        <w:trPr>
          <w:trHeight w:val="308"/>
          <w:tblHeader/>
        </w:trPr>
        <w:tc>
          <w:tcPr>
            <w:tcW w:w="1326" w:type="pct"/>
            <w:shd w:val="clear" w:color="auto" w:fill="1F3864"/>
          </w:tcPr>
          <w:p w:rsidR="00E52449" w:rsidRPr="006A74F8" w:rsidRDefault="00E52449" w:rsidP="009F0892">
            <w:pPr>
              <w:rPr>
                <w:b/>
                <w:color w:val="FFFFFF" w:themeColor="background1"/>
                <w:szCs w:val="18"/>
              </w:rPr>
            </w:pPr>
            <w:r w:rsidRPr="006A74F8">
              <w:rPr>
                <w:b/>
                <w:color w:val="FFFFFF" w:themeColor="background1"/>
              </w:rPr>
              <w:t>Assumption item</w:t>
            </w:r>
          </w:p>
        </w:tc>
        <w:tc>
          <w:tcPr>
            <w:tcW w:w="1017" w:type="pct"/>
            <w:shd w:val="clear" w:color="auto" w:fill="1F3864"/>
          </w:tcPr>
          <w:p w:rsidR="00E52449" w:rsidRPr="006A74F8" w:rsidRDefault="00E52449" w:rsidP="009F0892">
            <w:pPr>
              <w:rPr>
                <w:b/>
                <w:color w:val="FFFFFF" w:themeColor="background1"/>
                <w:szCs w:val="18"/>
              </w:rPr>
            </w:pPr>
            <w:r w:rsidRPr="006A74F8">
              <w:rPr>
                <w:b/>
                <w:color w:val="FFFFFF" w:themeColor="background1"/>
              </w:rPr>
              <w:t>Data source used</w:t>
            </w:r>
          </w:p>
        </w:tc>
        <w:tc>
          <w:tcPr>
            <w:tcW w:w="2657" w:type="pct"/>
            <w:shd w:val="clear" w:color="auto" w:fill="1F3864"/>
          </w:tcPr>
          <w:p w:rsidR="00E52449" w:rsidRPr="006A74F8" w:rsidRDefault="00E52449" w:rsidP="009F0892">
            <w:pPr>
              <w:rPr>
                <w:b/>
                <w:color w:val="FFFFFF" w:themeColor="background1"/>
                <w:szCs w:val="18"/>
              </w:rPr>
            </w:pPr>
            <w:r w:rsidRPr="006A74F8">
              <w:rPr>
                <w:b/>
                <w:color w:val="FFFFFF" w:themeColor="background1"/>
              </w:rPr>
              <w:t>How assumption(s) is derived</w:t>
            </w:r>
          </w:p>
        </w:tc>
      </w:tr>
      <w:tr w:rsidR="00E52449" w:rsidRPr="006A74F8" w:rsidTr="002265D9">
        <w:tc>
          <w:tcPr>
            <w:tcW w:w="1326" w:type="pct"/>
          </w:tcPr>
          <w:p w:rsidR="00E52449" w:rsidRPr="006A74F8" w:rsidRDefault="00E52449" w:rsidP="009F0892">
            <w:pPr>
              <w:rPr>
                <w:szCs w:val="18"/>
              </w:rPr>
            </w:pPr>
            <w:r w:rsidRPr="006A74F8">
              <w:rPr>
                <w:szCs w:val="18"/>
              </w:rPr>
              <w:t xml:space="preserve">Cosmetic import costs and volumes from the EU </w:t>
            </w:r>
          </w:p>
        </w:tc>
        <w:tc>
          <w:tcPr>
            <w:tcW w:w="1017" w:type="pct"/>
          </w:tcPr>
          <w:p w:rsidR="00E52449" w:rsidRPr="006A74F8" w:rsidRDefault="00E52449" w:rsidP="009F0892">
            <w:pPr>
              <w:rPr>
                <w:szCs w:val="18"/>
              </w:rPr>
            </w:pPr>
            <w:r w:rsidRPr="006A74F8">
              <w:rPr>
                <w:szCs w:val="18"/>
              </w:rPr>
              <w:t>Departmental Trade Information System</w:t>
            </w:r>
            <w:r w:rsidRPr="006A74F8">
              <w:rPr>
                <w:szCs w:val="18"/>
                <w:vertAlign w:val="superscript"/>
              </w:rPr>
              <w:footnoteReference w:id="176"/>
            </w:r>
            <w:r w:rsidRPr="006A74F8">
              <w:rPr>
                <w:szCs w:val="18"/>
              </w:rPr>
              <w:t xml:space="preserve"> </w:t>
            </w:r>
          </w:p>
        </w:tc>
        <w:tc>
          <w:tcPr>
            <w:tcW w:w="2657" w:type="pct"/>
          </w:tcPr>
          <w:p w:rsidR="00E52449" w:rsidRPr="006A74F8" w:rsidRDefault="00E52449" w:rsidP="009F0892">
            <w:pPr>
              <w:rPr>
                <w:szCs w:val="18"/>
              </w:rPr>
            </w:pPr>
            <w:r w:rsidRPr="006A74F8">
              <w:rPr>
                <w:szCs w:val="18"/>
              </w:rPr>
              <w:t>Data shows EU imports to Australia in 2019/20 for Harmonised System codes 33 and 34 for product value, product volume and unit.</w:t>
            </w:r>
          </w:p>
        </w:tc>
      </w:tr>
      <w:tr w:rsidR="00E52449" w:rsidRPr="006A74F8" w:rsidTr="002265D9">
        <w:tc>
          <w:tcPr>
            <w:tcW w:w="1326" w:type="pct"/>
          </w:tcPr>
          <w:p w:rsidR="00E52449" w:rsidRPr="006A74F8" w:rsidRDefault="00E52449" w:rsidP="009F0892">
            <w:pPr>
              <w:rPr>
                <w:szCs w:val="18"/>
              </w:rPr>
            </w:pPr>
            <w:r w:rsidRPr="006A74F8">
              <w:rPr>
                <w:szCs w:val="18"/>
              </w:rPr>
              <w:t>Proxy products for each cosmetic class</w:t>
            </w:r>
          </w:p>
        </w:tc>
        <w:tc>
          <w:tcPr>
            <w:tcW w:w="1017" w:type="pct"/>
          </w:tcPr>
          <w:p w:rsidR="00E52449" w:rsidRPr="006A74F8" w:rsidRDefault="00E52449" w:rsidP="009F0892">
            <w:pPr>
              <w:rPr>
                <w:szCs w:val="18"/>
              </w:rPr>
            </w:pPr>
            <w:r w:rsidRPr="006A74F8">
              <w:rPr>
                <w:szCs w:val="18"/>
              </w:rPr>
              <w:t>Estimation</w:t>
            </w:r>
          </w:p>
        </w:tc>
        <w:tc>
          <w:tcPr>
            <w:tcW w:w="2657" w:type="pct"/>
          </w:tcPr>
          <w:p w:rsidR="00E52449" w:rsidRPr="006A74F8" w:rsidRDefault="00E52449" w:rsidP="009F0892">
            <w:pPr>
              <w:rPr>
                <w:szCs w:val="18"/>
              </w:rPr>
            </w:pPr>
            <w:r w:rsidRPr="006A74F8">
              <w:rPr>
                <w:szCs w:val="18"/>
              </w:rPr>
              <w:t xml:space="preserve">For each cosmetic import class, a proxy product was selected to get an indicative cost and quantity of a type example of a unit. Using the proxy samples, estimates are made of the number of units imported, based on value and on quantity. The number of units calculated by price is generally smaller than by volume. This is attributed to proxy using a retail cost, whereas the trade date is based on wholesale cost. Additionally, the proxy product may not accurately represent the average product, and so the proxy price and volume is adjusted to ensure the unit import volume is similar for both product value and product volume. As data is not complete for the volume imported, estimates of the unit import number only use the product value data. </w:t>
            </w:r>
          </w:p>
        </w:tc>
      </w:tr>
      <w:tr w:rsidR="00E52449" w:rsidRPr="006A74F8" w:rsidTr="002265D9">
        <w:tc>
          <w:tcPr>
            <w:tcW w:w="1326" w:type="pct"/>
          </w:tcPr>
          <w:p w:rsidR="00E52449" w:rsidRPr="006A74F8" w:rsidRDefault="00E52449" w:rsidP="009F0892">
            <w:pPr>
              <w:rPr>
                <w:szCs w:val="18"/>
              </w:rPr>
            </w:pPr>
            <w:r w:rsidRPr="006A74F8">
              <w:rPr>
                <w:szCs w:val="18"/>
              </w:rPr>
              <w:t>Relabelling cost</w:t>
            </w:r>
          </w:p>
        </w:tc>
        <w:tc>
          <w:tcPr>
            <w:tcW w:w="1017" w:type="pct"/>
          </w:tcPr>
          <w:p w:rsidR="00E52449" w:rsidRPr="006A74F8" w:rsidRDefault="00E52449" w:rsidP="009F0892">
            <w:pPr>
              <w:rPr>
                <w:szCs w:val="18"/>
              </w:rPr>
            </w:pPr>
            <w:r w:rsidRPr="006A74F8">
              <w:rPr>
                <w:szCs w:val="18"/>
              </w:rPr>
              <w:t>Calculation</w:t>
            </w:r>
          </w:p>
        </w:tc>
        <w:tc>
          <w:tcPr>
            <w:tcW w:w="2657" w:type="pct"/>
          </w:tcPr>
          <w:p w:rsidR="00E52449" w:rsidRPr="006A74F8" w:rsidRDefault="00E52449" w:rsidP="009F0892">
            <w:pPr>
              <w:rPr>
                <w:szCs w:val="18"/>
              </w:rPr>
            </w:pPr>
            <w:r w:rsidRPr="006A74F8">
              <w:rPr>
                <w:szCs w:val="18"/>
              </w:rPr>
              <w:t>Units imported per year multiplied by the percentage of units relabelled multiplied by the re-labelling cost per unit. This RIS acknowledges the varying costs of relabelling estimates submitted during consultations.</w:t>
            </w:r>
          </w:p>
          <w:p w:rsidR="00E52449" w:rsidRPr="006A74F8" w:rsidRDefault="00E52449" w:rsidP="009F0892">
            <w:pPr>
              <w:rPr>
                <w:szCs w:val="18"/>
              </w:rPr>
            </w:pPr>
            <w:r w:rsidRPr="006A74F8">
              <w:rPr>
                <w:szCs w:val="18"/>
              </w:rPr>
              <w:t>For this RIS, a range of labelling costs is assumed to be between 30c and 70c per unit.</w:t>
            </w:r>
          </w:p>
        </w:tc>
      </w:tr>
      <w:tr w:rsidR="00E52449" w:rsidRPr="006A74F8" w:rsidTr="002265D9">
        <w:tc>
          <w:tcPr>
            <w:tcW w:w="1326" w:type="pct"/>
          </w:tcPr>
          <w:p w:rsidR="00E52449" w:rsidRPr="006A74F8" w:rsidRDefault="00E52449" w:rsidP="009F0892">
            <w:pPr>
              <w:rPr>
                <w:szCs w:val="18"/>
              </w:rPr>
            </w:pPr>
            <w:r w:rsidRPr="006A74F8">
              <w:rPr>
                <w:szCs w:val="18"/>
              </w:rPr>
              <w:t xml:space="preserve">Cost to industry – </w:t>
            </w:r>
            <w:r w:rsidR="009F0892" w:rsidRPr="006A74F8">
              <w:rPr>
                <w:szCs w:val="18"/>
              </w:rPr>
              <w:t>o</w:t>
            </w:r>
            <w:r w:rsidRPr="006A74F8">
              <w:rPr>
                <w:szCs w:val="18"/>
              </w:rPr>
              <w:t>ption 1</w:t>
            </w:r>
          </w:p>
          <w:p w:rsidR="00E52449" w:rsidRPr="006A74F8" w:rsidRDefault="00E52449" w:rsidP="009F0892">
            <w:pPr>
              <w:rPr>
                <w:szCs w:val="18"/>
              </w:rPr>
            </w:pPr>
            <w:r w:rsidRPr="006A74F8">
              <w:rPr>
                <w:szCs w:val="18"/>
              </w:rPr>
              <w:t>– exemption for cosmetics</w:t>
            </w:r>
          </w:p>
        </w:tc>
        <w:tc>
          <w:tcPr>
            <w:tcW w:w="1017" w:type="pct"/>
          </w:tcPr>
          <w:p w:rsidR="00E52449" w:rsidRPr="006A74F8" w:rsidRDefault="00E52449" w:rsidP="009F0892">
            <w:pPr>
              <w:rPr>
                <w:szCs w:val="18"/>
              </w:rPr>
            </w:pPr>
            <w:r w:rsidRPr="006A74F8">
              <w:rPr>
                <w:szCs w:val="18"/>
              </w:rPr>
              <w:t xml:space="preserve">Calculation </w:t>
            </w:r>
          </w:p>
        </w:tc>
        <w:tc>
          <w:tcPr>
            <w:tcW w:w="2657" w:type="pct"/>
          </w:tcPr>
          <w:p w:rsidR="00E52449" w:rsidRPr="006A74F8" w:rsidRDefault="00E52449" w:rsidP="009F0892">
            <w:pPr>
              <w:rPr>
                <w:szCs w:val="18"/>
              </w:rPr>
            </w:pPr>
            <w:r w:rsidRPr="006A74F8">
              <w:rPr>
                <w:szCs w:val="18"/>
              </w:rPr>
              <w:t xml:space="preserve">For option 1, there is no additional cost to industry from the amendments. The only effect is a possible savings to the cosmetic sector. Setting the proxy product costs as fixed, the estimate for the cost to relabel has two variables, the percentage of products needing relabelling (estimated to be between 5 per cent and 30 per cent), and the cost of relabelling (30c to 70c). In evaluating the savings from option 1 in this RIS, the assumptions of 5 per </w:t>
            </w:r>
            <w:r w:rsidRPr="006A74F8">
              <w:rPr>
                <w:szCs w:val="18"/>
              </w:rPr>
              <w:lastRenderedPageBreak/>
              <w:t xml:space="preserve">cent of products needing relabelling, and 50c per unit results in $5.7 million in savings to industry. </w:t>
            </w:r>
          </w:p>
        </w:tc>
      </w:tr>
      <w:tr w:rsidR="00E52449" w:rsidRPr="006A74F8" w:rsidTr="002265D9">
        <w:tc>
          <w:tcPr>
            <w:tcW w:w="1326" w:type="pct"/>
          </w:tcPr>
          <w:p w:rsidR="00E52449" w:rsidRPr="006A74F8" w:rsidRDefault="00E52449" w:rsidP="009F0892">
            <w:pPr>
              <w:rPr>
                <w:szCs w:val="18"/>
              </w:rPr>
            </w:pPr>
            <w:r w:rsidRPr="006A74F8">
              <w:rPr>
                <w:szCs w:val="18"/>
              </w:rPr>
              <w:lastRenderedPageBreak/>
              <w:t>Cost to industry – Options 2 / 3 – Principles-based approach</w:t>
            </w:r>
          </w:p>
        </w:tc>
        <w:tc>
          <w:tcPr>
            <w:tcW w:w="1017" w:type="pct"/>
          </w:tcPr>
          <w:p w:rsidR="00E52449" w:rsidRPr="006A74F8" w:rsidRDefault="00E52449" w:rsidP="009F0892">
            <w:pPr>
              <w:rPr>
                <w:szCs w:val="18"/>
              </w:rPr>
            </w:pPr>
            <w:r w:rsidRPr="006A74F8">
              <w:rPr>
                <w:szCs w:val="18"/>
              </w:rPr>
              <w:t>Calculation</w:t>
            </w:r>
          </w:p>
        </w:tc>
        <w:tc>
          <w:tcPr>
            <w:tcW w:w="2657" w:type="pct"/>
          </w:tcPr>
          <w:p w:rsidR="00E52449" w:rsidRPr="006A74F8" w:rsidRDefault="00E52449" w:rsidP="009F0892">
            <w:pPr>
              <w:rPr>
                <w:szCs w:val="18"/>
              </w:rPr>
            </w:pPr>
            <w:r w:rsidRPr="006A74F8">
              <w:rPr>
                <w:szCs w:val="18"/>
              </w:rPr>
              <w:t xml:space="preserve">For </w:t>
            </w:r>
            <w:r w:rsidR="009F0892" w:rsidRPr="006A74F8">
              <w:rPr>
                <w:szCs w:val="18"/>
              </w:rPr>
              <w:t>o</w:t>
            </w:r>
            <w:r w:rsidRPr="006A74F8">
              <w:rPr>
                <w:szCs w:val="18"/>
              </w:rPr>
              <w:t xml:space="preserve">ptions 2 / 3, there is no cost to industry for the amendments. The only change is likely savings to the sectors currently required to relabel their products. </w:t>
            </w:r>
          </w:p>
          <w:p w:rsidR="00E52449" w:rsidRPr="006A74F8" w:rsidRDefault="00E52449" w:rsidP="009F0892">
            <w:pPr>
              <w:rPr>
                <w:szCs w:val="18"/>
              </w:rPr>
            </w:pPr>
            <w:r w:rsidRPr="006A74F8">
              <w:rPr>
                <w:szCs w:val="18"/>
              </w:rPr>
              <w:t xml:space="preserve">The alcoholic beverage sector notes a need to relabel some products. For example many product lines are imported with Australian specific labels or are re-stickered with Australian specific back labels covering the mandatory inclusions. This RIS assumes imported EU beverage products needing relabelling across the sector is between 0.1 per cent and 1 per cent. </w:t>
            </w:r>
          </w:p>
          <w:p w:rsidR="00E52449" w:rsidRPr="006A74F8" w:rsidRDefault="00E52449" w:rsidP="009F0892">
            <w:pPr>
              <w:rPr>
                <w:szCs w:val="18"/>
              </w:rPr>
            </w:pPr>
            <w:r w:rsidRPr="006A74F8">
              <w:rPr>
                <w:szCs w:val="18"/>
              </w:rPr>
              <w:t xml:space="preserve">A savings for imported foods which in some instances require relabelling is also included in options 2 / 3. </w:t>
            </w:r>
            <w:r w:rsidR="002E54F7">
              <w:rPr>
                <w:szCs w:val="18"/>
              </w:rPr>
              <w:t>I</w:t>
            </w:r>
            <w:r w:rsidRPr="006A74F8">
              <w:rPr>
                <w:szCs w:val="18"/>
              </w:rPr>
              <w:t>mported food figures is derived from imported food stock keeping units (SKUs) and therefore the levels of savings to imported foods is likely to be more than estimated as each SKU could contain thousands/millions of individual items.</w:t>
            </w:r>
          </w:p>
          <w:p w:rsidR="00E52449" w:rsidRPr="006A74F8" w:rsidRDefault="00E52449" w:rsidP="009F0892">
            <w:pPr>
              <w:rPr>
                <w:szCs w:val="18"/>
              </w:rPr>
            </w:pPr>
            <w:r w:rsidRPr="006A74F8">
              <w:rPr>
                <w:szCs w:val="18"/>
              </w:rPr>
              <w:t xml:space="preserve">Total savings to industry for options 2 </w:t>
            </w:r>
            <w:r w:rsidR="00954FB2" w:rsidRPr="006A74F8">
              <w:rPr>
                <w:szCs w:val="18"/>
              </w:rPr>
              <w:t>and</w:t>
            </w:r>
            <w:r w:rsidRPr="006A74F8">
              <w:rPr>
                <w:szCs w:val="18"/>
              </w:rPr>
              <w:t xml:space="preserve"> 3 is $6.4 million. </w:t>
            </w:r>
          </w:p>
        </w:tc>
      </w:tr>
      <w:tr w:rsidR="00E52449" w:rsidRPr="006A74F8" w:rsidTr="002265D9">
        <w:tc>
          <w:tcPr>
            <w:tcW w:w="1326" w:type="pct"/>
          </w:tcPr>
          <w:p w:rsidR="00E52449" w:rsidRPr="006A74F8" w:rsidRDefault="00E52449" w:rsidP="009F0892">
            <w:pPr>
              <w:rPr>
                <w:szCs w:val="18"/>
              </w:rPr>
            </w:pPr>
            <w:r w:rsidRPr="006A74F8">
              <w:rPr>
                <w:szCs w:val="18"/>
              </w:rPr>
              <w:t>Estimated costs for specific beverage classes</w:t>
            </w:r>
          </w:p>
        </w:tc>
        <w:tc>
          <w:tcPr>
            <w:tcW w:w="1017" w:type="pct"/>
          </w:tcPr>
          <w:p w:rsidR="00E52449" w:rsidRPr="006A74F8" w:rsidRDefault="00E52449" w:rsidP="009F0892">
            <w:pPr>
              <w:rPr>
                <w:szCs w:val="18"/>
              </w:rPr>
            </w:pPr>
            <w:r w:rsidRPr="006A74F8">
              <w:rPr>
                <w:szCs w:val="18"/>
              </w:rPr>
              <w:t xml:space="preserve">Estimation </w:t>
            </w:r>
          </w:p>
        </w:tc>
        <w:tc>
          <w:tcPr>
            <w:tcW w:w="2657" w:type="pct"/>
          </w:tcPr>
          <w:p w:rsidR="00E52449" w:rsidRPr="006A74F8" w:rsidRDefault="00E52449" w:rsidP="009F0892">
            <w:pPr>
              <w:rPr>
                <w:szCs w:val="18"/>
              </w:rPr>
            </w:pPr>
            <w:r w:rsidRPr="006A74F8">
              <w:rPr>
                <w:szCs w:val="18"/>
              </w:rPr>
              <w:t xml:space="preserve">Estimated costs for relabelling of beverage products imported from the EU calculated from proxy cost, assumes 4 per cent of units from HS2204 and 12 per cent of units from HS2208 are relabelled at a cost of $0.5/unit. Additionally, it is assumed that only 20 per cent of sector will be impacted by relabelling. </w:t>
            </w:r>
          </w:p>
        </w:tc>
      </w:tr>
      <w:tr w:rsidR="00E52449" w:rsidRPr="006A74F8" w:rsidTr="002265D9">
        <w:tc>
          <w:tcPr>
            <w:tcW w:w="1326" w:type="pct"/>
          </w:tcPr>
          <w:p w:rsidR="00E52449" w:rsidRPr="006A74F8" w:rsidRDefault="00E52449" w:rsidP="009F0892">
            <w:pPr>
              <w:rPr>
                <w:szCs w:val="18"/>
              </w:rPr>
            </w:pPr>
            <w:r w:rsidRPr="006A74F8">
              <w:rPr>
                <w:szCs w:val="18"/>
              </w:rPr>
              <w:t>Estimated cost for packaged food and non-alcoholic beverages</w:t>
            </w:r>
          </w:p>
        </w:tc>
        <w:tc>
          <w:tcPr>
            <w:tcW w:w="1017" w:type="pct"/>
          </w:tcPr>
          <w:p w:rsidR="00E52449" w:rsidRPr="006A74F8" w:rsidRDefault="00E52449" w:rsidP="009F0892">
            <w:pPr>
              <w:rPr>
                <w:szCs w:val="18"/>
              </w:rPr>
            </w:pPr>
            <w:r w:rsidRPr="006A74F8">
              <w:rPr>
                <w:szCs w:val="18"/>
              </w:rPr>
              <w:t>Estimation</w:t>
            </w:r>
          </w:p>
        </w:tc>
        <w:tc>
          <w:tcPr>
            <w:tcW w:w="2657" w:type="pct"/>
          </w:tcPr>
          <w:p w:rsidR="00E52449" w:rsidRPr="006A74F8" w:rsidRDefault="00E52449" w:rsidP="009F0892">
            <w:r w:rsidRPr="006A74F8">
              <w:t>Estimated costs for relabelling of imported food and non-alcoholic beverage products is from data collected from the CoOL consultations.</w:t>
            </w:r>
            <w:r w:rsidRPr="006A74F8">
              <w:rPr>
                <w:vertAlign w:val="superscript"/>
              </w:rPr>
              <w:footnoteReference w:id="177"/>
            </w:r>
            <w:r w:rsidRPr="006A74F8">
              <w:t xml:space="preserve"> It was estimated that there are 3,152 SKUs in Australia of imported food products (packaged and unpackaged). Importer stickering costs are estimated to be 20 per cent of the cost of the text only labelling changes for domestic products ($2</w:t>
            </w:r>
            <w:r w:rsidR="0071760B">
              <w:t>,</w:t>
            </w:r>
            <w:r w:rsidRPr="006A74F8">
              <w:t>515), that is $503.</w:t>
            </w:r>
          </w:p>
        </w:tc>
      </w:tr>
    </w:tbl>
    <w:p w:rsidR="00AF3C29" w:rsidRPr="006A74F8" w:rsidRDefault="00AF3C29" w:rsidP="00AF3C29">
      <w:pPr>
        <w:sectPr w:rsidR="00AF3C29" w:rsidRPr="006A74F8" w:rsidSect="00EC61D8">
          <w:pgSz w:w="11906" w:h="16838"/>
          <w:pgMar w:top="1440" w:right="1440" w:bottom="1440" w:left="1440" w:header="708" w:footer="708" w:gutter="0"/>
          <w:cols w:space="708"/>
          <w:docGrid w:linePitch="360"/>
        </w:sectPr>
      </w:pPr>
      <w:bookmarkStart w:id="2724" w:name="_Toc479769518"/>
      <w:bookmarkStart w:id="2725" w:name="_Toc493510784"/>
      <w:bookmarkStart w:id="2726" w:name="_Toc500929402"/>
      <w:bookmarkStart w:id="2727" w:name="_Toc501463862"/>
      <w:bookmarkStart w:id="2728" w:name="_Toc503535577"/>
      <w:bookmarkStart w:id="2729" w:name="_Toc503539754"/>
      <w:bookmarkStart w:id="2730" w:name="_Toc503882288"/>
      <w:bookmarkStart w:id="2731" w:name="_Toc518032804"/>
      <w:bookmarkStart w:id="2732" w:name="_Ref67653647"/>
      <w:bookmarkStart w:id="2733" w:name="_Ref67653662"/>
    </w:p>
    <w:p w:rsidR="00E52449" w:rsidRPr="006A74F8" w:rsidRDefault="00E52449" w:rsidP="00294766">
      <w:pPr>
        <w:pStyle w:val="Heading3"/>
        <w:tabs>
          <w:tab w:val="left" w:pos="993"/>
        </w:tabs>
        <w:rPr>
          <w:rFonts w:eastAsia="Times New Roman"/>
        </w:rPr>
      </w:pPr>
      <w:bookmarkStart w:id="2734" w:name="_Cosmetics_import_costs"/>
      <w:bookmarkStart w:id="2735" w:name="_Ref68087813"/>
      <w:bookmarkEnd w:id="2734"/>
      <w:r w:rsidRPr="006A74F8">
        <w:rPr>
          <w:rFonts w:eastAsia="Times New Roman"/>
        </w:rPr>
        <w:lastRenderedPageBreak/>
        <w:t>Cosmetics import costs and volumes from the EU</w:t>
      </w:r>
      <w:bookmarkEnd w:id="2724"/>
      <w:bookmarkEnd w:id="2725"/>
      <w:bookmarkEnd w:id="2726"/>
      <w:bookmarkEnd w:id="2727"/>
      <w:bookmarkEnd w:id="2728"/>
      <w:bookmarkEnd w:id="2729"/>
      <w:bookmarkEnd w:id="2730"/>
      <w:bookmarkEnd w:id="2731"/>
      <w:bookmarkEnd w:id="2732"/>
      <w:bookmarkEnd w:id="2733"/>
      <w:bookmarkEnd w:id="2735"/>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25</w:t>
      </w:r>
      <w:r w:rsidR="00D003A8" w:rsidRPr="006A74F8">
        <w:rPr>
          <w:noProof/>
        </w:rPr>
        <w:fldChar w:fldCharType="end"/>
      </w:r>
      <w:r w:rsidRPr="006A74F8">
        <w:t xml:space="preserve">: EU </w:t>
      </w:r>
      <w:r w:rsidR="00464036" w:rsidRPr="006A74F8">
        <w:t xml:space="preserve">(and the UK) </w:t>
      </w:r>
      <w:r w:rsidRPr="006A74F8">
        <w:t>imports to Australia in 2019/20 HS Code 33 and 2712</w:t>
      </w:r>
    </w:p>
    <w:tbl>
      <w:tblPr>
        <w:tblW w:w="5000" w:type="pct"/>
        <w:tblLayout w:type="fixed"/>
        <w:tblLook w:val="04A0" w:firstRow="1" w:lastRow="0" w:firstColumn="1" w:lastColumn="0" w:noHBand="0" w:noVBand="1"/>
        <w:tblCaption w:val="Table 24 - Cosmetics import costs and volumes from the EU"/>
        <w:tblDescription w:val="This table outlines the product value and product volume of a number of cosmetic import goods."/>
      </w:tblPr>
      <w:tblGrid>
        <w:gridCol w:w="850"/>
        <w:gridCol w:w="3423"/>
        <w:gridCol w:w="1637"/>
        <w:gridCol w:w="1663"/>
        <w:gridCol w:w="1453"/>
      </w:tblGrid>
      <w:tr w:rsidR="00E52449" w:rsidRPr="006A74F8" w:rsidTr="00AF3C29">
        <w:trPr>
          <w:tblHeader/>
        </w:trPr>
        <w:tc>
          <w:tcPr>
            <w:tcW w:w="850" w:type="dxa"/>
            <w:tcBorders>
              <w:top w:val="nil"/>
              <w:left w:val="nil"/>
              <w:bottom w:val="nil"/>
              <w:right w:val="nil"/>
            </w:tcBorders>
            <w:shd w:val="clear" w:color="auto" w:fill="1F3864"/>
            <w:noWrap/>
            <w:vAlign w:val="center"/>
          </w:tcPr>
          <w:p w:rsidR="00E52449" w:rsidRPr="006A74F8" w:rsidRDefault="00E52449" w:rsidP="00E31390">
            <w:pPr>
              <w:spacing w:after="0"/>
              <w:rPr>
                <w:b/>
                <w:sz w:val="20"/>
                <w:lang w:eastAsia="en-AU"/>
              </w:rPr>
            </w:pPr>
            <w:r w:rsidRPr="006A74F8">
              <w:rPr>
                <w:b/>
                <w:sz w:val="20"/>
                <w:lang w:eastAsia="en-AU"/>
              </w:rPr>
              <w:t>HS Code</w:t>
            </w:r>
          </w:p>
        </w:tc>
        <w:tc>
          <w:tcPr>
            <w:tcW w:w="3423" w:type="dxa"/>
            <w:tcBorders>
              <w:top w:val="nil"/>
              <w:left w:val="nil"/>
              <w:bottom w:val="nil"/>
              <w:right w:val="nil"/>
            </w:tcBorders>
            <w:shd w:val="clear" w:color="auto" w:fill="1F3864"/>
            <w:vAlign w:val="center"/>
          </w:tcPr>
          <w:p w:rsidR="00E52449" w:rsidRPr="006A74F8" w:rsidRDefault="00E52449" w:rsidP="00E31390">
            <w:pPr>
              <w:spacing w:after="0"/>
              <w:rPr>
                <w:b/>
                <w:sz w:val="20"/>
                <w:lang w:eastAsia="en-AU"/>
              </w:rPr>
            </w:pPr>
            <w:r w:rsidRPr="006A74F8">
              <w:rPr>
                <w:b/>
                <w:sz w:val="20"/>
                <w:lang w:eastAsia="en-AU"/>
              </w:rPr>
              <w:t>Description</w:t>
            </w:r>
          </w:p>
        </w:tc>
        <w:tc>
          <w:tcPr>
            <w:tcW w:w="1637" w:type="dxa"/>
            <w:tcBorders>
              <w:top w:val="single" w:sz="4" w:space="0" w:color="DDEBF7"/>
              <w:left w:val="nil"/>
              <w:bottom w:val="single" w:sz="4" w:space="0" w:color="DDEBF7"/>
              <w:right w:val="nil"/>
            </w:tcBorders>
            <w:shd w:val="clear" w:color="auto" w:fill="1F3864"/>
            <w:noWrap/>
            <w:vAlign w:val="center"/>
          </w:tcPr>
          <w:p w:rsidR="00E52449" w:rsidRPr="006A74F8" w:rsidRDefault="00E52449" w:rsidP="00E31390">
            <w:pPr>
              <w:spacing w:after="0"/>
              <w:rPr>
                <w:b/>
                <w:sz w:val="20"/>
                <w:lang w:eastAsia="en-AU"/>
              </w:rPr>
            </w:pPr>
            <w:r w:rsidRPr="006A74F8">
              <w:rPr>
                <w:b/>
                <w:sz w:val="20"/>
                <w:lang w:eastAsia="en-AU"/>
              </w:rPr>
              <w:t>Product Value $</w:t>
            </w:r>
          </w:p>
        </w:tc>
        <w:tc>
          <w:tcPr>
            <w:tcW w:w="1663" w:type="dxa"/>
            <w:tcBorders>
              <w:top w:val="single" w:sz="4" w:space="0" w:color="DDEBF7"/>
              <w:left w:val="nil"/>
              <w:bottom w:val="single" w:sz="4" w:space="0" w:color="DDEBF7"/>
              <w:right w:val="nil"/>
            </w:tcBorders>
            <w:shd w:val="clear" w:color="auto" w:fill="1F3864"/>
            <w:noWrap/>
            <w:vAlign w:val="center"/>
          </w:tcPr>
          <w:p w:rsidR="00E52449" w:rsidRPr="006A74F8" w:rsidRDefault="00E52449" w:rsidP="00E31390">
            <w:pPr>
              <w:spacing w:after="0"/>
              <w:rPr>
                <w:b/>
                <w:sz w:val="20"/>
                <w:lang w:eastAsia="en-AU"/>
              </w:rPr>
            </w:pPr>
            <w:r w:rsidRPr="006A74F8">
              <w:rPr>
                <w:b/>
                <w:sz w:val="20"/>
                <w:lang w:eastAsia="en-AU"/>
              </w:rPr>
              <w:t>Product Volume</w:t>
            </w:r>
          </w:p>
        </w:tc>
        <w:tc>
          <w:tcPr>
            <w:tcW w:w="1453" w:type="dxa"/>
            <w:tcBorders>
              <w:top w:val="nil"/>
              <w:left w:val="nil"/>
              <w:bottom w:val="nil"/>
              <w:right w:val="nil"/>
            </w:tcBorders>
            <w:shd w:val="clear" w:color="auto" w:fill="1F3864"/>
            <w:noWrap/>
            <w:vAlign w:val="center"/>
          </w:tcPr>
          <w:p w:rsidR="00E52449" w:rsidRPr="006A74F8" w:rsidRDefault="00E52449" w:rsidP="00E31390">
            <w:pPr>
              <w:spacing w:after="0"/>
              <w:rPr>
                <w:b/>
                <w:sz w:val="20"/>
                <w:lang w:eastAsia="en-AU"/>
              </w:rPr>
            </w:pPr>
            <w:r w:rsidRPr="006A74F8">
              <w:rPr>
                <w:b/>
                <w:sz w:val="20"/>
                <w:lang w:eastAsia="en-AU"/>
              </w:rPr>
              <w:t>Unit</w:t>
            </w:r>
          </w:p>
        </w:tc>
      </w:tr>
      <w:tr w:rsidR="00E52449" w:rsidRPr="006A74F8" w:rsidTr="00AF3C29">
        <w:trPr>
          <w:tblHeader/>
        </w:trPr>
        <w:tc>
          <w:tcPr>
            <w:tcW w:w="9026" w:type="dxa"/>
            <w:gridSpan w:val="5"/>
            <w:tcBorders>
              <w:top w:val="nil"/>
              <w:left w:val="nil"/>
            </w:tcBorders>
            <w:shd w:val="clear" w:color="auto" w:fill="B0E9FF"/>
          </w:tcPr>
          <w:p w:rsidR="00E52449" w:rsidRPr="006A74F8" w:rsidRDefault="00E52449" w:rsidP="00E31390">
            <w:pPr>
              <w:spacing w:after="0"/>
              <w:rPr>
                <w:sz w:val="20"/>
                <w:lang w:eastAsia="en-AU"/>
              </w:rPr>
            </w:pPr>
            <w:r w:rsidRPr="006A74F8">
              <w:rPr>
                <w:rFonts w:eastAsia="Calibri"/>
                <w:sz w:val="20"/>
              </w:rPr>
              <w:t>33 ESSENTIAL OILS AND RESINOIDS; PERFUMERY, COSMETIC OR TOILET PREPARATIONS</w:t>
            </w:r>
          </w:p>
        </w:tc>
      </w:tr>
      <w:tr w:rsidR="00E52449" w:rsidRPr="006A74F8" w:rsidTr="00AF3C29">
        <w:trPr>
          <w:tblHeader/>
        </w:trPr>
        <w:tc>
          <w:tcPr>
            <w:tcW w:w="850" w:type="dxa"/>
            <w:tcBorders>
              <w:top w:val="nil"/>
              <w:left w:val="nil"/>
              <w:bottom w:val="single" w:sz="4" w:space="0" w:color="DDDDDE"/>
              <w:right w:val="nil"/>
            </w:tcBorders>
            <w:shd w:val="clear" w:color="auto" w:fill="auto"/>
            <w:vAlign w:val="center"/>
          </w:tcPr>
          <w:p w:rsidR="00E52449" w:rsidRPr="006A74F8" w:rsidRDefault="00E52449" w:rsidP="00E31390">
            <w:pPr>
              <w:spacing w:after="0"/>
              <w:rPr>
                <w:sz w:val="20"/>
                <w:lang w:eastAsia="en-AU"/>
              </w:rPr>
            </w:pPr>
            <w:r w:rsidRPr="006A74F8">
              <w:rPr>
                <w:sz w:val="20"/>
                <w:lang w:eastAsia="en-AU"/>
              </w:rPr>
              <w:t>2712</w:t>
            </w:r>
          </w:p>
        </w:tc>
        <w:tc>
          <w:tcPr>
            <w:tcW w:w="3423" w:type="dxa"/>
            <w:tcBorders>
              <w:top w:val="nil"/>
              <w:left w:val="nil"/>
              <w:bottom w:val="single" w:sz="4" w:space="0" w:color="DDDDDE"/>
              <w:right w:val="nil"/>
            </w:tcBorders>
            <w:shd w:val="clear" w:color="auto" w:fill="auto"/>
            <w:vAlign w:val="center"/>
          </w:tcPr>
          <w:p w:rsidR="00E52449" w:rsidRPr="006A74F8" w:rsidRDefault="00E52449" w:rsidP="00E31390">
            <w:pPr>
              <w:spacing w:after="0"/>
              <w:rPr>
                <w:sz w:val="20"/>
                <w:lang w:eastAsia="en-AU"/>
              </w:rPr>
            </w:pPr>
            <w:r w:rsidRPr="006A74F8">
              <w:rPr>
                <w:sz w:val="20"/>
                <w:lang w:eastAsia="en-AU"/>
              </w:rPr>
              <w:t>Petroleum jelly; paraffin wax, micro-crystalline petroleum wax, slack wax, ozokerite, lignite wax, peat wax, other mineral waxes, similar products obtained by synthesis, other processes; coloured or not</w:t>
            </w:r>
          </w:p>
        </w:tc>
        <w:tc>
          <w:tcPr>
            <w:tcW w:w="1637" w:type="dxa"/>
            <w:tcBorders>
              <w:left w:val="nil"/>
              <w:bottom w:val="single" w:sz="4" w:space="0" w:color="DDDDDE"/>
              <w:right w:val="nil"/>
            </w:tcBorders>
            <w:shd w:val="clear" w:color="auto" w:fill="auto"/>
            <w:noWrap/>
            <w:vAlign w:val="center"/>
          </w:tcPr>
          <w:p w:rsidR="00E52449" w:rsidRPr="006A74F8" w:rsidRDefault="00E52449" w:rsidP="00E31390">
            <w:pPr>
              <w:spacing w:after="0"/>
              <w:rPr>
                <w:rFonts w:eastAsia="Calibri" w:cs="Times New Roman"/>
                <w:sz w:val="20"/>
              </w:rPr>
            </w:pPr>
            <w:r w:rsidRPr="006A74F8">
              <w:rPr>
                <w:rFonts w:eastAsia="Calibri"/>
                <w:sz w:val="20"/>
              </w:rPr>
              <w:t>$2,407,255</w:t>
            </w:r>
          </w:p>
        </w:tc>
        <w:tc>
          <w:tcPr>
            <w:tcW w:w="1663" w:type="dxa"/>
            <w:tcBorders>
              <w:left w:val="nil"/>
              <w:bottom w:val="single" w:sz="4" w:space="0" w:color="DDDDDE"/>
              <w:right w:val="nil"/>
            </w:tcBorders>
            <w:shd w:val="clear" w:color="auto" w:fill="auto"/>
            <w:noWrap/>
            <w:vAlign w:val="center"/>
          </w:tcPr>
          <w:p w:rsidR="00E52449" w:rsidRPr="006A74F8" w:rsidRDefault="00E52449" w:rsidP="00E31390">
            <w:pPr>
              <w:spacing w:after="0"/>
              <w:rPr>
                <w:rFonts w:eastAsia="Calibri" w:cs="Times New Roman"/>
                <w:sz w:val="20"/>
              </w:rPr>
            </w:pPr>
            <w:r w:rsidRPr="006A74F8">
              <w:rPr>
                <w:rFonts w:eastAsia="Calibri"/>
                <w:sz w:val="20"/>
              </w:rPr>
              <w:t>553,776</w:t>
            </w:r>
          </w:p>
        </w:tc>
        <w:tc>
          <w:tcPr>
            <w:tcW w:w="1453" w:type="dxa"/>
            <w:tcBorders>
              <w:top w:val="nil"/>
              <w:left w:val="nil"/>
              <w:bottom w:val="single" w:sz="4" w:space="0" w:color="DDDDDE"/>
              <w:right w:val="nil"/>
            </w:tcBorders>
            <w:shd w:val="clear" w:color="auto" w:fill="auto"/>
            <w:vAlign w:val="center"/>
          </w:tcPr>
          <w:p w:rsidR="00E52449" w:rsidRPr="006A74F8" w:rsidRDefault="00E52449" w:rsidP="00E31390">
            <w:pPr>
              <w:spacing w:after="0"/>
              <w:rPr>
                <w:sz w:val="20"/>
                <w:lang w:eastAsia="en-AU"/>
              </w:rPr>
            </w:pPr>
            <w:r w:rsidRPr="006A74F8">
              <w:rPr>
                <w:sz w:val="20"/>
                <w:lang w:eastAsia="en-AU"/>
              </w:rPr>
              <w:t>Kg</w:t>
            </w:r>
          </w:p>
        </w:tc>
      </w:tr>
      <w:tr w:rsidR="00E52449" w:rsidRPr="006A74F8" w:rsidTr="00AF3C29">
        <w:trPr>
          <w:tblHeader/>
        </w:trPr>
        <w:tc>
          <w:tcPr>
            <w:tcW w:w="850"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3301</w:t>
            </w:r>
          </w:p>
        </w:tc>
        <w:tc>
          <w:tcPr>
            <w:tcW w:w="3423"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Oils; essential (concretes, absolutes); concentrates thereof in fats, fixed oils, waxes or the like (obtained by enfleurage or maceration); aqueous distillates, solutions and terpenic by-products thereof; resinoids; extracted oleoresins</w:t>
            </w:r>
          </w:p>
        </w:tc>
        <w:tc>
          <w:tcPr>
            <w:tcW w:w="1637" w:type="dxa"/>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$16,884,245</w:t>
            </w:r>
          </w:p>
        </w:tc>
        <w:tc>
          <w:tcPr>
            <w:tcW w:w="1663" w:type="dxa"/>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344,522</w:t>
            </w:r>
          </w:p>
        </w:tc>
        <w:tc>
          <w:tcPr>
            <w:tcW w:w="1453"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Kg</w:t>
            </w:r>
          </w:p>
        </w:tc>
      </w:tr>
      <w:tr w:rsidR="00E52449" w:rsidRPr="006A74F8" w:rsidTr="00AF3C29">
        <w:trPr>
          <w:tblHeader/>
        </w:trPr>
        <w:tc>
          <w:tcPr>
            <w:tcW w:w="850" w:type="dxa"/>
            <w:vMerge w:val="restart"/>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3302</w:t>
            </w:r>
          </w:p>
        </w:tc>
        <w:tc>
          <w:tcPr>
            <w:tcW w:w="3423" w:type="dxa"/>
            <w:vMerge w:val="restart"/>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Odoriferous substances and mixtures (including alcoholic solutions) with a basis of one or more of these substances, of a kind used as raw materials in industry; other preparations based on odoriferous substances, of a kind used for beverage manufacture</w:t>
            </w:r>
          </w:p>
        </w:tc>
        <w:tc>
          <w:tcPr>
            <w:tcW w:w="1637" w:type="dxa"/>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$28,041,312</w:t>
            </w:r>
          </w:p>
        </w:tc>
        <w:tc>
          <w:tcPr>
            <w:tcW w:w="1663" w:type="dxa"/>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1,208,429</w:t>
            </w:r>
          </w:p>
        </w:tc>
        <w:tc>
          <w:tcPr>
            <w:tcW w:w="1453"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Kg</w:t>
            </w:r>
          </w:p>
        </w:tc>
      </w:tr>
      <w:tr w:rsidR="00E52449" w:rsidRPr="006A74F8" w:rsidTr="00AF3C29">
        <w:trPr>
          <w:tblHeader/>
        </w:trPr>
        <w:tc>
          <w:tcPr>
            <w:tcW w:w="850" w:type="dxa"/>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p>
        </w:tc>
        <w:tc>
          <w:tcPr>
            <w:tcW w:w="3423" w:type="dxa"/>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p>
        </w:tc>
        <w:tc>
          <w:tcPr>
            <w:tcW w:w="1637" w:type="dxa"/>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$320,278</w:t>
            </w:r>
          </w:p>
        </w:tc>
        <w:tc>
          <w:tcPr>
            <w:tcW w:w="1663" w:type="dxa"/>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4,111</w:t>
            </w:r>
          </w:p>
        </w:tc>
        <w:tc>
          <w:tcPr>
            <w:tcW w:w="1453"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Litres Alcohol</w:t>
            </w:r>
          </w:p>
        </w:tc>
      </w:tr>
      <w:tr w:rsidR="00E52449" w:rsidRPr="006A74F8" w:rsidTr="00AF3C29">
        <w:trPr>
          <w:tblHeader/>
        </w:trPr>
        <w:tc>
          <w:tcPr>
            <w:tcW w:w="850"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3303</w:t>
            </w:r>
          </w:p>
        </w:tc>
        <w:tc>
          <w:tcPr>
            <w:tcW w:w="3423"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Perfumes and toilet waters</w:t>
            </w:r>
          </w:p>
        </w:tc>
        <w:tc>
          <w:tcPr>
            <w:tcW w:w="1637" w:type="dxa"/>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$406,615,119</w:t>
            </w:r>
          </w:p>
        </w:tc>
        <w:tc>
          <w:tcPr>
            <w:tcW w:w="1663" w:type="dxa"/>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4,856,338</w:t>
            </w:r>
          </w:p>
        </w:tc>
        <w:tc>
          <w:tcPr>
            <w:tcW w:w="1453"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Kg</w:t>
            </w:r>
          </w:p>
        </w:tc>
      </w:tr>
      <w:tr w:rsidR="00E52449" w:rsidRPr="006A74F8" w:rsidTr="00AF3C29">
        <w:trPr>
          <w:tblHeader/>
        </w:trPr>
        <w:tc>
          <w:tcPr>
            <w:tcW w:w="850" w:type="dxa"/>
            <w:vMerge w:val="restart"/>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3304</w:t>
            </w:r>
          </w:p>
        </w:tc>
        <w:tc>
          <w:tcPr>
            <w:tcW w:w="3423" w:type="dxa"/>
            <w:vMerge w:val="restart"/>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Cosmetic and toilet preparations; beauty, make-up and skin care preparations (excluding medicaments, including sunscreen or sun tan preparations), manicure or pedicure preparations</w:t>
            </w:r>
          </w:p>
        </w:tc>
        <w:tc>
          <w:tcPr>
            <w:tcW w:w="1637" w:type="dxa"/>
            <w:tcBorders>
              <w:top w:val="single" w:sz="4" w:space="0" w:color="DDDDDE"/>
              <w:left w:val="nil"/>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$78,389,298</w:t>
            </w:r>
          </w:p>
        </w:tc>
        <w:tc>
          <w:tcPr>
            <w:tcW w:w="1663" w:type="dxa"/>
            <w:tcBorders>
              <w:top w:val="single" w:sz="4" w:space="0" w:color="DDDDDE"/>
              <w:left w:val="nil"/>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1,311,128</w:t>
            </w:r>
          </w:p>
        </w:tc>
        <w:tc>
          <w:tcPr>
            <w:tcW w:w="1453" w:type="dxa"/>
            <w:tcBorders>
              <w:top w:val="single" w:sz="4" w:space="0" w:color="DDDDDE"/>
              <w:left w:val="nil"/>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Kg</w:t>
            </w:r>
          </w:p>
        </w:tc>
      </w:tr>
      <w:tr w:rsidR="00E52449" w:rsidRPr="006A74F8" w:rsidTr="00AF3C29">
        <w:trPr>
          <w:tblHeader/>
        </w:trPr>
        <w:tc>
          <w:tcPr>
            <w:tcW w:w="850" w:type="dxa"/>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p>
        </w:tc>
        <w:tc>
          <w:tcPr>
            <w:tcW w:w="3423" w:type="dxa"/>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p>
        </w:tc>
        <w:tc>
          <w:tcPr>
            <w:tcW w:w="1637" w:type="dxa"/>
            <w:tcBorders>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$294,518,933</w:t>
            </w:r>
          </w:p>
        </w:tc>
        <w:tc>
          <w:tcPr>
            <w:tcW w:w="1663" w:type="dxa"/>
            <w:tcBorders>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0</w:t>
            </w:r>
          </w:p>
        </w:tc>
        <w:tc>
          <w:tcPr>
            <w:tcW w:w="1453" w:type="dxa"/>
            <w:tcBorders>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Not Recorded</w:t>
            </w:r>
          </w:p>
        </w:tc>
      </w:tr>
      <w:tr w:rsidR="00E52449" w:rsidRPr="006A74F8" w:rsidTr="00AF3C29">
        <w:trPr>
          <w:tblHeader/>
        </w:trPr>
        <w:tc>
          <w:tcPr>
            <w:tcW w:w="850"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3305</w:t>
            </w:r>
          </w:p>
        </w:tc>
        <w:tc>
          <w:tcPr>
            <w:tcW w:w="3423"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Hair preparations; for use on the hair</w:t>
            </w:r>
          </w:p>
        </w:tc>
        <w:tc>
          <w:tcPr>
            <w:tcW w:w="1637" w:type="dxa"/>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$114,863,766</w:t>
            </w:r>
          </w:p>
        </w:tc>
        <w:tc>
          <w:tcPr>
            <w:tcW w:w="1663"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rFonts w:eastAsia="Calibri"/>
                <w:sz w:val="20"/>
              </w:rPr>
              <w:t>0</w:t>
            </w:r>
          </w:p>
        </w:tc>
        <w:tc>
          <w:tcPr>
            <w:tcW w:w="1453" w:type="dxa"/>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Not Recorded</w:t>
            </w:r>
          </w:p>
        </w:tc>
      </w:tr>
      <w:tr w:rsidR="00E52449" w:rsidRPr="006A74F8" w:rsidTr="00AF3C29">
        <w:trPr>
          <w:tblHeader/>
        </w:trPr>
        <w:tc>
          <w:tcPr>
            <w:tcW w:w="850" w:type="dxa"/>
            <w:vMerge w:val="restart"/>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3306</w:t>
            </w:r>
          </w:p>
        </w:tc>
        <w:tc>
          <w:tcPr>
            <w:tcW w:w="3423" w:type="dxa"/>
            <w:vMerge w:val="restart"/>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Oral or dental hygiene preparations; including fixative pastes and powders; yarn used to clean between the teeth (dental floss), in individual retail packages</w:t>
            </w:r>
          </w:p>
        </w:tc>
        <w:tc>
          <w:tcPr>
            <w:tcW w:w="1637" w:type="dxa"/>
            <w:tcBorders>
              <w:top w:val="single" w:sz="4" w:space="0" w:color="DDDDDE"/>
              <w:left w:val="nil"/>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$46,916,440</w:t>
            </w:r>
          </w:p>
        </w:tc>
        <w:tc>
          <w:tcPr>
            <w:tcW w:w="1663" w:type="dxa"/>
            <w:tcBorders>
              <w:top w:val="single" w:sz="4" w:space="0" w:color="DDDDDE"/>
              <w:left w:val="nil"/>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2,909,502</w:t>
            </w:r>
          </w:p>
        </w:tc>
        <w:tc>
          <w:tcPr>
            <w:tcW w:w="1453" w:type="dxa"/>
            <w:tcBorders>
              <w:top w:val="single" w:sz="4" w:space="0" w:color="DDDDDE"/>
              <w:left w:val="nil"/>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Kg</w:t>
            </w:r>
          </w:p>
        </w:tc>
      </w:tr>
      <w:tr w:rsidR="00E52449" w:rsidRPr="006A74F8" w:rsidTr="00AF3C29">
        <w:trPr>
          <w:tblHeader/>
        </w:trPr>
        <w:tc>
          <w:tcPr>
            <w:tcW w:w="850" w:type="dxa"/>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p>
        </w:tc>
        <w:tc>
          <w:tcPr>
            <w:tcW w:w="3423" w:type="dxa"/>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p>
        </w:tc>
        <w:tc>
          <w:tcPr>
            <w:tcW w:w="1637" w:type="dxa"/>
            <w:tcBorders>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$4,856,878</w:t>
            </w:r>
          </w:p>
        </w:tc>
        <w:tc>
          <w:tcPr>
            <w:tcW w:w="1663" w:type="dxa"/>
            <w:tcBorders>
              <w:left w:val="nil"/>
              <w:bottom w:val="single" w:sz="4" w:space="0" w:color="DDDDDE"/>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206,190,940</w:t>
            </w:r>
          </w:p>
        </w:tc>
        <w:tc>
          <w:tcPr>
            <w:tcW w:w="1453" w:type="dxa"/>
            <w:tcBorders>
              <w:left w:val="nil"/>
              <w:bottom w:val="single" w:sz="4" w:space="0" w:color="DDDDDE"/>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Metres</w:t>
            </w:r>
          </w:p>
        </w:tc>
      </w:tr>
      <w:tr w:rsidR="00E52449" w:rsidRPr="006A74F8" w:rsidTr="00AF3C29">
        <w:trPr>
          <w:tblHeader/>
        </w:trPr>
        <w:tc>
          <w:tcPr>
            <w:tcW w:w="850" w:type="dxa"/>
            <w:tcBorders>
              <w:top w:val="single" w:sz="4" w:space="0" w:color="DDDDDE"/>
              <w:left w:val="nil"/>
              <w:bottom w:val="nil"/>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3307</w:t>
            </w:r>
          </w:p>
        </w:tc>
        <w:tc>
          <w:tcPr>
            <w:tcW w:w="3423" w:type="dxa"/>
            <w:tcBorders>
              <w:top w:val="single" w:sz="4" w:space="0" w:color="DDDDDE"/>
              <w:left w:val="nil"/>
              <w:bottom w:val="nil"/>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Perfumery, cosmetic or toilet preparations; pre-shave, shaving, after-shave, bath preparations; personal deodorants and depilatories; room deodorisers, perfumed or not with disinfectant properties or not</w:t>
            </w:r>
          </w:p>
        </w:tc>
        <w:tc>
          <w:tcPr>
            <w:tcW w:w="1637" w:type="dxa"/>
            <w:tcBorders>
              <w:top w:val="single" w:sz="4" w:space="0" w:color="DDDDDE"/>
              <w:left w:val="nil"/>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$40,071,786</w:t>
            </w:r>
          </w:p>
        </w:tc>
        <w:tc>
          <w:tcPr>
            <w:tcW w:w="1663" w:type="dxa"/>
            <w:tcBorders>
              <w:top w:val="single" w:sz="4" w:space="0" w:color="DDDDDE"/>
              <w:left w:val="nil"/>
              <w:right w:val="nil"/>
            </w:tcBorders>
            <w:shd w:val="clear" w:color="auto" w:fill="auto"/>
            <w:noWrap/>
            <w:vAlign w:val="center"/>
            <w:hideMark/>
          </w:tcPr>
          <w:p w:rsidR="00E52449" w:rsidRPr="006A74F8" w:rsidRDefault="00E52449" w:rsidP="00E31390">
            <w:pPr>
              <w:spacing w:after="0"/>
              <w:rPr>
                <w:sz w:val="20"/>
                <w:lang w:eastAsia="en-AU"/>
              </w:rPr>
            </w:pPr>
            <w:r w:rsidRPr="006A74F8">
              <w:rPr>
                <w:rFonts w:eastAsia="Calibri"/>
                <w:sz w:val="20"/>
              </w:rPr>
              <w:t>4,370,741</w:t>
            </w:r>
          </w:p>
        </w:tc>
        <w:tc>
          <w:tcPr>
            <w:tcW w:w="1453" w:type="dxa"/>
            <w:tcBorders>
              <w:top w:val="single" w:sz="4" w:space="0" w:color="DDDDDE"/>
              <w:left w:val="nil"/>
              <w:bottom w:val="nil"/>
              <w:right w:val="nil"/>
            </w:tcBorders>
            <w:shd w:val="clear" w:color="auto" w:fill="auto"/>
            <w:vAlign w:val="center"/>
            <w:hideMark/>
          </w:tcPr>
          <w:p w:rsidR="00E52449" w:rsidRPr="006A74F8" w:rsidRDefault="00E52449" w:rsidP="00E31390">
            <w:pPr>
              <w:spacing w:after="0"/>
              <w:rPr>
                <w:sz w:val="20"/>
                <w:lang w:eastAsia="en-AU"/>
              </w:rPr>
            </w:pPr>
            <w:r w:rsidRPr="006A74F8">
              <w:rPr>
                <w:sz w:val="20"/>
                <w:lang w:eastAsia="en-AU"/>
              </w:rPr>
              <w:t>Kg</w:t>
            </w:r>
          </w:p>
        </w:tc>
      </w:tr>
    </w:tbl>
    <w:p w:rsidR="00E31390" w:rsidRPr="006A74F8" w:rsidRDefault="00E31390" w:rsidP="003763FF">
      <w:pPr>
        <w:pStyle w:val="Caption"/>
      </w:pPr>
    </w:p>
    <w:p w:rsidR="00AF3C29" w:rsidRPr="006A74F8" w:rsidRDefault="00AF3C29" w:rsidP="000C4F1B">
      <w:pPr>
        <w:pStyle w:val="Caption"/>
        <w:sectPr w:rsidR="00AF3C29" w:rsidRPr="006A74F8" w:rsidSect="00EC61D8">
          <w:pgSz w:w="11906" w:h="16838"/>
          <w:pgMar w:top="1440" w:right="1440" w:bottom="1440" w:left="1440" w:header="708" w:footer="708" w:gutter="0"/>
          <w:cols w:space="708"/>
          <w:docGrid w:linePitch="360"/>
        </w:sectPr>
      </w:pPr>
    </w:p>
    <w:p w:rsidR="0015010A" w:rsidRPr="006A74F8" w:rsidRDefault="0015010A" w:rsidP="0015010A">
      <w:pPr>
        <w:pStyle w:val="Caption"/>
        <w:keepNext/>
      </w:pPr>
      <w:r w:rsidRPr="006A74F8">
        <w:lastRenderedPageBreak/>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26</w:t>
      </w:r>
      <w:r w:rsidR="00D003A8" w:rsidRPr="006A74F8">
        <w:rPr>
          <w:noProof/>
        </w:rPr>
        <w:fldChar w:fldCharType="end"/>
      </w:r>
      <w:r w:rsidRPr="006A74F8">
        <w:t xml:space="preserve">: EU </w:t>
      </w:r>
      <w:r w:rsidR="00464036" w:rsidRPr="006A74F8">
        <w:t xml:space="preserve">(and the UK) </w:t>
      </w:r>
      <w:r w:rsidRPr="006A74F8">
        <w:t>imports to Australia in 2019/20, HS Code 34</w:t>
      </w:r>
    </w:p>
    <w:tbl>
      <w:tblPr>
        <w:tblW w:w="5000" w:type="pct"/>
        <w:jc w:val="center"/>
        <w:tblLayout w:type="fixed"/>
        <w:tblLook w:val="0600" w:firstRow="0" w:lastRow="0" w:firstColumn="0" w:lastColumn="0" w:noHBand="1" w:noVBand="1"/>
        <w:tblCaption w:val="Table EU imports to australia 2019/20 HS Code 34"/>
        <w:tblDescription w:val="This table outlines the product value and product volume of a number of soap, washing and other wax and hygiene import goods."/>
      </w:tblPr>
      <w:tblGrid>
        <w:gridCol w:w="850"/>
        <w:gridCol w:w="3423"/>
        <w:gridCol w:w="1637"/>
        <w:gridCol w:w="1663"/>
        <w:gridCol w:w="1453"/>
      </w:tblGrid>
      <w:tr w:rsidR="00E52449" w:rsidRPr="006A74F8" w:rsidTr="003763FF">
        <w:trPr>
          <w:trHeight w:val="600"/>
          <w:tblHeader/>
          <w:jc w:val="center"/>
        </w:trPr>
        <w:tc>
          <w:tcPr>
            <w:tcW w:w="471" w:type="pct"/>
            <w:tcBorders>
              <w:top w:val="nil"/>
              <w:left w:val="nil"/>
              <w:bottom w:val="nil"/>
              <w:right w:val="nil"/>
            </w:tcBorders>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color w:val="FFFFFF" w:themeColor="background1"/>
                <w:lang w:eastAsia="en-AU"/>
              </w:rPr>
            </w:pPr>
            <w:r w:rsidRPr="006A74F8">
              <w:rPr>
                <w:rFonts w:ascii="Calibri" w:eastAsia="Times New Roman" w:hAnsi="Calibri" w:cs="Calibri"/>
                <w:b/>
                <w:color w:val="FFFFFF" w:themeColor="background1"/>
                <w:lang w:eastAsia="en-AU"/>
              </w:rPr>
              <w:t>HS Code</w:t>
            </w:r>
          </w:p>
        </w:tc>
        <w:tc>
          <w:tcPr>
            <w:tcW w:w="1896" w:type="pct"/>
            <w:tcBorders>
              <w:top w:val="nil"/>
              <w:left w:val="nil"/>
              <w:bottom w:val="nil"/>
              <w:right w:val="nil"/>
            </w:tcBorders>
            <w:shd w:val="clear" w:color="auto" w:fill="1F3864"/>
            <w:vAlign w:val="center"/>
          </w:tcPr>
          <w:p w:rsidR="00E52449" w:rsidRPr="006A74F8" w:rsidRDefault="00E52449" w:rsidP="00E52449">
            <w:pPr>
              <w:spacing w:after="0" w:line="240" w:lineRule="auto"/>
              <w:rPr>
                <w:rFonts w:ascii="Calibri" w:eastAsia="Times New Roman" w:hAnsi="Calibri" w:cs="Calibri"/>
                <w:b/>
                <w:color w:val="FFFFFF" w:themeColor="background1"/>
                <w:lang w:eastAsia="en-AU"/>
              </w:rPr>
            </w:pPr>
            <w:r w:rsidRPr="006A74F8">
              <w:rPr>
                <w:rFonts w:ascii="Calibri" w:eastAsia="Times New Roman" w:hAnsi="Calibri" w:cs="Calibri"/>
                <w:b/>
                <w:color w:val="FFFFFF" w:themeColor="background1"/>
                <w:lang w:eastAsia="en-AU"/>
              </w:rPr>
              <w:t>Description</w:t>
            </w:r>
          </w:p>
        </w:tc>
        <w:tc>
          <w:tcPr>
            <w:tcW w:w="907" w:type="pct"/>
            <w:tcBorders>
              <w:top w:val="single" w:sz="4" w:space="0" w:color="DDEBF7"/>
              <w:left w:val="nil"/>
              <w:bottom w:val="single" w:sz="4" w:space="0" w:color="DDEBF7"/>
              <w:right w:val="nil"/>
            </w:tcBorders>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color w:val="FFFFFF" w:themeColor="background1"/>
                <w:lang w:eastAsia="en-AU"/>
              </w:rPr>
            </w:pPr>
            <w:r w:rsidRPr="006A74F8">
              <w:rPr>
                <w:rFonts w:ascii="Calibri" w:eastAsia="Times New Roman" w:hAnsi="Calibri" w:cs="Calibri"/>
                <w:b/>
                <w:color w:val="FFFFFF" w:themeColor="background1"/>
                <w:lang w:eastAsia="en-AU"/>
              </w:rPr>
              <w:t>Product Value $</w:t>
            </w:r>
          </w:p>
        </w:tc>
        <w:tc>
          <w:tcPr>
            <w:tcW w:w="921" w:type="pct"/>
            <w:tcBorders>
              <w:top w:val="single" w:sz="4" w:space="0" w:color="DDEBF7"/>
              <w:left w:val="nil"/>
              <w:bottom w:val="single" w:sz="4" w:space="0" w:color="DDEBF7"/>
              <w:right w:val="nil"/>
            </w:tcBorders>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color w:val="FFFFFF" w:themeColor="background1"/>
                <w:lang w:eastAsia="en-AU"/>
              </w:rPr>
            </w:pPr>
            <w:r w:rsidRPr="006A74F8">
              <w:rPr>
                <w:rFonts w:ascii="Calibri" w:eastAsia="Times New Roman" w:hAnsi="Calibri" w:cs="Calibri"/>
                <w:b/>
                <w:color w:val="FFFFFF" w:themeColor="background1"/>
                <w:lang w:eastAsia="en-AU"/>
              </w:rPr>
              <w:t>Product Volume</w:t>
            </w:r>
          </w:p>
        </w:tc>
        <w:tc>
          <w:tcPr>
            <w:tcW w:w="805" w:type="pct"/>
            <w:tcBorders>
              <w:top w:val="nil"/>
              <w:left w:val="nil"/>
              <w:bottom w:val="nil"/>
              <w:right w:val="nil"/>
            </w:tcBorders>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color w:val="FFFFFF" w:themeColor="background1"/>
                <w:lang w:eastAsia="en-AU"/>
              </w:rPr>
            </w:pPr>
            <w:r w:rsidRPr="006A74F8">
              <w:rPr>
                <w:rFonts w:ascii="Calibri" w:eastAsia="Times New Roman" w:hAnsi="Calibri" w:cs="Calibri"/>
                <w:b/>
                <w:color w:val="FFFFFF" w:themeColor="background1"/>
                <w:lang w:eastAsia="en-AU"/>
              </w:rPr>
              <w:t>Unit</w:t>
            </w:r>
          </w:p>
        </w:tc>
      </w:tr>
      <w:tr w:rsidR="00E52449" w:rsidRPr="006A74F8" w:rsidTr="003763FF">
        <w:trPr>
          <w:trHeight w:val="300"/>
          <w:tblHeader/>
          <w:jc w:val="center"/>
        </w:trPr>
        <w:tc>
          <w:tcPr>
            <w:tcW w:w="5000" w:type="pct"/>
            <w:gridSpan w:val="5"/>
            <w:tcBorders>
              <w:top w:val="nil"/>
              <w:left w:val="nil"/>
            </w:tcBorders>
            <w:shd w:val="clear" w:color="auto" w:fill="B0E9FF"/>
          </w:tcPr>
          <w:p w:rsidR="00E52449" w:rsidRPr="006A74F8" w:rsidRDefault="00E52449" w:rsidP="00E52449">
            <w:pPr>
              <w:spacing w:after="0" w:line="240" w:lineRule="auto"/>
              <w:rPr>
                <w:rFonts w:ascii="Calibri" w:eastAsia="Times New Roman" w:hAnsi="Calibri" w:cs="Calibri"/>
                <w:b/>
                <w:color w:val="000000"/>
                <w:lang w:eastAsia="en-AU"/>
              </w:rPr>
            </w:pPr>
            <w:r w:rsidRPr="006A74F8">
              <w:rPr>
                <w:rFonts w:ascii="Calibri" w:eastAsia="Calibri" w:hAnsi="Calibri" w:cs="Calibri"/>
                <w:b/>
                <w:color w:val="000000"/>
              </w:rPr>
              <w:t>34 SOAP, ORGANIC SURFACE-ACTIVE AGENTS; WASHING, LUBRICATING, POLISHING OR SCOURING PREPARATIONS; ARTIFICIAL OR PREPARED WAXES, CANDLES AND SIMILAR ARTICLES, MODELLING PASTES, DENTAL WAXES AND DENTAL PREPARATIONS WITH A BASIS OF PLASTER</w:t>
            </w:r>
          </w:p>
        </w:tc>
      </w:tr>
      <w:tr w:rsidR="00E52449" w:rsidRPr="006A74F8" w:rsidTr="00E52449">
        <w:trPr>
          <w:trHeight w:val="300"/>
          <w:tblHeader/>
          <w:jc w:val="center"/>
        </w:trPr>
        <w:tc>
          <w:tcPr>
            <w:tcW w:w="471" w:type="pct"/>
            <w:vMerge w:val="restart"/>
            <w:tcBorders>
              <w:top w:val="nil"/>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3401</w:t>
            </w:r>
          </w:p>
        </w:tc>
        <w:tc>
          <w:tcPr>
            <w:tcW w:w="1896" w:type="pct"/>
            <w:vMerge w:val="restart"/>
            <w:tcBorders>
              <w:top w:val="nil"/>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Soap; organic surface-active preparations used as soap, skin washing, in bars, cakes, moulded pieces, shapes, liquid or cream, containing soap or not; for retail, paper, wadding, felt and nonwovens, impregnated, coated or covered with soap or detergent</w:t>
            </w:r>
          </w:p>
        </w:tc>
        <w:tc>
          <w:tcPr>
            <w:tcW w:w="907" w:type="pct"/>
            <w:tcBorders>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$17,513,095</w:t>
            </w:r>
          </w:p>
        </w:tc>
        <w:tc>
          <w:tcPr>
            <w:tcW w:w="921" w:type="pct"/>
            <w:tcBorders>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4,306,279</w:t>
            </w:r>
          </w:p>
        </w:tc>
        <w:tc>
          <w:tcPr>
            <w:tcW w:w="805" w:type="pct"/>
            <w:tcBorders>
              <w:top w:val="nil"/>
              <w:left w:val="nil"/>
              <w:bottom w:val="single" w:sz="4" w:space="0" w:color="DDDDDE"/>
              <w:right w:val="nil"/>
            </w:tcBorders>
            <w:shd w:val="clear" w:color="auto" w:fill="auto"/>
            <w:noWrap/>
            <w:vAlign w:val="center"/>
            <w:hideMark/>
          </w:tcPr>
          <w:p w:rsidR="00E52449" w:rsidRPr="006A74F8" w:rsidRDefault="00A277F1" w:rsidP="00E5244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k</w:t>
            </w:r>
            <w:r w:rsidR="00E52449" w:rsidRPr="006A74F8">
              <w:rPr>
                <w:rFonts w:ascii="Calibri" w:eastAsia="Times New Roman" w:hAnsi="Calibri" w:cs="Calibri"/>
                <w:color w:val="000000"/>
                <w:sz w:val="20"/>
                <w:szCs w:val="20"/>
                <w:lang w:eastAsia="en-AU"/>
              </w:rPr>
              <w:t>g</w:t>
            </w:r>
          </w:p>
        </w:tc>
      </w:tr>
      <w:tr w:rsidR="00E52449" w:rsidRPr="006A74F8" w:rsidTr="00E52449">
        <w:trPr>
          <w:trHeight w:val="300"/>
          <w:tblHeader/>
          <w:jc w:val="center"/>
        </w:trPr>
        <w:tc>
          <w:tcPr>
            <w:tcW w:w="471" w:type="pct"/>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1896" w:type="pct"/>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907"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$24,384,623</w:t>
            </w:r>
          </w:p>
        </w:tc>
        <w:tc>
          <w:tcPr>
            <w:tcW w:w="92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4,569,680</w:t>
            </w:r>
          </w:p>
        </w:tc>
        <w:tc>
          <w:tcPr>
            <w:tcW w:w="805"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w:t>
            </w:r>
          </w:p>
        </w:tc>
      </w:tr>
      <w:tr w:rsidR="00E52449" w:rsidRPr="006A74F8" w:rsidTr="00E52449">
        <w:trPr>
          <w:trHeight w:val="300"/>
          <w:tblHeader/>
          <w:jc w:val="center"/>
        </w:trPr>
        <w:tc>
          <w:tcPr>
            <w:tcW w:w="471" w:type="pct"/>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1896" w:type="pct"/>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907"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$59,977,630</w:t>
            </w:r>
          </w:p>
        </w:tc>
        <w:tc>
          <w:tcPr>
            <w:tcW w:w="92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0</w:t>
            </w:r>
          </w:p>
        </w:tc>
        <w:tc>
          <w:tcPr>
            <w:tcW w:w="805"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Not Recorded</w:t>
            </w:r>
          </w:p>
        </w:tc>
      </w:tr>
      <w:tr w:rsidR="00E52449" w:rsidRPr="006A74F8" w:rsidTr="00E52449">
        <w:trPr>
          <w:trHeight w:val="300"/>
          <w:tblHeader/>
          <w:jc w:val="center"/>
        </w:trPr>
        <w:tc>
          <w:tcPr>
            <w:tcW w:w="471" w:type="pct"/>
            <w:vMerge w:val="restar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3402</w:t>
            </w:r>
          </w:p>
        </w:tc>
        <w:tc>
          <w:tcPr>
            <w:tcW w:w="1896" w:type="pct"/>
            <w:vMerge w:val="restart"/>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Organic surface-active agents (not soap); surface-active, washing (including auxiliary washing) and cleaning preparations, containing soap or not, excluding those of heading no. 3401</w:t>
            </w:r>
          </w:p>
        </w:tc>
        <w:tc>
          <w:tcPr>
            <w:tcW w:w="907"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$113,928,335</w:t>
            </w:r>
          </w:p>
        </w:tc>
        <w:tc>
          <w:tcPr>
            <w:tcW w:w="92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26,920,529</w:t>
            </w:r>
          </w:p>
        </w:tc>
        <w:tc>
          <w:tcPr>
            <w:tcW w:w="805" w:type="pct"/>
            <w:tcBorders>
              <w:top w:val="single" w:sz="4" w:space="0" w:color="DDDDDE"/>
              <w:left w:val="nil"/>
              <w:bottom w:val="single" w:sz="4" w:space="0" w:color="DDDDDE"/>
              <w:right w:val="nil"/>
            </w:tcBorders>
            <w:shd w:val="clear" w:color="auto" w:fill="auto"/>
            <w:noWrap/>
            <w:vAlign w:val="center"/>
            <w:hideMark/>
          </w:tcPr>
          <w:p w:rsidR="00E52449" w:rsidRPr="006A74F8" w:rsidRDefault="00A277F1" w:rsidP="00E5244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k</w:t>
            </w:r>
            <w:r w:rsidR="00E52449" w:rsidRPr="006A74F8">
              <w:rPr>
                <w:rFonts w:ascii="Calibri" w:eastAsia="Times New Roman" w:hAnsi="Calibri" w:cs="Calibri"/>
                <w:color w:val="000000"/>
                <w:sz w:val="20"/>
                <w:szCs w:val="20"/>
                <w:lang w:eastAsia="en-AU"/>
              </w:rPr>
              <w:t>g</w:t>
            </w:r>
          </w:p>
        </w:tc>
      </w:tr>
      <w:tr w:rsidR="00E52449" w:rsidRPr="006A74F8" w:rsidTr="00E52449">
        <w:trPr>
          <w:trHeight w:val="300"/>
          <w:tblHeader/>
          <w:jc w:val="center"/>
        </w:trPr>
        <w:tc>
          <w:tcPr>
            <w:tcW w:w="471" w:type="pct"/>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1896" w:type="pct"/>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907"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$53,525,758</w:t>
            </w:r>
          </w:p>
        </w:tc>
        <w:tc>
          <w:tcPr>
            <w:tcW w:w="92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18,391,505</w:t>
            </w:r>
          </w:p>
        </w:tc>
        <w:tc>
          <w:tcPr>
            <w:tcW w:w="805"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w:t>
            </w:r>
          </w:p>
        </w:tc>
      </w:tr>
      <w:tr w:rsidR="00E52449" w:rsidRPr="006A74F8" w:rsidTr="00E52449">
        <w:trPr>
          <w:trHeight w:val="300"/>
          <w:tblHeader/>
          <w:jc w:val="center"/>
        </w:trPr>
        <w:tc>
          <w:tcPr>
            <w:tcW w:w="471" w:type="pct"/>
            <w:vMerge w:val="restar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3403</w:t>
            </w:r>
          </w:p>
        </w:tc>
        <w:tc>
          <w:tcPr>
            <w:tcW w:w="1896" w:type="pct"/>
            <w:vMerge w:val="restart"/>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Lubricating preparations and those used in oil or grease treatment of textile and similar materials; excluding preparations containing 70% or more (by weight) of petroleum or bituminous mineral oils</w:t>
            </w:r>
          </w:p>
        </w:tc>
        <w:tc>
          <w:tcPr>
            <w:tcW w:w="907"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$7,639,603</w:t>
            </w:r>
          </w:p>
        </w:tc>
        <w:tc>
          <w:tcPr>
            <w:tcW w:w="92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1,299,821</w:t>
            </w:r>
          </w:p>
        </w:tc>
        <w:tc>
          <w:tcPr>
            <w:tcW w:w="805" w:type="pct"/>
            <w:tcBorders>
              <w:top w:val="single" w:sz="4" w:space="0" w:color="DDDDDE"/>
              <w:left w:val="nil"/>
              <w:bottom w:val="single" w:sz="4" w:space="0" w:color="DDDDDE"/>
              <w:right w:val="nil"/>
            </w:tcBorders>
            <w:shd w:val="clear" w:color="auto" w:fill="auto"/>
            <w:noWrap/>
            <w:vAlign w:val="center"/>
            <w:hideMark/>
          </w:tcPr>
          <w:p w:rsidR="00E52449" w:rsidRPr="006A74F8" w:rsidRDefault="00A277F1" w:rsidP="00E5244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k</w:t>
            </w:r>
            <w:r w:rsidR="00E52449" w:rsidRPr="006A74F8">
              <w:rPr>
                <w:rFonts w:ascii="Calibri" w:eastAsia="Times New Roman" w:hAnsi="Calibri" w:cs="Calibri"/>
                <w:color w:val="000000"/>
                <w:sz w:val="20"/>
                <w:szCs w:val="20"/>
                <w:lang w:eastAsia="en-AU"/>
              </w:rPr>
              <w:t>g</w:t>
            </w:r>
          </w:p>
        </w:tc>
      </w:tr>
      <w:tr w:rsidR="00E52449" w:rsidRPr="006A74F8" w:rsidTr="00E52449">
        <w:trPr>
          <w:trHeight w:val="300"/>
          <w:tblHeader/>
          <w:jc w:val="center"/>
        </w:trPr>
        <w:tc>
          <w:tcPr>
            <w:tcW w:w="471" w:type="pct"/>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1896" w:type="pct"/>
            <w:vMerge/>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907"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$27,871,335</w:t>
            </w:r>
          </w:p>
        </w:tc>
        <w:tc>
          <w:tcPr>
            <w:tcW w:w="92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3,667,787</w:t>
            </w:r>
          </w:p>
        </w:tc>
        <w:tc>
          <w:tcPr>
            <w:tcW w:w="805"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w:t>
            </w:r>
          </w:p>
        </w:tc>
      </w:tr>
      <w:tr w:rsidR="00E52449" w:rsidRPr="006A74F8" w:rsidTr="00E52449">
        <w:trPr>
          <w:trHeight w:val="600"/>
          <w:tblHeader/>
          <w:jc w:val="center"/>
        </w:trPr>
        <w:tc>
          <w:tcPr>
            <w:tcW w:w="47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3404</w:t>
            </w:r>
          </w:p>
        </w:tc>
        <w:tc>
          <w:tcPr>
            <w:tcW w:w="1896" w:type="pct"/>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Waxes; artificial, prepared</w:t>
            </w:r>
          </w:p>
        </w:tc>
        <w:tc>
          <w:tcPr>
            <w:tcW w:w="907"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$4,481,063</w:t>
            </w:r>
          </w:p>
        </w:tc>
        <w:tc>
          <w:tcPr>
            <w:tcW w:w="92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843,640</w:t>
            </w:r>
          </w:p>
        </w:tc>
        <w:tc>
          <w:tcPr>
            <w:tcW w:w="805" w:type="pct"/>
            <w:tcBorders>
              <w:top w:val="single" w:sz="4" w:space="0" w:color="DDDDDE"/>
              <w:left w:val="nil"/>
              <w:bottom w:val="single" w:sz="4" w:space="0" w:color="DDDDDE"/>
              <w:right w:val="nil"/>
            </w:tcBorders>
            <w:shd w:val="clear" w:color="auto" w:fill="auto"/>
            <w:noWrap/>
            <w:vAlign w:val="center"/>
            <w:hideMark/>
          </w:tcPr>
          <w:p w:rsidR="00E52449" w:rsidRPr="006A74F8" w:rsidRDefault="00A277F1" w:rsidP="00E5244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k</w:t>
            </w:r>
            <w:r w:rsidR="00E52449" w:rsidRPr="006A74F8">
              <w:rPr>
                <w:rFonts w:ascii="Calibri" w:eastAsia="Times New Roman" w:hAnsi="Calibri" w:cs="Calibri"/>
                <w:color w:val="000000"/>
                <w:sz w:val="20"/>
                <w:szCs w:val="20"/>
                <w:lang w:eastAsia="en-AU"/>
              </w:rPr>
              <w:t>g</w:t>
            </w:r>
          </w:p>
        </w:tc>
      </w:tr>
      <w:tr w:rsidR="00E52449" w:rsidRPr="006A74F8" w:rsidTr="00E52449">
        <w:trPr>
          <w:trHeight w:val="600"/>
          <w:tblHeader/>
          <w:jc w:val="center"/>
        </w:trPr>
        <w:tc>
          <w:tcPr>
            <w:tcW w:w="47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3405</w:t>
            </w:r>
          </w:p>
        </w:tc>
        <w:tc>
          <w:tcPr>
            <w:tcW w:w="1896" w:type="pct"/>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Polishes, creams, scouring pastes, powders and similar; in any form, (including articles impregnated, coated or covered with such), for furniture, footwear, floors, coachwork, glass or metal</w:t>
            </w:r>
          </w:p>
        </w:tc>
        <w:tc>
          <w:tcPr>
            <w:tcW w:w="907"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$7,986,445</w:t>
            </w:r>
          </w:p>
        </w:tc>
        <w:tc>
          <w:tcPr>
            <w:tcW w:w="92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1,073,087</w:t>
            </w:r>
          </w:p>
        </w:tc>
        <w:tc>
          <w:tcPr>
            <w:tcW w:w="805" w:type="pct"/>
            <w:tcBorders>
              <w:top w:val="single" w:sz="4" w:space="0" w:color="DDDDDE"/>
              <w:left w:val="nil"/>
              <w:bottom w:val="single" w:sz="4" w:space="0" w:color="DDDDDE"/>
              <w:right w:val="nil"/>
            </w:tcBorders>
            <w:shd w:val="clear" w:color="auto" w:fill="auto"/>
            <w:noWrap/>
            <w:vAlign w:val="center"/>
            <w:hideMark/>
          </w:tcPr>
          <w:p w:rsidR="00E52449" w:rsidRPr="006A74F8" w:rsidRDefault="00A277F1" w:rsidP="00E5244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k</w:t>
            </w:r>
            <w:r w:rsidR="00E52449" w:rsidRPr="006A74F8">
              <w:rPr>
                <w:rFonts w:ascii="Calibri" w:eastAsia="Times New Roman" w:hAnsi="Calibri" w:cs="Calibri"/>
                <w:color w:val="000000"/>
                <w:sz w:val="20"/>
                <w:szCs w:val="20"/>
                <w:lang w:eastAsia="en-AU"/>
              </w:rPr>
              <w:t>g</w:t>
            </w:r>
          </w:p>
        </w:tc>
      </w:tr>
      <w:tr w:rsidR="00E52449" w:rsidRPr="006A74F8" w:rsidTr="00E52449">
        <w:trPr>
          <w:trHeight w:val="600"/>
          <w:tblHeader/>
          <w:jc w:val="center"/>
        </w:trPr>
        <w:tc>
          <w:tcPr>
            <w:tcW w:w="47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3406</w:t>
            </w:r>
          </w:p>
        </w:tc>
        <w:tc>
          <w:tcPr>
            <w:tcW w:w="1896" w:type="pct"/>
            <w:tcBorders>
              <w:top w:val="single" w:sz="4" w:space="0" w:color="DDDDDE"/>
              <w:left w:val="nil"/>
              <w:bottom w:val="single" w:sz="4" w:space="0" w:color="DDDDDE"/>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Candles, tapers and the like</w:t>
            </w:r>
          </w:p>
        </w:tc>
        <w:tc>
          <w:tcPr>
            <w:tcW w:w="907"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$0</w:t>
            </w:r>
          </w:p>
        </w:tc>
        <w:tc>
          <w:tcPr>
            <w:tcW w:w="921" w:type="pct"/>
            <w:tcBorders>
              <w:top w:val="single" w:sz="4" w:space="0" w:color="DDDDDE"/>
              <w:left w:val="nil"/>
              <w:bottom w:val="single" w:sz="4" w:space="0" w:color="DDDDDE"/>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0</w:t>
            </w:r>
          </w:p>
        </w:tc>
        <w:tc>
          <w:tcPr>
            <w:tcW w:w="805" w:type="pct"/>
            <w:tcBorders>
              <w:top w:val="single" w:sz="4" w:space="0" w:color="DDDDDE"/>
              <w:left w:val="nil"/>
              <w:bottom w:val="single" w:sz="4" w:space="0" w:color="DDDDDE"/>
              <w:right w:val="nil"/>
            </w:tcBorders>
            <w:shd w:val="clear" w:color="auto" w:fill="auto"/>
            <w:noWrap/>
            <w:vAlign w:val="center"/>
            <w:hideMark/>
          </w:tcPr>
          <w:p w:rsidR="00E52449" w:rsidRPr="006A74F8" w:rsidRDefault="00A277F1" w:rsidP="00E5244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k</w:t>
            </w:r>
            <w:r w:rsidR="00E52449" w:rsidRPr="006A74F8">
              <w:rPr>
                <w:rFonts w:ascii="Calibri" w:eastAsia="Times New Roman" w:hAnsi="Calibri" w:cs="Calibri"/>
                <w:color w:val="000000"/>
                <w:sz w:val="20"/>
                <w:szCs w:val="20"/>
                <w:lang w:eastAsia="en-AU"/>
              </w:rPr>
              <w:t>g</w:t>
            </w:r>
          </w:p>
        </w:tc>
      </w:tr>
      <w:tr w:rsidR="00E52449" w:rsidRPr="006A74F8" w:rsidTr="00E52449">
        <w:trPr>
          <w:trHeight w:val="600"/>
          <w:tblHeader/>
          <w:jc w:val="center"/>
        </w:trPr>
        <w:tc>
          <w:tcPr>
            <w:tcW w:w="471" w:type="pct"/>
            <w:tcBorders>
              <w:top w:val="single" w:sz="4" w:space="0" w:color="DDDDDE"/>
              <w:left w:val="nil"/>
              <w:bottom w:val="nil"/>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3407</w:t>
            </w:r>
          </w:p>
        </w:tc>
        <w:tc>
          <w:tcPr>
            <w:tcW w:w="1896" w:type="pct"/>
            <w:tcBorders>
              <w:top w:val="single" w:sz="4" w:space="0" w:color="DDDDDE"/>
              <w:left w:val="nil"/>
              <w:bottom w:val="nil"/>
              <w:right w:val="nil"/>
            </w:tcBorders>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Modelling pastes, including those for children; dental wax, impression compounds, in sets or packings for retail sale or in plates and similar forms; dentistry preparations with plaster base</w:t>
            </w:r>
          </w:p>
        </w:tc>
        <w:tc>
          <w:tcPr>
            <w:tcW w:w="907" w:type="pct"/>
            <w:tcBorders>
              <w:top w:val="single" w:sz="4" w:space="0" w:color="DDDDDE"/>
              <w:left w:val="nil"/>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$6,816,068</w:t>
            </w:r>
          </w:p>
        </w:tc>
        <w:tc>
          <w:tcPr>
            <w:tcW w:w="921" w:type="pct"/>
            <w:tcBorders>
              <w:top w:val="single" w:sz="4" w:space="0" w:color="DDDDDE"/>
              <w:left w:val="nil"/>
              <w:right w:val="nil"/>
            </w:tcBorders>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573,685</w:t>
            </w:r>
          </w:p>
        </w:tc>
        <w:tc>
          <w:tcPr>
            <w:tcW w:w="805" w:type="pct"/>
            <w:tcBorders>
              <w:top w:val="single" w:sz="4" w:space="0" w:color="DDDDDE"/>
              <w:left w:val="nil"/>
              <w:bottom w:val="nil"/>
              <w:right w:val="nil"/>
            </w:tcBorders>
            <w:shd w:val="clear" w:color="auto" w:fill="auto"/>
            <w:noWrap/>
            <w:vAlign w:val="center"/>
            <w:hideMark/>
          </w:tcPr>
          <w:p w:rsidR="00E52449" w:rsidRPr="006A74F8" w:rsidRDefault="00A277F1" w:rsidP="00E52449">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k</w:t>
            </w:r>
            <w:r w:rsidR="00E52449" w:rsidRPr="006A74F8">
              <w:rPr>
                <w:rFonts w:ascii="Calibri" w:eastAsia="Times New Roman" w:hAnsi="Calibri" w:cs="Calibri"/>
                <w:color w:val="000000"/>
                <w:sz w:val="20"/>
                <w:szCs w:val="20"/>
                <w:lang w:eastAsia="en-AU"/>
              </w:rPr>
              <w:t>g</w:t>
            </w:r>
          </w:p>
        </w:tc>
      </w:tr>
    </w:tbl>
    <w:p w:rsidR="00E52449" w:rsidRPr="006A74F8" w:rsidRDefault="00E52449" w:rsidP="00E52449">
      <w:pPr>
        <w:spacing w:before="240" w:after="240" w:line="300" w:lineRule="auto"/>
        <w:rPr>
          <w:rFonts w:ascii="Arial" w:eastAsia="Calibri" w:hAnsi="Arial" w:cs="Times New Roman"/>
        </w:rPr>
      </w:pPr>
    </w:p>
    <w:p w:rsidR="00E52449" w:rsidRPr="006A74F8" w:rsidRDefault="00E52449" w:rsidP="00E52449">
      <w:pPr>
        <w:spacing w:before="240" w:after="240" w:line="300" w:lineRule="auto"/>
        <w:rPr>
          <w:rFonts w:ascii="Arial" w:eastAsia="Calibri" w:hAnsi="Arial" w:cs="Times New Roman"/>
        </w:rPr>
        <w:sectPr w:rsidR="00E52449" w:rsidRPr="006A74F8" w:rsidSect="00EC61D8">
          <w:pgSz w:w="11906" w:h="16838"/>
          <w:pgMar w:top="1440" w:right="1440" w:bottom="1440" w:left="1440" w:header="708" w:footer="708" w:gutter="0"/>
          <w:cols w:space="708"/>
          <w:docGrid w:linePitch="360"/>
        </w:sectPr>
      </w:pPr>
    </w:p>
    <w:p w:rsidR="00E52449" w:rsidRPr="006A74F8" w:rsidRDefault="00E52449" w:rsidP="00294766">
      <w:pPr>
        <w:pStyle w:val="Heading3"/>
        <w:tabs>
          <w:tab w:val="left" w:pos="993"/>
        </w:tabs>
        <w:rPr>
          <w:rFonts w:eastAsia="Times New Roman"/>
        </w:rPr>
      </w:pPr>
      <w:bookmarkStart w:id="2736" w:name="_Proxy_products_for"/>
      <w:bookmarkStart w:id="2737" w:name="_Toc475545973"/>
      <w:bookmarkStart w:id="2738" w:name="_Toc479769519"/>
      <w:bookmarkStart w:id="2739" w:name="_Toc493510785"/>
      <w:bookmarkStart w:id="2740" w:name="_Toc500929403"/>
      <w:bookmarkStart w:id="2741" w:name="_Toc501463863"/>
      <w:bookmarkStart w:id="2742" w:name="_Toc503535578"/>
      <w:bookmarkStart w:id="2743" w:name="_Toc503539755"/>
      <w:bookmarkStart w:id="2744" w:name="_Toc503882289"/>
      <w:bookmarkStart w:id="2745" w:name="_Toc518032805"/>
      <w:bookmarkStart w:id="2746" w:name="_Ref67653479"/>
      <w:bookmarkStart w:id="2747" w:name="_Ref67653492"/>
      <w:bookmarkEnd w:id="2736"/>
      <w:r w:rsidRPr="006A74F8">
        <w:rPr>
          <w:rFonts w:eastAsia="Times New Roman"/>
        </w:rPr>
        <w:lastRenderedPageBreak/>
        <w:t>Proxy products for each cosmetic</w:t>
      </w:r>
      <w:bookmarkEnd w:id="2737"/>
      <w:r w:rsidRPr="006A74F8">
        <w:rPr>
          <w:rFonts w:eastAsia="Times New Roman"/>
        </w:rPr>
        <w:t xml:space="preserve"> class</w:t>
      </w:r>
      <w:bookmarkEnd w:id="2738"/>
      <w:bookmarkEnd w:id="2739"/>
      <w:bookmarkEnd w:id="2740"/>
      <w:bookmarkEnd w:id="2741"/>
      <w:bookmarkEnd w:id="2742"/>
      <w:bookmarkEnd w:id="2743"/>
      <w:bookmarkEnd w:id="2744"/>
      <w:bookmarkEnd w:id="2745"/>
      <w:bookmarkEnd w:id="2746"/>
      <w:bookmarkEnd w:id="2747"/>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27</w:t>
      </w:r>
      <w:r w:rsidR="00D003A8" w:rsidRPr="006A74F8">
        <w:rPr>
          <w:noProof/>
        </w:rPr>
        <w:fldChar w:fldCharType="end"/>
      </w:r>
      <w:r w:rsidRPr="006A74F8">
        <w:t>: Proxy products for each cosmetic class</w:t>
      </w:r>
    </w:p>
    <w:tbl>
      <w:tblPr>
        <w:tblW w:w="14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6 - Proxy products for each cosmetic class "/>
        <w:tblDescription w:val="Table 26 outlines the price and volume of specific cosmetic goods."/>
      </w:tblPr>
      <w:tblGrid>
        <w:gridCol w:w="1276"/>
        <w:gridCol w:w="4678"/>
        <w:gridCol w:w="2587"/>
        <w:gridCol w:w="2977"/>
        <w:gridCol w:w="992"/>
        <w:gridCol w:w="1556"/>
      </w:tblGrid>
      <w:tr w:rsidR="00E52449" w:rsidRPr="006A74F8" w:rsidTr="003763FF">
        <w:trPr>
          <w:trHeight w:val="600"/>
          <w:tblHeader/>
        </w:trPr>
        <w:tc>
          <w:tcPr>
            <w:tcW w:w="1276" w:type="dxa"/>
            <w:shd w:val="clear" w:color="auto" w:fill="1F3864"/>
            <w:noWrap/>
            <w:vAlign w:val="center"/>
          </w:tcPr>
          <w:p w:rsidR="00E52449" w:rsidRPr="006A74F8" w:rsidRDefault="00E52449" w:rsidP="00E52449">
            <w:pPr>
              <w:spacing w:after="0" w:line="240" w:lineRule="auto"/>
              <w:rPr>
                <w:rFonts w:ascii="Calibri" w:eastAsia="Times New Roman" w:hAnsi="Calibri" w:cs="Calibri"/>
                <w:b/>
                <w:lang w:eastAsia="en-AU"/>
              </w:rPr>
            </w:pPr>
            <w:r w:rsidRPr="006A74F8">
              <w:rPr>
                <w:rFonts w:ascii="Calibri" w:eastAsia="Times New Roman" w:hAnsi="Calibri" w:cs="Calibri"/>
                <w:b/>
                <w:lang w:eastAsia="en-AU"/>
              </w:rPr>
              <w:t>HS Code</w:t>
            </w:r>
          </w:p>
        </w:tc>
        <w:tc>
          <w:tcPr>
            <w:tcW w:w="4678" w:type="dxa"/>
            <w:shd w:val="clear" w:color="auto" w:fill="1F3864"/>
            <w:vAlign w:val="center"/>
          </w:tcPr>
          <w:p w:rsidR="00E52449" w:rsidRPr="006A74F8" w:rsidRDefault="00E52449" w:rsidP="00E52449">
            <w:pPr>
              <w:spacing w:after="0" w:line="240" w:lineRule="auto"/>
              <w:rPr>
                <w:rFonts w:ascii="Calibri" w:eastAsia="Times New Roman" w:hAnsi="Calibri" w:cs="Calibri"/>
                <w:b/>
                <w:lang w:eastAsia="en-AU"/>
              </w:rPr>
            </w:pPr>
            <w:r w:rsidRPr="006A74F8">
              <w:rPr>
                <w:rFonts w:ascii="Calibri" w:eastAsia="Times New Roman" w:hAnsi="Calibri" w:cs="Calibri"/>
                <w:b/>
                <w:lang w:eastAsia="en-AU"/>
              </w:rPr>
              <w:t>Description</w:t>
            </w:r>
          </w:p>
        </w:tc>
        <w:tc>
          <w:tcPr>
            <w:tcW w:w="2587" w:type="dxa"/>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lang w:eastAsia="en-AU"/>
              </w:rPr>
            </w:pPr>
            <w:r w:rsidRPr="006A74F8">
              <w:rPr>
                <w:rFonts w:ascii="Calibri" w:eastAsia="Times New Roman" w:hAnsi="Calibri" w:cs="Calibri"/>
                <w:b/>
                <w:lang w:eastAsia="en-AU"/>
              </w:rPr>
              <w:t>Proxy Product</w:t>
            </w:r>
          </w:p>
        </w:tc>
        <w:tc>
          <w:tcPr>
            <w:tcW w:w="2977" w:type="dxa"/>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lang w:eastAsia="en-AU"/>
              </w:rPr>
            </w:pPr>
            <w:r w:rsidRPr="006A74F8">
              <w:rPr>
                <w:rFonts w:ascii="Calibri" w:eastAsia="Times New Roman" w:hAnsi="Calibri" w:cs="Calibri"/>
                <w:b/>
                <w:lang w:eastAsia="en-AU"/>
              </w:rPr>
              <w:t>Source</w:t>
            </w:r>
          </w:p>
        </w:tc>
        <w:tc>
          <w:tcPr>
            <w:tcW w:w="992" w:type="dxa"/>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lang w:eastAsia="en-AU"/>
              </w:rPr>
            </w:pPr>
            <w:r w:rsidRPr="006A74F8">
              <w:rPr>
                <w:rFonts w:ascii="Calibri" w:eastAsia="Times New Roman" w:hAnsi="Calibri" w:cs="Calibri"/>
                <w:b/>
                <w:lang w:eastAsia="en-AU"/>
              </w:rPr>
              <w:t>Price</w:t>
            </w:r>
          </w:p>
        </w:tc>
        <w:tc>
          <w:tcPr>
            <w:tcW w:w="1556" w:type="dxa"/>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lang w:eastAsia="en-AU"/>
              </w:rPr>
            </w:pPr>
            <w:r w:rsidRPr="006A74F8">
              <w:rPr>
                <w:rFonts w:ascii="Calibri" w:eastAsia="Times New Roman" w:hAnsi="Calibri" w:cs="Calibri"/>
                <w:b/>
                <w:lang w:eastAsia="en-AU"/>
              </w:rPr>
              <w:t>Volume</w:t>
            </w:r>
          </w:p>
        </w:tc>
      </w:tr>
      <w:tr w:rsidR="00E52449" w:rsidRPr="006A74F8" w:rsidTr="00CD4A89">
        <w:trPr>
          <w:trHeight w:val="600"/>
        </w:trPr>
        <w:tc>
          <w:tcPr>
            <w:tcW w:w="1276" w:type="dxa"/>
            <w:shd w:val="clear" w:color="000000" w:fill="auto"/>
            <w:noWrap/>
            <w:vAlign w:val="center"/>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2712</w:t>
            </w:r>
          </w:p>
        </w:tc>
        <w:tc>
          <w:tcPr>
            <w:tcW w:w="4678" w:type="dxa"/>
            <w:shd w:val="clear" w:color="000000" w:fill="auto"/>
            <w:vAlign w:val="center"/>
          </w:tcPr>
          <w:p w:rsidR="00E52449" w:rsidRPr="006A74F8" w:rsidRDefault="00E52449" w:rsidP="00E52449">
            <w:pPr>
              <w:spacing w:after="0" w:line="240" w:lineRule="auto"/>
              <w:rPr>
                <w:rFonts w:ascii="Calibri" w:eastAsia="Times New Roman" w:hAnsi="Calibri" w:cs="Calibri"/>
                <w:b/>
                <w:sz w:val="20"/>
                <w:szCs w:val="20"/>
                <w:lang w:eastAsia="en-AU"/>
              </w:rPr>
            </w:pPr>
            <w:r w:rsidRPr="006A74F8">
              <w:rPr>
                <w:rFonts w:ascii="Calibri" w:eastAsia="Times New Roman" w:hAnsi="Calibri" w:cs="Calibri"/>
                <w:color w:val="000000"/>
                <w:sz w:val="20"/>
                <w:szCs w:val="20"/>
                <w:lang w:eastAsia="en-AU"/>
              </w:rPr>
              <w:t>Petroleum jelly; paraffin wax, micro-crystalline petroleum wax, slack wax, ozokerite, lignite wax, peat wax, other mineral waxes, similar products obtained by synthesis, other processes; coloured or not</w:t>
            </w:r>
          </w:p>
        </w:tc>
        <w:tc>
          <w:tcPr>
            <w:tcW w:w="2587" w:type="dxa"/>
            <w:shd w:val="clear" w:color="000000" w:fill="auto"/>
            <w:noWrap/>
            <w:vAlign w:val="center"/>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Vaseline</w:t>
            </w:r>
          </w:p>
        </w:tc>
        <w:tc>
          <w:tcPr>
            <w:tcW w:w="2977" w:type="dxa"/>
            <w:shd w:val="clear" w:color="000000" w:fill="auto"/>
            <w:noWrap/>
            <w:vAlign w:val="center"/>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https://shop.coles.com.au/a/a-vic-metro-coburg/product/vaseline-petroleum-jelly-102190p</w:t>
            </w:r>
          </w:p>
        </w:tc>
        <w:tc>
          <w:tcPr>
            <w:tcW w:w="992" w:type="dxa"/>
            <w:shd w:val="clear" w:color="000000" w:fill="auto"/>
            <w:noWrap/>
            <w:vAlign w:val="center"/>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$4.00</w:t>
            </w:r>
          </w:p>
        </w:tc>
        <w:tc>
          <w:tcPr>
            <w:tcW w:w="1556" w:type="dxa"/>
            <w:shd w:val="clear" w:color="000000" w:fill="auto"/>
            <w:noWrap/>
            <w:vAlign w:val="center"/>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100</w:t>
            </w:r>
            <w:r w:rsidR="00FF4742">
              <w:rPr>
                <w:rFonts w:ascii="Calibri" w:eastAsia="Times New Roman" w:hAnsi="Calibri" w:cs="Calibri"/>
                <w:sz w:val="20"/>
                <w:szCs w:val="20"/>
                <w:lang w:eastAsia="en-AU"/>
              </w:rPr>
              <w:t xml:space="preserve"> </w:t>
            </w:r>
            <w:r w:rsidRPr="006A74F8">
              <w:rPr>
                <w:rFonts w:ascii="Calibri" w:eastAsia="Times New Roman" w:hAnsi="Calibri" w:cs="Calibri"/>
                <w:sz w:val="20"/>
                <w:szCs w:val="20"/>
                <w:lang w:eastAsia="en-AU"/>
              </w:rPr>
              <w:t>g</w:t>
            </w:r>
          </w:p>
        </w:tc>
      </w:tr>
      <w:tr w:rsidR="00E52449" w:rsidRPr="006A74F8" w:rsidTr="00CD4A89">
        <w:trPr>
          <w:trHeight w:val="600"/>
        </w:trPr>
        <w:tc>
          <w:tcPr>
            <w:tcW w:w="14066" w:type="dxa"/>
            <w:gridSpan w:val="6"/>
            <w:shd w:val="clear" w:color="auto" w:fill="auto"/>
            <w:vAlign w:val="center"/>
          </w:tcPr>
          <w:p w:rsidR="00E52449" w:rsidRPr="006A74F8" w:rsidRDefault="00E52449" w:rsidP="00E52449">
            <w:pPr>
              <w:spacing w:after="0" w:line="240" w:lineRule="auto"/>
              <w:rPr>
                <w:rFonts w:ascii="Calibri" w:eastAsia="Times New Roman" w:hAnsi="Calibri" w:cs="Calibri"/>
                <w:color w:val="000000"/>
                <w:lang w:eastAsia="en-AU"/>
              </w:rPr>
            </w:pPr>
            <w:r w:rsidRPr="006A74F8">
              <w:rPr>
                <w:rFonts w:ascii="Calibri" w:eastAsia="Times New Roman" w:hAnsi="Calibri" w:cs="Calibri"/>
                <w:b/>
                <w:color w:val="000000"/>
                <w:lang w:eastAsia="en-AU"/>
              </w:rPr>
              <w:t>33 ESSENTIAL OILS AND RESINOIDS; PERFUMERY, COSMETIC OR TOILET PREPARATIONS</w:t>
            </w:r>
          </w:p>
        </w:tc>
      </w:tr>
      <w:tr w:rsidR="00E52449" w:rsidRPr="006A74F8" w:rsidTr="00CD4A89">
        <w:trPr>
          <w:trHeight w:val="600"/>
        </w:trPr>
        <w:tc>
          <w:tcPr>
            <w:tcW w:w="127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3301</w:t>
            </w:r>
          </w:p>
        </w:tc>
        <w:tc>
          <w:tcPr>
            <w:tcW w:w="4678" w:type="dxa"/>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Oils; essential (concretes, absolutes); concentrates thereof in fats, fixed oils, waxes or the like (obtained by enfleurage or maceration); aqueous distillates, solutions and terpenic by-products thereof; resinoids; extracted oleoresins</w:t>
            </w:r>
          </w:p>
        </w:tc>
        <w:tc>
          <w:tcPr>
            <w:tcW w:w="258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Lavender Premium Essential Oils</w:t>
            </w:r>
          </w:p>
        </w:tc>
        <w:tc>
          <w:tcPr>
            <w:tcW w:w="297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563C1"/>
                <w:sz w:val="20"/>
                <w:szCs w:val="20"/>
                <w:u w:val="single"/>
                <w:lang w:eastAsia="en-AU"/>
              </w:rPr>
            </w:pPr>
            <w:r w:rsidRPr="006A74F8">
              <w:rPr>
                <w:rFonts w:ascii="Calibri" w:eastAsia="Times New Roman" w:hAnsi="Calibri" w:cs="Calibri"/>
                <w:color w:val="000000"/>
                <w:sz w:val="20"/>
                <w:szCs w:val="20"/>
                <w:lang w:eastAsia="en-AU"/>
              </w:rPr>
              <w:t>http://www.ebay.com.au/itm/Lavender-Premium-Essential-Oils-100-Pure-Aromatherapy-Grade-10ml-50ml-100ml-/201574586268?_trksid=p2385738.m2548.l4275</w:t>
            </w:r>
          </w:p>
        </w:tc>
        <w:tc>
          <w:tcPr>
            <w:tcW w:w="992"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$7.95</w:t>
            </w:r>
          </w:p>
        </w:tc>
        <w:tc>
          <w:tcPr>
            <w:tcW w:w="155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100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ml</w:t>
            </w:r>
          </w:p>
        </w:tc>
      </w:tr>
      <w:tr w:rsidR="00E52449" w:rsidRPr="006A74F8" w:rsidTr="00CD4A89">
        <w:trPr>
          <w:trHeight w:val="300"/>
        </w:trPr>
        <w:tc>
          <w:tcPr>
            <w:tcW w:w="1276" w:type="dxa"/>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3302</w:t>
            </w:r>
          </w:p>
        </w:tc>
        <w:tc>
          <w:tcPr>
            <w:tcW w:w="4678" w:type="dxa"/>
            <w:vMerge w:val="restar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Odoriferous substances and mixtures (including alcoholic solutions) with a basis of one or more of these substances, of a kind used as raw materials in industry; other preparations based on odoriferous substances, of a kind used for beverage manufacture</w:t>
            </w:r>
          </w:p>
        </w:tc>
        <w:tc>
          <w:tcPr>
            <w:tcW w:w="258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w:t>
            </w:r>
          </w:p>
        </w:tc>
        <w:tc>
          <w:tcPr>
            <w:tcW w:w="297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w:t>
            </w:r>
          </w:p>
        </w:tc>
        <w:tc>
          <w:tcPr>
            <w:tcW w:w="992"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w:t>
            </w:r>
          </w:p>
        </w:tc>
        <w:tc>
          <w:tcPr>
            <w:tcW w:w="155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w:t>
            </w:r>
          </w:p>
        </w:tc>
      </w:tr>
      <w:tr w:rsidR="00E52449" w:rsidRPr="006A74F8" w:rsidTr="00CD4A89">
        <w:trPr>
          <w:trHeight w:val="300"/>
        </w:trPr>
        <w:tc>
          <w:tcPr>
            <w:tcW w:w="1276"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Bitters - Angostura</w:t>
            </w:r>
          </w:p>
        </w:tc>
        <w:tc>
          <w:tcPr>
            <w:tcW w:w="297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https://www.woolworths.com.au/shop/productdetails/73862/angostura-bitters-mixer</w:t>
            </w:r>
          </w:p>
        </w:tc>
        <w:tc>
          <w:tcPr>
            <w:tcW w:w="992"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$24.00</w:t>
            </w:r>
          </w:p>
        </w:tc>
        <w:tc>
          <w:tcPr>
            <w:tcW w:w="155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200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ml</w:t>
            </w:r>
          </w:p>
        </w:tc>
      </w:tr>
      <w:tr w:rsidR="00E52449" w:rsidRPr="006A74F8" w:rsidTr="00CD4A89">
        <w:trPr>
          <w:trHeight w:val="600"/>
        </w:trPr>
        <w:tc>
          <w:tcPr>
            <w:tcW w:w="127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3303</w:t>
            </w:r>
          </w:p>
        </w:tc>
        <w:tc>
          <w:tcPr>
            <w:tcW w:w="4678" w:type="dxa"/>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Perfumes and toilet waters</w:t>
            </w:r>
          </w:p>
        </w:tc>
        <w:tc>
          <w:tcPr>
            <w:tcW w:w="258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Calvin Klein One Shock for Him</w:t>
            </w:r>
          </w:p>
        </w:tc>
        <w:tc>
          <w:tcPr>
            <w:tcW w:w="297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http://www.chemistwarehouse.com.au/buy/65216/Calvin-Klein-One-Shock-for-Him-200ml?source=GS&amp;gclid=CJq6t_XS1NICFVUDvAodN1YE0A</w:t>
            </w:r>
          </w:p>
        </w:tc>
        <w:tc>
          <w:tcPr>
            <w:tcW w:w="992" w:type="dxa"/>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$32.99</w:t>
            </w:r>
          </w:p>
        </w:tc>
        <w:tc>
          <w:tcPr>
            <w:tcW w:w="155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200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ml</w:t>
            </w:r>
          </w:p>
        </w:tc>
      </w:tr>
      <w:tr w:rsidR="00E52449" w:rsidRPr="006A74F8" w:rsidTr="00CD4A89">
        <w:trPr>
          <w:trHeight w:val="300"/>
        </w:trPr>
        <w:tc>
          <w:tcPr>
            <w:tcW w:w="1276" w:type="dxa"/>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3304</w:t>
            </w:r>
          </w:p>
        </w:tc>
        <w:tc>
          <w:tcPr>
            <w:tcW w:w="4678" w:type="dxa"/>
            <w:vMerge w:val="restar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Cosmetic and toilet preparations; beauty, make-up and skin care preparations (excluding medicaments, including sunscreen or sun tan preparations), manicure or pedicure preparations</w:t>
            </w:r>
          </w:p>
        </w:tc>
        <w:tc>
          <w:tcPr>
            <w:tcW w:w="2587" w:type="dxa"/>
            <w:shd w:val="clear" w:color="auto" w:fill="auto"/>
            <w:vAlign w:val="center"/>
            <w:hideMark/>
          </w:tcPr>
          <w:p w:rsidR="00E52449" w:rsidRPr="006A74F8" w:rsidRDefault="00E52449" w:rsidP="0087741A">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L’Oréal Color Riche Lipstick 357 Red Carpet</w:t>
            </w:r>
          </w:p>
        </w:tc>
        <w:tc>
          <w:tcPr>
            <w:tcW w:w="297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https://www.cosmeticcapital.com.au/loreal-color-riche-lipstick-357-red-carpet</w:t>
            </w:r>
          </w:p>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992"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$6.95</w:t>
            </w:r>
          </w:p>
        </w:tc>
        <w:tc>
          <w:tcPr>
            <w:tcW w:w="155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5</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g</w:t>
            </w:r>
          </w:p>
        </w:tc>
      </w:tr>
      <w:tr w:rsidR="00E52449" w:rsidRPr="006A74F8" w:rsidTr="00CD4A89">
        <w:trPr>
          <w:trHeight w:val="300"/>
        </w:trPr>
        <w:tc>
          <w:tcPr>
            <w:tcW w:w="1276"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Opi Pedicure</w:t>
            </w:r>
          </w:p>
        </w:tc>
        <w:tc>
          <w:tcPr>
            <w:tcW w:w="297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https://www.chemistbeauty.com.au/shop/uncategorised/opi-pedicure-scrub-250ml/</w:t>
            </w:r>
          </w:p>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w:t>
            </w:r>
          </w:p>
        </w:tc>
        <w:tc>
          <w:tcPr>
            <w:tcW w:w="992"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$47.19</w:t>
            </w:r>
          </w:p>
        </w:tc>
        <w:tc>
          <w:tcPr>
            <w:tcW w:w="155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250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ml </w:t>
            </w:r>
          </w:p>
        </w:tc>
      </w:tr>
      <w:tr w:rsidR="00E52449" w:rsidRPr="006A74F8" w:rsidTr="00CD4A89">
        <w:trPr>
          <w:trHeight w:val="600"/>
        </w:trPr>
        <w:tc>
          <w:tcPr>
            <w:tcW w:w="127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lastRenderedPageBreak/>
              <w:t>3305</w:t>
            </w:r>
          </w:p>
        </w:tc>
        <w:tc>
          <w:tcPr>
            <w:tcW w:w="4678" w:type="dxa"/>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Hair preparations; for use on the hair</w:t>
            </w:r>
          </w:p>
        </w:tc>
        <w:tc>
          <w:tcPr>
            <w:tcW w:w="258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Rework Putty Wax - V05</w:t>
            </w:r>
          </w:p>
        </w:tc>
        <w:tc>
          <w:tcPr>
            <w:tcW w:w="297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https://www.woolworths.com.au/shop/productdetails/708654/vo5-texture-putty-rework</w:t>
            </w:r>
          </w:p>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992" w:type="dxa"/>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$7.50</w:t>
            </w:r>
          </w:p>
        </w:tc>
        <w:tc>
          <w:tcPr>
            <w:tcW w:w="155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150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ml</w:t>
            </w:r>
          </w:p>
        </w:tc>
      </w:tr>
      <w:tr w:rsidR="00E52449" w:rsidRPr="006A74F8" w:rsidTr="00CD4A89">
        <w:trPr>
          <w:trHeight w:val="300"/>
        </w:trPr>
        <w:tc>
          <w:tcPr>
            <w:tcW w:w="1276" w:type="dxa"/>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3306</w:t>
            </w:r>
          </w:p>
        </w:tc>
        <w:tc>
          <w:tcPr>
            <w:tcW w:w="4678" w:type="dxa"/>
            <w:vMerge w:val="restar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Oral or dental hygiene preparations; including fixative pastes and powders; yarn used to clean between the teeth (dental floss), in individual retail packages</w:t>
            </w:r>
          </w:p>
        </w:tc>
        <w:tc>
          <w:tcPr>
            <w:tcW w:w="258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Sensitive Pro Relief Whitening Toothpaste – Colgate</w:t>
            </w:r>
          </w:p>
        </w:tc>
        <w:tc>
          <w:tcPr>
            <w:tcW w:w="297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https://shop.coles.com.au/a/a-national/product/colgate-pro-relief-toothpaste-sensitive-whitening</w:t>
            </w:r>
          </w:p>
        </w:tc>
        <w:tc>
          <w:tcPr>
            <w:tcW w:w="992"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$10.00</w:t>
            </w:r>
          </w:p>
        </w:tc>
        <w:tc>
          <w:tcPr>
            <w:tcW w:w="155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110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g</w:t>
            </w:r>
          </w:p>
        </w:tc>
      </w:tr>
      <w:tr w:rsidR="00E52449" w:rsidRPr="006A74F8" w:rsidTr="00CD4A89">
        <w:trPr>
          <w:trHeight w:val="300"/>
        </w:trPr>
        <w:tc>
          <w:tcPr>
            <w:tcW w:w="1276"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Waxed Dental Floss Mint Flavour - Oral B</w:t>
            </w:r>
          </w:p>
        </w:tc>
        <w:tc>
          <w:tcPr>
            <w:tcW w:w="297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https://www.priceline.com.au/oral-b-essential-waxed-dental-floss-mint-flavour-50-metres</w:t>
            </w:r>
          </w:p>
        </w:tc>
        <w:tc>
          <w:tcPr>
            <w:tcW w:w="992"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$3.49</w:t>
            </w:r>
          </w:p>
        </w:tc>
        <w:tc>
          <w:tcPr>
            <w:tcW w:w="155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50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m</w:t>
            </w:r>
          </w:p>
        </w:tc>
      </w:tr>
      <w:tr w:rsidR="00E52449" w:rsidRPr="006A74F8" w:rsidTr="00CD4A89">
        <w:trPr>
          <w:trHeight w:val="600"/>
        </w:trPr>
        <w:tc>
          <w:tcPr>
            <w:tcW w:w="127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3307</w:t>
            </w:r>
          </w:p>
        </w:tc>
        <w:tc>
          <w:tcPr>
            <w:tcW w:w="4678" w:type="dxa"/>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Perfumery, cosmetic or toilet preparations; pre-shave, shaving, after-shave, bath preparations; personal deodorants and depilatories; room deodorisers, perfumed or not with disinfectant properties or not</w:t>
            </w:r>
          </w:p>
        </w:tc>
        <w:tc>
          <w:tcPr>
            <w:tcW w:w="258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Refresh Aftershave Lotion – Brut</w:t>
            </w:r>
          </w:p>
        </w:tc>
        <w:tc>
          <w:tcPr>
            <w:tcW w:w="2977"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https://shop.coles.com.au/a/a-national/product/brut-aftershave-lotion-refresh</w:t>
            </w:r>
          </w:p>
        </w:tc>
        <w:tc>
          <w:tcPr>
            <w:tcW w:w="992"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$10.50</w:t>
            </w:r>
          </w:p>
        </w:tc>
        <w:tc>
          <w:tcPr>
            <w:tcW w:w="1556"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100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ml</w:t>
            </w:r>
          </w:p>
        </w:tc>
      </w:tr>
      <w:tr w:rsidR="00E52449" w:rsidRPr="006A74F8" w:rsidTr="00CD4A89">
        <w:trPr>
          <w:trHeight w:val="300"/>
        </w:trPr>
        <w:tc>
          <w:tcPr>
            <w:tcW w:w="14066" w:type="dxa"/>
            <w:gridSpan w:val="6"/>
            <w:shd w:val="clear" w:color="auto" w:fill="auto"/>
            <w:noWrap/>
            <w:vAlign w:val="center"/>
          </w:tcPr>
          <w:p w:rsidR="00E52449" w:rsidRPr="006A74F8" w:rsidRDefault="00E52449" w:rsidP="00E52449">
            <w:pPr>
              <w:spacing w:after="0" w:line="240" w:lineRule="auto"/>
              <w:rPr>
                <w:rFonts w:ascii="Calibri" w:eastAsia="Times New Roman" w:hAnsi="Calibri" w:cs="Calibri"/>
                <w:color w:val="000000"/>
                <w:lang w:eastAsia="en-AU"/>
              </w:rPr>
            </w:pPr>
            <w:r w:rsidRPr="006A74F8">
              <w:rPr>
                <w:rFonts w:ascii="Calibri" w:eastAsia="Times New Roman" w:hAnsi="Calibri" w:cs="Calibri"/>
                <w:b/>
                <w:color w:val="000000"/>
                <w:lang w:eastAsia="en-AU"/>
              </w:rPr>
              <w:t>34 SOAP, ORGANIC SURFACE-ACTIVE AGENTS; WASHING, LUBRICATING, POLISHING OR SCOURING PREPARATIONS; ARTIFICIAL OR PREPARED WAXES, CANDLES AND SIMILAR ARTICLES, MODELLING PASTES, DENTAL WAXES AND DENTAL PREPARATIONS WITH A BASIS OF PLASTER</w:t>
            </w:r>
          </w:p>
        </w:tc>
      </w:tr>
      <w:tr w:rsidR="00E52449" w:rsidRPr="006A74F8" w:rsidTr="00CD4A89">
        <w:trPr>
          <w:trHeight w:val="300"/>
        </w:trPr>
        <w:tc>
          <w:tcPr>
            <w:tcW w:w="1276" w:type="dxa"/>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3401</w:t>
            </w:r>
          </w:p>
        </w:tc>
        <w:tc>
          <w:tcPr>
            <w:tcW w:w="4678" w:type="dxa"/>
            <w:vMerge w:val="restar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Soap; organic surface-active preparations used as soap, skin washing, in bars, cakes, moulded pieces, shapes, liquid or cream, containing soap or not; for retail, paper, wadding, felt and nonwovens, impregnated, coated or covered with soap or detergent</w:t>
            </w:r>
          </w:p>
        </w:tc>
        <w:tc>
          <w:tcPr>
            <w:tcW w:w="258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Regular Beauty Cream Bar 4pk - Dove</w:t>
            </w:r>
          </w:p>
        </w:tc>
        <w:tc>
          <w:tcPr>
            <w:tcW w:w="297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https://shop.coles.com.au/a/a-national/product/dove-soap-beauty-creme-bar-regular</w:t>
            </w:r>
          </w:p>
        </w:tc>
        <w:tc>
          <w:tcPr>
            <w:tcW w:w="9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$6.80</w:t>
            </w:r>
          </w:p>
        </w:tc>
        <w:tc>
          <w:tcPr>
            <w:tcW w:w="155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400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g</w:t>
            </w:r>
          </w:p>
        </w:tc>
      </w:tr>
      <w:tr w:rsidR="00E52449" w:rsidRPr="006A74F8" w:rsidTr="00CD4A89">
        <w:trPr>
          <w:trHeight w:val="300"/>
        </w:trPr>
        <w:tc>
          <w:tcPr>
            <w:tcW w:w="1276"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Evenly Gorgeous Bodywash - Lux</w:t>
            </w:r>
          </w:p>
        </w:tc>
        <w:tc>
          <w:tcPr>
            <w:tcW w:w="297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563C1"/>
                <w:sz w:val="20"/>
                <w:szCs w:val="20"/>
                <w:lang w:eastAsia="en-AU"/>
              </w:rPr>
            </w:pPr>
            <w:r w:rsidRPr="006A74F8">
              <w:rPr>
                <w:rFonts w:ascii="Calibri" w:eastAsia="Times New Roman" w:hAnsi="Calibri" w:cs="Calibri"/>
                <w:color w:val="000000" w:themeColor="text1"/>
                <w:sz w:val="20"/>
                <w:szCs w:val="20"/>
                <w:lang w:eastAsia="en-AU"/>
              </w:rPr>
              <w:t>https://www.priceline.com.au/lux-body-wash-evenly-gorgeous-400-ml</w:t>
            </w:r>
          </w:p>
        </w:tc>
        <w:tc>
          <w:tcPr>
            <w:tcW w:w="9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$5.99</w:t>
            </w:r>
          </w:p>
        </w:tc>
        <w:tc>
          <w:tcPr>
            <w:tcW w:w="155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400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ml</w:t>
            </w:r>
          </w:p>
        </w:tc>
      </w:tr>
      <w:tr w:rsidR="00E52449" w:rsidRPr="006A74F8" w:rsidTr="00CD4A89">
        <w:trPr>
          <w:trHeight w:val="300"/>
        </w:trPr>
        <w:tc>
          <w:tcPr>
            <w:tcW w:w="1276"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w:t>
            </w:r>
          </w:p>
        </w:tc>
        <w:tc>
          <w:tcPr>
            <w:tcW w:w="297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w:t>
            </w:r>
          </w:p>
        </w:tc>
        <w:tc>
          <w:tcPr>
            <w:tcW w:w="9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w:t>
            </w:r>
          </w:p>
        </w:tc>
        <w:tc>
          <w:tcPr>
            <w:tcW w:w="155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w:t>
            </w:r>
          </w:p>
        </w:tc>
      </w:tr>
      <w:tr w:rsidR="00E52449" w:rsidRPr="006A74F8" w:rsidTr="00CD4A89">
        <w:trPr>
          <w:trHeight w:val="300"/>
        </w:trPr>
        <w:tc>
          <w:tcPr>
            <w:tcW w:w="1276" w:type="dxa"/>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3402</w:t>
            </w:r>
          </w:p>
        </w:tc>
        <w:tc>
          <w:tcPr>
            <w:tcW w:w="4678" w:type="dxa"/>
            <w:vMerge w:val="restar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Organic surface-active agents (not soap); surface-active, washing (including auxiliary washing) and cleaning preparations, containing soap or not, excluding those of heading no. 3401</w:t>
            </w:r>
          </w:p>
        </w:tc>
        <w:tc>
          <w:tcPr>
            <w:tcW w:w="258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Ultimate Front and Top Loader Laundry Detergent Washing Powder - OMO</w:t>
            </w:r>
          </w:p>
        </w:tc>
        <w:tc>
          <w:tcPr>
            <w:tcW w:w="297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https://www.woolworths.com.au/shop/productdetails/430629/omo-ultimate-laundry-detergent-powder-front-top-loader</w:t>
            </w:r>
          </w:p>
        </w:tc>
        <w:tc>
          <w:tcPr>
            <w:tcW w:w="9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trike/>
                <w:color w:val="000000"/>
                <w:sz w:val="20"/>
                <w:szCs w:val="20"/>
                <w:lang w:eastAsia="en-AU"/>
              </w:rPr>
            </w:pPr>
            <w:r w:rsidRPr="006A74F8">
              <w:rPr>
                <w:rFonts w:ascii="Calibri" w:eastAsia="Times New Roman" w:hAnsi="Calibri" w:cs="Calibri"/>
                <w:color w:val="000000"/>
                <w:sz w:val="20"/>
                <w:szCs w:val="20"/>
                <w:lang w:eastAsia="en-AU"/>
              </w:rPr>
              <w:t>$30.00</w:t>
            </w:r>
          </w:p>
        </w:tc>
        <w:tc>
          <w:tcPr>
            <w:tcW w:w="155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2000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g</w:t>
            </w:r>
          </w:p>
        </w:tc>
      </w:tr>
      <w:tr w:rsidR="00E52449" w:rsidRPr="006A74F8" w:rsidTr="00CD4A89">
        <w:trPr>
          <w:trHeight w:val="300"/>
        </w:trPr>
        <w:tc>
          <w:tcPr>
            <w:tcW w:w="1276"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lang w:eastAsia="en-AU"/>
              </w:rPr>
            </w:pPr>
          </w:p>
        </w:tc>
        <w:tc>
          <w:tcPr>
            <w:tcW w:w="4678"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lang w:eastAsia="en-AU"/>
              </w:rPr>
            </w:pPr>
          </w:p>
        </w:tc>
        <w:tc>
          <w:tcPr>
            <w:tcW w:w="258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Super Strength Dishwashing Liquid - Morning Fresh</w:t>
            </w:r>
          </w:p>
        </w:tc>
        <w:tc>
          <w:tcPr>
            <w:tcW w:w="297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https://shop.coles.com.au/a/a-national/product/morning-fresh-dishwashing-liquid-super-concentrate-lemon-fresh</w:t>
            </w:r>
          </w:p>
        </w:tc>
        <w:tc>
          <w:tcPr>
            <w:tcW w:w="9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$7.50)</w:t>
            </w:r>
          </w:p>
        </w:tc>
        <w:tc>
          <w:tcPr>
            <w:tcW w:w="155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900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ml</w:t>
            </w:r>
          </w:p>
        </w:tc>
      </w:tr>
      <w:tr w:rsidR="00E52449" w:rsidRPr="006A74F8" w:rsidTr="00CD4A89">
        <w:trPr>
          <w:trHeight w:val="300"/>
        </w:trPr>
        <w:tc>
          <w:tcPr>
            <w:tcW w:w="1276" w:type="dxa"/>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3403</w:t>
            </w:r>
          </w:p>
        </w:tc>
        <w:tc>
          <w:tcPr>
            <w:tcW w:w="4678" w:type="dxa"/>
            <w:vMerge w:val="restar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Lubricating preparations and those used in oil or grease treatment of textile and similar materials; excluding preparations containing 70% or more (by weight) of petroleum or bituminous mineral oils</w:t>
            </w:r>
          </w:p>
        </w:tc>
        <w:tc>
          <w:tcPr>
            <w:tcW w:w="258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Dubbin - Joseph Lyddy</w:t>
            </w:r>
          </w:p>
        </w:tc>
        <w:tc>
          <w:tcPr>
            <w:tcW w:w="297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lastRenderedPageBreak/>
              <w:t>https://www.rsea.com.au/work-boots/accessories/waproo-polish-dubbin-waterproofing-neutral-125g-jl0970125</w:t>
            </w:r>
          </w:p>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9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lastRenderedPageBreak/>
              <w:t xml:space="preserve"> $13.95</w:t>
            </w:r>
          </w:p>
        </w:tc>
        <w:tc>
          <w:tcPr>
            <w:tcW w:w="155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125</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g</w:t>
            </w:r>
          </w:p>
        </w:tc>
      </w:tr>
      <w:tr w:rsidR="00E52449" w:rsidRPr="006A74F8" w:rsidTr="00CD4A89">
        <w:trPr>
          <w:trHeight w:val="300"/>
        </w:trPr>
        <w:tc>
          <w:tcPr>
            <w:tcW w:w="1276"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Neatsfoot Oil - Joseph Lyddy</w:t>
            </w:r>
          </w:p>
        </w:tc>
        <w:tc>
          <w:tcPr>
            <w:tcW w:w="2977" w:type="dxa"/>
            <w:shd w:val="clear" w:color="auto" w:fill="auto"/>
            <w:noWrap/>
            <w:vAlign w:val="center"/>
            <w:hideMark/>
          </w:tcPr>
          <w:p w:rsidR="0087741A" w:rsidRPr="006A74F8" w:rsidRDefault="00E52449" w:rsidP="0087741A">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https://www.simonmartinwhips.com.au/product/neatsfoot-oil-joseph-lyddy/</w:t>
            </w:r>
          </w:p>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9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$32.95</w:t>
            </w:r>
          </w:p>
        </w:tc>
        <w:tc>
          <w:tcPr>
            <w:tcW w:w="155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1000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ml</w:t>
            </w:r>
          </w:p>
        </w:tc>
      </w:tr>
      <w:tr w:rsidR="00E52449" w:rsidRPr="006A74F8" w:rsidTr="00CD4A89">
        <w:trPr>
          <w:trHeight w:val="600"/>
        </w:trPr>
        <w:tc>
          <w:tcPr>
            <w:tcW w:w="127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3404</w:t>
            </w:r>
          </w:p>
        </w:tc>
        <w:tc>
          <w:tcPr>
            <w:tcW w:w="4678" w:type="dxa"/>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Waxes; artificial, prepared</w:t>
            </w:r>
          </w:p>
        </w:tc>
        <w:tc>
          <w:tcPr>
            <w:tcW w:w="258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Paraffin Container Wax</w:t>
            </w:r>
          </w:p>
        </w:tc>
        <w:tc>
          <w:tcPr>
            <w:tcW w:w="297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563C1"/>
                <w:sz w:val="20"/>
                <w:szCs w:val="20"/>
                <w:lang w:eastAsia="en-AU"/>
              </w:rPr>
            </w:pPr>
            <w:r w:rsidRPr="006A74F8">
              <w:rPr>
                <w:rFonts w:ascii="Calibri" w:eastAsia="Times New Roman" w:hAnsi="Calibri" w:cs="Calibri"/>
                <w:color w:val="000000" w:themeColor="text1"/>
                <w:sz w:val="20"/>
                <w:szCs w:val="20"/>
                <w:lang w:eastAsia="en-AU"/>
              </w:rPr>
              <w:t>https://candlemaking.com.au/collections/paraffin-wax/products/paraffin-slabs-60-62?variant=10806924541995</w:t>
            </w:r>
          </w:p>
        </w:tc>
        <w:tc>
          <w:tcPr>
            <w:tcW w:w="9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$39.65</w:t>
            </w:r>
          </w:p>
        </w:tc>
        <w:tc>
          <w:tcPr>
            <w:tcW w:w="155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4.5</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kg</w:t>
            </w:r>
          </w:p>
        </w:tc>
      </w:tr>
      <w:tr w:rsidR="00E52449" w:rsidRPr="006A74F8" w:rsidTr="00CD4A89">
        <w:trPr>
          <w:trHeight w:val="600"/>
        </w:trPr>
        <w:tc>
          <w:tcPr>
            <w:tcW w:w="127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3405</w:t>
            </w:r>
          </w:p>
        </w:tc>
        <w:tc>
          <w:tcPr>
            <w:tcW w:w="4678" w:type="dxa"/>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Polishes, creams, scouring pastes, powders and similar; in any form, (including articles impregnated, coated or covered with such), for furniture, footwear, floors, coachwork, glass or metal</w:t>
            </w:r>
          </w:p>
        </w:tc>
        <w:tc>
          <w:tcPr>
            <w:tcW w:w="258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Liquid Furniture Polish - O' Cedar </w:t>
            </w:r>
          </w:p>
        </w:tc>
        <w:tc>
          <w:tcPr>
            <w:tcW w:w="2977" w:type="dxa"/>
            <w:shd w:val="clear" w:color="auto" w:fill="auto"/>
            <w:vAlign w:val="center"/>
            <w:hideMark/>
          </w:tcPr>
          <w:p w:rsidR="00E52449" w:rsidRPr="006A74F8" w:rsidRDefault="00480B0E" w:rsidP="00E52449">
            <w:pPr>
              <w:spacing w:after="0" w:line="240" w:lineRule="auto"/>
              <w:jc w:val="center"/>
              <w:rPr>
                <w:rFonts w:ascii="Calibri" w:eastAsia="Times New Roman" w:hAnsi="Calibri" w:cs="Calibri"/>
                <w:color w:val="000000" w:themeColor="text1"/>
                <w:sz w:val="20"/>
                <w:szCs w:val="20"/>
                <w:lang w:eastAsia="en-AU"/>
              </w:rPr>
            </w:pPr>
            <w:hyperlink r:id="rId40" w:history="1">
              <w:r w:rsidR="00E52449" w:rsidRPr="006A74F8">
                <w:rPr>
                  <w:rFonts w:ascii="Calibri" w:eastAsia="Times New Roman" w:hAnsi="Calibri" w:cs="Calibri"/>
                  <w:color w:val="000000" w:themeColor="text1"/>
                  <w:sz w:val="20"/>
                  <w:szCs w:val="20"/>
                  <w:lang w:eastAsia="en-AU"/>
                </w:rPr>
                <w:t xml:space="preserve">https://shop.coles.com.au/a/a-national/product/o-cedar-liquid-furniture-polish </w:t>
              </w:r>
            </w:hyperlink>
          </w:p>
        </w:tc>
        <w:tc>
          <w:tcPr>
            <w:tcW w:w="9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$8.00</w:t>
            </w:r>
          </w:p>
        </w:tc>
        <w:tc>
          <w:tcPr>
            <w:tcW w:w="155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300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ml</w:t>
            </w:r>
          </w:p>
        </w:tc>
      </w:tr>
      <w:tr w:rsidR="00E52449" w:rsidRPr="006A74F8" w:rsidTr="00CD4A89">
        <w:trPr>
          <w:trHeight w:val="600"/>
        </w:trPr>
        <w:tc>
          <w:tcPr>
            <w:tcW w:w="127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3406</w:t>
            </w:r>
          </w:p>
        </w:tc>
        <w:tc>
          <w:tcPr>
            <w:tcW w:w="4678" w:type="dxa"/>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Candles, tapers and the like</w:t>
            </w:r>
          </w:p>
        </w:tc>
        <w:tc>
          <w:tcPr>
            <w:tcW w:w="258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 in 1 Vanilla Passionfruit and Hawaiian Breeze Candle - Johnson</w:t>
            </w:r>
          </w:p>
        </w:tc>
        <w:tc>
          <w:tcPr>
            <w:tcW w:w="297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themeColor="text1"/>
                <w:sz w:val="20"/>
                <w:szCs w:val="20"/>
                <w:lang w:eastAsia="en-AU"/>
              </w:rPr>
            </w:pPr>
            <w:r w:rsidRPr="006A74F8">
              <w:rPr>
                <w:rFonts w:ascii="Calibri" w:eastAsia="Times New Roman" w:hAnsi="Calibri" w:cs="Calibri"/>
                <w:color w:val="000000" w:themeColor="text1"/>
                <w:sz w:val="20"/>
                <w:szCs w:val="20"/>
                <w:lang w:eastAsia="en-AU"/>
              </w:rPr>
              <w:t>https://www.amazon.com.au/Glade-Freshener-Hawaiian-Vanilla-Passion/dp/B01B2H68UU</w:t>
            </w:r>
          </w:p>
        </w:tc>
        <w:tc>
          <w:tcPr>
            <w:tcW w:w="9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$11.28</w:t>
            </w:r>
          </w:p>
        </w:tc>
        <w:tc>
          <w:tcPr>
            <w:tcW w:w="155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96.3</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g</w:t>
            </w:r>
          </w:p>
        </w:tc>
      </w:tr>
      <w:tr w:rsidR="00E52449" w:rsidRPr="006A74F8" w:rsidTr="00CD4A89">
        <w:trPr>
          <w:trHeight w:val="600"/>
        </w:trPr>
        <w:tc>
          <w:tcPr>
            <w:tcW w:w="127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3407</w:t>
            </w:r>
          </w:p>
        </w:tc>
        <w:tc>
          <w:tcPr>
            <w:tcW w:w="4678" w:type="dxa"/>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Modelling pastes, including those for children; dental wax, impression compounds, in sets or packings for retail sale or in plates and similar forms; dentistry preparations with plaster base</w:t>
            </w:r>
          </w:p>
        </w:tc>
        <w:tc>
          <w:tcPr>
            <w:tcW w:w="258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trike/>
                <w:color w:val="000000"/>
                <w:sz w:val="20"/>
                <w:szCs w:val="20"/>
                <w:lang w:eastAsia="en-AU"/>
              </w:rPr>
            </w:pPr>
            <w:r w:rsidRPr="006A74F8">
              <w:rPr>
                <w:rFonts w:ascii="Calibri" w:eastAsia="Times New Roman" w:hAnsi="Calibri" w:cs="Calibri"/>
                <w:color w:val="000000"/>
                <w:sz w:val="20"/>
                <w:szCs w:val="20"/>
                <w:lang w:eastAsia="en-AU"/>
              </w:rPr>
              <w:t>Piksters Orthodontic Wax</w:t>
            </w:r>
          </w:p>
        </w:tc>
        <w:tc>
          <w:tcPr>
            <w:tcW w:w="297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themeColor="text1"/>
                <w:sz w:val="20"/>
                <w:szCs w:val="20"/>
                <w:lang w:eastAsia="en-AU"/>
              </w:rPr>
            </w:pPr>
            <w:r w:rsidRPr="006A74F8">
              <w:rPr>
                <w:rFonts w:ascii="Calibri" w:eastAsia="Times New Roman" w:hAnsi="Calibri" w:cs="Calibri"/>
                <w:color w:val="000000" w:themeColor="text1"/>
                <w:sz w:val="20"/>
                <w:szCs w:val="20"/>
                <w:lang w:eastAsia="en-AU"/>
              </w:rPr>
              <w:t>https://www.chemistwarehouse.com.au/buy/90581/piksters-orthodontic-wax-value-pack</w:t>
            </w:r>
          </w:p>
        </w:tc>
        <w:tc>
          <w:tcPr>
            <w:tcW w:w="9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 xml:space="preserve"> $3.99</w:t>
            </w:r>
          </w:p>
        </w:tc>
        <w:tc>
          <w:tcPr>
            <w:tcW w:w="155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40</w:t>
            </w:r>
            <w:r w:rsidR="00FF4742">
              <w:rPr>
                <w:rFonts w:ascii="Calibri" w:eastAsia="Times New Roman" w:hAnsi="Calibri" w:cs="Calibri"/>
                <w:color w:val="000000"/>
                <w:sz w:val="20"/>
                <w:szCs w:val="20"/>
                <w:lang w:eastAsia="en-AU"/>
              </w:rPr>
              <w:t xml:space="preserve"> </w:t>
            </w:r>
            <w:r w:rsidRPr="006A74F8">
              <w:rPr>
                <w:rFonts w:ascii="Calibri" w:eastAsia="Times New Roman" w:hAnsi="Calibri" w:cs="Calibri"/>
                <w:color w:val="000000"/>
                <w:sz w:val="20"/>
                <w:szCs w:val="20"/>
                <w:lang w:eastAsia="en-AU"/>
              </w:rPr>
              <w:t xml:space="preserve">g  </w:t>
            </w:r>
          </w:p>
        </w:tc>
      </w:tr>
    </w:tbl>
    <w:p w:rsidR="00E52449" w:rsidRPr="006A74F8" w:rsidRDefault="00E52449" w:rsidP="00E52449">
      <w:pPr>
        <w:keepNext/>
        <w:spacing w:after="200" w:line="240" w:lineRule="auto"/>
        <w:rPr>
          <w:rFonts w:ascii="Arial" w:eastAsia="Calibri" w:hAnsi="Arial" w:cs="Times New Roman"/>
          <w:i/>
          <w:iCs/>
          <w:color w:val="2C2C2D"/>
          <w:sz w:val="2"/>
          <w:szCs w:val="2"/>
        </w:rPr>
      </w:pPr>
    </w:p>
    <w:p w:rsidR="00E52449" w:rsidRPr="006A74F8" w:rsidRDefault="00E52449" w:rsidP="00E52449">
      <w:pPr>
        <w:rPr>
          <w:rFonts w:ascii="Arial" w:eastAsia="Times New Roman" w:hAnsi="Arial" w:cs="Times New Roman"/>
          <w:color w:val="00283E"/>
          <w:sz w:val="36"/>
          <w:szCs w:val="24"/>
        </w:rPr>
      </w:pPr>
      <w:bookmarkStart w:id="2748" w:name="_Toc479769520"/>
      <w:bookmarkStart w:id="2749" w:name="_Toc493510786"/>
      <w:bookmarkStart w:id="2750" w:name="_Toc500929404"/>
      <w:bookmarkStart w:id="2751" w:name="_Toc501463864"/>
      <w:bookmarkStart w:id="2752" w:name="_Toc503535579"/>
      <w:r w:rsidRPr="006A74F8">
        <w:rPr>
          <w:rFonts w:ascii="Arial" w:eastAsia="Calibri" w:hAnsi="Arial" w:cs="Times New Roman"/>
        </w:rPr>
        <w:br w:type="page"/>
      </w:r>
    </w:p>
    <w:p w:rsidR="00E52449" w:rsidRPr="006A74F8" w:rsidRDefault="00E52449" w:rsidP="00294766">
      <w:pPr>
        <w:pStyle w:val="Heading3"/>
        <w:tabs>
          <w:tab w:val="left" w:pos="993"/>
        </w:tabs>
        <w:rPr>
          <w:rFonts w:eastAsia="Times New Roman"/>
        </w:rPr>
      </w:pPr>
      <w:bookmarkStart w:id="2753" w:name="_Estimated_costs_to"/>
      <w:bookmarkStart w:id="2754" w:name="_Toc503539756"/>
      <w:bookmarkStart w:id="2755" w:name="_Ref503861499"/>
      <w:bookmarkStart w:id="2756" w:name="_Toc503882290"/>
      <w:bookmarkStart w:id="2757" w:name="_Ref506197124"/>
      <w:bookmarkStart w:id="2758" w:name="_Ref506197133"/>
      <w:bookmarkStart w:id="2759" w:name="_Toc518032806"/>
      <w:bookmarkStart w:id="2760" w:name="_Ref67652959"/>
      <w:bookmarkStart w:id="2761" w:name="_Ref67652961"/>
      <w:bookmarkStart w:id="2762" w:name="_Ref67653877"/>
      <w:bookmarkStart w:id="2763" w:name="_Ref67655829"/>
      <w:bookmarkStart w:id="2764" w:name="_Ref67655839"/>
      <w:bookmarkStart w:id="2765" w:name="_Ref67655846"/>
      <w:bookmarkEnd w:id="2753"/>
      <w:r w:rsidRPr="006A74F8">
        <w:rPr>
          <w:rFonts w:eastAsia="Times New Roman"/>
        </w:rPr>
        <w:lastRenderedPageBreak/>
        <w:t>Estimated costs to industry for each cosmetic class – boundary cases</w:t>
      </w:r>
      <w:bookmarkEnd w:id="2748"/>
      <w:bookmarkEnd w:id="2749"/>
      <w:bookmarkEnd w:id="2750"/>
      <w:bookmarkEnd w:id="2751"/>
      <w:bookmarkEnd w:id="2752"/>
      <w:bookmarkEnd w:id="2754"/>
      <w:bookmarkEnd w:id="2755"/>
      <w:bookmarkEnd w:id="2756"/>
      <w:bookmarkEnd w:id="2757"/>
      <w:bookmarkEnd w:id="2758"/>
      <w:bookmarkEnd w:id="2759"/>
      <w:bookmarkEnd w:id="2760"/>
      <w:bookmarkEnd w:id="2761"/>
      <w:bookmarkEnd w:id="2762"/>
      <w:bookmarkEnd w:id="2763"/>
      <w:bookmarkEnd w:id="2764"/>
      <w:bookmarkEnd w:id="2765"/>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28</w:t>
      </w:r>
      <w:r w:rsidR="00D003A8" w:rsidRPr="006A74F8">
        <w:rPr>
          <w:noProof/>
        </w:rPr>
        <w:fldChar w:fldCharType="end"/>
      </w:r>
      <w:r w:rsidRPr="006A74F8">
        <w:t xml:space="preserve">: Upper and lower estimates for relabelling of cosmetic products imported from the EU </w:t>
      </w:r>
      <w:r w:rsidR="00464036" w:rsidRPr="006A74F8">
        <w:t xml:space="preserve">(and the UK) </w:t>
      </w:r>
      <w:r w:rsidRPr="006A74F8">
        <w:t>calculated from proxy costs</w:t>
      </w:r>
    </w:p>
    <w:tbl>
      <w:tblPr>
        <w:tblW w:w="1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7: Upper and lower estimates for relabelling of cosmetic products imported from the EU calculated from proxy costs"/>
        <w:tblDescription w:val="Table 27 estimates the costs to industry for each cosmetic class."/>
      </w:tblPr>
      <w:tblGrid>
        <w:gridCol w:w="904"/>
        <w:gridCol w:w="1650"/>
        <w:gridCol w:w="1200"/>
        <w:gridCol w:w="1361"/>
        <w:gridCol w:w="1345"/>
        <w:gridCol w:w="1892"/>
        <w:gridCol w:w="1566"/>
        <w:gridCol w:w="1178"/>
        <w:gridCol w:w="1879"/>
        <w:gridCol w:w="1879"/>
      </w:tblGrid>
      <w:tr w:rsidR="00E52449" w:rsidRPr="006A74F8" w:rsidTr="000C4F1B">
        <w:trPr>
          <w:trHeight w:val="765"/>
        </w:trPr>
        <w:tc>
          <w:tcPr>
            <w:tcW w:w="0" w:type="auto"/>
            <w:shd w:val="clear" w:color="auto" w:fill="1F3864"/>
            <w:noWrap/>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HS Code</w:t>
            </w:r>
          </w:p>
        </w:tc>
        <w:tc>
          <w:tcPr>
            <w:tcW w:w="1650"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Product value</w:t>
            </w:r>
          </w:p>
        </w:tc>
        <w:tc>
          <w:tcPr>
            <w:tcW w:w="1200"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Est. price per unit</w:t>
            </w:r>
          </w:p>
        </w:tc>
        <w:tc>
          <w:tcPr>
            <w:tcW w:w="1361"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 xml:space="preserve">Unit import no. per year </w:t>
            </w:r>
          </w:p>
        </w:tc>
        <w:tc>
          <w:tcPr>
            <w:tcW w:w="0" w:type="auto"/>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 xml:space="preserve">5 % relabelled </w:t>
            </w:r>
          </w:p>
        </w:tc>
        <w:tc>
          <w:tcPr>
            <w:tcW w:w="1892"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 xml:space="preserve"> $0.3 Re-labelling cost per unit </w:t>
            </w:r>
          </w:p>
        </w:tc>
        <w:tc>
          <w:tcPr>
            <w:tcW w:w="1566"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 xml:space="preserve"> $0.7 Re-labelling cost per unit </w:t>
            </w:r>
          </w:p>
        </w:tc>
        <w:tc>
          <w:tcPr>
            <w:tcW w:w="1178"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30% relabelled</w:t>
            </w:r>
          </w:p>
        </w:tc>
        <w:tc>
          <w:tcPr>
            <w:tcW w:w="1879"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 xml:space="preserve"> $0.3 Re-labelling cost per unit </w:t>
            </w:r>
          </w:p>
        </w:tc>
        <w:tc>
          <w:tcPr>
            <w:tcW w:w="1879"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 xml:space="preserve"> $0.7 Re-labelling cost per unit </w:t>
            </w:r>
          </w:p>
        </w:tc>
      </w:tr>
      <w:tr w:rsidR="00E52449" w:rsidRPr="006A74F8" w:rsidTr="00CD4A89">
        <w:trPr>
          <w:trHeight w:val="255"/>
        </w:trPr>
        <w:tc>
          <w:tcPr>
            <w:tcW w:w="0" w:type="auto"/>
            <w:shd w:val="clear" w:color="auto" w:fill="auto"/>
            <w:vAlign w:val="center"/>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2712</w:t>
            </w:r>
          </w:p>
        </w:tc>
        <w:tc>
          <w:tcPr>
            <w:tcW w:w="1650"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$2,407,255</w:t>
            </w:r>
          </w:p>
        </w:tc>
        <w:tc>
          <w:tcPr>
            <w:tcW w:w="1200"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$4.00</w:t>
            </w:r>
          </w:p>
        </w:tc>
        <w:tc>
          <w:tcPr>
            <w:tcW w:w="1361"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601,814</w:t>
            </w:r>
          </w:p>
        </w:tc>
        <w:tc>
          <w:tcPr>
            <w:tcW w:w="0" w:type="auto"/>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30,091</w:t>
            </w:r>
          </w:p>
        </w:tc>
        <w:tc>
          <w:tcPr>
            <w:tcW w:w="1892"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$9,027</w:t>
            </w:r>
          </w:p>
        </w:tc>
        <w:tc>
          <w:tcPr>
            <w:tcW w:w="1566"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$21,063</w:t>
            </w:r>
          </w:p>
        </w:tc>
        <w:tc>
          <w:tcPr>
            <w:tcW w:w="1178"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180,544</w:t>
            </w:r>
          </w:p>
        </w:tc>
        <w:tc>
          <w:tcPr>
            <w:tcW w:w="1879"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$54,163</w:t>
            </w:r>
          </w:p>
        </w:tc>
        <w:tc>
          <w:tcPr>
            <w:tcW w:w="1879"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$126,381</w:t>
            </w:r>
          </w:p>
        </w:tc>
      </w:tr>
      <w:tr w:rsidR="00E52449" w:rsidRPr="006A74F8" w:rsidTr="00CD4A89">
        <w:trPr>
          <w:trHeight w:val="255"/>
        </w:trPr>
        <w:tc>
          <w:tcPr>
            <w:tcW w:w="0" w:type="auto"/>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3301</w:t>
            </w:r>
          </w:p>
        </w:tc>
        <w:tc>
          <w:tcPr>
            <w:tcW w:w="165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$16,884,245</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2,412,035</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120,602</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$36,181</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$84,421</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723,611</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$217,083</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$506,527</w:t>
            </w:r>
          </w:p>
        </w:tc>
      </w:tr>
      <w:tr w:rsidR="00E52449" w:rsidRPr="006A74F8" w:rsidTr="00CD4A89">
        <w:trPr>
          <w:trHeight w:val="300"/>
        </w:trPr>
        <w:tc>
          <w:tcPr>
            <w:tcW w:w="0" w:type="auto"/>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3302</w:t>
            </w:r>
          </w:p>
        </w:tc>
        <w:tc>
          <w:tcPr>
            <w:tcW w:w="165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$28,041,312</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4,005,902</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200,295</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$60,089</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$140,207</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1,201,771</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$360,531</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$841,239</w:t>
            </w:r>
          </w:p>
        </w:tc>
      </w:tr>
      <w:tr w:rsidR="00E52449" w:rsidRPr="006A74F8" w:rsidTr="00CD4A89">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$320,278</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45,754</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2,288</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$686</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$1,601</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13,726</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$4,118</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$9,608</w:t>
            </w:r>
          </w:p>
        </w:tc>
      </w:tr>
      <w:tr w:rsidR="00E52449" w:rsidRPr="006A74F8" w:rsidTr="00CD4A89">
        <w:trPr>
          <w:trHeight w:val="255"/>
        </w:trPr>
        <w:tc>
          <w:tcPr>
            <w:tcW w:w="0" w:type="auto"/>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3303</w:t>
            </w:r>
          </w:p>
        </w:tc>
        <w:tc>
          <w:tcPr>
            <w:tcW w:w="165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$406,615,119</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27,107,675</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1,355,384</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$406,615</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$948,769</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8,132,302</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$2,439,691</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$5,692,612</w:t>
            </w:r>
          </w:p>
        </w:tc>
      </w:tr>
      <w:tr w:rsidR="00E52449" w:rsidRPr="006A74F8" w:rsidTr="00CD4A89">
        <w:trPr>
          <w:trHeight w:val="300"/>
        </w:trPr>
        <w:tc>
          <w:tcPr>
            <w:tcW w:w="0" w:type="auto"/>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3304</w:t>
            </w:r>
          </w:p>
        </w:tc>
        <w:tc>
          <w:tcPr>
            <w:tcW w:w="165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$78,389,298</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15,677,860</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783,893</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$235,168</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$548,725</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4,703,358</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$1,411,007</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$3,292,351</w:t>
            </w:r>
          </w:p>
        </w:tc>
      </w:tr>
      <w:tr w:rsidR="00E52449" w:rsidRPr="006A74F8" w:rsidTr="00CD4A89">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$294,518,933</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58,903,787</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2,945,189</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$883,557</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$2,061,633</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17,671,136</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$5,301,341</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$12,369,795</w:t>
            </w:r>
          </w:p>
        </w:tc>
      </w:tr>
      <w:tr w:rsidR="00E52449" w:rsidRPr="006A74F8" w:rsidTr="00CD4A89">
        <w:trPr>
          <w:trHeight w:val="255"/>
        </w:trPr>
        <w:tc>
          <w:tcPr>
            <w:tcW w:w="0" w:type="auto"/>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3305</w:t>
            </w:r>
          </w:p>
        </w:tc>
        <w:tc>
          <w:tcPr>
            <w:tcW w:w="165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$114,863,766</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$6.50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17,671,349</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883,567</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$265,070</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$618,497</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5,301,405</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$1,590,421</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$3,710,983</w:t>
            </w:r>
          </w:p>
        </w:tc>
      </w:tr>
      <w:tr w:rsidR="00E52449" w:rsidRPr="006A74F8" w:rsidTr="00CD4A89">
        <w:trPr>
          <w:trHeight w:val="300"/>
        </w:trPr>
        <w:tc>
          <w:tcPr>
            <w:tcW w:w="0" w:type="auto"/>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3306</w:t>
            </w:r>
          </w:p>
        </w:tc>
        <w:tc>
          <w:tcPr>
            <w:tcW w:w="165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$46,916,440</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$2.50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18,766,576</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938,329</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$281,499</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$656,830</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5,629,973</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$1,688,992</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$3,940,981</w:t>
            </w:r>
          </w:p>
        </w:tc>
      </w:tr>
      <w:tr w:rsidR="00E52449" w:rsidRPr="006A74F8" w:rsidTr="00CD4A89">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$4,856,878</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$0.65</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7,472,120</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373,606</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$112,082</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$261,524</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2,241,636</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$672,491</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$1,569,145</w:t>
            </w:r>
          </w:p>
        </w:tc>
      </w:tr>
      <w:tr w:rsidR="00E52449" w:rsidRPr="006A74F8" w:rsidTr="00CD4A89">
        <w:trPr>
          <w:trHeight w:val="255"/>
        </w:trPr>
        <w:tc>
          <w:tcPr>
            <w:tcW w:w="0" w:type="auto"/>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3307</w:t>
            </w:r>
          </w:p>
        </w:tc>
        <w:tc>
          <w:tcPr>
            <w:tcW w:w="165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$40,071,786</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10,017,947</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500,897</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$150,269</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$350,628</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3,005,384</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$901,615</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$2,103,769</w:t>
            </w:r>
          </w:p>
        </w:tc>
      </w:tr>
      <w:tr w:rsidR="00E52449" w:rsidRPr="006A74F8" w:rsidTr="00CD4A89">
        <w:trPr>
          <w:trHeight w:val="300"/>
        </w:trPr>
        <w:tc>
          <w:tcPr>
            <w:tcW w:w="0" w:type="auto"/>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3401</w:t>
            </w:r>
          </w:p>
        </w:tc>
        <w:tc>
          <w:tcPr>
            <w:tcW w:w="1650" w:type="dxa"/>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$17,513,095</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4,378,274</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218,914</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$65,674</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$153,240</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1,313,482</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$394,045</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$919,437</w:t>
            </w:r>
          </w:p>
        </w:tc>
      </w:tr>
      <w:tr w:rsidR="00E52449" w:rsidRPr="006A74F8" w:rsidTr="00CD4A89">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$24,384,623</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6,096,156</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304,808</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$91,442</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$213,365</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1,828,847</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$548,654</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$1,280,193</w:t>
            </w:r>
          </w:p>
        </w:tc>
      </w:tr>
      <w:tr w:rsidR="00E52449" w:rsidRPr="006A74F8" w:rsidTr="00CD4A89">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$59,977,630</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14,994,408</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749,720</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$224,916</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$524,804</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4,498,322</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$1,349,497</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$3,148,826</w:t>
            </w:r>
          </w:p>
        </w:tc>
      </w:tr>
      <w:tr w:rsidR="00E52449" w:rsidRPr="006A74F8" w:rsidTr="00CD4A89">
        <w:trPr>
          <w:trHeight w:val="300"/>
        </w:trPr>
        <w:tc>
          <w:tcPr>
            <w:tcW w:w="0" w:type="auto"/>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3402</w:t>
            </w:r>
          </w:p>
        </w:tc>
        <w:tc>
          <w:tcPr>
            <w:tcW w:w="1650" w:type="dxa"/>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$113,928,335</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14,241,042</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712,052</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$213,616</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$498,436</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4,272,313</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$1,281,694</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$2,990,619</w:t>
            </w:r>
          </w:p>
        </w:tc>
      </w:tr>
      <w:tr w:rsidR="00E52449" w:rsidRPr="006A74F8" w:rsidTr="00CD4A89">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$53,525,758</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$3.50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15,293,074</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764,654</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$229,396</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$535,258</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4,587,922</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$1,376,377</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$3,211,545</w:t>
            </w:r>
          </w:p>
        </w:tc>
      </w:tr>
      <w:tr w:rsidR="00E52449" w:rsidRPr="006A74F8" w:rsidTr="00CD4A89">
        <w:trPr>
          <w:trHeight w:val="300"/>
        </w:trPr>
        <w:tc>
          <w:tcPr>
            <w:tcW w:w="0" w:type="auto"/>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3403</w:t>
            </w:r>
          </w:p>
        </w:tc>
        <w:tc>
          <w:tcPr>
            <w:tcW w:w="1650" w:type="dxa"/>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$7,639,603</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1,527,921</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76,396</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$22,919</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$53,477</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458,376</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$137,513</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$320,863</w:t>
            </w:r>
          </w:p>
        </w:tc>
      </w:tr>
      <w:tr w:rsidR="00E52449" w:rsidRPr="006A74F8" w:rsidTr="00CD4A89">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$27,871,335</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2,787,134</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139,357</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$41,807</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$97,550</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836,140</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$250,842</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$585,298</w:t>
            </w:r>
          </w:p>
        </w:tc>
      </w:tr>
      <w:tr w:rsidR="00E52449" w:rsidRPr="006A74F8" w:rsidTr="00CD4A89">
        <w:trPr>
          <w:trHeight w:val="255"/>
        </w:trPr>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3404</w:t>
            </w:r>
          </w:p>
        </w:tc>
        <w:tc>
          <w:tcPr>
            <w:tcW w:w="1650" w:type="dxa"/>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$4,481,063</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224,053</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11,203</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$3,361</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$7,842</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67,216</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$20,165</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$47,051</w:t>
            </w:r>
          </w:p>
        </w:tc>
      </w:tr>
      <w:tr w:rsidR="00E52449" w:rsidRPr="006A74F8" w:rsidTr="00CD4A89">
        <w:trPr>
          <w:trHeight w:val="255"/>
        </w:trPr>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3405</w:t>
            </w:r>
          </w:p>
        </w:tc>
        <w:tc>
          <w:tcPr>
            <w:tcW w:w="1650" w:type="dxa"/>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$7,986,445</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1,597,289</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79,864</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$23,959</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$55,905</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479,187</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$143,756</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$335,431</w:t>
            </w:r>
          </w:p>
        </w:tc>
      </w:tr>
      <w:tr w:rsidR="00E52449" w:rsidRPr="006A74F8" w:rsidTr="00CD4A89">
        <w:trPr>
          <w:trHeight w:val="255"/>
        </w:trPr>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3406</w:t>
            </w:r>
          </w:p>
        </w:tc>
        <w:tc>
          <w:tcPr>
            <w:tcW w:w="1650" w:type="dxa"/>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$0</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$3.50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r>
      <w:tr w:rsidR="00E52449" w:rsidRPr="006A74F8" w:rsidTr="00CD4A89">
        <w:trPr>
          <w:trHeight w:val="255"/>
        </w:trPr>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3407</w:t>
            </w:r>
          </w:p>
        </w:tc>
        <w:tc>
          <w:tcPr>
            <w:tcW w:w="1650" w:type="dxa"/>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$6,816,068</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$3.00</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2,272,023</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113,601</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$34,080</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$79,521</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681,607</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$204,482</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$477,125</w:t>
            </w:r>
          </w:p>
        </w:tc>
      </w:tr>
      <w:tr w:rsidR="00E52449" w:rsidRPr="006A74F8" w:rsidTr="00CD4A89">
        <w:trPr>
          <w:trHeight w:val="396"/>
        </w:trPr>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color w:val="000000"/>
                <w:sz w:val="20"/>
                <w:szCs w:val="20"/>
                <w:lang w:eastAsia="en-AU"/>
              </w:rPr>
            </w:pPr>
            <w:r w:rsidRPr="006A74F8">
              <w:rPr>
                <w:rFonts w:ascii="Calibri" w:eastAsia="Times New Roman" w:hAnsi="Calibri" w:cs="Calibri"/>
                <w:b/>
                <w:color w:val="000000"/>
                <w:sz w:val="20"/>
                <w:szCs w:val="20"/>
                <w:lang w:eastAsia="en-AU"/>
              </w:rPr>
              <w:t>Total</w:t>
            </w:r>
          </w:p>
        </w:tc>
        <w:tc>
          <w:tcPr>
            <w:tcW w:w="165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color w:val="000000"/>
                <w:sz w:val="20"/>
                <w:szCs w:val="20"/>
                <w:lang w:eastAsia="en-AU"/>
              </w:rPr>
            </w:pPr>
            <w:r w:rsidRPr="006A74F8">
              <w:rPr>
                <w:rFonts w:ascii="Calibri" w:hAnsi="Calibri" w:cs="Calibri"/>
                <w:color w:val="000000"/>
                <w:sz w:val="20"/>
                <w:szCs w:val="20"/>
              </w:rPr>
              <w:t> </w:t>
            </w:r>
          </w:p>
        </w:tc>
        <w:tc>
          <w:tcPr>
            <w:tcW w:w="1200"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hAnsi="Calibri" w:cs="Calibri"/>
                <w:color w:val="000000"/>
                <w:sz w:val="20"/>
                <w:szCs w:val="20"/>
              </w:rPr>
              <w:t> </w:t>
            </w:r>
          </w:p>
        </w:tc>
        <w:tc>
          <w:tcPr>
            <w:tcW w:w="13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color w:val="000000"/>
                <w:sz w:val="20"/>
                <w:szCs w:val="20"/>
                <w:lang w:eastAsia="en-AU"/>
              </w:rPr>
            </w:pPr>
            <w:r w:rsidRPr="006A74F8">
              <w:rPr>
                <w:rFonts w:ascii="Calibri" w:eastAsia="Calibri" w:hAnsi="Calibri" w:cs="Calibri"/>
                <w:b/>
                <w:color w:val="000000"/>
                <w:sz w:val="20"/>
                <w:szCs w:val="20"/>
              </w:rPr>
              <w:t>226,094,188</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color w:val="000000"/>
                <w:sz w:val="20"/>
                <w:szCs w:val="20"/>
                <w:lang w:eastAsia="en-AU"/>
              </w:rPr>
            </w:pPr>
            <w:r w:rsidRPr="006A74F8">
              <w:rPr>
                <w:rFonts w:ascii="Calibri" w:eastAsia="Calibri" w:hAnsi="Calibri" w:cs="Calibri"/>
                <w:b/>
                <w:color w:val="000000"/>
                <w:sz w:val="20"/>
                <w:szCs w:val="20"/>
              </w:rPr>
              <w:t>11,304,709</w:t>
            </w:r>
          </w:p>
        </w:tc>
        <w:tc>
          <w:tcPr>
            <w:tcW w:w="189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$3,391,413</w:t>
            </w:r>
          </w:p>
        </w:tc>
        <w:tc>
          <w:tcPr>
            <w:tcW w:w="1566"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$7,913,297</w:t>
            </w:r>
          </w:p>
        </w:tc>
        <w:tc>
          <w:tcPr>
            <w:tcW w:w="1178"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color w:val="000000"/>
                <w:sz w:val="20"/>
                <w:szCs w:val="20"/>
                <w:lang w:eastAsia="en-AU"/>
              </w:rPr>
            </w:pPr>
            <w:r w:rsidRPr="006A74F8">
              <w:rPr>
                <w:rFonts w:ascii="Calibri" w:eastAsia="Calibri" w:hAnsi="Calibri" w:cs="Calibri"/>
                <w:b/>
                <w:color w:val="000000"/>
                <w:sz w:val="20"/>
                <w:szCs w:val="20"/>
              </w:rPr>
              <w:t>67,828,256</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$20,348,477</w:t>
            </w:r>
          </w:p>
        </w:tc>
        <w:tc>
          <w:tcPr>
            <w:tcW w:w="1879"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$47,479,779</w:t>
            </w:r>
          </w:p>
        </w:tc>
      </w:tr>
    </w:tbl>
    <w:p w:rsidR="0015010A" w:rsidRPr="006A74F8" w:rsidRDefault="0015010A" w:rsidP="0015010A">
      <w:pPr>
        <w:pStyle w:val="Caption"/>
        <w:keepNext/>
      </w:pPr>
      <w:r w:rsidRPr="006A74F8">
        <w:lastRenderedPageBreak/>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29</w:t>
      </w:r>
      <w:r w:rsidR="00D003A8" w:rsidRPr="006A74F8">
        <w:rPr>
          <w:noProof/>
        </w:rPr>
        <w:fldChar w:fldCharType="end"/>
      </w:r>
      <w:r w:rsidRPr="006A74F8">
        <w:t xml:space="preserve">: Upper and lower estimates for relabelling of cosmetic products imported from the EU </w:t>
      </w:r>
      <w:r w:rsidR="00464036" w:rsidRPr="006A74F8">
        <w:t xml:space="preserve">(and the UK) </w:t>
      </w:r>
      <w:r w:rsidRPr="006A74F8">
        <w:t>calculated from proxy volume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8: Upper and lower estimates for relabelling of cosmetic products imported from the EU calculated from proxy volume"/>
        <w:tblDescription w:val="Table 28 estimates the cost to industry for each cosmetic class."/>
      </w:tblPr>
      <w:tblGrid>
        <w:gridCol w:w="1050"/>
        <w:gridCol w:w="1336"/>
        <w:gridCol w:w="946"/>
        <w:gridCol w:w="1375"/>
        <w:gridCol w:w="1353"/>
        <w:gridCol w:w="1375"/>
        <w:gridCol w:w="1646"/>
        <w:gridCol w:w="1453"/>
        <w:gridCol w:w="1707"/>
        <w:gridCol w:w="1707"/>
      </w:tblGrid>
      <w:tr w:rsidR="00E52449" w:rsidRPr="006A74F8" w:rsidTr="00AF3C29">
        <w:trPr>
          <w:trHeight w:val="765"/>
        </w:trPr>
        <w:tc>
          <w:tcPr>
            <w:tcW w:w="376" w:type="pct"/>
            <w:shd w:val="clear" w:color="auto" w:fill="1F3864"/>
            <w:noWrap/>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HS Code</w:t>
            </w:r>
          </w:p>
        </w:tc>
        <w:tc>
          <w:tcPr>
            <w:tcW w:w="479"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Product vol.</w:t>
            </w:r>
          </w:p>
        </w:tc>
        <w:tc>
          <w:tcPr>
            <w:tcW w:w="339"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Est vol. per unit</w:t>
            </w:r>
          </w:p>
        </w:tc>
        <w:tc>
          <w:tcPr>
            <w:tcW w:w="493"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Unit import no. per year based on vol.</w:t>
            </w:r>
          </w:p>
        </w:tc>
        <w:tc>
          <w:tcPr>
            <w:tcW w:w="485"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 xml:space="preserve">5 % relabelled </w:t>
            </w:r>
          </w:p>
        </w:tc>
        <w:tc>
          <w:tcPr>
            <w:tcW w:w="493"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 xml:space="preserve"> $0.3 Re-labelling cost per unit </w:t>
            </w:r>
          </w:p>
        </w:tc>
        <w:tc>
          <w:tcPr>
            <w:tcW w:w="590"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 xml:space="preserve"> $0.7 Re-labelling cost per unit </w:t>
            </w:r>
          </w:p>
        </w:tc>
        <w:tc>
          <w:tcPr>
            <w:tcW w:w="521"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30% relabelled</w:t>
            </w:r>
          </w:p>
        </w:tc>
        <w:tc>
          <w:tcPr>
            <w:tcW w:w="612"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 xml:space="preserve"> $0.3 Re-labelling cost per unit </w:t>
            </w:r>
          </w:p>
        </w:tc>
        <w:tc>
          <w:tcPr>
            <w:tcW w:w="612"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szCs w:val="20"/>
                <w:lang w:eastAsia="en-AU"/>
              </w:rPr>
            </w:pPr>
            <w:r w:rsidRPr="006A74F8">
              <w:rPr>
                <w:rFonts w:ascii="Calibri" w:eastAsia="Times New Roman" w:hAnsi="Calibri" w:cs="Calibri"/>
                <w:b/>
                <w:color w:val="FFFFFF"/>
                <w:sz w:val="20"/>
                <w:szCs w:val="20"/>
                <w:lang w:eastAsia="en-AU"/>
              </w:rPr>
              <w:t xml:space="preserve"> $0.7 Re-labelling cost per unit </w:t>
            </w:r>
          </w:p>
        </w:tc>
      </w:tr>
      <w:tr w:rsidR="00E52449" w:rsidRPr="006A74F8" w:rsidTr="00E52449">
        <w:trPr>
          <w:trHeight w:val="255"/>
        </w:trPr>
        <w:tc>
          <w:tcPr>
            <w:tcW w:w="376" w:type="pct"/>
            <w:shd w:val="clear" w:color="auto" w:fill="auto"/>
            <w:vAlign w:val="center"/>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2712</w:t>
            </w:r>
          </w:p>
        </w:tc>
        <w:tc>
          <w:tcPr>
            <w:tcW w:w="479" w:type="pct"/>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553,776</w:t>
            </w:r>
          </w:p>
        </w:tc>
        <w:tc>
          <w:tcPr>
            <w:tcW w:w="339" w:type="pct"/>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0.1</w:t>
            </w:r>
          </w:p>
        </w:tc>
        <w:tc>
          <w:tcPr>
            <w:tcW w:w="493" w:type="pct"/>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5,537,760</w:t>
            </w:r>
          </w:p>
        </w:tc>
        <w:tc>
          <w:tcPr>
            <w:tcW w:w="485" w:type="pct"/>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276,888</w:t>
            </w:r>
          </w:p>
        </w:tc>
        <w:tc>
          <w:tcPr>
            <w:tcW w:w="493" w:type="pct"/>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$83,066</w:t>
            </w:r>
          </w:p>
        </w:tc>
        <w:tc>
          <w:tcPr>
            <w:tcW w:w="590" w:type="pct"/>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$193,822</w:t>
            </w:r>
          </w:p>
        </w:tc>
        <w:tc>
          <w:tcPr>
            <w:tcW w:w="521" w:type="pct"/>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1,661,328</w:t>
            </w:r>
          </w:p>
        </w:tc>
        <w:tc>
          <w:tcPr>
            <w:tcW w:w="612" w:type="pct"/>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$498,398</w:t>
            </w:r>
          </w:p>
        </w:tc>
        <w:tc>
          <w:tcPr>
            <w:tcW w:w="612" w:type="pct"/>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$1,162,930</w:t>
            </w:r>
          </w:p>
        </w:tc>
      </w:tr>
      <w:tr w:rsidR="00E52449" w:rsidRPr="006A74F8" w:rsidTr="00E52449">
        <w:trPr>
          <w:trHeight w:val="255"/>
        </w:trPr>
        <w:tc>
          <w:tcPr>
            <w:tcW w:w="376" w:type="pc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3301</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344,522</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0.1</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3,445,220</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172,261</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$51,678</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$120,583</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1,033,566</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$310,070</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$723,496</w:t>
            </w:r>
          </w:p>
        </w:tc>
      </w:tr>
      <w:tr w:rsidR="00E52449" w:rsidRPr="006A74F8" w:rsidTr="00E52449">
        <w:trPr>
          <w:trHeight w:val="300"/>
        </w:trPr>
        <w:tc>
          <w:tcPr>
            <w:tcW w:w="376" w:type="pct"/>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3302</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1,208,429</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0.3</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4,028,095</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201,405</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$60,421</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$140,983</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1,208,429</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$362,529</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$845,900</w:t>
            </w:r>
          </w:p>
        </w:tc>
      </w:tr>
      <w:tr w:rsidR="00E52449" w:rsidRPr="006A74F8" w:rsidTr="00E52449">
        <w:trPr>
          <w:trHeight w:val="300"/>
        </w:trPr>
        <w:tc>
          <w:tcPr>
            <w:tcW w:w="376"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4,111</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0.3</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13,705</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685</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$206</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$480</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4,111</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$1,233</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$2,878</w:t>
            </w:r>
          </w:p>
        </w:tc>
      </w:tr>
      <w:tr w:rsidR="00E52449" w:rsidRPr="006A74F8" w:rsidTr="00E52449">
        <w:trPr>
          <w:trHeight w:val="255"/>
        </w:trPr>
        <w:tc>
          <w:tcPr>
            <w:tcW w:w="376" w:type="pc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3303</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4,856,338</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0.2</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24,281,690</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1,214,085</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$364,225</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$849,859</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7,284,507</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$2,185,352</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$5,099,155</w:t>
            </w:r>
          </w:p>
        </w:tc>
      </w:tr>
      <w:tr w:rsidR="00E52449" w:rsidRPr="006A74F8" w:rsidTr="00E52449">
        <w:trPr>
          <w:trHeight w:val="300"/>
        </w:trPr>
        <w:tc>
          <w:tcPr>
            <w:tcW w:w="376" w:type="pct"/>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3304</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1,311,128</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0.15</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8,740,851</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437,043</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$131,113</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$305,930</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2,622,255</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$786,677</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$1,835,579</w:t>
            </w:r>
          </w:p>
        </w:tc>
      </w:tr>
      <w:tr w:rsidR="00E52449" w:rsidRPr="006A74F8" w:rsidTr="00E52449">
        <w:trPr>
          <w:trHeight w:val="300"/>
        </w:trPr>
        <w:tc>
          <w:tcPr>
            <w:tcW w:w="376"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0.15</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n/a</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r>
      <w:tr w:rsidR="00E52449" w:rsidRPr="006A74F8" w:rsidTr="00E52449">
        <w:trPr>
          <w:trHeight w:val="255"/>
        </w:trPr>
        <w:tc>
          <w:tcPr>
            <w:tcW w:w="376" w:type="pc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3305</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n/a</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r>
      <w:tr w:rsidR="00E52449" w:rsidRPr="006A74F8" w:rsidTr="00E52449">
        <w:trPr>
          <w:trHeight w:val="300"/>
        </w:trPr>
        <w:tc>
          <w:tcPr>
            <w:tcW w:w="376" w:type="pct"/>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3306</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2,909,502</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0.19</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15,313,170</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765,659</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$229,698</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$535,961</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4,593,951</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$1,378,185</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$3,215,766</w:t>
            </w:r>
          </w:p>
        </w:tc>
      </w:tr>
      <w:tr w:rsidR="00E52449" w:rsidRPr="006A74F8" w:rsidTr="00E52449">
        <w:trPr>
          <w:trHeight w:val="300"/>
        </w:trPr>
        <w:tc>
          <w:tcPr>
            <w:tcW w:w="376"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206,190,940</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4,123,819</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206,191</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$61,857</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$144,334</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1,237,146</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$371,144</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$866,002</w:t>
            </w:r>
          </w:p>
        </w:tc>
      </w:tr>
      <w:tr w:rsidR="00E52449" w:rsidRPr="006A74F8" w:rsidTr="00E52449">
        <w:trPr>
          <w:trHeight w:val="255"/>
        </w:trPr>
        <w:tc>
          <w:tcPr>
            <w:tcW w:w="376" w:type="pc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3307</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4,370,741</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0.5</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8,741,483</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437,074</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$131,122</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$305,952</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2,622,445</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$786,733</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$1,835,711</w:t>
            </w:r>
          </w:p>
        </w:tc>
      </w:tr>
      <w:tr w:rsidR="00E52449" w:rsidRPr="006A74F8" w:rsidTr="00E52449">
        <w:trPr>
          <w:trHeight w:val="300"/>
        </w:trPr>
        <w:tc>
          <w:tcPr>
            <w:tcW w:w="376" w:type="pct"/>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3401</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4,306,279</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0.6</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7,177,132</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358,857</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$107,657</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$251,200</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2,153,140</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$645,942</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$1,507,198</w:t>
            </w:r>
          </w:p>
        </w:tc>
      </w:tr>
      <w:tr w:rsidR="00E52449" w:rsidRPr="006A74F8" w:rsidTr="00E52449">
        <w:trPr>
          <w:trHeight w:val="300"/>
        </w:trPr>
        <w:tc>
          <w:tcPr>
            <w:tcW w:w="376"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4,569,680</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0.8</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5,712,100</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285,605</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$85,682</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$199,924</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1,713,630</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$514,089</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$1,199,541</w:t>
            </w:r>
          </w:p>
        </w:tc>
      </w:tr>
      <w:tr w:rsidR="00E52449" w:rsidRPr="006A74F8" w:rsidTr="00E52449">
        <w:trPr>
          <w:trHeight w:val="300"/>
        </w:trPr>
        <w:tc>
          <w:tcPr>
            <w:tcW w:w="376"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0.8</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 </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r>
      <w:tr w:rsidR="00E52449" w:rsidRPr="006A74F8" w:rsidTr="00E52449">
        <w:trPr>
          <w:trHeight w:val="300"/>
        </w:trPr>
        <w:tc>
          <w:tcPr>
            <w:tcW w:w="376" w:type="pct"/>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3402</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26,920,529</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13,460,264</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673,013</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$201,904</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$471,109</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4,038,079</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$1,211,424</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$2,826,656</w:t>
            </w:r>
          </w:p>
        </w:tc>
      </w:tr>
      <w:tr w:rsidR="00E52449" w:rsidRPr="006A74F8" w:rsidTr="00E52449">
        <w:trPr>
          <w:trHeight w:val="300"/>
        </w:trPr>
        <w:tc>
          <w:tcPr>
            <w:tcW w:w="376"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18,391,505</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15,326,255</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766,313</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$229,894</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$536,419</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4,597,876</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$1,379,363</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$3,218,513</w:t>
            </w:r>
          </w:p>
        </w:tc>
      </w:tr>
      <w:tr w:rsidR="00E52449" w:rsidRPr="006A74F8" w:rsidTr="00E52449">
        <w:trPr>
          <w:trHeight w:val="300"/>
        </w:trPr>
        <w:tc>
          <w:tcPr>
            <w:tcW w:w="376" w:type="pct"/>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3403</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1,299,821</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0.7</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1,856,887</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92,844</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$27,853</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$64,991</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557,066</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$167,120</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$389,946</w:t>
            </w:r>
          </w:p>
        </w:tc>
      </w:tr>
      <w:tr w:rsidR="00E52449" w:rsidRPr="006A74F8" w:rsidTr="00E52449">
        <w:trPr>
          <w:trHeight w:val="300"/>
        </w:trPr>
        <w:tc>
          <w:tcPr>
            <w:tcW w:w="376"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3,667,787</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2,445,191</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122,260</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$36,678</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$85,582</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733,557</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$220,067</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$513,490</w:t>
            </w:r>
          </w:p>
        </w:tc>
      </w:tr>
      <w:tr w:rsidR="00E52449" w:rsidRPr="006A74F8" w:rsidTr="00E52449">
        <w:trPr>
          <w:trHeight w:val="255"/>
        </w:trPr>
        <w:tc>
          <w:tcPr>
            <w:tcW w:w="37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3404</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843,640</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4.5</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187,476</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9,374</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$2,812</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$6,562</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56,243</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$16,873</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$39,370</w:t>
            </w:r>
          </w:p>
        </w:tc>
      </w:tr>
      <w:tr w:rsidR="00E52449" w:rsidRPr="006A74F8" w:rsidTr="00E52449">
        <w:trPr>
          <w:trHeight w:val="255"/>
        </w:trPr>
        <w:tc>
          <w:tcPr>
            <w:tcW w:w="37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3405</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1,073,087</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0.4</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2,682,717</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134,136</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$40,241</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$93,895</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804,815</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$241,445</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$563,371</w:t>
            </w:r>
          </w:p>
        </w:tc>
      </w:tr>
      <w:tr w:rsidR="00E52449" w:rsidRPr="006A74F8" w:rsidTr="00E52449">
        <w:trPr>
          <w:trHeight w:val="255"/>
        </w:trPr>
        <w:tc>
          <w:tcPr>
            <w:tcW w:w="37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3406</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0.25</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r>
      <w:tr w:rsidR="00E52449" w:rsidRPr="006A74F8" w:rsidTr="00E52449">
        <w:trPr>
          <w:trHeight w:val="255"/>
        </w:trPr>
        <w:tc>
          <w:tcPr>
            <w:tcW w:w="37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3407</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573,685</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0.4</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1,434,213</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71,711</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$21,513</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$50,197</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430,264</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$129,079</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$301,185</w:t>
            </w:r>
          </w:p>
        </w:tc>
      </w:tr>
      <w:tr w:rsidR="00E52449" w:rsidRPr="006A74F8" w:rsidTr="00E52449">
        <w:trPr>
          <w:trHeight w:val="630"/>
        </w:trPr>
        <w:tc>
          <w:tcPr>
            <w:tcW w:w="37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color w:val="000000"/>
                <w:sz w:val="20"/>
                <w:szCs w:val="20"/>
                <w:lang w:eastAsia="en-AU"/>
              </w:rPr>
            </w:pPr>
            <w:r w:rsidRPr="006A74F8">
              <w:rPr>
                <w:rFonts w:ascii="Calibri" w:eastAsia="Times New Roman" w:hAnsi="Calibri" w:cs="Calibri"/>
                <w:b/>
                <w:color w:val="000000"/>
                <w:sz w:val="20"/>
                <w:szCs w:val="20"/>
                <w:lang w:eastAsia="en-AU"/>
              </w:rPr>
              <w:t>Total</w:t>
            </w:r>
          </w:p>
        </w:tc>
        <w:tc>
          <w:tcPr>
            <w:tcW w:w="47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color w:val="000000"/>
                <w:sz w:val="20"/>
                <w:szCs w:val="20"/>
                <w:lang w:eastAsia="en-AU"/>
              </w:rPr>
            </w:pPr>
            <w:r w:rsidRPr="006A74F8">
              <w:rPr>
                <w:rFonts w:ascii="Calibri" w:hAnsi="Calibri" w:cs="Calibri"/>
                <w:color w:val="000000"/>
                <w:sz w:val="20"/>
                <w:szCs w:val="20"/>
              </w:rPr>
              <w:t> </w:t>
            </w:r>
          </w:p>
        </w:tc>
        <w:tc>
          <w:tcPr>
            <w:tcW w:w="33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hAnsi="Calibri" w:cs="Calibri"/>
                <w:color w:val="000000"/>
                <w:sz w:val="20"/>
                <w:szCs w:val="20"/>
              </w:rPr>
              <w:t> </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124,508,027</w:t>
            </w:r>
          </w:p>
        </w:tc>
        <w:tc>
          <w:tcPr>
            <w:tcW w:w="48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6,225,401</w:t>
            </w:r>
          </w:p>
        </w:tc>
        <w:tc>
          <w:tcPr>
            <w:tcW w:w="49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$1,867,620</w:t>
            </w:r>
          </w:p>
        </w:tc>
        <w:tc>
          <w:tcPr>
            <w:tcW w:w="59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$4,357,781</w:t>
            </w:r>
          </w:p>
        </w:tc>
        <w:tc>
          <w:tcPr>
            <w:tcW w:w="52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37,352,408</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$11,205,722</w:t>
            </w:r>
          </w:p>
        </w:tc>
        <w:tc>
          <w:tcPr>
            <w:tcW w:w="61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$26,146,686</w:t>
            </w:r>
          </w:p>
        </w:tc>
      </w:tr>
    </w:tbl>
    <w:p w:rsidR="00E52449" w:rsidRPr="006A74F8" w:rsidRDefault="00E52449" w:rsidP="00E52449">
      <w:pPr>
        <w:spacing w:before="240" w:after="240" w:line="300" w:lineRule="auto"/>
        <w:rPr>
          <w:rFonts w:ascii="Arial" w:eastAsia="Calibri" w:hAnsi="Arial" w:cs="Times New Roman"/>
        </w:rPr>
        <w:sectPr w:rsidR="00E52449" w:rsidRPr="006A74F8" w:rsidSect="00EC61D8">
          <w:pgSz w:w="16838" w:h="11906" w:orient="landscape"/>
          <w:pgMar w:top="1418" w:right="1440" w:bottom="1276" w:left="1440" w:header="709" w:footer="709" w:gutter="0"/>
          <w:cols w:space="708"/>
          <w:docGrid w:linePitch="360"/>
        </w:sectPr>
      </w:pPr>
    </w:p>
    <w:p w:rsidR="00E52449" w:rsidRPr="006A74F8" w:rsidRDefault="00E52449" w:rsidP="00294766">
      <w:pPr>
        <w:pStyle w:val="Heading3"/>
        <w:ind w:left="993" w:hanging="993"/>
        <w:rPr>
          <w:rFonts w:eastAsia="Times New Roman"/>
        </w:rPr>
      </w:pPr>
      <w:bookmarkStart w:id="2766" w:name="_Estimated_costs_to_1"/>
      <w:bookmarkStart w:id="2767" w:name="_Toc479769521"/>
      <w:bookmarkStart w:id="2768" w:name="_Toc493510787"/>
      <w:bookmarkStart w:id="2769" w:name="_Toc500929405"/>
      <w:bookmarkStart w:id="2770" w:name="_Toc501463865"/>
      <w:bookmarkStart w:id="2771" w:name="_Toc503535580"/>
      <w:bookmarkStart w:id="2772" w:name="_Toc503539757"/>
      <w:bookmarkStart w:id="2773" w:name="_Ref503861707"/>
      <w:bookmarkStart w:id="2774" w:name="_Toc503882291"/>
      <w:bookmarkStart w:id="2775" w:name="_Toc518032807"/>
      <w:bookmarkStart w:id="2776" w:name="_Ref67653112"/>
      <w:bookmarkStart w:id="2777" w:name="_Ref67653996"/>
      <w:bookmarkEnd w:id="2766"/>
      <w:r w:rsidRPr="006A74F8">
        <w:rPr>
          <w:rFonts w:eastAsia="Times New Roman"/>
        </w:rPr>
        <w:lastRenderedPageBreak/>
        <w:t xml:space="preserve">Estimated costs to </w:t>
      </w:r>
      <w:r w:rsidR="00A32584" w:rsidRPr="006A74F8">
        <w:rPr>
          <w:rFonts w:eastAsia="Times New Roman"/>
        </w:rPr>
        <w:t>industry</w:t>
      </w:r>
      <w:r w:rsidRPr="006A74F8">
        <w:rPr>
          <w:rFonts w:eastAsia="Times New Roman"/>
        </w:rPr>
        <w:t xml:space="preserve"> for each cosmetic class</w:t>
      </w:r>
      <w:r w:rsidR="001F5BDF" w:rsidRPr="006A74F8">
        <w:rPr>
          <w:rFonts w:eastAsia="Times New Roman"/>
        </w:rPr>
        <w:t>:</w:t>
      </w:r>
      <w:r w:rsidRPr="006A74F8">
        <w:rPr>
          <w:rFonts w:eastAsia="Times New Roman"/>
        </w:rPr>
        <w:t xml:space="preserve"> final estimated value</w:t>
      </w:r>
      <w:bookmarkEnd w:id="2767"/>
      <w:bookmarkEnd w:id="2768"/>
      <w:bookmarkEnd w:id="2769"/>
      <w:bookmarkEnd w:id="2770"/>
      <w:bookmarkEnd w:id="2771"/>
      <w:bookmarkEnd w:id="2772"/>
      <w:bookmarkEnd w:id="2773"/>
      <w:bookmarkEnd w:id="2774"/>
      <w:bookmarkEnd w:id="2775"/>
      <w:bookmarkEnd w:id="2776"/>
      <w:bookmarkEnd w:id="2777"/>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30</w:t>
      </w:r>
      <w:r w:rsidR="00D003A8" w:rsidRPr="006A74F8">
        <w:rPr>
          <w:noProof/>
        </w:rPr>
        <w:fldChar w:fldCharType="end"/>
      </w:r>
      <w:r w:rsidRPr="006A74F8">
        <w:t xml:space="preserve">: Estimated cost for relabelling of cosmetic products imported from the EU </w:t>
      </w:r>
      <w:r w:rsidR="00464036" w:rsidRPr="006A74F8">
        <w:t xml:space="preserve">(and the UK) </w:t>
      </w:r>
      <w:r w:rsidRPr="006A74F8">
        <w:t>calculated from proxy cost (assuming 5% of units are relabelled at a cost of $0.5/unit)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0-30: Estimated cost for each cosmetic class - final estimated value"/>
        <w:tblDescription w:val="Table A10-30: Estimated cost for relabelling of cosmetic products imported from the EU calculated from proxy cost (assuming 5% of units are relabelled at a cost of $0.5/unit)"/>
      </w:tblPr>
      <w:tblGrid>
        <w:gridCol w:w="1161"/>
        <w:gridCol w:w="1441"/>
        <w:gridCol w:w="1227"/>
        <w:gridCol w:w="1417"/>
        <w:gridCol w:w="1332"/>
        <w:gridCol w:w="2212"/>
      </w:tblGrid>
      <w:tr w:rsidR="00E52449" w:rsidRPr="006A74F8" w:rsidTr="0015010A">
        <w:trPr>
          <w:trHeight w:val="765"/>
          <w:jc w:val="center"/>
        </w:trPr>
        <w:tc>
          <w:tcPr>
            <w:tcW w:w="1161" w:type="dxa"/>
            <w:shd w:val="clear" w:color="auto" w:fill="1F3864"/>
            <w:noWrap/>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HS Code</w:t>
            </w:r>
          </w:p>
        </w:tc>
        <w:tc>
          <w:tcPr>
            <w:tcW w:w="1441"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Product value</w:t>
            </w:r>
          </w:p>
        </w:tc>
        <w:tc>
          <w:tcPr>
            <w:tcW w:w="1227"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Est. Price per unit</w:t>
            </w:r>
          </w:p>
        </w:tc>
        <w:tc>
          <w:tcPr>
            <w:tcW w:w="1417"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Unit import no. per year</w:t>
            </w:r>
          </w:p>
        </w:tc>
        <w:tc>
          <w:tcPr>
            <w:tcW w:w="1332"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5% relabelled</w:t>
            </w:r>
          </w:p>
        </w:tc>
        <w:tc>
          <w:tcPr>
            <w:tcW w:w="2212" w:type="dxa"/>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Re-labelling cost $0.5 per unit</w:t>
            </w:r>
          </w:p>
        </w:tc>
      </w:tr>
      <w:tr w:rsidR="00E52449" w:rsidRPr="006A74F8" w:rsidTr="0015010A">
        <w:trPr>
          <w:trHeight w:val="255"/>
          <w:jc w:val="center"/>
        </w:trPr>
        <w:tc>
          <w:tcPr>
            <w:tcW w:w="1161" w:type="dxa"/>
            <w:shd w:val="clear" w:color="auto" w:fill="auto"/>
            <w:vAlign w:val="center"/>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2712</w:t>
            </w:r>
          </w:p>
        </w:tc>
        <w:tc>
          <w:tcPr>
            <w:tcW w:w="1441"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$2,407,255</w:t>
            </w:r>
          </w:p>
        </w:tc>
        <w:tc>
          <w:tcPr>
            <w:tcW w:w="1227" w:type="dxa"/>
            <w:shd w:val="clear" w:color="auto" w:fill="auto"/>
            <w:noWrap/>
            <w:vAlign w:val="center"/>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$4.00</w:t>
            </w:r>
          </w:p>
        </w:tc>
        <w:tc>
          <w:tcPr>
            <w:tcW w:w="1417"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601,814</w:t>
            </w:r>
          </w:p>
        </w:tc>
        <w:tc>
          <w:tcPr>
            <w:tcW w:w="1332"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30,091</w:t>
            </w:r>
          </w:p>
        </w:tc>
        <w:tc>
          <w:tcPr>
            <w:tcW w:w="2212" w:type="dxa"/>
            <w:shd w:val="clear" w:color="auto" w:fill="auto"/>
            <w:noWrap/>
            <w:vAlign w:val="center"/>
          </w:tcPr>
          <w:p w:rsidR="00E52449" w:rsidRPr="006A74F8" w:rsidRDefault="00E52449" w:rsidP="00E52449">
            <w:pPr>
              <w:spacing w:after="0" w:line="240" w:lineRule="auto"/>
              <w:jc w:val="center"/>
              <w:rPr>
                <w:rFonts w:ascii="Calibri" w:eastAsia="Calibri" w:hAnsi="Calibri" w:cs="Calibri"/>
                <w:sz w:val="20"/>
                <w:szCs w:val="20"/>
              </w:rPr>
            </w:pPr>
            <w:r w:rsidRPr="006A74F8">
              <w:rPr>
                <w:rFonts w:ascii="Calibri" w:eastAsia="Calibri" w:hAnsi="Calibri" w:cs="Calibri"/>
                <w:color w:val="000000"/>
                <w:sz w:val="20"/>
                <w:szCs w:val="20"/>
              </w:rPr>
              <w:t>$15,045</w:t>
            </w:r>
          </w:p>
        </w:tc>
      </w:tr>
      <w:tr w:rsidR="00E52449" w:rsidRPr="006A74F8" w:rsidTr="0015010A">
        <w:trPr>
          <w:trHeight w:val="255"/>
          <w:jc w:val="center"/>
        </w:trPr>
        <w:tc>
          <w:tcPr>
            <w:tcW w:w="1161"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3301</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$16,884,245</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2,412,035</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120,602</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$60,301</w:t>
            </w:r>
          </w:p>
        </w:tc>
      </w:tr>
      <w:tr w:rsidR="00E52449" w:rsidRPr="006A74F8" w:rsidTr="0015010A">
        <w:trPr>
          <w:trHeight w:val="300"/>
          <w:jc w:val="center"/>
        </w:trPr>
        <w:tc>
          <w:tcPr>
            <w:tcW w:w="1161" w:type="dxa"/>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3302</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$28,041,312</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4,005,902</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200,295</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$100,148</w:t>
            </w:r>
          </w:p>
        </w:tc>
      </w:tr>
      <w:tr w:rsidR="00E52449" w:rsidRPr="006A74F8" w:rsidTr="0015010A">
        <w:trPr>
          <w:trHeight w:val="300"/>
          <w:jc w:val="center"/>
        </w:trPr>
        <w:tc>
          <w:tcPr>
            <w:tcW w:w="1161" w:type="dxa"/>
            <w:vMerge/>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$320,278</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45,754</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2,288</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$1,144</w:t>
            </w:r>
          </w:p>
        </w:tc>
      </w:tr>
      <w:tr w:rsidR="00E52449" w:rsidRPr="006A74F8" w:rsidTr="0015010A">
        <w:trPr>
          <w:trHeight w:val="255"/>
          <w:jc w:val="center"/>
        </w:trPr>
        <w:tc>
          <w:tcPr>
            <w:tcW w:w="1161"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3303</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$406,615,119</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27,107,675</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1,355,384</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$677,692</w:t>
            </w:r>
          </w:p>
        </w:tc>
      </w:tr>
      <w:tr w:rsidR="00E52449" w:rsidRPr="006A74F8" w:rsidTr="0015010A">
        <w:trPr>
          <w:trHeight w:val="300"/>
          <w:jc w:val="center"/>
        </w:trPr>
        <w:tc>
          <w:tcPr>
            <w:tcW w:w="1161" w:type="dxa"/>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3304</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$78,389,298</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15,677,860</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783,893</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$391,946</w:t>
            </w:r>
          </w:p>
        </w:tc>
      </w:tr>
      <w:tr w:rsidR="00E52449" w:rsidRPr="006A74F8" w:rsidTr="0015010A">
        <w:trPr>
          <w:trHeight w:val="300"/>
          <w:jc w:val="center"/>
        </w:trPr>
        <w:tc>
          <w:tcPr>
            <w:tcW w:w="1161" w:type="dxa"/>
            <w:vMerge/>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$294,518,933</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58,903,787</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2,945,189</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$1,472,595</w:t>
            </w:r>
          </w:p>
        </w:tc>
      </w:tr>
      <w:tr w:rsidR="00E52449" w:rsidRPr="006A74F8" w:rsidTr="0015010A">
        <w:trPr>
          <w:trHeight w:val="255"/>
          <w:jc w:val="center"/>
        </w:trPr>
        <w:tc>
          <w:tcPr>
            <w:tcW w:w="1161"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3305</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$114,863,766</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$6.50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17,671,349</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883,567</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$441,784</w:t>
            </w:r>
          </w:p>
        </w:tc>
      </w:tr>
      <w:tr w:rsidR="00E52449" w:rsidRPr="006A74F8" w:rsidTr="0015010A">
        <w:trPr>
          <w:trHeight w:val="300"/>
          <w:jc w:val="center"/>
        </w:trPr>
        <w:tc>
          <w:tcPr>
            <w:tcW w:w="1161" w:type="dxa"/>
            <w:vMerge w:val="restart"/>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3306</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$46,916,440</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$2.50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18,766,576</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938,329</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$469,164</w:t>
            </w:r>
          </w:p>
        </w:tc>
      </w:tr>
      <w:tr w:rsidR="00E52449" w:rsidRPr="006A74F8" w:rsidTr="0015010A">
        <w:trPr>
          <w:trHeight w:val="300"/>
          <w:jc w:val="center"/>
        </w:trPr>
        <w:tc>
          <w:tcPr>
            <w:tcW w:w="1161" w:type="dxa"/>
            <w:vMerge/>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$4,856,878</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$0.65</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7,472,120</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373,606</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$186,803</w:t>
            </w:r>
          </w:p>
        </w:tc>
      </w:tr>
      <w:tr w:rsidR="00E52449" w:rsidRPr="006A74F8" w:rsidTr="0015010A">
        <w:trPr>
          <w:trHeight w:val="255"/>
          <w:jc w:val="center"/>
        </w:trPr>
        <w:tc>
          <w:tcPr>
            <w:tcW w:w="1161" w:type="dxa"/>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3307</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$40,071,786</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10,017,947</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500,897</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$250,449</w:t>
            </w:r>
          </w:p>
        </w:tc>
      </w:tr>
      <w:tr w:rsidR="00E52449" w:rsidRPr="006A74F8" w:rsidTr="0015010A">
        <w:trPr>
          <w:trHeight w:val="300"/>
          <w:jc w:val="center"/>
        </w:trPr>
        <w:tc>
          <w:tcPr>
            <w:tcW w:w="1161" w:type="dxa"/>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3401</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$17,513,095</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4,378,274</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218,914</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$109,457</w:t>
            </w:r>
          </w:p>
        </w:tc>
      </w:tr>
      <w:tr w:rsidR="00E52449" w:rsidRPr="006A74F8" w:rsidTr="0015010A">
        <w:trPr>
          <w:trHeight w:val="300"/>
          <w:jc w:val="center"/>
        </w:trPr>
        <w:tc>
          <w:tcPr>
            <w:tcW w:w="1161" w:type="dxa"/>
            <w:vMerge/>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$24,384,623</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6,096,156</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304,808</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$152,404</w:t>
            </w:r>
          </w:p>
        </w:tc>
      </w:tr>
      <w:tr w:rsidR="00E52449" w:rsidRPr="006A74F8" w:rsidTr="0015010A">
        <w:trPr>
          <w:trHeight w:val="300"/>
          <w:jc w:val="center"/>
        </w:trPr>
        <w:tc>
          <w:tcPr>
            <w:tcW w:w="1161" w:type="dxa"/>
            <w:vMerge/>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$59,977,630</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14,994,408</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749,720</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$374,860</w:t>
            </w:r>
          </w:p>
        </w:tc>
      </w:tr>
      <w:tr w:rsidR="00E52449" w:rsidRPr="006A74F8" w:rsidTr="0015010A">
        <w:trPr>
          <w:trHeight w:val="300"/>
          <w:jc w:val="center"/>
        </w:trPr>
        <w:tc>
          <w:tcPr>
            <w:tcW w:w="1161" w:type="dxa"/>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3402</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$113,928,335</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14,241,042</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712,052</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$356,026</w:t>
            </w:r>
          </w:p>
        </w:tc>
      </w:tr>
      <w:tr w:rsidR="00E52449" w:rsidRPr="006A74F8" w:rsidTr="0015010A">
        <w:trPr>
          <w:trHeight w:val="300"/>
          <w:jc w:val="center"/>
        </w:trPr>
        <w:tc>
          <w:tcPr>
            <w:tcW w:w="1161" w:type="dxa"/>
            <w:vMerge/>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$53,525,758</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$3.50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15,293,074</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764,654</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$382,327</w:t>
            </w:r>
          </w:p>
        </w:tc>
      </w:tr>
      <w:tr w:rsidR="00E52449" w:rsidRPr="006A74F8" w:rsidTr="0015010A">
        <w:trPr>
          <w:trHeight w:val="300"/>
          <w:jc w:val="center"/>
        </w:trPr>
        <w:tc>
          <w:tcPr>
            <w:tcW w:w="1161" w:type="dxa"/>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3403</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$7,639,603</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1,527,921</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76,396</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$38,198</w:t>
            </w:r>
          </w:p>
        </w:tc>
      </w:tr>
      <w:tr w:rsidR="00E52449" w:rsidRPr="006A74F8" w:rsidTr="0015010A">
        <w:trPr>
          <w:trHeight w:val="300"/>
          <w:jc w:val="center"/>
        </w:trPr>
        <w:tc>
          <w:tcPr>
            <w:tcW w:w="1161" w:type="dxa"/>
            <w:vMerge/>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$27,871,335</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2,787,134</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139,357</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$69,678</w:t>
            </w:r>
          </w:p>
        </w:tc>
      </w:tr>
      <w:tr w:rsidR="00E52449" w:rsidRPr="006A74F8" w:rsidTr="0015010A">
        <w:trPr>
          <w:trHeight w:val="255"/>
          <w:jc w:val="center"/>
        </w:trPr>
        <w:tc>
          <w:tcPr>
            <w:tcW w:w="11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3404</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$4,481,063</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224,053</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11,203</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$5,601</w:t>
            </w:r>
          </w:p>
        </w:tc>
      </w:tr>
      <w:tr w:rsidR="00E52449" w:rsidRPr="006A74F8" w:rsidTr="0015010A">
        <w:trPr>
          <w:trHeight w:val="255"/>
          <w:jc w:val="center"/>
        </w:trPr>
        <w:tc>
          <w:tcPr>
            <w:tcW w:w="11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3405</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$7,986,445</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1,597,289</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79,864</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$39,932</w:t>
            </w:r>
          </w:p>
        </w:tc>
      </w:tr>
      <w:tr w:rsidR="00E52449" w:rsidRPr="006A74F8" w:rsidTr="0015010A">
        <w:trPr>
          <w:trHeight w:val="255"/>
          <w:jc w:val="center"/>
        </w:trPr>
        <w:tc>
          <w:tcPr>
            <w:tcW w:w="11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3406</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$0</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$3.50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r>
      <w:tr w:rsidR="00E52449" w:rsidRPr="006A74F8" w:rsidTr="0015010A">
        <w:trPr>
          <w:trHeight w:val="255"/>
          <w:jc w:val="center"/>
        </w:trPr>
        <w:tc>
          <w:tcPr>
            <w:tcW w:w="116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3407</w:t>
            </w:r>
          </w:p>
        </w:tc>
        <w:tc>
          <w:tcPr>
            <w:tcW w:w="1441"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$6,816,068</w:t>
            </w:r>
          </w:p>
        </w:tc>
        <w:tc>
          <w:tcPr>
            <w:tcW w:w="122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$3.00</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2,272,023</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113,601</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$56,801</w:t>
            </w:r>
          </w:p>
        </w:tc>
      </w:tr>
      <w:tr w:rsidR="00E52449" w:rsidRPr="006A74F8" w:rsidTr="0015010A">
        <w:trPr>
          <w:trHeight w:val="630"/>
          <w:jc w:val="center"/>
        </w:trPr>
        <w:tc>
          <w:tcPr>
            <w:tcW w:w="3829" w:type="dxa"/>
            <w:gridSpan w:val="3"/>
            <w:shd w:val="clear" w:color="auto" w:fill="auto"/>
            <w:noWrap/>
            <w:vAlign w:val="center"/>
            <w:hideMark/>
          </w:tcPr>
          <w:p w:rsidR="00E52449" w:rsidRPr="006A74F8" w:rsidRDefault="00E52449" w:rsidP="00E52449">
            <w:pPr>
              <w:spacing w:after="0" w:line="240" w:lineRule="auto"/>
              <w:jc w:val="right"/>
              <w:rPr>
                <w:rFonts w:ascii="Calibri" w:eastAsia="Times New Roman" w:hAnsi="Calibri" w:cs="Calibri"/>
                <w:b/>
                <w:sz w:val="20"/>
                <w:szCs w:val="20"/>
                <w:lang w:eastAsia="en-AU"/>
              </w:rPr>
            </w:pPr>
            <w:r w:rsidRPr="006A74F8">
              <w:rPr>
                <w:rFonts w:ascii="Calibri" w:eastAsia="Times New Roman" w:hAnsi="Calibri" w:cs="Calibri"/>
                <w:b/>
                <w:sz w:val="20"/>
                <w:szCs w:val="20"/>
                <w:lang w:eastAsia="en-AU"/>
              </w:rPr>
              <w:t xml:space="preserve">2019-20 </w:t>
            </w:r>
          </w:p>
        </w:tc>
        <w:tc>
          <w:tcPr>
            <w:tcW w:w="1417"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226,094,188</w:t>
            </w:r>
          </w:p>
        </w:tc>
        <w:tc>
          <w:tcPr>
            <w:tcW w:w="133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11,304,709</w:t>
            </w:r>
          </w:p>
        </w:tc>
        <w:tc>
          <w:tcPr>
            <w:tcW w:w="2212" w:type="dxa"/>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$5,652,355</w:t>
            </w:r>
          </w:p>
        </w:tc>
      </w:tr>
    </w:tbl>
    <w:p w:rsidR="00E52449" w:rsidRPr="006A74F8" w:rsidRDefault="00E52449" w:rsidP="00E52449">
      <w:pPr>
        <w:keepNext/>
        <w:keepLines/>
        <w:spacing w:before="40" w:after="0" w:line="300" w:lineRule="auto"/>
        <w:outlineLvl w:val="2"/>
        <w:rPr>
          <w:rFonts w:ascii="Arial" w:eastAsia="Times New Roman" w:hAnsi="Arial" w:cs="Times New Roman"/>
          <w:color w:val="00283E"/>
          <w:szCs w:val="24"/>
        </w:rPr>
      </w:pPr>
      <w:r w:rsidRPr="006A74F8">
        <w:rPr>
          <w:rFonts w:ascii="Arial" w:eastAsia="Times New Roman" w:hAnsi="Arial" w:cs="Times New Roman"/>
          <w:color w:val="00283E"/>
          <w:sz w:val="36"/>
          <w:szCs w:val="24"/>
        </w:rPr>
        <w:br w:type="page"/>
      </w:r>
    </w:p>
    <w:p w:rsidR="00E52449" w:rsidRPr="006A74F8" w:rsidRDefault="00E52449" w:rsidP="00294766">
      <w:pPr>
        <w:pStyle w:val="Heading3"/>
        <w:tabs>
          <w:tab w:val="left" w:pos="993"/>
        </w:tabs>
        <w:rPr>
          <w:rFonts w:eastAsia="Times New Roman"/>
        </w:rPr>
      </w:pPr>
      <w:bookmarkStart w:id="2778" w:name="_Beverage_import_costs"/>
      <w:bookmarkStart w:id="2779" w:name="_Toc479769522"/>
      <w:bookmarkStart w:id="2780" w:name="_Toc493510788"/>
      <w:bookmarkStart w:id="2781" w:name="_Toc500929406"/>
      <w:bookmarkStart w:id="2782" w:name="_Toc501463866"/>
      <w:bookmarkStart w:id="2783" w:name="_Toc503535581"/>
      <w:bookmarkStart w:id="2784" w:name="_Toc503539758"/>
      <w:bookmarkStart w:id="2785" w:name="_Toc503882292"/>
      <w:bookmarkStart w:id="2786" w:name="_Toc518032808"/>
      <w:bookmarkStart w:id="2787" w:name="_Ref67653718"/>
      <w:bookmarkStart w:id="2788" w:name="_Ref67653733"/>
      <w:bookmarkStart w:id="2789" w:name="_Ref68088554"/>
      <w:bookmarkEnd w:id="2778"/>
      <w:r w:rsidRPr="006A74F8">
        <w:rPr>
          <w:rFonts w:eastAsia="Times New Roman"/>
        </w:rPr>
        <w:lastRenderedPageBreak/>
        <w:t>Beverage import costs and volumes from the EU</w:t>
      </w:r>
      <w:bookmarkEnd w:id="2779"/>
      <w:bookmarkEnd w:id="2780"/>
      <w:bookmarkEnd w:id="2781"/>
      <w:bookmarkEnd w:id="2782"/>
      <w:bookmarkEnd w:id="2783"/>
      <w:bookmarkEnd w:id="2784"/>
      <w:bookmarkEnd w:id="2785"/>
      <w:bookmarkEnd w:id="2786"/>
      <w:bookmarkEnd w:id="2787"/>
      <w:bookmarkEnd w:id="2788"/>
      <w:bookmarkEnd w:id="2789"/>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31</w:t>
      </w:r>
      <w:r w:rsidR="00D003A8" w:rsidRPr="006A74F8">
        <w:rPr>
          <w:noProof/>
        </w:rPr>
        <w:fldChar w:fldCharType="end"/>
      </w:r>
      <w:r w:rsidRPr="006A74F8">
        <w:t xml:space="preserve">: EU </w:t>
      </w:r>
      <w:r w:rsidR="00464036" w:rsidRPr="006A74F8">
        <w:t>(and the UK)</w:t>
      </w:r>
      <w:r w:rsidRPr="006A74F8">
        <w:t xml:space="preserve"> imports to Australia in 2019/20, HS Code 22 (excluding 2201 and 2202)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0-31 - Beverage import costs and volumes from the EU"/>
        <w:tblDescription w:val="Table A10-31: EU imports to Australia in 2015, HS Code 22."/>
      </w:tblPr>
      <w:tblGrid>
        <w:gridCol w:w="973"/>
        <w:gridCol w:w="3368"/>
        <w:gridCol w:w="1667"/>
        <w:gridCol w:w="1694"/>
        <w:gridCol w:w="1314"/>
      </w:tblGrid>
      <w:tr w:rsidR="00E52449" w:rsidRPr="006A74F8" w:rsidTr="00AF3C29">
        <w:trPr>
          <w:trHeight w:val="600"/>
          <w:tblHeader/>
          <w:jc w:val="center"/>
        </w:trPr>
        <w:tc>
          <w:tcPr>
            <w:tcW w:w="0" w:type="auto"/>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HS Code</w:t>
            </w:r>
          </w:p>
        </w:tc>
        <w:tc>
          <w:tcPr>
            <w:tcW w:w="0" w:type="auto"/>
            <w:shd w:val="clear" w:color="auto" w:fill="1F3864"/>
            <w:vAlign w:val="center"/>
          </w:tcPr>
          <w:p w:rsidR="00E52449" w:rsidRPr="006A74F8" w:rsidRDefault="00E52449" w:rsidP="00E52449">
            <w:pPr>
              <w:spacing w:after="0" w:line="240" w:lineRule="auto"/>
              <w:rPr>
                <w:rFonts w:ascii="Calibri" w:eastAsia="Times New Roman" w:hAnsi="Calibri" w:cs="Calibri"/>
                <w:b/>
                <w:color w:val="FFFFFF"/>
                <w:lang w:eastAsia="en-AU"/>
              </w:rPr>
            </w:pPr>
            <w:r w:rsidRPr="006A74F8">
              <w:rPr>
                <w:rFonts w:ascii="Calibri" w:eastAsia="Times New Roman" w:hAnsi="Calibri" w:cs="Calibri"/>
                <w:b/>
                <w:color w:val="FFFFFF"/>
                <w:lang w:eastAsia="en-AU"/>
              </w:rPr>
              <w:t>Description</w:t>
            </w:r>
          </w:p>
        </w:tc>
        <w:tc>
          <w:tcPr>
            <w:tcW w:w="0" w:type="auto"/>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Product Value $</w:t>
            </w:r>
          </w:p>
        </w:tc>
        <w:tc>
          <w:tcPr>
            <w:tcW w:w="0" w:type="auto"/>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Product Volume</w:t>
            </w:r>
          </w:p>
        </w:tc>
        <w:tc>
          <w:tcPr>
            <w:tcW w:w="0" w:type="auto"/>
            <w:shd w:val="clear" w:color="auto" w:fill="1F3864"/>
            <w:noWrap/>
            <w:vAlign w:val="center"/>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Unit</w:t>
            </w:r>
          </w:p>
        </w:tc>
      </w:tr>
      <w:tr w:rsidR="00E52449" w:rsidRPr="006A74F8" w:rsidTr="00E52449">
        <w:tblPrEx>
          <w:jc w:val="left"/>
        </w:tblPrEx>
        <w:trPr>
          <w:trHeight w:val="300"/>
        </w:trPr>
        <w:tc>
          <w:tcPr>
            <w:tcW w:w="0" w:type="auto"/>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2203</w:t>
            </w:r>
          </w:p>
        </w:tc>
        <w:tc>
          <w:tcPr>
            <w:tcW w:w="0" w:type="auto"/>
            <w:vMerge w:val="restar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Beer made from malt</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$1,737,413</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93,505,421</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w:t>
            </w:r>
          </w:p>
        </w:tc>
      </w:tr>
      <w:tr w:rsidR="00E52449" w:rsidRPr="006A74F8" w:rsidTr="00E52449">
        <w:tblPrEx>
          <w:jc w:val="left"/>
        </w:tblPrEx>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$125,566,450</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3,187,686</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 Alcohol</w:t>
            </w:r>
          </w:p>
        </w:tc>
      </w:tr>
      <w:tr w:rsidR="00E52449" w:rsidRPr="006A74F8" w:rsidTr="00E52449">
        <w:tblPrEx>
          <w:jc w:val="left"/>
        </w:tblPrEx>
        <w:trPr>
          <w:trHeight w:val="300"/>
        </w:trPr>
        <w:tc>
          <w:tcPr>
            <w:tcW w:w="0" w:type="auto"/>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2204</w:t>
            </w:r>
          </w:p>
        </w:tc>
        <w:tc>
          <w:tcPr>
            <w:tcW w:w="0" w:type="auto"/>
            <w:vMerge w:val="restar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Wine of fresh grapes, including fortified wines; grape must other than that of heading no. 2009</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$457,164,427</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40,814,169</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w:t>
            </w:r>
          </w:p>
        </w:tc>
      </w:tr>
      <w:tr w:rsidR="00E52449" w:rsidRPr="006A74F8" w:rsidTr="00E52449">
        <w:tblPrEx>
          <w:jc w:val="left"/>
        </w:tblPrEx>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$132,244</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872</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 Alcohol</w:t>
            </w:r>
          </w:p>
        </w:tc>
      </w:tr>
      <w:tr w:rsidR="00E52449" w:rsidRPr="006A74F8" w:rsidTr="00E52449">
        <w:tblPrEx>
          <w:jc w:val="left"/>
        </w:tblPrEx>
        <w:trPr>
          <w:trHeight w:val="300"/>
        </w:trPr>
        <w:tc>
          <w:tcPr>
            <w:tcW w:w="0" w:type="auto"/>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2205</w:t>
            </w:r>
          </w:p>
        </w:tc>
        <w:tc>
          <w:tcPr>
            <w:tcW w:w="0" w:type="auto"/>
            <w:vMerge w:val="restar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Vermouth and other wine of fresh grapes, flavoured with plants or aromatic substances</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$2,559,962</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646,429</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w:t>
            </w:r>
          </w:p>
        </w:tc>
      </w:tr>
      <w:tr w:rsidR="00E52449" w:rsidRPr="006A74F8" w:rsidTr="00E52449">
        <w:tblPrEx>
          <w:jc w:val="left"/>
        </w:tblPrEx>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$577,573</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8,087</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 Alcohol</w:t>
            </w:r>
          </w:p>
        </w:tc>
      </w:tr>
      <w:tr w:rsidR="00E52449" w:rsidRPr="006A74F8" w:rsidTr="00E52449">
        <w:tblPrEx>
          <w:jc w:val="left"/>
        </w:tblPrEx>
        <w:trPr>
          <w:trHeight w:val="300"/>
        </w:trPr>
        <w:tc>
          <w:tcPr>
            <w:tcW w:w="0" w:type="auto"/>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2206</w:t>
            </w:r>
          </w:p>
        </w:tc>
        <w:tc>
          <w:tcPr>
            <w:tcW w:w="0" w:type="auto"/>
            <w:vMerge w:val="restar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Fermented beverages, n.e.c. in chapter 22; (e.g. cider, perry, mead)</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$6,343,499</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6,787,557</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w:t>
            </w:r>
          </w:p>
        </w:tc>
      </w:tr>
      <w:tr w:rsidR="00E52449" w:rsidRPr="006A74F8" w:rsidTr="00E52449">
        <w:tblPrEx>
          <w:jc w:val="left"/>
        </w:tblPrEx>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$10,926,049</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219,494</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 Alcohol</w:t>
            </w:r>
          </w:p>
        </w:tc>
      </w:tr>
      <w:tr w:rsidR="00E52449" w:rsidRPr="006A74F8" w:rsidTr="00E52449">
        <w:tblPrEx>
          <w:jc w:val="left"/>
        </w:tblPrEx>
        <w:trPr>
          <w:trHeight w:val="300"/>
        </w:trPr>
        <w:tc>
          <w:tcPr>
            <w:tcW w:w="0" w:type="auto"/>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2207</w:t>
            </w:r>
          </w:p>
        </w:tc>
        <w:tc>
          <w:tcPr>
            <w:tcW w:w="0" w:type="auto"/>
            <w:vMerge w:val="restar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Ethyl alcohol, undenatured; of an alcoholic strength by volume of 80% vol. or higher; ethyl alcohol and other spirits, denatured, of any strength</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$3,220</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20</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w:t>
            </w:r>
          </w:p>
        </w:tc>
      </w:tr>
      <w:tr w:rsidR="00E52449" w:rsidRPr="006A74F8" w:rsidTr="00E52449">
        <w:tblPrEx>
          <w:jc w:val="left"/>
        </w:tblPrEx>
        <w:trPr>
          <w:trHeight w:val="300"/>
        </w:trPr>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0" w:type="auto"/>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$252,133</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80,379</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 Alcohol</w:t>
            </w:r>
          </w:p>
        </w:tc>
      </w:tr>
      <w:tr w:rsidR="00E52449" w:rsidRPr="006A74F8" w:rsidTr="00E52449">
        <w:tblPrEx>
          <w:jc w:val="left"/>
        </w:tblPrEx>
        <w:trPr>
          <w:trHeight w:val="600"/>
        </w:trPr>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2208</w:t>
            </w:r>
          </w:p>
        </w:tc>
        <w:tc>
          <w:tcPr>
            <w:tcW w:w="0" w:type="auto"/>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Ethyl alcohol, undenatured; of an alcoholic strength by volume of less than 80% volume; spirits, liqueurs and other spirituous beverages</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$399,600,495</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Calibri" w:hAnsi="Calibri" w:cs="Calibri"/>
                <w:color w:val="000000"/>
                <w:sz w:val="20"/>
                <w:szCs w:val="20"/>
              </w:rPr>
            </w:pPr>
            <w:r w:rsidRPr="006A74F8">
              <w:rPr>
                <w:rFonts w:ascii="Calibri" w:eastAsia="Calibri" w:hAnsi="Calibri" w:cs="Calibri"/>
                <w:color w:val="000000"/>
                <w:sz w:val="20"/>
                <w:szCs w:val="20"/>
              </w:rPr>
              <w:t>14,849,128</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 Alcohol</w:t>
            </w:r>
          </w:p>
        </w:tc>
      </w:tr>
      <w:tr w:rsidR="00E52449" w:rsidRPr="006A74F8" w:rsidTr="00E52449">
        <w:tblPrEx>
          <w:jc w:val="left"/>
        </w:tblPrEx>
        <w:trPr>
          <w:trHeight w:val="600"/>
        </w:trPr>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2209</w:t>
            </w:r>
          </w:p>
        </w:tc>
        <w:tc>
          <w:tcPr>
            <w:tcW w:w="0" w:type="auto"/>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Vinegar and substitutes for vinegar obtained from acetic acid</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$17,494,353</w:t>
            </w: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Calibri" w:hAnsi="Calibri" w:cs="Calibri"/>
                <w:color w:val="000000"/>
                <w:sz w:val="20"/>
                <w:szCs w:val="20"/>
              </w:rPr>
            </w:pPr>
          </w:p>
          <w:p w:rsidR="00E52449" w:rsidRPr="006A74F8" w:rsidRDefault="00E52449" w:rsidP="00E52449">
            <w:pPr>
              <w:spacing w:after="0" w:line="240" w:lineRule="auto"/>
              <w:jc w:val="center"/>
              <w:rPr>
                <w:rFonts w:ascii="Calibri" w:eastAsia="Calibri" w:hAnsi="Calibri" w:cs="Calibri"/>
                <w:color w:val="000000"/>
                <w:sz w:val="20"/>
                <w:szCs w:val="20"/>
              </w:rPr>
            </w:pPr>
            <w:r w:rsidRPr="006A74F8">
              <w:rPr>
                <w:rFonts w:ascii="Calibri" w:eastAsia="Calibri" w:hAnsi="Calibri" w:cs="Calibri"/>
                <w:color w:val="000000"/>
                <w:sz w:val="20"/>
                <w:szCs w:val="20"/>
              </w:rPr>
              <w:t>5,621,164</w:t>
            </w:r>
          </w:p>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0" w:type="auto"/>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Litres</w:t>
            </w:r>
          </w:p>
        </w:tc>
      </w:tr>
    </w:tbl>
    <w:p w:rsidR="00E52449" w:rsidRPr="006A74F8" w:rsidRDefault="00E52449" w:rsidP="00E52449">
      <w:pPr>
        <w:keepNext/>
        <w:spacing w:after="200" w:line="240" w:lineRule="auto"/>
        <w:rPr>
          <w:rFonts w:ascii="Arial" w:eastAsia="Calibri" w:hAnsi="Arial" w:cs="Times New Roman"/>
          <w:i/>
          <w:iCs/>
          <w:color w:val="2C2C2D"/>
          <w:sz w:val="2"/>
          <w:szCs w:val="2"/>
        </w:rPr>
      </w:pPr>
    </w:p>
    <w:p w:rsidR="00E52449" w:rsidRPr="006A74F8" w:rsidRDefault="00E52449" w:rsidP="00E52449">
      <w:pPr>
        <w:rPr>
          <w:rFonts w:ascii="Arial" w:eastAsia="Calibri" w:hAnsi="Arial" w:cs="Times New Roman"/>
        </w:rPr>
      </w:pPr>
    </w:p>
    <w:p w:rsidR="00E52449" w:rsidRPr="006A74F8" w:rsidRDefault="00E52449" w:rsidP="00E52449">
      <w:pPr>
        <w:rPr>
          <w:rFonts w:ascii="Arial" w:eastAsia="Calibri" w:hAnsi="Arial" w:cs="Times New Roman"/>
        </w:rPr>
        <w:sectPr w:rsidR="00E52449" w:rsidRPr="006A74F8" w:rsidSect="00EC61D8">
          <w:pgSz w:w="11906" w:h="16838"/>
          <w:pgMar w:top="1440" w:right="1440" w:bottom="1440" w:left="1440" w:header="708" w:footer="708" w:gutter="0"/>
          <w:cols w:space="708"/>
          <w:docGrid w:linePitch="360"/>
        </w:sectPr>
      </w:pPr>
    </w:p>
    <w:p w:rsidR="00E52449" w:rsidRPr="006A74F8" w:rsidRDefault="00E52449" w:rsidP="00294766">
      <w:pPr>
        <w:pStyle w:val="Heading3"/>
        <w:tabs>
          <w:tab w:val="left" w:pos="1134"/>
        </w:tabs>
        <w:rPr>
          <w:rFonts w:eastAsia="Times New Roman"/>
        </w:rPr>
      </w:pPr>
      <w:bookmarkStart w:id="2790" w:name="_Proxy_products_for_1"/>
      <w:bookmarkStart w:id="2791" w:name="_Toc479769523"/>
      <w:bookmarkStart w:id="2792" w:name="_Toc493510789"/>
      <w:bookmarkStart w:id="2793" w:name="_Toc500929407"/>
      <w:bookmarkStart w:id="2794" w:name="_Toc501463867"/>
      <w:bookmarkStart w:id="2795" w:name="_Toc503535582"/>
      <w:bookmarkStart w:id="2796" w:name="_Toc503539759"/>
      <w:bookmarkStart w:id="2797" w:name="_Toc503882293"/>
      <w:bookmarkStart w:id="2798" w:name="_Toc518032809"/>
      <w:bookmarkStart w:id="2799" w:name="_Ref67653516"/>
      <w:bookmarkStart w:id="2800" w:name="_Ref67653529"/>
      <w:bookmarkEnd w:id="2790"/>
      <w:r w:rsidRPr="006A74F8">
        <w:rPr>
          <w:rFonts w:eastAsia="Times New Roman"/>
        </w:rPr>
        <w:lastRenderedPageBreak/>
        <w:t>Proxy products for each beverage class</w:t>
      </w:r>
      <w:bookmarkEnd w:id="2791"/>
      <w:bookmarkEnd w:id="2792"/>
      <w:bookmarkEnd w:id="2793"/>
      <w:bookmarkEnd w:id="2794"/>
      <w:bookmarkEnd w:id="2795"/>
      <w:bookmarkEnd w:id="2796"/>
      <w:bookmarkEnd w:id="2797"/>
      <w:bookmarkEnd w:id="2798"/>
      <w:bookmarkEnd w:id="2799"/>
      <w:bookmarkEnd w:id="2800"/>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32</w:t>
      </w:r>
      <w:r w:rsidR="00D003A8" w:rsidRPr="006A74F8">
        <w:rPr>
          <w:noProof/>
        </w:rPr>
        <w:fldChar w:fldCharType="end"/>
      </w:r>
      <w:r w:rsidRPr="006A74F8">
        <w:t>: Proxy products for selected beverage classes</w:t>
      </w: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32 - Proxy products for each beverage class"/>
        <w:tblDescription w:val="Table A10-32: Proxy products for selected beverage classes (excluding 2201 and 2202)&#10;"/>
      </w:tblPr>
      <w:tblGrid>
        <w:gridCol w:w="927"/>
        <w:gridCol w:w="4192"/>
        <w:gridCol w:w="2562"/>
        <w:gridCol w:w="2846"/>
        <w:gridCol w:w="2084"/>
        <w:gridCol w:w="1864"/>
      </w:tblGrid>
      <w:tr w:rsidR="00E52449" w:rsidRPr="006A74F8" w:rsidTr="00AF3C29">
        <w:trPr>
          <w:trHeight w:val="924"/>
        </w:trPr>
        <w:tc>
          <w:tcPr>
            <w:tcW w:w="320" w:type="pct"/>
            <w:shd w:val="clear" w:color="auto" w:fill="1F3864"/>
            <w:noWrap/>
            <w:vAlign w:val="center"/>
            <w:hideMark/>
          </w:tcPr>
          <w:p w:rsidR="00E52449" w:rsidRPr="006A74F8" w:rsidRDefault="00E52449" w:rsidP="00E52449">
            <w:pPr>
              <w:spacing w:after="0" w:line="240" w:lineRule="auto"/>
              <w:jc w:val="center"/>
              <w:rPr>
                <w:rFonts w:ascii="Calibri" w:eastAsia="Times New Roman" w:hAnsi="Calibri" w:cs="Calibri"/>
                <w:b/>
                <w:color w:val="FFFFFF"/>
                <w:sz w:val="20"/>
                <w:lang w:eastAsia="en-AU"/>
              </w:rPr>
            </w:pPr>
            <w:r w:rsidRPr="006A74F8">
              <w:rPr>
                <w:rFonts w:ascii="Calibri" w:eastAsia="Times New Roman" w:hAnsi="Calibri" w:cs="Calibri"/>
                <w:b/>
                <w:color w:val="FFFFFF"/>
                <w:sz w:val="20"/>
                <w:lang w:eastAsia="en-AU"/>
              </w:rPr>
              <w:t>HS Code</w:t>
            </w:r>
          </w:p>
        </w:tc>
        <w:tc>
          <w:tcPr>
            <w:tcW w:w="1448" w:type="pct"/>
            <w:shd w:val="clear" w:color="auto" w:fill="1F3864"/>
            <w:noWrap/>
            <w:vAlign w:val="center"/>
            <w:hideMark/>
          </w:tcPr>
          <w:p w:rsidR="00E52449" w:rsidRPr="006A74F8" w:rsidRDefault="00E52449" w:rsidP="00E52449">
            <w:pPr>
              <w:spacing w:after="0" w:line="240" w:lineRule="auto"/>
              <w:jc w:val="center"/>
              <w:rPr>
                <w:rFonts w:ascii="Calibri" w:eastAsia="Times New Roman" w:hAnsi="Calibri" w:cs="Calibri"/>
                <w:b/>
                <w:color w:val="FFFFFF"/>
                <w:sz w:val="20"/>
                <w:lang w:eastAsia="en-AU"/>
              </w:rPr>
            </w:pPr>
            <w:r w:rsidRPr="006A74F8">
              <w:rPr>
                <w:rFonts w:ascii="Calibri" w:eastAsia="Times New Roman" w:hAnsi="Calibri" w:cs="Calibri"/>
                <w:b/>
                <w:color w:val="FFFFFF"/>
                <w:sz w:val="20"/>
                <w:lang w:eastAsia="en-AU"/>
              </w:rPr>
              <w:t>Description</w:t>
            </w:r>
          </w:p>
        </w:tc>
        <w:tc>
          <w:tcPr>
            <w:tcW w:w="885"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lang w:eastAsia="en-AU"/>
              </w:rPr>
            </w:pPr>
            <w:r w:rsidRPr="006A74F8">
              <w:rPr>
                <w:rFonts w:ascii="Calibri" w:eastAsia="Times New Roman" w:hAnsi="Calibri" w:cs="Calibri"/>
                <w:b/>
                <w:color w:val="FFFFFF"/>
                <w:sz w:val="20"/>
                <w:lang w:eastAsia="en-AU"/>
              </w:rPr>
              <w:t>Proxy Product</w:t>
            </w:r>
          </w:p>
        </w:tc>
        <w:tc>
          <w:tcPr>
            <w:tcW w:w="983"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lang w:eastAsia="en-AU"/>
              </w:rPr>
            </w:pPr>
            <w:r w:rsidRPr="006A74F8">
              <w:rPr>
                <w:rFonts w:ascii="Calibri" w:eastAsia="Times New Roman" w:hAnsi="Calibri" w:cs="Calibri"/>
                <w:b/>
                <w:color w:val="FFFFFF"/>
                <w:sz w:val="20"/>
                <w:lang w:eastAsia="en-AU"/>
              </w:rPr>
              <w:t xml:space="preserve">Proxy Product Source </w:t>
            </w:r>
          </w:p>
        </w:tc>
        <w:tc>
          <w:tcPr>
            <w:tcW w:w="720"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lang w:eastAsia="en-AU"/>
              </w:rPr>
            </w:pPr>
            <w:r w:rsidRPr="006A74F8">
              <w:rPr>
                <w:rFonts w:ascii="Calibri" w:eastAsia="Times New Roman" w:hAnsi="Calibri" w:cs="Calibri"/>
                <w:b/>
                <w:color w:val="FFFFFF"/>
                <w:sz w:val="20"/>
                <w:lang w:eastAsia="en-AU"/>
              </w:rPr>
              <w:t>Proxy Product Indicative Price</w:t>
            </w:r>
          </w:p>
        </w:tc>
        <w:tc>
          <w:tcPr>
            <w:tcW w:w="644"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sz w:val="20"/>
                <w:lang w:eastAsia="en-AU"/>
              </w:rPr>
            </w:pPr>
            <w:r w:rsidRPr="006A74F8">
              <w:rPr>
                <w:rFonts w:ascii="Calibri" w:eastAsia="Times New Roman" w:hAnsi="Calibri" w:cs="Calibri"/>
                <w:b/>
                <w:color w:val="FFFFFF"/>
                <w:sz w:val="20"/>
                <w:lang w:eastAsia="en-AU"/>
              </w:rPr>
              <w:t>Proxy Product Vol. per unit</w:t>
            </w:r>
          </w:p>
        </w:tc>
      </w:tr>
      <w:tr w:rsidR="00E52449" w:rsidRPr="006A74F8" w:rsidTr="00E52449">
        <w:trPr>
          <w:trHeight w:val="707"/>
        </w:trPr>
        <w:tc>
          <w:tcPr>
            <w:tcW w:w="3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2203</w:t>
            </w:r>
          </w:p>
        </w:tc>
        <w:tc>
          <w:tcPr>
            <w:tcW w:w="1448"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Beer made from malt</w:t>
            </w:r>
          </w:p>
        </w:tc>
        <w:tc>
          <w:tcPr>
            <w:tcW w:w="885"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Stella Artois (one bottle)</w:t>
            </w:r>
          </w:p>
        </w:tc>
        <w:tc>
          <w:tcPr>
            <w:tcW w:w="98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https://www.danmurphys.com.au/product/DM_72869/stella-artois-bottles</w:t>
            </w:r>
          </w:p>
        </w:tc>
        <w:tc>
          <w:tcPr>
            <w:tcW w:w="7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$4.49</w:t>
            </w:r>
          </w:p>
        </w:tc>
        <w:tc>
          <w:tcPr>
            <w:tcW w:w="6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Calibri" w:hAnsi="Calibri" w:cs="Calibri"/>
                <w:color w:val="000000"/>
                <w:sz w:val="20"/>
              </w:rPr>
              <w:t>330ml</w:t>
            </w:r>
          </w:p>
        </w:tc>
      </w:tr>
      <w:tr w:rsidR="00E52449" w:rsidRPr="006A74F8" w:rsidTr="00E52449">
        <w:trPr>
          <w:trHeight w:val="1179"/>
        </w:trPr>
        <w:tc>
          <w:tcPr>
            <w:tcW w:w="3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2204</w:t>
            </w:r>
          </w:p>
        </w:tc>
        <w:tc>
          <w:tcPr>
            <w:tcW w:w="1448"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Wine of fresh grapes, including fortified wines; grape must other than that of heading no. 2009</w:t>
            </w:r>
          </w:p>
        </w:tc>
        <w:tc>
          <w:tcPr>
            <w:tcW w:w="885"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Cabernet Sauvignon - Rawson's Retreat - Penfolds</w:t>
            </w:r>
          </w:p>
        </w:tc>
        <w:tc>
          <w:tcPr>
            <w:tcW w:w="98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https://www.danmurphys.com.au/product/DM_902300/rawson-s-retreat-cabernet-sauvignon</w:t>
            </w:r>
          </w:p>
        </w:tc>
        <w:tc>
          <w:tcPr>
            <w:tcW w:w="7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$7.99</w:t>
            </w:r>
          </w:p>
        </w:tc>
        <w:tc>
          <w:tcPr>
            <w:tcW w:w="6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Calibri" w:hAnsi="Calibri" w:cs="Calibri"/>
                <w:color w:val="000000"/>
                <w:sz w:val="20"/>
              </w:rPr>
              <w:t>750ml</w:t>
            </w:r>
          </w:p>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Calibri" w:hAnsi="Calibri" w:cs="Calibri"/>
                <w:color w:val="000000"/>
                <w:sz w:val="20"/>
              </w:rPr>
              <w:t> </w:t>
            </w:r>
          </w:p>
        </w:tc>
      </w:tr>
      <w:tr w:rsidR="00E52449" w:rsidRPr="006A74F8" w:rsidTr="00E52449">
        <w:trPr>
          <w:trHeight w:val="943"/>
        </w:trPr>
        <w:tc>
          <w:tcPr>
            <w:tcW w:w="3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2205</w:t>
            </w:r>
          </w:p>
        </w:tc>
        <w:tc>
          <w:tcPr>
            <w:tcW w:w="1448"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Vermouth and other wine of fresh grapes, flavoured with plants or aromatic substances</w:t>
            </w:r>
          </w:p>
        </w:tc>
        <w:tc>
          <w:tcPr>
            <w:tcW w:w="885"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Original French Dry Vermouth - Noilly Prat</w:t>
            </w:r>
          </w:p>
        </w:tc>
        <w:tc>
          <w:tcPr>
            <w:tcW w:w="98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https://www.danmurphys.com.au/product/DM_2025/noilly-prat-original-french-dry-vermouth</w:t>
            </w:r>
          </w:p>
        </w:tc>
        <w:tc>
          <w:tcPr>
            <w:tcW w:w="7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$32.95</w:t>
            </w:r>
          </w:p>
        </w:tc>
        <w:tc>
          <w:tcPr>
            <w:tcW w:w="6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Calibri" w:hAnsi="Calibri" w:cs="Calibri"/>
                <w:color w:val="000000"/>
                <w:sz w:val="20"/>
              </w:rPr>
              <w:t>750ml</w:t>
            </w:r>
          </w:p>
        </w:tc>
      </w:tr>
      <w:tr w:rsidR="00E52449" w:rsidRPr="006A74F8" w:rsidTr="00E52449">
        <w:trPr>
          <w:trHeight w:val="307"/>
        </w:trPr>
        <w:tc>
          <w:tcPr>
            <w:tcW w:w="3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2206</w:t>
            </w:r>
          </w:p>
        </w:tc>
        <w:tc>
          <w:tcPr>
            <w:tcW w:w="1448"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Fermented beverages, n.e.c. in chapter 22; (e.g. cider, perry, mead)</w:t>
            </w:r>
          </w:p>
        </w:tc>
        <w:tc>
          <w:tcPr>
            <w:tcW w:w="885"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Vietnamese Street Food Series Cider - Cheeky Rascal</w:t>
            </w:r>
          </w:p>
        </w:tc>
        <w:tc>
          <w:tcPr>
            <w:tcW w:w="98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https://www.danmurphys.com.au/product/DM_ER_1000005192_CR5SFVIET/cheeky-rascal-vietnamese-street-food-series-cider-500ml</w:t>
            </w:r>
          </w:p>
        </w:tc>
        <w:tc>
          <w:tcPr>
            <w:tcW w:w="7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$7.00</w:t>
            </w:r>
          </w:p>
        </w:tc>
        <w:tc>
          <w:tcPr>
            <w:tcW w:w="6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Calibri" w:hAnsi="Calibri" w:cs="Calibri"/>
                <w:color w:val="000000"/>
                <w:sz w:val="20"/>
              </w:rPr>
              <w:t>500ml</w:t>
            </w:r>
          </w:p>
        </w:tc>
      </w:tr>
      <w:tr w:rsidR="00E52449" w:rsidRPr="006A74F8" w:rsidTr="00E52449">
        <w:trPr>
          <w:trHeight w:val="849"/>
        </w:trPr>
        <w:tc>
          <w:tcPr>
            <w:tcW w:w="3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2207</w:t>
            </w:r>
          </w:p>
        </w:tc>
        <w:tc>
          <w:tcPr>
            <w:tcW w:w="1448"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Ethyl alcohol, undenatured; of an alcoholic strength by volume of 80% vol. or higher; ethyl alcohol and other spirits, denatured, of any strength</w:t>
            </w:r>
          </w:p>
        </w:tc>
        <w:tc>
          <w:tcPr>
            <w:tcW w:w="885"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Methylated Spirits - Coles</w:t>
            </w:r>
          </w:p>
        </w:tc>
        <w:tc>
          <w:tcPr>
            <w:tcW w:w="98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https://shop.coles.com.au/a/a-national/product/coles-smart-buy-methylated-spirits</w:t>
            </w:r>
          </w:p>
        </w:tc>
        <w:tc>
          <w:tcPr>
            <w:tcW w:w="7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$5.50</w:t>
            </w:r>
          </w:p>
        </w:tc>
        <w:tc>
          <w:tcPr>
            <w:tcW w:w="6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Calibri" w:hAnsi="Calibri" w:cs="Calibri"/>
                <w:color w:val="000000"/>
                <w:sz w:val="20"/>
              </w:rPr>
              <w:t>1000ml</w:t>
            </w:r>
          </w:p>
        </w:tc>
      </w:tr>
      <w:tr w:rsidR="00E52449" w:rsidRPr="006A74F8" w:rsidTr="00E52449">
        <w:trPr>
          <w:trHeight w:val="615"/>
        </w:trPr>
        <w:tc>
          <w:tcPr>
            <w:tcW w:w="3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2208</w:t>
            </w:r>
          </w:p>
        </w:tc>
        <w:tc>
          <w:tcPr>
            <w:tcW w:w="1448"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Ethyl alcohol, undenatured; of an alcoholic strength by volume of less than 80% volume; spirits, liqueurs and other spirituous beverages</w:t>
            </w:r>
          </w:p>
        </w:tc>
        <w:tc>
          <w:tcPr>
            <w:tcW w:w="885"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Vodka - Smirnoff</w:t>
            </w:r>
          </w:p>
        </w:tc>
        <w:tc>
          <w:tcPr>
            <w:tcW w:w="98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https://www.danmurphys.com.au/product/DM_19252/smirnoff-red-label-vodka-700ml</w:t>
            </w:r>
          </w:p>
        </w:tc>
        <w:tc>
          <w:tcPr>
            <w:tcW w:w="7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6100"/>
                <w:sz w:val="20"/>
                <w:lang w:eastAsia="en-AU"/>
              </w:rPr>
            </w:pPr>
            <w:r w:rsidRPr="006A74F8">
              <w:rPr>
                <w:rFonts w:ascii="Calibri" w:eastAsia="Times New Roman" w:hAnsi="Calibri" w:cs="Calibri"/>
                <w:sz w:val="20"/>
                <w:lang w:eastAsia="en-AU"/>
              </w:rPr>
              <w:t>$36.95</w:t>
            </w:r>
          </w:p>
        </w:tc>
        <w:tc>
          <w:tcPr>
            <w:tcW w:w="6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6100"/>
                <w:sz w:val="20"/>
                <w:lang w:eastAsia="en-AU"/>
              </w:rPr>
            </w:pPr>
            <w:r w:rsidRPr="006A74F8">
              <w:rPr>
                <w:rFonts w:ascii="Calibri" w:eastAsia="Calibri" w:hAnsi="Calibri" w:cs="Calibri"/>
                <w:color w:val="000000"/>
                <w:sz w:val="20"/>
              </w:rPr>
              <w:t>750ml</w:t>
            </w:r>
          </w:p>
        </w:tc>
      </w:tr>
      <w:tr w:rsidR="00E52449" w:rsidRPr="006A74F8" w:rsidTr="00E52449">
        <w:trPr>
          <w:trHeight w:val="615"/>
        </w:trPr>
        <w:tc>
          <w:tcPr>
            <w:tcW w:w="3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2209</w:t>
            </w:r>
          </w:p>
        </w:tc>
        <w:tc>
          <w:tcPr>
            <w:tcW w:w="1448"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Vinegar and substitutes for vinegar obtained from acetic acid</w:t>
            </w:r>
          </w:p>
        </w:tc>
        <w:tc>
          <w:tcPr>
            <w:tcW w:w="885" w:type="pct"/>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White Vinegar - Cornwells</w:t>
            </w:r>
          </w:p>
        </w:tc>
        <w:tc>
          <w:tcPr>
            <w:tcW w:w="98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https://shop.coles.com.au/a/a-national/product/cornwells-vinegar-white-156768p</w:t>
            </w:r>
          </w:p>
        </w:tc>
        <w:tc>
          <w:tcPr>
            <w:tcW w:w="72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Times New Roman" w:hAnsi="Calibri" w:cs="Calibri"/>
                <w:color w:val="000000"/>
                <w:sz w:val="20"/>
                <w:lang w:eastAsia="en-AU"/>
              </w:rPr>
              <w:t>$3.10</w:t>
            </w:r>
          </w:p>
        </w:tc>
        <w:tc>
          <w:tcPr>
            <w:tcW w:w="6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lang w:eastAsia="en-AU"/>
              </w:rPr>
            </w:pPr>
            <w:r w:rsidRPr="006A74F8">
              <w:rPr>
                <w:rFonts w:ascii="Calibri" w:eastAsia="Calibri" w:hAnsi="Calibri" w:cs="Calibri"/>
                <w:color w:val="000000"/>
                <w:sz w:val="20"/>
              </w:rPr>
              <w:t>750ml</w:t>
            </w:r>
          </w:p>
        </w:tc>
      </w:tr>
    </w:tbl>
    <w:p w:rsidR="00E52449" w:rsidRPr="006A74F8" w:rsidRDefault="00E52449" w:rsidP="00E52449">
      <w:pPr>
        <w:rPr>
          <w:rFonts w:ascii="Arial" w:eastAsia="Calibri" w:hAnsi="Arial" w:cs="Times New Roman"/>
        </w:rPr>
      </w:pPr>
      <w:r w:rsidRPr="006A74F8">
        <w:rPr>
          <w:rFonts w:ascii="Arial" w:eastAsia="Calibri" w:hAnsi="Arial" w:cs="Times New Roman"/>
        </w:rPr>
        <w:br w:type="page"/>
      </w:r>
    </w:p>
    <w:p w:rsidR="00E52449" w:rsidRPr="006A74F8" w:rsidRDefault="00E52449" w:rsidP="00A31A00">
      <w:pPr>
        <w:pStyle w:val="Heading3"/>
        <w:rPr>
          <w:rFonts w:eastAsia="Times New Roman"/>
        </w:rPr>
      </w:pPr>
      <w:bookmarkStart w:id="2801" w:name="_Estimated_costs_to_2"/>
      <w:bookmarkStart w:id="2802" w:name="_Toc479769524"/>
      <w:bookmarkStart w:id="2803" w:name="_Toc493510790"/>
      <w:bookmarkStart w:id="2804" w:name="_Toc500929408"/>
      <w:bookmarkStart w:id="2805" w:name="_Toc501463868"/>
      <w:bookmarkStart w:id="2806" w:name="_Toc503535583"/>
      <w:bookmarkStart w:id="2807" w:name="_Toc503539760"/>
      <w:bookmarkStart w:id="2808" w:name="_Ref503863967"/>
      <w:bookmarkStart w:id="2809" w:name="_Toc503882294"/>
      <w:bookmarkStart w:id="2810" w:name="_Toc518032810"/>
      <w:bookmarkStart w:id="2811" w:name="_Ref67655235"/>
      <w:bookmarkStart w:id="2812" w:name="_Ref67655247"/>
      <w:bookmarkEnd w:id="2801"/>
      <w:r w:rsidRPr="006A74F8">
        <w:rPr>
          <w:rFonts w:eastAsia="Times New Roman"/>
        </w:rPr>
        <w:lastRenderedPageBreak/>
        <w:t>Estimated costs to industry for each beverage class – boundary cases</w:t>
      </w:r>
      <w:bookmarkEnd w:id="2802"/>
      <w:bookmarkEnd w:id="2803"/>
      <w:bookmarkEnd w:id="2804"/>
      <w:bookmarkEnd w:id="2805"/>
      <w:bookmarkEnd w:id="2806"/>
      <w:bookmarkEnd w:id="2807"/>
      <w:bookmarkEnd w:id="2808"/>
      <w:bookmarkEnd w:id="2809"/>
      <w:bookmarkEnd w:id="2810"/>
      <w:bookmarkEnd w:id="2811"/>
      <w:bookmarkEnd w:id="2812"/>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33</w:t>
      </w:r>
      <w:r w:rsidR="00D003A8" w:rsidRPr="006A74F8">
        <w:rPr>
          <w:noProof/>
        </w:rPr>
        <w:fldChar w:fldCharType="end"/>
      </w:r>
      <w:r w:rsidRPr="006A74F8">
        <w:t xml:space="preserve">: Upper and lower estimates for relabelling of beverage products imported from the EU </w:t>
      </w:r>
      <w:r w:rsidR="00464036" w:rsidRPr="006A74F8">
        <w:t>(and the UK)</w:t>
      </w:r>
      <w:r w:rsidRPr="006A74F8">
        <w:t xml:space="preserve"> calculated from proxy costs</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2 - Estimated costs to industry for each beverage class"/>
        <w:tblDescription w:val="Table 32: Upper and lower estimates for relabelling of beverage products imported from the EU calculated from proxy costs"/>
      </w:tblPr>
      <w:tblGrid>
        <w:gridCol w:w="1049"/>
        <w:gridCol w:w="1440"/>
        <w:gridCol w:w="1194"/>
        <w:gridCol w:w="1551"/>
        <w:gridCol w:w="1566"/>
        <w:gridCol w:w="1563"/>
        <w:gridCol w:w="1557"/>
        <w:gridCol w:w="1557"/>
        <w:gridCol w:w="1417"/>
        <w:gridCol w:w="1417"/>
      </w:tblGrid>
      <w:tr w:rsidR="00E52449" w:rsidRPr="006A74F8" w:rsidTr="00AF3C29">
        <w:trPr>
          <w:trHeight w:val="765"/>
        </w:trPr>
        <w:tc>
          <w:tcPr>
            <w:tcW w:w="367" w:type="pct"/>
            <w:shd w:val="clear" w:color="auto" w:fill="1F3864"/>
            <w:noWrap/>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HS Code</w:t>
            </w:r>
          </w:p>
        </w:tc>
        <w:tc>
          <w:tcPr>
            <w:tcW w:w="503"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Product value</w:t>
            </w:r>
          </w:p>
        </w:tc>
        <w:tc>
          <w:tcPr>
            <w:tcW w:w="417"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Est. Price per unit</w:t>
            </w:r>
          </w:p>
        </w:tc>
        <w:tc>
          <w:tcPr>
            <w:tcW w:w="542"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Unit import no. per year </w:t>
            </w:r>
          </w:p>
        </w:tc>
        <w:tc>
          <w:tcPr>
            <w:tcW w:w="547"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Units affected when 0.1% relabelled</w:t>
            </w:r>
          </w:p>
        </w:tc>
        <w:tc>
          <w:tcPr>
            <w:tcW w:w="546"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 Re-labelling cost $0.3 per unit </w:t>
            </w:r>
          </w:p>
        </w:tc>
        <w:tc>
          <w:tcPr>
            <w:tcW w:w="544"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 Re-labelling cost $0.7 per unit </w:t>
            </w:r>
          </w:p>
        </w:tc>
        <w:tc>
          <w:tcPr>
            <w:tcW w:w="544"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Units affected when 1% relabelled</w:t>
            </w:r>
          </w:p>
        </w:tc>
        <w:tc>
          <w:tcPr>
            <w:tcW w:w="495"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 Re-labelling cost $0.3 per unit </w:t>
            </w:r>
          </w:p>
        </w:tc>
        <w:tc>
          <w:tcPr>
            <w:tcW w:w="495"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 Re-labelling cost $0.7 per unit </w:t>
            </w:r>
          </w:p>
        </w:tc>
      </w:tr>
      <w:tr w:rsidR="00E52449" w:rsidRPr="006A74F8" w:rsidTr="00E52449">
        <w:trPr>
          <w:trHeight w:val="300"/>
        </w:trPr>
        <w:tc>
          <w:tcPr>
            <w:tcW w:w="367" w:type="pct"/>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2203</w:t>
            </w: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$1,737,413</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579,138</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579</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$174</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$405</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5,791</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$1,737</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$4,054</w:t>
            </w:r>
          </w:p>
        </w:tc>
      </w:tr>
      <w:tr w:rsidR="00E52449" w:rsidRPr="006A74F8" w:rsidTr="00E52449">
        <w:trPr>
          <w:trHeight w:val="300"/>
        </w:trPr>
        <w:tc>
          <w:tcPr>
            <w:tcW w:w="367"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$125,566,450</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41,855,483</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41855</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$12,557</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$29,299</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418,555</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$125,566</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$292,988</w:t>
            </w:r>
          </w:p>
        </w:tc>
      </w:tr>
      <w:tr w:rsidR="00E52449" w:rsidRPr="006A74F8" w:rsidTr="00E52449">
        <w:trPr>
          <w:trHeight w:val="300"/>
        </w:trPr>
        <w:tc>
          <w:tcPr>
            <w:tcW w:w="367" w:type="pct"/>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2204</w:t>
            </w: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$457,164,427</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$8.50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53,784,050</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53784</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$16,135</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$37,649</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537,841</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$161,352</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$376,488</w:t>
            </w:r>
          </w:p>
        </w:tc>
      </w:tr>
      <w:tr w:rsidR="00E52449" w:rsidRPr="006A74F8" w:rsidTr="00E52449">
        <w:trPr>
          <w:trHeight w:val="300"/>
        </w:trPr>
        <w:tc>
          <w:tcPr>
            <w:tcW w:w="367"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$132,244</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$8.50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15,558</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16</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156</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$47</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$109</w:t>
            </w:r>
          </w:p>
        </w:tc>
      </w:tr>
      <w:tr w:rsidR="00E52449" w:rsidRPr="006A74F8" w:rsidTr="00E52449">
        <w:trPr>
          <w:trHeight w:val="300"/>
        </w:trPr>
        <w:tc>
          <w:tcPr>
            <w:tcW w:w="367" w:type="pct"/>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2205</w:t>
            </w: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$2,559,962</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$6.50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393,840</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394</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$118</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$276</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3,938</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$1,182</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$2,757</w:t>
            </w:r>
          </w:p>
        </w:tc>
      </w:tr>
      <w:tr w:rsidR="00E52449" w:rsidRPr="006A74F8" w:rsidTr="00E52449">
        <w:trPr>
          <w:trHeight w:val="300"/>
        </w:trPr>
        <w:tc>
          <w:tcPr>
            <w:tcW w:w="367"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$577,573</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$6.50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88,857</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89</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$27</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$62</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889</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$267</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$622</w:t>
            </w:r>
          </w:p>
        </w:tc>
      </w:tr>
      <w:tr w:rsidR="00E52449" w:rsidRPr="006A74F8" w:rsidTr="00E52449">
        <w:trPr>
          <w:trHeight w:val="300"/>
        </w:trPr>
        <w:tc>
          <w:tcPr>
            <w:tcW w:w="367" w:type="pct"/>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2206</w:t>
            </w: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$6,343,499</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6,343,499</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6343</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$1,903</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$4,440</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63,435</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$19,030</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$44,404</w:t>
            </w:r>
          </w:p>
        </w:tc>
      </w:tr>
      <w:tr w:rsidR="00E52449" w:rsidRPr="006A74F8" w:rsidTr="00E52449">
        <w:trPr>
          <w:trHeight w:val="300"/>
        </w:trPr>
        <w:tc>
          <w:tcPr>
            <w:tcW w:w="367"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$10,926,049</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10,926,049</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10926</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$3,278</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$7,648</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109,260</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$32,778</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$76,482</w:t>
            </w:r>
          </w:p>
        </w:tc>
      </w:tr>
      <w:tr w:rsidR="00E52449" w:rsidRPr="006A74F8" w:rsidTr="00E52449">
        <w:trPr>
          <w:trHeight w:val="300"/>
        </w:trPr>
        <w:tc>
          <w:tcPr>
            <w:tcW w:w="367" w:type="pct"/>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2207</w:t>
            </w: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$3,220</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1,073</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$0</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w:t>
            </w:r>
          </w:p>
        </w:tc>
      </w:tr>
      <w:tr w:rsidR="00E52449" w:rsidRPr="006A74F8" w:rsidTr="00E52449">
        <w:trPr>
          <w:trHeight w:val="300"/>
        </w:trPr>
        <w:tc>
          <w:tcPr>
            <w:tcW w:w="367" w:type="pct"/>
            <w:vMerge/>
            <w:shd w:val="clear" w:color="auto" w:fill="auto"/>
            <w:vAlign w:val="center"/>
            <w:hideMark/>
          </w:tcPr>
          <w:p w:rsidR="00E52449" w:rsidRPr="006A74F8" w:rsidRDefault="00E52449" w:rsidP="00E52449">
            <w:pPr>
              <w:spacing w:after="0" w:line="240" w:lineRule="auto"/>
              <w:rPr>
                <w:rFonts w:ascii="Calibri" w:eastAsia="Times New Roman" w:hAnsi="Calibri" w:cs="Calibri"/>
                <w:color w:val="000000"/>
                <w:sz w:val="20"/>
                <w:szCs w:val="20"/>
                <w:lang w:eastAsia="en-AU"/>
              </w:rPr>
            </w:pP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$252,133</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$3.00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84,044</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84</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$25</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$59</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840</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$252</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$588</w:t>
            </w:r>
          </w:p>
        </w:tc>
      </w:tr>
      <w:tr w:rsidR="00E52449" w:rsidRPr="006A74F8" w:rsidTr="00E52449">
        <w:trPr>
          <w:trHeight w:val="255"/>
        </w:trPr>
        <w:tc>
          <w:tcPr>
            <w:tcW w:w="36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2208</w:t>
            </w: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$399,600,495</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$20.00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19,980,025</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19980</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$5,994</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$13,986</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199,800</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$59,940</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$139,860</w:t>
            </w:r>
          </w:p>
        </w:tc>
      </w:tr>
      <w:tr w:rsidR="00E52449" w:rsidRPr="006A74F8" w:rsidTr="00E52449">
        <w:trPr>
          <w:trHeight w:val="255"/>
        </w:trPr>
        <w:tc>
          <w:tcPr>
            <w:tcW w:w="36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2209</w:t>
            </w: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Calibri" w:hAnsi="Calibri" w:cs="Calibri"/>
                <w:color w:val="000000"/>
                <w:sz w:val="20"/>
                <w:szCs w:val="20"/>
              </w:rPr>
              <w:t>$17,494,353</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$2.50</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6,997,741</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6998</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$2,099</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$4,898</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69,977</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$20,993</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$48,984</w:t>
            </w:r>
          </w:p>
        </w:tc>
      </w:tr>
      <w:tr w:rsidR="00E52449" w:rsidRPr="006A74F8" w:rsidTr="00E52449">
        <w:trPr>
          <w:trHeight w:val="255"/>
        </w:trPr>
        <w:tc>
          <w:tcPr>
            <w:tcW w:w="36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color w:val="000000"/>
                <w:sz w:val="20"/>
                <w:szCs w:val="20"/>
                <w:lang w:eastAsia="en-AU"/>
              </w:rPr>
            </w:pPr>
            <w:r w:rsidRPr="006A74F8">
              <w:rPr>
                <w:rFonts w:ascii="Calibri" w:eastAsia="Times New Roman" w:hAnsi="Calibri" w:cs="Calibri"/>
                <w:b/>
                <w:color w:val="000000"/>
                <w:sz w:val="20"/>
                <w:szCs w:val="20"/>
                <w:lang w:eastAsia="en-AU"/>
              </w:rPr>
              <w:t>Total</w:t>
            </w:r>
          </w:p>
        </w:tc>
        <w:tc>
          <w:tcPr>
            <w:tcW w:w="503"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color w:val="000000"/>
                <w:sz w:val="20"/>
                <w:szCs w:val="20"/>
                <w:lang w:eastAsia="en-AU"/>
              </w:rPr>
            </w:pPr>
            <w:r w:rsidRPr="006A74F8">
              <w:rPr>
                <w:rFonts w:ascii="Calibri" w:hAnsi="Calibri" w:cs="Calibri"/>
                <w:color w:val="000000"/>
                <w:sz w:val="20"/>
                <w:szCs w:val="20"/>
              </w:rPr>
              <w:t> </w:t>
            </w:r>
          </w:p>
        </w:tc>
        <w:tc>
          <w:tcPr>
            <w:tcW w:w="41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hAnsi="Calibri" w:cs="Calibri"/>
                <w:color w:val="000000"/>
                <w:sz w:val="20"/>
                <w:szCs w:val="20"/>
              </w:rPr>
              <w:t> </w:t>
            </w:r>
          </w:p>
        </w:tc>
        <w:tc>
          <w:tcPr>
            <w:tcW w:w="54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141,049,359</w:t>
            </w:r>
          </w:p>
        </w:tc>
        <w:tc>
          <w:tcPr>
            <w:tcW w:w="54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141,049</w:t>
            </w:r>
          </w:p>
        </w:tc>
        <w:tc>
          <w:tcPr>
            <w:tcW w:w="546"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$42,315</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$98,735</w:t>
            </w:r>
          </w:p>
        </w:tc>
        <w:tc>
          <w:tcPr>
            <w:tcW w:w="544"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1,410,494</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$423,148</w:t>
            </w:r>
          </w:p>
        </w:tc>
        <w:tc>
          <w:tcPr>
            <w:tcW w:w="49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$987,346</w:t>
            </w:r>
          </w:p>
        </w:tc>
      </w:tr>
    </w:tbl>
    <w:p w:rsidR="00E52449" w:rsidRPr="006A74F8" w:rsidRDefault="00E52449" w:rsidP="00E52449">
      <w:pPr>
        <w:rPr>
          <w:rFonts w:ascii="Arial" w:eastAsia="Calibri" w:hAnsi="Arial" w:cs="Times New Roman"/>
          <w:i/>
          <w:iCs/>
          <w:color w:val="2C2C2D"/>
          <w:szCs w:val="18"/>
        </w:rPr>
      </w:pPr>
      <w:r w:rsidRPr="006A74F8">
        <w:rPr>
          <w:rFonts w:ascii="Arial" w:eastAsia="Calibri" w:hAnsi="Arial" w:cs="Times New Roman"/>
        </w:rPr>
        <w:br w:type="page"/>
      </w:r>
    </w:p>
    <w:p w:rsidR="0015010A" w:rsidRPr="006A74F8" w:rsidRDefault="0015010A" w:rsidP="0015010A">
      <w:pPr>
        <w:pStyle w:val="Caption"/>
        <w:keepNext/>
      </w:pPr>
      <w:r w:rsidRPr="006A74F8">
        <w:lastRenderedPageBreak/>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34</w:t>
      </w:r>
      <w:r w:rsidR="00D003A8" w:rsidRPr="006A74F8">
        <w:rPr>
          <w:noProof/>
        </w:rPr>
        <w:fldChar w:fldCharType="end"/>
      </w:r>
      <w:r w:rsidRPr="006A74F8">
        <w:t xml:space="preserve">: Upper and lower estimates for relabelling of beverage products imported from the EU </w:t>
      </w:r>
      <w:r w:rsidR="00464036" w:rsidRPr="006A74F8">
        <w:t>(and the UK)</w:t>
      </w:r>
      <w:r w:rsidRPr="006A74F8">
        <w:t xml:space="preserve"> calculated from proxy volume</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3: Upper and lower estimates for relabelling of beverage products imported from the EU."/>
        <w:tblDescription w:val="Table 33: Upper and lower estimates for relabelling of beverage products imported from the EU calculated from proxy volume"/>
      </w:tblPr>
      <w:tblGrid>
        <w:gridCol w:w="1049"/>
        <w:gridCol w:w="1219"/>
        <w:gridCol w:w="1380"/>
        <w:gridCol w:w="1440"/>
        <w:gridCol w:w="1695"/>
        <w:gridCol w:w="1479"/>
        <w:gridCol w:w="1414"/>
        <w:gridCol w:w="1547"/>
        <w:gridCol w:w="1403"/>
        <w:gridCol w:w="1545"/>
      </w:tblGrid>
      <w:tr w:rsidR="00E52449" w:rsidRPr="006A74F8" w:rsidTr="0015010A">
        <w:trPr>
          <w:trHeight w:val="765"/>
        </w:trPr>
        <w:tc>
          <w:tcPr>
            <w:tcW w:w="370" w:type="pct"/>
            <w:shd w:val="clear" w:color="auto" w:fill="1F3864"/>
            <w:noWrap/>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HS Code</w:t>
            </w:r>
          </w:p>
        </w:tc>
        <w:tc>
          <w:tcPr>
            <w:tcW w:w="430"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Product vol.</w:t>
            </w:r>
          </w:p>
        </w:tc>
        <w:tc>
          <w:tcPr>
            <w:tcW w:w="487" w:type="pct"/>
            <w:shd w:val="clear" w:color="auto" w:fill="1F3864"/>
            <w:vAlign w:val="center"/>
            <w:hideMark/>
          </w:tcPr>
          <w:p w:rsidR="00E52449" w:rsidRPr="006A74F8" w:rsidRDefault="000F71FA"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Est. v</w:t>
            </w:r>
            <w:r w:rsidR="00E52449" w:rsidRPr="006A74F8">
              <w:rPr>
                <w:rFonts w:ascii="Calibri" w:eastAsia="Times New Roman" w:hAnsi="Calibri" w:cs="Calibri"/>
                <w:b/>
                <w:color w:val="FFFFFF"/>
                <w:lang w:eastAsia="en-AU"/>
              </w:rPr>
              <w:t>ol. per unit</w:t>
            </w:r>
          </w:p>
        </w:tc>
        <w:tc>
          <w:tcPr>
            <w:tcW w:w="508"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Unit import no. per year </w:t>
            </w:r>
          </w:p>
        </w:tc>
        <w:tc>
          <w:tcPr>
            <w:tcW w:w="598"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Units affected when 0.1% relabelled</w:t>
            </w:r>
          </w:p>
        </w:tc>
        <w:tc>
          <w:tcPr>
            <w:tcW w:w="522"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 Re-labelling cost $0.3 per unit </w:t>
            </w:r>
          </w:p>
        </w:tc>
        <w:tc>
          <w:tcPr>
            <w:tcW w:w="499"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 Re-labelling cost $0.7 per unit </w:t>
            </w:r>
          </w:p>
        </w:tc>
        <w:tc>
          <w:tcPr>
            <w:tcW w:w="546"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Units affected when 1% relabelled</w:t>
            </w:r>
          </w:p>
        </w:tc>
        <w:tc>
          <w:tcPr>
            <w:tcW w:w="495"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 Re-labelling cost $0.3 per unit </w:t>
            </w:r>
          </w:p>
        </w:tc>
        <w:tc>
          <w:tcPr>
            <w:tcW w:w="546"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 Re-labelling cost $0.7 per unit </w:t>
            </w:r>
          </w:p>
        </w:tc>
      </w:tr>
      <w:tr w:rsidR="00E52449" w:rsidRPr="006A74F8" w:rsidTr="0015010A">
        <w:trPr>
          <w:trHeight w:val="300"/>
        </w:trPr>
        <w:tc>
          <w:tcPr>
            <w:tcW w:w="370" w:type="pct"/>
            <w:vMerge w:val="restart"/>
            <w:shd w:val="clear" w:color="auto" w:fill="auto"/>
            <w:noWrap/>
            <w:vAlign w:val="center"/>
            <w:hideMark/>
          </w:tcPr>
          <w:p w:rsidR="00E52449" w:rsidRPr="006A74F8" w:rsidRDefault="00E52449" w:rsidP="00E52449">
            <w:pPr>
              <w:spacing w:after="0" w:line="240" w:lineRule="auto"/>
              <w:jc w:val="center"/>
              <w:rPr>
                <w:rFonts w:eastAsia="Times New Roman" w:cstheme="minorHAnsi"/>
                <w:color w:val="000000"/>
                <w:sz w:val="20"/>
                <w:szCs w:val="20"/>
                <w:lang w:eastAsia="en-AU"/>
              </w:rPr>
            </w:pPr>
            <w:r w:rsidRPr="006A74F8">
              <w:rPr>
                <w:rFonts w:eastAsia="Times New Roman" w:cstheme="minorHAnsi"/>
                <w:color w:val="000000"/>
                <w:sz w:val="20"/>
                <w:szCs w:val="20"/>
                <w:lang w:eastAsia="en-AU"/>
              </w:rPr>
              <w:t>2203</w:t>
            </w: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93,505,421</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0.33</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283,349,761</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283350</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$85,005</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$198,345</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2,833,498</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$850,049</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$1,983,448</w:t>
            </w:r>
          </w:p>
        </w:tc>
      </w:tr>
      <w:tr w:rsidR="00E52449" w:rsidRPr="006A74F8" w:rsidTr="0015010A">
        <w:trPr>
          <w:trHeight w:val="300"/>
        </w:trPr>
        <w:tc>
          <w:tcPr>
            <w:tcW w:w="370" w:type="pct"/>
            <w:vMerge/>
            <w:shd w:val="clear" w:color="auto" w:fill="auto"/>
            <w:vAlign w:val="center"/>
            <w:hideMark/>
          </w:tcPr>
          <w:p w:rsidR="00E52449" w:rsidRPr="006A74F8" w:rsidRDefault="00E52449" w:rsidP="00E52449">
            <w:pPr>
              <w:spacing w:after="0" w:line="240" w:lineRule="auto"/>
              <w:rPr>
                <w:rFonts w:eastAsia="Times New Roman" w:cstheme="minorHAnsi"/>
                <w:color w:val="000000"/>
                <w:sz w:val="20"/>
                <w:szCs w:val="20"/>
                <w:lang w:eastAsia="en-AU"/>
              </w:rPr>
            </w:pP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3,187,686</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0.33</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9,659,655</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9660</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$2,898</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$6,762</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96,597</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$28,979</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$67,618</w:t>
            </w:r>
          </w:p>
        </w:tc>
      </w:tr>
      <w:tr w:rsidR="00E52449" w:rsidRPr="006A74F8" w:rsidTr="0015010A">
        <w:trPr>
          <w:trHeight w:val="300"/>
        </w:trPr>
        <w:tc>
          <w:tcPr>
            <w:tcW w:w="370" w:type="pct"/>
            <w:vMerge w:val="restart"/>
            <w:shd w:val="clear" w:color="auto" w:fill="auto"/>
            <w:noWrap/>
            <w:vAlign w:val="center"/>
            <w:hideMark/>
          </w:tcPr>
          <w:p w:rsidR="00E52449" w:rsidRPr="006A74F8" w:rsidRDefault="00E52449" w:rsidP="00E52449">
            <w:pPr>
              <w:spacing w:after="0" w:line="240" w:lineRule="auto"/>
              <w:jc w:val="center"/>
              <w:rPr>
                <w:rFonts w:eastAsia="Times New Roman" w:cstheme="minorHAnsi"/>
                <w:color w:val="000000"/>
                <w:sz w:val="20"/>
                <w:szCs w:val="20"/>
                <w:lang w:eastAsia="en-AU"/>
              </w:rPr>
            </w:pPr>
            <w:r w:rsidRPr="006A74F8">
              <w:rPr>
                <w:rFonts w:eastAsia="Times New Roman" w:cstheme="minorHAnsi"/>
                <w:color w:val="000000"/>
                <w:sz w:val="20"/>
                <w:szCs w:val="20"/>
                <w:lang w:eastAsia="en-AU"/>
              </w:rPr>
              <w:t>2204</w:t>
            </w: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40,814,169</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0.75</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54,418,892</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54419</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$16,326</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$38,093</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544,189</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$163,257</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$380,932</w:t>
            </w:r>
          </w:p>
        </w:tc>
      </w:tr>
      <w:tr w:rsidR="00E52449" w:rsidRPr="006A74F8" w:rsidTr="0015010A">
        <w:trPr>
          <w:trHeight w:val="300"/>
        </w:trPr>
        <w:tc>
          <w:tcPr>
            <w:tcW w:w="370" w:type="pct"/>
            <w:vMerge/>
            <w:shd w:val="clear" w:color="auto" w:fill="auto"/>
            <w:vAlign w:val="center"/>
            <w:hideMark/>
          </w:tcPr>
          <w:p w:rsidR="00E52449" w:rsidRPr="006A74F8" w:rsidRDefault="00E52449" w:rsidP="00E52449">
            <w:pPr>
              <w:spacing w:after="0" w:line="240" w:lineRule="auto"/>
              <w:rPr>
                <w:rFonts w:eastAsia="Times New Roman" w:cstheme="minorHAnsi"/>
                <w:color w:val="000000"/>
                <w:sz w:val="20"/>
                <w:szCs w:val="20"/>
                <w:lang w:eastAsia="en-AU"/>
              </w:rPr>
            </w:pP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872</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0.75</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1,163</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12</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$3</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$8</w:t>
            </w:r>
          </w:p>
        </w:tc>
      </w:tr>
      <w:tr w:rsidR="00E52449" w:rsidRPr="006A74F8" w:rsidTr="0015010A">
        <w:trPr>
          <w:trHeight w:val="300"/>
        </w:trPr>
        <w:tc>
          <w:tcPr>
            <w:tcW w:w="370" w:type="pct"/>
            <w:vMerge w:val="restart"/>
            <w:shd w:val="clear" w:color="auto" w:fill="auto"/>
            <w:noWrap/>
            <w:vAlign w:val="center"/>
            <w:hideMark/>
          </w:tcPr>
          <w:p w:rsidR="00E52449" w:rsidRPr="006A74F8" w:rsidRDefault="00E52449" w:rsidP="00E52449">
            <w:pPr>
              <w:spacing w:after="0" w:line="240" w:lineRule="auto"/>
              <w:jc w:val="center"/>
              <w:rPr>
                <w:rFonts w:eastAsia="Times New Roman" w:cstheme="minorHAnsi"/>
                <w:color w:val="000000"/>
                <w:sz w:val="20"/>
                <w:szCs w:val="20"/>
                <w:lang w:eastAsia="en-AU"/>
              </w:rPr>
            </w:pPr>
            <w:r w:rsidRPr="006A74F8">
              <w:rPr>
                <w:rFonts w:eastAsia="Times New Roman" w:cstheme="minorHAnsi"/>
                <w:color w:val="000000"/>
                <w:sz w:val="20"/>
                <w:szCs w:val="20"/>
                <w:lang w:eastAsia="en-AU"/>
              </w:rPr>
              <w:t>2205</w:t>
            </w: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646,429</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323,214</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323</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$97</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$226</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3,232</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$970</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$2,263</w:t>
            </w:r>
          </w:p>
        </w:tc>
      </w:tr>
      <w:tr w:rsidR="00E52449" w:rsidRPr="006A74F8" w:rsidTr="0015010A">
        <w:trPr>
          <w:trHeight w:val="300"/>
        </w:trPr>
        <w:tc>
          <w:tcPr>
            <w:tcW w:w="370" w:type="pct"/>
            <w:vMerge/>
            <w:shd w:val="clear" w:color="auto" w:fill="auto"/>
            <w:vAlign w:val="center"/>
            <w:hideMark/>
          </w:tcPr>
          <w:p w:rsidR="00E52449" w:rsidRPr="006A74F8" w:rsidRDefault="00E52449" w:rsidP="00E52449">
            <w:pPr>
              <w:spacing w:after="0" w:line="240" w:lineRule="auto"/>
              <w:rPr>
                <w:rFonts w:eastAsia="Times New Roman" w:cstheme="minorHAnsi"/>
                <w:color w:val="000000"/>
                <w:sz w:val="20"/>
                <w:szCs w:val="20"/>
                <w:lang w:eastAsia="en-AU"/>
              </w:rPr>
            </w:pP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8,087</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4,044</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4</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$3</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40</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$12</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$28</w:t>
            </w:r>
          </w:p>
        </w:tc>
      </w:tr>
      <w:tr w:rsidR="00E52449" w:rsidRPr="006A74F8" w:rsidTr="0015010A">
        <w:trPr>
          <w:trHeight w:val="300"/>
        </w:trPr>
        <w:tc>
          <w:tcPr>
            <w:tcW w:w="370" w:type="pct"/>
            <w:vMerge w:val="restart"/>
            <w:shd w:val="clear" w:color="auto" w:fill="auto"/>
            <w:noWrap/>
            <w:vAlign w:val="center"/>
            <w:hideMark/>
          </w:tcPr>
          <w:p w:rsidR="00E52449" w:rsidRPr="006A74F8" w:rsidRDefault="00E52449" w:rsidP="00E52449">
            <w:pPr>
              <w:spacing w:after="0" w:line="240" w:lineRule="auto"/>
              <w:jc w:val="center"/>
              <w:rPr>
                <w:rFonts w:eastAsia="Times New Roman" w:cstheme="minorHAnsi"/>
                <w:color w:val="000000"/>
                <w:sz w:val="20"/>
                <w:szCs w:val="20"/>
                <w:lang w:eastAsia="en-AU"/>
              </w:rPr>
            </w:pPr>
            <w:r w:rsidRPr="006A74F8">
              <w:rPr>
                <w:rFonts w:eastAsia="Times New Roman" w:cstheme="minorHAnsi"/>
                <w:color w:val="000000"/>
                <w:sz w:val="20"/>
                <w:szCs w:val="20"/>
                <w:lang w:eastAsia="en-AU"/>
              </w:rPr>
              <w:t>2206</w:t>
            </w: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6,787,557</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6,787,557</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6788</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$2,036</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$4,751</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67,876</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$20,363</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$47,513</w:t>
            </w:r>
          </w:p>
        </w:tc>
      </w:tr>
      <w:tr w:rsidR="00E52449" w:rsidRPr="006A74F8" w:rsidTr="0015010A">
        <w:trPr>
          <w:trHeight w:val="300"/>
        </w:trPr>
        <w:tc>
          <w:tcPr>
            <w:tcW w:w="370" w:type="pct"/>
            <w:vMerge/>
            <w:shd w:val="clear" w:color="auto" w:fill="auto"/>
            <w:vAlign w:val="center"/>
            <w:hideMark/>
          </w:tcPr>
          <w:p w:rsidR="00E52449" w:rsidRPr="006A74F8" w:rsidRDefault="00E52449" w:rsidP="00E52449">
            <w:pPr>
              <w:spacing w:after="0" w:line="240" w:lineRule="auto"/>
              <w:rPr>
                <w:rFonts w:eastAsia="Times New Roman" w:cstheme="minorHAnsi"/>
                <w:color w:val="000000"/>
                <w:sz w:val="20"/>
                <w:szCs w:val="20"/>
                <w:lang w:eastAsia="en-AU"/>
              </w:rPr>
            </w:pP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219,494</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219,494</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219</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$66</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$154</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2,195</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$658</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$1,536</w:t>
            </w:r>
          </w:p>
        </w:tc>
      </w:tr>
      <w:tr w:rsidR="00E52449" w:rsidRPr="006A74F8" w:rsidTr="0015010A">
        <w:trPr>
          <w:trHeight w:val="300"/>
        </w:trPr>
        <w:tc>
          <w:tcPr>
            <w:tcW w:w="370" w:type="pct"/>
            <w:vMerge w:val="restart"/>
            <w:shd w:val="clear" w:color="auto" w:fill="auto"/>
            <w:noWrap/>
            <w:vAlign w:val="center"/>
            <w:hideMark/>
          </w:tcPr>
          <w:p w:rsidR="00E52449" w:rsidRPr="006A74F8" w:rsidRDefault="00E52449" w:rsidP="00E52449">
            <w:pPr>
              <w:spacing w:after="0" w:line="240" w:lineRule="auto"/>
              <w:jc w:val="center"/>
              <w:rPr>
                <w:rFonts w:eastAsia="Times New Roman" w:cstheme="minorHAnsi"/>
                <w:color w:val="000000"/>
                <w:sz w:val="20"/>
                <w:szCs w:val="20"/>
                <w:lang w:eastAsia="en-AU"/>
              </w:rPr>
            </w:pPr>
            <w:r w:rsidRPr="006A74F8">
              <w:rPr>
                <w:rFonts w:eastAsia="Times New Roman" w:cstheme="minorHAnsi"/>
                <w:color w:val="000000"/>
                <w:sz w:val="20"/>
                <w:szCs w:val="20"/>
                <w:lang w:eastAsia="en-AU"/>
              </w:rPr>
              <w:t>2207</w:t>
            </w: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20</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20</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w:t>
            </w:r>
          </w:p>
        </w:tc>
      </w:tr>
      <w:tr w:rsidR="00E52449" w:rsidRPr="006A74F8" w:rsidTr="0015010A">
        <w:trPr>
          <w:trHeight w:val="300"/>
        </w:trPr>
        <w:tc>
          <w:tcPr>
            <w:tcW w:w="370" w:type="pct"/>
            <w:vMerge/>
            <w:shd w:val="clear" w:color="auto" w:fill="auto"/>
            <w:vAlign w:val="center"/>
            <w:hideMark/>
          </w:tcPr>
          <w:p w:rsidR="00E52449" w:rsidRPr="006A74F8" w:rsidRDefault="00E52449" w:rsidP="00E52449">
            <w:pPr>
              <w:spacing w:after="0" w:line="240" w:lineRule="auto"/>
              <w:rPr>
                <w:rFonts w:eastAsia="Times New Roman" w:cstheme="minorHAnsi"/>
                <w:color w:val="000000"/>
                <w:sz w:val="20"/>
                <w:szCs w:val="20"/>
                <w:lang w:eastAsia="en-AU"/>
              </w:rPr>
            </w:pP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80,379</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80,379</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80</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$24</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$56</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804</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$241</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$563</w:t>
            </w:r>
          </w:p>
        </w:tc>
      </w:tr>
      <w:tr w:rsidR="00E52449" w:rsidRPr="006A74F8" w:rsidTr="0015010A">
        <w:trPr>
          <w:trHeight w:val="255"/>
        </w:trPr>
        <w:tc>
          <w:tcPr>
            <w:tcW w:w="37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color w:val="000000"/>
                <w:sz w:val="20"/>
                <w:szCs w:val="20"/>
                <w:lang w:eastAsia="en-AU"/>
              </w:rPr>
            </w:pPr>
            <w:r w:rsidRPr="006A74F8">
              <w:rPr>
                <w:rFonts w:eastAsia="Times New Roman" w:cstheme="minorHAnsi"/>
                <w:color w:val="000000"/>
                <w:sz w:val="20"/>
                <w:szCs w:val="20"/>
                <w:lang w:eastAsia="en-AU"/>
              </w:rPr>
              <w:t>2208</w:t>
            </w: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14,849,128</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0.85</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17,469,563</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17470</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$5,241</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$12,229</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174,696</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$52,409</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$122,287</w:t>
            </w:r>
          </w:p>
        </w:tc>
      </w:tr>
      <w:tr w:rsidR="00E52449" w:rsidRPr="006A74F8" w:rsidTr="0015010A">
        <w:trPr>
          <w:trHeight w:val="255"/>
        </w:trPr>
        <w:tc>
          <w:tcPr>
            <w:tcW w:w="37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color w:val="000000"/>
                <w:sz w:val="20"/>
                <w:szCs w:val="20"/>
                <w:lang w:eastAsia="en-AU"/>
              </w:rPr>
            </w:pPr>
            <w:r w:rsidRPr="006A74F8">
              <w:rPr>
                <w:rFonts w:eastAsia="Times New Roman" w:cstheme="minorHAnsi"/>
                <w:color w:val="000000"/>
                <w:sz w:val="20"/>
                <w:szCs w:val="20"/>
                <w:lang w:eastAsia="en-AU"/>
              </w:rPr>
              <w:t>2209</w:t>
            </w: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5,621,164</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5,621,164</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5621</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$1,686</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$3,935</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56,212</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$16,863</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eastAsia="Calibri" w:cstheme="minorHAnsi"/>
                <w:color w:val="000000"/>
                <w:sz w:val="20"/>
                <w:szCs w:val="20"/>
              </w:rPr>
              <w:t>$39,348</w:t>
            </w:r>
          </w:p>
        </w:tc>
      </w:tr>
      <w:tr w:rsidR="00E52449" w:rsidRPr="006A74F8" w:rsidTr="0015010A">
        <w:trPr>
          <w:trHeight w:val="255"/>
        </w:trPr>
        <w:tc>
          <w:tcPr>
            <w:tcW w:w="37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b/>
                <w:color w:val="000000"/>
                <w:sz w:val="20"/>
                <w:szCs w:val="20"/>
                <w:lang w:eastAsia="en-AU"/>
              </w:rPr>
            </w:pPr>
            <w:r w:rsidRPr="006A74F8">
              <w:rPr>
                <w:rFonts w:eastAsia="Times New Roman" w:cstheme="minorHAnsi"/>
                <w:b/>
                <w:color w:val="000000"/>
                <w:sz w:val="20"/>
                <w:szCs w:val="20"/>
                <w:lang w:eastAsia="en-AU"/>
              </w:rPr>
              <w:t>Total</w:t>
            </w:r>
          </w:p>
        </w:tc>
        <w:tc>
          <w:tcPr>
            <w:tcW w:w="430" w:type="pct"/>
            <w:shd w:val="clear" w:color="auto" w:fill="auto"/>
            <w:noWrap/>
            <w:vAlign w:val="center"/>
            <w:hideMark/>
          </w:tcPr>
          <w:p w:rsidR="00E52449" w:rsidRPr="006A74F8" w:rsidRDefault="00E52449" w:rsidP="00E52449">
            <w:pPr>
              <w:spacing w:after="0" w:line="240" w:lineRule="auto"/>
              <w:jc w:val="center"/>
              <w:rPr>
                <w:rFonts w:eastAsia="Times New Roman" w:cstheme="minorHAnsi"/>
                <w:b/>
                <w:color w:val="000000"/>
                <w:sz w:val="20"/>
                <w:szCs w:val="20"/>
                <w:lang w:eastAsia="en-AU"/>
              </w:rPr>
            </w:pPr>
            <w:r w:rsidRPr="006A74F8">
              <w:rPr>
                <w:rFonts w:cstheme="minorHAnsi"/>
                <w:color w:val="000000"/>
                <w:sz w:val="20"/>
                <w:szCs w:val="20"/>
              </w:rPr>
              <w:t> </w:t>
            </w:r>
          </w:p>
        </w:tc>
        <w:tc>
          <w:tcPr>
            <w:tcW w:w="487" w:type="pct"/>
            <w:shd w:val="clear" w:color="auto" w:fill="auto"/>
            <w:noWrap/>
            <w:vAlign w:val="center"/>
            <w:hideMark/>
          </w:tcPr>
          <w:p w:rsidR="00E52449" w:rsidRPr="006A74F8" w:rsidRDefault="00E52449" w:rsidP="00E52449">
            <w:pPr>
              <w:spacing w:after="0" w:line="240" w:lineRule="auto"/>
              <w:jc w:val="center"/>
              <w:rPr>
                <w:rFonts w:eastAsia="Times New Roman" w:cstheme="minorHAnsi"/>
                <w:sz w:val="20"/>
                <w:szCs w:val="20"/>
                <w:lang w:eastAsia="en-AU"/>
              </w:rPr>
            </w:pPr>
            <w:r w:rsidRPr="006A74F8">
              <w:rPr>
                <w:rFonts w:cstheme="minorHAnsi"/>
                <w:color w:val="000000"/>
                <w:sz w:val="20"/>
                <w:szCs w:val="20"/>
              </w:rPr>
              <w:t> </w:t>
            </w:r>
          </w:p>
        </w:tc>
        <w:tc>
          <w:tcPr>
            <w:tcW w:w="50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b/>
                <w:sz w:val="20"/>
                <w:szCs w:val="20"/>
                <w:lang w:eastAsia="en-AU"/>
              </w:rPr>
            </w:pPr>
            <w:r w:rsidRPr="006A74F8">
              <w:rPr>
                <w:rFonts w:eastAsia="Calibri" w:cstheme="minorHAnsi"/>
                <w:b/>
                <w:color w:val="000000"/>
                <w:sz w:val="20"/>
                <w:szCs w:val="20"/>
              </w:rPr>
              <w:t>377,934,906</w:t>
            </w:r>
          </w:p>
        </w:tc>
        <w:tc>
          <w:tcPr>
            <w:tcW w:w="598" w:type="pct"/>
            <w:shd w:val="clear" w:color="auto" w:fill="auto"/>
            <w:noWrap/>
            <w:vAlign w:val="center"/>
            <w:hideMark/>
          </w:tcPr>
          <w:p w:rsidR="00E52449" w:rsidRPr="006A74F8" w:rsidRDefault="00E52449" w:rsidP="00E52449">
            <w:pPr>
              <w:spacing w:after="0" w:line="240" w:lineRule="auto"/>
              <w:jc w:val="center"/>
              <w:rPr>
                <w:rFonts w:eastAsia="Times New Roman" w:cstheme="minorHAnsi"/>
                <w:b/>
                <w:sz w:val="20"/>
                <w:szCs w:val="20"/>
                <w:lang w:eastAsia="en-AU"/>
              </w:rPr>
            </w:pPr>
            <w:r w:rsidRPr="006A74F8">
              <w:rPr>
                <w:rFonts w:eastAsia="Calibri" w:cstheme="minorHAnsi"/>
                <w:b/>
                <w:color w:val="000000"/>
                <w:sz w:val="20"/>
                <w:szCs w:val="20"/>
              </w:rPr>
              <w:t>377,935</w:t>
            </w:r>
          </w:p>
        </w:tc>
        <w:tc>
          <w:tcPr>
            <w:tcW w:w="522" w:type="pct"/>
            <w:shd w:val="clear" w:color="auto" w:fill="auto"/>
            <w:noWrap/>
            <w:vAlign w:val="center"/>
            <w:hideMark/>
          </w:tcPr>
          <w:p w:rsidR="00E52449" w:rsidRPr="006A74F8" w:rsidRDefault="00E52449" w:rsidP="00E52449">
            <w:pPr>
              <w:spacing w:after="0" w:line="240" w:lineRule="auto"/>
              <w:jc w:val="center"/>
              <w:rPr>
                <w:rFonts w:eastAsia="Times New Roman" w:cstheme="minorHAnsi"/>
                <w:b/>
                <w:sz w:val="20"/>
                <w:szCs w:val="20"/>
                <w:lang w:eastAsia="en-AU"/>
              </w:rPr>
            </w:pPr>
            <w:r w:rsidRPr="006A74F8">
              <w:rPr>
                <w:rFonts w:eastAsia="Calibri" w:cstheme="minorHAnsi"/>
                <w:b/>
                <w:color w:val="000000"/>
                <w:sz w:val="20"/>
                <w:szCs w:val="20"/>
              </w:rPr>
              <w:t>$113,380</w:t>
            </w:r>
          </w:p>
        </w:tc>
        <w:tc>
          <w:tcPr>
            <w:tcW w:w="499" w:type="pct"/>
            <w:shd w:val="clear" w:color="auto" w:fill="auto"/>
            <w:noWrap/>
            <w:vAlign w:val="center"/>
            <w:hideMark/>
          </w:tcPr>
          <w:p w:rsidR="00E52449" w:rsidRPr="006A74F8" w:rsidRDefault="00E52449" w:rsidP="00E52449">
            <w:pPr>
              <w:spacing w:after="0" w:line="240" w:lineRule="auto"/>
              <w:jc w:val="center"/>
              <w:rPr>
                <w:rFonts w:eastAsia="Times New Roman" w:cstheme="minorHAnsi"/>
                <w:b/>
                <w:sz w:val="20"/>
                <w:szCs w:val="20"/>
                <w:lang w:eastAsia="en-AU"/>
              </w:rPr>
            </w:pPr>
            <w:r w:rsidRPr="006A74F8">
              <w:rPr>
                <w:rFonts w:eastAsia="Calibri" w:cstheme="minorHAnsi"/>
                <w:b/>
                <w:color w:val="000000"/>
                <w:sz w:val="20"/>
                <w:szCs w:val="20"/>
              </w:rPr>
              <w:t>$264,554</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b/>
                <w:sz w:val="20"/>
                <w:szCs w:val="20"/>
                <w:lang w:eastAsia="en-AU"/>
              </w:rPr>
            </w:pPr>
            <w:r w:rsidRPr="006A74F8">
              <w:rPr>
                <w:rFonts w:eastAsia="Calibri" w:cstheme="minorHAnsi"/>
                <w:b/>
                <w:color w:val="000000"/>
                <w:sz w:val="20"/>
                <w:szCs w:val="20"/>
              </w:rPr>
              <w:t>3,779,349</w:t>
            </w:r>
          </w:p>
        </w:tc>
        <w:tc>
          <w:tcPr>
            <w:tcW w:w="495" w:type="pct"/>
            <w:shd w:val="clear" w:color="auto" w:fill="auto"/>
            <w:noWrap/>
            <w:vAlign w:val="center"/>
            <w:hideMark/>
          </w:tcPr>
          <w:p w:rsidR="00E52449" w:rsidRPr="006A74F8" w:rsidRDefault="00E52449" w:rsidP="00E52449">
            <w:pPr>
              <w:spacing w:after="0" w:line="240" w:lineRule="auto"/>
              <w:jc w:val="center"/>
              <w:rPr>
                <w:rFonts w:eastAsia="Times New Roman" w:cstheme="minorHAnsi"/>
                <w:b/>
                <w:sz w:val="20"/>
                <w:szCs w:val="20"/>
                <w:lang w:eastAsia="en-AU"/>
              </w:rPr>
            </w:pPr>
            <w:r w:rsidRPr="006A74F8">
              <w:rPr>
                <w:rFonts w:eastAsia="Calibri" w:cstheme="minorHAnsi"/>
                <w:b/>
                <w:color w:val="000000"/>
                <w:sz w:val="20"/>
                <w:szCs w:val="20"/>
              </w:rPr>
              <w:t>$1,133,805</w:t>
            </w:r>
          </w:p>
        </w:tc>
        <w:tc>
          <w:tcPr>
            <w:tcW w:w="546" w:type="pct"/>
            <w:shd w:val="clear" w:color="auto" w:fill="auto"/>
            <w:noWrap/>
            <w:vAlign w:val="center"/>
            <w:hideMark/>
          </w:tcPr>
          <w:p w:rsidR="00E52449" w:rsidRPr="006A74F8" w:rsidRDefault="00E52449" w:rsidP="00E52449">
            <w:pPr>
              <w:spacing w:after="0" w:line="240" w:lineRule="auto"/>
              <w:jc w:val="center"/>
              <w:rPr>
                <w:rFonts w:eastAsia="Times New Roman" w:cstheme="minorHAnsi"/>
                <w:b/>
                <w:sz w:val="20"/>
                <w:szCs w:val="20"/>
                <w:lang w:eastAsia="en-AU"/>
              </w:rPr>
            </w:pPr>
            <w:r w:rsidRPr="006A74F8">
              <w:rPr>
                <w:rFonts w:eastAsia="Calibri" w:cstheme="minorHAnsi"/>
                <w:b/>
                <w:color w:val="000000"/>
                <w:sz w:val="20"/>
                <w:szCs w:val="20"/>
              </w:rPr>
              <w:t>$2,645,544</w:t>
            </w:r>
          </w:p>
        </w:tc>
      </w:tr>
    </w:tbl>
    <w:p w:rsidR="00E52449" w:rsidRPr="006A74F8" w:rsidRDefault="00E52449" w:rsidP="00E52449">
      <w:pPr>
        <w:sectPr w:rsidR="00E52449" w:rsidRPr="006A74F8" w:rsidSect="00EC61D8">
          <w:pgSz w:w="16838" w:h="11906" w:orient="landscape"/>
          <w:pgMar w:top="1440" w:right="1440" w:bottom="1440" w:left="1440" w:header="708" w:footer="708" w:gutter="0"/>
          <w:cols w:space="708"/>
          <w:docGrid w:linePitch="360"/>
        </w:sectPr>
      </w:pPr>
      <w:r w:rsidRPr="006A74F8">
        <w:t>Note: Assuming the proxy product values (cost and volume/weight) are feasible, then the number of units imported calculated by either cost or volume should be the same. However, there are some</w:t>
      </w:r>
      <w:r w:rsidR="00B95AC5" w:rsidRPr="006A74F8">
        <w:t xml:space="preserve"> discrepancies between Tables 33 and 34</w:t>
      </w:r>
      <w:r w:rsidRPr="006A74F8">
        <w:t xml:space="preserve">, particularly with HS Code 2203 and to a lesser extent 2206. </w:t>
      </w:r>
    </w:p>
    <w:p w:rsidR="00E52449" w:rsidRPr="006A74F8" w:rsidRDefault="00E52449" w:rsidP="00294766">
      <w:pPr>
        <w:pStyle w:val="Heading3"/>
        <w:tabs>
          <w:tab w:val="left" w:pos="1134"/>
        </w:tabs>
        <w:ind w:left="1134" w:hanging="1134"/>
        <w:rPr>
          <w:rFonts w:eastAsia="Times New Roman"/>
        </w:rPr>
      </w:pPr>
      <w:bookmarkStart w:id="2813" w:name="_Estimated_costs_to_3"/>
      <w:bookmarkStart w:id="2814" w:name="_Toc479769525"/>
      <w:bookmarkStart w:id="2815" w:name="_Toc493510791"/>
      <w:bookmarkStart w:id="2816" w:name="_Toc500929409"/>
      <w:bookmarkStart w:id="2817" w:name="_Toc501463869"/>
      <w:bookmarkStart w:id="2818" w:name="_Toc503535584"/>
      <w:bookmarkStart w:id="2819" w:name="_Toc503539761"/>
      <w:bookmarkStart w:id="2820" w:name="_Ref503864845"/>
      <w:bookmarkStart w:id="2821" w:name="_Toc503882295"/>
      <w:bookmarkStart w:id="2822" w:name="_Toc518032811"/>
      <w:bookmarkStart w:id="2823" w:name="_Ref67655375"/>
      <w:bookmarkStart w:id="2824" w:name="_Ref67655383"/>
      <w:bookmarkEnd w:id="2813"/>
      <w:r w:rsidRPr="006A74F8">
        <w:rPr>
          <w:rFonts w:eastAsia="Times New Roman"/>
        </w:rPr>
        <w:lastRenderedPageBreak/>
        <w:t xml:space="preserve">Estimated costs to </w:t>
      </w:r>
      <w:r w:rsidR="00A32584" w:rsidRPr="006A74F8">
        <w:rPr>
          <w:rFonts w:eastAsia="Times New Roman"/>
        </w:rPr>
        <w:t xml:space="preserve">industry </w:t>
      </w:r>
      <w:r w:rsidRPr="006A74F8">
        <w:rPr>
          <w:rFonts w:eastAsia="Times New Roman"/>
        </w:rPr>
        <w:t>for specific beverage classes - final estimated value</w:t>
      </w:r>
      <w:bookmarkEnd w:id="2814"/>
      <w:bookmarkEnd w:id="2815"/>
      <w:bookmarkEnd w:id="2816"/>
      <w:bookmarkEnd w:id="2817"/>
      <w:bookmarkEnd w:id="2818"/>
      <w:bookmarkEnd w:id="2819"/>
      <w:bookmarkEnd w:id="2820"/>
      <w:bookmarkEnd w:id="2821"/>
      <w:bookmarkEnd w:id="2822"/>
      <w:bookmarkEnd w:id="2823"/>
      <w:bookmarkEnd w:id="2824"/>
    </w:p>
    <w:p w:rsidR="0015010A" w:rsidRPr="006A74F8" w:rsidRDefault="0015010A" w:rsidP="0015010A">
      <w:pPr>
        <w:pStyle w:val="Caption"/>
        <w:keepNext/>
      </w:pPr>
      <w:r w:rsidRPr="006A74F8">
        <w:t>Table A</w:t>
      </w:r>
      <w:r w:rsidR="00B754E9" w:rsidRPr="006A74F8">
        <w:t>9</w:t>
      </w:r>
      <w:r w:rsidRPr="006A74F8">
        <w:t xml:space="preserve">- </w:t>
      </w:r>
      <w:r w:rsidR="00D003A8" w:rsidRPr="006A74F8">
        <w:rPr>
          <w:noProof/>
        </w:rPr>
        <w:fldChar w:fldCharType="begin"/>
      </w:r>
      <w:r w:rsidR="00D003A8" w:rsidRPr="006A74F8">
        <w:rPr>
          <w:noProof/>
        </w:rPr>
        <w:instrText xml:space="preserve"> SEQ Table_A10- \* ARABIC </w:instrText>
      </w:r>
      <w:r w:rsidR="00D003A8" w:rsidRPr="006A74F8">
        <w:rPr>
          <w:noProof/>
        </w:rPr>
        <w:fldChar w:fldCharType="separate"/>
      </w:r>
      <w:r w:rsidR="0033017F">
        <w:rPr>
          <w:noProof/>
        </w:rPr>
        <w:t>35</w:t>
      </w:r>
      <w:r w:rsidR="00D003A8" w:rsidRPr="006A74F8">
        <w:rPr>
          <w:noProof/>
        </w:rPr>
        <w:fldChar w:fldCharType="end"/>
      </w:r>
      <w:r w:rsidRPr="006A74F8">
        <w:t xml:space="preserve">: Estimated cost for relabelling of beverage products imported from the EU </w:t>
      </w:r>
      <w:r w:rsidR="00464036" w:rsidRPr="006A74F8">
        <w:t>(and the UK)</w:t>
      </w:r>
      <w:r w:rsidRPr="006A74F8">
        <w:t xml:space="preserve"> calculated from proxy cost, assuming 4% of units from HS 2204 and 12% of units from HS 2208 are relabelled at a cost of $0.5/unit. Additionally, it is assumed that only 20% of sec</w:t>
      </w:r>
      <w:r w:rsidR="00AD4FEF" w:rsidRPr="006A74F8">
        <w:t>tor impacted by relabelling</w:t>
      </w:r>
    </w:p>
    <w:tbl>
      <w:tblPr>
        <w:tblW w:w="534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35: Estimated costs for specific beverage classes - final estimated value"/>
        <w:tblDescription w:val="Table A10-35: Estimated cost for relabelling of beverage products imported from the EU calculated from proxy cost, assuming 4% of units from HS 2204 and 12% of units from HS 2208 are relabelled at a cost of $0.5/unit. Additionally, it is assumed that only 20% of sector impacted by relabelling."/>
      </w:tblPr>
      <w:tblGrid>
        <w:gridCol w:w="709"/>
        <w:gridCol w:w="1563"/>
        <w:gridCol w:w="1135"/>
        <w:gridCol w:w="1417"/>
        <w:gridCol w:w="1276"/>
        <w:gridCol w:w="1135"/>
        <w:gridCol w:w="1274"/>
        <w:gridCol w:w="1130"/>
      </w:tblGrid>
      <w:tr w:rsidR="00F84B21" w:rsidRPr="006A74F8" w:rsidTr="00FC32D8">
        <w:trPr>
          <w:trHeight w:val="765"/>
        </w:trPr>
        <w:tc>
          <w:tcPr>
            <w:tcW w:w="367" w:type="pct"/>
            <w:shd w:val="clear" w:color="auto" w:fill="1F3864"/>
            <w:noWrap/>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HS Code</w:t>
            </w:r>
          </w:p>
        </w:tc>
        <w:tc>
          <w:tcPr>
            <w:tcW w:w="810"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Product value </w:t>
            </w:r>
          </w:p>
        </w:tc>
        <w:tc>
          <w:tcPr>
            <w:tcW w:w="589" w:type="pct"/>
            <w:shd w:val="clear" w:color="auto" w:fill="1F3864"/>
            <w:vAlign w:val="center"/>
            <w:hideMark/>
          </w:tcPr>
          <w:p w:rsidR="00E52449" w:rsidRPr="006A74F8" w:rsidRDefault="00AD4FEF"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Proxy product indicative p</w:t>
            </w:r>
            <w:r w:rsidR="00E52449" w:rsidRPr="006A74F8">
              <w:rPr>
                <w:rFonts w:ascii="Calibri" w:eastAsia="Times New Roman" w:hAnsi="Calibri" w:cs="Calibri"/>
                <w:b/>
                <w:color w:val="FFFFFF"/>
                <w:lang w:eastAsia="en-AU"/>
              </w:rPr>
              <w:t>rice ($)</w:t>
            </w:r>
          </w:p>
        </w:tc>
        <w:tc>
          <w:tcPr>
            <w:tcW w:w="735"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Unit import no. per year based on value </w:t>
            </w:r>
          </w:p>
        </w:tc>
        <w:tc>
          <w:tcPr>
            <w:tcW w:w="662" w:type="pct"/>
            <w:shd w:val="clear" w:color="auto" w:fill="1F3864"/>
            <w:vAlign w:val="center"/>
            <w:hideMark/>
          </w:tcPr>
          <w:p w:rsidR="00E52449" w:rsidRPr="006A74F8" w:rsidRDefault="00AD4FEF"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R</w:t>
            </w:r>
            <w:r w:rsidR="00E52449" w:rsidRPr="006A74F8">
              <w:rPr>
                <w:rFonts w:ascii="Calibri" w:eastAsia="Times New Roman" w:hAnsi="Calibri" w:cs="Calibri"/>
                <w:b/>
                <w:color w:val="FFFFFF"/>
                <w:lang w:eastAsia="en-AU"/>
              </w:rPr>
              <w:t>elabelled</w:t>
            </w:r>
          </w:p>
        </w:tc>
        <w:tc>
          <w:tcPr>
            <w:tcW w:w="589" w:type="pct"/>
            <w:shd w:val="clear" w:color="auto" w:fill="1F3864"/>
            <w:vAlign w:val="center"/>
            <w:hideMark/>
          </w:tcPr>
          <w:p w:rsidR="00E52449" w:rsidRPr="006A74F8" w:rsidRDefault="00AD4FEF"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N</w:t>
            </w:r>
            <w:r w:rsidR="00E52449" w:rsidRPr="006A74F8">
              <w:rPr>
                <w:rFonts w:ascii="Calibri" w:eastAsia="Times New Roman" w:hAnsi="Calibri" w:cs="Calibri"/>
                <w:b/>
                <w:color w:val="FFFFFF"/>
                <w:lang w:eastAsia="en-AU"/>
              </w:rPr>
              <w:t>o. relabelled</w:t>
            </w:r>
          </w:p>
        </w:tc>
        <w:tc>
          <w:tcPr>
            <w:tcW w:w="661" w:type="pct"/>
            <w:shd w:val="clear" w:color="auto" w:fill="1F3864"/>
            <w:vAlign w:val="center"/>
            <w:hideMark/>
          </w:tcPr>
          <w:p w:rsidR="00E52449" w:rsidRPr="006A74F8" w:rsidRDefault="00AD4FEF"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20% S</w:t>
            </w:r>
            <w:r w:rsidR="00E52449" w:rsidRPr="006A74F8">
              <w:rPr>
                <w:rFonts w:ascii="Calibri" w:eastAsia="Times New Roman" w:hAnsi="Calibri" w:cs="Calibri"/>
                <w:b/>
                <w:color w:val="FFFFFF"/>
                <w:lang w:eastAsia="en-AU"/>
              </w:rPr>
              <w:t>ector impacted</w:t>
            </w:r>
          </w:p>
        </w:tc>
        <w:tc>
          <w:tcPr>
            <w:tcW w:w="587" w:type="pct"/>
            <w:shd w:val="clear" w:color="auto" w:fill="1F3864"/>
            <w:vAlign w:val="center"/>
            <w:hideMark/>
          </w:tcPr>
          <w:p w:rsidR="00E52449" w:rsidRPr="006A74F8" w:rsidRDefault="00E52449" w:rsidP="00E52449">
            <w:pPr>
              <w:spacing w:after="0" w:line="240" w:lineRule="auto"/>
              <w:jc w:val="center"/>
              <w:rPr>
                <w:rFonts w:ascii="Calibri" w:eastAsia="Times New Roman" w:hAnsi="Calibri" w:cs="Calibri"/>
                <w:b/>
                <w:color w:val="FFFFFF"/>
                <w:lang w:eastAsia="en-AU"/>
              </w:rPr>
            </w:pPr>
            <w:r w:rsidRPr="006A74F8">
              <w:rPr>
                <w:rFonts w:ascii="Calibri" w:eastAsia="Times New Roman" w:hAnsi="Calibri" w:cs="Calibri"/>
                <w:b/>
                <w:color w:val="FFFFFF"/>
                <w:lang w:eastAsia="en-AU"/>
              </w:rPr>
              <w:t xml:space="preserve"> Re-labelling cost $0.5 per unit </w:t>
            </w:r>
          </w:p>
        </w:tc>
      </w:tr>
      <w:tr w:rsidR="00F84B21" w:rsidRPr="006A74F8" w:rsidTr="00FC32D8">
        <w:trPr>
          <w:trHeight w:val="300"/>
        </w:trPr>
        <w:tc>
          <w:tcPr>
            <w:tcW w:w="367" w:type="pct"/>
            <w:vMerge w:val="restar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2204</w:t>
            </w:r>
          </w:p>
        </w:tc>
        <w:tc>
          <w:tcPr>
            <w:tcW w:w="81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$457,164,427</w:t>
            </w:r>
          </w:p>
        </w:tc>
        <w:tc>
          <w:tcPr>
            <w:tcW w:w="58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$8.50</w:t>
            </w:r>
          </w:p>
        </w:tc>
        <w:tc>
          <w:tcPr>
            <w:tcW w:w="73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53,784,050</w:t>
            </w:r>
          </w:p>
        </w:tc>
        <w:tc>
          <w:tcPr>
            <w:tcW w:w="66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w:t>
            </w:r>
          </w:p>
        </w:tc>
        <w:tc>
          <w:tcPr>
            <w:tcW w:w="58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2,151,362</w:t>
            </w:r>
          </w:p>
        </w:tc>
        <w:tc>
          <w:tcPr>
            <w:tcW w:w="66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430,272</w:t>
            </w:r>
          </w:p>
        </w:tc>
        <w:tc>
          <w:tcPr>
            <w:tcW w:w="58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$215,136</w:t>
            </w:r>
          </w:p>
        </w:tc>
      </w:tr>
      <w:tr w:rsidR="00F84B21" w:rsidRPr="006A74F8" w:rsidTr="00FC32D8">
        <w:trPr>
          <w:trHeight w:val="255"/>
        </w:trPr>
        <w:tc>
          <w:tcPr>
            <w:tcW w:w="367" w:type="pct"/>
            <w:vMerge/>
            <w:shd w:val="clear" w:color="auto" w:fill="auto"/>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p>
        </w:tc>
        <w:tc>
          <w:tcPr>
            <w:tcW w:w="81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$132,244</w:t>
            </w:r>
          </w:p>
        </w:tc>
        <w:tc>
          <w:tcPr>
            <w:tcW w:w="58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$8.50</w:t>
            </w:r>
          </w:p>
        </w:tc>
        <w:tc>
          <w:tcPr>
            <w:tcW w:w="73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15,558</w:t>
            </w:r>
          </w:p>
        </w:tc>
        <w:tc>
          <w:tcPr>
            <w:tcW w:w="66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w:t>
            </w:r>
          </w:p>
        </w:tc>
        <w:tc>
          <w:tcPr>
            <w:tcW w:w="58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622</w:t>
            </w:r>
          </w:p>
        </w:tc>
        <w:tc>
          <w:tcPr>
            <w:tcW w:w="66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124</w:t>
            </w:r>
          </w:p>
        </w:tc>
        <w:tc>
          <w:tcPr>
            <w:tcW w:w="58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$111</w:t>
            </w:r>
          </w:p>
        </w:tc>
      </w:tr>
      <w:tr w:rsidR="00F84B21" w:rsidRPr="006A74F8" w:rsidTr="00FC32D8">
        <w:trPr>
          <w:trHeight w:val="255"/>
        </w:trPr>
        <w:tc>
          <w:tcPr>
            <w:tcW w:w="36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color w:val="000000"/>
                <w:sz w:val="20"/>
                <w:szCs w:val="20"/>
                <w:lang w:eastAsia="en-AU"/>
              </w:rPr>
            </w:pPr>
            <w:r w:rsidRPr="006A74F8">
              <w:rPr>
                <w:rFonts w:ascii="Calibri" w:eastAsia="Times New Roman" w:hAnsi="Calibri" w:cs="Calibri"/>
                <w:color w:val="000000"/>
                <w:sz w:val="20"/>
                <w:szCs w:val="20"/>
                <w:lang w:eastAsia="en-AU"/>
              </w:rPr>
              <w:t>2208</w:t>
            </w:r>
          </w:p>
        </w:tc>
        <w:tc>
          <w:tcPr>
            <w:tcW w:w="810"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$399,600,495</w:t>
            </w:r>
          </w:p>
        </w:tc>
        <w:tc>
          <w:tcPr>
            <w:tcW w:w="58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$20.00</w:t>
            </w:r>
          </w:p>
        </w:tc>
        <w:tc>
          <w:tcPr>
            <w:tcW w:w="73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19,980,025</w:t>
            </w:r>
          </w:p>
        </w:tc>
        <w:tc>
          <w:tcPr>
            <w:tcW w:w="66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12%</w:t>
            </w:r>
          </w:p>
        </w:tc>
        <w:tc>
          <w:tcPr>
            <w:tcW w:w="58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2,397,603</w:t>
            </w:r>
          </w:p>
        </w:tc>
        <w:tc>
          <w:tcPr>
            <w:tcW w:w="66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479,521</w:t>
            </w:r>
          </w:p>
        </w:tc>
        <w:tc>
          <w:tcPr>
            <w:tcW w:w="58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r w:rsidRPr="006A74F8">
              <w:rPr>
                <w:rFonts w:ascii="Calibri" w:eastAsia="Calibri" w:hAnsi="Calibri" w:cs="Calibri"/>
                <w:color w:val="000000"/>
                <w:sz w:val="20"/>
                <w:szCs w:val="20"/>
              </w:rPr>
              <w:t>$179,923</w:t>
            </w:r>
          </w:p>
        </w:tc>
      </w:tr>
      <w:tr w:rsidR="00F84B21" w:rsidRPr="006A74F8" w:rsidTr="00FC32D8">
        <w:trPr>
          <w:trHeight w:val="255"/>
        </w:trPr>
        <w:tc>
          <w:tcPr>
            <w:tcW w:w="1178" w:type="pct"/>
            <w:gridSpan w:val="2"/>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color w:val="000000"/>
                <w:sz w:val="20"/>
                <w:szCs w:val="20"/>
                <w:lang w:eastAsia="en-AU"/>
              </w:rPr>
            </w:pPr>
            <w:r w:rsidRPr="006A74F8">
              <w:rPr>
                <w:rFonts w:ascii="Calibri" w:eastAsia="Times New Roman" w:hAnsi="Calibri" w:cs="Calibri"/>
                <w:b/>
                <w:color w:val="000000"/>
                <w:sz w:val="20"/>
                <w:szCs w:val="20"/>
                <w:lang w:eastAsia="en-AU"/>
              </w:rPr>
              <w:t>2019-20 Total</w:t>
            </w:r>
          </w:p>
        </w:tc>
        <w:tc>
          <w:tcPr>
            <w:tcW w:w="58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sz w:val="20"/>
                <w:szCs w:val="20"/>
                <w:lang w:eastAsia="en-AU"/>
              </w:rPr>
            </w:pPr>
          </w:p>
        </w:tc>
        <w:tc>
          <w:tcPr>
            <w:tcW w:w="735"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73,779,633</w:t>
            </w:r>
          </w:p>
        </w:tc>
        <w:tc>
          <w:tcPr>
            <w:tcW w:w="662"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 </w:t>
            </w:r>
          </w:p>
        </w:tc>
        <w:tc>
          <w:tcPr>
            <w:tcW w:w="589"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4,549,587</w:t>
            </w:r>
          </w:p>
        </w:tc>
        <w:tc>
          <w:tcPr>
            <w:tcW w:w="661"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909,917</w:t>
            </w:r>
          </w:p>
        </w:tc>
        <w:tc>
          <w:tcPr>
            <w:tcW w:w="587" w:type="pct"/>
            <w:shd w:val="clear" w:color="auto" w:fill="auto"/>
            <w:noWrap/>
            <w:vAlign w:val="center"/>
            <w:hideMark/>
          </w:tcPr>
          <w:p w:rsidR="00E52449" w:rsidRPr="006A74F8" w:rsidRDefault="00E52449" w:rsidP="00E52449">
            <w:pPr>
              <w:spacing w:after="0" w:line="240" w:lineRule="auto"/>
              <w:jc w:val="center"/>
              <w:rPr>
                <w:rFonts w:ascii="Calibri" w:eastAsia="Times New Roman" w:hAnsi="Calibri" w:cs="Calibri"/>
                <w:b/>
                <w:sz w:val="20"/>
                <w:szCs w:val="20"/>
                <w:lang w:eastAsia="en-AU"/>
              </w:rPr>
            </w:pPr>
            <w:r w:rsidRPr="006A74F8">
              <w:rPr>
                <w:rFonts w:ascii="Calibri" w:eastAsia="Calibri" w:hAnsi="Calibri" w:cs="Calibri"/>
                <w:b/>
                <w:color w:val="000000"/>
                <w:sz w:val="20"/>
                <w:szCs w:val="20"/>
              </w:rPr>
              <w:t>$395,170</w:t>
            </w:r>
          </w:p>
        </w:tc>
      </w:tr>
    </w:tbl>
    <w:p w:rsidR="00B72928" w:rsidRPr="006A74F8" w:rsidRDefault="00B72928" w:rsidP="00E52449">
      <w:pPr>
        <w:rPr>
          <w:rFonts w:ascii="Arial" w:eastAsia="Calibri" w:hAnsi="Arial" w:cs="Times New Roman"/>
        </w:rPr>
        <w:sectPr w:rsidR="00B72928" w:rsidRPr="006A74F8" w:rsidSect="00EC61D8">
          <w:pgSz w:w="11907" w:h="16840" w:code="9"/>
          <w:pgMar w:top="1440" w:right="1440" w:bottom="1440" w:left="1440" w:header="851" w:footer="0" w:gutter="0"/>
          <w:cols w:space="708"/>
          <w:docGrid w:linePitch="360"/>
        </w:sectPr>
      </w:pPr>
    </w:p>
    <w:p w:rsidR="004E530F" w:rsidRPr="006A74F8" w:rsidRDefault="004E530F" w:rsidP="004E530F">
      <w:pPr>
        <w:pStyle w:val="Heading1"/>
      </w:pPr>
      <w:bookmarkStart w:id="2825" w:name="_Appendix_11:_Costing"/>
      <w:bookmarkStart w:id="2826" w:name="_Toc67305406"/>
      <w:bookmarkStart w:id="2827" w:name="_Toc67306320"/>
      <w:bookmarkStart w:id="2828" w:name="_Toc67306770"/>
      <w:bookmarkStart w:id="2829" w:name="_Toc67313622"/>
      <w:bookmarkStart w:id="2830" w:name="_Toc67320815"/>
      <w:bookmarkStart w:id="2831" w:name="_Toc67321968"/>
      <w:bookmarkStart w:id="2832" w:name="_Toc67324433"/>
      <w:bookmarkStart w:id="2833" w:name="_Toc67326594"/>
      <w:bookmarkStart w:id="2834" w:name="_Toc67649130"/>
      <w:bookmarkStart w:id="2835" w:name="_Toc67650114"/>
      <w:bookmarkStart w:id="2836" w:name="_Toc67650369"/>
      <w:bookmarkStart w:id="2837" w:name="_Toc67650661"/>
      <w:bookmarkStart w:id="2838" w:name="_Toc67652981"/>
      <w:bookmarkStart w:id="2839" w:name="_Toc67653066"/>
      <w:bookmarkStart w:id="2840" w:name="_Toc67653498"/>
      <w:bookmarkStart w:id="2841" w:name="_Toc67653561"/>
      <w:bookmarkStart w:id="2842" w:name="_Toc67649978"/>
      <w:bookmarkStart w:id="2843" w:name="_Toc67654064"/>
      <w:bookmarkStart w:id="2844" w:name="_Toc67654371"/>
      <w:bookmarkStart w:id="2845" w:name="_Toc67654588"/>
      <w:bookmarkStart w:id="2846" w:name="_Toc67656195"/>
      <w:bookmarkStart w:id="2847" w:name="_Toc67656957"/>
      <w:bookmarkStart w:id="2848" w:name="_Toc67659256"/>
      <w:bookmarkStart w:id="2849" w:name="_Toc67659757"/>
      <w:bookmarkStart w:id="2850" w:name="_Toc67661724"/>
      <w:bookmarkStart w:id="2851" w:name="_Toc67662815"/>
      <w:bookmarkStart w:id="2852" w:name="_Toc67662956"/>
      <w:bookmarkStart w:id="2853" w:name="_Toc67664462"/>
      <w:bookmarkStart w:id="2854" w:name="_Toc67667189"/>
      <w:bookmarkStart w:id="2855" w:name="_Toc67668262"/>
      <w:bookmarkStart w:id="2856" w:name="_Toc67669169"/>
      <w:bookmarkStart w:id="2857" w:name="_Toc67665780"/>
      <w:bookmarkStart w:id="2858" w:name="_Toc67912169"/>
      <w:bookmarkStart w:id="2859" w:name="_Toc67922250"/>
      <w:bookmarkStart w:id="2860" w:name="_Toc67929109"/>
      <w:bookmarkStart w:id="2861" w:name="_Toc67929403"/>
      <w:bookmarkStart w:id="2862" w:name="_Toc67929628"/>
      <w:bookmarkStart w:id="2863" w:name="_Toc67927105"/>
      <w:bookmarkStart w:id="2864" w:name="_Toc68011270"/>
      <w:bookmarkStart w:id="2865" w:name="_Toc68011328"/>
      <w:bookmarkStart w:id="2866" w:name="_Toc81919637"/>
      <w:bookmarkStart w:id="2867" w:name="_Toc81919911"/>
      <w:bookmarkStart w:id="2868" w:name="_Toc81921178"/>
      <w:bookmarkStart w:id="2869" w:name="_Toc81923753"/>
      <w:bookmarkStart w:id="2870" w:name="_Toc81923780"/>
      <w:bookmarkStart w:id="2871" w:name="_Toc81997327"/>
      <w:bookmarkStart w:id="2872" w:name="_Toc81998100"/>
      <w:bookmarkStart w:id="2873" w:name="_Toc82011854"/>
      <w:bookmarkStart w:id="2874" w:name="_Toc82512710"/>
      <w:bookmarkStart w:id="2875" w:name="_Toc82516178"/>
      <w:bookmarkStart w:id="2876" w:name="_Toc82519119"/>
      <w:bookmarkStart w:id="2877" w:name="_Toc82706661"/>
      <w:bookmarkStart w:id="2878" w:name="_Toc82790546"/>
      <w:bookmarkStart w:id="2879" w:name="_Toc82791065"/>
      <w:bookmarkStart w:id="2880" w:name="_Toc82792376"/>
      <w:bookmarkStart w:id="2881" w:name="_Toc83290758"/>
      <w:bookmarkStart w:id="2882" w:name="_Toc83292767"/>
      <w:bookmarkStart w:id="2883" w:name="_Toc83293538"/>
      <w:bookmarkStart w:id="2884" w:name="_Toc67390637"/>
      <w:bookmarkStart w:id="2885" w:name="_Toc66435717"/>
      <w:bookmarkStart w:id="2886" w:name="_Toc66436506"/>
      <w:bookmarkStart w:id="2887" w:name="_Toc66437717"/>
      <w:bookmarkStart w:id="2888" w:name="_Toc66440056"/>
      <w:bookmarkStart w:id="2889" w:name="_Toc66442258"/>
      <w:bookmarkStart w:id="2890" w:name="_Toc66451927"/>
      <w:bookmarkStart w:id="2891" w:name="_Toc66459204"/>
      <w:bookmarkStart w:id="2892" w:name="_Toc66460258"/>
      <w:bookmarkStart w:id="2893" w:name="_Toc67305404"/>
      <w:bookmarkStart w:id="2894" w:name="_Toc67306318"/>
      <w:bookmarkStart w:id="2895" w:name="_Toc67306768"/>
      <w:bookmarkStart w:id="2896" w:name="_Toc67313620"/>
      <w:bookmarkStart w:id="2897" w:name="_Toc67320813"/>
      <w:bookmarkStart w:id="2898" w:name="_Toc67321966"/>
      <w:bookmarkStart w:id="2899" w:name="_Toc67324431"/>
      <w:bookmarkStart w:id="2900" w:name="_Toc67326592"/>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825"/>
      <w:r w:rsidRPr="006A74F8">
        <w:lastRenderedPageBreak/>
        <w:t>Appendix 1</w:t>
      </w:r>
      <w:r w:rsidR="00266F0F" w:rsidRPr="006A74F8">
        <w:t>0</w:t>
      </w:r>
      <w:r w:rsidRPr="006A74F8">
        <w:t xml:space="preserve">: Costing the regulatory burden for businesses </w:t>
      </w:r>
      <w:r w:rsidR="006A1C14" w:rsidRPr="006A74F8">
        <w:t>to understand</w:t>
      </w:r>
      <w:r w:rsidRPr="006A74F8">
        <w:t xml:space="preserve"> requirements for packaged products</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p>
    <w:p w:rsidR="004E530F" w:rsidRPr="006A74F8" w:rsidRDefault="000166D8" w:rsidP="004E530F">
      <w:pPr>
        <w:pStyle w:val="Heading2"/>
      </w:pPr>
      <w:r w:rsidRPr="006A74F8">
        <w:t xml:space="preserve"> </w:t>
      </w:r>
      <w:r w:rsidR="004E530F" w:rsidRPr="006A74F8">
        <w:t>Overview</w:t>
      </w:r>
      <w:bookmarkEnd w:id="2884"/>
    </w:p>
    <w:p w:rsidR="004E530F" w:rsidRPr="006A74F8" w:rsidRDefault="004E530F" w:rsidP="00CC060E">
      <w:r w:rsidRPr="006A74F8">
        <w:t>This appendix estimates the regulatory burden currently imposed on manufacturers</w:t>
      </w:r>
      <w:r w:rsidR="001C2777" w:rsidRPr="006A74F8">
        <w:t>, packers</w:t>
      </w:r>
      <w:r w:rsidRPr="006A74F8">
        <w:t xml:space="preserve"> and importers </w:t>
      </w:r>
      <w:r w:rsidR="00CC060E" w:rsidRPr="006A74F8">
        <w:t xml:space="preserve">to understand </w:t>
      </w:r>
      <w:r w:rsidRPr="006A74F8">
        <w:t xml:space="preserve">the requirements </w:t>
      </w:r>
      <w:r w:rsidR="00CC060E" w:rsidRPr="006A74F8">
        <w:t xml:space="preserve">they need to meet when labelling </w:t>
      </w:r>
      <w:r w:rsidRPr="006A74F8">
        <w:t>packaged products. These costs are estimated below. It is not possible to estimate the actual time saving of proposed reform for each business to comply with less onerous requirements. Instead we have developed scenarios based on time savings to complete the activity under simplified requirements to illustrate potential savings.</w:t>
      </w:r>
    </w:p>
    <w:p w:rsidR="004E530F" w:rsidRPr="006A74F8" w:rsidRDefault="004E530F" w:rsidP="001E43AC">
      <w:pPr>
        <w:pStyle w:val="Heading3"/>
        <w:tabs>
          <w:tab w:val="left" w:pos="993"/>
        </w:tabs>
        <w:ind w:left="993" w:hanging="993"/>
      </w:pPr>
      <w:r w:rsidRPr="006A74F8">
        <w:t>The estimated number of business that produce packaged products</w:t>
      </w:r>
    </w:p>
    <w:p w:rsidR="004E530F" w:rsidRPr="006A74F8" w:rsidRDefault="004E530F" w:rsidP="004E530F">
      <w:r w:rsidRPr="006A74F8">
        <w:t>Based on NMI data the following sectors were considered to be affected by current packaging requirements. ABS Cat. 8155.0 Australian Industry, 2018-19</w:t>
      </w:r>
      <w:r w:rsidRPr="006A74F8">
        <w:rPr>
          <w:rStyle w:val="FootnoteReference"/>
        </w:rPr>
        <w:footnoteReference w:id="178"/>
      </w:r>
      <w:r w:rsidRPr="006A74F8">
        <w:t xml:space="preserve"> only provides the total number of employees per ANZSIC sector but not a breakdown of the number of businesses. We estimated the number of businesses in each sector based on an average of 8 employees per establishment</w:t>
      </w:r>
      <w:r w:rsidRPr="006A74F8">
        <w:rPr>
          <w:rStyle w:val="FootnoteReference"/>
        </w:rPr>
        <w:footnoteReference w:id="179"/>
      </w:r>
      <w:r w:rsidRPr="006A74F8">
        <w:t xml:space="preserve"> </w:t>
      </w:r>
      <w:r w:rsidR="00D23132" w:rsidRPr="006A74F8">
        <w:t>(</w:t>
      </w:r>
      <w:r w:rsidRPr="006A74F8">
        <w:t>based on the IBIS World Report</w:t>
      </w:r>
      <w:r w:rsidRPr="006A74F8">
        <w:rPr>
          <w:rStyle w:val="FootnoteReference"/>
        </w:rPr>
        <w:footnoteReference w:id="180"/>
      </w:r>
      <w:r w:rsidRPr="006A74F8">
        <w:t>). The number of importers is based on NMI data.</w:t>
      </w:r>
    </w:p>
    <w:p w:rsidR="00426A6A" w:rsidRPr="006A74F8" w:rsidRDefault="00426A6A" w:rsidP="001F2D47">
      <w:pPr>
        <w:pStyle w:val="Caption"/>
        <w:keepNext/>
      </w:pPr>
      <w:r w:rsidRPr="006A74F8">
        <w:t>Table A1</w:t>
      </w:r>
      <w:r w:rsidR="00B1255E" w:rsidRPr="006A74F8">
        <w:t>0</w:t>
      </w:r>
      <w:r w:rsidRPr="006A74F8">
        <w:t xml:space="preserve">- </w:t>
      </w:r>
      <w:r w:rsidR="00517AFF" w:rsidRPr="006A74F8">
        <w:rPr>
          <w:noProof/>
        </w:rPr>
        <w:fldChar w:fldCharType="begin"/>
      </w:r>
      <w:r w:rsidR="00517AFF" w:rsidRPr="006A74F8">
        <w:rPr>
          <w:noProof/>
        </w:rPr>
        <w:instrText xml:space="preserve"> SEQ Table_A11- \* ARABIC </w:instrText>
      </w:r>
      <w:r w:rsidR="00517AFF" w:rsidRPr="006A74F8">
        <w:rPr>
          <w:noProof/>
        </w:rPr>
        <w:fldChar w:fldCharType="separate"/>
      </w:r>
      <w:r w:rsidR="0033017F">
        <w:rPr>
          <w:noProof/>
        </w:rPr>
        <w:t>1</w:t>
      </w:r>
      <w:r w:rsidR="00517AFF" w:rsidRPr="006A74F8">
        <w:rPr>
          <w:noProof/>
        </w:rPr>
        <w:fldChar w:fldCharType="end"/>
      </w:r>
      <w:r w:rsidRPr="006A74F8">
        <w:t>: Number of businesses that produce packaged products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1-1 number of businesses that produce packaged products"/>
        <w:tblDescription w:val="The table lists the number of businesses in various manufacturing sectors and importers"/>
      </w:tblPr>
      <w:tblGrid>
        <w:gridCol w:w="5529"/>
        <w:gridCol w:w="3497"/>
      </w:tblGrid>
      <w:tr w:rsidR="004E530F" w:rsidRPr="006A74F8" w:rsidTr="000C4F1B">
        <w:trPr>
          <w:trHeight w:val="288"/>
        </w:trPr>
        <w:tc>
          <w:tcPr>
            <w:tcW w:w="5529" w:type="dxa"/>
            <w:shd w:val="clear" w:color="auto" w:fill="1F3864"/>
            <w:noWrap/>
            <w:vAlign w:val="bottom"/>
            <w:hideMark/>
          </w:tcPr>
          <w:p w:rsidR="004E530F" w:rsidRPr="006A74F8" w:rsidRDefault="004E530F" w:rsidP="00DB7451">
            <w:pPr>
              <w:spacing w:after="0" w:line="240" w:lineRule="auto"/>
              <w:rPr>
                <w:b/>
              </w:rPr>
            </w:pPr>
            <w:r w:rsidRPr="006A74F8">
              <w:rPr>
                <w:b/>
              </w:rPr>
              <w:t>Selected manufacturing sectors and importers</w:t>
            </w:r>
          </w:p>
        </w:tc>
        <w:tc>
          <w:tcPr>
            <w:tcW w:w="3497" w:type="dxa"/>
            <w:shd w:val="clear" w:color="auto" w:fill="1F3864"/>
          </w:tcPr>
          <w:p w:rsidR="004E530F" w:rsidRPr="006A74F8" w:rsidRDefault="004E530F" w:rsidP="00DB7451">
            <w:pPr>
              <w:spacing w:after="0" w:line="240" w:lineRule="auto"/>
              <w:ind w:left="-250" w:firstLine="250"/>
              <w:rPr>
                <w:b/>
              </w:rPr>
            </w:pPr>
            <w:r w:rsidRPr="006A74F8">
              <w:rPr>
                <w:b/>
              </w:rPr>
              <w:t>Number of Businesses</w:t>
            </w:r>
          </w:p>
        </w:tc>
      </w:tr>
      <w:tr w:rsidR="004E530F" w:rsidRPr="006A74F8" w:rsidTr="00DB7451">
        <w:trPr>
          <w:trHeight w:val="288"/>
        </w:trPr>
        <w:tc>
          <w:tcPr>
            <w:tcW w:w="5529" w:type="dxa"/>
            <w:shd w:val="clear" w:color="auto" w:fill="auto"/>
            <w:noWrap/>
            <w:hideMark/>
          </w:tcPr>
          <w:p w:rsidR="004E530F" w:rsidRPr="006A74F8" w:rsidRDefault="004E530F" w:rsidP="00DB7451">
            <w:pPr>
              <w:spacing w:after="0" w:line="240" w:lineRule="auto"/>
              <w:ind w:firstLineChars="100" w:firstLine="220"/>
            </w:pPr>
            <w:r w:rsidRPr="006A74F8">
              <w:t>Food product manufacturing</w:t>
            </w:r>
          </w:p>
        </w:tc>
        <w:tc>
          <w:tcPr>
            <w:tcW w:w="3497" w:type="dxa"/>
          </w:tcPr>
          <w:p w:rsidR="004E530F" w:rsidRPr="006A74F8" w:rsidRDefault="004E530F" w:rsidP="00DB7451">
            <w:pPr>
              <w:jc w:val="center"/>
            </w:pPr>
            <w:r w:rsidRPr="006A74F8">
              <w:t xml:space="preserve"> 26,962 </w:t>
            </w:r>
          </w:p>
        </w:tc>
      </w:tr>
      <w:tr w:rsidR="004E530F" w:rsidRPr="006A74F8" w:rsidTr="00DB7451">
        <w:trPr>
          <w:trHeight w:val="288"/>
        </w:trPr>
        <w:tc>
          <w:tcPr>
            <w:tcW w:w="5529" w:type="dxa"/>
            <w:shd w:val="clear" w:color="auto" w:fill="auto"/>
            <w:noWrap/>
            <w:hideMark/>
          </w:tcPr>
          <w:p w:rsidR="004E530F" w:rsidRPr="006A74F8" w:rsidRDefault="004E530F" w:rsidP="00DB7451">
            <w:pPr>
              <w:spacing w:after="0" w:line="240" w:lineRule="auto"/>
              <w:ind w:firstLineChars="100" w:firstLine="220"/>
            </w:pPr>
            <w:r w:rsidRPr="006A74F8">
              <w:t>Beverage and tobacco product manufacturing</w:t>
            </w:r>
          </w:p>
        </w:tc>
        <w:tc>
          <w:tcPr>
            <w:tcW w:w="3497" w:type="dxa"/>
          </w:tcPr>
          <w:p w:rsidR="004E530F" w:rsidRPr="006A74F8" w:rsidRDefault="004E530F" w:rsidP="00DB7451">
            <w:pPr>
              <w:jc w:val="center"/>
            </w:pPr>
            <w:r w:rsidRPr="006A74F8">
              <w:t xml:space="preserve"> 3,916 </w:t>
            </w:r>
          </w:p>
        </w:tc>
      </w:tr>
      <w:tr w:rsidR="004E530F" w:rsidRPr="006A74F8" w:rsidTr="00DB7451">
        <w:trPr>
          <w:trHeight w:val="288"/>
        </w:trPr>
        <w:tc>
          <w:tcPr>
            <w:tcW w:w="5529" w:type="dxa"/>
            <w:shd w:val="clear" w:color="auto" w:fill="auto"/>
            <w:noWrap/>
            <w:hideMark/>
          </w:tcPr>
          <w:p w:rsidR="004E530F" w:rsidRPr="006A74F8" w:rsidRDefault="004E530F" w:rsidP="00DB7451">
            <w:pPr>
              <w:spacing w:after="0" w:line="240" w:lineRule="auto"/>
              <w:ind w:firstLineChars="100" w:firstLine="220"/>
            </w:pPr>
            <w:r w:rsidRPr="006A74F8">
              <w:t>Pulp, paper and converted paper product manufacturing</w:t>
            </w:r>
          </w:p>
        </w:tc>
        <w:tc>
          <w:tcPr>
            <w:tcW w:w="3497" w:type="dxa"/>
          </w:tcPr>
          <w:p w:rsidR="004E530F" w:rsidRPr="006A74F8" w:rsidRDefault="004E530F" w:rsidP="00DB7451">
            <w:pPr>
              <w:jc w:val="center"/>
            </w:pPr>
            <w:r w:rsidRPr="006A74F8">
              <w:t xml:space="preserve"> 2,004</w:t>
            </w:r>
          </w:p>
        </w:tc>
      </w:tr>
      <w:tr w:rsidR="004E530F" w:rsidRPr="006A74F8" w:rsidTr="00DB7451">
        <w:trPr>
          <w:trHeight w:val="288"/>
        </w:trPr>
        <w:tc>
          <w:tcPr>
            <w:tcW w:w="5529" w:type="dxa"/>
            <w:shd w:val="clear" w:color="auto" w:fill="auto"/>
            <w:noWrap/>
            <w:hideMark/>
          </w:tcPr>
          <w:p w:rsidR="004E530F" w:rsidRPr="006A74F8" w:rsidRDefault="004E530F" w:rsidP="00DB7451">
            <w:pPr>
              <w:spacing w:after="0" w:line="240" w:lineRule="auto"/>
              <w:ind w:firstLineChars="100" w:firstLine="220"/>
            </w:pPr>
            <w:r w:rsidRPr="006A74F8">
              <w:t>Basic chemical and chemical product manufacturing</w:t>
            </w:r>
          </w:p>
        </w:tc>
        <w:tc>
          <w:tcPr>
            <w:tcW w:w="3497" w:type="dxa"/>
          </w:tcPr>
          <w:p w:rsidR="004E530F" w:rsidRPr="006A74F8" w:rsidRDefault="004E530F" w:rsidP="00DB7451">
            <w:pPr>
              <w:jc w:val="center"/>
            </w:pPr>
            <w:r w:rsidRPr="006A74F8">
              <w:t xml:space="preserve"> 38,509 </w:t>
            </w:r>
          </w:p>
        </w:tc>
      </w:tr>
      <w:tr w:rsidR="004E530F" w:rsidRPr="006A74F8" w:rsidTr="00DB7451">
        <w:trPr>
          <w:trHeight w:val="288"/>
        </w:trPr>
        <w:tc>
          <w:tcPr>
            <w:tcW w:w="5529" w:type="dxa"/>
            <w:shd w:val="clear" w:color="auto" w:fill="auto"/>
            <w:noWrap/>
          </w:tcPr>
          <w:p w:rsidR="004E530F" w:rsidRPr="006A74F8" w:rsidRDefault="004E530F" w:rsidP="00DB7451">
            <w:pPr>
              <w:spacing w:after="0" w:line="240" w:lineRule="auto"/>
              <w:ind w:firstLineChars="100" w:firstLine="220"/>
            </w:pPr>
            <w:r w:rsidRPr="006A74F8">
              <w:t>Importers (NMI Data)</w:t>
            </w:r>
            <w:r w:rsidR="006E35AA" w:rsidRPr="006A74F8">
              <w:rPr>
                <w:rStyle w:val="FootnoteReference"/>
              </w:rPr>
              <w:footnoteReference w:id="181"/>
            </w:r>
          </w:p>
        </w:tc>
        <w:tc>
          <w:tcPr>
            <w:tcW w:w="3497" w:type="dxa"/>
          </w:tcPr>
          <w:p w:rsidR="004E530F" w:rsidRPr="006A74F8" w:rsidRDefault="004E530F" w:rsidP="00DB7451">
            <w:pPr>
              <w:jc w:val="center"/>
            </w:pPr>
            <w:r w:rsidRPr="006A74F8">
              <w:t xml:space="preserve"> 3,229 </w:t>
            </w:r>
          </w:p>
        </w:tc>
      </w:tr>
      <w:tr w:rsidR="004E530F" w:rsidRPr="006A74F8" w:rsidTr="00DB7451">
        <w:trPr>
          <w:trHeight w:val="288"/>
        </w:trPr>
        <w:tc>
          <w:tcPr>
            <w:tcW w:w="5529" w:type="dxa"/>
            <w:shd w:val="clear" w:color="auto" w:fill="auto"/>
            <w:noWrap/>
            <w:vAlign w:val="bottom"/>
          </w:tcPr>
          <w:p w:rsidR="004E530F" w:rsidRPr="006A74F8" w:rsidRDefault="004E530F" w:rsidP="00DB7451">
            <w:pPr>
              <w:spacing w:after="0" w:line="240" w:lineRule="auto"/>
              <w:rPr>
                <w:b/>
              </w:rPr>
            </w:pPr>
            <w:r w:rsidRPr="006A74F8">
              <w:rPr>
                <w:b/>
              </w:rPr>
              <w:t>Total number of businesses that produce packaged products</w:t>
            </w:r>
          </w:p>
        </w:tc>
        <w:tc>
          <w:tcPr>
            <w:tcW w:w="3497" w:type="dxa"/>
          </w:tcPr>
          <w:p w:rsidR="004E530F" w:rsidRPr="006A74F8" w:rsidRDefault="004E530F" w:rsidP="00DB7451">
            <w:pPr>
              <w:spacing w:after="0" w:line="240" w:lineRule="auto"/>
              <w:jc w:val="center"/>
              <w:rPr>
                <w:b/>
              </w:rPr>
            </w:pPr>
            <w:r w:rsidRPr="006A74F8">
              <w:rPr>
                <w:b/>
              </w:rPr>
              <w:t>74,620</w:t>
            </w:r>
          </w:p>
        </w:tc>
      </w:tr>
    </w:tbl>
    <w:p w:rsidR="00682CA1" w:rsidRPr="006A74F8" w:rsidRDefault="00682CA1" w:rsidP="004E530F">
      <w:pPr>
        <w:sectPr w:rsidR="00682CA1" w:rsidRPr="006A74F8" w:rsidSect="00EC61D8">
          <w:pgSz w:w="11907" w:h="16840" w:code="9"/>
          <w:pgMar w:top="1440" w:right="1440" w:bottom="1440" w:left="1440" w:header="851" w:footer="0" w:gutter="0"/>
          <w:cols w:space="708"/>
          <w:docGrid w:linePitch="360"/>
        </w:sectPr>
      </w:pPr>
      <w:bookmarkStart w:id="2901" w:name="_Toc67390638"/>
    </w:p>
    <w:p w:rsidR="004E530F" w:rsidRPr="006A74F8" w:rsidRDefault="0023631D" w:rsidP="004E530F">
      <w:pPr>
        <w:pStyle w:val="Heading2"/>
      </w:pPr>
      <w:r w:rsidRPr="006A74F8">
        <w:lastRenderedPageBreak/>
        <w:t xml:space="preserve"> </w:t>
      </w:r>
      <w:r w:rsidR="006A1C14" w:rsidRPr="006A74F8">
        <w:t>Status quo regulatory burden c</w:t>
      </w:r>
      <w:r w:rsidR="004E530F" w:rsidRPr="006A74F8">
        <w:t>osting</w:t>
      </w:r>
      <w:bookmarkEnd w:id="2901"/>
    </w:p>
    <w:p w:rsidR="004E530F" w:rsidRPr="006A74F8" w:rsidRDefault="004E530F" w:rsidP="004E530F">
      <w:r w:rsidRPr="006A74F8">
        <w:t xml:space="preserve">Manufacturers and importers of packaged products are required ensure that the measurement mark on their products complies with requirements in Part 4 of the </w:t>
      </w:r>
      <w:r w:rsidRPr="006A74F8">
        <w:rPr>
          <w:i/>
        </w:rPr>
        <w:t>National Trade Measurement Regulations 2009</w:t>
      </w:r>
      <w:r w:rsidRPr="006A74F8">
        <w:t>. When assessing how to correctly mark their products, manufacturers</w:t>
      </w:r>
      <w:r w:rsidR="0084096F" w:rsidRPr="006A74F8">
        <w:t>, packers</w:t>
      </w:r>
      <w:r w:rsidRPr="006A74F8">
        <w:t xml:space="preserve"> and importers need to navigate numerous regulatory provisions, refer to several different Schedules and check the ‘Secretary’s list’. Navigating these requirements takes time and often needs to be done when new product lines are introduced or changes are made to packaging designs.</w:t>
      </w:r>
    </w:p>
    <w:p w:rsidR="004E530F" w:rsidRPr="006A74F8" w:rsidRDefault="004E530F" w:rsidP="004E530F">
      <w:r w:rsidRPr="006A74F8">
        <w:t xml:space="preserve">The status quo cost is estimated at </w:t>
      </w:r>
      <w:r w:rsidRPr="006A74F8">
        <w:rPr>
          <w:b/>
        </w:rPr>
        <w:t>$8.1m</w:t>
      </w:r>
      <w:r w:rsidRPr="006A74F8">
        <w:t xml:space="preserve"> based on the estimated 74,620 businesses that are assumed to spend 1.5 hours to understand the current regulations. </w:t>
      </w:r>
    </w:p>
    <w:p w:rsidR="00426A6A" w:rsidRPr="006A74F8" w:rsidRDefault="00426A6A" w:rsidP="001F2D47">
      <w:pPr>
        <w:pStyle w:val="Caption"/>
        <w:keepNext/>
      </w:pPr>
      <w:r w:rsidRPr="006A74F8">
        <w:t>Table A1</w:t>
      </w:r>
      <w:r w:rsidR="00B1255E" w:rsidRPr="006A74F8">
        <w:t>0</w:t>
      </w:r>
      <w:r w:rsidRPr="006A74F8">
        <w:t xml:space="preserve">- </w:t>
      </w:r>
      <w:r w:rsidR="00517AFF" w:rsidRPr="006A74F8">
        <w:rPr>
          <w:noProof/>
        </w:rPr>
        <w:fldChar w:fldCharType="begin"/>
      </w:r>
      <w:r w:rsidR="00517AFF" w:rsidRPr="006A74F8">
        <w:rPr>
          <w:noProof/>
        </w:rPr>
        <w:instrText xml:space="preserve"> SEQ Table_A11- \* ARABIC </w:instrText>
      </w:r>
      <w:r w:rsidR="00517AFF" w:rsidRPr="006A74F8">
        <w:rPr>
          <w:noProof/>
        </w:rPr>
        <w:fldChar w:fldCharType="separate"/>
      </w:r>
      <w:r w:rsidR="0033017F">
        <w:rPr>
          <w:noProof/>
        </w:rPr>
        <w:t>2</w:t>
      </w:r>
      <w:r w:rsidR="00517AFF" w:rsidRPr="006A74F8">
        <w:rPr>
          <w:noProof/>
        </w:rPr>
        <w:fldChar w:fldCharType="end"/>
      </w:r>
      <w:r w:rsidRPr="006A74F8">
        <w:t>: Cost to regulatory burden for packaged products under the status quo</w:t>
      </w:r>
    </w:p>
    <w:tbl>
      <w:tblPr>
        <w:tblW w:w="8926" w:type="dxa"/>
        <w:tblLook w:val="04A0" w:firstRow="1" w:lastRow="0" w:firstColumn="1" w:lastColumn="0" w:noHBand="0" w:noVBand="1"/>
        <w:tblCaption w:val="Table A11-2 - cost to regulatory burden fro packaged products under the status quo"/>
        <w:tblDescription w:val="Packaging requirements affect 74,620 businesses, and assumes that it takes 1 staff member. 1.5 hours, once a year at a cost of $72.63 per hour (including wage and non labour costs). this totals $8,128,889."/>
      </w:tblPr>
      <w:tblGrid>
        <w:gridCol w:w="1431"/>
        <w:gridCol w:w="1966"/>
        <w:gridCol w:w="1418"/>
        <w:gridCol w:w="4111"/>
      </w:tblGrid>
      <w:tr w:rsidR="004E530F" w:rsidRPr="006A74F8" w:rsidTr="00222273">
        <w:trPr>
          <w:trHeight w:val="738"/>
        </w:trPr>
        <w:tc>
          <w:tcPr>
            <w:tcW w:w="4815" w:type="dxa"/>
            <w:gridSpan w:val="3"/>
            <w:tcBorders>
              <w:top w:val="single" w:sz="4" w:space="0" w:color="auto"/>
              <w:left w:val="single" w:sz="4" w:space="0" w:color="auto"/>
              <w:bottom w:val="nil"/>
              <w:right w:val="single" w:sz="4" w:space="0" w:color="auto"/>
            </w:tcBorders>
            <w:shd w:val="clear" w:color="auto" w:fill="1F3864"/>
            <w:vAlign w:val="center"/>
            <w:hideMark/>
          </w:tcPr>
          <w:p w:rsidR="004E530F" w:rsidRPr="006A74F8" w:rsidRDefault="004E530F" w:rsidP="00DB7451">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b/>
                <w:color w:val="000000"/>
                <w:lang w:eastAsia="en-AU"/>
              </w:rPr>
              <w:t> </w:t>
            </w:r>
            <w:r w:rsidRPr="006A74F8">
              <w:rPr>
                <w:rFonts w:ascii="Calibri" w:eastAsia="Times New Roman" w:hAnsi="Calibri" w:cs="Calibri"/>
                <w:b/>
                <w:color w:val="FFFFFF" w:themeColor="background1"/>
                <w:lang w:eastAsia="en-AU"/>
              </w:rPr>
              <w:t>Status Quo</w:t>
            </w:r>
            <w:r w:rsidR="001F5BDF" w:rsidRPr="006A74F8">
              <w:rPr>
                <w:rFonts w:ascii="Calibri" w:eastAsia="Times New Roman" w:hAnsi="Calibri" w:cs="Calibri"/>
                <w:b/>
                <w:color w:val="FFFFFF" w:themeColor="background1"/>
                <w:lang w:eastAsia="en-AU"/>
              </w:rPr>
              <w:t>:</w:t>
            </w:r>
            <w:r w:rsidRPr="006A74F8">
              <w:rPr>
                <w:rFonts w:ascii="Calibri" w:eastAsia="Times New Roman" w:hAnsi="Calibri" w:cs="Calibri"/>
                <w:b/>
                <w:color w:val="FFFFFF" w:themeColor="background1"/>
                <w:lang w:eastAsia="en-AU"/>
              </w:rPr>
              <w:t xml:space="preserve"> Cost to regulatory burden for packaged products</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4E530F" w:rsidRPr="006A74F8" w:rsidRDefault="004E530F" w:rsidP="00DB7451">
            <w:pPr>
              <w:spacing w:after="0" w:line="240" w:lineRule="auto"/>
              <w:rPr>
                <w:rFonts w:ascii="Calibri" w:eastAsia="Times New Roman" w:hAnsi="Calibri" w:cs="Calibri"/>
                <w:b/>
                <w:color w:val="000000"/>
                <w:lang w:eastAsia="en-AU"/>
              </w:rPr>
            </w:pPr>
            <w:r w:rsidRPr="006A74F8">
              <w:rPr>
                <w:rFonts w:ascii="Calibri" w:eastAsia="Times New Roman" w:hAnsi="Calibri" w:cs="Calibri"/>
                <w:b/>
                <w:color w:val="000000"/>
                <w:lang w:eastAsia="en-AU"/>
              </w:rPr>
              <w:t> </w:t>
            </w:r>
          </w:p>
        </w:tc>
      </w:tr>
      <w:tr w:rsidR="004E530F" w:rsidRPr="006A74F8" w:rsidTr="00222273">
        <w:trPr>
          <w:trHeight w:val="288"/>
        </w:trPr>
        <w:tc>
          <w:tcPr>
            <w:tcW w:w="1431" w:type="dxa"/>
            <w:tcBorders>
              <w:top w:val="single" w:sz="4" w:space="0" w:color="auto"/>
              <w:left w:val="single" w:sz="4" w:space="0" w:color="auto"/>
              <w:bottom w:val="single" w:sz="4" w:space="0" w:color="auto"/>
              <w:right w:val="single" w:sz="4" w:space="0" w:color="auto"/>
            </w:tcBorders>
            <w:shd w:val="clear" w:color="auto" w:fill="B0E9FF"/>
            <w:vAlign w:val="center"/>
            <w:hideMark/>
          </w:tcPr>
          <w:p w:rsidR="004E530F" w:rsidRPr="006A74F8" w:rsidRDefault="004E530F" w:rsidP="00DB7451">
            <w:pPr>
              <w:spacing w:after="0" w:line="240" w:lineRule="auto"/>
              <w:jc w:val="center"/>
              <w:rPr>
                <w:rFonts w:ascii="Calibri" w:eastAsia="Times New Roman" w:hAnsi="Calibri" w:cs="Calibri"/>
                <w:b/>
                <w:color w:val="000000"/>
                <w:lang w:eastAsia="en-AU"/>
              </w:rPr>
            </w:pPr>
            <w:r w:rsidRPr="006A74F8">
              <w:rPr>
                <w:rFonts w:ascii="Calibri" w:eastAsia="Times New Roman" w:hAnsi="Calibri" w:cs="Calibri"/>
                <w:b/>
                <w:color w:val="000000"/>
                <w:lang w:eastAsia="en-AU"/>
              </w:rPr>
              <w:t>Activity</w:t>
            </w:r>
          </w:p>
        </w:tc>
        <w:tc>
          <w:tcPr>
            <w:tcW w:w="1966" w:type="dxa"/>
            <w:tcBorders>
              <w:top w:val="single" w:sz="4" w:space="0" w:color="auto"/>
              <w:left w:val="nil"/>
              <w:bottom w:val="single" w:sz="4" w:space="0" w:color="auto"/>
              <w:right w:val="single" w:sz="4" w:space="0" w:color="auto"/>
            </w:tcBorders>
            <w:shd w:val="clear" w:color="auto" w:fill="B0E9FF"/>
            <w:vAlign w:val="center"/>
            <w:hideMark/>
          </w:tcPr>
          <w:p w:rsidR="004E530F" w:rsidRPr="006A74F8" w:rsidRDefault="004E530F" w:rsidP="00DB7451">
            <w:pPr>
              <w:spacing w:after="0" w:line="240" w:lineRule="auto"/>
              <w:jc w:val="center"/>
              <w:rPr>
                <w:rFonts w:ascii="Calibri" w:eastAsia="Times New Roman" w:hAnsi="Calibri" w:cs="Calibri"/>
                <w:b/>
                <w:color w:val="000000"/>
                <w:lang w:eastAsia="en-AU"/>
              </w:rPr>
            </w:pPr>
            <w:r w:rsidRPr="006A74F8">
              <w:rPr>
                <w:rFonts w:ascii="Calibri" w:eastAsia="Times New Roman" w:hAnsi="Calibri" w:cs="Calibri"/>
                <w:b/>
                <w:color w:val="000000"/>
                <w:lang w:eastAsia="en-AU"/>
              </w:rPr>
              <w:t>Variable</w:t>
            </w:r>
          </w:p>
        </w:tc>
        <w:tc>
          <w:tcPr>
            <w:tcW w:w="1418" w:type="dxa"/>
            <w:tcBorders>
              <w:top w:val="single" w:sz="4" w:space="0" w:color="auto"/>
              <w:left w:val="nil"/>
              <w:bottom w:val="single" w:sz="4" w:space="0" w:color="auto"/>
              <w:right w:val="single" w:sz="4" w:space="0" w:color="auto"/>
            </w:tcBorders>
            <w:shd w:val="clear" w:color="auto" w:fill="B0E9FF"/>
            <w:noWrap/>
            <w:vAlign w:val="center"/>
            <w:hideMark/>
          </w:tcPr>
          <w:p w:rsidR="004E530F" w:rsidRPr="006A74F8" w:rsidRDefault="004E530F" w:rsidP="00DB7451">
            <w:pPr>
              <w:spacing w:after="0" w:line="240" w:lineRule="auto"/>
              <w:rPr>
                <w:rFonts w:ascii="Calibri" w:eastAsia="Times New Roman" w:hAnsi="Calibri" w:cs="Calibri"/>
                <w:b/>
                <w:color w:val="000000"/>
                <w:lang w:eastAsia="en-AU"/>
              </w:rPr>
            </w:pPr>
            <w:r w:rsidRPr="006A74F8">
              <w:rPr>
                <w:rFonts w:ascii="Calibri" w:eastAsia="Times New Roman" w:hAnsi="Calibri" w:cs="Calibri"/>
                <w:b/>
                <w:color w:val="000000"/>
                <w:lang w:eastAsia="en-AU"/>
              </w:rPr>
              <w:t> </w:t>
            </w:r>
          </w:p>
        </w:tc>
        <w:tc>
          <w:tcPr>
            <w:tcW w:w="4111" w:type="dxa"/>
            <w:tcBorders>
              <w:top w:val="nil"/>
              <w:left w:val="nil"/>
              <w:bottom w:val="single" w:sz="4" w:space="0" w:color="auto"/>
              <w:right w:val="single" w:sz="4" w:space="0" w:color="auto"/>
            </w:tcBorders>
            <w:shd w:val="clear" w:color="auto" w:fill="B0E9FF"/>
            <w:vAlign w:val="center"/>
            <w:hideMark/>
          </w:tcPr>
          <w:p w:rsidR="004E530F" w:rsidRPr="006A74F8" w:rsidRDefault="004E530F" w:rsidP="00DB7451">
            <w:pPr>
              <w:spacing w:after="0" w:line="240" w:lineRule="auto"/>
              <w:rPr>
                <w:rFonts w:ascii="Calibri" w:eastAsia="Times New Roman" w:hAnsi="Calibri" w:cs="Calibri"/>
                <w:b/>
                <w:color w:val="000000"/>
                <w:lang w:eastAsia="en-AU"/>
              </w:rPr>
            </w:pPr>
            <w:r w:rsidRPr="006A74F8">
              <w:rPr>
                <w:rFonts w:ascii="Calibri" w:eastAsia="Times New Roman" w:hAnsi="Calibri" w:cs="Calibri"/>
                <w:b/>
                <w:color w:val="000000"/>
                <w:lang w:eastAsia="en-AU"/>
              </w:rPr>
              <w:t>Data Assumptions and Sources</w:t>
            </w:r>
          </w:p>
        </w:tc>
      </w:tr>
      <w:tr w:rsidR="004E530F" w:rsidRPr="006A74F8" w:rsidTr="00222273">
        <w:trPr>
          <w:trHeight w:val="864"/>
        </w:trPr>
        <w:tc>
          <w:tcPr>
            <w:tcW w:w="143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E530F" w:rsidRPr="006A74F8" w:rsidRDefault="004E530F" w:rsidP="00DB7451">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Packaging requirements</w:t>
            </w:r>
          </w:p>
        </w:tc>
        <w:tc>
          <w:tcPr>
            <w:tcW w:w="1966" w:type="dxa"/>
            <w:tcBorders>
              <w:top w:val="single" w:sz="4" w:space="0" w:color="auto"/>
              <w:left w:val="single" w:sz="4" w:space="0" w:color="auto"/>
              <w:bottom w:val="single" w:sz="4" w:space="0" w:color="auto"/>
              <w:right w:val="nil"/>
            </w:tcBorders>
            <w:shd w:val="clear" w:color="auto" w:fill="FFFFFF" w:themeFill="background1"/>
            <w:hideMark/>
          </w:tcPr>
          <w:p w:rsidR="004E530F" w:rsidRPr="006A74F8" w:rsidRDefault="004E530F" w:rsidP="00DB7451">
            <w:pPr>
              <w:spacing w:after="0" w:line="240" w:lineRule="auto"/>
              <w:rPr>
                <w:rFonts w:ascii="Calibri" w:eastAsia="Times New Roman" w:hAnsi="Calibri" w:cs="Calibri"/>
                <w:color w:val="000000"/>
                <w:lang w:eastAsia="en-AU"/>
              </w:rPr>
            </w:pPr>
            <w:r w:rsidRPr="006A74F8">
              <w:t>No. of businesses affected</w:t>
            </w:r>
          </w:p>
        </w:tc>
        <w:tc>
          <w:tcPr>
            <w:tcW w:w="1418" w:type="dxa"/>
            <w:tcBorders>
              <w:top w:val="nil"/>
              <w:left w:val="single" w:sz="4" w:space="0" w:color="auto"/>
              <w:bottom w:val="single" w:sz="4" w:space="0" w:color="auto"/>
              <w:right w:val="single" w:sz="4" w:space="0" w:color="auto"/>
            </w:tcBorders>
            <w:shd w:val="clear" w:color="auto" w:fill="auto"/>
            <w:noWrap/>
            <w:hideMark/>
          </w:tcPr>
          <w:p w:rsidR="004E530F" w:rsidRPr="006A74F8" w:rsidRDefault="004E530F" w:rsidP="00DB7451">
            <w:pPr>
              <w:spacing w:after="0" w:line="240" w:lineRule="auto"/>
              <w:jc w:val="center"/>
              <w:rPr>
                <w:rFonts w:ascii="Calibri" w:eastAsia="Times New Roman" w:hAnsi="Calibri" w:cs="Calibri"/>
                <w:color w:val="000000"/>
                <w:lang w:eastAsia="en-AU"/>
              </w:rPr>
            </w:pPr>
            <w:r w:rsidRPr="006A74F8">
              <w:t>74,620</w:t>
            </w:r>
          </w:p>
        </w:tc>
        <w:tc>
          <w:tcPr>
            <w:tcW w:w="4111" w:type="dxa"/>
            <w:tcBorders>
              <w:top w:val="nil"/>
              <w:left w:val="nil"/>
              <w:bottom w:val="single" w:sz="4" w:space="0" w:color="auto"/>
              <w:right w:val="single" w:sz="4" w:space="0" w:color="auto"/>
            </w:tcBorders>
            <w:shd w:val="clear" w:color="auto" w:fill="auto"/>
            <w:vAlign w:val="center"/>
            <w:hideMark/>
          </w:tcPr>
          <w:p w:rsidR="004E530F" w:rsidRPr="006A74F8" w:rsidRDefault="004E530F" w:rsidP="00DB7451">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Number of businesses with packaged products calculated based ABS Cat. 8155.0 Australian Industry, 2018-19</w:t>
            </w:r>
            <w:r w:rsidRPr="006A74F8">
              <w:rPr>
                <w:rStyle w:val="FootnoteReference"/>
                <w:rFonts w:eastAsia="Times New Roman" w:cs="Calibri"/>
                <w:color w:val="000000"/>
                <w:lang w:eastAsia="en-AU"/>
              </w:rPr>
              <w:footnoteReference w:id="182"/>
            </w:r>
            <w:r w:rsidR="009B437D" w:rsidRPr="006A74F8">
              <w:rPr>
                <w:rFonts w:ascii="Calibri" w:eastAsia="Times New Roman" w:hAnsi="Calibri" w:cs="Calibri"/>
                <w:color w:val="000000"/>
                <w:lang w:eastAsia="en-AU"/>
              </w:rPr>
              <w:t xml:space="preserve"> </w:t>
            </w:r>
            <w:r w:rsidRPr="006A74F8">
              <w:rPr>
                <w:rFonts w:ascii="Calibri" w:eastAsia="Times New Roman" w:hAnsi="Calibri" w:cs="Calibri"/>
                <w:color w:val="000000"/>
                <w:lang w:eastAsia="en-AU"/>
              </w:rPr>
              <w:t>selected ANZIC codes and NMI data</w:t>
            </w:r>
          </w:p>
        </w:tc>
      </w:tr>
      <w:tr w:rsidR="004E530F" w:rsidRPr="006A74F8" w:rsidTr="00222273">
        <w:trPr>
          <w:trHeight w:val="576"/>
        </w:trPr>
        <w:tc>
          <w:tcPr>
            <w:tcW w:w="1431"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E530F" w:rsidRPr="006A74F8" w:rsidRDefault="004E530F" w:rsidP="00DB7451">
            <w:pPr>
              <w:spacing w:after="0" w:line="240" w:lineRule="auto"/>
              <w:rPr>
                <w:rFonts w:ascii="Calibri" w:eastAsia="Times New Roman" w:hAnsi="Calibri" w:cs="Calibri"/>
                <w:color w:val="000000"/>
                <w:lang w:eastAsia="en-AU"/>
              </w:rPr>
            </w:pPr>
          </w:p>
        </w:tc>
        <w:tc>
          <w:tcPr>
            <w:tcW w:w="1966" w:type="dxa"/>
            <w:tcBorders>
              <w:top w:val="nil"/>
              <w:left w:val="single" w:sz="4" w:space="0" w:color="auto"/>
              <w:bottom w:val="single" w:sz="4" w:space="0" w:color="auto"/>
              <w:right w:val="nil"/>
            </w:tcBorders>
            <w:shd w:val="clear" w:color="auto" w:fill="FFFFFF" w:themeFill="background1"/>
            <w:hideMark/>
          </w:tcPr>
          <w:p w:rsidR="004E530F" w:rsidRPr="006A74F8" w:rsidRDefault="004E530F" w:rsidP="00DB7451">
            <w:pPr>
              <w:spacing w:after="0" w:line="240" w:lineRule="auto"/>
              <w:rPr>
                <w:rFonts w:ascii="Calibri" w:eastAsia="Times New Roman" w:hAnsi="Calibri" w:cs="Calibri"/>
                <w:color w:val="000000"/>
                <w:lang w:eastAsia="en-AU"/>
              </w:rPr>
            </w:pPr>
            <w:r w:rsidRPr="006A74F8">
              <w:t>Number of staff performing the activity at each packer</w:t>
            </w:r>
          </w:p>
        </w:tc>
        <w:tc>
          <w:tcPr>
            <w:tcW w:w="1418" w:type="dxa"/>
            <w:tcBorders>
              <w:top w:val="nil"/>
              <w:left w:val="single" w:sz="4" w:space="0" w:color="auto"/>
              <w:bottom w:val="single" w:sz="4" w:space="0" w:color="auto"/>
              <w:right w:val="single" w:sz="4" w:space="0" w:color="auto"/>
            </w:tcBorders>
            <w:shd w:val="clear" w:color="auto" w:fill="auto"/>
            <w:noWrap/>
            <w:hideMark/>
          </w:tcPr>
          <w:p w:rsidR="004E530F" w:rsidRPr="006A74F8" w:rsidRDefault="004E530F" w:rsidP="00DB7451">
            <w:pPr>
              <w:spacing w:after="0" w:line="240" w:lineRule="auto"/>
              <w:jc w:val="center"/>
              <w:rPr>
                <w:rFonts w:ascii="Calibri" w:eastAsia="Times New Roman" w:hAnsi="Calibri" w:cs="Calibri"/>
                <w:color w:val="000000"/>
                <w:lang w:eastAsia="en-AU"/>
              </w:rPr>
            </w:pPr>
            <w:r w:rsidRPr="006A74F8">
              <w:t>1</w:t>
            </w:r>
          </w:p>
        </w:tc>
        <w:tc>
          <w:tcPr>
            <w:tcW w:w="4111" w:type="dxa"/>
            <w:tcBorders>
              <w:top w:val="nil"/>
              <w:left w:val="nil"/>
              <w:bottom w:val="single" w:sz="4" w:space="0" w:color="auto"/>
              <w:right w:val="single" w:sz="4" w:space="0" w:color="auto"/>
            </w:tcBorders>
            <w:shd w:val="clear" w:color="auto" w:fill="auto"/>
            <w:hideMark/>
          </w:tcPr>
          <w:p w:rsidR="004E530F" w:rsidRPr="006A74F8" w:rsidRDefault="004E530F" w:rsidP="00DB7451">
            <w:pPr>
              <w:spacing w:after="0" w:line="240" w:lineRule="auto"/>
              <w:rPr>
                <w:rFonts w:ascii="Calibri" w:eastAsia="Times New Roman" w:hAnsi="Calibri" w:cs="Calibri"/>
                <w:color w:val="000000"/>
                <w:lang w:eastAsia="en-AU"/>
              </w:rPr>
            </w:pPr>
            <w:r w:rsidRPr="006A74F8">
              <w:t xml:space="preserve">Assumed </w:t>
            </w:r>
            <w:r w:rsidR="009B437D" w:rsidRPr="006A74F8">
              <w:t>one</w:t>
            </w:r>
            <w:r w:rsidRPr="006A74F8">
              <w:t xml:space="preserve"> compliance persons responsible for reporting spending half their time on the activity</w:t>
            </w:r>
          </w:p>
        </w:tc>
      </w:tr>
      <w:tr w:rsidR="004E530F" w:rsidRPr="006A74F8" w:rsidTr="00222273">
        <w:trPr>
          <w:trHeight w:val="1152"/>
        </w:trPr>
        <w:tc>
          <w:tcPr>
            <w:tcW w:w="1431"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E530F" w:rsidRPr="006A74F8" w:rsidRDefault="004E530F" w:rsidP="00DB7451">
            <w:pPr>
              <w:spacing w:after="0" w:line="240" w:lineRule="auto"/>
              <w:rPr>
                <w:rFonts w:ascii="Calibri" w:eastAsia="Times New Roman" w:hAnsi="Calibri" w:cs="Calibri"/>
                <w:color w:val="000000"/>
                <w:lang w:eastAsia="en-AU"/>
              </w:rPr>
            </w:pPr>
          </w:p>
        </w:tc>
        <w:tc>
          <w:tcPr>
            <w:tcW w:w="1966" w:type="dxa"/>
            <w:tcBorders>
              <w:top w:val="single" w:sz="4" w:space="0" w:color="auto"/>
              <w:left w:val="nil"/>
              <w:bottom w:val="single" w:sz="4" w:space="0" w:color="auto"/>
              <w:right w:val="single" w:sz="4" w:space="0" w:color="auto"/>
            </w:tcBorders>
            <w:shd w:val="clear" w:color="auto" w:fill="FFFFFF" w:themeFill="background1"/>
            <w:hideMark/>
          </w:tcPr>
          <w:p w:rsidR="004E530F" w:rsidRPr="006A74F8" w:rsidRDefault="004E530F" w:rsidP="00DB7451">
            <w:pPr>
              <w:spacing w:after="0" w:line="240" w:lineRule="auto"/>
              <w:rPr>
                <w:rFonts w:ascii="Calibri" w:eastAsia="Times New Roman" w:hAnsi="Calibri" w:cs="Calibri"/>
                <w:color w:val="000000"/>
                <w:lang w:eastAsia="en-AU"/>
              </w:rPr>
            </w:pPr>
            <w:r w:rsidRPr="006A74F8">
              <w:t>Number of times activity performed per year</w:t>
            </w:r>
          </w:p>
        </w:tc>
        <w:tc>
          <w:tcPr>
            <w:tcW w:w="1418" w:type="dxa"/>
            <w:tcBorders>
              <w:top w:val="nil"/>
              <w:left w:val="nil"/>
              <w:bottom w:val="single" w:sz="4" w:space="0" w:color="auto"/>
              <w:right w:val="single" w:sz="4" w:space="0" w:color="auto"/>
            </w:tcBorders>
            <w:shd w:val="clear" w:color="auto" w:fill="auto"/>
            <w:noWrap/>
            <w:hideMark/>
          </w:tcPr>
          <w:p w:rsidR="004E530F" w:rsidRPr="006A74F8" w:rsidRDefault="004E530F" w:rsidP="00DB7451">
            <w:pPr>
              <w:spacing w:after="0" w:line="240" w:lineRule="auto"/>
              <w:jc w:val="center"/>
              <w:rPr>
                <w:rFonts w:ascii="Calibri" w:eastAsia="Times New Roman" w:hAnsi="Calibri" w:cs="Calibri"/>
                <w:color w:val="000000"/>
                <w:lang w:eastAsia="en-AU"/>
              </w:rPr>
            </w:pPr>
            <w:r w:rsidRPr="006A74F8">
              <w:t>1</w:t>
            </w:r>
          </w:p>
        </w:tc>
        <w:tc>
          <w:tcPr>
            <w:tcW w:w="4111" w:type="dxa"/>
            <w:tcBorders>
              <w:top w:val="nil"/>
              <w:left w:val="nil"/>
              <w:bottom w:val="single" w:sz="4" w:space="0" w:color="auto"/>
              <w:right w:val="single" w:sz="4" w:space="0" w:color="auto"/>
            </w:tcBorders>
            <w:shd w:val="clear" w:color="auto" w:fill="auto"/>
            <w:hideMark/>
          </w:tcPr>
          <w:p w:rsidR="004E530F" w:rsidRPr="006A74F8" w:rsidRDefault="004E530F" w:rsidP="00DB7451">
            <w:pPr>
              <w:spacing w:after="0" w:line="240" w:lineRule="auto"/>
              <w:rPr>
                <w:rFonts w:ascii="Calibri" w:eastAsia="Times New Roman" w:hAnsi="Calibri" w:cs="Calibri"/>
                <w:lang w:eastAsia="en-AU"/>
              </w:rPr>
            </w:pPr>
            <w:r w:rsidRPr="006A74F8">
              <w:t>Average number times the business will report when there is new product line or change in product line (less for small business and more for larger business).</w:t>
            </w:r>
          </w:p>
        </w:tc>
      </w:tr>
      <w:tr w:rsidR="004E530F" w:rsidRPr="006A74F8" w:rsidTr="00222273">
        <w:trPr>
          <w:trHeight w:val="651"/>
        </w:trPr>
        <w:tc>
          <w:tcPr>
            <w:tcW w:w="1431" w:type="dxa"/>
            <w:tcBorders>
              <w:top w:val="nil"/>
              <w:left w:val="single" w:sz="4" w:space="0" w:color="auto"/>
              <w:bottom w:val="nil"/>
              <w:right w:val="single" w:sz="4" w:space="0" w:color="auto"/>
            </w:tcBorders>
            <w:shd w:val="clear" w:color="auto" w:fill="D9D9D9" w:themeFill="background1" w:themeFillShade="D9"/>
            <w:vAlign w:val="center"/>
            <w:hideMark/>
          </w:tcPr>
          <w:p w:rsidR="004E530F" w:rsidRPr="006A74F8" w:rsidRDefault="004E530F" w:rsidP="00DB7451">
            <w:pPr>
              <w:spacing w:after="0" w:line="240" w:lineRule="auto"/>
              <w:jc w:val="center"/>
              <w:rPr>
                <w:rFonts w:ascii="Calibri" w:eastAsia="Times New Roman" w:hAnsi="Calibri" w:cs="Calibri"/>
                <w:b/>
                <w:color w:val="000000"/>
                <w:lang w:eastAsia="en-AU"/>
              </w:rPr>
            </w:pPr>
            <w:r w:rsidRPr="006A74F8">
              <w:rPr>
                <w:rFonts w:ascii="Calibri" w:eastAsia="Times New Roman" w:hAnsi="Calibri" w:cs="Calibri"/>
                <w:b/>
                <w:color w:val="000000"/>
                <w:lang w:eastAsia="en-AU"/>
              </w:rPr>
              <w:t> </w:t>
            </w:r>
          </w:p>
        </w:tc>
        <w:tc>
          <w:tcPr>
            <w:tcW w:w="1966" w:type="dxa"/>
            <w:tcBorders>
              <w:top w:val="nil"/>
              <w:left w:val="nil"/>
              <w:bottom w:val="single" w:sz="4" w:space="0" w:color="auto"/>
              <w:right w:val="single" w:sz="4" w:space="0" w:color="auto"/>
            </w:tcBorders>
            <w:shd w:val="clear" w:color="auto" w:fill="FFFFFF" w:themeFill="background1"/>
            <w:hideMark/>
          </w:tcPr>
          <w:p w:rsidR="004E530F" w:rsidRPr="006A74F8" w:rsidRDefault="004E530F" w:rsidP="00DB7451">
            <w:pPr>
              <w:spacing w:after="0" w:line="240" w:lineRule="auto"/>
              <w:rPr>
                <w:rFonts w:ascii="Calibri" w:eastAsia="Times New Roman" w:hAnsi="Calibri" w:cs="Calibri"/>
                <w:color w:val="000000"/>
                <w:lang w:eastAsia="en-AU"/>
              </w:rPr>
            </w:pPr>
            <w:r w:rsidRPr="006A74F8">
              <w:t>Avg. time of each staff to do activity (in hours)</w:t>
            </w:r>
          </w:p>
        </w:tc>
        <w:tc>
          <w:tcPr>
            <w:tcW w:w="1418" w:type="dxa"/>
            <w:tcBorders>
              <w:top w:val="nil"/>
              <w:left w:val="nil"/>
              <w:bottom w:val="single" w:sz="4" w:space="0" w:color="auto"/>
              <w:right w:val="single" w:sz="4" w:space="0" w:color="auto"/>
            </w:tcBorders>
            <w:shd w:val="clear" w:color="auto" w:fill="auto"/>
            <w:noWrap/>
            <w:hideMark/>
          </w:tcPr>
          <w:p w:rsidR="004E530F" w:rsidRPr="006A74F8" w:rsidRDefault="004E530F" w:rsidP="00DB7451">
            <w:pPr>
              <w:spacing w:after="0" w:line="240" w:lineRule="auto"/>
              <w:jc w:val="center"/>
              <w:rPr>
                <w:rFonts w:ascii="Calibri" w:eastAsia="Times New Roman" w:hAnsi="Calibri" w:cs="Calibri"/>
                <w:color w:val="000000"/>
                <w:lang w:eastAsia="en-AU"/>
              </w:rPr>
            </w:pPr>
            <w:r w:rsidRPr="006A74F8">
              <w:t>1.5</w:t>
            </w:r>
          </w:p>
        </w:tc>
        <w:tc>
          <w:tcPr>
            <w:tcW w:w="4111" w:type="dxa"/>
            <w:tcBorders>
              <w:top w:val="nil"/>
              <w:left w:val="nil"/>
              <w:bottom w:val="single" w:sz="4" w:space="0" w:color="auto"/>
              <w:right w:val="single" w:sz="4" w:space="0" w:color="auto"/>
            </w:tcBorders>
            <w:shd w:val="clear" w:color="auto" w:fill="auto"/>
            <w:hideMark/>
          </w:tcPr>
          <w:p w:rsidR="004E530F" w:rsidRPr="006A74F8" w:rsidRDefault="004E530F" w:rsidP="00DB7451">
            <w:pPr>
              <w:spacing w:after="0" w:line="240" w:lineRule="auto"/>
              <w:rPr>
                <w:rFonts w:ascii="Calibri" w:eastAsia="Times New Roman" w:hAnsi="Calibri" w:cs="Calibri"/>
                <w:color w:val="000000"/>
                <w:lang w:eastAsia="en-AU"/>
              </w:rPr>
            </w:pPr>
            <w:r w:rsidRPr="006A74F8">
              <w:t xml:space="preserve">Assumed </w:t>
            </w:r>
            <w:r w:rsidR="00464E16" w:rsidRPr="006A74F8">
              <w:t>one</w:t>
            </w:r>
            <w:r w:rsidRPr="006A74F8">
              <w:t xml:space="preserve"> compliance persons responsible for reporting spending half their time on the activity</w:t>
            </w:r>
          </w:p>
        </w:tc>
      </w:tr>
      <w:tr w:rsidR="004E530F" w:rsidRPr="006A74F8" w:rsidTr="00222273">
        <w:trPr>
          <w:trHeight w:val="576"/>
        </w:trPr>
        <w:tc>
          <w:tcPr>
            <w:tcW w:w="143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E530F" w:rsidRPr="006A74F8" w:rsidRDefault="004E530F" w:rsidP="00DB7451">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 </w:t>
            </w:r>
          </w:p>
        </w:tc>
        <w:tc>
          <w:tcPr>
            <w:tcW w:w="1966" w:type="dxa"/>
            <w:tcBorders>
              <w:top w:val="single" w:sz="4" w:space="0" w:color="auto"/>
              <w:left w:val="single" w:sz="4" w:space="0" w:color="auto"/>
              <w:bottom w:val="single" w:sz="4" w:space="0" w:color="auto"/>
              <w:right w:val="nil"/>
            </w:tcBorders>
            <w:shd w:val="clear" w:color="auto" w:fill="FFFFFF" w:themeFill="background1"/>
            <w:hideMark/>
          </w:tcPr>
          <w:p w:rsidR="004E530F" w:rsidRPr="006A74F8" w:rsidRDefault="004E530F" w:rsidP="00C60560">
            <w:pPr>
              <w:spacing w:after="0" w:line="240" w:lineRule="auto"/>
              <w:rPr>
                <w:rFonts w:ascii="Calibri" w:eastAsia="Times New Roman" w:hAnsi="Calibri" w:cs="Calibri"/>
                <w:color w:val="000000"/>
                <w:lang w:eastAsia="en-AU"/>
              </w:rPr>
            </w:pPr>
            <w:r w:rsidRPr="006A74F8">
              <w:t>Labour cost ($/hr) (wage + non-wage labour costs)</w:t>
            </w:r>
          </w:p>
        </w:tc>
        <w:tc>
          <w:tcPr>
            <w:tcW w:w="1418" w:type="dxa"/>
            <w:tcBorders>
              <w:top w:val="nil"/>
              <w:left w:val="single" w:sz="4" w:space="0" w:color="auto"/>
              <w:bottom w:val="single" w:sz="4" w:space="0" w:color="auto"/>
              <w:right w:val="single" w:sz="4" w:space="0" w:color="auto"/>
            </w:tcBorders>
            <w:shd w:val="clear" w:color="auto" w:fill="auto"/>
            <w:noWrap/>
            <w:hideMark/>
          </w:tcPr>
          <w:p w:rsidR="004E530F" w:rsidRPr="006A74F8" w:rsidRDefault="004E530F" w:rsidP="00DB7451">
            <w:pPr>
              <w:spacing w:after="0" w:line="240" w:lineRule="auto"/>
              <w:jc w:val="center"/>
              <w:rPr>
                <w:rFonts w:ascii="Calibri" w:eastAsia="Times New Roman" w:hAnsi="Calibri" w:cs="Calibri"/>
                <w:color w:val="000000"/>
                <w:lang w:eastAsia="en-AU"/>
              </w:rPr>
            </w:pPr>
            <w:r w:rsidRPr="006A74F8">
              <w:t>$72.63</w:t>
            </w:r>
          </w:p>
        </w:tc>
        <w:tc>
          <w:tcPr>
            <w:tcW w:w="4111" w:type="dxa"/>
            <w:tcBorders>
              <w:top w:val="nil"/>
              <w:left w:val="nil"/>
              <w:bottom w:val="single" w:sz="4" w:space="0" w:color="auto"/>
              <w:right w:val="single" w:sz="4" w:space="0" w:color="auto"/>
            </w:tcBorders>
            <w:shd w:val="clear" w:color="auto" w:fill="auto"/>
            <w:vAlign w:val="center"/>
            <w:hideMark/>
          </w:tcPr>
          <w:p w:rsidR="004E530F" w:rsidRPr="006A74F8" w:rsidRDefault="004E530F" w:rsidP="00DB7451">
            <w:pPr>
              <w:spacing w:after="0" w:line="240" w:lineRule="auto"/>
              <w:rPr>
                <w:rFonts w:ascii="Calibri" w:eastAsia="Times New Roman" w:hAnsi="Calibri" w:cs="Calibri"/>
                <w:lang w:eastAsia="en-AU"/>
              </w:rPr>
            </w:pPr>
            <w:r w:rsidRPr="006A74F8">
              <w:rPr>
                <w:rFonts w:ascii="Calibri" w:eastAsia="Times New Roman" w:hAnsi="Calibri" w:cs="Calibri"/>
                <w:lang w:eastAsia="en-AU"/>
              </w:rPr>
              <w:t>Based on the ABS Cat 6306.0</w:t>
            </w:r>
            <w:r w:rsidRPr="006A74F8">
              <w:rPr>
                <w:rStyle w:val="FootnoteReference"/>
                <w:rFonts w:eastAsia="Times New Roman" w:cs="Calibri"/>
                <w:sz w:val="18"/>
                <w:szCs w:val="18"/>
                <w:lang w:eastAsia="en-AU"/>
              </w:rPr>
              <w:footnoteReference w:id="183"/>
            </w:r>
            <w:r w:rsidRPr="006A74F8">
              <w:rPr>
                <w:rFonts w:ascii="Calibri" w:eastAsia="Times New Roman" w:hAnsi="Calibri" w:cs="Calibri"/>
                <w:sz w:val="18"/>
                <w:szCs w:val="18"/>
                <w:lang w:eastAsia="en-AU"/>
              </w:rPr>
              <w:t xml:space="preserve"> </w:t>
            </w:r>
            <w:r w:rsidRPr="006A74F8">
              <w:rPr>
                <w:rFonts w:ascii="Calibri" w:eastAsia="Times New Roman" w:hAnsi="Calibri" w:cs="Calibri"/>
                <w:lang w:eastAsia="en-AU"/>
              </w:rPr>
              <w:t>average weekly earnings for manufacturers wage including 1.75 multiplier for on-costs</w:t>
            </w:r>
          </w:p>
        </w:tc>
      </w:tr>
      <w:tr w:rsidR="004E530F" w:rsidRPr="006A74F8" w:rsidTr="00222273">
        <w:trPr>
          <w:trHeight w:val="288"/>
        </w:trPr>
        <w:tc>
          <w:tcPr>
            <w:tcW w:w="14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E530F" w:rsidRPr="006A74F8" w:rsidRDefault="004E530F" w:rsidP="00DB7451">
            <w:pPr>
              <w:spacing w:after="0" w:line="240" w:lineRule="auto"/>
              <w:rPr>
                <w:rFonts w:ascii="Calibri" w:eastAsia="Times New Roman" w:hAnsi="Calibri" w:cs="Calibri"/>
                <w:color w:val="000000"/>
                <w:lang w:eastAsia="en-AU"/>
              </w:rPr>
            </w:pPr>
          </w:p>
        </w:tc>
        <w:tc>
          <w:tcPr>
            <w:tcW w:w="1966" w:type="dxa"/>
            <w:tcBorders>
              <w:top w:val="nil"/>
              <w:left w:val="single" w:sz="4" w:space="0" w:color="auto"/>
              <w:bottom w:val="single" w:sz="4" w:space="0" w:color="auto"/>
              <w:right w:val="nil"/>
            </w:tcBorders>
            <w:shd w:val="clear" w:color="auto" w:fill="FFFFFF" w:themeFill="background1"/>
            <w:hideMark/>
          </w:tcPr>
          <w:p w:rsidR="004E530F" w:rsidRPr="006A74F8" w:rsidRDefault="004E530F" w:rsidP="00DB7451">
            <w:pPr>
              <w:spacing w:after="0" w:line="240" w:lineRule="auto"/>
              <w:rPr>
                <w:rFonts w:ascii="Calibri" w:eastAsia="Times New Roman" w:hAnsi="Calibri" w:cs="Calibri"/>
                <w:b/>
                <w:color w:val="000000"/>
                <w:lang w:eastAsia="en-AU"/>
              </w:rPr>
            </w:pPr>
            <w:r w:rsidRPr="006A74F8">
              <w:rPr>
                <w:b/>
              </w:rPr>
              <w:t xml:space="preserve">Cost of Activity = </w:t>
            </w:r>
          </w:p>
        </w:tc>
        <w:tc>
          <w:tcPr>
            <w:tcW w:w="1418" w:type="dxa"/>
            <w:tcBorders>
              <w:top w:val="nil"/>
              <w:left w:val="single" w:sz="4" w:space="0" w:color="auto"/>
              <w:bottom w:val="single" w:sz="4" w:space="0" w:color="auto"/>
              <w:right w:val="single" w:sz="4" w:space="0" w:color="auto"/>
            </w:tcBorders>
            <w:shd w:val="clear" w:color="auto" w:fill="auto"/>
            <w:noWrap/>
            <w:hideMark/>
          </w:tcPr>
          <w:p w:rsidR="004E530F" w:rsidRPr="006A74F8" w:rsidRDefault="004E530F" w:rsidP="00DB7451">
            <w:pPr>
              <w:spacing w:after="0" w:line="240" w:lineRule="auto"/>
              <w:jc w:val="center"/>
              <w:rPr>
                <w:rFonts w:ascii="Calibri" w:eastAsia="Times New Roman" w:hAnsi="Calibri" w:cs="Calibri"/>
                <w:b/>
                <w:color w:val="000000"/>
                <w:lang w:eastAsia="en-AU"/>
              </w:rPr>
            </w:pPr>
            <w:r w:rsidRPr="006A74F8">
              <w:rPr>
                <w:b/>
              </w:rPr>
              <w:t>$8,128,889</w:t>
            </w:r>
          </w:p>
        </w:tc>
        <w:tc>
          <w:tcPr>
            <w:tcW w:w="4111" w:type="dxa"/>
            <w:tcBorders>
              <w:top w:val="nil"/>
              <w:left w:val="nil"/>
              <w:bottom w:val="single" w:sz="4" w:space="0" w:color="auto"/>
              <w:right w:val="single" w:sz="4" w:space="0" w:color="auto"/>
            </w:tcBorders>
            <w:shd w:val="clear" w:color="auto" w:fill="auto"/>
            <w:vAlign w:val="center"/>
            <w:hideMark/>
          </w:tcPr>
          <w:p w:rsidR="004E530F" w:rsidRPr="006A74F8" w:rsidRDefault="004E530F" w:rsidP="00DB7451">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 </w:t>
            </w:r>
          </w:p>
        </w:tc>
      </w:tr>
    </w:tbl>
    <w:p w:rsidR="004E530F" w:rsidRPr="006A74F8" w:rsidRDefault="00464E16" w:rsidP="00464E16">
      <w:pPr>
        <w:pStyle w:val="Heading2"/>
        <w:spacing w:before="240"/>
      </w:pPr>
      <w:bookmarkStart w:id="2902" w:name="_Toc67390639"/>
      <w:r w:rsidRPr="006A74F8">
        <w:t xml:space="preserve"> </w:t>
      </w:r>
      <w:r w:rsidR="004E530F" w:rsidRPr="006A74F8">
        <w:t>Reductions in regulatory burden</w:t>
      </w:r>
      <w:bookmarkEnd w:id="2902"/>
    </w:p>
    <w:p w:rsidR="004E530F" w:rsidRPr="006A74F8" w:rsidRDefault="004E530F" w:rsidP="004E530F">
      <w:r w:rsidRPr="006A74F8">
        <w:t xml:space="preserve">The scenarios below illustrate potential time savings from </w:t>
      </w:r>
      <w:r w:rsidR="0015603E" w:rsidRPr="006A74F8">
        <w:t xml:space="preserve">the </w:t>
      </w:r>
      <w:r w:rsidRPr="006A74F8">
        <w:t>simplification of regulatory requirements based on assumed time savings of 30</w:t>
      </w:r>
      <w:r w:rsidR="00B1255E" w:rsidRPr="006A74F8">
        <w:t xml:space="preserve"> </w:t>
      </w:r>
      <w:r w:rsidRPr="006A74F8">
        <w:t>min</w:t>
      </w:r>
      <w:r w:rsidR="00AE6B02">
        <w:t>ute</w:t>
      </w:r>
      <w:r w:rsidRPr="006A74F8">
        <w:t xml:space="preserve"> and one hour</w:t>
      </w:r>
      <w:r w:rsidR="00C60560" w:rsidRPr="006A74F8">
        <w:t>.</w:t>
      </w:r>
    </w:p>
    <w:p w:rsidR="00426A6A" w:rsidRPr="006A74F8" w:rsidRDefault="00426A6A" w:rsidP="001F2D47">
      <w:pPr>
        <w:pStyle w:val="Caption"/>
        <w:keepNext/>
      </w:pPr>
      <w:r w:rsidRPr="006A74F8">
        <w:t>Table A1</w:t>
      </w:r>
      <w:r w:rsidR="00B1255E" w:rsidRPr="006A74F8">
        <w:t>0</w:t>
      </w:r>
      <w:r w:rsidRPr="006A74F8">
        <w:t xml:space="preserve">- </w:t>
      </w:r>
      <w:r w:rsidR="00517AFF" w:rsidRPr="006A74F8">
        <w:rPr>
          <w:noProof/>
        </w:rPr>
        <w:fldChar w:fldCharType="begin"/>
      </w:r>
      <w:r w:rsidR="00517AFF" w:rsidRPr="006A74F8">
        <w:rPr>
          <w:noProof/>
        </w:rPr>
        <w:instrText xml:space="preserve"> SEQ Table_A11- \* ARABIC </w:instrText>
      </w:r>
      <w:r w:rsidR="00517AFF" w:rsidRPr="006A74F8">
        <w:rPr>
          <w:noProof/>
        </w:rPr>
        <w:fldChar w:fldCharType="separate"/>
      </w:r>
      <w:r w:rsidR="0033017F">
        <w:rPr>
          <w:noProof/>
        </w:rPr>
        <w:t>3</w:t>
      </w:r>
      <w:r w:rsidR="00517AFF" w:rsidRPr="006A74F8">
        <w:rPr>
          <w:noProof/>
        </w:rPr>
        <w:fldChar w:fldCharType="end"/>
      </w:r>
      <w:r w:rsidRPr="006A74F8">
        <w:t>: Reform savings scenarios for the manufacturing sector</w:t>
      </w:r>
    </w:p>
    <w:tbl>
      <w:tblPr>
        <w:tblStyle w:val="TableGrid"/>
        <w:tblW w:w="8967" w:type="dxa"/>
        <w:jc w:val="center"/>
        <w:tblLook w:val="04A0" w:firstRow="1" w:lastRow="0" w:firstColumn="1" w:lastColumn="0" w:noHBand="0" w:noVBand="1"/>
        <w:tblCaption w:val="Reform savings scenarios for the manufacturing sector"/>
        <w:tblDescription w:val="The table provides an overview of the savings from reforms under different scenarios. "/>
      </w:tblPr>
      <w:tblGrid>
        <w:gridCol w:w="4579"/>
        <w:gridCol w:w="1496"/>
        <w:gridCol w:w="1496"/>
        <w:gridCol w:w="1396"/>
      </w:tblGrid>
      <w:tr w:rsidR="004E530F" w:rsidRPr="006A74F8" w:rsidTr="00320404">
        <w:trPr>
          <w:trHeight w:val="288"/>
          <w:tblHeader/>
          <w:jc w:val="center"/>
        </w:trPr>
        <w:tc>
          <w:tcPr>
            <w:tcW w:w="4579" w:type="dxa"/>
            <w:shd w:val="clear" w:color="auto" w:fill="1F3864"/>
            <w:noWrap/>
            <w:hideMark/>
          </w:tcPr>
          <w:p w:rsidR="004E530F" w:rsidRPr="006A74F8" w:rsidRDefault="00C60560" w:rsidP="00DB7451">
            <w:r w:rsidRPr="006A74F8">
              <w:rPr>
                <w:b/>
              </w:rPr>
              <w:t>Reform savings scenarios for the manufacturing sector</w:t>
            </w:r>
          </w:p>
        </w:tc>
        <w:tc>
          <w:tcPr>
            <w:tcW w:w="1496" w:type="dxa"/>
            <w:shd w:val="clear" w:color="auto" w:fill="1F3864"/>
            <w:noWrap/>
            <w:hideMark/>
          </w:tcPr>
          <w:p w:rsidR="004E530F" w:rsidRPr="006A74F8" w:rsidRDefault="004E530F" w:rsidP="00DB7451">
            <w:pPr>
              <w:rPr>
                <w:b/>
              </w:rPr>
            </w:pPr>
            <w:r w:rsidRPr="006A74F8">
              <w:rPr>
                <w:b/>
              </w:rPr>
              <w:t>Status Quo</w:t>
            </w:r>
          </w:p>
        </w:tc>
        <w:tc>
          <w:tcPr>
            <w:tcW w:w="1496" w:type="dxa"/>
            <w:shd w:val="clear" w:color="auto" w:fill="1F3864"/>
            <w:noWrap/>
            <w:hideMark/>
          </w:tcPr>
          <w:p w:rsidR="004E530F" w:rsidRPr="006A74F8" w:rsidRDefault="004E530F" w:rsidP="00DB7451">
            <w:pPr>
              <w:rPr>
                <w:b/>
              </w:rPr>
            </w:pPr>
            <w:r w:rsidRPr="006A74F8">
              <w:rPr>
                <w:b/>
              </w:rPr>
              <w:t>Scenario 1</w:t>
            </w:r>
          </w:p>
        </w:tc>
        <w:tc>
          <w:tcPr>
            <w:tcW w:w="1396" w:type="dxa"/>
            <w:shd w:val="clear" w:color="auto" w:fill="1F3864"/>
            <w:noWrap/>
            <w:hideMark/>
          </w:tcPr>
          <w:p w:rsidR="004E530F" w:rsidRPr="006A74F8" w:rsidRDefault="004E530F" w:rsidP="00DB7451">
            <w:pPr>
              <w:rPr>
                <w:b/>
              </w:rPr>
            </w:pPr>
            <w:r w:rsidRPr="006A74F8">
              <w:rPr>
                <w:b/>
              </w:rPr>
              <w:t>Scenario 2</w:t>
            </w:r>
          </w:p>
        </w:tc>
      </w:tr>
      <w:tr w:rsidR="004E530F" w:rsidRPr="006A74F8" w:rsidTr="00C60560">
        <w:trPr>
          <w:trHeight w:val="288"/>
          <w:jc w:val="center"/>
        </w:trPr>
        <w:tc>
          <w:tcPr>
            <w:tcW w:w="4579" w:type="dxa"/>
            <w:noWrap/>
            <w:hideMark/>
          </w:tcPr>
          <w:p w:rsidR="004E530F" w:rsidRPr="006A74F8" w:rsidRDefault="004E530F" w:rsidP="00DB7451">
            <w:r w:rsidRPr="006A74F8">
              <w:t>Time taken to understand requirements</w:t>
            </w:r>
          </w:p>
        </w:tc>
        <w:tc>
          <w:tcPr>
            <w:tcW w:w="1496" w:type="dxa"/>
            <w:noWrap/>
            <w:hideMark/>
          </w:tcPr>
          <w:p w:rsidR="004E530F" w:rsidRPr="006A74F8" w:rsidRDefault="004E530F" w:rsidP="00DB7451">
            <w:pPr>
              <w:jc w:val="center"/>
            </w:pPr>
            <w:r w:rsidRPr="006A74F8">
              <w:t>1.5hrs</w:t>
            </w:r>
          </w:p>
        </w:tc>
        <w:tc>
          <w:tcPr>
            <w:tcW w:w="1496" w:type="dxa"/>
            <w:noWrap/>
            <w:hideMark/>
          </w:tcPr>
          <w:p w:rsidR="004E530F" w:rsidRPr="006A74F8" w:rsidRDefault="004E530F" w:rsidP="00DB7451">
            <w:pPr>
              <w:jc w:val="center"/>
            </w:pPr>
            <w:r w:rsidRPr="006A74F8">
              <w:t>1hr</w:t>
            </w:r>
          </w:p>
        </w:tc>
        <w:tc>
          <w:tcPr>
            <w:tcW w:w="1396" w:type="dxa"/>
            <w:noWrap/>
            <w:hideMark/>
          </w:tcPr>
          <w:p w:rsidR="004E530F" w:rsidRPr="006A74F8" w:rsidRDefault="004E530F" w:rsidP="00DB7451">
            <w:pPr>
              <w:jc w:val="center"/>
            </w:pPr>
            <w:r w:rsidRPr="006A74F8">
              <w:t>0.5hr</w:t>
            </w:r>
          </w:p>
        </w:tc>
      </w:tr>
      <w:tr w:rsidR="004E530F" w:rsidRPr="006A74F8" w:rsidTr="00C60560">
        <w:trPr>
          <w:trHeight w:val="288"/>
          <w:jc w:val="center"/>
        </w:trPr>
        <w:tc>
          <w:tcPr>
            <w:tcW w:w="4579" w:type="dxa"/>
            <w:noWrap/>
            <w:hideMark/>
          </w:tcPr>
          <w:p w:rsidR="004E530F" w:rsidRPr="006A74F8" w:rsidRDefault="004E530F" w:rsidP="00DB7451">
            <w:r w:rsidRPr="006A74F8">
              <w:t>Regulatory burden to manufacturing industry</w:t>
            </w:r>
          </w:p>
        </w:tc>
        <w:tc>
          <w:tcPr>
            <w:tcW w:w="1496" w:type="dxa"/>
            <w:noWrap/>
            <w:hideMark/>
          </w:tcPr>
          <w:p w:rsidR="004E530F" w:rsidRPr="006A74F8" w:rsidRDefault="004E530F" w:rsidP="00DB7451">
            <w:pPr>
              <w:jc w:val="center"/>
            </w:pPr>
            <w:r w:rsidRPr="006A74F8">
              <w:t>$8,128,889</w:t>
            </w:r>
          </w:p>
        </w:tc>
        <w:tc>
          <w:tcPr>
            <w:tcW w:w="1496" w:type="dxa"/>
            <w:noWrap/>
            <w:hideMark/>
          </w:tcPr>
          <w:p w:rsidR="004E530F" w:rsidRPr="006A74F8" w:rsidRDefault="004E530F" w:rsidP="00DB7451">
            <w:pPr>
              <w:jc w:val="center"/>
            </w:pPr>
            <w:r w:rsidRPr="006A74F8">
              <w:t>$5,419,259</w:t>
            </w:r>
          </w:p>
        </w:tc>
        <w:tc>
          <w:tcPr>
            <w:tcW w:w="1396" w:type="dxa"/>
            <w:noWrap/>
            <w:hideMark/>
          </w:tcPr>
          <w:p w:rsidR="004E530F" w:rsidRPr="006A74F8" w:rsidRDefault="004E530F" w:rsidP="00DB7451">
            <w:pPr>
              <w:jc w:val="center"/>
            </w:pPr>
            <w:r w:rsidRPr="006A74F8">
              <w:t xml:space="preserve">$2,709,630 </w:t>
            </w:r>
          </w:p>
        </w:tc>
      </w:tr>
      <w:tr w:rsidR="004E530F" w:rsidRPr="006A74F8" w:rsidTr="00C60560">
        <w:trPr>
          <w:trHeight w:val="288"/>
          <w:jc w:val="center"/>
        </w:trPr>
        <w:tc>
          <w:tcPr>
            <w:tcW w:w="4579" w:type="dxa"/>
            <w:noWrap/>
            <w:hideMark/>
          </w:tcPr>
          <w:p w:rsidR="004E530F" w:rsidRPr="006A74F8" w:rsidRDefault="004E530F" w:rsidP="00DB7451">
            <w:pPr>
              <w:rPr>
                <w:b/>
              </w:rPr>
            </w:pPr>
            <w:r w:rsidRPr="006A74F8">
              <w:rPr>
                <w:b/>
              </w:rPr>
              <w:lastRenderedPageBreak/>
              <w:t>Savings from reform</w:t>
            </w:r>
          </w:p>
        </w:tc>
        <w:tc>
          <w:tcPr>
            <w:tcW w:w="1496" w:type="dxa"/>
            <w:noWrap/>
            <w:hideMark/>
          </w:tcPr>
          <w:p w:rsidR="004E530F" w:rsidRPr="006A74F8" w:rsidRDefault="004E530F" w:rsidP="00DB7451">
            <w:pPr>
              <w:rPr>
                <w:b/>
              </w:rPr>
            </w:pPr>
          </w:p>
        </w:tc>
        <w:tc>
          <w:tcPr>
            <w:tcW w:w="1496" w:type="dxa"/>
            <w:noWrap/>
            <w:hideMark/>
          </w:tcPr>
          <w:p w:rsidR="004E530F" w:rsidRPr="006A74F8" w:rsidRDefault="004E530F" w:rsidP="00DB7451">
            <w:pPr>
              <w:rPr>
                <w:b/>
              </w:rPr>
            </w:pPr>
            <w:r w:rsidRPr="006A74F8">
              <w:rPr>
                <w:b/>
              </w:rPr>
              <w:t xml:space="preserve"> $2,709,630 </w:t>
            </w:r>
          </w:p>
        </w:tc>
        <w:tc>
          <w:tcPr>
            <w:tcW w:w="1396" w:type="dxa"/>
            <w:noWrap/>
            <w:hideMark/>
          </w:tcPr>
          <w:p w:rsidR="004E530F" w:rsidRPr="006A74F8" w:rsidRDefault="004E530F" w:rsidP="00DB7451">
            <w:pPr>
              <w:rPr>
                <w:b/>
              </w:rPr>
            </w:pPr>
            <w:r w:rsidRPr="006A74F8">
              <w:rPr>
                <w:b/>
              </w:rPr>
              <w:t xml:space="preserve"> $5,419,259 </w:t>
            </w:r>
          </w:p>
        </w:tc>
      </w:tr>
    </w:tbl>
    <w:p w:rsidR="00A669C5" w:rsidRPr="006A74F8" w:rsidRDefault="004E530F" w:rsidP="003A53A3">
      <w:pPr>
        <w:spacing w:before="160"/>
      </w:pPr>
      <w:r w:rsidRPr="006A74F8">
        <w:t>A</w:t>
      </w:r>
      <w:r w:rsidR="00A669C5" w:rsidRPr="006A74F8">
        <w:t>n annual</w:t>
      </w:r>
      <w:r w:rsidRPr="006A74F8">
        <w:t xml:space="preserve"> 30</w:t>
      </w:r>
      <w:r w:rsidR="00B1255E" w:rsidRPr="006A74F8">
        <w:t xml:space="preserve"> </w:t>
      </w:r>
      <w:r w:rsidRPr="006A74F8">
        <w:t>min</w:t>
      </w:r>
      <w:r w:rsidR="00AE6B02">
        <w:t>ute</w:t>
      </w:r>
      <w:r w:rsidRPr="006A74F8">
        <w:t xml:space="preserve"> reduction </w:t>
      </w:r>
      <w:r w:rsidR="00A669C5" w:rsidRPr="006A74F8">
        <w:t xml:space="preserve">per business would be estimated to </w:t>
      </w:r>
      <w:r w:rsidRPr="006A74F8">
        <w:t xml:space="preserve">save $2.7m from the status quo and a one hour </w:t>
      </w:r>
      <w:r w:rsidR="00A669C5" w:rsidRPr="006A74F8">
        <w:t>reduction</w:t>
      </w:r>
      <w:r w:rsidRPr="006A74F8">
        <w:t xml:space="preserve"> </w:t>
      </w:r>
      <w:r w:rsidR="00A669C5" w:rsidRPr="006A74F8">
        <w:t xml:space="preserve">would be estimated to save </w:t>
      </w:r>
      <w:r w:rsidRPr="006A74F8">
        <w:t>$5.4m for the total industry.</w:t>
      </w:r>
      <w:r w:rsidR="00A669C5" w:rsidRPr="006A74F8">
        <w:t xml:space="preserve">  </w:t>
      </w:r>
    </w:p>
    <w:p w:rsidR="00A669C5" w:rsidRPr="006A74F8" w:rsidRDefault="00A669C5" w:rsidP="004E530F">
      <w:r w:rsidRPr="006A74F8">
        <w:t xml:space="preserve">Across </w:t>
      </w:r>
      <w:r w:rsidRPr="006A74F8">
        <w:rPr>
          <w:b/>
        </w:rPr>
        <w:t>all options</w:t>
      </w:r>
      <w:r w:rsidRPr="006A74F8">
        <w:t>, it is expected that the annual time cost in understanding obligations would reduce by at least 30 minutes</w:t>
      </w:r>
      <w:r w:rsidR="00F72C63" w:rsidRPr="006A74F8">
        <w:t xml:space="preserve"> per business</w:t>
      </w:r>
      <w:r w:rsidR="00976930" w:rsidRPr="006A74F8">
        <w:t>,</w:t>
      </w:r>
      <w:r w:rsidR="00F72C63" w:rsidRPr="006A74F8">
        <w:t xml:space="preserve"> resulting in an annual</w:t>
      </w:r>
      <w:r w:rsidRPr="006A74F8">
        <w:t xml:space="preserve"> regulatory burden saving </w:t>
      </w:r>
      <w:r w:rsidR="00F72C63" w:rsidRPr="006A74F8">
        <w:t xml:space="preserve">for industry </w:t>
      </w:r>
      <w:r w:rsidRPr="006A74F8">
        <w:t>of $2.7m.</w:t>
      </w:r>
    </w:p>
    <w:p w:rsidR="004E530F" w:rsidRPr="006A74F8" w:rsidRDefault="00EF7D02" w:rsidP="004E530F">
      <w:pPr>
        <w:sectPr w:rsidR="004E530F" w:rsidRPr="006A74F8" w:rsidSect="00EC61D8">
          <w:pgSz w:w="11907" w:h="16840" w:code="9"/>
          <w:pgMar w:top="1440" w:right="1440" w:bottom="1440" w:left="1440" w:header="851" w:footer="0" w:gutter="0"/>
          <w:cols w:space="708"/>
          <w:titlePg/>
          <w:docGrid w:linePitch="360"/>
        </w:sectPr>
      </w:pPr>
      <w:r w:rsidRPr="006A74F8">
        <w:rPr>
          <w:b/>
        </w:rPr>
        <w:t xml:space="preserve">Note: </w:t>
      </w:r>
      <w:r w:rsidRPr="006A74F8">
        <w:t xml:space="preserve">for </w:t>
      </w:r>
      <w:r w:rsidRPr="006A74F8">
        <w:rPr>
          <w:b/>
        </w:rPr>
        <w:t xml:space="preserve">all </w:t>
      </w:r>
      <w:r w:rsidR="00976930" w:rsidRPr="006A74F8">
        <w:rPr>
          <w:b/>
        </w:rPr>
        <w:t>reform</w:t>
      </w:r>
      <w:r w:rsidRPr="006A74F8">
        <w:rPr>
          <w:b/>
        </w:rPr>
        <w:t xml:space="preserve"> options</w:t>
      </w:r>
      <w:r w:rsidRPr="006A74F8">
        <w:t xml:space="preserve"> any package labelling that is compliant with current measurement labelling requirements will continue to be compliant under new arrangements. This means that businesses</w:t>
      </w:r>
      <w:r w:rsidR="00A669C5" w:rsidRPr="006A74F8">
        <w:t xml:space="preserve"> </w:t>
      </w:r>
      <w:r w:rsidR="00976930" w:rsidRPr="006A74F8">
        <w:t xml:space="preserve">that </w:t>
      </w:r>
      <w:r w:rsidR="00A669C5" w:rsidRPr="006A74F8">
        <w:t>are already compliant with packaging requirements would remain compliant under all reform options.</w:t>
      </w:r>
    </w:p>
    <w:p w:rsidR="00EE6DFF" w:rsidRPr="006A74F8" w:rsidRDefault="00EE6DFF" w:rsidP="004E530F">
      <w:pPr>
        <w:pStyle w:val="Heading1"/>
      </w:pPr>
      <w:bookmarkStart w:id="2903" w:name="_Appendix_12:_Costing"/>
      <w:bookmarkStart w:id="2904" w:name="_Toc67649131"/>
      <w:bookmarkStart w:id="2905" w:name="_Toc67650115"/>
      <w:bookmarkStart w:id="2906" w:name="_Toc67650370"/>
      <w:bookmarkStart w:id="2907" w:name="_Toc67650662"/>
      <w:bookmarkStart w:id="2908" w:name="_Toc67652982"/>
      <w:bookmarkStart w:id="2909" w:name="_Toc67653067"/>
      <w:bookmarkStart w:id="2910" w:name="_Toc67653499"/>
      <w:bookmarkStart w:id="2911" w:name="_Toc67653562"/>
      <w:bookmarkStart w:id="2912" w:name="_Toc67649979"/>
      <w:bookmarkStart w:id="2913" w:name="_Toc67654065"/>
      <w:bookmarkStart w:id="2914" w:name="_Toc67654372"/>
      <w:bookmarkStart w:id="2915" w:name="_Toc67654589"/>
      <w:bookmarkStart w:id="2916" w:name="_Toc67656196"/>
      <w:bookmarkStart w:id="2917" w:name="_Toc67656958"/>
      <w:bookmarkStart w:id="2918" w:name="_Toc67659257"/>
      <w:bookmarkStart w:id="2919" w:name="_Toc67659758"/>
      <w:bookmarkStart w:id="2920" w:name="_Toc67661725"/>
      <w:bookmarkStart w:id="2921" w:name="_Toc67662816"/>
      <w:bookmarkStart w:id="2922" w:name="_Toc67662957"/>
      <w:bookmarkStart w:id="2923" w:name="_Toc67664463"/>
      <w:bookmarkStart w:id="2924" w:name="_Toc67667190"/>
      <w:bookmarkStart w:id="2925" w:name="_Toc67668263"/>
      <w:bookmarkStart w:id="2926" w:name="_Toc67669170"/>
      <w:bookmarkStart w:id="2927" w:name="_Toc67665781"/>
      <w:bookmarkStart w:id="2928" w:name="_Toc67912170"/>
      <w:bookmarkStart w:id="2929" w:name="_Toc67922251"/>
      <w:bookmarkStart w:id="2930" w:name="_Toc67929110"/>
      <w:bookmarkStart w:id="2931" w:name="_Toc67929404"/>
      <w:bookmarkStart w:id="2932" w:name="_Toc67929629"/>
      <w:bookmarkStart w:id="2933" w:name="_Toc67927106"/>
      <w:bookmarkStart w:id="2934" w:name="_Toc68011271"/>
      <w:bookmarkStart w:id="2935" w:name="_Toc68011329"/>
      <w:bookmarkStart w:id="2936" w:name="_Toc81919638"/>
      <w:bookmarkStart w:id="2937" w:name="_Toc81919912"/>
      <w:bookmarkStart w:id="2938" w:name="_Toc81921179"/>
      <w:bookmarkStart w:id="2939" w:name="_Toc81923754"/>
      <w:bookmarkStart w:id="2940" w:name="_Toc81923781"/>
      <w:bookmarkStart w:id="2941" w:name="_Toc81994303"/>
      <w:bookmarkStart w:id="2942" w:name="_Toc81997328"/>
      <w:bookmarkStart w:id="2943" w:name="_Toc81998101"/>
      <w:bookmarkStart w:id="2944" w:name="_Toc82011855"/>
      <w:bookmarkStart w:id="2945" w:name="_Toc82512711"/>
      <w:bookmarkStart w:id="2946" w:name="_Toc82516179"/>
      <w:bookmarkStart w:id="2947" w:name="_Toc82519120"/>
      <w:bookmarkStart w:id="2948" w:name="_Toc82706662"/>
      <w:bookmarkStart w:id="2949" w:name="_Toc82790547"/>
      <w:bookmarkStart w:id="2950" w:name="_Toc82791066"/>
      <w:bookmarkStart w:id="2951" w:name="_Toc82792377"/>
      <w:bookmarkStart w:id="2952" w:name="_Toc83290759"/>
      <w:bookmarkStart w:id="2953" w:name="_Toc83292768"/>
      <w:bookmarkStart w:id="2954" w:name="_Toc83293539"/>
      <w:bookmarkEnd w:id="2903"/>
      <w:r w:rsidRPr="006A74F8">
        <w:lastRenderedPageBreak/>
        <w:t>Appendix</w:t>
      </w:r>
      <w:r w:rsidR="004E530F" w:rsidRPr="006A74F8">
        <w:t xml:space="preserve"> 1</w:t>
      </w:r>
      <w:r w:rsidR="00266F0F" w:rsidRPr="006A74F8">
        <w:t>1</w:t>
      </w:r>
      <w:r w:rsidRPr="006A74F8">
        <w:t xml:space="preserve">: </w:t>
      </w:r>
      <w:r w:rsidR="00BB325C" w:rsidRPr="006A74F8">
        <w:t>Costing</w:t>
      </w:r>
      <w:r w:rsidR="00C22EE8" w:rsidRPr="006A74F8">
        <w:t xml:space="preserve"> </w:t>
      </w:r>
      <w:r w:rsidRPr="006A74F8">
        <w:t xml:space="preserve">the regulatory burden </w:t>
      </w:r>
      <w:r w:rsidR="00AA2573" w:rsidRPr="006A74F8">
        <w:t>from pattern approval</w:t>
      </w:r>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rsidR="004B12D8" w:rsidRPr="006A74F8" w:rsidRDefault="00B1255E" w:rsidP="00A31A00">
      <w:pPr>
        <w:pStyle w:val="Heading2"/>
      </w:pPr>
      <w:bookmarkStart w:id="2955" w:name="_Toc67390626"/>
      <w:r w:rsidRPr="006A74F8">
        <w:t xml:space="preserve"> </w:t>
      </w:r>
      <w:r w:rsidR="004B12D8" w:rsidRPr="006A74F8">
        <w:t>Overview</w:t>
      </w:r>
      <w:bookmarkEnd w:id="2955"/>
    </w:p>
    <w:p w:rsidR="00FE4F3F" w:rsidRPr="006A74F8" w:rsidRDefault="004B12D8" w:rsidP="00912A71">
      <w:r w:rsidRPr="006A74F8">
        <w:t xml:space="preserve">This appendix </w:t>
      </w:r>
      <w:r w:rsidR="00FE4F3F" w:rsidRPr="006A74F8">
        <w:t xml:space="preserve">provides details on how the introduction of increased flexibility will affect </w:t>
      </w:r>
      <w:r w:rsidR="00847BFB" w:rsidRPr="006A74F8">
        <w:t>measuring instrument manufacturers, importers and distributors</w:t>
      </w:r>
      <w:r w:rsidR="008522E4" w:rsidRPr="006A74F8">
        <w:t>,</w:t>
      </w:r>
      <w:r w:rsidR="00FE4F3F" w:rsidRPr="006A74F8">
        <w:t xml:space="preserve"> </w:t>
      </w:r>
      <w:r w:rsidR="009155CA" w:rsidRPr="006A74F8">
        <w:t xml:space="preserve">particularly </w:t>
      </w:r>
      <w:r w:rsidR="00E64A1E" w:rsidRPr="006A74F8">
        <w:t xml:space="preserve">for </w:t>
      </w:r>
      <w:r w:rsidR="00FE4F3F" w:rsidRPr="006A74F8">
        <w:t xml:space="preserve">pattern approval. This section includes: </w:t>
      </w:r>
    </w:p>
    <w:p w:rsidR="00FE4F3F" w:rsidRPr="006A74F8" w:rsidRDefault="00825392" w:rsidP="000F50F5">
      <w:pPr>
        <w:pStyle w:val="ListParagraph"/>
        <w:numPr>
          <w:ilvl w:val="0"/>
          <w:numId w:val="109"/>
        </w:numPr>
      </w:pPr>
      <w:r w:rsidRPr="006A74F8">
        <w:t>A brief description of s</w:t>
      </w:r>
      <w:r w:rsidR="00FE4F3F" w:rsidRPr="006A74F8">
        <w:t>ome key restrictions</w:t>
      </w:r>
      <w:r w:rsidR="00C64286" w:rsidRPr="006A74F8">
        <w:t xml:space="preserve"> and limitations</w:t>
      </w:r>
      <w:r w:rsidR="00FE4F3F" w:rsidRPr="006A74F8">
        <w:t xml:space="preserve"> to </w:t>
      </w:r>
      <w:r w:rsidRPr="006A74F8">
        <w:t xml:space="preserve">applying pattern approval </w:t>
      </w:r>
      <w:r w:rsidR="008522E4" w:rsidRPr="006A74F8">
        <w:t xml:space="preserve">for </w:t>
      </w:r>
      <w:r w:rsidR="00847BFB" w:rsidRPr="006A74F8">
        <w:t>measuring instrument manufacturers, importers and distributors</w:t>
      </w:r>
      <w:r w:rsidR="00FE4F3F" w:rsidRPr="006A74F8">
        <w:t xml:space="preserve"> under the status quo</w:t>
      </w:r>
      <w:r w:rsidR="00204820" w:rsidRPr="006A74F8">
        <w:t>.</w:t>
      </w:r>
    </w:p>
    <w:p w:rsidR="00825392" w:rsidRPr="006A74F8" w:rsidRDefault="00825392" w:rsidP="000F50F5">
      <w:pPr>
        <w:pStyle w:val="ListParagraph"/>
        <w:numPr>
          <w:ilvl w:val="0"/>
          <w:numId w:val="109"/>
        </w:numPr>
      </w:pPr>
      <w:r w:rsidRPr="006A74F8">
        <w:t>An estimation of the current cost of pattern approval to manufacturers</w:t>
      </w:r>
      <w:r w:rsidR="00E46ED3" w:rsidRPr="006A74F8">
        <w:t>, importers and distributors</w:t>
      </w:r>
      <w:r w:rsidRPr="006A74F8">
        <w:t xml:space="preserve"> of measuring instruments</w:t>
      </w:r>
      <w:r w:rsidR="00204820" w:rsidRPr="006A74F8">
        <w:t>.</w:t>
      </w:r>
      <w:r w:rsidRPr="006A74F8">
        <w:t xml:space="preserve"> </w:t>
      </w:r>
    </w:p>
    <w:p w:rsidR="00C64286" w:rsidRPr="006A74F8" w:rsidRDefault="00C64286" w:rsidP="000F50F5">
      <w:pPr>
        <w:pStyle w:val="ListParagraph"/>
        <w:numPr>
          <w:ilvl w:val="0"/>
          <w:numId w:val="109"/>
        </w:numPr>
      </w:pPr>
      <w:r w:rsidRPr="006A74F8">
        <w:t>A description of how flexibility will be introduced under each reform option and how it may change regulatory burden for measuring instruments used for trade and/or regulatory purposes</w:t>
      </w:r>
      <w:r w:rsidR="00204820" w:rsidRPr="006A74F8">
        <w:t>.</w:t>
      </w:r>
    </w:p>
    <w:p w:rsidR="00825392" w:rsidRPr="006A74F8" w:rsidRDefault="00825392" w:rsidP="000F50F5">
      <w:pPr>
        <w:pStyle w:val="ListParagraph"/>
        <w:numPr>
          <w:ilvl w:val="0"/>
          <w:numId w:val="109"/>
        </w:numPr>
      </w:pPr>
      <w:r w:rsidRPr="006A74F8">
        <w:t xml:space="preserve">An estimation or description of the potential savings that may occur due to changes </w:t>
      </w:r>
      <w:r w:rsidR="008522E4" w:rsidRPr="006A74F8">
        <w:t xml:space="preserve">to </w:t>
      </w:r>
      <w:r w:rsidRPr="006A74F8">
        <w:t>the requirement for pattern approval.</w:t>
      </w:r>
    </w:p>
    <w:p w:rsidR="004B12D8" w:rsidRPr="006A74F8" w:rsidRDefault="004B12D8" w:rsidP="004B12D8">
      <w:r w:rsidRPr="006A74F8">
        <w:t>Not all manufactured measuring instruments used in the economy need to be of an approved pattern because not all are used for trade purposes</w:t>
      </w:r>
      <w:r w:rsidR="00204820" w:rsidRPr="006A74F8">
        <w:t>.</w:t>
      </w:r>
      <w:r w:rsidRPr="006A74F8">
        <w:rPr>
          <w:rStyle w:val="FootnoteReference"/>
        </w:rPr>
        <w:footnoteReference w:id="184"/>
      </w:r>
      <w:r w:rsidRPr="006A74F8">
        <w:t xml:space="preserve"> A measuring instrument for trade purposes must be of an approved pattern before it is sold, leased or supplied to the market. </w:t>
      </w:r>
    </w:p>
    <w:p w:rsidR="0019245D" w:rsidRPr="006A74F8" w:rsidRDefault="0019245D" w:rsidP="004B12D8">
      <w:r w:rsidRPr="006A74F8">
        <w:t>Pattern approval</w:t>
      </w:r>
      <w:r w:rsidR="00825392" w:rsidRPr="006A74F8">
        <w:rPr>
          <w:rStyle w:val="FootnoteReference"/>
        </w:rPr>
        <w:footnoteReference w:id="185"/>
      </w:r>
      <w:r w:rsidR="00825392" w:rsidRPr="006A74F8">
        <w:t xml:space="preserve"> </w:t>
      </w:r>
      <w:r w:rsidRPr="006A74F8">
        <w:t xml:space="preserve">provides confidence and an independent assessment that ensures measuring instruments </w:t>
      </w:r>
      <w:r w:rsidR="000F3D69" w:rsidRPr="006A74F8">
        <w:t xml:space="preserve">will </w:t>
      </w:r>
      <w:r w:rsidRPr="006A74F8">
        <w:t>perform to the required standard and are fit for purpose.</w:t>
      </w:r>
    </w:p>
    <w:p w:rsidR="004B12D8" w:rsidRPr="006A74F8" w:rsidRDefault="00B1255E" w:rsidP="00EE147C">
      <w:pPr>
        <w:pStyle w:val="Heading2"/>
      </w:pPr>
      <w:bookmarkStart w:id="2956" w:name="_Toc67390627"/>
      <w:r w:rsidRPr="006A74F8">
        <w:t xml:space="preserve"> </w:t>
      </w:r>
      <w:r w:rsidR="004B12D8" w:rsidRPr="006A74F8">
        <w:t xml:space="preserve">Pattern </w:t>
      </w:r>
      <w:r w:rsidR="001F2D47" w:rsidRPr="006A74F8">
        <w:t>a</w:t>
      </w:r>
      <w:r w:rsidR="004B12D8" w:rsidRPr="006A74F8">
        <w:t>pproval and the manufacturer</w:t>
      </w:r>
      <w:bookmarkEnd w:id="2956"/>
    </w:p>
    <w:p w:rsidR="00561218" w:rsidRPr="006A74F8" w:rsidRDefault="001F2D47" w:rsidP="00561218">
      <w:r w:rsidRPr="006A74F8">
        <w:t xml:space="preserve">The following assumptions underpin the analysis of the regulatory burden associated with </w:t>
      </w:r>
      <w:r w:rsidR="00203D5A" w:rsidRPr="006A74F8">
        <w:t>requiring instruments used in trade to be pattern approved:</w:t>
      </w:r>
    </w:p>
    <w:p w:rsidR="004B12D8" w:rsidRPr="006A74F8" w:rsidRDefault="00EE0E8A" w:rsidP="00B1255E">
      <w:pPr>
        <w:pStyle w:val="ListParagraph"/>
        <w:numPr>
          <w:ilvl w:val="0"/>
          <w:numId w:val="287"/>
        </w:numPr>
      </w:pPr>
      <w:r w:rsidRPr="006A74F8">
        <w:t>T</w:t>
      </w:r>
      <w:r w:rsidR="004B12D8" w:rsidRPr="006A74F8">
        <w:t xml:space="preserve">he current legislation </w:t>
      </w:r>
      <w:r w:rsidRPr="006A74F8">
        <w:t>prohibits</w:t>
      </w:r>
      <w:r w:rsidR="004B12D8" w:rsidRPr="006A74F8">
        <w:t xml:space="preserve"> a manufacturer </w:t>
      </w:r>
      <w:r w:rsidRPr="006A74F8">
        <w:t>from</w:t>
      </w:r>
      <w:r w:rsidR="004B12D8" w:rsidRPr="006A74F8">
        <w:t xml:space="preserve"> sell</w:t>
      </w:r>
      <w:r w:rsidRPr="006A74F8">
        <w:t>ing,</w:t>
      </w:r>
      <w:r w:rsidR="004B12D8" w:rsidRPr="006A74F8">
        <w:t xml:space="preserve"> leas</w:t>
      </w:r>
      <w:r w:rsidRPr="006A74F8">
        <w:t>ing</w:t>
      </w:r>
      <w:r w:rsidR="004B12D8" w:rsidRPr="006A74F8">
        <w:t xml:space="preserve"> or supply</w:t>
      </w:r>
      <w:r w:rsidRPr="006A74F8">
        <w:t>ing</w:t>
      </w:r>
      <w:r w:rsidR="004B12D8" w:rsidRPr="006A74F8">
        <w:t xml:space="preserve"> a measuring instrument for trade purposes when approval has not been received</w:t>
      </w:r>
      <w:r w:rsidRPr="006A74F8">
        <w:t>. This</w:t>
      </w:r>
      <w:r w:rsidR="004B12D8" w:rsidRPr="006A74F8">
        <w:t xml:space="preserve"> includes while the </w:t>
      </w:r>
      <w:r w:rsidR="00203D5A" w:rsidRPr="006A74F8">
        <w:t xml:space="preserve">pattern approval </w:t>
      </w:r>
      <w:r w:rsidR="004B12D8" w:rsidRPr="006A74F8">
        <w:t>process is occurring.</w:t>
      </w:r>
    </w:p>
    <w:p w:rsidR="004B12D8" w:rsidRPr="006A74F8" w:rsidRDefault="00567EA7" w:rsidP="00B1255E">
      <w:pPr>
        <w:pStyle w:val="ListParagraph"/>
        <w:numPr>
          <w:ilvl w:val="0"/>
          <w:numId w:val="287"/>
        </w:numPr>
      </w:pPr>
      <w:r w:rsidRPr="006A74F8">
        <w:t xml:space="preserve">It is assumed that </w:t>
      </w:r>
      <w:r w:rsidR="00203D5A" w:rsidRPr="006A74F8">
        <w:t xml:space="preserve">pattern approval </w:t>
      </w:r>
      <w:r w:rsidR="000C7A56" w:rsidRPr="006A74F8">
        <w:t xml:space="preserve">process occurs </w:t>
      </w:r>
      <w:r w:rsidR="004B12D8" w:rsidRPr="006A74F8">
        <w:t>i</w:t>
      </w:r>
      <w:r w:rsidR="000C7A56" w:rsidRPr="006A74F8">
        <w:t>n</w:t>
      </w:r>
      <w:r w:rsidR="004B12D8" w:rsidRPr="006A74F8">
        <w:t xml:space="preserve"> parallel </w:t>
      </w:r>
      <w:r w:rsidR="000C7A56" w:rsidRPr="006A74F8">
        <w:t>to</w:t>
      </w:r>
      <w:r w:rsidR="004B12D8" w:rsidRPr="006A74F8">
        <w:t xml:space="preserve"> manufacturers setting up manufacturing process</w:t>
      </w:r>
      <w:r w:rsidR="000C7A56" w:rsidRPr="006A74F8">
        <w:t>es</w:t>
      </w:r>
      <w:r w:rsidR="004B12D8" w:rsidRPr="006A74F8">
        <w:t xml:space="preserve"> and marketing programs. </w:t>
      </w:r>
    </w:p>
    <w:p w:rsidR="00AB1ECF" w:rsidRPr="006A74F8" w:rsidRDefault="00567EA7" w:rsidP="00B1255E">
      <w:pPr>
        <w:pStyle w:val="ListParagraph"/>
        <w:numPr>
          <w:ilvl w:val="0"/>
          <w:numId w:val="287"/>
        </w:numPr>
      </w:pPr>
      <w:r w:rsidRPr="006A74F8">
        <w:t xml:space="preserve">NMI’s </w:t>
      </w:r>
      <w:r w:rsidR="004B12D8" w:rsidRPr="006A74F8">
        <w:t xml:space="preserve">experience has been that not all instrument designs have an easy fit with the current measurement framework. Where this occurs, </w:t>
      </w:r>
      <w:r w:rsidR="00AB1ECF" w:rsidRPr="006A74F8">
        <w:t xml:space="preserve">NMI </w:t>
      </w:r>
      <w:r w:rsidR="00D43CEE" w:rsidRPr="006A74F8">
        <w:t>does not</w:t>
      </w:r>
      <w:r w:rsidR="00AB1ECF" w:rsidRPr="006A74F8">
        <w:t xml:space="preserve"> compel a measuring instrument to be approved if there is no supporting infrastructure (e.g. standards, testing procedures) by which the instrument can be approved. </w:t>
      </w:r>
    </w:p>
    <w:p w:rsidR="00204820" w:rsidRPr="006A74F8" w:rsidRDefault="00923218" w:rsidP="00B1255E">
      <w:pPr>
        <w:pStyle w:val="ListParagraph"/>
        <w:numPr>
          <w:ilvl w:val="0"/>
          <w:numId w:val="287"/>
        </w:numPr>
      </w:pPr>
      <w:r w:rsidRPr="006A74F8">
        <w:t xml:space="preserve">When appropriate </w:t>
      </w:r>
      <w:r w:rsidR="0010029C" w:rsidRPr="006A74F8">
        <w:t xml:space="preserve">(e.g. </w:t>
      </w:r>
      <w:r w:rsidRPr="006A74F8">
        <w:t>a measuring instrument requires field testing for a period of time</w:t>
      </w:r>
      <w:r w:rsidR="0010029C" w:rsidRPr="006A74F8">
        <w:t>)</w:t>
      </w:r>
      <w:r w:rsidRPr="006A74F8">
        <w:t>, a provisional approval may be granted subject to conditions that need to be complied</w:t>
      </w:r>
      <w:r w:rsidR="0010029C" w:rsidRPr="006A74F8">
        <w:t xml:space="preserve"> with</w:t>
      </w:r>
      <w:r w:rsidRPr="006A74F8">
        <w:t xml:space="preserve">. </w:t>
      </w:r>
    </w:p>
    <w:p w:rsidR="00923218" w:rsidRPr="006A74F8" w:rsidRDefault="00923218" w:rsidP="00B1255E">
      <w:pPr>
        <w:pStyle w:val="ListParagraph"/>
        <w:numPr>
          <w:ilvl w:val="0"/>
          <w:numId w:val="287"/>
        </w:numPr>
      </w:pPr>
      <w:r w:rsidRPr="006A74F8">
        <w:lastRenderedPageBreak/>
        <w:t xml:space="preserve">Where the measuring instrument is low risk, NMI supports industry through a provisional approval that removes any unnecessary delays for the manufacturer. </w:t>
      </w:r>
    </w:p>
    <w:p w:rsidR="00923218" w:rsidRPr="006A74F8" w:rsidRDefault="004B12D8" w:rsidP="000F50F5">
      <w:pPr>
        <w:pStyle w:val="ListParagraph"/>
        <w:numPr>
          <w:ilvl w:val="1"/>
          <w:numId w:val="81"/>
        </w:numPr>
      </w:pPr>
      <w:r w:rsidRPr="006A74F8">
        <w:t xml:space="preserve">A manufacturer meets additional costs to rectify a provisional design if it is established </w:t>
      </w:r>
      <w:r w:rsidR="00923218" w:rsidRPr="006A74F8">
        <w:t xml:space="preserve">that </w:t>
      </w:r>
      <w:r w:rsidRPr="006A74F8">
        <w:t xml:space="preserve">the instrument needs modifications. </w:t>
      </w:r>
    </w:p>
    <w:p w:rsidR="004B12D8" w:rsidRPr="006A74F8" w:rsidRDefault="004B12D8" w:rsidP="000F50F5">
      <w:pPr>
        <w:pStyle w:val="ListParagraph"/>
        <w:numPr>
          <w:ilvl w:val="1"/>
          <w:numId w:val="81"/>
        </w:numPr>
        <w:rPr>
          <w:b/>
        </w:rPr>
      </w:pPr>
      <w:r w:rsidRPr="006A74F8">
        <w:t>A provisional approval also requires an internal administrative process within NMI</w:t>
      </w:r>
      <w:r w:rsidR="008C343B" w:rsidRPr="006A74F8">
        <w:t>,</w:t>
      </w:r>
      <w:r w:rsidRPr="006A74F8">
        <w:t xml:space="preserve"> includ</w:t>
      </w:r>
      <w:r w:rsidR="008C343B" w:rsidRPr="006A74F8">
        <w:t>ing</w:t>
      </w:r>
      <w:r w:rsidRPr="006A74F8">
        <w:t xml:space="preserve"> a risk assessment</w:t>
      </w:r>
      <w:r w:rsidR="008C343B" w:rsidRPr="006A74F8">
        <w:t xml:space="preserve"> and</w:t>
      </w:r>
      <w:r w:rsidRPr="006A74F8">
        <w:t xml:space="preserve"> administrative time to produce a provisional certificate</w:t>
      </w:r>
      <w:r w:rsidR="00923218" w:rsidRPr="006A74F8">
        <w:t>.</w:t>
      </w:r>
    </w:p>
    <w:p w:rsidR="008217E0" w:rsidRPr="006A74F8" w:rsidRDefault="004B12D8" w:rsidP="008C343B">
      <w:r w:rsidRPr="006A74F8">
        <w:t>Over a period of 10 years (2008/09</w:t>
      </w:r>
      <w:r w:rsidR="00204709" w:rsidRPr="006A74F8">
        <w:t xml:space="preserve"> </w:t>
      </w:r>
      <w:r w:rsidRPr="006A74F8">
        <w:t>-</w:t>
      </w:r>
      <w:r w:rsidR="00204709" w:rsidRPr="006A74F8">
        <w:t xml:space="preserve"> </w:t>
      </w:r>
      <w:r w:rsidRPr="006A74F8">
        <w:t xml:space="preserve">2018/19), there were 1,392 pattern approval applications (an average of 139 applications per year). </w:t>
      </w:r>
    </w:p>
    <w:p w:rsidR="00FE4C33" w:rsidRPr="006A74F8" w:rsidRDefault="00FE4C33" w:rsidP="001E43AC">
      <w:pPr>
        <w:pStyle w:val="Heading2"/>
        <w:ind w:left="851" w:hanging="851"/>
      </w:pPr>
      <w:bookmarkStart w:id="2957" w:name="_Toc67390628"/>
      <w:r w:rsidRPr="006A74F8">
        <w:t xml:space="preserve">Estimated </w:t>
      </w:r>
      <w:r w:rsidR="00E67D08" w:rsidRPr="006A74F8">
        <w:t>c</w:t>
      </w:r>
      <w:r w:rsidRPr="006A74F8">
        <w:t xml:space="preserve">ost of Pattern Approval </w:t>
      </w:r>
      <w:r w:rsidR="00E67D08" w:rsidRPr="006A74F8">
        <w:t>a</w:t>
      </w:r>
      <w:r w:rsidRPr="006A74F8">
        <w:t xml:space="preserve">pplication </w:t>
      </w:r>
      <w:r w:rsidR="00E67D08" w:rsidRPr="006A74F8">
        <w:t>p</w:t>
      </w:r>
      <w:r w:rsidRPr="006A74F8">
        <w:t>rocess (</w:t>
      </w:r>
      <w:r w:rsidR="00E67D08" w:rsidRPr="006A74F8">
        <w:t>s</w:t>
      </w:r>
      <w:r w:rsidRPr="006A74F8">
        <w:t xml:space="preserve">tatus </w:t>
      </w:r>
      <w:r w:rsidR="00E67D08" w:rsidRPr="006A74F8">
        <w:t>q</w:t>
      </w:r>
      <w:r w:rsidRPr="006A74F8">
        <w:t xml:space="preserve">uo) </w:t>
      </w:r>
    </w:p>
    <w:p w:rsidR="00FE4C33" w:rsidRPr="006A74F8" w:rsidRDefault="00FE4C33" w:rsidP="00FE4C33">
      <w:pPr>
        <w:rPr>
          <w:b/>
        </w:rPr>
      </w:pPr>
      <w:r w:rsidRPr="006A74F8">
        <w:rPr>
          <w:b/>
        </w:rPr>
        <w:t>What is excluded and included in estimating regulatory burden?</w:t>
      </w:r>
    </w:p>
    <w:p w:rsidR="00FE4C33" w:rsidRPr="006A74F8" w:rsidRDefault="00FE4C33" w:rsidP="00FE4C33">
      <w:r w:rsidRPr="006A74F8">
        <w:t>The costs of fees and other direct costs payable to government which the regulations may impose</w:t>
      </w:r>
      <w:r w:rsidR="00E46ED3" w:rsidRPr="006A74F8">
        <w:t>,</w:t>
      </w:r>
      <w:r w:rsidRPr="006A74F8">
        <w:t xml:space="preserve"> are excluded from the definition of regulatory burden. The cost of instrument testing required by standards are considered part of the manufacturer’s </w:t>
      </w:r>
      <w:r w:rsidR="00204709" w:rsidRPr="006A74F8">
        <w:t>research and development</w:t>
      </w:r>
      <w:r w:rsidRPr="006A74F8">
        <w:t xml:space="preserve"> costs. The pattern approval requirements are largely international standards which have been adopted into Australia. </w:t>
      </w:r>
    </w:p>
    <w:p w:rsidR="00FE4C33" w:rsidRPr="006A74F8" w:rsidRDefault="00FE4C33" w:rsidP="00FE4C33">
      <w:pPr>
        <w:rPr>
          <w:b/>
        </w:rPr>
      </w:pPr>
      <w:r w:rsidRPr="006A74F8">
        <w:t xml:space="preserve">The primary costs associated with pattern approval are labour or time-based. The estimated annual cost impost on </w:t>
      </w:r>
      <w:r w:rsidR="00847BFB" w:rsidRPr="006A74F8">
        <w:t>measuring instrument manufacturers, importers and distributors</w:t>
      </w:r>
      <w:r w:rsidRPr="006A74F8">
        <w:t xml:space="preserve"> by the pattern approval application process is estimated at </w:t>
      </w:r>
      <w:r w:rsidRPr="006A74F8">
        <w:rPr>
          <w:b/>
        </w:rPr>
        <w:t>$180,573</w:t>
      </w:r>
      <w:r w:rsidR="00992C5E" w:rsidRPr="006A74F8">
        <w:rPr>
          <w:b/>
        </w:rPr>
        <w:t xml:space="preserve"> </w:t>
      </w:r>
      <w:r w:rsidR="00992C5E" w:rsidRPr="006A74F8">
        <w:t>aggregated across all applications in a given year</w:t>
      </w:r>
      <w:r w:rsidRPr="00AF74E8">
        <w:t>.</w:t>
      </w:r>
    </w:p>
    <w:p w:rsidR="0015010A" w:rsidRPr="006A74F8" w:rsidRDefault="0015010A" w:rsidP="0015010A">
      <w:pPr>
        <w:pStyle w:val="Caption"/>
        <w:keepNext/>
      </w:pPr>
      <w:r w:rsidRPr="006A74F8">
        <w:t>Table A1</w:t>
      </w:r>
      <w:r w:rsidR="00B1255E" w:rsidRPr="006A74F8">
        <w:t>1</w:t>
      </w:r>
      <w:r w:rsidRPr="006A74F8">
        <w:t xml:space="preserve">- </w:t>
      </w:r>
      <w:r w:rsidR="00D003A8" w:rsidRPr="006A74F8">
        <w:rPr>
          <w:noProof/>
        </w:rPr>
        <w:fldChar w:fldCharType="begin"/>
      </w:r>
      <w:r w:rsidR="00D003A8" w:rsidRPr="006A74F8">
        <w:rPr>
          <w:noProof/>
        </w:rPr>
        <w:instrText xml:space="preserve"> SEQ Table_A12- \* ARABIC </w:instrText>
      </w:r>
      <w:r w:rsidR="00D003A8" w:rsidRPr="006A74F8">
        <w:rPr>
          <w:noProof/>
        </w:rPr>
        <w:fldChar w:fldCharType="separate"/>
      </w:r>
      <w:r w:rsidR="0033017F">
        <w:rPr>
          <w:noProof/>
        </w:rPr>
        <w:t>1</w:t>
      </w:r>
      <w:r w:rsidR="00D003A8" w:rsidRPr="006A74F8">
        <w:rPr>
          <w:noProof/>
        </w:rPr>
        <w:fldChar w:fldCharType="end"/>
      </w:r>
      <w:r w:rsidRPr="006A74F8">
        <w:t>: Costs of pattern approval application process</w:t>
      </w:r>
    </w:p>
    <w:tbl>
      <w:tblPr>
        <w:tblW w:w="6824" w:type="dxa"/>
        <w:tblInd w:w="-10" w:type="dxa"/>
        <w:tblLook w:val="04A0" w:firstRow="1" w:lastRow="0" w:firstColumn="1" w:lastColumn="0" w:noHBand="0" w:noVBand="1"/>
        <w:tblCaption w:val="Costs of pattern approval application process"/>
        <w:tblDescription w:val="the total regulatroy burden of pattern approval is costes at $180,573"/>
      </w:tblPr>
      <w:tblGrid>
        <w:gridCol w:w="4830"/>
        <w:gridCol w:w="1994"/>
      </w:tblGrid>
      <w:tr w:rsidR="00FE4C33" w:rsidRPr="006A74F8" w:rsidTr="00682CA1">
        <w:trPr>
          <w:trHeight w:val="225"/>
        </w:trPr>
        <w:tc>
          <w:tcPr>
            <w:tcW w:w="6824" w:type="dxa"/>
            <w:gridSpan w:val="2"/>
            <w:tcBorders>
              <w:top w:val="single" w:sz="8" w:space="0" w:color="auto"/>
              <w:left w:val="single" w:sz="8" w:space="0" w:color="auto"/>
              <w:bottom w:val="single" w:sz="4" w:space="0" w:color="auto"/>
              <w:right w:val="single" w:sz="8" w:space="0" w:color="000000"/>
            </w:tcBorders>
            <w:shd w:val="clear" w:color="auto" w:fill="1F3864"/>
            <w:vAlign w:val="bottom"/>
            <w:hideMark/>
          </w:tcPr>
          <w:p w:rsidR="00FE4C33" w:rsidRPr="006A74F8" w:rsidRDefault="00FE4C33" w:rsidP="005B3395">
            <w:pPr>
              <w:spacing w:after="0" w:line="240" w:lineRule="auto"/>
              <w:rPr>
                <w:rFonts w:ascii="Calibri" w:eastAsia="Times New Roman" w:hAnsi="Calibri" w:cs="Calibri"/>
                <w:b/>
                <w:color w:val="000000"/>
                <w:lang w:eastAsia="en-AU"/>
              </w:rPr>
            </w:pPr>
            <w:r w:rsidRPr="006A74F8">
              <w:rPr>
                <w:rFonts w:ascii="Calibri" w:eastAsia="Times New Roman" w:hAnsi="Calibri" w:cs="Calibri"/>
                <w:b/>
                <w:color w:val="FFFFFF" w:themeColor="background1"/>
                <w:lang w:eastAsia="en-AU"/>
              </w:rPr>
              <w:t xml:space="preserve">Costs of Pattern Approval </w:t>
            </w:r>
            <w:r w:rsidR="00561218" w:rsidRPr="006A74F8">
              <w:rPr>
                <w:rFonts w:ascii="Calibri" w:eastAsia="Times New Roman" w:hAnsi="Calibri" w:cs="Calibri"/>
                <w:b/>
                <w:color w:val="FFFFFF" w:themeColor="background1"/>
                <w:lang w:eastAsia="en-AU"/>
              </w:rPr>
              <w:t>application p</w:t>
            </w:r>
            <w:r w:rsidRPr="006A74F8">
              <w:rPr>
                <w:rFonts w:ascii="Calibri" w:eastAsia="Times New Roman" w:hAnsi="Calibri" w:cs="Calibri"/>
                <w:b/>
                <w:color w:val="FFFFFF" w:themeColor="background1"/>
                <w:lang w:eastAsia="en-AU"/>
              </w:rPr>
              <w:t>rocess</w:t>
            </w:r>
          </w:p>
        </w:tc>
      </w:tr>
      <w:tr w:rsidR="00FE4C33" w:rsidRPr="006A74F8" w:rsidTr="00682CA1">
        <w:trPr>
          <w:trHeight w:val="225"/>
        </w:trPr>
        <w:tc>
          <w:tcPr>
            <w:tcW w:w="4830" w:type="dxa"/>
            <w:tcBorders>
              <w:top w:val="nil"/>
              <w:left w:val="single" w:sz="8" w:space="0" w:color="auto"/>
              <w:bottom w:val="nil"/>
              <w:right w:val="nil"/>
            </w:tcBorders>
            <w:shd w:val="clear" w:color="auto" w:fill="auto"/>
            <w:noWrap/>
            <w:hideMark/>
          </w:tcPr>
          <w:p w:rsidR="00FE4C33" w:rsidRPr="006A74F8" w:rsidRDefault="00FE4C33" w:rsidP="00203D5A">
            <w:pPr>
              <w:spacing w:after="0" w:line="240" w:lineRule="auto"/>
              <w:rPr>
                <w:rFonts w:ascii="Calibri" w:eastAsia="Times New Roman" w:hAnsi="Calibri" w:cs="Calibri"/>
                <w:color w:val="000000"/>
                <w:lang w:eastAsia="en-AU"/>
              </w:rPr>
            </w:pPr>
            <w:r w:rsidRPr="006A74F8">
              <w:t xml:space="preserve">1. Understanding </w:t>
            </w:r>
            <w:r w:rsidR="00203D5A" w:rsidRPr="006A74F8">
              <w:t>pattern approval</w:t>
            </w:r>
            <w:r w:rsidRPr="006A74F8">
              <w:t xml:space="preserve"> requirements</w:t>
            </w:r>
          </w:p>
        </w:tc>
        <w:tc>
          <w:tcPr>
            <w:tcW w:w="1994" w:type="dxa"/>
            <w:tcBorders>
              <w:top w:val="nil"/>
              <w:left w:val="nil"/>
              <w:bottom w:val="nil"/>
              <w:right w:val="single" w:sz="8" w:space="0" w:color="auto"/>
            </w:tcBorders>
            <w:shd w:val="clear" w:color="auto" w:fill="auto"/>
            <w:noWrap/>
            <w:hideMark/>
          </w:tcPr>
          <w:p w:rsidR="00FE4C33" w:rsidRPr="006A74F8" w:rsidRDefault="00FE4C33" w:rsidP="005B3395">
            <w:pPr>
              <w:spacing w:after="0" w:line="240" w:lineRule="auto"/>
              <w:jc w:val="right"/>
              <w:rPr>
                <w:rFonts w:ascii="Calibri" w:eastAsia="Times New Roman" w:hAnsi="Calibri" w:cs="Calibri"/>
                <w:color w:val="000000"/>
                <w:lang w:eastAsia="en-AU"/>
              </w:rPr>
            </w:pPr>
            <w:r w:rsidRPr="006A74F8">
              <w:t xml:space="preserve"> $77,024 </w:t>
            </w:r>
          </w:p>
        </w:tc>
      </w:tr>
      <w:tr w:rsidR="00FE4C33" w:rsidRPr="006A74F8" w:rsidTr="00682CA1">
        <w:trPr>
          <w:trHeight w:val="225"/>
        </w:trPr>
        <w:tc>
          <w:tcPr>
            <w:tcW w:w="4830" w:type="dxa"/>
            <w:tcBorders>
              <w:top w:val="nil"/>
              <w:left w:val="single" w:sz="8" w:space="0" w:color="auto"/>
              <w:bottom w:val="nil"/>
              <w:right w:val="nil"/>
            </w:tcBorders>
            <w:shd w:val="clear" w:color="auto" w:fill="auto"/>
            <w:noWrap/>
            <w:hideMark/>
          </w:tcPr>
          <w:p w:rsidR="00FE4C33" w:rsidRPr="006A74F8" w:rsidRDefault="00FE4C33" w:rsidP="00203D5A">
            <w:pPr>
              <w:spacing w:after="0"/>
              <w:rPr>
                <w:b/>
              </w:rPr>
            </w:pPr>
            <w:r w:rsidRPr="006A74F8">
              <w:t xml:space="preserve">2. Understanding </w:t>
            </w:r>
            <w:r w:rsidR="00203D5A" w:rsidRPr="006A74F8">
              <w:t>p</w:t>
            </w:r>
            <w:r w:rsidRPr="006A74F8">
              <w:t>rocess</w:t>
            </w:r>
          </w:p>
        </w:tc>
        <w:tc>
          <w:tcPr>
            <w:tcW w:w="1994" w:type="dxa"/>
            <w:tcBorders>
              <w:top w:val="nil"/>
              <w:left w:val="nil"/>
              <w:bottom w:val="nil"/>
              <w:right w:val="single" w:sz="8" w:space="0" w:color="auto"/>
            </w:tcBorders>
            <w:shd w:val="clear" w:color="auto" w:fill="auto"/>
            <w:noWrap/>
            <w:hideMark/>
          </w:tcPr>
          <w:p w:rsidR="00FE4C33" w:rsidRPr="006A74F8" w:rsidRDefault="00FE4C33" w:rsidP="005B3395">
            <w:pPr>
              <w:spacing w:after="0" w:line="240" w:lineRule="auto"/>
              <w:jc w:val="right"/>
              <w:rPr>
                <w:rFonts w:ascii="Calibri" w:eastAsia="Times New Roman" w:hAnsi="Calibri" w:cs="Calibri"/>
                <w:color w:val="000000"/>
                <w:lang w:eastAsia="en-AU"/>
              </w:rPr>
            </w:pPr>
            <w:r w:rsidRPr="006A74F8">
              <w:t xml:space="preserve"> $30,810 </w:t>
            </w:r>
          </w:p>
        </w:tc>
      </w:tr>
      <w:tr w:rsidR="00FE4C33" w:rsidRPr="006A74F8" w:rsidTr="00682CA1">
        <w:trPr>
          <w:trHeight w:val="225"/>
        </w:trPr>
        <w:tc>
          <w:tcPr>
            <w:tcW w:w="4830" w:type="dxa"/>
            <w:tcBorders>
              <w:top w:val="nil"/>
              <w:left w:val="single" w:sz="8" w:space="0" w:color="auto"/>
              <w:bottom w:val="nil"/>
              <w:right w:val="nil"/>
            </w:tcBorders>
            <w:shd w:val="clear" w:color="auto" w:fill="auto"/>
            <w:noWrap/>
            <w:hideMark/>
          </w:tcPr>
          <w:p w:rsidR="00FE4C33" w:rsidRPr="006A74F8" w:rsidRDefault="00203D5A" w:rsidP="005B3395">
            <w:pPr>
              <w:spacing w:after="0" w:line="240" w:lineRule="auto"/>
              <w:rPr>
                <w:rFonts w:ascii="Calibri" w:eastAsia="Times New Roman" w:hAnsi="Calibri" w:cs="Calibri"/>
                <w:color w:val="000000"/>
                <w:lang w:eastAsia="en-AU"/>
              </w:rPr>
            </w:pPr>
            <w:r w:rsidRPr="006A74F8">
              <w:t>3. Application f</w:t>
            </w:r>
            <w:r w:rsidR="00FE4C33" w:rsidRPr="006A74F8">
              <w:t>orm</w:t>
            </w:r>
          </w:p>
        </w:tc>
        <w:tc>
          <w:tcPr>
            <w:tcW w:w="1994" w:type="dxa"/>
            <w:tcBorders>
              <w:top w:val="nil"/>
              <w:left w:val="nil"/>
              <w:bottom w:val="nil"/>
              <w:right w:val="single" w:sz="8" w:space="0" w:color="auto"/>
            </w:tcBorders>
            <w:shd w:val="clear" w:color="auto" w:fill="auto"/>
            <w:noWrap/>
            <w:hideMark/>
          </w:tcPr>
          <w:p w:rsidR="00FE4C33" w:rsidRPr="006A74F8" w:rsidRDefault="00FE4C33" w:rsidP="005B3395">
            <w:pPr>
              <w:spacing w:after="0" w:line="240" w:lineRule="auto"/>
              <w:jc w:val="right"/>
              <w:rPr>
                <w:rFonts w:ascii="Calibri" w:eastAsia="Times New Roman" w:hAnsi="Calibri" w:cs="Calibri"/>
                <w:color w:val="000000"/>
                <w:lang w:eastAsia="en-AU"/>
              </w:rPr>
            </w:pPr>
            <w:r w:rsidRPr="006A74F8">
              <w:t xml:space="preserve"> $15,405 </w:t>
            </w:r>
          </w:p>
        </w:tc>
      </w:tr>
      <w:tr w:rsidR="00FE4C33" w:rsidRPr="006A74F8" w:rsidTr="00682CA1">
        <w:trPr>
          <w:trHeight w:val="225"/>
        </w:trPr>
        <w:tc>
          <w:tcPr>
            <w:tcW w:w="4830" w:type="dxa"/>
            <w:tcBorders>
              <w:top w:val="nil"/>
              <w:left w:val="single" w:sz="8" w:space="0" w:color="auto"/>
              <w:bottom w:val="nil"/>
              <w:right w:val="nil"/>
            </w:tcBorders>
            <w:shd w:val="clear" w:color="auto" w:fill="auto"/>
            <w:noWrap/>
            <w:hideMark/>
          </w:tcPr>
          <w:p w:rsidR="00FE4C33" w:rsidRPr="006A74F8" w:rsidRDefault="00FE4C33" w:rsidP="005B3395">
            <w:pPr>
              <w:spacing w:after="0" w:line="240" w:lineRule="auto"/>
              <w:rPr>
                <w:rFonts w:ascii="Calibri" w:eastAsia="Times New Roman" w:hAnsi="Calibri" w:cs="Calibri"/>
                <w:color w:val="000000"/>
                <w:lang w:eastAsia="en-AU"/>
              </w:rPr>
            </w:pPr>
            <w:r w:rsidRPr="006A74F8">
              <w:t>4. Logistics</w:t>
            </w:r>
          </w:p>
        </w:tc>
        <w:tc>
          <w:tcPr>
            <w:tcW w:w="1994" w:type="dxa"/>
            <w:tcBorders>
              <w:top w:val="nil"/>
              <w:left w:val="nil"/>
              <w:right w:val="single" w:sz="8" w:space="0" w:color="auto"/>
            </w:tcBorders>
            <w:shd w:val="clear" w:color="auto" w:fill="auto"/>
            <w:noWrap/>
            <w:hideMark/>
          </w:tcPr>
          <w:p w:rsidR="00FE4C33" w:rsidRPr="006A74F8" w:rsidRDefault="00FE4C33" w:rsidP="005B3395">
            <w:pPr>
              <w:spacing w:after="0" w:line="240" w:lineRule="auto"/>
              <w:jc w:val="right"/>
              <w:rPr>
                <w:rFonts w:ascii="Calibri" w:eastAsia="Times New Roman" w:hAnsi="Calibri" w:cs="Calibri"/>
                <w:color w:val="000000"/>
                <w:lang w:eastAsia="en-AU"/>
              </w:rPr>
            </w:pPr>
            <w:r w:rsidRPr="006A74F8">
              <w:t xml:space="preserve"> $11,120 </w:t>
            </w:r>
          </w:p>
        </w:tc>
      </w:tr>
      <w:tr w:rsidR="00FE4C33" w:rsidRPr="006A74F8" w:rsidTr="00682CA1">
        <w:trPr>
          <w:trHeight w:val="225"/>
        </w:trPr>
        <w:tc>
          <w:tcPr>
            <w:tcW w:w="4830" w:type="dxa"/>
            <w:tcBorders>
              <w:top w:val="nil"/>
              <w:left w:val="single" w:sz="8" w:space="0" w:color="auto"/>
              <w:bottom w:val="nil"/>
              <w:right w:val="nil"/>
            </w:tcBorders>
            <w:shd w:val="clear" w:color="auto" w:fill="auto"/>
            <w:noWrap/>
          </w:tcPr>
          <w:p w:rsidR="00FE4C33" w:rsidRPr="006A74F8" w:rsidRDefault="00FE4C33" w:rsidP="005B3395">
            <w:pPr>
              <w:spacing w:after="0" w:line="240" w:lineRule="auto"/>
              <w:rPr>
                <w:rFonts w:ascii="Calibri" w:eastAsia="Times New Roman" w:hAnsi="Calibri" w:cs="Calibri"/>
                <w:color w:val="000000"/>
                <w:lang w:eastAsia="en-AU"/>
              </w:rPr>
            </w:pPr>
            <w:r w:rsidRPr="006A74F8">
              <w:t xml:space="preserve">5. Review the draft certificate </w:t>
            </w:r>
          </w:p>
        </w:tc>
        <w:tc>
          <w:tcPr>
            <w:tcW w:w="1994" w:type="dxa"/>
            <w:tcBorders>
              <w:top w:val="nil"/>
              <w:left w:val="nil"/>
              <w:right w:val="single" w:sz="8" w:space="0" w:color="auto"/>
            </w:tcBorders>
            <w:shd w:val="clear" w:color="auto" w:fill="auto"/>
            <w:noWrap/>
          </w:tcPr>
          <w:p w:rsidR="00FE4C33" w:rsidRPr="006A74F8" w:rsidRDefault="00FE4C33" w:rsidP="005B3395">
            <w:pPr>
              <w:spacing w:after="0" w:line="240" w:lineRule="auto"/>
              <w:jc w:val="right"/>
            </w:pPr>
            <w:r w:rsidRPr="006A74F8">
              <w:t xml:space="preserve"> $30,810 </w:t>
            </w:r>
          </w:p>
        </w:tc>
      </w:tr>
      <w:tr w:rsidR="00FE4C33" w:rsidRPr="006A74F8" w:rsidTr="00682CA1">
        <w:trPr>
          <w:trHeight w:val="225"/>
        </w:trPr>
        <w:tc>
          <w:tcPr>
            <w:tcW w:w="4830" w:type="dxa"/>
            <w:tcBorders>
              <w:top w:val="nil"/>
              <w:left w:val="single" w:sz="8" w:space="0" w:color="auto"/>
              <w:bottom w:val="nil"/>
              <w:right w:val="nil"/>
            </w:tcBorders>
            <w:shd w:val="clear" w:color="auto" w:fill="auto"/>
            <w:noWrap/>
            <w:hideMark/>
          </w:tcPr>
          <w:p w:rsidR="00FE4C33" w:rsidRPr="006A74F8" w:rsidRDefault="00FE4C33" w:rsidP="005B3395">
            <w:pPr>
              <w:spacing w:after="0" w:line="240" w:lineRule="auto"/>
              <w:rPr>
                <w:rFonts w:ascii="Calibri" w:eastAsia="Times New Roman" w:hAnsi="Calibri" w:cs="Calibri"/>
                <w:color w:val="000000"/>
                <w:lang w:eastAsia="en-AU"/>
              </w:rPr>
            </w:pPr>
            <w:r w:rsidRPr="006A74F8">
              <w:t xml:space="preserve">6. Cost instrument redesign </w:t>
            </w:r>
          </w:p>
        </w:tc>
        <w:tc>
          <w:tcPr>
            <w:tcW w:w="1994" w:type="dxa"/>
            <w:tcBorders>
              <w:top w:val="nil"/>
              <w:left w:val="nil"/>
              <w:bottom w:val="single" w:sz="4" w:space="0" w:color="auto"/>
              <w:right w:val="single" w:sz="8" w:space="0" w:color="auto"/>
            </w:tcBorders>
            <w:shd w:val="clear" w:color="auto" w:fill="auto"/>
            <w:noWrap/>
            <w:hideMark/>
          </w:tcPr>
          <w:p w:rsidR="00FE4C33" w:rsidRPr="006A74F8" w:rsidRDefault="00FE4C33" w:rsidP="005B3395">
            <w:pPr>
              <w:spacing w:after="0" w:line="240" w:lineRule="auto"/>
              <w:jc w:val="right"/>
              <w:rPr>
                <w:rFonts w:ascii="Calibri" w:eastAsia="Times New Roman" w:hAnsi="Calibri" w:cs="Calibri"/>
                <w:color w:val="000000"/>
                <w:lang w:eastAsia="en-AU"/>
              </w:rPr>
            </w:pPr>
            <w:r w:rsidRPr="006A74F8">
              <w:t xml:space="preserve"> $15,405 </w:t>
            </w:r>
          </w:p>
        </w:tc>
      </w:tr>
      <w:tr w:rsidR="00FE4C33" w:rsidRPr="006A74F8" w:rsidTr="00682CA1">
        <w:trPr>
          <w:trHeight w:val="232"/>
        </w:trPr>
        <w:tc>
          <w:tcPr>
            <w:tcW w:w="4830" w:type="dxa"/>
            <w:tcBorders>
              <w:top w:val="nil"/>
              <w:left w:val="single" w:sz="8" w:space="0" w:color="auto"/>
              <w:bottom w:val="single" w:sz="8" w:space="0" w:color="auto"/>
              <w:right w:val="nil"/>
            </w:tcBorders>
            <w:shd w:val="clear" w:color="auto" w:fill="auto"/>
            <w:noWrap/>
            <w:hideMark/>
          </w:tcPr>
          <w:p w:rsidR="00FE4C33" w:rsidRPr="006A74F8" w:rsidRDefault="00FE4C33" w:rsidP="005B3395">
            <w:pPr>
              <w:spacing w:after="0" w:line="240" w:lineRule="auto"/>
              <w:rPr>
                <w:rFonts w:ascii="Calibri" w:eastAsia="Times New Roman" w:hAnsi="Calibri" w:cs="Calibri"/>
                <w:b/>
                <w:color w:val="000000"/>
                <w:lang w:eastAsia="en-AU"/>
              </w:rPr>
            </w:pPr>
            <w:r w:rsidRPr="006A74F8">
              <w:t xml:space="preserve">Total Regulatory Burden of </w:t>
            </w:r>
            <w:r w:rsidR="00203D5A" w:rsidRPr="006A74F8">
              <w:t>pattern approval</w:t>
            </w:r>
            <w:r w:rsidR="00617D96" w:rsidRPr="0092439E">
              <w:rPr>
                <w:rStyle w:val="FootnoteReference"/>
              </w:rPr>
              <w:footnoteReference w:id="186"/>
            </w:r>
          </w:p>
        </w:tc>
        <w:tc>
          <w:tcPr>
            <w:tcW w:w="1994" w:type="dxa"/>
            <w:tcBorders>
              <w:top w:val="single" w:sz="4" w:space="0" w:color="auto"/>
              <w:left w:val="nil"/>
              <w:bottom w:val="single" w:sz="8" w:space="0" w:color="auto"/>
              <w:right w:val="single" w:sz="8" w:space="0" w:color="auto"/>
            </w:tcBorders>
            <w:shd w:val="clear" w:color="auto" w:fill="auto"/>
            <w:noWrap/>
            <w:hideMark/>
          </w:tcPr>
          <w:p w:rsidR="00FE4C33" w:rsidRPr="006A74F8" w:rsidRDefault="00FE4C33" w:rsidP="005B3395">
            <w:pPr>
              <w:spacing w:after="0" w:line="240" w:lineRule="auto"/>
              <w:jc w:val="right"/>
              <w:rPr>
                <w:rFonts w:ascii="Calibri" w:eastAsia="Times New Roman" w:hAnsi="Calibri" w:cs="Calibri"/>
                <w:b/>
                <w:color w:val="000000"/>
                <w:lang w:eastAsia="en-AU"/>
              </w:rPr>
            </w:pPr>
            <w:r w:rsidRPr="006A74F8">
              <w:rPr>
                <w:b/>
              </w:rPr>
              <w:t xml:space="preserve"> $180,573 </w:t>
            </w:r>
          </w:p>
        </w:tc>
      </w:tr>
    </w:tbl>
    <w:p w:rsidR="00FE4C33" w:rsidRPr="006A74F8" w:rsidRDefault="00FE4C33" w:rsidP="006C3DCA">
      <w:pPr>
        <w:spacing w:before="160"/>
      </w:pPr>
      <w:r w:rsidRPr="006A74F8">
        <w:t>The estimation of cost is based on the requirements imposed for the pattern approval application process under regulations 58 and 63</w:t>
      </w:r>
      <w:r w:rsidR="006C3DCA" w:rsidRPr="006A74F8">
        <w:t>.</w:t>
      </w:r>
      <w:r w:rsidRPr="006A74F8">
        <w:rPr>
          <w:rStyle w:val="FootnoteReference"/>
        </w:rPr>
        <w:footnoteReference w:id="187"/>
      </w:r>
      <w:r w:rsidRPr="006A74F8">
        <w:t xml:space="preserve"> </w:t>
      </w:r>
      <w:r w:rsidR="006C3DCA" w:rsidRPr="006A74F8">
        <w:t>This is</w:t>
      </w:r>
      <w:r w:rsidRPr="006A74F8">
        <w:t xml:space="preserve"> comprised of</w:t>
      </w:r>
      <w:r w:rsidR="009D731D" w:rsidRPr="006A74F8">
        <w:t xml:space="preserve"> 6 activities</w:t>
      </w:r>
      <w:r w:rsidRPr="006A74F8">
        <w:t>:</w:t>
      </w:r>
    </w:p>
    <w:p w:rsidR="00FE4C33" w:rsidRPr="006A74F8" w:rsidRDefault="00FE4C33" w:rsidP="00D569B9">
      <w:pPr>
        <w:pStyle w:val="ListParagraph"/>
        <w:numPr>
          <w:ilvl w:val="0"/>
          <w:numId w:val="288"/>
        </w:numPr>
      </w:pPr>
      <w:r w:rsidRPr="006A74F8">
        <w:rPr>
          <w:b/>
        </w:rPr>
        <w:t>Time cost to understand pattern approval requirements:</w:t>
      </w:r>
      <w:r w:rsidRPr="006A74F8">
        <w:t xml:space="preserve"> This is the time that a business needs to understand the relevant standard and testing required in preparation for application. The calculation discounts the time required by 50 per cent as efficiencies and learning are gained as the firm makes subsequent applications. Companies develop an understanding of approval requirements and applicable international </w:t>
      </w:r>
      <w:r w:rsidR="00B527D3" w:rsidRPr="006A74F8">
        <w:t xml:space="preserve">documentary </w:t>
      </w:r>
      <w:r w:rsidRPr="006A74F8">
        <w:t xml:space="preserve">standards to benefit their global operations. In this case, the adoption of international </w:t>
      </w:r>
      <w:r w:rsidR="00B527D3" w:rsidRPr="006A74F8">
        <w:t>documentary</w:t>
      </w:r>
      <w:r w:rsidRPr="006A74F8">
        <w:t xml:space="preserve"> standards clearly enables industry efficiency.</w:t>
      </w:r>
    </w:p>
    <w:p w:rsidR="00FE4C33" w:rsidRPr="006A74F8" w:rsidRDefault="00FE4C33" w:rsidP="00D569B9">
      <w:pPr>
        <w:pStyle w:val="ListParagraph"/>
        <w:numPr>
          <w:ilvl w:val="0"/>
          <w:numId w:val="288"/>
        </w:numPr>
      </w:pPr>
      <w:r w:rsidRPr="006A74F8">
        <w:rPr>
          <w:b/>
        </w:rPr>
        <w:lastRenderedPageBreak/>
        <w:t>Application preparation</w:t>
      </w:r>
      <w:r w:rsidRPr="006A74F8">
        <w:t>: This includes costing the burden of time and labour to understand the requirements for a specific NMI M or NMI R</w:t>
      </w:r>
      <w:r w:rsidRPr="006A74F8">
        <w:rPr>
          <w:rStyle w:val="FootnoteReference"/>
        </w:rPr>
        <w:footnoteReference w:id="188"/>
      </w:r>
      <w:r w:rsidRPr="006A74F8">
        <w:t xml:space="preserve"> document in the process of preparation for application. </w:t>
      </w:r>
    </w:p>
    <w:p w:rsidR="00FE4C33" w:rsidRPr="006A74F8" w:rsidRDefault="00FE4C33" w:rsidP="00D569B9">
      <w:pPr>
        <w:pStyle w:val="ListParagraph"/>
        <w:numPr>
          <w:ilvl w:val="0"/>
          <w:numId w:val="288"/>
        </w:numPr>
      </w:pPr>
      <w:r w:rsidRPr="006A74F8">
        <w:rPr>
          <w:b/>
        </w:rPr>
        <w:t>Application form completion</w:t>
      </w:r>
      <w:r w:rsidRPr="006A74F8">
        <w:t>: Time taken for the business to complete the pattern approval application</w:t>
      </w:r>
      <w:r w:rsidR="00057F51" w:rsidRPr="006A74F8">
        <w:t>.</w:t>
      </w:r>
    </w:p>
    <w:p w:rsidR="00FE4C33" w:rsidRPr="006A74F8" w:rsidRDefault="00FE4C33" w:rsidP="00D569B9">
      <w:pPr>
        <w:pStyle w:val="ListParagraph"/>
        <w:numPr>
          <w:ilvl w:val="0"/>
          <w:numId w:val="288"/>
        </w:numPr>
      </w:pPr>
      <w:r w:rsidRPr="006A74F8">
        <w:rPr>
          <w:b/>
        </w:rPr>
        <w:t>Logistical costs</w:t>
      </w:r>
      <w:r w:rsidRPr="006A74F8">
        <w:t>: Cost to business to transport the prototype measuring instrument to the pattern approval laboratories</w:t>
      </w:r>
      <w:r w:rsidR="003A53A3" w:rsidRPr="006A74F8">
        <w:t>,</w:t>
      </w:r>
      <w:r w:rsidRPr="006A74F8">
        <w:t xml:space="preserve"> where this is needed </w:t>
      </w:r>
      <w:r w:rsidR="003A53A3" w:rsidRPr="006A74F8">
        <w:t>(</w:t>
      </w:r>
      <w:r w:rsidRPr="006A74F8">
        <w:t>noting not all applications provide a prototype</w:t>
      </w:r>
      <w:r w:rsidR="003A53A3" w:rsidRPr="006A74F8">
        <w:t>)</w:t>
      </w:r>
      <w:r w:rsidRPr="006A74F8">
        <w:t>.</w:t>
      </w:r>
    </w:p>
    <w:p w:rsidR="00FE4C33" w:rsidRPr="006A74F8" w:rsidRDefault="00FE4C33" w:rsidP="00D569B9">
      <w:pPr>
        <w:pStyle w:val="ListParagraph"/>
        <w:numPr>
          <w:ilvl w:val="0"/>
          <w:numId w:val="288"/>
        </w:numPr>
      </w:pPr>
      <w:r w:rsidRPr="006A74F8">
        <w:rPr>
          <w:b/>
        </w:rPr>
        <w:t>Cost of redesigning the measuring instrument</w:t>
      </w:r>
      <w:r w:rsidRPr="006A74F8">
        <w:t xml:space="preserve">: Cost to the business to provide a technical solution required by the approval process. This would account for the time spent by a technical person, e.g. an engineer, and would assume a high rate of efficiency given the applicability of the changes at an international level, e.g. OIML R requirements apply internationally.  </w:t>
      </w:r>
    </w:p>
    <w:p w:rsidR="00FE4C33" w:rsidRPr="006A74F8" w:rsidRDefault="00FE4C33" w:rsidP="00D569B9">
      <w:pPr>
        <w:pStyle w:val="ListParagraph"/>
        <w:numPr>
          <w:ilvl w:val="0"/>
          <w:numId w:val="288"/>
        </w:numPr>
      </w:pPr>
      <w:r w:rsidRPr="006A74F8">
        <w:rPr>
          <w:b/>
        </w:rPr>
        <w:t>Review the draft approval certificate</w:t>
      </w:r>
      <w:r w:rsidRPr="006A74F8">
        <w:t xml:space="preserve">: The manufacturer </w:t>
      </w:r>
      <w:r w:rsidR="00A77C65" w:rsidRPr="006A74F8">
        <w:t>review</w:t>
      </w:r>
      <w:r w:rsidRPr="006A74F8">
        <w:t>s the draft certificate prior to NMI issuing the final certificate of approval.</w:t>
      </w:r>
    </w:p>
    <w:p w:rsidR="00FE4C33" w:rsidRPr="006A74F8" w:rsidRDefault="00FE4C33" w:rsidP="00FE4C33">
      <w:pPr>
        <w:rPr>
          <w:b/>
        </w:rPr>
      </w:pPr>
      <w:r w:rsidRPr="006A74F8">
        <w:rPr>
          <w:b/>
        </w:rPr>
        <w:t xml:space="preserve">Methodology, </w:t>
      </w:r>
      <w:r w:rsidR="00C56EC9" w:rsidRPr="006A74F8">
        <w:rPr>
          <w:b/>
        </w:rPr>
        <w:t>assumptions</w:t>
      </w:r>
      <w:r w:rsidRPr="006A74F8">
        <w:rPr>
          <w:b/>
        </w:rPr>
        <w:t xml:space="preserve"> and </w:t>
      </w:r>
      <w:r w:rsidR="00C56EC9" w:rsidRPr="006A74F8">
        <w:rPr>
          <w:b/>
        </w:rPr>
        <w:t>data s</w:t>
      </w:r>
      <w:r w:rsidRPr="006A74F8">
        <w:rPr>
          <w:b/>
        </w:rPr>
        <w:t>ources</w:t>
      </w:r>
    </w:p>
    <w:p w:rsidR="008D31A7" w:rsidRPr="006A74F8" w:rsidRDefault="008619FA" w:rsidP="00BD4207">
      <w:pPr>
        <w:spacing w:line="240" w:lineRule="auto"/>
        <w:rPr>
          <w:rFonts w:ascii="Calibri" w:eastAsia="Times New Roman" w:hAnsi="Calibri" w:cs="Calibri"/>
          <w:lang w:eastAsia="en-AU"/>
        </w:rPr>
      </w:pPr>
      <w:r w:rsidRPr="006A74F8">
        <w:t>The burden for each of the 5</w:t>
      </w:r>
      <w:r w:rsidR="00FE4C33" w:rsidRPr="006A74F8">
        <w:t xml:space="preserve"> expense items </w:t>
      </w:r>
      <w:r w:rsidR="00AF2109" w:rsidRPr="006A74F8">
        <w:t>below</w:t>
      </w:r>
      <w:r w:rsidR="00FE4C33" w:rsidRPr="006A74F8">
        <w:t xml:space="preserve"> is calculated based on estimation of the following variables:</w:t>
      </w:r>
      <w:r w:rsidR="008D31A7" w:rsidRPr="006A74F8">
        <w:rPr>
          <w:rFonts w:ascii="Calibri" w:eastAsia="Times New Roman" w:hAnsi="Calibri" w:cs="Calibri"/>
          <w:lang w:eastAsia="en-AU"/>
        </w:rPr>
        <w:t xml:space="preserve"> </w:t>
      </w:r>
    </w:p>
    <w:p w:rsidR="008D31A7" w:rsidRPr="006A74F8" w:rsidRDefault="008D31A7" w:rsidP="000F50F5">
      <w:pPr>
        <w:pStyle w:val="ListParagraph"/>
        <w:numPr>
          <w:ilvl w:val="0"/>
          <w:numId w:val="133"/>
        </w:numPr>
        <w:spacing w:after="0" w:line="240" w:lineRule="auto"/>
        <w:rPr>
          <w:rFonts w:ascii="Calibri" w:eastAsia="Times New Roman" w:hAnsi="Calibri" w:cs="Calibri"/>
          <w:lang w:eastAsia="en-AU"/>
        </w:rPr>
      </w:pPr>
      <w:r w:rsidRPr="006A74F8">
        <w:rPr>
          <w:rFonts w:ascii="Calibri" w:eastAsia="Times New Roman" w:hAnsi="Calibri" w:cs="Calibri"/>
          <w:lang w:eastAsia="en-AU"/>
        </w:rPr>
        <w:t xml:space="preserve">Average </w:t>
      </w:r>
      <w:r w:rsidR="009D731D" w:rsidRPr="006A74F8">
        <w:rPr>
          <w:rFonts w:ascii="Calibri" w:eastAsia="Times New Roman" w:hAnsi="Calibri" w:cs="Calibri"/>
          <w:lang w:eastAsia="en-AU"/>
        </w:rPr>
        <w:t>n</w:t>
      </w:r>
      <w:r w:rsidRPr="006A74F8">
        <w:rPr>
          <w:rFonts w:ascii="Calibri" w:eastAsia="Times New Roman" w:hAnsi="Calibri" w:cs="Calibri"/>
          <w:lang w:eastAsia="en-AU"/>
        </w:rPr>
        <w:t xml:space="preserve">umber of applications </w:t>
      </w:r>
    </w:p>
    <w:p w:rsidR="008D31A7" w:rsidRPr="006A74F8" w:rsidRDefault="008D31A7" w:rsidP="000F50F5">
      <w:pPr>
        <w:pStyle w:val="ListParagraph"/>
        <w:numPr>
          <w:ilvl w:val="0"/>
          <w:numId w:val="133"/>
        </w:numPr>
        <w:spacing w:after="0" w:line="240" w:lineRule="auto"/>
        <w:rPr>
          <w:rFonts w:ascii="Calibri" w:eastAsia="Times New Roman" w:hAnsi="Calibri" w:cs="Calibri"/>
          <w:lang w:eastAsia="en-AU"/>
        </w:rPr>
      </w:pPr>
      <w:r w:rsidRPr="006A74F8">
        <w:rPr>
          <w:rFonts w:ascii="Calibri" w:eastAsia="Times New Roman" w:hAnsi="Calibri" w:cs="Calibri"/>
          <w:lang w:eastAsia="en-AU"/>
        </w:rPr>
        <w:t>Number of staff per business performing activity?</w:t>
      </w:r>
    </w:p>
    <w:p w:rsidR="008D31A7" w:rsidRPr="006A74F8" w:rsidRDefault="008D31A7" w:rsidP="000F50F5">
      <w:pPr>
        <w:pStyle w:val="ListParagraph"/>
        <w:numPr>
          <w:ilvl w:val="0"/>
          <w:numId w:val="133"/>
        </w:numPr>
        <w:spacing w:after="0" w:line="240" w:lineRule="auto"/>
        <w:rPr>
          <w:rFonts w:ascii="Calibri" w:eastAsia="Times New Roman" w:hAnsi="Calibri" w:cs="Calibri"/>
          <w:lang w:eastAsia="en-AU"/>
        </w:rPr>
      </w:pPr>
      <w:r w:rsidRPr="006A74F8">
        <w:rPr>
          <w:rFonts w:ascii="Calibri" w:eastAsia="Times New Roman" w:hAnsi="Calibri" w:cs="Calibri"/>
          <w:lang w:eastAsia="en-AU"/>
        </w:rPr>
        <w:t>Number of times activity performed per year per staff?</w:t>
      </w:r>
    </w:p>
    <w:p w:rsidR="008D31A7" w:rsidRPr="006A74F8" w:rsidRDefault="008D31A7" w:rsidP="000F50F5">
      <w:pPr>
        <w:pStyle w:val="ListParagraph"/>
        <w:numPr>
          <w:ilvl w:val="0"/>
          <w:numId w:val="133"/>
        </w:numPr>
        <w:spacing w:after="0" w:line="240" w:lineRule="auto"/>
        <w:rPr>
          <w:rFonts w:ascii="Calibri" w:eastAsia="Times New Roman" w:hAnsi="Calibri" w:cs="Calibri"/>
          <w:lang w:eastAsia="en-AU"/>
        </w:rPr>
      </w:pPr>
      <w:r w:rsidRPr="006A74F8">
        <w:rPr>
          <w:rFonts w:ascii="Calibri" w:eastAsia="Times New Roman" w:hAnsi="Calibri" w:cs="Calibri"/>
          <w:lang w:eastAsia="en-AU"/>
        </w:rPr>
        <w:t>Labour cost ($/hr) (wage + non-wage labour costs)</w:t>
      </w:r>
    </w:p>
    <w:p w:rsidR="00FE4C33" w:rsidRPr="006A74F8" w:rsidRDefault="008D31A7" w:rsidP="00BD4207">
      <w:pPr>
        <w:pStyle w:val="ListParagraph"/>
        <w:numPr>
          <w:ilvl w:val="0"/>
          <w:numId w:val="133"/>
        </w:numPr>
        <w:spacing w:line="240" w:lineRule="auto"/>
        <w:rPr>
          <w:rFonts w:ascii="Calibri" w:eastAsia="Times New Roman" w:hAnsi="Calibri" w:cs="Calibri"/>
          <w:lang w:eastAsia="en-AU"/>
        </w:rPr>
      </w:pPr>
      <w:r w:rsidRPr="006A74F8">
        <w:rPr>
          <w:rFonts w:ascii="Calibri" w:eastAsia="Times New Roman" w:hAnsi="Calibri" w:cs="Calibri"/>
          <w:lang w:eastAsia="en-AU"/>
        </w:rPr>
        <w:t>Average cost of transporting prototype</w:t>
      </w:r>
    </w:p>
    <w:p w:rsidR="00FE4C33" w:rsidRPr="006A74F8" w:rsidRDefault="008619FA" w:rsidP="00165F56">
      <w:pPr>
        <w:spacing w:before="120"/>
      </w:pPr>
      <w:r w:rsidRPr="006A74F8">
        <w:t>Each of the 5</w:t>
      </w:r>
      <w:r w:rsidR="00FE4C33" w:rsidRPr="006A74F8">
        <w:t xml:space="preserve"> cost items have been estimated on the basis of the following assumptions and data sources</w:t>
      </w:r>
      <w:r w:rsidR="00C56EC9" w:rsidRPr="006A74F8">
        <w:t xml:space="preserve"> outlined in the tables below.</w:t>
      </w:r>
    </w:p>
    <w:p w:rsidR="0015010A" w:rsidRPr="006A74F8" w:rsidRDefault="0015010A" w:rsidP="0015010A">
      <w:pPr>
        <w:pStyle w:val="Caption"/>
        <w:keepNext/>
      </w:pPr>
      <w:r w:rsidRPr="006A74F8">
        <w:t xml:space="preserve">Table </w:t>
      </w:r>
      <w:r w:rsidR="00B1255E" w:rsidRPr="006A74F8">
        <w:t>A11</w:t>
      </w:r>
      <w:r w:rsidRPr="006A74F8">
        <w:t xml:space="preserve">- </w:t>
      </w:r>
      <w:r w:rsidR="00D003A8" w:rsidRPr="006A74F8">
        <w:rPr>
          <w:noProof/>
        </w:rPr>
        <w:fldChar w:fldCharType="begin"/>
      </w:r>
      <w:r w:rsidR="00D003A8" w:rsidRPr="006A74F8">
        <w:rPr>
          <w:noProof/>
        </w:rPr>
        <w:instrText xml:space="preserve"> SEQ Table_A12- \* ARABIC </w:instrText>
      </w:r>
      <w:r w:rsidR="00D003A8" w:rsidRPr="006A74F8">
        <w:rPr>
          <w:noProof/>
        </w:rPr>
        <w:fldChar w:fldCharType="separate"/>
      </w:r>
      <w:r w:rsidR="0033017F">
        <w:rPr>
          <w:noProof/>
        </w:rPr>
        <w:t>2</w:t>
      </w:r>
      <w:r w:rsidR="00D003A8" w:rsidRPr="006A74F8">
        <w:rPr>
          <w:noProof/>
        </w:rPr>
        <w:fldChar w:fldCharType="end"/>
      </w:r>
      <w:r w:rsidRPr="006A74F8">
        <w:t>: Assumptions for understanding pattern approval requirements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umptions for understanding pattern approval requirements"/>
        <w:tblDescription w:val="The cost of undertanding pattern approval requirements is estimated to be $77,026"/>
      </w:tblPr>
      <w:tblGrid>
        <w:gridCol w:w="1727"/>
        <w:gridCol w:w="1198"/>
        <w:gridCol w:w="1582"/>
        <w:gridCol w:w="1300"/>
        <w:gridCol w:w="3402"/>
      </w:tblGrid>
      <w:tr w:rsidR="00FE4C33" w:rsidRPr="006A74F8" w:rsidTr="009F6314">
        <w:trPr>
          <w:trHeight w:val="450"/>
          <w:tblHeader/>
        </w:trPr>
        <w:tc>
          <w:tcPr>
            <w:tcW w:w="1727" w:type="dxa"/>
            <w:shd w:val="clear" w:color="auto" w:fill="1F3864"/>
            <w:hideMark/>
          </w:tcPr>
          <w:p w:rsidR="00FE4C33" w:rsidRPr="006A74F8" w:rsidRDefault="00FE4C33" w:rsidP="005B3395">
            <w:pPr>
              <w:pStyle w:val="ListParagraph"/>
              <w:ind w:left="360"/>
              <w:rPr>
                <w:b/>
                <w:sz w:val="18"/>
                <w:szCs w:val="16"/>
              </w:rPr>
            </w:pPr>
            <w:r w:rsidRPr="006A74F8">
              <w:rPr>
                <w:b/>
                <w:sz w:val="18"/>
                <w:szCs w:val="16"/>
              </w:rPr>
              <w:t>Activity</w:t>
            </w:r>
          </w:p>
        </w:tc>
        <w:tc>
          <w:tcPr>
            <w:tcW w:w="1198" w:type="dxa"/>
            <w:shd w:val="clear" w:color="auto" w:fill="1F3864"/>
            <w:hideMark/>
          </w:tcPr>
          <w:p w:rsidR="00FE4C33" w:rsidRPr="006A74F8" w:rsidRDefault="00FE4C33" w:rsidP="005B3395">
            <w:pPr>
              <w:pStyle w:val="ListParagraph"/>
              <w:ind w:left="360"/>
              <w:rPr>
                <w:b/>
                <w:sz w:val="18"/>
                <w:szCs w:val="16"/>
              </w:rPr>
            </w:pPr>
            <w:r w:rsidRPr="006A74F8">
              <w:rPr>
                <w:b/>
                <w:sz w:val="18"/>
                <w:szCs w:val="16"/>
              </w:rPr>
              <w:t>Requirement</w:t>
            </w:r>
          </w:p>
        </w:tc>
        <w:tc>
          <w:tcPr>
            <w:tcW w:w="1582" w:type="dxa"/>
            <w:shd w:val="clear" w:color="auto" w:fill="1F3864"/>
            <w:hideMark/>
          </w:tcPr>
          <w:p w:rsidR="00FE4C33" w:rsidRPr="006A74F8" w:rsidRDefault="00FE4C33" w:rsidP="005B3395">
            <w:pPr>
              <w:pStyle w:val="ListParagraph"/>
              <w:ind w:left="360"/>
              <w:rPr>
                <w:b/>
                <w:sz w:val="18"/>
                <w:szCs w:val="16"/>
              </w:rPr>
            </w:pPr>
            <w:r w:rsidRPr="006A74F8">
              <w:rPr>
                <w:b/>
                <w:sz w:val="18"/>
                <w:szCs w:val="16"/>
              </w:rPr>
              <w:t>Variable</w:t>
            </w:r>
          </w:p>
        </w:tc>
        <w:tc>
          <w:tcPr>
            <w:tcW w:w="1300" w:type="dxa"/>
            <w:shd w:val="clear" w:color="auto" w:fill="1F3864"/>
            <w:noWrap/>
            <w:hideMark/>
          </w:tcPr>
          <w:p w:rsidR="00FE4C33" w:rsidRPr="006A74F8" w:rsidRDefault="00FE4C33" w:rsidP="005B3395">
            <w:pPr>
              <w:pStyle w:val="ListParagraph"/>
              <w:ind w:left="360"/>
              <w:jc w:val="center"/>
              <w:rPr>
                <w:b/>
                <w:sz w:val="18"/>
                <w:szCs w:val="16"/>
              </w:rPr>
            </w:pPr>
          </w:p>
        </w:tc>
        <w:tc>
          <w:tcPr>
            <w:tcW w:w="3402" w:type="dxa"/>
            <w:shd w:val="clear" w:color="auto" w:fill="1F3864"/>
            <w:hideMark/>
          </w:tcPr>
          <w:p w:rsidR="00FE4C33" w:rsidRPr="006A74F8" w:rsidRDefault="00FE4C33" w:rsidP="005B3395">
            <w:pPr>
              <w:pStyle w:val="ListParagraph"/>
              <w:ind w:left="360"/>
              <w:rPr>
                <w:b/>
                <w:sz w:val="18"/>
                <w:szCs w:val="16"/>
              </w:rPr>
            </w:pPr>
            <w:r w:rsidRPr="006A74F8">
              <w:rPr>
                <w:b/>
                <w:sz w:val="18"/>
                <w:szCs w:val="16"/>
              </w:rPr>
              <w:t>Assumptions</w:t>
            </w:r>
          </w:p>
        </w:tc>
      </w:tr>
      <w:tr w:rsidR="00FE4C33" w:rsidRPr="006A74F8" w:rsidTr="005B3395">
        <w:trPr>
          <w:trHeight w:val="870"/>
        </w:trPr>
        <w:tc>
          <w:tcPr>
            <w:tcW w:w="1727" w:type="dxa"/>
            <w:vMerge w:val="restart"/>
            <w:hideMark/>
          </w:tcPr>
          <w:p w:rsidR="00FE4C33" w:rsidRPr="006A74F8" w:rsidRDefault="00FE4C33" w:rsidP="005B3395">
            <w:pPr>
              <w:pStyle w:val="ListParagraph"/>
              <w:ind w:left="171" w:hanging="142"/>
              <w:rPr>
                <w:sz w:val="18"/>
                <w:szCs w:val="16"/>
              </w:rPr>
            </w:pPr>
            <w:r w:rsidRPr="006A74F8">
              <w:rPr>
                <w:sz w:val="18"/>
                <w:szCs w:val="16"/>
              </w:rPr>
              <w:t xml:space="preserve">1. Understanding </w:t>
            </w:r>
            <w:r w:rsidR="00203D5A" w:rsidRPr="006A74F8">
              <w:rPr>
                <w:sz w:val="18"/>
                <w:szCs w:val="16"/>
              </w:rPr>
              <w:t xml:space="preserve">pattern approval </w:t>
            </w:r>
            <w:r w:rsidRPr="006A74F8">
              <w:rPr>
                <w:sz w:val="18"/>
                <w:szCs w:val="16"/>
              </w:rPr>
              <w:t>requirements</w:t>
            </w:r>
            <w:r w:rsidR="001F5BDF" w:rsidRPr="006A74F8">
              <w:rPr>
                <w:sz w:val="18"/>
                <w:szCs w:val="16"/>
              </w:rPr>
              <w:t>:</w:t>
            </w:r>
            <w:r w:rsidRPr="006A74F8">
              <w:rPr>
                <w:sz w:val="18"/>
                <w:szCs w:val="16"/>
              </w:rPr>
              <w:t xml:space="preserve">  This includes costing the time </w:t>
            </w:r>
            <w:r w:rsidR="0024555E" w:rsidRPr="006A74F8">
              <w:rPr>
                <w:sz w:val="18"/>
                <w:szCs w:val="16"/>
              </w:rPr>
              <w:t xml:space="preserve">burden </w:t>
            </w:r>
            <w:r w:rsidRPr="006A74F8">
              <w:rPr>
                <w:sz w:val="18"/>
                <w:szCs w:val="16"/>
              </w:rPr>
              <w:t>and labour to understand the requirements for a specific M or R document in the process of  preparation for application</w:t>
            </w:r>
          </w:p>
          <w:p w:rsidR="00FE4C33" w:rsidRPr="006A74F8" w:rsidRDefault="00FE4C33" w:rsidP="00682CA1">
            <w:pPr>
              <w:rPr>
                <w:sz w:val="18"/>
                <w:szCs w:val="16"/>
              </w:rPr>
            </w:pPr>
          </w:p>
        </w:tc>
        <w:tc>
          <w:tcPr>
            <w:tcW w:w="1198" w:type="dxa"/>
            <w:vMerge w:val="restart"/>
            <w:hideMark/>
          </w:tcPr>
          <w:p w:rsidR="00FE4C33" w:rsidRPr="006A74F8" w:rsidRDefault="00FE4C33" w:rsidP="005B3395">
            <w:pPr>
              <w:pStyle w:val="ListParagraph"/>
              <w:ind w:left="3" w:hanging="3"/>
              <w:rPr>
                <w:sz w:val="18"/>
                <w:szCs w:val="16"/>
              </w:rPr>
            </w:pPr>
            <w:r w:rsidRPr="006A74F8">
              <w:rPr>
                <w:sz w:val="18"/>
                <w:szCs w:val="16"/>
              </w:rPr>
              <w:lastRenderedPageBreak/>
              <w:t>Not legislated but assumed to occur</w:t>
            </w:r>
          </w:p>
          <w:p w:rsidR="00FE4C33" w:rsidRPr="006A74F8" w:rsidRDefault="00FE4C33" w:rsidP="005B3395">
            <w:pPr>
              <w:pStyle w:val="ListParagraph"/>
              <w:ind w:left="3" w:hanging="3"/>
              <w:rPr>
                <w:sz w:val="18"/>
                <w:szCs w:val="16"/>
              </w:rPr>
            </w:pPr>
          </w:p>
        </w:tc>
        <w:tc>
          <w:tcPr>
            <w:tcW w:w="1582" w:type="dxa"/>
            <w:hideMark/>
          </w:tcPr>
          <w:p w:rsidR="00FE4C33" w:rsidRPr="006A74F8" w:rsidRDefault="00FE4C33" w:rsidP="005B3395">
            <w:pPr>
              <w:pStyle w:val="ListParagraph"/>
              <w:ind w:left="0" w:firstLine="0"/>
              <w:rPr>
                <w:sz w:val="18"/>
                <w:szCs w:val="16"/>
              </w:rPr>
            </w:pPr>
            <w:r w:rsidRPr="006A74F8">
              <w:rPr>
                <w:sz w:val="18"/>
                <w:szCs w:val="16"/>
              </w:rPr>
              <w:t xml:space="preserve">Average Number of applications </w:t>
            </w:r>
          </w:p>
        </w:tc>
        <w:tc>
          <w:tcPr>
            <w:tcW w:w="1300" w:type="dxa"/>
            <w:noWrap/>
            <w:hideMark/>
          </w:tcPr>
          <w:p w:rsidR="00FE4C33" w:rsidRPr="006A74F8" w:rsidRDefault="00FE4C33" w:rsidP="005B3395">
            <w:pPr>
              <w:pStyle w:val="ListParagraph"/>
              <w:ind w:left="360"/>
              <w:jc w:val="center"/>
              <w:rPr>
                <w:sz w:val="18"/>
                <w:szCs w:val="16"/>
              </w:rPr>
            </w:pPr>
            <w:r w:rsidRPr="006A74F8">
              <w:rPr>
                <w:sz w:val="18"/>
                <w:szCs w:val="16"/>
              </w:rPr>
              <w:t>139</w:t>
            </w:r>
          </w:p>
        </w:tc>
        <w:tc>
          <w:tcPr>
            <w:tcW w:w="3402" w:type="dxa"/>
            <w:hideMark/>
          </w:tcPr>
          <w:p w:rsidR="00FE4C33" w:rsidRPr="006A74F8" w:rsidRDefault="00FE4C33" w:rsidP="005B3395">
            <w:pPr>
              <w:pStyle w:val="ListParagraph"/>
              <w:ind w:left="9" w:firstLine="0"/>
              <w:rPr>
                <w:sz w:val="18"/>
                <w:szCs w:val="16"/>
              </w:rPr>
            </w:pPr>
            <w:r w:rsidRPr="006A74F8">
              <w:rPr>
                <w:sz w:val="18"/>
                <w:szCs w:val="16"/>
              </w:rPr>
              <w:t xml:space="preserve"> Average annual number of applications = (average total number of applications over 10 years) 2008/09-2018/19 data pattern approval provides 1,392 applications 1,392 received/10 years = 139 per year</w:t>
            </w:r>
          </w:p>
        </w:tc>
      </w:tr>
      <w:tr w:rsidR="00FE4C33" w:rsidRPr="006A74F8" w:rsidTr="005B3395">
        <w:trPr>
          <w:trHeight w:val="290"/>
        </w:trPr>
        <w:tc>
          <w:tcPr>
            <w:tcW w:w="1727" w:type="dxa"/>
            <w:vMerge/>
            <w:hideMark/>
          </w:tcPr>
          <w:p w:rsidR="00FE4C33" w:rsidRPr="006A74F8" w:rsidRDefault="00FE4C33" w:rsidP="005B3395">
            <w:pPr>
              <w:pStyle w:val="ListParagraph"/>
              <w:ind w:left="360"/>
              <w:rPr>
                <w:sz w:val="18"/>
                <w:szCs w:val="16"/>
              </w:rPr>
            </w:pPr>
          </w:p>
        </w:tc>
        <w:tc>
          <w:tcPr>
            <w:tcW w:w="1198" w:type="dxa"/>
            <w:vMerge/>
            <w:hideMark/>
          </w:tcPr>
          <w:p w:rsidR="00FE4C33" w:rsidRPr="006A74F8" w:rsidRDefault="00FE4C33" w:rsidP="005B3395">
            <w:pPr>
              <w:pStyle w:val="ListParagraph"/>
              <w:ind w:left="360"/>
              <w:rPr>
                <w:sz w:val="18"/>
                <w:szCs w:val="16"/>
              </w:rPr>
            </w:pPr>
          </w:p>
        </w:tc>
        <w:tc>
          <w:tcPr>
            <w:tcW w:w="1582" w:type="dxa"/>
            <w:hideMark/>
          </w:tcPr>
          <w:p w:rsidR="00FE4C33" w:rsidRPr="006A74F8" w:rsidRDefault="00FE4C33" w:rsidP="005B3395">
            <w:pPr>
              <w:pStyle w:val="ListParagraph"/>
              <w:ind w:left="0" w:firstLine="0"/>
              <w:rPr>
                <w:sz w:val="18"/>
                <w:szCs w:val="16"/>
              </w:rPr>
            </w:pPr>
            <w:r w:rsidRPr="006A74F8">
              <w:rPr>
                <w:sz w:val="18"/>
                <w:szCs w:val="16"/>
              </w:rPr>
              <w:t>Number of staff per business performing activity</w:t>
            </w:r>
          </w:p>
        </w:tc>
        <w:tc>
          <w:tcPr>
            <w:tcW w:w="1300" w:type="dxa"/>
            <w:noWrap/>
            <w:hideMark/>
          </w:tcPr>
          <w:p w:rsidR="00FE4C33" w:rsidRPr="006A74F8" w:rsidRDefault="00FE4C33" w:rsidP="005B3395">
            <w:pPr>
              <w:pStyle w:val="ListParagraph"/>
              <w:ind w:left="360"/>
              <w:jc w:val="center"/>
              <w:rPr>
                <w:sz w:val="18"/>
                <w:szCs w:val="16"/>
              </w:rPr>
            </w:pPr>
            <w:r w:rsidRPr="006A74F8">
              <w:rPr>
                <w:sz w:val="18"/>
                <w:szCs w:val="16"/>
              </w:rPr>
              <w:t>1</w:t>
            </w:r>
          </w:p>
        </w:tc>
        <w:tc>
          <w:tcPr>
            <w:tcW w:w="3402" w:type="dxa"/>
            <w:hideMark/>
          </w:tcPr>
          <w:p w:rsidR="00FE4C33" w:rsidRPr="006A74F8" w:rsidRDefault="00FE4C33" w:rsidP="005B3395">
            <w:pPr>
              <w:pStyle w:val="ListParagraph"/>
              <w:ind w:left="9" w:firstLine="0"/>
              <w:rPr>
                <w:sz w:val="18"/>
                <w:szCs w:val="16"/>
              </w:rPr>
            </w:pPr>
            <w:r w:rsidRPr="006A74F8">
              <w:rPr>
                <w:sz w:val="18"/>
                <w:szCs w:val="16"/>
              </w:rPr>
              <w:t>NMI estimates one person allocated to the task</w:t>
            </w:r>
          </w:p>
        </w:tc>
      </w:tr>
      <w:tr w:rsidR="00FE4C33" w:rsidRPr="006A74F8" w:rsidTr="005B3395">
        <w:trPr>
          <w:trHeight w:val="290"/>
        </w:trPr>
        <w:tc>
          <w:tcPr>
            <w:tcW w:w="1727" w:type="dxa"/>
            <w:vMerge/>
            <w:hideMark/>
          </w:tcPr>
          <w:p w:rsidR="00FE4C33" w:rsidRPr="006A74F8" w:rsidRDefault="00FE4C33" w:rsidP="005B3395">
            <w:pPr>
              <w:pStyle w:val="ListParagraph"/>
              <w:ind w:left="360"/>
              <w:rPr>
                <w:sz w:val="18"/>
                <w:szCs w:val="16"/>
              </w:rPr>
            </w:pPr>
          </w:p>
        </w:tc>
        <w:tc>
          <w:tcPr>
            <w:tcW w:w="1198" w:type="dxa"/>
            <w:vMerge/>
            <w:hideMark/>
          </w:tcPr>
          <w:p w:rsidR="00FE4C33" w:rsidRPr="006A74F8" w:rsidRDefault="00FE4C33" w:rsidP="005B3395">
            <w:pPr>
              <w:pStyle w:val="ListParagraph"/>
              <w:ind w:left="360"/>
              <w:rPr>
                <w:sz w:val="18"/>
                <w:szCs w:val="16"/>
              </w:rPr>
            </w:pPr>
          </w:p>
        </w:tc>
        <w:tc>
          <w:tcPr>
            <w:tcW w:w="1582" w:type="dxa"/>
            <w:hideMark/>
          </w:tcPr>
          <w:p w:rsidR="00FE4C33" w:rsidRPr="006A74F8" w:rsidRDefault="00FE4C33" w:rsidP="005B3395">
            <w:pPr>
              <w:pStyle w:val="ListParagraph"/>
              <w:ind w:left="0" w:firstLine="0"/>
              <w:rPr>
                <w:sz w:val="18"/>
                <w:szCs w:val="16"/>
              </w:rPr>
            </w:pPr>
            <w:r w:rsidRPr="006A74F8">
              <w:rPr>
                <w:sz w:val="18"/>
                <w:szCs w:val="16"/>
              </w:rPr>
              <w:t>Number of times activity performed per year per staff</w:t>
            </w:r>
          </w:p>
        </w:tc>
        <w:tc>
          <w:tcPr>
            <w:tcW w:w="1300" w:type="dxa"/>
            <w:noWrap/>
            <w:hideMark/>
          </w:tcPr>
          <w:p w:rsidR="00FE4C33" w:rsidRPr="006A74F8" w:rsidRDefault="00FE4C33" w:rsidP="005B3395">
            <w:pPr>
              <w:pStyle w:val="ListParagraph"/>
              <w:ind w:left="360"/>
              <w:jc w:val="center"/>
              <w:rPr>
                <w:sz w:val="18"/>
                <w:szCs w:val="16"/>
              </w:rPr>
            </w:pPr>
            <w:r w:rsidRPr="006A74F8">
              <w:rPr>
                <w:sz w:val="18"/>
                <w:szCs w:val="16"/>
              </w:rPr>
              <w:t>1</w:t>
            </w:r>
          </w:p>
        </w:tc>
        <w:tc>
          <w:tcPr>
            <w:tcW w:w="3402" w:type="dxa"/>
            <w:hideMark/>
          </w:tcPr>
          <w:p w:rsidR="00FE4C33" w:rsidRPr="006A74F8" w:rsidRDefault="00FE4C33" w:rsidP="005B3395">
            <w:pPr>
              <w:pStyle w:val="ListParagraph"/>
              <w:ind w:left="9" w:firstLine="0"/>
              <w:rPr>
                <w:sz w:val="18"/>
                <w:szCs w:val="16"/>
              </w:rPr>
            </w:pPr>
            <w:r w:rsidRPr="006A74F8">
              <w:rPr>
                <w:sz w:val="18"/>
                <w:szCs w:val="16"/>
              </w:rPr>
              <w:t>Once a year based on annual applications</w:t>
            </w:r>
          </w:p>
        </w:tc>
      </w:tr>
      <w:tr w:rsidR="00FE4C33" w:rsidRPr="006A74F8" w:rsidTr="005B3395">
        <w:trPr>
          <w:trHeight w:val="580"/>
        </w:trPr>
        <w:tc>
          <w:tcPr>
            <w:tcW w:w="1727" w:type="dxa"/>
            <w:vMerge/>
            <w:hideMark/>
          </w:tcPr>
          <w:p w:rsidR="00FE4C33" w:rsidRPr="006A74F8" w:rsidRDefault="00FE4C33" w:rsidP="005B3395">
            <w:pPr>
              <w:pStyle w:val="ListParagraph"/>
              <w:ind w:left="360"/>
              <w:rPr>
                <w:sz w:val="18"/>
                <w:szCs w:val="16"/>
              </w:rPr>
            </w:pPr>
          </w:p>
        </w:tc>
        <w:tc>
          <w:tcPr>
            <w:tcW w:w="1198" w:type="dxa"/>
            <w:vMerge/>
            <w:hideMark/>
          </w:tcPr>
          <w:p w:rsidR="00FE4C33" w:rsidRPr="006A74F8" w:rsidRDefault="00FE4C33" w:rsidP="005B3395">
            <w:pPr>
              <w:pStyle w:val="ListParagraph"/>
              <w:ind w:left="360"/>
              <w:rPr>
                <w:sz w:val="18"/>
                <w:szCs w:val="16"/>
              </w:rPr>
            </w:pPr>
          </w:p>
        </w:tc>
        <w:tc>
          <w:tcPr>
            <w:tcW w:w="1582" w:type="dxa"/>
            <w:hideMark/>
          </w:tcPr>
          <w:p w:rsidR="00FE4C33" w:rsidRPr="006A74F8" w:rsidRDefault="00FE4C33" w:rsidP="005B3395">
            <w:pPr>
              <w:pStyle w:val="ListParagraph"/>
              <w:ind w:left="0" w:firstLine="0"/>
              <w:rPr>
                <w:sz w:val="18"/>
                <w:szCs w:val="16"/>
              </w:rPr>
            </w:pPr>
            <w:r w:rsidRPr="006A74F8">
              <w:rPr>
                <w:sz w:val="18"/>
                <w:szCs w:val="16"/>
              </w:rPr>
              <w:t>Avg. time of each staff to do activity (in hours)</w:t>
            </w:r>
          </w:p>
        </w:tc>
        <w:tc>
          <w:tcPr>
            <w:tcW w:w="1300" w:type="dxa"/>
            <w:noWrap/>
            <w:hideMark/>
          </w:tcPr>
          <w:p w:rsidR="00FE4C33" w:rsidRPr="006A74F8" w:rsidRDefault="00FE4C33" w:rsidP="005B3395">
            <w:pPr>
              <w:pStyle w:val="ListParagraph"/>
              <w:ind w:left="360"/>
              <w:jc w:val="center"/>
              <w:rPr>
                <w:sz w:val="18"/>
                <w:szCs w:val="16"/>
              </w:rPr>
            </w:pPr>
            <w:r w:rsidRPr="006A74F8">
              <w:rPr>
                <w:sz w:val="18"/>
                <w:szCs w:val="16"/>
              </w:rPr>
              <w:t>5</w:t>
            </w:r>
          </w:p>
        </w:tc>
        <w:tc>
          <w:tcPr>
            <w:tcW w:w="3402" w:type="dxa"/>
            <w:hideMark/>
          </w:tcPr>
          <w:p w:rsidR="00FE4C33" w:rsidRPr="006A74F8" w:rsidRDefault="00FE4C33" w:rsidP="005B3395">
            <w:pPr>
              <w:pStyle w:val="ListParagraph"/>
              <w:ind w:left="9" w:firstLine="0"/>
              <w:rPr>
                <w:sz w:val="18"/>
                <w:szCs w:val="16"/>
              </w:rPr>
            </w:pPr>
            <w:r w:rsidRPr="006A74F8">
              <w:rPr>
                <w:sz w:val="18"/>
                <w:szCs w:val="16"/>
              </w:rPr>
              <w:t xml:space="preserve">NMI estimate of time in hours to complete the activity including assumed efficiency </w:t>
            </w:r>
            <w:r w:rsidRPr="006A74F8">
              <w:rPr>
                <w:sz w:val="18"/>
                <w:szCs w:val="16"/>
              </w:rPr>
              <w:lastRenderedPageBreak/>
              <w:t>gains from learning from previous applications</w:t>
            </w:r>
          </w:p>
        </w:tc>
      </w:tr>
      <w:tr w:rsidR="00FE4C33" w:rsidRPr="006A74F8" w:rsidTr="005B3395">
        <w:trPr>
          <w:trHeight w:val="580"/>
        </w:trPr>
        <w:tc>
          <w:tcPr>
            <w:tcW w:w="1727" w:type="dxa"/>
            <w:vMerge/>
            <w:hideMark/>
          </w:tcPr>
          <w:p w:rsidR="00FE4C33" w:rsidRPr="006A74F8" w:rsidRDefault="00FE4C33" w:rsidP="005B3395">
            <w:pPr>
              <w:pStyle w:val="ListParagraph"/>
              <w:ind w:left="360"/>
              <w:rPr>
                <w:sz w:val="18"/>
                <w:szCs w:val="16"/>
              </w:rPr>
            </w:pPr>
          </w:p>
        </w:tc>
        <w:tc>
          <w:tcPr>
            <w:tcW w:w="1198" w:type="dxa"/>
            <w:vMerge/>
            <w:hideMark/>
          </w:tcPr>
          <w:p w:rsidR="00FE4C33" w:rsidRPr="006A74F8" w:rsidRDefault="00FE4C33" w:rsidP="005B3395">
            <w:pPr>
              <w:pStyle w:val="ListParagraph"/>
              <w:ind w:left="360"/>
              <w:rPr>
                <w:sz w:val="18"/>
                <w:szCs w:val="16"/>
              </w:rPr>
            </w:pPr>
          </w:p>
        </w:tc>
        <w:tc>
          <w:tcPr>
            <w:tcW w:w="1582" w:type="dxa"/>
            <w:hideMark/>
          </w:tcPr>
          <w:p w:rsidR="00FE4C33" w:rsidRPr="006A74F8" w:rsidRDefault="00FE4C33" w:rsidP="005B3395">
            <w:pPr>
              <w:pStyle w:val="ListParagraph"/>
              <w:ind w:left="0" w:firstLine="0"/>
              <w:rPr>
                <w:sz w:val="18"/>
                <w:szCs w:val="16"/>
              </w:rPr>
            </w:pPr>
            <w:r w:rsidRPr="006A74F8">
              <w:rPr>
                <w:sz w:val="18"/>
                <w:szCs w:val="16"/>
              </w:rPr>
              <w:t>Labour cost ($/hr) (wage + non-wage labour costs)</w:t>
            </w:r>
          </w:p>
        </w:tc>
        <w:tc>
          <w:tcPr>
            <w:tcW w:w="1300" w:type="dxa"/>
            <w:noWrap/>
            <w:hideMark/>
          </w:tcPr>
          <w:p w:rsidR="00FE4C33" w:rsidRPr="006A74F8" w:rsidRDefault="0099531B" w:rsidP="005B3395">
            <w:pPr>
              <w:pStyle w:val="ListParagraph"/>
              <w:ind w:left="360"/>
              <w:jc w:val="center"/>
              <w:rPr>
                <w:sz w:val="18"/>
                <w:szCs w:val="16"/>
              </w:rPr>
            </w:pPr>
            <w:r w:rsidRPr="006A74F8">
              <w:rPr>
                <w:sz w:val="18"/>
                <w:szCs w:val="16"/>
              </w:rPr>
              <w:t>$110.83</w:t>
            </w:r>
          </w:p>
        </w:tc>
        <w:tc>
          <w:tcPr>
            <w:tcW w:w="3402" w:type="dxa"/>
            <w:hideMark/>
          </w:tcPr>
          <w:p w:rsidR="00FE4C33" w:rsidRPr="006A74F8" w:rsidRDefault="00FE4C33" w:rsidP="005B3395">
            <w:pPr>
              <w:pStyle w:val="ListParagraph"/>
              <w:ind w:left="9" w:firstLine="0"/>
              <w:rPr>
                <w:sz w:val="18"/>
                <w:szCs w:val="16"/>
              </w:rPr>
            </w:pPr>
            <w:r w:rsidRPr="006A74F8">
              <w:rPr>
                <w:sz w:val="18"/>
                <w:szCs w:val="16"/>
              </w:rPr>
              <w:t>Based on the ABS Cat 6306.0</w:t>
            </w:r>
            <w:r w:rsidRPr="006A74F8">
              <w:rPr>
                <w:rStyle w:val="FootnoteReference"/>
                <w:sz w:val="18"/>
                <w:szCs w:val="16"/>
              </w:rPr>
              <w:footnoteReference w:id="189"/>
            </w:r>
            <w:r w:rsidRPr="006A74F8">
              <w:rPr>
                <w:sz w:val="18"/>
                <w:szCs w:val="16"/>
              </w:rPr>
              <w:t xml:space="preserve"> average weekly earnings for various engineering and technical wage categories including 1.75 multiplier</w:t>
            </w:r>
            <w:r w:rsidRPr="006A74F8">
              <w:rPr>
                <w:rStyle w:val="FootnoteReference"/>
                <w:sz w:val="18"/>
                <w:szCs w:val="16"/>
              </w:rPr>
              <w:footnoteReference w:id="190"/>
            </w:r>
            <w:r w:rsidRPr="006A74F8">
              <w:rPr>
                <w:sz w:val="18"/>
                <w:szCs w:val="16"/>
              </w:rPr>
              <w:t xml:space="preserve"> for on-costs</w:t>
            </w:r>
          </w:p>
        </w:tc>
      </w:tr>
      <w:tr w:rsidR="00FE4C33" w:rsidRPr="006A74F8" w:rsidTr="005B3395">
        <w:trPr>
          <w:trHeight w:val="290"/>
        </w:trPr>
        <w:tc>
          <w:tcPr>
            <w:tcW w:w="1727" w:type="dxa"/>
            <w:vMerge/>
            <w:hideMark/>
          </w:tcPr>
          <w:p w:rsidR="00FE4C33" w:rsidRPr="006A74F8" w:rsidRDefault="00FE4C33" w:rsidP="005B3395">
            <w:pPr>
              <w:pStyle w:val="ListParagraph"/>
              <w:ind w:left="360"/>
              <w:rPr>
                <w:b/>
                <w:sz w:val="18"/>
                <w:szCs w:val="16"/>
              </w:rPr>
            </w:pPr>
          </w:p>
        </w:tc>
        <w:tc>
          <w:tcPr>
            <w:tcW w:w="1198" w:type="dxa"/>
            <w:hideMark/>
          </w:tcPr>
          <w:p w:rsidR="00FE4C33" w:rsidRPr="006A74F8" w:rsidRDefault="00FE4C33" w:rsidP="005B3395">
            <w:pPr>
              <w:pStyle w:val="ListParagraph"/>
              <w:ind w:left="360"/>
              <w:rPr>
                <w:b/>
                <w:sz w:val="18"/>
                <w:szCs w:val="16"/>
              </w:rPr>
            </w:pPr>
          </w:p>
        </w:tc>
        <w:tc>
          <w:tcPr>
            <w:tcW w:w="1582" w:type="dxa"/>
            <w:hideMark/>
          </w:tcPr>
          <w:p w:rsidR="00FE4C33" w:rsidRPr="006A74F8" w:rsidRDefault="00FE4C33" w:rsidP="005B3395">
            <w:pPr>
              <w:pStyle w:val="ListParagraph"/>
              <w:ind w:left="360"/>
              <w:rPr>
                <w:b/>
                <w:sz w:val="18"/>
                <w:szCs w:val="16"/>
              </w:rPr>
            </w:pPr>
            <w:r w:rsidRPr="006A74F8">
              <w:rPr>
                <w:b/>
                <w:sz w:val="18"/>
                <w:szCs w:val="16"/>
              </w:rPr>
              <w:t xml:space="preserve">Cost of Activity = </w:t>
            </w:r>
          </w:p>
        </w:tc>
        <w:tc>
          <w:tcPr>
            <w:tcW w:w="1300" w:type="dxa"/>
            <w:noWrap/>
            <w:hideMark/>
          </w:tcPr>
          <w:p w:rsidR="00FE4C33" w:rsidRPr="006A74F8" w:rsidRDefault="00FE4C33" w:rsidP="005B3395">
            <w:pPr>
              <w:pStyle w:val="ListParagraph"/>
              <w:ind w:left="360"/>
              <w:jc w:val="center"/>
              <w:rPr>
                <w:b/>
                <w:sz w:val="18"/>
                <w:szCs w:val="16"/>
              </w:rPr>
            </w:pPr>
            <w:r w:rsidRPr="006A74F8">
              <w:rPr>
                <w:b/>
                <w:sz w:val="18"/>
                <w:szCs w:val="16"/>
              </w:rPr>
              <w:t xml:space="preserve"> $77,02</w:t>
            </w:r>
            <w:r w:rsidR="00ED5243" w:rsidRPr="006A74F8">
              <w:rPr>
                <w:b/>
                <w:sz w:val="18"/>
                <w:szCs w:val="16"/>
              </w:rPr>
              <w:t>6</w:t>
            </w:r>
            <w:r w:rsidRPr="006A74F8">
              <w:rPr>
                <w:b/>
                <w:sz w:val="18"/>
                <w:szCs w:val="16"/>
              </w:rPr>
              <w:t xml:space="preserve"> </w:t>
            </w:r>
          </w:p>
        </w:tc>
        <w:tc>
          <w:tcPr>
            <w:tcW w:w="3402" w:type="dxa"/>
            <w:hideMark/>
          </w:tcPr>
          <w:p w:rsidR="00FE4C33" w:rsidRPr="006A74F8" w:rsidRDefault="00FE4C33" w:rsidP="005B3395">
            <w:pPr>
              <w:pStyle w:val="ListParagraph"/>
              <w:ind w:left="9" w:firstLine="0"/>
              <w:rPr>
                <w:b/>
                <w:sz w:val="18"/>
                <w:szCs w:val="16"/>
              </w:rPr>
            </w:pPr>
          </w:p>
        </w:tc>
      </w:tr>
    </w:tbl>
    <w:p w:rsidR="00C56EC9" w:rsidRPr="006A74F8" w:rsidRDefault="00C56EC9" w:rsidP="00C56EC9">
      <w:pPr>
        <w:spacing w:after="0"/>
      </w:pPr>
    </w:p>
    <w:p w:rsidR="0015010A" w:rsidRPr="006A74F8" w:rsidRDefault="0015010A" w:rsidP="0015010A">
      <w:pPr>
        <w:pStyle w:val="Caption"/>
        <w:keepNext/>
      </w:pPr>
      <w:r w:rsidRPr="006A74F8">
        <w:t xml:space="preserve">Table </w:t>
      </w:r>
      <w:r w:rsidR="00B1255E" w:rsidRPr="006A74F8">
        <w:t>A11</w:t>
      </w:r>
      <w:r w:rsidRPr="006A74F8">
        <w:t xml:space="preserve">- </w:t>
      </w:r>
      <w:r w:rsidR="00D003A8" w:rsidRPr="006A74F8">
        <w:rPr>
          <w:noProof/>
        </w:rPr>
        <w:fldChar w:fldCharType="begin"/>
      </w:r>
      <w:r w:rsidR="00D003A8" w:rsidRPr="006A74F8">
        <w:rPr>
          <w:noProof/>
        </w:rPr>
        <w:instrText xml:space="preserve"> SEQ Table_A12- \* ARABIC </w:instrText>
      </w:r>
      <w:r w:rsidR="00D003A8" w:rsidRPr="006A74F8">
        <w:rPr>
          <w:noProof/>
        </w:rPr>
        <w:fldChar w:fldCharType="separate"/>
      </w:r>
      <w:r w:rsidR="0033017F">
        <w:rPr>
          <w:noProof/>
        </w:rPr>
        <w:t>3</w:t>
      </w:r>
      <w:r w:rsidR="00D003A8" w:rsidRPr="006A74F8">
        <w:rPr>
          <w:noProof/>
        </w:rPr>
        <w:fldChar w:fldCharType="end"/>
      </w:r>
      <w:r w:rsidRPr="006A74F8">
        <w:t>: Assumptions for time cost to understand the pattern approval application process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2- 3: Assumptions for time cost to understand the pattern approval application process"/>
        <w:tblDescription w:val="The cost of undertanding pattern approval process is estimated to be $30,811"/>
      </w:tblPr>
      <w:tblGrid>
        <w:gridCol w:w="1771"/>
        <w:gridCol w:w="1196"/>
        <w:gridCol w:w="1599"/>
        <w:gridCol w:w="1418"/>
        <w:gridCol w:w="3225"/>
      </w:tblGrid>
      <w:tr w:rsidR="00FE4C33" w:rsidRPr="006A74F8" w:rsidTr="0015010A">
        <w:trPr>
          <w:trHeight w:val="338"/>
        </w:trPr>
        <w:tc>
          <w:tcPr>
            <w:tcW w:w="1771" w:type="dxa"/>
            <w:shd w:val="clear" w:color="auto" w:fill="1F3864"/>
            <w:hideMark/>
          </w:tcPr>
          <w:p w:rsidR="00FE4C33" w:rsidRPr="006A74F8" w:rsidRDefault="00FE4C33" w:rsidP="005B3395">
            <w:pPr>
              <w:rPr>
                <w:b/>
                <w:sz w:val="18"/>
                <w:szCs w:val="16"/>
              </w:rPr>
            </w:pPr>
            <w:r w:rsidRPr="006A74F8">
              <w:rPr>
                <w:b/>
                <w:sz w:val="18"/>
                <w:szCs w:val="16"/>
              </w:rPr>
              <w:t>Activity</w:t>
            </w:r>
          </w:p>
        </w:tc>
        <w:tc>
          <w:tcPr>
            <w:tcW w:w="1196" w:type="dxa"/>
            <w:shd w:val="clear" w:color="auto" w:fill="1F3864"/>
            <w:hideMark/>
          </w:tcPr>
          <w:p w:rsidR="00FE4C33" w:rsidRPr="006A74F8" w:rsidRDefault="00FE4C33" w:rsidP="005B3395">
            <w:pPr>
              <w:rPr>
                <w:b/>
                <w:sz w:val="18"/>
                <w:szCs w:val="16"/>
              </w:rPr>
            </w:pPr>
            <w:r w:rsidRPr="006A74F8">
              <w:rPr>
                <w:b/>
                <w:sz w:val="18"/>
                <w:szCs w:val="16"/>
              </w:rPr>
              <w:t>Requirement</w:t>
            </w:r>
          </w:p>
        </w:tc>
        <w:tc>
          <w:tcPr>
            <w:tcW w:w="1599" w:type="dxa"/>
            <w:shd w:val="clear" w:color="auto" w:fill="1F3864"/>
            <w:hideMark/>
          </w:tcPr>
          <w:p w:rsidR="00FE4C33" w:rsidRPr="006A74F8" w:rsidRDefault="00FE4C33" w:rsidP="005B3395">
            <w:pPr>
              <w:rPr>
                <w:b/>
                <w:sz w:val="18"/>
                <w:szCs w:val="16"/>
              </w:rPr>
            </w:pPr>
            <w:r w:rsidRPr="006A74F8">
              <w:rPr>
                <w:b/>
                <w:sz w:val="18"/>
                <w:szCs w:val="16"/>
              </w:rPr>
              <w:t>Variable</w:t>
            </w:r>
          </w:p>
        </w:tc>
        <w:tc>
          <w:tcPr>
            <w:tcW w:w="1418" w:type="dxa"/>
            <w:shd w:val="clear" w:color="auto" w:fill="1F3864"/>
            <w:noWrap/>
            <w:hideMark/>
          </w:tcPr>
          <w:p w:rsidR="00FE4C33" w:rsidRPr="006A74F8" w:rsidRDefault="00FE4C33" w:rsidP="005B3395">
            <w:pPr>
              <w:jc w:val="center"/>
              <w:rPr>
                <w:b/>
                <w:sz w:val="18"/>
                <w:szCs w:val="16"/>
              </w:rPr>
            </w:pPr>
          </w:p>
        </w:tc>
        <w:tc>
          <w:tcPr>
            <w:tcW w:w="3225" w:type="dxa"/>
            <w:shd w:val="clear" w:color="auto" w:fill="1F3864"/>
            <w:hideMark/>
          </w:tcPr>
          <w:p w:rsidR="00FE4C33" w:rsidRPr="006A74F8" w:rsidRDefault="00FE4C33" w:rsidP="005B3395">
            <w:pPr>
              <w:rPr>
                <w:b/>
                <w:sz w:val="18"/>
                <w:szCs w:val="16"/>
              </w:rPr>
            </w:pPr>
            <w:r w:rsidRPr="006A74F8">
              <w:rPr>
                <w:b/>
                <w:sz w:val="18"/>
                <w:szCs w:val="16"/>
              </w:rPr>
              <w:t>Assumptions</w:t>
            </w:r>
          </w:p>
        </w:tc>
      </w:tr>
      <w:tr w:rsidR="00FE4C33" w:rsidRPr="006A74F8" w:rsidTr="00165F56">
        <w:trPr>
          <w:trHeight w:val="1397"/>
        </w:trPr>
        <w:tc>
          <w:tcPr>
            <w:tcW w:w="1771" w:type="dxa"/>
            <w:vMerge w:val="restart"/>
            <w:hideMark/>
          </w:tcPr>
          <w:p w:rsidR="00FE4C33" w:rsidRPr="006A74F8" w:rsidRDefault="00FE4C33" w:rsidP="005B3395">
            <w:pPr>
              <w:rPr>
                <w:sz w:val="18"/>
                <w:szCs w:val="16"/>
              </w:rPr>
            </w:pPr>
            <w:r w:rsidRPr="006A74F8">
              <w:rPr>
                <w:sz w:val="18"/>
                <w:szCs w:val="16"/>
              </w:rPr>
              <w:t>2. Understanding Process</w:t>
            </w:r>
            <w:r w:rsidR="001F5BDF" w:rsidRPr="006A74F8">
              <w:rPr>
                <w:sz w:val="18"/>
                <w:szCs w:val="16"/>
              </w:rPr>
              <w:t>:</w:t>
            </w:r>
            <w:r w:rsidRPr="006A74F8">
              <w:rPr>
                <w:sz w:val="18"/>
                <w:szCs w:val="16"/>
              </w:rPr>
              <w:t xml:space="preserve"> Burden on business to understand the Application process</w:t>
            </w:r>
          </w:p>
          <w:p w:rsidR="00FE4C33" w:rsidRPr="006A74F8" w:rsidRDefault="00FE4C33" w:rsidP="005B3395">
            <w:pPr>
              <w:rPr>
                <w:sz w:val="18"/>
                <w:szCs w:val="16"/>
              </w:rPr>
            </w:pPr>
          </w:p>
        </w:tc>
        <w:tc>
          <w:tcPr>
            <w:tcW w:w="1196" w:type="dxa"/>
            <w:vMerge w:val="restart"/>
            <w:hideMark/>
          </w:tcPr>
          <w:p w:rsidR="00FE4C33" w:rsidRPr="006A74F8" w:rsidRDefault="00D801FC" w:rsidP="005B3395">
            <w:pPr>
              <w:rPr>
                <w:sz w:val="18"/>
                <w:szCs w:val="16"/>
              </w:rPr>
            </w:pPr>
            <w:r>
              <w:rPr>
                <w:sz w:val="18"/>
                <w:szCs w:val="16"/>
              </w:rPr>
              <w:t>r</w:t>
            </w:r>
            <w:r w:rsidR="00FE4C33" w:rsidRPr="006A74F8">
              <w:rPr>
                <w:sz w:val="18"/>
                <w:szCs w:val="16"/>
              </w:rPr>
              <w:t>eg 58</w:t>
            </w:r>
          </w:p>
          <w:p w:rsidR="00FE4C33" w:rsidRPr="006A74F8" w:rsidRDefault="00FE4C33" w:rsidP="005B3395">
            <w:pPr>
              <w:rPr>
                <w:sz w:val="18"/>
                <w:szCs w:val="16"/>
              </w:rPr>
            </w:pPr>
          </w:p>
        </w:tc>
        <w:tc>
          <w:tcPr>
            <w:tcW w:w="1599" w:type="dxa"/>
            <w:hideMark/>
          </w:tcPr>
          <w:p w:rsidR="00FE4C33" w:rsidRPr="006A74F8" w:rsidRDefault="00FE4C33" w:rsidP="005B3395">
            <w:pPr>
              <w:rPr>
                <w:sz w:val="18"/>
                <w:szCs w:val="16"/>
              </w:rPr>
            </w:pPr>
            <w:r w:rsidRPr="006A74F8">
              <w:rPr>
                <w:sz w:val="18"/>
                <w:szCs w:val="16"/>
              </w:rPr>
              <w:t xml:space="preserve">Average </w:t>
            </w:r>
            <w:r w:rsidR="00241A59" w:rsidRPr="006A74F8">
              <w:rPr>
                <w:sz w:val="18"/>
                <w:szCs w:val="16"/>
              </w:rPr>
              <w:t>n</w:t>
            </w:r>
            <w:r w:rsidRPr="006A74F8">
              <w:rPr>
                <w:sz w:val="18"/>
                <w:szCs w:val="16"/>
              </w:rPr>
              <w:t xml:space="preserve">umber of applications </w:t>
            </w:r>
          </w:p>
        </w:tc>
        <w:tc>
          <w:tcPr>
            <w:tcW w:w="1418" w:type="dxa"/>
            <w:noWrap/>
            <w:hideMark/>
          </w:tcPr>
          <w:p w:rsidR="00FE4C33" w:rsidRPr="006A74F8" w:rsidRDefault="00FE4C33" w:rsidP="005B3395">
            <w:pPr>
              <w:jc w:val="center"/>
              <w:rPr>
                <w:sz w:val="18"/>
                <w:szCs w:val="16"/>
              </w:rPr>
            </w:pPr>
            <w:r w:rsidRPr="006A74F8">
              <w:rPr>
                <w:sz w:val="18"/>
                <w:szCs w:val="16"/>
              </w:rPr>
              <w:t>139</w:t>
            </w:r>
          </w:p>
        </w:tc>
        <w:tc>
          <w:tcPr>
            <w:tcW w:w="3225" w:type="dxa"/>
            <w:hideMark/>
          </w:tcPr>
          <w:p w:rsidR="00FE4C33" w:rsidRPr="006A74F8" w:rsidRDefault="00FE4C33" w:rsidP="005B3395">
            <w:pPr>
              <w:rPr>
                <w:sz w:val="18"/>
                <w:szCs w:val="16"/>
              </w:rPr>
            </w:pPr>
            <w:r w:rsidRPr="006A74F8">
              <w:rPr>
                <w:sz w:val="18"/>
                <w:szCs w:val="16"/>
              </w:rPr>
              <w:t>Average annual number of applications = (average total number of applications over 10 years) 2008/09-2018/19 data pattern approval provides 1,392 applications 1,392 received/10 years = 139 per year</w:t>
            </w:r>
          </w:p>
        </w:tc>
      </w:tr>
      <w:tr w:rsidR="00FE4C33" w:rsidRPr="006A74F8" w:rsidTr="0015010A">
        <w:trPr>
          <w:trHeight w:val="290"/>
        </w:trPr>
        <w:tc>
          <w:tcPr>
            <w:tcW w:w="1771" w:type="dxa"/>
            <w:vMerge/>
            <w:hideMark/>
          </w:tcPr>
          <w:p w:rsidR="00FE4C33" w:rsidRPr="006A74F8" w:rsidRDefault="00FE4C33" w:rsidP="005B3395">
            <w:pPr>
              <w:rPr>
                <w:sz w:val="18"/>
                <w:szCs w:val="16"/>
              </w:rPr>
            </w:pPr>
          </w:p>
        </w:tc>
        <w:tc>
          <w:tcPr>
            <w:tcW w:w="1196" w:type="dxa"/>
            <w:vMerge/>
            <w:hideMark/>
          </w:tcPr>
          <w:p w:rsidR="00FE4C33" w:rsidRPr="006A74F8" w:rsidRDefault="00FE4C33" w:rsidP="005B3395">
            <w:pPr>
              <w:rPr>
                <w:sz w:val="18"/>
                <w:szCs w:val="16"/>
              </w:rPr>
            </w:pPr>
          </w:p>
        </w:tc>
        <w:tc>
          <w:tcPr>
            <w:tcW w:w="1599" w:type="dxa"/>
            <w:hideMark/>
          </w:tcPr>
          <w:p w:rsidR="00FE4C33" w:rsidRPr="006A74F8" w:rsidRDefault="00FE4C33" w:rsidP="005B3395">
            <w:pPr>
              <w:rPr>
                <w:sz w:val="18"/>
                <w:szCs w:val="16"/>
              </w:rPr>
            </w:pPr>
            <w:r w:rsidRPr="006A74F8">
              <w:rPr>
                <w:sz w:val="18"/>
                <w:szCs w:val="16"/>
              </w:rPr>
              <w:t>Number of staff per business performing activity</w:t>
            </w:r>
          </w:p>
        </w:tc>
        <w:tc>
          <w:tcPr>
            <w:tcW w:w="1418" w:type="dxa"/>
            <w:noWrap/>
            <w:hideMark/>
          </w:tcPr>
          <w:p w:rsidR="00FE4C33" w:rsidRPr="006A74F8" w:rsidRDefault="00FE4C33" w:rsidP="005B3395">
            <w:pPr>
              <w:jc w:val="center"/>
              <w:rPr>
                <w:sz w:val="18"/>
                <w:szCs w:val="16"/>
              </w:rPr>
            </w:pPr>
            <w:r w:rsidRPr="006A74F8">
              <w:rPr>
                <w:sz w:val="18"/>
                <w:szCs w:val="16"/>
              </w:rPr>
              <w:t>1</w:t>
            </w:r>
          </w:p>
        </w:tc>
        <w:tc>
          <w:tcPr>
            <w:tcW w:w="3225" w:type="dxa"/>
            <w:hideMark/>
          </w:tcPr>
          <w:p w:rsidR="00FE4C33" w:rsidRPr="006A74F8" w:rsidRDefault="00FE4C33" w:rsidP="005B3395">
            <w:pPr>
              <w:rPr>
                <w:sz w:val="18"/>
                <w:szCs w:val="16"/>
              </w:rPr>
            </w:pPr>
            <w:r w:rsidRPr="006A74F8">
              <w:rPr>
                <w:sz w:val="18"/>
                <w:szCs w:val="16"/>
              </w:rPr>
              <w:t>Assumes one person allocated to the task (NMI Est.)</w:t>
            </w:r>
          </w:p>
        </w:tc>
      </w:tr>
      <w:tr w:rsidR="00FE4C33" w:rsidRPr="006A74F8" w:rsidTr="0015010A">
        <w:trPr>
          <w:trHeight w:val="580"/>
        </w:trPr>
        <w:tc>
          <w:tcPr>
            <w:tcW w:w="1771" w:type="dxa"/>
            <w:vMerge/>
            <w:hideMark/>
          </w:tcPr>
          <w:p w:rsidR="00FE4C33" w:rsidRPr="006A74F8" w:rsidRDefault="00FE4C33" w:rsidP="005B3395">
            <w:pPr>
              <w:rPr>
                <w:sz w:val="18"/>
                <w:szCs w:val="16"/>
              </w:rPr>
            </w:pPr>
          </w:p>
        </w:tc>
        <w:tc>
          <w:tcPr>
            <w:tcW w:w="1196" w:type="dxa"/>
            <w:vMerge/>
            <w:hideMark/>
          </w:tcPr>
          <w:p w:rsidR="00FE4C33" w:rsidRPr="006A74F8" w:rsidRDefault="00FE4C33" w:rsidP="005B3395">
            <w:pPr>
              <w:rPr>
                <w:sz w:val="18"/>
                <w:szCs w:val="16"/>
              </w:rPr>
            </w:pPr>
          </w:p>
        </w:tc>
        <w:tc>
          <w:tcPr>
            <w:tcW w:w="1599" w:type="dxa"/>
            <w:hideMark/>
          </w:tcPr>
          <w:p w:rsidR="00FE4C33" w:rsidRPr="006A74F8" w:rsidRDefault="00FE4C33" w:rsidP="005B3395">
            <w:pPr>
              <w:rPr>
                <w:sz w:val="18"/>
                <w:szCs w:val="16"/>
              </w:rPr>
            </w:pPr>
            <w:r w:rsidRPr="006A74F8">
              <w:rPr>
                <w:sz w:val="18"/>
                <w:szCs w:val="16"/>
              </w:rPr>
              <w:t>Number of times activity performed per year per staff</w:t>
            </w:r>
          </w:p>
        </w:tc>
        <w:tc>
          <w:tcPr>
            <w:tcW w:w="1418" w:type="dxa"/>
            <w:noWrap/>
            <w:hideMark/>
          </w:tcPr>
          <w:p w:rsidR="00FE4C33" w:rsidRPr="006A74F8" w:rsidRDefault="00FE4C33" w:rsidP="005B3395">
            <w:pPr>
              <w:jc w:val="center"/>
              <w:rPr>
                <w:sz w:val="18"/>
                <w:szCs w:val="16"/>
              </w:rPr>
            </w:pPr>
            <w:r w:rsidRPr="006A74F8">
              <w:rPr>
                <w:sz w:val="18"/>
                <w:szCs w:val="16"/>
              </w:rPr>
              <w:t>1</w:t>
            </w:r>
          </w:p>
        </w:tc>
        <w:tc>
          <w:tcPr>
            <w:tcW w:w="3225" w:type="dxa"/>
            <w:hideMark/>
          </w:tcPr>
          <w:p w:rsidR="00FE4C33" w:rsidRPr="006A74F8" w:rsidRDefault="00FE4C33" w:rsidP="005B3395">
            <w:pPr>
              <w:rPr>
                <w:sz w:val="18"/>
                <w:szCs w:val="16"/>
              </w:rPr>
            </w:pPr>
            <w:r w:rsidRPr="006A74F8">
              <w:rPr>
                <w:sz w:val="18"/>
                <w:szCs w:val="16"/>
              </w:rPr>
              <w:t>Once a year based on annual applications</w:t>
            </w:r>
          </w:p>
        </w:tc>
      </w:tr>
      <w:tr w:rsidR="00FE4C33" w:rsidRPr="006A74F8" w:rsidTr="0015010A">
        <w:trPr>
          <w:trHeight w:val="290"/>
        </w:trPr>
        <w:tc>
          <w:tcPr>
            <w:tcW w:w="1771" w:type="dxa"/>
            <w:vMerge/>
            <w:hideMark/>
          </w:tcPr>
          <w:p w:rsidR="00FE4C33" w:rsidRPr="006A74F8" w:rsidRDefault="00FE4C33" w:rsidP="005B3395">
            <w:pPr>
              <w:rPr>
                <w:sz w:val="18"/>
                <w:szCs w:val="16"/>
              </w:rPr>
            </w:pPr>
          </w:p>
        </w:tc>
        <w:tc>
          <w:tcPr>
            <w:tcW w:w="1196" w:type="dxa"/>
            <w:vMerge/>
            <w:hideMark/>
          </w:tcPr>
          <w:p w:rsidR="00FE4C33" w:rsidRPr="006A74F8" w:rsidRDefault="00FE4C33" w:rsidP="005B3395">
            <w:pPr>
              <w:rPr>
                <w:sz w:val="18"/>
                <w:szCs w:val="16"/>
              </w:rPr>
            </w:pPr>
          </w:p>
        </w:tc>
        <w:tc>
          <w:tcPr>
            <w:tcW w:w="1599" w:type="dxa"/>
            <w:hideMark/>
          </w:tcPr>
          <w:p w:rsidR="00FE4C33" w:rsidRPr="006A74F8" w:rsidRDefault="00FE4C33" w:rsidP="005B3395">
            <w:pPr>
              <w:rPr>
                <w:sz w:val="18"/>
                <w:szCs w:val="16"/>
              </w:rPr>
            </w:pPr>
            <w:r w:rsidRPr="006A74F8">
              <w:rPr>
                <w:sz w:val="18"/>
                <w:szCs w:val="16"/>
              </w:rPr>
              <w:t>Avg. time of each staff to do activity (in hours)</w:t>
            </w:r>
          </w:p>
        </w:tc>
        <w:tc>
          <w:tcPr>
            <w:tcW w:w="1418" w:type="dxa"/>
            <w:noWrap/>
            <w:hideMark/>
          </w:tcPr>
          <w:p w:rsidR="00FE4C33" w:rsidRPr="006A74F8" w:rsidRDefault="00FE4C33" w:rsidP="005B3395">
            <w:pPr>
              <w:jc w:val="center"/>
              <w:rPr>
                <w:sz w:val="18"/>
                <w:szCs w:val="16"/>
              </w:rPr>
            </w:pPr>
            <w:r w:rsidRPr="006A74F8">
              <w:rPr>
                <w:sz w:val="18"/>
                <w:szCs w:val="16"/>
              </w:rPr>
              <w:t>2</w:t>
            </w:r>
          </w:p>
        </w:tc>
        <w:tc>
          <w:tcPr>
            <w:tcW w:w="3225" w:type="dxa"/>
            <w:hideMark/>
          </w:tcPr>
          <w:p w:rsidR="00FE4C33" w:rsidRPr="006A74F8" w:rsidRDefault="00FE4C33" w:rsidP="005B3395">
            <w:pPr>
              <w:rPr>
                <w:sz w:val="18"/>
                <w:szCs w:val="16"/>
              </w:rPr>
            </w:pPr>
            <w:r w:rsidRPr="006A74F8">
              <w:rPr>
                <w:sz w:val="18"/>
                <w:szCs w:val="16"/>
              </w:rPr>
              <w:t>NMI estimate of time in hours to complete the activity</w:t>
            </w:r>
          </w:p>
        </w:tc>
      </w:tr>
      <w:tr w:rsidR="00FE4C33" w:rsidRPr="006A74F8" w:rsidTr="0015010A">
        <w:trPr>
          <w:trHeight w:val="580"/>
        </w:trPr>
        <w:tc>
          <w:tcPr>
            <w:tcW w:w="1771" w:type="dxa"/>
            <w:vMerge/>
            <w:hideMark/>
          </w:tcPr>
          <w:p w:rsidR="00FE4C33" w:rsidRPr="006A74F8" w:rsidRDefault="00FE4C33" w:rsidP="005B3395">
            <w:pPr>
              <w:rPr>
                <w:sz w:val="18"/>
                <w:szCs w:val="16"/>
              </w:rPr>
            </w:pPr>
          </w:p>
        </w:tc>
        <w:tc>
          <w:tcPr>
            <w:tcW w:w="1196" w:type="dxa"/>
            <w:vMerge/>
            <w:hideMark/>
          </w:tcPr>
          <w:p w:rsidR="00FE4C33" w:rsidRPr="006A74F8" w:rsidRDefault="00FE4C33" w:rsidP="005B3395">
            <w:pPr>
              <w:rPr>
                <w:sz w:val="18"/>
                <w:szCs w:val="16"/>
              </w:rPr>
            </w:pPr>
          </w:p>
        </w:tc>
        <w:tc>
          <w:tcPr>
            <w:tcW w:w="1599" w:type="dxa"/>
            <w:hideMark/>
          </w:tcPr>
          <w:p w:rsidR="00FE4C33" w:rsidRPr="006A74F8" w:rsidRDefault="00FE4C33" w:rsidP="005B3395">
            <w:pPr>
              <w:rPr>
                <w:sz w:val="18"/>
                <w:szCs w:val="16"/>
              </w:rPr>
            </w:pPr>
            <w:r w:rsidRPr="006A74F8">
              <w:rPr>
                <w:sz w:val="18"/>
                <w:szCs w:val="16"/>
              </w:rPr>
              <w:t>Labour cost ($/hr) (wage + non-wage labour costs)</w:t>
            </w:r>
          </w:p>
        </w:tc>
        <w:tc>
          <w:tcPr>
            <w:tcW w:w="1418" w:type="dxa"/>
            <w:noWrap/>
            <w:hideMark/>
          </w:tcPr>
          <w:p w:rsidR="00FE4C33" w:rsidRPr="006A74F8" w:rsidRDefault="0099531B" w:rsidP="005B3395">
            <w:pPr>
              <w:jc w:val="center"/>
              <w:rPr>
                <w:sz w:val="18"/>
                <w:szCs w:val="16"/>
              </w:rPr>
            </w:pPr>
            <w:r w:rsidRPr="006A74F8">
              <w:rPr>
                <w:sz w:val="18"/>
                <w:szCs w:val="16"/>
              </w:rPr>
              <w:t>$110.83</w:t>
            </w:r>
          </w:p>
        </w:tc>
        <w:tc>
          <w:tcPr>
            <w:tcW w:w="3225" w:type="dxa"/>
            <w:hideMark/>
          </w:tcPr>
          <w:p w:rsidR="00FE4C33" w:rsidRPr="006A74F8" w:rsidRDefault="00FE4C33" w:rsidP="005B3395">
            <w:pPr>
              <w:rPr>
                <w:sz w:val="18"/>
                <w:szCs w:val="16"/>
              </w:rPr>
            </w:pPr>
            <w:r w:rsidRPr="006A74F8">
              <w:rPr>
                <w:sz w:val="18"/>
                <w:szCs w:val="16"/>
              </w:rPr>
              <w:t>Based on the ABS Cat 6306.0</w:t>
            </w:r>
            <w:r w:rsidRPr="006A74F8">
              <w:rPr>
                <w:rStyle w:val="FootnoteReference"/>
                <w:sz w:val="18"/>
                <w:szCs w:val="16"/>
              </w:rPr>
              <w:footnoteReference w:id="191"/>
            </w:r>
            <w:r w:rsidRPr="006A74F8">
              <w:rPr>
                <w:sz w:val="18"/>
                <w:szCs w:val="16"/>
              </w:rPr>
              <w:t xml:space="preserve"> average weekly earnings for various engineering and technical wage categories including 1.75 multiplier</w:t>
            </w:r>
            <w:r w:rsidRPr="006A74F8">
              <w:rPr>
                <w:rStyle w:val="FootnoteReference"/>
                <w:sz w:val="18"/>
                <w:szCs w:val="16"/>
              </w:rPr>
              <w:footnoteReference w:id="192"/>
            </w:r>
            <w:r w:rsidRPr="006A74F8">
              <w:rPr>
                <w:sz w:val="18"/>
                <w:szCs w:val="16"/>
              </w:rPr>
              <w:t xml:space="preserve"> for on-costs</w:t>
            </w:r>
          </w:p>
        </w:tc>
      </w:tr>
      <w:tr w:rsidR="00FE4C33" w:rsidRPr="006A74F8" w:rsidTr="0015010A">
        <w:trPr>
          <w:trHeight w:val="290"/>
        </w:trPr>
        <w:tc>
          <w:tcPr>
            <w:tcW w:w="1771" w:type="dxa"/>
            <w:vMerge/>
            <w:hideMark/>
          </w:tcPr>
          <w:p w:rsidR="00FE4C33" w:rsidRPr="006A74F8" w:rsidRDefault="00FE4C33" w:rsidP="005B3395">
            <w:pPr>
              <w:rPr>
                <w:sz w:val="18"/>
                <w:szCs w:val="16"/>
              </w:rPr>
            </w:pPr>
          </w:p>
        </w:tc>
        <w:tc>
          <w:tcPr>
            <w:tcW w:w="1196" w:type="dxa"/>
            <w:hideMark/>
          </w:tcPr>
          <w:p w:rsidR="00FE4C33" w:rsidRPr="006A74F8" w:rsidRDefault="00FE4C33" w:rsidP="005B3395">
            <w:pPr>
              <w:rPr>
                <w:sz w:val="18"/>
                <w:szCs w:val="16"/>
              </w:rPr>
            </w:pPr>
          </w:p>
        </w:tc>
        <w:tc>
          <w:tcPr>
            <w:tcW w:w="1599" w:type="dxa"/>
            <w:hideMark/>
          </w:tcPr>
          <w:p w:rsidR="00FE4C33" w:rsidRPr="006A74F8" w:rsidRDefault="00FE4C33" w:rsidP="005B3395">
            <w:pPr>
              <w:rPr>
                <w:b/>
                <w:sz w:val="18"/>
                <w:szCs w:val="16"/>
              </w:rPr>
            </w:pPr>
            <w:r w:rsidRPr="006A74F8">
              <w:rPr>
                <w:b/>
                <w:sz w:val="18"/>
                <w:szCs w:val="16"/>
              </w:rPr>
              <w:t xml:space="preserve">Cost of Activity = </w:t>
            </w:r>
          </w:p>
        </w:tc>
        <w:tc>
          <w:tcPr>
            <w:tcW w:w="1418" w:type="dxa"/>
            <w:noWrap/>
            <w:hideMark/>
          </w:tcPr>
          <w:p w:rsidR="00FE4C33" w:rsidRPr="006A74F8" w:rsidRDefault="00FE4C33" w:rsidP="005B3395">
            <w:pPr>
              <w:jc w:val="center"/>
              <w:rPr>
                <w:b/>
                <w:sz w:val="18"/>
                <w:szCs w:val="16"/>
              </w:rPr>
            </w:pPr>
            <w:r w:rsidRPr="006A74F8">
              <w:rPr>
                <w:b/>
                <w:sz w:val="18"/>
                <w:szCs w:val="16"/>
              </w:rPr>
              <w:t xml:space="preserve"> $30,81</w:t>
            </w:r>
            <w:r w:rsidR="00ED5243" w:rsidRPr="006A74F8">
              <w:rPr>
                <w:b/>
                <w:sz w:val="18"/>
                <w:szCs w:val="16"/>
              </w:rPr>
              <w:t>1</w:t>
            </w:r>
          </w:p>
        </w:tc>
        <w:tc>
          <w:tcPr>
            <w:tcW w:w="3225" w:type="dxa"/>
            <w:hideMark/>
          </w:tcPr>
          <w:p w:rsidR="00FE4C33" w:rsidRPr="006A74F8" w:rsidRDefault="00FE4C33" w:rsidP="005B3395">
            <w:pPr>
              <w:rPr>
                <w:sz w:val="18"/>
                <w:szCs w:val="16"/>
              </w:rPr>
            </w:pPr>
          </w:p>
        </w:tc>
      </w:tr>
    </w:tbl>
    <w:p w:rsidR="00FE4C33" w:rsidRPr="006A74F8" w:rsidRDefault="00FE4C33" w:rsidP="00FE4C33">
      <w:pPr>
        <w:pStyle w:val="ListParagraph"/>
        <w:ind w:left="360" w:firstLine="0"/>
        <w:rPr>
          <w:b/>
        </w:rPr>
      </w:pPr>
    </w:p>
    <w:p w:rsidR="0015010A" w:rsidRPr="006A74F8" w:rsidRDefault="0015010A" w:rsidP="0015010A">
      <w:pPr>
        <w:pStyle w:val="Caption"/>
        <w:keepNext/>
      </w:pPr>
      <w:r w:rsidRPr="006A74F8">
        <w:t xml:space="preserve">Table </w:t>
      </w:r>
      <w:r w:rsidR="00B1255E" w:rsidRPr="006A74F8">
        <w:t>A11</w:t>
      </w:r>
      <w:r w:rsidRPr="006A74F8">
        <w:t xml:space="preserve">- </w:t>
      </w:r>
      <w:r w:rsidR="00D003A8" w:rsidRPr="006A74F8">
        <w:rPr>
          <w:noProof/>
        </w:rPr>
        <w:fldChar w:fldCharType="begin"/>
      </w:r>
      <w:r w:rsidR="00D003A8" w:rsidRPr="006A74F8">
        <w:rPr>
          <w:noProof/>
        </w:rPr>
        <w:instrText xml:space="preserve"> SEQ Table_A12- \* ARABIC </w:instrText>
      </w:r>
      <w:r w:rsidR="00D003A8" w:rsidRPr="006A74F8">
        <w:rPr>
          <w:noProof/>
        </w:rPr>
        <w:fldChar w:fldCharType="separate"/>
      </w:r>
      <w:r w:rsidR="0033017F">
        <w:rPr>
          <w:noProof/>
        </w:rPr>
        <w:t>4</w:t>
      </w:r>
      <w:r w:rsidR="00D003A8" w:rsidRPr="006A74F8">
        <w:rPr>
          <w:noProof/>
        </w:rPr>
        <w:fldChar w:fldCharType="end"/>
      </w:r>
      <w:r w:rsidRPr="006A74F8">
        <w:t>: Assumptions for application form completion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2- 4: Assumptions for application form completion"/>
        <w:tblDescription w:val="The cost of completing the pattern approval application process is estimated to be $30,811"/>
      </w:tblPr>
      <w:tblGrid>
        <w:gridCol w:w="1749"/>
        <w:gridCol w:w="1223"/>
        <w:gridCol w:w="1559"/>
        <w:gridCol w:w="1418"/>
        <w:gridCol w:w="3260"/>
      </w:tblGrid>
      <w:tr w:rsidR="00FE4C33" w:rsidRPr="006A74F8" w:rsidTr="009F6314">
        <w:trPr>
          <w:trHeight w:val="290"/>
          <w:tblHeader/>
        </w:trPr>
        <w:tc>
          <w:tcPr>
            <w:tcW w:w="1749" w:type="dxa"/>
            <w:shd w:val="clear" w:color="auto" w:fill="1F3864"/>
            <w:hideMark/>
          </w:tcPr>
          <w:p w:rsidR="00FE4C33" w:rsidRPr="006A74F8" w:rsidRDefault="00FE4C33" w:rsidP="005B3395">
            <w:pPr>
              <w:pStyle w:val="ListParagraph"/>
              <w:rPr>
                <w:b/>
                <w:sz w:val="18"/>
                <w:szCs w:val="16"/>
              </w:rPr>
            </w:pPr>
            <w:r w:rsidRPr="006A74F8">
              <w:rPr>
                <w:b/>
                <w:sz w:val="18"/>
                <w:szCs w:val="16"/>
              </w:rPr>
              <w:t>Activity</w:t>
            </w:r>
          </w:p>
        </w:tc>
        <w:tc>
          <w:tcPr>
            <w:tcW w:w="1223" w:type="dxa"/>
            <w:shd w:val="clear" w:color="auto" w:fill="1F3864"/>
            <w:hideMark/>
          </w:tcPr>
          <w:p w:rsidR="00FE4C33" w:rsidRPr="006A74F8" w:rsidRDefault="00FE4C33" w:rsidP="005B3395">
            <w:pPr>
              <w:rPr>
                <w:b/>
                <w:sz w:val="18"/>
                <w:szCs w:val="16"/>
              </w:rPr>
            </w:pPr>
            <w:r w:rsidRPr="006A74F8">
              <w:rPr>
                <w:b/>
                <w:sz w:val="18"/>
                <w:szCs w:val="16"/>
              </w:rPr>
              <w:t>Requirement</w:t>
            </w:r>
          </w:p>
        </w:tc>
        <w:tc>
          <w:tcPr>
            <w:tcW w:w="1559" w:type="dxa"/>
            <w:shd w:val="clear" w:color="auto" w:fill="1F3864"/>
            <w:hideMark/>
          </w:tcPr>
          <w:p w:rsidR="00FE4C33" w:rsidRPr="006A74F8" w:rsidRDefault="00FE4C33" w:rsidP="005B3395">
            <w:pPr>
              <w:pStyle w:val="ListParagraph"/>
              <w:rPr>
                <w:b/>
                <w:sz w:val="18"/>
                <w:szCs w:val="16"/>
              </w:rPr>
            </w:pPr>
            <w:r w:rsidRPr="006A74F8">
              <w:rPr>
                <w:b/>
                <w:sz w:val="18"/>
                <w:szCs w:val="16"/>
              </w:rPr>
              <w:t>Variable</w:t>
            </w:r>
          </w:p>
        </w:tc>
        <w:tc>
          <w:tcPr>
            <w:tcW w:w="1418" w:type="dxa"/>
            <w:shd w:val="clear" w:color="auto" w:fill="1F3864"/>
            <w:noWrap/>
            <w:hideMark/>
          </w:tcPr>
          <w:p w:rsidR="00FE4C33" w:rsidRPr="006A74F8" w:rsidRDefault="00FE4C33" w:rsidP="005B3395">
            <w:pPr>
              <w:pStyle w:val="ListParagraph"/>
              <w:jc w:val="center"/>
              <w:rPr>
                <w:b/>
                <w:sz w:val="18"/>
                <w:szCs w:val="16"/>
              </w:rPr>
            </w:pPr>
          </w:p>
        </w:tc>
        <w:tc>
          <w:tcPr>
            <w:tcW w:w="3260" w:type="dxa"/>
            <w:shd w:val="clear" w:color="auto" w:fill="1F3864"/>
            <w:hideMark/>
          </w:tcPr>
          <w:p w:rsidR="00FE4C33" w:rsidRPr="006A74F8" w:rsidRDefault="00FE4C33" w:rsidP="005B3395">
            <w:pPr>
              <w:pStyle w:val="ListParagraph"/>
              <w:rPr>
                <w:b/>
                <w:sz w:val="18"/>
                <w:szCs w:val="16"/>
              </w:rPr>
            </w:pPr>
            <w:r w:rsidRPr="006A74F8">
              <w:rPr>
                <w:b/>
                <w:sz w:val="18"/>
                <w:szCs w:val="16"/>
              </w:rPr>
              <w:t>Assumptions</w:t>
            </w:r>
          </w:p>
        </w:tc>
      </w:tr>
      <w:tr w:rsidR="00FE4C33" w:rsidRPr="006A74F8" w:rsidTr="005B3395">
        <w:trPr>
          <w:trHeight w:val="870"/>
        </w:trPr>
        <w:tc>
          <w:tcPr>
            <w:tcW w:w="1749" w:type="dxa"/>
            <w:vMerge w:val="restart"/>
            <w:hideMark/>
          </w:tcPr>
          <w:p w:rsidR="00FE4C33" w:rsidRPr="006A74F8" w:rsidRDefault="00FE4C33" w:rsidP="005B3395">
            <w:pPr>
              <w:pStyle w:val="ListParagraph"/>
              <w:ind w:left="29" w:firstLine="0"/>
              <w:rPr>
                <w:sz w:val="18"/>
                <w:szCs w:val="16"/>
              </w:rPr>
            </w:pPr>
            <w:r w:rsidRPr="006A74F8">
              <w:rPr>
                <w:sz w:val="18"/>
                <w:szCs w:val="16"/>
              </w:rPr>
              <w:t>3. Application Form</w:t>
            </w:r>
            <w:r w:rsidR="001F5BDF" w:rsidRPr="006A74F8">
              <w:rPr>
                <w:sz w:val="18"/>
                <w:szCs w:val="16"/>
              </w:rPr>
              <w:t>:</w:t>
            </w:r>
            <w:r w:rsidRPr="006A74F8">
              <w:rPr>
                <w:sz w:val="18"/>
                <w:szCs w:val="16"/>
              </w:rPr>
              <w:t xml:space="preserve"> Time taken for the business to </w:t>
            </w:r>
            <w:r w:rsidRPr="006A74F8">
              <w:rPr>
                <w:sz w:val="18"/>
                <w:szCs w:val="16"/>
              </w:rPr>
              <w:lastRenderedPageBreak/>
              <w:t xml:space="preserve">complete the Pattern Approval application  </w:t>
            </w:r>
          </w:p>
          <w:p w:rsidR="00FE4C33" w:rsidRPr="006A74F8" w:rsidRDefault="00FE4C33" w:rsidP="005B3395">
            <w:pPr>
              <w:pStyle w:val="ListParagraph"/>
              <w:ind w:left="29" w:firstLine="0"/>
              <w:rPr>
                <w:sz w:val="18"/>
                <w:szCs w:val="16"/>
              </w:rPr>
            </w:pPr>
          </w:p>
        </w:tc>
        <w:tc>
          <w:tcPr>
            <w:tcW w:w="1223" w:type="dxa"/>
            <w:vMerge w:val="restart"/>
            <w:hideMark/>
          </w:tcPr>
          <w:p w:rsidR="00FE4C33" w:rsidRPr="006A74F8" w:rsidRDefault="00D801FC" w:rsidP="005B3395">
            <w:pPr>
              <w:pStyle w:val="ListParagraph"/>
              <w:ind w:left="29"/>
              <w:jc w:val="center"/>
              <w:rPr>
                <w:sz w:val="18"/>
                <w:szCs w:val="16"/>
              </w:rPr>
            </w:pPr>
            <w:r>
              <w:rPr>
                <w:sz w:val="18"/>
                <w:szCs w:val="16"/>
              </w:rPr>
              <w:lastRenderedPageBreak/>
              <w:t>r</w:t>
            </w:r>
            <w:r w:rsidRPr="006A74F8">
              <w:rPr>
                <w:sz w:val="18"/>
                <w:szCs w:val="16"/>
              </w:rPr>
              <w:t>eg</w:t>
            </w:r>
            <w:r w:rsidR="00FE4C33" w:rsidRPr="006A74F8">
              <w:rPr>
                <w:sz w:val="18"/>
                <w:szCs w:val="16"/>
              </w:rPr>
              <w:t xml:space="preserve"> 58</w:t>
            </w:r>
          </w:p>
          <w:p w:rsidR="00FE4C33" w:rsidRPr="006A74F8" w:rsidRDefault="00FE4C33" w:rsidP="005B3395">
            <w:pPr>
              <w:pStyle w:val="ListParagraph"/>
              <w:ind w:left="29"/>
              <w:rPr>
                <w:sz w:val="18"/>
                <w:szCs w:val="16"/>
              </w:rPr>
            </w:pPr>
          </w:p>
        </w:tc>
        <w:tc>
          <w:tcPr>
            <w:tcW w:w="1559" w:type="dxa"/>
            <w:hideMark/>
          </w:tcPr>
          <w:p w:rsidR="00FE4C33" w:rsidRPr="006A74F8" w:rsidRDefault="00FE4C33" w:rsidP="005B3395">
            <w:pPr>
              <w:pStyle w:val="ListParagraph"/>
              <w:ind w:left="29" w:firstLine="0"/>
              <w:rPr>
                <w:sz w:val="18"/>
                <w:szCs w:val="16"/>
              </w:rPr>
            </w:pPr>
            <w:r w:rsidRPr="006A74F8">
              <w:rPr>
                <w:sz w:val="18"/>
                <w:szCs w:val="16"/>
              </w:rPr>
              <w:t xml:space="preserve">Average </w:t>
            </w:r>
            <w:r w:rsidR="00241A59" w:rsidRPr="006A74F8">
              <w:rPr>
                <w:sz w:val="18"/>
                <w:szCs w:val="16"/>
              </w:rPr>
              <w:t>n</w:t>
            </w:r>
            <w:r w:rsidRPr="006A74F8">
              <w:rPr>
                <w:sz w:val="18"/>
                <w:szCs w:val="16"/>
              </w:rPr>
              <w:t xml:space="preserve">umber of applications </w:t>
            </w:r>
          </w:p>
        </w:tc>
        <w:tc>
          <w:tcPr>
            <w:tcW w:w="1418" w:type="dxa"/>
            <w:noWrap/>
            <w:hideMark/>
          </w:tcPr>
          <w:p w:rsidR="00FE4C33" w:rsidRPr="006A74F8" w:rsidRDefault="00FE4C33" w:rsidP="005B3395">
            <w:pPr>
              <w:pStyle w:val="ListParagraph"/>
              <w:ind w:left="29"/>
              <w:jc w:val="center"/>
              <w:rPr>
                <w:sz w:val="18"/>
                <w:szCs w:val="16"/>
              </w:rPr>
            </w:pPr>
            <w:r w:rsidRPr="006A74F8">
              <w:rPr>
                <w:sz w:val="18"/>
                <w:szCs w:val="16"/>
              </w:rPr>
              <w:t>139</w:t>
            </w:r>
          </w:p>
        </w:tc>
        <w:tc>
          <w:tcPr>
            <w:tcW w:w="3260" w:type="dxa"/>
            <w:hideMark/>
          </w:tcPr>
          <w:p w:rsidR="00FE4C33" w:rsidRPr="006A74F8" w:rsidRDefault="00FE4C33" w:rsidP="005B3395">
            <w:pPr>
              <w:pStyle w:val="ListParagraph"/>
              <w:ind w:left="29" w:firstLine="0"/>
              <w:rPr>
                <w:sz w:val="18"/>
                <w:szCs w:val="16"/>
              </w:rPr>
            </w:pPr>
            <w:r w:rsidRPr="006A74F8">
              <w:rPr>
                <w:sz w:val="18"/>
                <w:szCs w:val="16"/>
              </w:rPr>
              <w:t xml:space="preserve">Average annual number of applications = (average total number of applications over 10 years) 2008/09-2018/19 data </w:t>
            </w:r>
            <w:r w:rsidRPr="006A74F8">
              <w:rPr>
                <w:sz w:val="18"/>
                <w:szCs w:val="16"/>
              </w:rPr>
              <w:lastRenderedPageBreak/>
              <w:t>pattern approval provides 1,392 applications 1,392 received/10 years = 139 per year</w:t>
            </w:r>
          </w:p>
        </w:tc>
      </w:tr>
      <w:tr w:rsidR="00FE4C33" w:rsidRPr="006A74F8" w:rsidTr="005B3395">
        <w:trPr>
          <w:trHeight w:val="290"/>
        </w:trPr>
        <w:tc>
          <w:tcPr>
            <w:tcW w:w="1749" w:type="dxa"/>
            <w:vMerge/>
            <w:hideMark/>
          </w:tcPr>
          <w:p w:rsidR="00FE4C33" w:rsidRPr="006A74F8" w:rsidRDefault="00FE4C33" w:rsidP="005B3395">
            <w:pPr>
              <w:pStyle w:val="ListParagraph"/>
              <w:ind w:left="29" w:firstLine="0"/>
              <w:rPr>
                <w:sz w:val="18"/>
                <w:szCs w:val="16"/>
              </w:rPr>
            </w:pPr>
          </w:p>
        </w:tc>
        <w:tc>
          <w:tcPr>
            <w:tcW w:w="1223" w:type="dxa"/>
            <w:vMerge/>
            <w:hideMark/>
          </w:tcPr>
          <w:p w:rsidR="00FE4C33" w:rsidRPr="006A74F8" w:rsidRDefault="00FE4C33" w:rsidP="005B3395">
            <w:pPr>
              <w:pStyle w:val="ListParagraph"/>
              <w:ind w:left="29"/>
              <w:rPr>
                <w:sz w:val="18"/>
                <w:szCs w:val="16"/>
              </w:rPr>
            </w:pPr>
          </w:p>
        </w:tc>
        <w:tc>
          <w:tcPr>
            <w:tcW w:w="1559" w:type="dxa"/>
            <w:hideMark/>
          </w:tcPr>
          <w:p w:rsidR="00FE4C33" w:rsidRPr="006A74F8" w:rsidRDefault="00FE4C33" w:rsidP="005B3395">
            <w:pPr>
              <w:pStyle w:val="ListParagraph"/>
              <w:ind w:left="29" w:firstLine="0"/>
              <w:rPr>
                <w:sz w:val="18"/>
                <w:szCs w:val="16"/>
              </w:rPr>
            </w:pPr>
            <w:r w:rsidRPr="006A74F8">
              <w:rPr>
                <w:sz w:val="18"/>
                <w:szCs w:val="16"/>
              </w:rPr>
              <w:t>Number of staff per business performing activity</w:t>
            </w:r>
          </w:p>
        </w:tc>
        <w:tc>
          <w:tcPr>
            <w:tcW w:w="1418" w:type="dxa"/>
            <w:noWrap/>
            <w:hideMark/>
          </w:tcPr>
          <w:p w:rsidR="00FE4C33" w:rsidRPr="006A74F8" w:rsidRDefault="00FE4C33" w:rsidP="005B3395">
            <w:pPr>
              <w:pStyle w:val="ListParagraph"/>
              <w:ind w:left="29"/>
              <w:jc w:val="center"/>
              <w:rPr>
                <w:sz w:val="18"/>
                <w:szCs w:val="16"/>
              </w:rPr>
            </w:pPr>
            <w:r w:rsidRPr="006A74F8">
              <w:rPr>
                <w:sz w:val="18"/>
                <w:szCs w:val="16"/>
              </w:rPr>
              <w:t>1</w:t>
            </w:r>
          </w:p>
        </w:tc>
        <w:tc>
          <w:tcPr>
            <w:tcW w:w="3260" w:type="dxa"/>
            <w:hideMark/>
          </w:tcPr>
          <w:p w:rsidR="00FE4C33" w:rsidRPr="006A74F8" w:rsidRDefault="00FE4C33" w:rsidP="005B3395">
            <w:pPr>
              <w:pStyle w:val="ListParagraph"/>
              <w:ind w:left="29" w:firstLine="0"/>
              <w:rPr>
                <w:sz w:val="18"/>
                <w:szCs w:val="16"/>
              </w:rPr>
            </w:pPr>
            <w:r w:rsidRPr="006A74F8">
              <w:rPr>
                <w:sz w:val="18"/>
                <w:szCs w:val="16"/>
              </w:rPr>
              <w:t>Assumes one person allocated to the task (NMI Est.)</w:t>
            </w:r>
          </w:p>
        </w:tc>
      </w:tr>
      <w:tr w:rsidR="00FE4C33" w:rsidRPr="006A74F8" w:rsidTr="005B3395">
        <w:trPr>
          <w:trHeight w:val="580"/>
        </w:trPr>
        <w:tc>
          <w:tcPr>
            <w:tcW w:w="1749" w:type="dxa"/>
            <w:vMerge/>
            <w:hideMark/>
          </w:tcPr>
          <w:p w:rsidR="00FE4C33" w:rsidRPr="006A74F8" w:rsidRDefault="00FE4C33" w:rsidP="005B3395">
            <w:pPr>
              <w:pStyle w:val="ListParagraph"/>
              <w:ind w:left="29" w:firstLine="0"/>
              <w:rPr>
                <w:sz w:val="18"/>
                <w:szCs w:val="16"/>
              </w:rPr>
            </w:pPr>
          </w:p>
        </w:tc>
        <w:tc>
          <w:tcPr>
            <w:tcW w:w="1223" w:type="dxa"/>
            <w:vMerge/>
            <w:hideMark/>
          </w:tcPr>
          <w:p w:rsidR="00FE4C33" w:rsidRPr="006A74F8" w:rsidRDefault="00FE4C33" w:rsidP="005B3395">
            <w:pPr>
              <w:pStyle w:val="ListParagraph"/>
              <w:ind w:left="29"/>
              <w:rPr>
                <w:sz w:val="18"/>
                <w:szCs w:val="16"/>
              </w:rPr>
            </w:pPr>
          </w:p>
        </w:tc>
        <w:tc>
          <w:tcPr>
            <w:tcW w:w="1559" w:type="dxa"/>
            <w:hideMark/>
          </w:tcPr>
          <w:p w:rsidR="00FE4C33" w:rsidRPr="006A74F8" w:rsidRDefault="00FE4C33" w:rsidP="005B3395">
            <w:pPr>
              <w:pStyle w:val="ListParagraph"/>
              <w:ind w:left="29" w:firstLine="0"/>
              <w:rPr>
                <w:sz w:val="18"/>
                <w:szCs w:val="16"/>
              </w:rPr>
            </w:pPr>
            <w:r w:rsidRPr="006A74F8">
              <w:rPr>
                <w:sz w:val="18"/>
                <w:szCs w:val="16"/>
              </w:rPr>
              <w:t>Number of times activity performed per year per staff</w:t>
            </w:r>
          </w:p>
        </w:tc>
        <w:tc>
          <w:tcPr>
            <w:tcW w:w="1418" w:type="dxa"/>
            <w:noWrap/>
            <w:hideMark/>
          </w:tcPr>
          <w:p w:rsidR="00FE4C33" w:rsidRPr="006A74F8" w:rsidRDefault="00FE4C33" w:rsidP="005B3395">
            <w:pPr>
              <w:pStyle w:val="ListParagraph"/>
              <w:ind w:left="29"/>
              <w:jc w:val="center"/>
              <w:rPr>
                <w:sz w:val="18"/>
                <w:szCs w:val="16"/>
              </w:rPr>
            </w:pPr>
            <w:r w:rsidRPr="006A74F8">
              <w:rPr>
                <w:sz w:val="18"/>
                <w:szCs w:val="16"/>
              </w:rPr>
              <w:t>1</w:t>
            </w:r>
          </w:p>
        </w:tc>
        <w:tc>
          <w:tcPr>
            <w:tcW w:w="3260" w:type="dxa"/>
            <w:hideMark/>
          </w:tcPr>
          <w:p w:rsidR="00FE4C33" w:rsidRPr="006A74F8" w:rsidRDefault="00FE4C33" w:rsidP="005B3395">
            <w:pPr>
              <w:pStyle w:val="ListParagraph"/>
              <w:ind w:left="29" w:firstLine="0"/>
              <w:rPr>
                <w:sz w:val="18"/>
                <w:szCs w:val="16"/>
              </w:rPr>
            </w:pPr>
            <w:r w:rsidRPr="006A74F8">
              <w:rPr>
                <w:sz w:val="18"/>
                <w:szCs w:val="16"/>
              </w:rPr>
              <w:t>Once a year, based on annual applications</w:t>
            </w:r>
          </w:p>
        </w:tc>
      </w:tr>
      <w:tr w:rsidR="00FE4C33" w:rsidRPr="006A74F8" w:rsidTr="005B3395">
        <w:trPr>
          <w:trHeight w:val="580"/>
        </w:trPr>
        <w:tc>
          <w:tcPr>
            <w:tcW w:w="1749" w:type="dxa"/>
            <w:vMerge/>
            <w:hideMark/>
          </w:tcPr>
          <w:p w:rsidR="00FE4C33" w:rsidRPr="006A74F8" w:rsidRDefault="00FE4C33" w:rsidP="005B3395">
            <w:pPr>
              <w:pStyle w:val="ListParagraph"/>
              <w:ind w:left="29" w:firstLine="0"/>
              <w:rPr>
                <w:sz w:val="18"/>
                <w:szCs w:val="16"/>
              </w:rPr>
            </w:pPr>
          </w:p>
        </w:tc>
        <w:tc>
          <w:tcPr>
            <w:tcW w:w="1223" w:type="dxa"/>
            <w:vMerge/>
            <w:hideMark/>
          </w:tcPr>
          <w:p w:rsidR="00FE4C33" w:rsidRPr="006A74F8" w:rsidRDefault="00FE4C33" w:rsidP="005B3395">
            <w:pPr>
              <w:pStyle w:val="ListParagraph"/>
              <w:ind w:left="29"/>
              <w:rPr>
                <w:sz w:val="18"/>
                <w:szCs w:val="16"/>
              </w:rPr>
            </w:pPr>
          </w:p>
        </w:tc>
        <w:tc>
          <w:tcPr>
            <w:tcW w:w="1559" w:type="dxa"/>
            <w:hideMark/>
          </w:tcPr>
          <w:p w:rsidR="00FE4C33" w:rsidRPr="006A74F8" w:rsidRDefault="00FE4C33" w:rsidP="005B3395">
            <w:pPr>
              <w:pStyle w:val="ListParagraph"/>
              <w:ind w:left="29" w:firstLine="0"/>
              <w:rPr>
                <w:sz w:val="18"/>
                <w:szCs w:val="16"/>
              </w:rPr>
            </w:pPr>
            <w:r w:rsidRPr="006A74F8">
              <w:rPr>
                <w:sz w:val="18"/>
                <w:szCs w:val="16"/>
              </w:rPr>
              <w:t>Average number of hours required to complete the application</w:t>
            </w:r>
          </w:p>
        </w:tc>
        <w:tc>
          <w:tcPr>
            <w:tcW w:w="1418" w:type="dxa"/>
            <w:noWrap/>
            <w:hideMark/>
          </w:tcPr>
          <w:p w:rsidR="00FE4C33" w:rsidRPr="006A74F8" w:rsidRDefault="00FE4C33" w:rsidP="005B3395">
            <w:pPr>
              <w:pStyle w:val="ListParagraph"/>
              <w:ind w:left="29"/>
              <w:jc w:val="center"/>
              <w:rPr>
                <w:sz w:val="18"/>
                <w:szCs w:val="16"/>
              </w:rPr>
            </w:pPr>
            <w:r w:rsidRPr="006A74F8">
              <w:rPr>
                <w:sz w:val="18"/>
                <w:szCs w:val="16"/>
              </w:rPr>
              <w:t>1</w:t>
            </w:r>
          </w:p>
        </w:tc>
        <w:tc>
          <w:tcPr>
            <w:tcW w:w="3260" w:type="dxa"/>
            <w:hideMark/>
          </w:tcPr>
          <w:p w:rsidR="00FE4C33" w:rsidRPr="006A74F8" w:rsidRDefault="00FE4C33" w:rsidP="005B3395">
            <w:pPr>
              <w:pStyle w:val="ListParagraph"/>
              <w:ind w:left="29" w:firstLine="0"/>
              <w:rPr>
                <w:sz w:val="18"/>
                <w:szCs w:val="16"/>
              </w:rPr>
            </w:pPr>
            <w:r w:rsidRPr="006A74F8">
              <w:rPr>
                <w:sz w:val="18"/>
                <w:szCs w:val="16"/>
              </w:rPr>
              <w:t>NMI estimate of time in hours to complete the activity</w:t>
            </w:r>
          </w:p>
        </w:tc>
      </w:tr>
      <w:tr w:rsidR="00FE4C33" w:rsidRPr="006A74F8" w:rsidTr="005B3395">
        <w:trPr>
          <w:trHeight w:val="580"/>
        </w:trPr>
        <w:tc>
          <w:tcPr>
            <w:tcW w:w="1749" w:type="dxa"/>
            <w:vMerge/>
            <w:hideMark/>
          </w:tcPr>
          <w:p w:rsidR="00FE4C33" w:rsidRPr="006A74F8" w:rsidRDefault="00FE4C33" w:rsidP="005B3395">
            <w:pPr>
              <w:pStyle w:val="ListParagraph"/>
              <w:ind w:left="29" w:firstLine="0"/>
              <w:rPr>
                <w:sz w:val="18"/>
                <w:szCs w:val="16"/>
              </w:rPr>
            </w:pPr>
          </w:p>
        </w:tc>
        <w:tc>
          <w:tcPr>
            <w:tcW w:w="1223" w:type="dxa"/>
            <w:vMerge/>
            <w:hideMark/>
          </w:tcPr>
          <w:p w:rsidR="00FE4C33" w:rsidRPr="006A74F8" w:rsidRDefault="00FE4C33" w:rsidP="005B3395">
            <w:pPr>
              <w:pStyle w:val="ListParagraph"/>
              <w:ind w:left="29"/>
              <w:rPr>
                <w:sz w:val="18"/>
                <w:szCs w:val="16"/>
              </w:rPr>
            </w:pPr>
          </w:p>
        </w:tc>
        <w:tc>
          <w:tcPr>
            <w:tcW w:w="1559" w:type="dxa"/>
            <w:hideMark/>
          </w:tcPr>
          <w:p w:rsidR="00FE4C33" w:rsidRPr="006A74F8" w:rsidRDefault="00FE4C33" w:rsidP="005B3395">
            <w:pPr>
              <w:pStyle w:val="ListParagraph"/>
              <w:ind w:left="29" w:firstLine="0"/>
              <w:rPr>
                <w:sz w:val="18"/>
                <w:szCs w:val="16"/>
              </w:rPr>
            </w:pPr>
            <w:r w:rsidRPr="006A74F8">
              <w:rPr>
                <w:sz w:val="18"/>
                <w:szCs w:val="16"/>
              </w:rPr>
              <w:t>Avg. number of staff to do activity (in hours)</w:t>
            </w:r>
          </w:p>
        </w:tc>
        <w:tc>
          <w:tcPr>
            <w:tcW w:w="1418" w:type="dxa"/>
            <w:noWrap/>
            <w:hideMark/>
          </w:tcPr>
          <w:p w:rsidR="00FE4C33" w:rsidRPr="006A74F8" w:rsidRDefault="00FE4C33" w:rsidP="005B3395">
            <w:pPr>
              <w:pStyle w:val="ListParagraph"/>
              <w:ind w:left="29"/>
              <w:jc w:val="center"/>
              <w:rPr>
                <w:sz w:val="18"/>
                <w:szCs w:val="16"/>
              </w:rPr>
            </w:pPr>
            <w:r w:rsidRPr="006A74F8">
              <w:rPr>
                <w:sz w:val="18"/>
                <w:szCs w:val="16"/>
              </w:rPr>
              <w:t>1</w:t>
            </w:r>
          </w:p>
        </w:tc>
        <w:tc>
          <w:tcPr>
            <w:tcW w:w="3260" w:type="dxa"/>
            <w:hideMark/>
          </w:tcPr>
          <w:p w:rsidR="00FE4C33" w:rsidRPr="006A74F8" w:rsidRDefault="00FE4C33" w:rsidP="005B3395">
            <w:pPr>
              <w:pStyle w:val="ListParagraph"/>
              <w:ind w:left="29" w:firstLine="0"/>
              <w:rPr>
                <w:sz w:val="18"/>
                <w:szCs w:val="16"/>
              </w:rPr>
            </w:pPr>
            <w:r w:rsidRPr="006A74F8">
              <w:rPr>
                <w:sz w:val="18"/>
                <w:szCs w:val="16"/>
              </w:rPr>
              <w:t>NMI estimate of time to complete the activity</w:t>
            </w:r>
          </w:p>
        </w:tc>
      </w:tr>
      <w:tr w:rsidR="00FE4C33" w:rsidRPr="006A74F8" w:rsidTr="005B3395">
        <w:trPr>
          <w:trHeight w:val="290"/>
        </w:trPr>
        <w:tc>
          <w:tcPr>
            <w:tcW w:w="1749" w:type="dxa"/>
            <w:vMerge/>
            <w:hideMark/>
          </w:tcPr>
          <w:p w:rsidR="00FE4C33" w:rsidRPr="006A74F8" w:rsidRDefault="00FE4C33" w:rsidP="005B3395">
            <w:pPr>
              <w:pStyle w:val="ListParagraph"/>
              <w:ind w:left="29" w:firstLine="0"/>
              <w:rPr>
                <w:sz w:val="18"/>
                <w:szCs w:val="16"/>
              </w:rPr>
            </w:pPr>
          </w:p>
        </w:tc>
        <w:tc>
          <w:tcPr>
            <w:tcW w:w="1223" w:type="dxa"/>
            <w:vMerge/>
            <w:hideMark/>
          </w:tcPr>
          <w:p w:rsidR="00FE4C33" w:rsidRPr="006A74F8" w:rsidRDefault="00FE4C33" w:rsidP="005B3395">
            <w:pPr>
              <w:pStyle w:val="ListParagraph"/>
              <w:ind w:left="29" w:firstLine="0"/>
              <w:rPr>
                <w:sz w:val="18"/>
                <w:szCs w:val="16"/>
              </w:rPr>
            </w:pPr>
          </w:p>
        </w:tc>
        <w:tc>
          <w:tcPr>
            <w:tcW w:w="1559" w:type="dxa"/>
            <w:hideMark/>
          </w:tcPr>
          <w:p w:rsidR="00FE4C33" w:rsidRPr="006A74F8" w:rsidRDefault="00FE4C33" w:rsidP="005B3395">
            <w:pPr>
              <w:pStyle w:val="ListParagraph"/>
              <w:ind w:left="29" w:firstLine="0"/>
              <w:rPr>
                <w:b/>
                <w:sz w:val="18"/>
                <w:szCs w:val="16"/>
              </w:rPr>
            </w:pPr>
            <w:r w:rsidRPr="006A74F8">
              <w:rPr>
                <w:sz w:val="18"/>
                <w:szCs w:val="16"/>
              </w:rPr>
              <w:t>Labour cost ($/hr) (wage + non-wage labour costs)</w:t>
            </w:r>
          </w:p>
        </w:tc>
        <w:tc>
          <w:tcPr>
            <w:tcW w:w="1418" w:type="dxa"/>
            <w:noWrap/>
            <w:hideMark/>
          </w:tcPr>
          <w:p w:rsidR="00FE4C33" w:rsidRPr="006A74F8" w:rsidRDefault="0099531B" w:rsidP="005B3395">
            <w:pPr>
              <w:pStyle w:val="ListParagraph"/>
              <w:ind w:left="29"/>
              <w:jc w:val="center"/>
              <w:rPr>
                <w:b/>
                <w:sz w:val="18"/>
                <w:szCs w:val="16"/>
              </w:rPr>
            </w:pPr>
            <w:r w:rsidRPr="006A74F8">
              <w:rPr>
                <w:sz w:val="18"/>
                <w:szCs w:val="16"/>
              </w:rPr>
              <w:t>$110.83</w:t>
            </w:r>
          </w:p>
        </w:tc>
        <w:tc>
          <w:tcPr>
            <w:tcW w:w="3260" w:type="dxa"/>
            <w:hideMark/>
          </w:tcPr>
          <w:p w:rsidR="00FE4C33" w:rsidRPr="006A74F8" w:rsidRDefault="00FE4C33" w:rsidP="005B3395">
            <w:pPr>
              <w:pStyle w:val="ListParagraph"/>
              <w:ind w:left="29" w:firstLine="0"/>
              <w:rPr>
                <w:b/>
                <w:sz w:val="18"/>
                <w:szCs w:val="16"/>
              </w:rPr>
            </w:pPr>
            <w:r w:rsidRPr="006A74F8">
              <w:rPr>
                <w:sz w:val="18"/>
                <w:szCs w:val="16"/>
              </w:rPr>
              <w:t>Based on the ABS Cat 6306.0</w:t>
            </w:r>
            <w:r w:rsidRPr="006A74F8">
              <w:rPr>
                <w:rStyle w:val="FootnoteReference"/>
                <w:sz w:val="18"/>
                <w:szCs w:val="16"/>
              </w:rPr>
              <w:footnoteReference w:id="193"/>
            </w:r>
            <w:r w:rsidRPr="006A74F8">
              <w:rPr>
                <w:sz w:val="18"/>
                <w:szCs w:val="16"/>
              </w:rPr>
              <w:t xml:space="preserve"> average weekly earnings for various engineering and technical wage categories including 1.75 multiplier</w:t>
            </w:r>
            <w:r w:rsidRPr="006A74F8">
              <w:rPr>
                <w:rStyle w:val="FootnoteReference"/>
                <w:sz w:val="18"/>
                <w:szCs w:val="16"/>
              </w:rPr>
              <w:footnoteReference w:id="194"/>
            </w:r>
            <w:r w:rsidRPr="006A74F8">
              <w:rPr>
                <w:sz w:val="18"/>
                <w:szCs w:val="16"/>
              </w:rPr>
              <w:t xml:space="preserve"> for on-costs</w:t>
            </w:r>
          </w:p>
        </w:tc>
      </w:tr>
      <w:tr w:rsidR="00FE4C33" w:rsidRPr="006A74F8" w:rsidTr="005B3395">
        <w:trPr>
          <w:trHeight w:val="290"/>
        </w:trPr>
        <w:tc>
          <w:tcPr>
            <w:tcW w:w="1749" w:type="dxa"/>
          </w:tcPr>
          <w:p w:rsidR="00FE4C33" w:rsidRPr="006A74F8" w:rsidRDefault="00FE4C33" w:rsidP="005B3395">
            <w:pPr>
              <w:pStyle w:val="ListParagraph"/>
              <w:ind w:left="29" w:firstLine="0"/>
              <w:rPr>
                <w:sz w:val="18"/>
                <w:szCs w:val="16"/>
              </w:rPr>
            </w:pPr>
          </w:p>
        </w:tc>
        <w:tc>
          <w:tcPr>
            <w:tcW w:w="1223" w:type="dxa"/>
          </w:tcPr>
          <w:p w:rsidR="00FE4C33" w:rsidRPr="006A74F8" w:rsidRDefault="00FE4C33" w:rsidP="005B3395">
            <w:pPr>
              <w:pStyle w:val="ListParagraph"/>
              <w:ind w:left="29" w:firstLine="0"/>
              <w:rPr>
                <w:b/>
                <w:sz w:val="18"/>
                <w:szCs w:val="16"/>
              </w:rPr>
            </w:pPr>
          </w:p>
        </w:tc>
        <w:tc>
          <w:tcPr>
            <w:tcW w:w="1559" w:type="dxa"/>
          </w:tcPr>
          <w:p w:rsidR="00FE4C33" w:rsidRPr="006A74F8" w:rsidRDefault="00FE4C33" w:rsidP="005B3395">
            <w:pPr>
              <w:pStyle w:val="ListParagraph"/>
              <w:ind w:left="29" w:firstLine="0"/>
              <w:rPr>
                <w:b/>
                <w:sz w:val="18"/>
                <w:szCs w:val="16"/>
              </w:rPr>
            </w:pPr>
            <w:r w:rsidRPr="006A74F8">
              <w:rPr>
                <w:b/>
                <w:sz w:val="18"/>
                <w:szCs w:val="16"/>
              </w:rPr>
              <w:t xml:space="preserve">Cost of Activity = </w:t>
            </w:r>
          </w:p>
        </w:tc>
        <w:tc>
          <w:tcPr>
            <w:tcW w:w="1418" w:type="dxa"/>
            <w:noWrap/>
          </w:tcPr>
          <w:p w:rsidR="00FE4C33" w:rsidRPr="006A74F8" w:rsidRDefault="00FE4C33" w:rsidP="005B3395">
            <w:pPr>
              <w:pStyle w:val="ListParagraph"/>
              <w:ind w:left="29"/>
              <w:jc w:val="center"/>
              <w:rPr>
                <w:b/>
                <w:sz w:val="18"/>
                <w:szCs w:val="16"/>
              </w:rPr>
            </w:pPr>
            <w:r w:rsidRPr="006A74F8">
              <w:rPr>
                <w:b/>
                <w:sz w:val="18"/>
                <w:szCs w:val="16"/>
              </w:rPr>
              <w:t xml:space="preserve"> $15,405 </w:t>
            </w:r>
          </w:p>
        </w:tc>
        <w:tc>
          <w:tcPr>
            <w:tcW w:w="3260" w:type="dxa"/>
          </w:tcPr>
          <w:p w:rsidR="00FE4C33" w:rsidRPr="006A74F8" w:rsidRDefault="00FE4C33" w:rsidP="005B3395">
            <w:pPr>
              <w:pStyle w:val="ListParagraph"/>
              <w:ind w:left="29" w:firstLine="0"/>
              <w:rPr>
                <w:sz w:val="18"/>
                <w:szCs w:val="16"/>
              </w:rPr>
            </w:pPr>
          </w:p>
        </w:tc>
      </w:tr>
    </w:tbl>
    <w:p w:rsidR="00FE4C33" w:rsidRPr="006A74F8" w:rsidRDefault="00FE4C33" w:rsidP="00165F56">
      <w:pPr>
        <w:pStyle w:val="ListParagraph"/>
        <w:spacing w:after="0"/>
        <w:ind w:left="0" w:hanging="357"/>
        <w:rPr>
          <w:b/>
        </w:rPr>
      </w:pPr>
    </w:p>
    <w:p w:rsidR="0015010A" w:rsidRPr="006A74F8" w:rsidRDefault="0015010A" w:rsidP="0015010A">
      <w:pPr>
        <w:pStyle w:val="Caption"/>
        <w:keepNext/>
      </w:pPr>
      <w:r w:rsidRPr="006A74F8">
        <w:t xml:space="preserve">Table </w:t>
      </w:r>
      <w:r w:rsidR="00B1255E" w:rsidRPr="006A74F8">
        <w:t>A11</w:t>
      </w:r>
      <w:r w:rsidRPr="006A74F8">
        <w:t xml:space="preserve">- </w:t>
      </w:r>
      <w:r w:rsidR="00D003A8" w:rsidRPr="006A74F8">
        <w:rPr>
          <w:noProof/>
        </w:rPr>
        <w:fldChar w:fldCharType="begin"/>
      </w:r>
      <w:r w:rsidR="00D003A8" w:rsidRPr="006A74F8">
        <w:rPr>
          <w:noProof/>
        </w:rPr>
        <w:instrText xml:space="preserve"> SEQ Table_A12- \* ARABIC </w:instrText>
      </w:r>
      <w:r w:rsidR="00D003A8" w:rsidRPr="006A74F8">
        <w:rPr>
          <w:noProof/>
        </w:rPr>
        <w:fldChar w:fldCharType="separate"/>
      </w:r>
      <w:r w:rsidR="0033017F">
        <w:rPr>
          <w:noProof/>
        </w:rPr>
        <w:t>5</w:t>
      </w:r>
      <w:r w:rsidR="00D003A8" w:rsidRPr="006A74F8">
        <w:rPr>
          <w:noProof/>
        </w:rPr>
        <w:fldChar w:fldCharType="end"/>
      </w:r>
      <w:r w:rsidRPr="006A74F8">
        <w:t>: Assumptions for logistical costs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2- 5: Assumptions for logistical costs"/>
        <w:tblDescription w:val="The cost to business to transport the prototype measuring instrument to the pattern approval lab is estimated as $11,120"/>
      </w:tblPr>
      <w:tblGrid>
        <w:gridCol w:w="1619"/>
        <w:gridCol w:w="1196"/>
        <w:gridCol w:w="1737"/>
        <w:gridCol w:w="1418"/>
        <w:gridCol w:w="3239"/>
      </w:tblGrid>
      <w:tr w:rsidR="00FE4C33" w:rsidRPr="006A74F8" w:rsidTr="0015010A">
        <w:trPr>
          <w:trHeight w:val="290"/>
        </w:trPr>
        <w:tc>
          <w:tcPr>
            <w:tcW w:w="1619" w:type="dxa"/>
            <w:shd w:val="clear" w:color="auto" w:fill="1F3864"/>
            <w:hideMark/>
          </w:tcPr>
          <w:p w:rsidR="00FE4C33" w:rsidRPr="006A74F8" w:rsidRDefault="00FE4C33" w:rsidP="005B3395">
            <w:pPr>
              <w:rPr>
                <w:b/>
                <w:sz w:val="18"/>
                <w:szCs w:val="16"/>
              </w:rPr>
            </w:pPr>
            <w:r w:rsidRPr="006A74F8">
              <w:rPr>
                <w:b/>
                <w:sz w:val="18"/>
                <w:szCs w:val="16"/>
              </w:rPr>
              <w:t>Activity</w:t>
            </w:r>
          </w:p>
        </w:tc>
        <w:tc>
          <w:tcPr>
            <w:tcW w:w="1196" w:type="dxa"/>
            <w:shd w:val="clear" w:color="auto" w:fill="1F3864"/>
            <w:hideMark/>
          </w:tcPr>
          <w:p w:rsidR="00FE4C33" w:rsidRPr="006A74F8" w:rsidRDefault="00FE4C33" w:rsidP="005B3395">
            <w:pPr>
              <w:rPr>
                <w:b/>
                <w:sz w:val="18"/>
                <w:szCs w:val="16"/>
              </w:rPr>
            </w:pPr>
            <w:r w:rsidRPr="006A74F8">
              <w:rPr>
                <w:b/>
                <w:sz w:val="18"/>
                <w:szCs w:val="16"/>
              </w:rPr>
              <w:t>Requirement</w:t>
            </w:r>
          </w:p>
        </w:tc>
        <w:tc>
          <w:tcPr>
            <w:tcW w:w="1737" w:type="dxa"/>
            <w:shd w:val="clear" w:color="auto" w:fill="1F3864"/>
            <w:hideMark/>
          </w:tcPr>
          <w:p w:rsidR="00FE4C33" w:rsidRPr="006A74F8" w:rsidRDefault="00FE4C33" w:rsidP="005B3395">
            <w:pPr>
              <w:rPr>
                <w:b/>
                <w:sz w:val="18"/>
                <w:szCs w:val="16"/>
              </w:rPr>
            </w:pPr>
            <w:r w:rsidRPr="006A74F8">
              <w:rPr>
                <w:b/>
                <w:sz w:val="18"/>
                <w:szCs w:val="16"/>
              </w:rPr>
              <w:t>Variable</w:t>
            </w:r>
          </w:p>
        </w:tc>
        <w:tc>
          <w:tcPr>
            <w:tcW w:w="1418" w:type="dxa"/>
            <w:shd w:val="clear" w:color="auto" w:fill="1F3864"/>
            <w:noWrap/>
            <w:hideMark/>
          </w:tcPr>
          <w:p w:rsidR="00FE4C33" w:rsidRPr="006A74F8" w:rsidRDefault="00FE4C33" w:rsidP="005B3395">
            <w:pPr>
              <w:jc w:val="center"/>
              <w:rPr>
                <w:b/>
                <w:sz w:val="18"/>
                <w:szCs w:val="16"/>
              </w:rPr>
            </w:pPr>
          </w:p>
        </w:tc>
        <w:tc>
          <w:tcPr>
            <w:tcW w:w="3239" w:type="dxa"/>
            <w:shd w:val="clear" w:color="auto" w:fill="1F3864"/>
            <w:hideMark/>
          </w:tcPr>
          <w:p w:rsidR="00FE4C33" w:rsidRPr="006A74F8" w:rsidRDefault="00FE4C33" w:rsidP="005B3395">
            <w:pPr>
              <w:rPr>
                <w:b/>
                <w:sz w:val="18"/>
                <w:szCs w:val="16"/>
              </w:rPr>
            </w:pPr>
            <w:r w:rsidRPr="006A74F8">
              <w:rPr>
                <w:b/>
                <w:sz w:val="18"/>
                <w:szCs w:val="16"/>
              </w:rPr>
              <w:t>Assumptions</w:t>
            </w:r>
          </w:p>
        </w:tc>
      </w:tr>
      <w:tr w:rsidR="00FE4C33" w:rsidRPr="006A74F8" w:rsidTr="0015010A">
        <w:trPr>
          <w:trHeight w:val="870"/>
        </w:trPr>
        <w:tc>
          <w:tcPr>
            <w:tcW w:w="1619" w:type="dxa"/>
            <w:vMerge w:val="restart"/>
            <w:hideMark/>
          </w:tcPr>
          <w:p w:rsidR="00FE4C33" w:rsidRPr="006A74F8" w:rsidRDefault="00FE4C33" w:rsidP="005B3395">
            <w:pPr>
              <w:rPr>
                <w:sz w:val="18"/>
                <w:szCs w:val="16"/>
              </w:rPr>
            </w:pPr>
            <w:r w:rsidRPr="006A74F8">
              <w:rPr>
                <w:sz w:val="18"/>
                <w:szCs w:val="16"/>
              </w:rPr>
              <w:t>4</w:t>
            </w:r>
            <w:r w:rsidR="009D731D" w:rsidRPr="006A74F8">
              <w:rPr>
                <w:sz w:val="18"/>
                <w:szCs w:val="16"/>
              </w:rPr>
              <w:t>.</w:t>
            </w:r>
            <w:r w:rsidRPr="006A74F8">
              <w:rPr>
                <w:sz w:val="18"/>
                <w:szCs w:val="16"/>
              </w:rPr>
              <w:t xml:space="preserve"> Logistics</w:t>
            </w:r>
            <w:r w:rsidR="001F5BDF" w:rsidRPr="006A74F8">
              <w:rPr>
                <w:sz w:val="18"/>
                <w:szCs w:val="16"/>
              </w:rPr>
              <w:t>:</w:t>
            </w:r>
            <w:r w:rsidRPr="006A74F8">
              <w:rPr>
                <w:sz w:val="18"/>
                <w:szCs w:val="16"/>
              </w:rPr>
              <w:t xml:space="preserve"> Cost to business to transport the prototype measuring instrument to the </w:t>
            </w:r>
            <w:r w:rsidR="00203D5A" w:rsidRPr="006A74F8">
              <w:rPr>
                <w:sz w:val="18"/>
                <w:szCs w:val="16"/>
              </w:rPr>
              <w:t xml:space="preserve">pattern approval </w:t>
            </w:r>
            <w:r w:rsidRPr="006A74F8">
              <w:rPr>
                <w:sz w:val="18"/>
                <w:szCs w:val="16"/>
              </w:rPr>
              <w:t xml:space="preserve">lab </w:t>
            </w:r>
          </w:p>
          <w:p w:rsidR="00FE4C33" w:rsidRPr="006A74F8" w:rsidRDefault="00FE4C33" w:rsidP="005B3395">
            <w:pPr>
              <w:rPr>
                <w:sz w:val="18"/>
                <w:szCs w:val="16"/>
              </w:rPr>
            </w:pPr>
          </w:p>
        </w:tc>
        <w:tc>
          <w:tcPr>
            <w:tcW w:w="1196" w:type="dxa"/>
            <w:vMerge w:val="restart"/>
            <w:hideMark/>
          </w:tcPr>
          <w:p w:rsidR="00FE4C33" w:rsidRPr="006A74F8" w:rsidRDefault="00D801FC" w:rsidP="005B3395">
            <w:pPr>
              <w:rPr>
                <w:sz w:val="18"/>
                <w:szCs w:val="16"/>
              </w:rPr>
            </w:pPr>
            <w:r>
              <w:rPr>
                <w:sz w:val="18"/>
                <w:szCs w:val="16"/>
              </w:rPr>
              <w:t>r</w:t>
            </w:r>
            <w:r w:rsidRPr="006A74F8">
              <w:rPr>
                <w:sz w:val="18"/>
                <w:szCs w:val="16"/>
              </w:rPr>
              <w:t>eg</w:t>
            </w:r>
            <w:r w:rsidR="00FE4C33" w:rsidRPr="006A74F8">
              <w:rPr>
                <w:sz w:val="18"/>
                <w:szCs w:val="16"/>
              </w:rPr>
              <w:t xml:space="preserve"> 58</w:t>
            </w:r>
          </w:p>
          <w:p w:rsidR="00FE4C33" w:rsidRPr="006A74F8" w:rsidRDefault="00FE4C33" w:rsidP="005B3395">
            <w:pPr>
              <w:rPr>
                <w:sz w:val="18"/>
                <w:szCs w:val="16"/>
              </w:rPr>
            </w:pPr>
          </w:p>
        </w:tc>
        <w:tc>
          <w:tcPr>
            <w:tcW w:w="1737" w:type="dxa"/>
            <w:hideMark/>
          </w:tcPr>
          <w:p w:rsidR="00FE4C33" w:rsidRPr="006A74F8" w:rsidRDefault="00FE4C33" w:rsidP="005B3395">
            <w:pPr>
              <w:rPr>
                <w:sz w:val="18"/>
                <w:szCs w:val="16"/>
              </w:rPr>
            </w:pPr>
            <w:r w:rsidRPr="006A74F8">
              <w:rPr>
                <w:sz w:val="18"/>
                <w:szCs w:val="16"/>
              </w:rPr>
              <w:t xml:space="preserve">Average </w:t>
            </w:r>
            <w:r w:rsidR="00241A59" w:rsidRPr="006A74F8">
              <w:rPr>
                <w:sz w:val="18"/>
                <w:szCs w:val="16"/>
              </w:rPr>
              <w:t>n</w:t>
            </w:r>
            <w:r w:rsidRPr="006A74F8">
              <w:rPr>
                <w:sz w:val="18"/>
                <w:szCs w:val="16"/>
              </w:rPr>
              <w:t xml:space="preserve">umber of applications </w:t>
            </w:r>
          </w:p>
        </w:tc>
        <w:tc>
          <w:tcPr>
            <w:tcW w:w="1418" w:type="dxa"/>
            <w:noWrap/>
            <w:hideMark/>
          </w:tcPr>
          <w:p w:rsidR="00FE4C33" w:rsidRPr="006A74F8" w:rsidRDefault="00FE4C33" w:rsidP="005B3395">
            <w:pPr>
              <w:jc w:val="center"/>
              <w:rPr>
                <w:sz w:val="18"/>
                <w:szCs w:val="16"/>
              </w:rPr>
            </w:pPr>
            <w:r w:rsidRPr="006A74F8">
              <w:rPr>
                <w:sz w:val="18"/>
                <w:szCs w:val="16"/>
              </w:rPr>
              <w:t>139</w:t>
            </w:r>
          </w:p>
        </w:tc>
        <w:tc>
          <w:tcPr>
            <w:tcW w:w="3239" w:type="dxa"/>
            <w:hideMark/>
          </w:tcPr>
          <w:p w:rsidR="00FE4C33" w:rsidRPr="006A74F8" w:rsidRDefault="00FE4C33" w:rsidP="005B3395">
            <w:pPr>
              <w:rPr>
                <w:sz w:val="18"/>
                <w:szCs w:val="16"/>
              </w:rPr>
            </w:pPr>
            <w:r w:rsidRPr="006A74F8">
              <w:rPr>
                <w:sz w:val="18"/>
                <w:szCs w:val="16"/>
              </w:rPr>
              <w:t xml:space="preserve"> Average annual number of applications = (average total number of applications over 10 years) 2008/09-2018/19 data pattern approval provides 1,392 applications 1,392 received/10 years = 139 per year </w:t>
            </w:r>
          </w:p>
        </w:tc>
      </w:tr>
      <w:tr w:rsidR="00FE4C33" w:rsidRPr="006A74F8" w:rsidTr="0015010A">
        <w:trPr>
          <w:trHeight w:val="580"/>
        </w:trPr>
        <w:tc>
          <w:tcPr>
            <w:tcW w:w="1619" w:type="dxa"/>
            <w:vMerge/>
            <w:hideMark/>
          </w:tcPr>
          <w:p w:rsidR="00FE4C33" w:rsidRPr="006A74F8" w:rsidRDefault="00FE4C33" w:rsidP="005B3395">
            <w:pPr>
              <w:rPr>
                <w:sz w:val="18"/>
                <w:szCs w:val="16"/>
              </w:rPr>
            </w:pPr>
          </w:p>
        </w:tc>
        <w:tc>
          <w:tcPr>
            <w:tcW w:w="1196" w:type="dxa"/>
            <w:vMerge/>
            <w:hideMark/>
          </w:tcPr>
          <w:p w:rsidR="00FE4C33" w:rsidRPr="006A74F8" w:rsidRDefault="00FE4C33" w:rsidP="005B3395">
            <w:pPr>
              <w:rPr>
                <w:sz w:val="18"/>
                <w:szCs w:val="16"/>
              </w:rPr>
            </w:pPr>
          </w:p>
        </w:tc>
        <w:tc>
          <w:tcPr>
            <w:tcW w:w="1737" w:type="dxa"/>
            <w:hideMark/>
          </w:tcPr>
          <w:p w:rsidR="00FE4C33" w:rsidRPr="006A74F8" w:rsidRDefault="00FE4C33" w:rsidP="005B3395">
            <w:pPr>
              <w:rPr>
                <w:sz w:val="18"/>
                <w:szCs w:val="16"/>
              </w:rPr>
            </w:pPr>
            <w:r w:rsidRPr="006A74F8">
              <w:rPr>
                <w:sz w:val="18"/>
                <w:szCs w:val="16"/>
              </w:rPr>
              <w:t>Proportion of instruments tested</w:t>
            </w:r>
          </w:p>
        </w:tc>
        <w:tc>
          <w:tcPr>
            <w:tcW w:w="1418" w:type="dxa"/>
            <w:noWrap/>
            <w:hideMark/>
          </w:tcPr>
          <w:p w:rsidR="00FE4C33" w:rsidRPr="006A74F8" w:rsidRDefault="00FE4C33" w:rsidP="005B3395">
            <w:pPr>
              <w:jc w:val="center"/>
              <w:rPr>
                <w:sz w:val="18"/>
                <w:szCs w:val="16"/>
              </w:rPr>
            </w:pPr>
            <w:r w:rsidRPr="006A74F8">
              <w:rPr>
                <w:sz w:val="18"/>
                <w:szCs w:val="16"/>
              </w:rPr>
              <w:t>20%</w:t>
            </w:r>
          </w:p>
        </w:tc>
        <w:tc>
          <w:tcPr>
            <w:tcW w:w="3239" w:type="dxa"/>
            <w:hideMark/>
          </w:tcPr>
          <w:p w:rsidR="00FE4C33" w:rsidRPr="006A74F8" w:rsidRDefault="00FE4C33" w:rsidP="005B3395">
            <w:pPr>
              <w:rPr>
                <w:sz w:val="18"/>
                <w:szCs w:val="16"/>
              </w:rPr>
            </w:pPr>
            <w:r w:rsidRPr="006A74F8">
              <w:rPr>
                <w:sz w:val="18"/>
                <w:szCs w:val="16"/>
              </w:rPr>
              <w:t xml:space="preserve">NMI estimates that around 80% of all </w:t>
            </w:r>
            <w:r w:rsidR="00203D5A" w:rsidRPr="006A74F8">
              <w:rPr>
                <w:sz w:val="18"/>
                <w:szCs w:val="16"/>
              </w:rPr>
              <w:t xml:space="preserve">pattern approval </w:t>
            </w:r>
            <w:r w:rsidRPr="006A74F8">
              <w:rPr>
                <w:sz w:val="18"/>
                <w:szCs w:val="16"/>
              </w:rPr>
              <w:t>applications do not require a laboratory test. Only about 20% of instruments are received</w:t>
            </w:r>
          </w:p>
        </w:tc>
      </w:tr>
      <w:tr w:rsidR="00FE4C33" w:rsidRPr="006A74F8" w:rsidTr="0015010A">
        <w:trPr>
          <w:trHeight w:val="580"/>
        </w:trPr>
        <w:tc>
          <w:tcPr>
            <w:tcW w:w="1619" w:type="dxa"/>
            <w:vMerge/>
          </w:tcPr>
          <w:p w:rsidR="00FE4C33" w:rsidRPr="006A74F8" w:rsidRDefault="00FE4C33" w:rsidP="005B3395">
            <w:pPr>
              <w:rPr>
                <w:sz w:val="18"/>
                <w:szCs w:val="16"/>
              </w:rPr>
            </w:pPr>
          </w:p>
        </w:tc>
        <w:tc>
          <w:tcPr>
            <w:tcW w:w="1196" w:type="dxa"/>
          </w:tcPr>
          <w:p w:rsidR="00FE4C33" w:rsidRPr="006A74F8" w:rsidRDefault="00FE4C33" w:rsidP="005B3395">
            <w:pPr>
              <w:rPr>
                <w:sz w:val="18"/>
                <w:szCs w:val="16"/>
              </w:rPr>
            </w:pPr>
          </w:p>
        </w:tc>
        <w:tc>
          <w:tcPr>
            <w:tcW w:w="1737" w:type="dxa"/>
          </w:tcPr>
          <w:p w:rsidR="00FE4C33" w:rsidRPr="006A74F8" w:rsidRDefault="00FE4C33" w:rsidP="005B3395">
            <w:pPr>
              <w:rPr>
                <w:sz w:val="18"/>
                <w:szCs w:val="16"/>
              </w:rPr>
            </w:pPr>
            <w:r w:rsidRPr="006A74F8">
              <w:rPr>
                <w:sz w:val="18"/>
                <w:szCs w:val="16"/>
              </w:rPr>
              <w:t>Average cost of transporting prototype</w:t>
            </w:r>
          </w:p>
        </w:tc>
        <w:tc>
          <w:tcPr>
            <w:tcW w:w="1418" w:type="dxa"/>
            <w:noWrap/>
          </w:tcPr>
          <w:p w:rsidR="00FE4C33" w:rsidRPr="006A74F8" w:rsidRDefault="00FE4C33" w:rsidP="005B3395">
            <w:pPr>
              <w:jc w:val="center"/>
              <w:rPr>
                <w:sz w:val="18"/>
                <w:szCs w:val="16"/>
              </w:rPr>
            </w:pPr>
            <w:r w:rsidRPr="006A74F8">
              <w:rPr>
                <w:sz w:val="18"/>
                <w:szCs w:val="16"/>
              </w:rPr>
              <w:t>$400</w:t>
            </w:r>
          </w:p>
        </w:tc>
        <w:tc>
          <w:tcPr>
            <w:tcW w:w="3239" w:type="dxa"/>
          </w:tcPr>
          <w:p w:rsidR="00FE4C33" w:rsidRPr="006A74F8" w:rsidRDefault="00FE4C33" w:rsidP="005B3395">
            <w:pPr>
              <w:rPr>
                <w:sz w:val="18"/>
                <w:szCs w:val="16"/>
              </w:rPr>
            </w:pPr>
            <w:r w:rsidRPr="006A74F8">
              <w:rPr>
                <w:sz w:val="18"/>
                <w:szCs w:val="16"/>
              </w:rPr>
              <w:t>NMI estimates $200 delivery and $200 return</w:t>
            </w:r>
          </w:p>
        </w:tc>
      </w:tr>
      <w:tr w:rsidR="00FE4C33" w:rsidRPr="006A74F8" w:rsidTr="0015010A">
        <w:trPr>
          <w:trHeight w:val="290"/>
        </w:trPr>
        <w:tc>
          <w:tcPr>
            <w:tcW w:w="1619" w:type="dxa"/>
            <w:vMerge/>
            <w:hideMark/>
          </w:tcPr>
          <w:p w:rsidR="00FE4C33" w:rsidRPr="006A74F8" w:rsidRDefault="00FE4C33" w:rsidP="005B3395">
            <w:pPr>
              <w:rPr>
                <w:sz w:val="18"/>
                <w:szCs w:val="16"/>
              </w:rPr>
            </w:pPr>
          </w:p>
        </w:tc>
        <w:tc>
          <w:tcPr>
            <w:tcW w:w="1196" w:type="dxa"/>
            <w:hideMark/>
          </w:tcPr>
          <w:p w:rsidR="00FE4C33" w:rsidRPr="006A74F8" w:rsidRDefault="00FE4C33" w:rsidP="005B3395">
            <w:pPr>
              <w:rPr>
                <w:sz w:val="18"/>
                <w:szCs w:val="16"/>
              </w:rPr>
            </w:pPr>
          </w:p>
        </w:tc>
        <w:tc>
          <w:tcPr>
            <w:tcW w:w="1737" w:type="dxa"/>
            <w:hideMark/>
          </w:tcPr>
          <w:p w:rsidR="00FE4C33" w:rsidRPr="006A74F8" w:rsidRDefault="00FE4C33" w:rsidP="005B3395">
            <w:pPr>
              <w:rPr>
                <w:b/>
                <w:sz w:val="18"/>
                <w:szCs w:val="16"/>
              </w:rPr>
            </w:pPr>
            <w:r w:rsidRPr="006A74F8">
              <w:rPr>
                <w:b/>
                <w:sz w:val="18"/>
                <w:szCs w:val="16"/>
              </w:rPr>
              <w:t xml:space="preserve">Cost of Activity = </w:t>
            </w:r>
          </w:p>
        </w:tc>
        <w:tc>
          <w:tcPr>
            <w:tcW w:w="1418" w:type="dxa"/>
            <w:noWrap/>
            <w:hideMark/>
          </w:tcPr>
          <w:p w:rsidR="00FE4C33" w:rsidRPr="006A74F8" w:rsidRDefault="00FE4C33" w:rsidP="005B3395">
            <w:pPr>
              <w:jc w:val="center"/>
              <w:rPr>
                <w:b/>
                <w:sz w:val="18"/>
                <w:szCs w:val="16"/>
              </w:rPr>
            </w:pPr>
            <w:r w:rsidRPr="006A74F8">
              <w:rPr>
                <w:b/>
                <w:sz w:val="18"/>
                <w:szCs w:val="16"/>
              </w:rPr>
              <w:t>$11,120</w:t>
            </w:r>
          </w:p>
        </w:tc>
        <w:tc>
          <w:tcPr>
            <w:tcW w:w="3239" w:type="dxa"/>
            <w:hideMark/>
          </w:tcPr>
          <w:p w:rsidR="00FE4C33" w:rsidRPr="006A74F8" w:rsidRDefault="00FE4C33" w:rsidP="005B3395">
            <w:pPr>
              <w:rPr>
                <w:b/>
                <w:sz w:val="18"/>
                <w:szCs w:val="16"/>
              </w:rPr>
            </w:pPr>
          </w:p>
        </w:tc>
      </w:tr>
    </w:tbl>
    <w:p w:rsidR="008A4CA3" w:rsidRPr="006A74F8" w:rsidRDefault="008A4CA3" w:rsidP="00165F56">
      <w:pPr>
        <w:spacing w:after="0"/>
        <w:rPr>
          <w:b/>
        </w:rPr>
        <w:sectPr w:rsidR="008A4CA3" w:rsidRPr="006A74F8" w:rsidSect="00EC61D8">
          <w:pgSz w:w="11907" w:h="16840" w:code="9"/>
          <w:pgMar w:top="1440" w:right="1440" w:bottom="1440" w:left="1440" w:header="851" w:footer="0" w:gutter="0"/>
          <w:cols w:space="708"/>
          <w:titlePg/>
          <w:docGrid w:linePitch="360"/>
        </w:sectPr>
      </w:pPr>
    </w:p>
    <w:p w:rsidR="00D14B95" w:rsidRPr="006A74F8" w:rsidRDefault="00D14B95" w:rsidP="00D14B95">
      <w:pPr>
        <w:pStyle w:val="Caption"/>
        <w:keepNext/>
      </w:pPr>
      <w:r w:rsidRPr="006A74F8">
        <w:lastRenderedPageBreak/>
        <w:t xml:space="preserve">Table </w:t>
      </w:r>
      <w:r w:rsidR="00B1255E" w:rsidRPr="006A74F8">
        <w:t>A11</w:t>
      </w:r>
      <w:r w:rsidRPr="006A74F8">
        <w:t xml:space="preserve">- </w:t>
      </w:r>
      <w:r w:rsidR="00D003A8" w:rsidRPr="006A74F8">
        <w:rPr>
          <w:noProof/>
        </w:rPr>
        <w:fldChar w:fldCharType="begin"/>
      </w:r>
      <w:r w:rsidR="00D003A8" w:rsidRPr="006A74F8">
        <w:rPr>
          <w:noProof/>
        </w:rPr>
        <w:instrText xml:space="preserve"> SEQ Table_A12- \* ARABIC </w:instrText>
      </w:r>
      <w:r w:rsidR="00D003A8" w:rsidRPr="006A74F8">
        <w:rPr>
          <w:noProof/>
        </w:rPr>
        <w:fldChar w:fldCharType="separate"/>
      </w:r>
      <w:r w:rsidR="0033017F">
        <w:rPr>
          <w:noProof/>
        </w:rPr>
        <w:t>6</w:t>
      </w:r>
      <w:r w:rsidR="00D003A8" w:rsidRPr="006A74F8">
        <w:rPr>
          <w:noProof/>
        </w:rPr>
        <w:fldChar w:fldCharType="end"/>
      </w:r>
      <w:r w:rsidRPr="006A74F8">
        <w:t>: Assumptions for instrument redesign</w:t>
      </w:r>
    </w:p>
    <w:tbl>
      <w:tblPr>
        <w:tblStyle w:val="TableGrid"/>
        <w:tblW w:w="9209" w:type="dxa"/>
        <w:tblLook w:val="04A0" w:firstRow="1" w:lastRow="0" w:firstColumn="1" w:lastColumn="0" w:noHBand="0" w:noVBand="1"/>
        <w:tblCaption w:val="Table A12- 6: Assumptions for instrument redesign"/>
        <w:tblDescription w:val="The cost of instrument redesign to meet pattern approval requirements is estimated as $15,405"/>
      </w:tblPr>
      <w:tblGrid>
        <w:gridCol w:w="1551"/>
        <w:gridCol w:w="1196"/>
        <w:gridCol w:w="1827"/>
        <w:gridCol w:w="1418"/>
        <w:gridCol w:w="3217"/>
      </w:tblGrid>
      <w:tr w:rsidR="00681112" w:rsidRPr="006A74F8" w:rsidTr="00320404">
        <w:trPr>
          <w:trHeight w:val="288"/>
          <w:tblHeader/>
        </w:trPr>
        <w:tc>
          <w:tcPr>
            <w:tcW w:w="1551" w:type="dxa"/>
            <w:shd w:val="clear" w:color="auto" w:fill="1F3864"/>
            <w:hideMark/>
          </w:tcPr>
          <w:p w:rsidR="00681112" w:rsidRPr="006A74F8" w:rsidRDefault="00681112" w:rsidP="00681112">
            <w:pPr>
              <w:pStyle w:val="ListParagraph"/>
              <w:ind w:left="360"/>
              <w:rPr>
                <w:b/>
                <w:sz w:val="18"/>
                <w:szCs w:val="16"/>
              </w:rPr>
            </w:pPr>
            <w:r w:rsidRPr="006A74F8">
              <w:rPr>
                <w:b/>
                <w:sz w:val="18"/>
                <w:szCs w:val="16"/>
              </w:rPr>
              <w:t>Activity</w:t>
            </w:r>
          </w:p>
        </w:tc>
        <w:tc>
          <w:tcPr>
            <w:tcW w:w="1196" w:type="dxa"/>
            <w:shd w:val="clear" w:color="auto" w:fill="1F3864"/>
            <w:hideMark/>
          </w:tcPr>
          <w:p w:rsidR="00681112" w:rsidRPr="006A74F8" w:rsidRDefault="00681112" w:rsidP="00681112">
            <w:pPr>
              <w:pStyle w:val="ListParagraph"/>
              <w:ind w:left="360"/>
              <w:rPr>
                <w:b/>
                <w:sz w:val="18"/>
                <w:szCs w:val="16"/>
              </w:rPr>
            </w:pPr>
            <w:r w:rsidRPr="006A74F8">
              <w:rPr>
                <w:b/>
                <w:sz w:val="18"/>
                <w:szCs w:val="16"/>
              </w:rPr>
              <w:t>Requirement</w:t>
            </w:r>
          </w:p>
        </w:tc>
        <w:tc>
          <w:tcPr>
            <w:tcW w:w="1827" w:type="dxa"/>
            <w:shd w:val="clear" w:color="auto" w:fill="1F3864"/>
            <w:hideMark/>
          </w:tcPr>
          <w:p w:rsidR="00681112" w:rsidRPr="006A74F8" w:rsidRDefault="00681112" w:rsidP="00681112">
            <w:pPr>
              <w:pStyle w:val="ListParagraph"/>
              <w:ind w:left="360"/>
              <w:rPr>
                <w:b/>
                <w:sz w:val="18"/>
                <w:szCs w:val="16"/>
              </w:rPr>
            </w:pPr>
            <w:r w:rsidRPr="006A74F8">
              <w:rPr>
                <w:b/>
                <w:sz w:val="18"/>
                <w:szCs w:val="16"/>
              </w:rPr>
              <w:t>Variable</w:t>
            </w:r>
          </w:p>
        </w:tc>
        <w:tc>
          <w:tcPr>
            <w:tcW w:w="1418" w:type="dxa"/>
            <w:shd w:val="clear" w:color="auto" w:fill="1F3864"/>
            <w:noWrap/>
            <w:hideMark/>
          </w:tcPr>
          <w:p w:rsidR="00681112" w:rsidRPr="006A74F8" w:rsidRDefault="00681112" w:rsidP="00681112">
            <w:pPr>
              <w:pStyle w:val="ListParagraph"/>
              <w:ind w:left="360"/>
              <w:jc w:val="center"/>
              <w:rPr>
                <w:b/>
                <w:sz w:val="18"/>
                <w:szCs w:val="16"/>
              </w:rPr>
            </w:pPr>
          </w:p>
        </w:tc>
        <w:tc>
          <w:tcPr>
            <w:tcW w:w="3217" w:type="dxa"/>
            <w:shd w:val="clear" w:color="auto" w:fill="1F3864"/>
            <w:hideMark/>
          </w:tcPr>
          <w:p w:rsidR="00681112" w:rsidRPr="006A74F8" w:rsidRDefault="00681112" w:rsidP="00681112">
            <w:pPr>
              <w:pStyle w:val="ListParagraph"/>
              <w:ind w:left="360"/>
              <w:rPr>
                <w:b/>
                <w:sz w:val="18"/>
                <w:szCs w:val="16"/>
              </w:rPr>
            </w:pPr>
            <w:r w:rsidRPr="006A74F8">
              <w:rPr>
                <w:b/>
                <w:sz w:val="18"/>
                <w:szCs w:val="16"/>
              </w:rPr>
              <w:t>Assumptions</w:t>
            </w:r>
          </w:p>
        </w:tc>
      </w:tr>
      <w:tr w:rsidR="00681112" w:rsidRPr="006A74F8" w:rsidTr="00D14B95">
        <w:trPr>
          <w:trHeight w:val="864"/>
        </w:trPr>
        <w:tc>
          <w:tcPr>
            <w:tcW w:w="1551" w:type="dxa"/>
            <w:vMerge w:val="restart"/>
            <w:hideMark/>
          </w:tcPr>
          <w:p w:rsidR="00681112" w:rsidRPr="006A74F8" w:rsidRDefault="009D731D" w:rsidP="00681112">
            <w:pPr>
              <w:pStyle w:val="ListParagraph"/>
              <w:ind w:left="171" w:hanging="142"/>
              <w:rPr>
                <w:sz w:val="18"/>
                <w:szCs w:val="16"/>
              </w:rPr>
            </w:pPr>
            <w:r w:rsidRPr="006A74F8">
              <w:rPr>
                <w:sz w:val="18"/>
                <w:szCs w:val="16"/>
              </w:rPr>
              <w:t>5</w:t>
            </w:r>
            <w:r w:rsidR="00681112" w:rsidRPr="006A74F8">
              <w:rPr>
                <w:sz w:val="18"/>
                <w:szCs w:val="16"/>
              </w:rPr>
              <w:t xml:space="preserve">. Cost of instrument redesign to meet </w:t>
            </w:r>
            <w:r w:rsidR="00203D5A" w:rsidRPr="006A74F8">
              <w:rPr>
                <w:sz w:val="18"/>
                <w:szCs w:val="16"/>
              </w:rPr>
              <w:t xml:space="preserve">pattern approval </w:t>
            </w:r>
            <w:r w:rsidR="00681112" w:rsidRPr="006A74F8">
              <w:rPr>
                <w:sz w:val="18"/>
                <w:szCs w:val="16"/>
              </w:rPr>
              <w:t>requirements</w:t>
            </w:r>
          </w:p>
        </w:tc>
        <w:tc>
          <w:tcPr>
            <w:tcW w:w="1196" w:type="dxa"/>
            <w:vMerge w:val="restart"/>
            <w:hideMark/>
          </w:tcPr>
          <w:p w:rsidR="00681112" w:rsidRPr="006A74F8" w:rsidRDefault="00681112" w:rsidP="00681112">
            <w:pPr>
              <w:pStyle w:val="ListParagraph"/>
              <w:ind w:left="360"/>
              <w:rPr>
                <w:sz w:val="18"/>
                <w:szCs w:val="16"/>
              </w:rPr>
            </w:pPr>
            <w:r w:rsidRPr="006A74F8">
              <w:rPr>
                <w:sz w:val="18"/>
                <w:szCs w:val="16"/>
              </w:rPr>
              <w:t> </w:t>
            </w:r>
          </w:p>
        </w:tc>
        <w:tc>
          <w:tcPr>
            <w:tcW w:w="1827" w:type="dxa"/>
            <w:hideMark/>
          </w:tcPr>
          <w:p w:rsidR="00681112" w:rsidRPr="006A74F8" w:rsidRDefault="00681112" w:rsidP="00681112">
            <w:pPr>
              <w:pStyle w:val="ListParagraph"/>
              <w:ind w:left="13" w:hanging="13"/>
              <w:rPr>
                <w:sz w:val="18"/>
                <w:szCs w:val="16"/>
              </w:rPr>
            </w:pPr>
            <w:r w:rsidRPr="006A74F8">
              <w:rPr>
                <w:sz w:val="18"/>
                <w:szCs w:val="16"/>
              </w:rPr>
              <w:t>Number of measuring instruments verified / reverified per year</w:t>
            </w:r>
          </w:p>
        </w:tc>
        <w:tc>
          <w:tcPr>
            <w:tcW w:w="1418" w:type="dxa"/>
            <w:noWrap/>
            <w:hideMark/>
          </w:tcPr>
          <w:p w:rsidR="00681112" w:rsidRPr="006A74F8" w:rsidRDefault="00681112" w:rsidP="00681112">
            <w:pPr>
              <w:pStyle w:val="ListParagraph"/>
              <w:ind w:left="360"/>
              <w:jc w:val="center"/>
              <w:rPr>
                <w:sz w:val="18"/>
                <w:szCs w:val="16"/>
              </w:rPr>
            </w:pPr>
            <w:r w:rsidRPr="006A74F8">
              <w:rPr>
                <w:sz w:val="18"/>
                <w:szCs w:val="16"/>
              </w:rPr>
              <w:t>139</w:t>
            </w:r>
          </w:p>
        </w:tc>
        <w:tc>
          <w:tcPr>
            <w:tcW w:w="3217" w:type="dxa"/>
            <w:hideMark/>
          </w:tcPr>
          <w:p w:rsidR="00681112" w:rsidRPr="006A74F8" w:rsidRDefault="00681112" w:rsidP="00681112">
            <w:pPr>
              <w:pStyle w:val="ListParagraph"/>
              <w:ind w:left="28" w:hanging="28"/>
              <w:rPr>
                <w:sz w:val="18"/>
                <w:szCs w:val="16"/>
              </w:rPr>
            </w:pPr>
            <w:r w:rsidRPr="006A74F8">
              <w:rPr>
                <w:sz w:val="18"/>
                <w:szCs w:val="16"/>
              </w:rPr>
              <w:t xml:space="preserve"> Average annual number of applications = (average total number of applications over 10 years) 2008/09-2018/19 data pattern approval provides 1,392 applications 1,392 received/10 years = 139 per year</w:t>
            </w:r>
          </w:p>
        </w:tc>
      </w:tr>
      <w:tr w:rsidR="00681112" w:rsidRPr="006A74F8" w:rsidTr="00D14B95">
        <w:trPr>
          <w:trHeight w:val="288"/>
        </w:trPr>
        <w:tc>
          <w:tcPr>
            <w:tcW w:w="1551" w:type="dxa"/>
            <w:vMerge/>
            <w:hideMark/>
          </w:tcPr>
          <w:p w:rsidR="00681112" w:rsidRPr="006A74F8" w:rsidRDefault="00681112" w:rsidP="00681112">
            <w:pPr>
              <w:pStyle w:val="ListParagraph"/>
              <w:ind w:left="360"/>
              <w:rPr>
                <w:sz w:val="18"/>
                <w:szCs w:val="16"/>
              </w:rPr>
            </w:pPr>
          </w:p>
        </w:tc>
        <w:tc>
          <w:tcPr>
            <w:tcW w:w="1196" w:type="dxa"/>
            <w:vMerge/>
            <w:hideMark/>
          </w:tcPr>
          <w:p w:rsidR="00681112" w:rsidRPr="006A74F8" w:rsidRDefault="00681112" w:rsidP="00681112">
            <w:pPr>
              <w:pStyle w:val="ListParagraph"/>
              <w:ind w:left="360"/>
              <w:rPr>
                <w:sz w:val="18"/>
                <w:szCs w:val="16"/>
              </w:rPr>
            </w:pPr>
          </w:p>
        </w:tc>
        <w:tc>
          <w:tcPr>
            <w:tcW w:w="1827" w:type="dxa"/>
            <w:hideMark/>
          </w:tcPr>
          <w:p w:rsidR="00681112" w:rsidRPr="006A74F8" w:rsidRDefault="00681112" w:rsidP="00681112">
            <w:pPr>
              <w:pStyle w:val="ListParagraph"/>
              <w:ind w:left="0" w:firstLine="0"/>
              <w:rPr>
                <w:sz w:val="18"/>
                <w:szCs w:val="16"/>
              </w:rPr>
            </w:pPr>
            <w:r w:rsidRPr="006A74F8">
              <w:rPr>
                <w:sz w:val="18"/>
                <w:szCs w:val="16"/>
              </w:rPr>
              <w:t>Percentage of instruments affected</w:t>
            </w:r>
          </w:p>
        </w:tc>
        <w:tc>
          <w:tcPr>
            <w:tcW w:w="1418" w:type="dxa"/>
            <w:noWrap/>
            <w:hideMark/>
          </w:tcPr>
          <w:p w:rsidR="00681112" w:rsidRPr="006A74F8" w:rsidRDefault="00681112" w:rsidP="00681112">
            <w:pPr>
              <w:pStyle w:val="ListParagraph"/>
              <w:ind w:left="360"/>
              <w:jc w:val="center"/>
              <w:rPr>
                <w:sz w:val="18"/>
                <w:szCs w:val="16"/>
              </w:rPr>
            </w:pPr>
            <w:r w:rsidRPr="006A74F8">
              <w:rPr>
                <w:sz w:val="18"/>
                <w:szCs w:val="16"/>
              </w:rPr>
              <w:t>25%</w:t>
            </w:r>
          </w:p>
        </w:tc>
        <w:tc>
          <w:tcPr>
            <w:tcW w:w="3217" w:type="dxa"/>
            <w:hideMark/>
          </w:tcPr>
          <w:p w:rsidR="00681112" w:rsidRPr="006A74F8" w:rsidRDefault="00681112" w:rsidP="00681112">
            <w:pPr>
              <w:pStyle w:val="ListParagraph"/>
              <w:ind w:left="360"/>
              <w:rPr>
                <w:sz w:val="18"/>
                <w:szCs w:val="16"/>
              </w:rPr>
            </w:pPr>
            <w:r w:rsidRPr="006A74F8">
              <w:rPr>
                <w:sz w:val="18"/>
                <w:szCs w:val="16"/>
              </w:rPr>
              <w:t>NMI estimates</w:t>
            </w:r>
          </w:p>
        </w:tc>
      </w:tr>
      <w:tr w:rsidR="00681112" w:rsidRPr="006A74F8" w:rsidTr="00D14B95">
        <w:trPr>
          <w:trHeight w:val="288"/>
        </w:trPr>
        <w:tc>
          <w:tcPr>
            <w:tcW w:w="1551" w:type="dxa"/>
            <w:vMerge/>
            <w:hideMark/>
          </w:tcPr>
          <w:p w:rsidR="00681112" w:rsidRPr="006A74F8" w:rsidRDefault="00681112" w:rsidP="00681112">
            <w:pPr>
              <w:pStyle w:val="ListParagraph"/>
              <w:ind w:left="360"/>
              <w:rPr>
                <w:sz w:val="18"/>
                <w:szCs w:val="16"/>
              </w:rPr>
            </w:pPr>
          </w:p>
        </w:tc>
        <w:tc>
          <w:tcPr>
            <w:tcW w:w="1196" w:type="dxa"/>
            <w:vMerge/>
            <w:hideMark/>
          </w:tcPr>
          <w:p w:rsidR="00681112" w:rsidRPr="006A74F8" w:rsidRDefault="00681112" w:rsidP="00681112">
            <w:pPr>
              <w:pStyle w:val="ListParagraph"/>
              <w:ind w:left="360"/>
              <w:rPr>
                <w:sz w:val="18"/>
                <w:szCs w:val="16"/>
              </w:rPr>
            </w:pPr>
          </w:p>
        </w:tc>
        <w:tc>
          <w:tcPr>
            <w:tcW w:w="1827" w:type="dxa"/>
            <w:hideMark/>
          </w:tcPr>
          <w:p w:rsidR="00681112" w:rsidRPr="006A74F8" w:rsidRDefault="00681112" w:rsidP="00681112">
            <w:pPr>
              <w:pStyle w:val="ListParagraph"/>
              <w:ind w:left="0" w:firstLine="0"/>
              <w:rPr>
                <w:sz w:val="18"/>
                <w:szCs w:val="16"/>
              </w:rPr>
            </w:pPr>
            <w:r w:rsidRPr="006A74F8">
              <w:rPr>
                <w:sz w:val="18"/>
                <w:szCs w:val="16"/>
              </w:rPr>
              <w:t>Number staff to perform the activity</w:t>
            </w:r>
          </w:p>
        </w:tc>
        <w:tc>
          <w:tcPr>
            <w:tcW w:w="1418" w:type="dxa"/>
            <w:noWrap/>
            <w:hideMark/>
          </w:tcPr>
          <w:p w:rsidR="00681112" w:rsidRPr="006A74F8" w:rsidRDefault="00681112" w:rsidP="00681112">
            <w:pPr>
              <w:pStyle w:val="ListParagraph"/>
              <w:ind w:left="360"/>
              <w:jc w:val="center"/>
              <w:rPr>
                <w:sz w:val="18"/>
                <w:szCs w:val="16"/>
              </w:rPr>
            </w:pPr>
            <w:r w:rsidRPr="006A74F8">
              <w:rPr>
                <w:sz w:val="18"/>
                <w:szCs w:val="16"/>
              </w:rPr>
              <w:t>1</w:t>
            </w:r>
          </w:p>
        </w:tc>
        <w:tc>
          <w:tcPr>
            <w:tcW w:w="3217" w:type="dxa"/>
            <w:hideMark/>
          </w:tcPr>
          <w:p w:rsidR="00681112" w:rsidRPr="006A74F8" w:rsidRDefault="00681112" w:rsidP="00681112">
            <w:pPr>
              <w:pStyle w:val="ListParagraph"/>
              <w:ind w:left="28" w:firstLine="36"/>
              <w:rPr>
                <w:sz w:val="18"/>
                <w:szCs w:val="16"/>
              </w:rPr>
            </w:pPr>
            <w:r w:rsidRPr="006A74F8">
              <w:rPr>
                <w:sz w:val="18"/>
                <w:szCs w:val="16"/>
              </w:rPr>
              <w:t>One staff member</w:t>
            </w:r>
          </w:p>
        </w:tc>
      </w:tr>
      <w:tr w:rsidR="00681112" w:rsidRPr="006A74F8" w:rsidTr="00D14B95">
        <w:trPr>
          <w:trHeight w:val="288"/>
        </w:trPr>
        <w:tc>
          <w:tcPr>
            <w:tcW w:w="1551" w:type="dxa"/>
            <w:vMerge/>
            <w:hideMark/>
          </w:tcPr>
          <w:p w:rsidR="00681112" w:rsidRPr="006A74F8" w:rsidRDefault="00681112" w:rsidP="00681112">
            <w:pPr>
              <w:pStyle w:val="ListParagraph"/>
              <w:ind w:left="360"/>
              <w:rPr>
                <w:sz w:val="18"/>
                <w:szCs w:val="16"/>
              </w:rPr>
            </w:pPr>
          </w:p>
        </w:tc>
        <w:tc>
          <w:tcPr>
            <w:tcW w:w="1196" w:type="dxa"/>
            <w:vMerge/>
            <w:hideMark/>
          </w:tcPr>
          <w:p w:rsidR="00681112" w:rsidRPr="006A74F8" w:rsidRDefault="00681112" w:rsidP="00681112">
            <w:pPr>
              <w:pStyle w:val="ListParagraph"/>
              <w:ind w:left="360"/>
              <w:rPr>
                <w:sz w:val="18"/>
                <w:szCs w:val="16"/>
              </w:rPr>
            </w:pPr>
          </w:p>
        </w:tc>
        <w:tc>
          <w:tcPr>
            <w:tcW w:w="1827" w:type="dxa"/>
            <w:hideMark/>
          </w:tcPr>
          <w:p w:rsidR="00681112" w:rsidRPr="006A74F8" w:rsidRDefault="00681112" w:rsidP="00681112">
            <w:pPr>
              <w:pStyle w:val="ListParagraph"/>
              <w:ind w:left="0" w:firstLine="0"/>
              <w:rPr>
                <w:sz w:val="18"/>
                <w:szCs w:val="16"/>
              </w:rPr>
            </w:pPr>
            <w:r w:rsidRPr="006A74F8">
              <w:rPr>
                <w:sz w:val="18"/>
                <w:szCs w:val="16"/>
              </w:rPr>
              <w:t>Avg. time of each staff to do activity (in hours)</w:t>
            </w:r>
          </w:p>
        </w:tc>
        <w:tc>
          <w:tcPr>
            <w:tcW w:w="1418" w:type="dxa"/>
            <w:noWrap/>
            <w:hideMark/>
          </w:tcPr>
          <w:p w:rsidR="00681112" w:rsidRPr="006A74F8" w:rsidRDefault="00681112" w:rsidP="00681112">
            <w:pPr>
              <w:pStyle w:val="ListParagraph"/>
              <w:ind w:left="360"/>
              <w:jc w:val="center"/>
              <w:rPr>
                <w:sz w:val="18"/>
                <w:szCs w:val="16"/>
              </w:rPr>
            </w:pPr>
            <w:r w:rsidRPr="006A74F8">
              <w:rPr>
                <w:sz w:val="18"/>
                <w:szCs w:val="16"/>
              </w:rPr>
              <w:t>40</w:t>
            </w:r>
          </w:p>
        </w:tc>
        <w:tc>
          <w:tcPr>
            <w:tcW w:w="3217" w:type="dxa"/>
            <w:hideMark/>
          </w:tcPr>
          <w:p w:rsidR="00681112" w:rsidRPr="006A74F8" w:rsidRDefault="00681112" w:rsidP="00681112">
            <w:pPr>
              <w:pStyle w:val="ListParagraph"/>
              <w:ind w:left="28" w:firstLine="0"/>
              <w:rPr>
                <w:sz w:val="18"/>
                <w:szCs w:val="16"/>
              </w:rPr>
            </w:pPr>
            <w:r w:rsidRPr="006A74F8">
              <w:rPr>
                <w:sz w:val="18"/>
                <w:szCs w:val="16"/>
              </w:rPr>
              <w:t>NMI estimate, on average it takes one week to complete the redesign</w:t>
            </w:r>
          </w:p>
        </w:tc>
      </w:tr>
      <w:tr w:rsidR="00681112" w:rsidRPr="006A74F8" w:rsidTr="00D14B95">
        <w:trPr>
          <w:trHeight w:val="576"/>
        </w:trPr>
        <w:tc>
          <w:tcPr>
            <w:tcW w:w="1551" w:type="dxa"/>
            <w:vMerge/>
            <w:hideMark/>
          </w:tcPr>
          <w:p w:rsidR="00681112" w:rsidRPr="006A74F8" w:rsidRDefault="00681112" w:rsidP="00681112">
            <w:pPr>
              <w:pStyle w:val="ListParagraph"/>
              <w:ind w:left="360"/>
              <w:rPr>
                <w:sz w:val="18"/>
                <w:szCs w:val="16"/>
              </w:rPr>
            </w:pPr>
          </w:p>
        </w:tc>
        <w:tc>
          <w:tcPr>
            <w:tcW w:w="1196" w:type="dxa"/>
            <w:vMerge/>
            <w:hideMark/>
          </w:tcPr>
          <w:p w:rsidR="00681112" w:rsidRPr="006A74F8" w:rsidRDefault="00681112" w:rsidP="00681112">
            <w:pPr>
              <w:pStyle w:val="ListParagraph"/>
              <w:ind w:left="360"/>
              <w:rPr>
                <w:sz w:val="18"/>
                <w:szCs w:val="16"/>
              </w:rPr>
            </w:pPr>
          </w:p>
        </w:tc>
        <w:tc>
          <w:tcPr>
            <w:tcW w:w="1827" w:type="dxa"/>
            <w:hideMark/>
          </w:tcPr>
          <w:p w:rsidR="00681112" w:rsidRPr="006A74F8" w:rsidRDefault="00681112" w:rsidP="00681112">
            <w:pPr>
              <w:pStyle w:val="ListParagraph"/>
              <w:ind w:left="0" w:firstLine="0"/>
              <w:rPr>
                <w:sz w:val="18"/>
                <w:szCs w:val="16"/>
              </w:rPr>
            </w:pPr>
            <w:r w:rsidRPr="006A74F8">
              <w:rPr>
                <w:sz w:val="18"/>
                <w:szCs w:val="16"/>
              </w:rPr>
              <w:t xml:space="preserve">Discount factors for international </w:t>
            </w:r>
            <w:r w:rsidR="00B527D3" w:rsidRPr="006A74F8">
              <w:rPr>
                <w:sz w:val="18"/>
                <w:szCs w:val="16"/>
              </w:rPr>
              <w:t xml:space="preserve">documentary </w:t>
            </w:r>
            <w:r w:rsidRPr="006A74F8">
              <w:rPr>
                <w:sz w:val="18"/>
                <w:szCs w:val="16"/>
              </w:rPr>
              <w:t>standards</w:t>
            </w:r>
          </w:p>
        </w:tc>
        <w:tc>
          <w:tcPr>
            <w:tcW w:w="1418" w:type="dxa"/>
            <w:noWrap/>
            <w:hideMark/>
          </w:tcPr>
          <w:p w:rsidR="00681112" w:rsidRPr="006A74F8" w:rsidRDefault="00681112" w:rsidP="00681112">
            <w:pPr>
              <w:pStyle w:val="ListParagraph"/>
              <w:ind w:left="360"/>
              <w:jc w:val="center"/>
              <w:rPr>
                <w:sz w:val="18"/>
                <w:szCs w:val="16"/>
              </w:rPr>
            </w:pPr>
            <w:r w:rsidRPr="006A74F8">
              <w:rPr>
                <w:sz w:val="18"/>
                <w:szCs w:val="16"/>
              </w:rPr>
              <w:t>10%</w:t>
            </w:r>
          </w:p>
        </w:tc>
        <w:tc>
          <w:tcPr>
            <w:tcW w:w="3217" w:type="dxa"/>
            <w:hideMark/>
          </w:tcPr>
          <w:p w:rsidR="00681112" w:rsidRPr="006A74F8" w:rsidRDefault="00681112" w:rsidP="00681112">
            <w:pPr>
              <w:pStyle w:val="ListParagraph"/>
              <w:ind w:left="28" w:firstLine="0"/>
              <w:rPr>
                <w:sz w:val="18"/>
                <w:szCs w:val="16"/>
              </w:rPr>
            </w:pPr>
            <w:r w:rsidRPr="006A74F8">
              <w:rPr>
                <w:sz w:val="18"/>
                <w:szCs w:val="16"/>
              </w:rPr>
              <w:t>NMI estimates that compliance with international requirements accounts for around 90% of the redesign requirements</w:t>
            </w:r>
          </w:p>
        </w:tc>
      </w:tr>
      <w:tr w:rsidR="00681112" w:rsidRPr="006A74F8" w:rsidTr="00D14B95">
        <w:trPr>
          <w:trHeight w:val="864"/>
        </w:trPr>
        <w:tc>
          <w:tcPr>
            <w:tcW w:w="1551" w:type="dxa"/>
            <w:vMerge/>
            <w:hideMark/>
          </w:tcPr>
          <w:p w:rsidR="00681112" w:rsidRPr="006A74F8" w:rsidRDefault="00681112" w:rsidP="00681112">
            <w:pPr>
              <w:pStyle w:val="ListParagraph"/>
              <w:ind w:left="360"/>
              <w:rPr>
                <w:sz w:val="18"/>
                <w:szCs w:val="16"/>
              </w:rPr>
            </w:pPr>
          </w:p>
        </w:tc>
        <w:tc>
          <w:tcPr>
            <w:tcW w:w="1196" w:type="dxa"/>
            <w:vMerge/>
            <w:hideMark/>
          </w:tcPr>
          <w:p w:rsidR="00681112" w:rsidRPr="006A74F8" w:rsidRDefault="00681112" w:rsidP="00681112">
            <w:pPr>
              <w:pStyle w:val="ListParagraph"/>
              <w:ind w:left="360"/>
              <w:rPr>
                <w:sz w:val="18"/>
                <w:szCs w:val="16"/>
              </w:rPr>
            </w:pPr>
          </w:p>
        </w:tc>
        <w:tc>
          <w:tcPr>
            <w:tcW w:w="1827" w:type="dxa"/>
            <w:hideMark/>
          </w:tcPr>
          <w:p w:rsidR="00681112" w:rsidRPr="006A74F8" w:rsidRDefault="00681112" w:rsidP="00681112">
            <w:pPr>
              <w:pStyle w:val="ListParagraph"/>
              <w:ind w:left="0" w:firstLine="0"/>
              <w:rPr>
                <w:sz w:val="18"/>
                <w:szCs w:val="16"/>
              </w:rPr>
            </w:pPr>
            <w:r w:rsidRPr="006A74F8">
              <w:rPr>
                <w:sz w:val="18"/>
                <w:szCs w:val="16"/>
              </w:rPr>
              <w:t>Labour cost ($/hr) (wage + non-wage labour costs)</w:t>
            </w:r>
          </w:p>
        </w:tc>
        <w:tc>
          <w:tcPr>
            <w:tcW w:w="1418" w:type="dxa"/>
            <w:noWrap/>
            <w:hideMark/>
          </w:tcPr>
          <w:p w:rsidR="00681112" w:rsidRPr="006A74F8" w:rsidRDefault="00681112" w:rsidP="00681112">
            <w:pPr>
              <w:pStyle w:val="ListParagraph"/>
              <w:ind w:left="360"/>
              <w:jc w:val="center"/>
              <w:rPr>
                <w:sz w:val="18"/>
                <w:szCs w:val="16"/>
              </w:rPr>
            </w:pPr>
            <w:r w:rsidRPr="006A74F8">
              <w:rPr>
                <w:sz w:val="18"/>
                <w:szCs w:val="16"/>
              </w:rPr>
              <w:t>$110.83</w:t>
            </w:r>
          </w:p>
        </w:tc>
        <w:tc>
          <w:tcPr>
            <w:tcW w:w="3217" w:type="dxa"/>
            <w:hideMark/>
          </w:tcPr>
          <w:p w:rsidR="00681112" w:rsidRPr="006A74F8" w:rsidRDefault="00681112" w:rsidP="00681112">
            <w:pPr>
              <w:pStyle w:val="ListParagraph"/>
              <w:ind w:left="28" w:firstLine="0"/>
              <w:rPr>
                <w:sz w:val="18"/>
                <w:szCs w:val="16"/>
              </w:rPr>
            </w:pPr>
            <w:r w:rsidRPr="006A74F8">
              <w:rPr>
                <w:sz w:val="18"/>
                <w:szCs w:val="16"/>
              </w:rPr>
              <w:t>Based on the ABS Cat 6306.0</w:t>
            </w:r>
            <w:r w:rsidRPr="006A74F8">
              <w:rPr>
                <w:rStyle w:val="FootnoteReference"/>
                <w:sz w:val="18"/>
                <w:szCs w:val="16"/>
              </w:rPr>
              <w:footnoteReference w:id="195"/>
            </w:r>
            <w:r w:rsidRPr="006A74F8">
              <w:rPr>
                <w:sz w:val="18"/>
                <w:szCs w:val="16"/>
              </w:rPr>
              <w:t xml:space="preserve"> average weekly earnings for various engineering and technical wage categories including 1.75 multiplier</w:t>
            </w:r>
            <w:r w:rsidRPr="006A74F8">
              <w:rPr>
                <w:rStyle w:val="FootnoteReference"/>
                <w:sz w:val="18"/>
                <w:szCs w:val="16"/>
              </w:rPr>
              <w:footnoteReference w:id="196"/>
            </w:r>
            <w:r w:rsidRPr="006A74F8">
              <w:rPr>
                <w:sz w:val="18"/>
                <w:szCs w:val="16"/>
              </w:rPr>
              <w:t xml:space="preserve"> for on-costs</w:t>
            </w:r>
          </w:p>
        </w:tc>
      </w:tr>
      <w:tr w:rsidR="00681112" w:rsidRPr="006A74F8" w:rsidTr="00D14B95">
        <w:trPr>
          <w:trHeight w:val="288"/>
        </w:trPr>
        <w:tc>
          <w:tcPr>
            <w:tcW w:w="1551" w:type="dxa"/>
            <w:vMerge/>
            <w:hideMark/>
          </w:tcPr>
          <w:p w:rsidR="00681112" w:rsidRPr="006A74F8" w:rsidRDefault="00681112" w:rsidP="00681112">
            <w:pPr>
              <w:pStyle w:val="ListParagraph"/>
              <w:ind w:left="360"/>
              <w:rPr>
                <w:sz w:val="18"/>
                <w:szCs w:val="16"/>
              </w:rPr>
            </w:pPr>
          </w:p>
        </w:tc>
        <w:tc>
          <w:tcPr>
            <w:tcW w:w="1196" w:type="dxa"/>
            <w:hideMark/>
          </w:tcPr>
          <w:p w:rsidR="00681112" w:rsidRPr="006A74F8" w:rsidRDefault="00681112" w:rsidP="00681112">
            <w:pPr>
              <w:pStyle w:val="ListParagraph"/>
              <w:ind w:left="360"/>
              <w:rPr>
                <w:sz w:val="18"/>
                <w:szCs w:val="16"/>
              </w:rPr>
            </w:pPr>
            <w:r w:rsidRPr="006A74F8">
              <w:rPr>
                <w:sz w:val="18"/>
                <w:szCs w:val="16"/>
              </w:rPr>
              <w:t> </w:t>
            </w:r>
          </w:p>
        </w:tc>
        <w:tc>
          <w:tcPr>
            <w:tcW w:w="1827" w:type="dxa"/>
            <w:hideMark/>
          </w:tcPr>
          <w:p w:rsidR="00681112" w:rsidRPr="006A74F8" w:rsidRDefault="00681112" w:rsidP="00681112">
            <w:pPr>
              <w:pStyle w:val="ListParagraph"/>
              <w:ind w:left="360"/>
              <w:rPr>
                <w:b/>
                <w:sz w:val="18"/>
                <w:szCs w:val="16"/>
              </w:rPr>
            </w:pPr>
            <w:r w:rsidRPr="006A74F8">
              <w:rPr>
                <w:b/>
                <w:sz w:val="18"/>
                <w:szCs w:val="16"/>
              </w:rPr>
              <w:t xml:space="preserve">Cost of Activity = </w:t>
            </w:r>
          </w:p>
        </w:tc>
        <w:tc>
          <w:tcPr>
            <w:tcW w:w="1418" w:type="dxa"/>
            <w:noWrap/>
            <w:hideMark/>
          </w:tcPr>
          <w:p w:rsidR="00681112" w:rsidRPr="006A74F8" w:rsidRDefault="00681112" w:rsidP="00681112">
            <w:pPr>
              <w:pStyle w:val="ListParagraph"/>
              <w:ind w:left="360"/>
              <w:jc w:val="center"/>
              <w:rPr>
                <w:b/>
                <w:sz w:val="18"/>
                <w:szCs w:val="16"/>
              </w:rPr>
            </w:pPr>
            <w:r w:rsidRPr="006A74F8">
              <w:rPr>
                <w:b/>
                <w:sz w:val="18"/>
                <w:szCs w:val="16"/>
              </w:rPr>
              <w:t>$ 15,405</w:t>
            </w:r>
          </w:p>
        </w:tc>
        <w:tc>
          <w:tcPr>
            <w:tcW w:w="3217" w:type="dxa"/>
            <w:hideMark/>
          </w:tcPr>
          <w:p w:rsidR="00681112" w:rsidRPr="006A74F8" w:rsidRDefault="00681112" w:rsidP="00681112">
            <w:pPr>
              <w:pStyle w:val="ListParagraph"/>
              <w:ind w:left="360"/>
              <w:rPr>
                <w:sz w:val="18"/>
                <w:szCs w:val="16"/>
              </w:rPr>
            </w:pPr>
            <w:r w:rsidRPr="006A74F8">
              <w:rPr>
                <w:sz w:val="18"/>
                <w:szCs w:val="16"/>
              </w:rPr>
              <w:t> </w:t>
            </w:r>
          </w:p>
        </w:tc>
      </w:tr>
    </w:tbl>
    <w:p w:rsidR="00681112" w:rsidRPr="006A74F8" w:rsidRDefault="00681112" w:rsidP="00165F56">
      <w:pPr>
        <w:spacing w:after="0"/>
      </w:pPr>
    </w:p>
    <w:p w:rsidR="00D14B95" w:rsidRPr="006A74F8" w:rsidRDefault="00D14B95" w:rsidP="00D14B95">
      <w:pPr>
        <w:pStyle w:val="Caption"/>
        <w:keepNext/>
      </w:pPr>
      <w:r w:rsidRPr="006A74F8">
        <w:t xml:space="preserve">Table </w:t>
      </w:r>
      <w:r w:rsidR="00B1255E" w:rsidRPr="006A74F8">
        <w:t>A11</w:t>
      </w:r>
      <w:r w:rsidRPr="006A74F8">
        <w:t xml:space="preserve">- </w:t>
      </w:r>
      <w:r w:rsidR="00D003A8" w:rsidRPr="006A74F8">
        <w:rPr>
          <w:noProof/>
        </w:rPr>
        <w:fldChar w:fldCharType="begin"/>
      </w:r>
      <w:r w:rsidR="00D003A8" w:rsidRPr="006A74F8">
        <w:rPr>
          <w:noProof/>
        </w:rPr>
        <w:instrText xml:space="preserve"> SEQ Table_A12- \* ARABIC </w:instrText>
      </w:r>
      <w:r w:rsidR="00D003A8" w:rsidRPr="006A74F8">
        <w:rPr>
          <w:noProof/>
        </w:rPr>
        <w:fldChar w:fldCharType="separate"/>
      </w:r>
      <w:r w:rsidR="0033017F">
        <w:rPr>
          <w:noProof/>
        </w:rPr>
        <w:t>7</w:t>
      </w:r>
      <w:r w:rsidR="00D003A8" w:rsidRPr="006A74F8">
        <w:rPr>
          <w:noProof/>
        </w:rPr>
        <w:fldChar w:fldCharType="end"/>
      </w:r>
      <w:r w:rsidRPr="006A74F8">
        <w:t>: Assumptions for reviewing the draft certificate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2- 7: Assumptions for reviewing the draft certificate"/>
        <w:tblDescription w:val="The burden on business to review the draft certificate is estimated as $30,811"/>
      </w:tblPr>
      <w:tblGrid>
        <w:gridCol w:w="1505"/>
        <w:gridCol w:w="1196"/>
        <w:gridCol w:w="1879"/>
        <w:gridCol w:w="1382"/>
        <w:gridCol w:w="3247"/>
      </w:tblGrid>
      <w:tr w:rsidR="00FE4C33" w:rsidRPr="006A74F8" w:rsidTr="009F6314">
        <w:trPr>
          <w:trHeight w:val="290"/>
          <w:tblHeader/>
        </w:trPr>
        <w:tc>
          <w:tcPr>
            <w:tcW w:w="1505" w:type="dxa"/>
            <w:shd w:val="clear" w:color="auto" w:fill="1F3864"/>
            <w:hideMark/>
          </w:tcPr>
          <w:p w:rsidR="00FE4C33" w:rsidRPr="006A74F8" w:rsidRDefault="00FE4C33" w:rsidP="005B3395">
            <w:pPr>
              <w:rPr>
                <w:b/>
                <w:sz w:val="18"/>
                <w:szCs w:val="16"/>
              </w:rPr>
            </w:pPr>
            <w:r w:rsidRPr="006A74F8">
              <w:rPr>
                <w:b/>
                <w:sz w:val="18"/>
                <w:szCs w:val="16"/>
              </w:rPr>
              <w:t>Activity</w:t>
            </w:r>
          </w:p>
        </w:tc>
        <w:tc>
          <w:tcPr>
            <w:tcW w:w="1196" w:type="dxa"/>
            <w:shd w:val="clear" w:color="auto" w:fill="1F3864"/>
            <w:hideMark/>
          </w:tcPr>
          <w:p w:rsidR="00FE4C33" w:rsidRPr="006A74F8" w:rsidRDefault="00FE4C33" w:rsidP="005B3395">
            <w:pPr>
              <w:rPr>
                <w:b/>
                <w:sz w:val="18"/>
                <w:szCs w:val="16"/>
              </w:rPr>
            </w:pPr>
            <w:r w:rsidRPr="006A74F8">
              <w:rPr>
                <w:b/>
                <w:sz w:val="18"/>
                <w:szCs w:val="16"/>
              </w:rPr>
              <w:t>Requirement</w:t>
            </w:r>
          </w:p>
        </w:tc>
        <w:tc>
          <w:tcPr>
            <w:tcW w:w="1879" w:type="dxa"/>
            <w:shd w:val="clear" w:color="auto" w:fill="1F3864"/>
            <w:hideMark/>
          </w:tcPr>
          <w:p w:rsidR="00FE4C33" w:rsidRPr="006A74F8" w:rsidRDefault="00FE4C33" w:rsidP="005B3395">
            <w:pPr>
              <w:rPr>
                <w:b/>
                <w:sz w:val="18"/>
                <w:szCs w:val="16"/>
              </w:rPr>
            </w:pPr>
            <w:r w:rsidRPr="006A74F8">
              <w:rPr>
                <w:b/>
                <w:sz w:val="18"/>
                <w:szCs w:val="16"/>
              </w:rPr>
              <w:t>Variable</w:t>
            </w:r>
          </w:p>
        </w:tc>
        <w:tc>
          <w:tcPr>
            <w:tcW w:w="1382" w:type="dxa"/>
            <w:shd w:val="clear" w:color="auto" w:fill="1F3864"/>
            <w:noWrap/>
            <w:hideMark/>
          </w:tcPr>
          <w:p w:rsidR="00FE4C33" w:rsidRPr="006A74F8" w:rsidRDefault="00FE4C33" w:rsidP="005B3395">
            <w:pPr>
              <w:rPr>
                <w:b/>
                <w:sz w:val="18"/>
                <w:szCs w:val="16"/>
              </w:rPr>
            </w:pPr>
          </w:p>
        </w:tc>
        <w:tc>
          <w:tcPr>
            <w:tcW w:w="3247" w:type="dxa"/>
            <w:shd w:val="clear" w:color="auto" w:fill="1F3864"/>
            <w:hideMark/>
          </w:tcPr>
          <w:p w:rsidR="00FE4C33" w:rsidRPr="006A74F8" w:rsidRDefault="00FE4C33" w:rsidP="005B3395">
            <w:pPr>
              <w:rPr>
                <w:b/>
                <w:sz w:val="18"/>
                <w:szCs w:val="16"/>
              </w:rPr>
            </w:pPr>
            <w:r w:rsidRPr="006A74F8">
              <w:rPr>
                <w:b/>
                <w:sz w:val="18"/>
                <w:szCs w:val="16"/>
              </w:rPr>
              <w:t>Assumptions</w:t>
            </w:r>
          </w:p>
        </w:tc>
      </w:tr>
      <w:tr w:rsidR="00FE4C33" w:rsidRPr="006A74F8" w:rsidTr="00222273">
        <w:trPr>
          <w:trHeight w:val="1411"/>
        </w:trPr>
        <w:tc>
          <w:tcPr>
            <w:tcW w:w="1505" w:type="dxa"/>
            <w:vMerge w:val="restart"/>
            <w:hideMark/>
          </w:tcPr>
          <w:p w:rsidR="00FE4C33" w:rsidRPr="006A74F8" w:rsidRDefault="009D731D" w:rsidP="005B3395">
            <w:pPr>
              <w:rPr>
                <w:sz w:val="18"/>
                <w:szCs w:val="16"/>
              </w:rPr>
            </w:pPr>
            <w:r w:rsidRPr="006A74F8">
              <w:rPr>
                <w:sz w:val="18"/>
                <w:szCs w:val="16"/>
              </w:rPr>
              <w:t>6</w:t>
            </w:r>
            <w:r w:rsidR="00FE4C33" w:rsidRPr="006A74F8">
              <w:rPr>
                <w:sz w:val="18"/>
                <w:szCs w:val="16"/>
              </w:rPr>
              <w:t xml:space="preserve">. Burden on business to review the draft certificate </w:t>
            </w:r>
          </w:p>
          <w:p w:rsidR="00FE4C33" w:rsidRPr="006A74F8" w:rsidRDefault="00FE4C33" w:rsidP="005B3395">
            <w:pPr>
              <w:rPr>
                <w:sz w:val="18"/>
                <w:szCs w:val="16"/>
              </w:rPr>
            </w:pPr>
          </w:p>
        </w:tc>
        <w:tc>
          <w:tcPr>
            <w:tcW w:w="1196" w:type="dxa"/>
            <w:vMerge w:val="restart"/>
            <w:hideMark/>
          </w:tcPr>
          <w:p w:rsidR="00FE4C33" w:rsidRPr="006A74F8" w:rsidRDefault="00D801FC" w:rsidP="005B3395">
            <w:pPr>
              <w:rPr>
                <w:sz w:val="18"/>
                <w:szCs w:val="16"/>
              </w:rPr>
            </w:pPr>
            <w:r>
              <w:rPr>
                <w:sz w:val="18"/>
                <w:szCs w:val="16"/>
              </w:rPr>
              <w:t>r</w:t>
            </w:r>
            <w:r w:rsidRPr="006A74F8">
              <w:rPr>
                <w:sz w:val="18"/>
                <w:szCs w:val="16"/>
              </w:rPr>
              <w:t>eg</w:t>
            </w:r>
            <w:r w:rsidR="00FE4C33" w:rsidRPr="006A74F8">
              <w:rPr>
                <w:sz w:val="18"/>
                <w:szCs w:val="16"/>
              </w:rPr>
              <w:t xml:space="preserve"> 63</w:t>
            </w:r>
          </w:p>
          <w:p w:rsidR="00FE4C33" w:rsidRPr="006A74F8" w:rsidRDefault="00FE4C33" w:rsidP="005B3395">
            <w:pPr>
              <w:rPr>
                <w:sz w:val="18"/>
                <w:szCs w:val="16"/>
              </w:rPr>
            </w:pPr>
          </w:p>
        </w:tc>
        <w:tc>
          <w:tcPr>
            <w:tcW w:w="1879" w:type="dxa"/>
            <w:hideMark/>
          </w:tcPr>
          <w:p w:rsidR="00FE4C33" w:rsidRPr="006A74F8" w:rsidRDefault="00FE4C33" w:rsidP="005B3395">
            <w:pPr>
              <w:rPr>
                <w:sz w:val="18"/>
                <w:szCs w:val="16"/>
              </w:rPr>
            </w:pPr>
            <w:r w:rsidRPr="006A74F8">
              <w:rPr>
                <w:sz w:val="18"/>
                <w:szCs w:val="16"/>
              </w:rPr>
              <w:t xml:space="preserve">Average </w:t>
            </w:r>
            <w:r w:rsidR="00241A59" w:rsidRPr="006A74F8">
              <w:rPr>
                <w:sz w:val="18"/>
                <w:szCs w:val="16"/>
              </w:rPr>
              <w:t>n</w:t>
            </w:r>
            <w:r w:rsidRPr="006A74F8">
              <w:rPr>
                <w:sz w:val="18"/>
                <w:szCs w:val="16"/>
              </w:rPr>
              <w:t>umber of certificates</w:t>
            </w:r>
          </w:p>
        </w:tc>
        <w:tc>
          <w:tcPr>
            <w:tcW w:w="1382" w:type="dxa"/>
            <w:noWrap/>
            <w:hideMark/>
          </w:tcPr>
          <w:p w:rsidR="00FE4C33" w:rsidRPr="006A74F8" w:rsidRDefault="00FE4C33" w:rsidP="005B3395">
            <w:pPr>
              <w:jc w:val="center"/>
              <w:rPr>
                <w:sz w:val="18"/>
                <w:szCs w:val="16"/>
              </w:rPr>
            </w:pPr>
            <w:r w:rsidRPr="006A74F8">
              <w:rPr>
                <w:sz w:val="18"/>
                <w:szCs w:val="16"/>
              </w:rPr>
              <w:t>139</w:t>
            </w:r>
          </w:p>
        </w:tc>
        <w:tc>
          <w:tcPr>
            <w:tcW w:w="3247" w:type="dxa"/>
            <w:hideMark/>
          </w:tcPr>
          <w:p w:rsidR="00FE4C33" w:rsidRPr="006A74F8" w:rsidRDefault="00FE4C33" w:rsidP="005B3395">
            <w:pPr>
              <w:rPr>
                <w:sz w:val="18"/>
                <w:szCs w:val="16"/>
              </w:rPr>
            </w:pPr>
            <w:r w:rsidRPr="006A74F8">
              <w:rPr>
                <w:sz w:val="18"/>
                <w:szCs w:val="16"/>
              </w:rPr>
              <w:t xml:space="preserve"> Average annual number of applications = (average total number of applications over 10 years) 2008/09-2018/19 data pattern approval provides 1,392 applications 1,392 received/10 years = 139 per year</w:t>
            </w:r>
          </w:p>
        </w:tc>
      </w:tr>
      <w:tr w:rsidR="00FE4C33" w:rsidRPr="006A74F8" w:rsidTr="00D14B95">
        <w:trPr>
          <w:trHeight w:val="290"/>
        </w:trPr>
        <w:tc>
          <w:tcPr>
            <w:tcW w:w="1505" w:type="dxa"/>
            <w:vMerge/>
            <w:hideMark/>
          </w:tcPr>
          <w:p w:rsidR="00FE4C33" w:rsidRPr="006A74F8" w:rsidRDefault="00FE4C33" w:rsidP="005B3395">
            <w:pPr>
              <w:rPr>
                <w:sz w:val="18"/>
                <w:szCs w:val="16"/>
              </w:rPr>
            </w:pPr>
          </w:p>
        </w:tc>
        <w:tc>
          <w:tcPr>
            <w:tcW w:w="1196" w:type="dxa"/>
            <w:vMerge/>
            <w:hideMark/>
          </w:tcPr>
          <w:p w:rsidR="00FE4C33" w:rsidRPr="006A74F8" w:rsidRDefault="00FE4C33" w:rsidP="005B3395">
            <w:pPr>
              <w:rPr>
                <w:sz w:val="18"/>
                <w:szCs w:val="16"/>
              </w:rPr>
            </w:pPr>
          </w:p>
        </w:tc>
        <w:tc>
          <w:tcPr>
            <w:tcW w:w="1879" w:type="dxa"/>
            <w:hideMark/>
          </w:tcPr>
          <w:p w:rsidR="00FE4C33" w:rsidRPr="006A74F8" w:rsidRDefault="00FE4C33" w:rsidP="005B3395">
            <w:pPr>
              <w:rPr>
                <w:sz w:val="18"/>
                <w:szCs w:val="16"/>
              </w:rPr>
            </w:pPr>
            <w:r w:rsidRPr="006A74F8">
              <w:rPr>
                <w:sz w:val="18"/>
                <w:szCs w:val="16"/>
              </w:rPr>
              <w:t>Number of staff per business performing activity</w:t>
            </w:r>
          </w:p>
        </w:tc>
        <w:tc>
          <w:tcPr>
            <w:tcW w:w="1382" w:type="dxa"/>
            <w:noWrap/>
            <w:hideMark/>
          </w:tcPr>
          <w:p w:rsidR="00FE4C33" w:rsidRPr="006A74F8" w:rsidRDefault="00FE4C33" w:rsidP="005B3395">
            <w:pPr>
              <w:jc w:val="center"/>
              <w:rPr>
                <w:sz w:val="18"/>
                <w:szCs w:val="16"/>
              </w:rPr>
            </w:pPr>
            <w:r w:rsidRPr="006A74F8">
              <w:rPr>
                <w:sz w:val="18"/>
                <w:szCs w:val="16"/>
              </w:rPr>
              <w:t>1</w:t>
            </w:r>
          </w:p>
        </w:tc>
        <w:tc>
          <w:tcPr>
            <w:tcW w:w="3247" w:type="dxa"/>
            <w:hideMark/>
          </w:tcPr>
          <w:p w:rsidR="00FE4C33" w:rsidRPr="006A74F8" w:rsidRDefault="00FE4C33" w:rsidP="005B3395">
            <w:pPr>
              <w:rPr>
                <w:sz w:val="18"/>
                <w:szCs w:val="16"/>
              </w:rPr>
            </w:pPr>
            <w:r w:rsidRPr="006A74F8">
              <w:rPr>
                <w:sz w:val="18"/>
                <w:szCs w:val="16"/>
              </w:rPr>
              <w:t>Assumes one person allocated to the task (NMI Est.)</w:t>
            </w:r>
          </w:p>
        </w:tc>
      </w:tr>
      <w:tr w:rsidR="00FE4C33" w:rsidRPr="006A74F8" w:rsidTr="00D14B95">
        <w:trPr>
          <w:trHeight w:val="580"/>
        </w:trPr>
        <w:tc>
          <w:tcPr>
            <w:tcW w:w="1505" w:type="dxa"/>
            <w:vMerge/>
            <w:hideMark/>
          </w:tcPr>
          <w:p w:rsidR="00FE4C33" w:rsidRPr="006A74F8" w:rsidRDefault="00FE4C33" w:rsidP="005B3395">
            <w:pPr>
              <w:rPr>
                <w:sz w:val="18"/>
                <w:szCs w:val="16"/>
              </w:rPr>
            </w:pPr>
          </w:p>
        </w:tc>
        <w:tc>
          <w:tcPr>
            <w:tcW w:w="1196" w:type="dxa"/>
            <w:vMerge/>
            <w:hideMark/>
          </w:tcPr>
          <w:p w:rsidR="00FE4C33" w:rsidRPr="006A74F8" w:rsidRDefault="00FE4C33" w:rsidP="005B3395">
            <w:pPr>
              <w:rPr>
                <w:sz w:val="18"/>
                <w:szCs w:val="16"/>
              </w:rPr>
            </w:pPr>
          </w:p>
        </w:tc>
        <w:tc>
          <w:tcPr>
            <w:tcW w:w="1879" w:type="dxa"/>
            <w:hideMark/>
          </w:tcPr>
          <w:p w:rsidR="00FE4C33" w:rsidRPr="006A74F8" w:rsidRDefault="00FE4C33" w:rsidP="005B3395">
            <w:pPr>
              <w:rPr>
                <w:sz w:val="18"/>
                <w:szCs w:val="16"/>
              </w:rPr>
            </w:pPr>
            <w:r w:rsidRPr="006A74F8">
              <w:rPr>
                <w:sz w:val="18"/>
                <w:szCs w:val="16"/>
              </w:rPr>
              <w:t>Number of times activity performed per year per staff</w:t>
            </w:r>
          </w:p>
        </w:tc>
        <w:tc>
          <w:tcPr>
            <w:tcW w:w="1382" w:type="dxa"/>
            <w:noWrap/>
            <w:hideMark/>
          </w:tcPr>
          <w:p w:rsidR="00FE4C33" w:rsidRPr="006A74F8" w:rsidRDefault="00FE4C33" w:rsidP="005B3395">
            <w:pPr>
              <w:jc w:val="center"/>
              <w:rPr>
                <w:sz w:val="18"/>
                <w:szCs w:val="16"/>
              </w:rPr>
            </w:pPr>
            <w:r w:rsidRPr="006A74F8">
              <w:rPr>
                <w:sz w:val="18"/>
                <w:szCs w:val="16"/>
              </w:rPr>
              <w:t>1</w:t>
            </w:r>
          </w:p>
        </w:tc>
        <w:tc>
          <w:tcPr>
            <w:tcW w:w="3247" w:type="dxa"/>
            <w:hideMark/>
          </w:tcPr>
          <w:p w:rsidR="00FE4C33" w:rsidRPr="006A74F8" w:rsidRDefault="00FE4C33" w:rsidP="005B3395">
            <w:pPr>
              <w:rPr>
                <w:sz w:val="18"/>
                <w:szCs w:val="16"/>
              </w:rPr>
            </w:pPr>
            <w:r w:rsidRPr="006A74F8">
              <w:rPr>
                <w:sz w:val="18"/>
                <w:szCs w:val="16"/>
              </w:rPr>
              <w:t>Once a year, based on annual applications</w:t>
            </w:r>
          </w:p>
        </w:tc>
      </w:tr>
      <w:tr w:rsidR="00FE4C33" w:rsidRPr="006A74F8" w:rsidTr="00D14B95">
        <w:trPr>
          <w:trHeight w:val="290"/>
        </w:trPr>
        <w:tc>
          <w:tcPr>
            <w:tcW w:w="1505" w:type="dxa"/>
            <w:vMerge/>
            <w:hideMark/>
          </w:tcPr>
          <w:p w:rsidR="00FE4C33" w:rsidRPr="006A74F8" w:rsidRDefault="00FE4C33" w:rsidP="005B3395">
            <w:pPr>
              <w:rPr>
                <w:sz w:val="18"/>
                <w:szCs w:val="16"/>
              </w:rPr>
            </w:pPr>
          </w:p>
        </w:tc>
        <w:tc>
          <w:tcPr>
            <w:tcW w:w="1196" w:type="dxa"/>
            <w:vMerge/>
            <w:hideMark/>
          </w:tcPr>
          <w:p w:rsidR="00FE4C33" w:rsidRPr="006A74F8" w:rsidRDefault="00FE4C33" w:rsidP="005B3395">
            <w:pPr>
              <w:rPr>
                <w:sz w:val="18"/>
                <w:szCs w:val="16"/>
              </w:rPr>
            </w:pPr>
          </w:p>
        </w:tc>
        <w:tc>
          <w:tcPr>
            <w:tcW w:w="1879" w:type="dxa"/>
            <w:hideMark/>
          </w:tcPr>
          <w:p w:rsidR="00FE4C33" w:rsidRPr="006A74F8" w:rsidRDefault="00FE4C33" w:rsidP="005B3395">
            <w:pPr>
              <w:rPr>
                <w:sz w:val="18"/>
                <w:szCs w:val="16"/>
              </w:rPr>
            </w:pPr>
            <w:r w:rsidRPr="006A74F8">
              <w:rPr>
                <w:sz w:val="18"/>
                <w:szCs w:val="16"/>
              </w:rPr>
              <w:t>Avg. time staff need to do activity (in hours)</w:t>
            </w:r>
          </w:p>
        </w:tc>
        <w:tc>
          <w:tcPr>
            <w:tcW w:w="1382" w:type="dxa"/>
            <w:noWrap/>
            <w:hideMark/>
          </w:tcPr>
          <w:p w:rsidR="00FE4C33" w:rsidRPr="006A74F8" w:rsidRDefault="00FE4C33" w:rsidP="005B3395">
            <w:pPr>
              <w:jc w:val="center"/>
              <w:rPr>
                <w:sz w:val="18"/>
                <w:szCs w:val="16"/>
              </w:rPr>
            </w:pPr>
            <w:r w:rsidRPr="006A74F8">
              <w:rPr>
                <w:sz w:val="18"/>
                <w:szCs w:val="16"/>
              </w:rPr>
              <w:t>2</w:t>
            </w:r>
          </w:p>
        </w:tc>
        <w:tc>
          <w:tcPr>
            <w:tcW w:w="3247" w:type="dxa"/>
            <w:hideMark/>
          </w:tcPr>
          <w:p w:rsidR="00FE4C33" w:rsidRPr="006A74F8" w:rsidRDefault="00FE4C33" w:rsidP="005B3395">
            <w:pPr>
              <w:rPr>
                <w:sz w:val="18"/>
                <w:szCs w:val="16"/>
              </w:rPr>
            </w:pPr>
            <w:r w:rsidRPr="006A74F8">
              <w:rPr>
                <w:sz w:val="18"/>
                <w:szCs w:val="16"/>
              </w:rPr>
              <w:t>NMI estimate of time in hours to complete the activity</w:t>
            </w:r>
          </w:p>
        </w:tc>
      </w:tr>
      <w:tr w:rsidR="00FE4C33" w:rsidRPr="006A74F8" w:rsidTr="00D14B95">
        <w:trPr>
          <w:trHeight w:val="841"/>
        </w:trPr>
        <w:tc>
          <w:tcPr>
            <w:tcW w:w="1505" w:type="dxa"/>
            <w:vMerge/>
            <w:hideMark/>
          </w:tcPr>
          <w:p w:rsidR="00FE4C33" w:rsidRPr="006A74F8" w:rsidRDefault="00FE4C33" w:rsidP="005B3395">
            <w:pPr>
              <w:rPr>
                <w:sz w:val="18"/>
                <w:szCs w:val="16"/>
              </w:rPr>
            </w:pPr>
          </w:p>
        </w:tc>
        <w:tc>
          <w:tcPr>
            <w:tcW w:w="1196" w:type="dxa"/>
            <w:vMerge/>
            <w:hideMark/>
          </w:tcPr>
          <w:p w:rsidR="00FE4C33" w:rsidRPr="006A74F8" w:rsidRDefault="00FE4C33" w:rsidP="005B3395">
            <w:pPr>
              <w:rPr>
                <w:sz w:val="18"/>
                <w:szCs w:val="16"/>
              </w:rPr>
            </w:pPr>
          </w:p>
        </w:tc>
        <w:tc>
          <w:tcPr>
            <w:tcW w:w="1879" w:type="dxa"/>
            <w:hideMark/>
          </w:tcPr>
          <w:p w:rsidR="00FE4C33" w:rsidRPr="006A74F8" w:rsidRDefault="00FE4C33" w:rsidP="005B3395">
            <w:pPr>
              <w:rPr>
                <w:sz w:val="18"/>
                <w:szCs w:val="16"/>
              </w:rPr>
            </w:pPr>
            <w:r w:rsidRPr="006A74F8">
              <w:rPr>
                <w:sz w:val="18"/>
                <w:szCs w:val="16"/>
              </w:rPr>
              <w:t>Labour cost ($/hr) (wage + non-wage labour costs)</w:t>
            </w:r>
          </w:p>
        </w:tc>
        <w:tc>
          <w:tcPr>
            <w:tcW w:w="1382" w:type="dxa"/>
            <w:noWrap/>
            <w:hideMark/>
          </w:tcPr>
          <w:p w:rsidR="00FE4C33" w:rsidRPr="006A74F8" w:rsidRDefault="0099531B" w:rsidP="005B3395">
            <w:pPr>
              <w:jc w:val="center"/>
              <w:rPr>
                <w:sz w:val="18"/>
                <w:szCs w:val="16"/>
              </w:rPr>
            </w:pPr>
            <w:r w:rsidRPr="006A74F8">
              <w:rPr>
                <w:sz w:val="18"/>
                <w:szCs w:val="16"/>
              </w:rPr>
              <w:t>$110.83</w:t>
            </w:r>
          </w:p>
        </w:tc>
        <w:tc>
          <w:tcPr>
            <w:tcW w:w="3247" w:type="dxa"/>
            <w:hideMark/>
          </w:tcPr>
          <w:p w:rsidR="00FE4C33" w:rsidRPr="006A74F8" w:rsidRDefault="00FE4C33" w:rsidP="005B3395">
            <w:pPr>
              <w:rPr>
                <w:sz w:val="18"/>
                <w:szCs w:val="16"/>
              </w:rPr>
            </w:pPr>
            <w:r w:rsidRPr="006A74F8">
              <w:rPr>
                <w:sz w:val="18"/>
                <w:szCs w:val="16"/>
              </w:rPr>
              <w:t>Based on the ABS Cat 6306.0</w:t>
            </w:r>
            <w:r w:rsidRPr="006A74F8">
              <w:rPr>
                <w:rStyle w:val="FootnoteReference"/>
                <w:sz w:val="18"/>
                <w:szCs w:val="16"/>
              </w:rPr>
              <w:footnoteReference w:id="197"/>
            </w:r>
            <w:r w:rsidRPr="006A74F8">
              <w:rPr>
                <w:sz w:val="18"/>
                <w:szCs w:val="16"/>
              </w:rPr>
              <w:t xml:space="preserve"> average weekly earnings for various engineering </w:t>
            </w:r>
            <w:r w:rsidRPr="006A74F8">
              <w:rPr>
                <w:sz w:val="18"/>
                <w:szCs w:val="16"/>
              </w:rPr>
              <w:lastRenderedPageBreak/>
              <w:t>and technical wage categories including 1.75 multiplier</w:t>
            </w:r>
            <w:r w:rsidRPr="006A74F8">
              <w:rPr>
                <w:rStyle w:val="FootnoteReference"/>
                <w:sz w:val="18"/>
                <w:szCs w:val="16"/>
              </w:rPr>
              <w:footnoteReference w:id="198"/>
            </w:r>
            <w:r w:rsidRPr="006A74F8">
              <w:rPr>
                <w:sz w:val="18"/>
                <w:szCs w:val="16"/>
              </w:rPr>
              <w:t xml:space="preserve"> for on-costs</w:t>
            </w:r>
          </w:p>
        </w:tc>
      </w:tr>
      <w:tr w:rsidR="00FE4C33" w:rsidRPr="006A74F8" w:rsidTr="00D14B95">
        <w:trPr>
          <w:trHeight w:val="290"/>
        </w:trPr>
        <w:tc>
          <w:tcPr>
            <w:tcW w:w="1505" w:type="dxa"/>
            <w:vMerge/>
            <w:hideMark/>
          </w:tcPr>
          <w:p w:rsidR="00FE4C33" w:rsidRPr="006A74F8" w:rsidRDefault="00FE4C33" w:rsidP="005B3395">
            <w:pPr>
              <w:rPr>
                <w:sz w:val="18"/>
                <w:szCs w:val="16"/>
              </w:rPr>
            </w:pPr>
          </w:p>
        </w:tc>
        <w:tc>
          <w:tcPr>
            <w:tcW w:w="1196" w:type="dxa"/>
            <w:hideMark/>
          </w:tcPr>
          <w:p w:rsidR="00FE4C33" w:rsidRPr="006A74F8" w:rsidRDefault="00FE4C33" w:rsidP="005B3395">
            <w:pPr>
              <w:rPr>
                <w:sz w:val="18"/>
                <w:szCs w:val="16"/>
              </w:rPr>
            </w:pPr>
          </w:p>
        </w:tc>
        <w:tc>
          <w:tcPr>
            <w:tcW w:w="1879" w:type="dxa"/>
            <w:hideMark/>
          </w:tcPr>
          <w:p w:rsidR="00FE4C33" w:rsidRPr="006A74F8" w:rsidRDefault="00FE4C33" w:rsidP="005B3395">
            <w:pPr>
              <w:rPr>
                <w:b/>
                <w:sz w:val="18"/>
                <w:szCs w:val="16"/>
              </w:rPr>
            </w:pPr>
            <w:r w:rsidRPr="006A74F8">
              <w:rPr>
                <w:b/>
                <w:sz w:val="18"/>
                <w:szCs w:val="16"/>
              </w:rPr>
              <w:t xml:space="preserve">Cost of Activity = </w:t>
            </w:r>
          </w:p>
        </w:tc>
        <w:tc>
          <w:tcPr>
            <w:tcW w:w="1382" w:type="dxa"/>
            <w:noWrap/>
            <w:hideMark/>
          </w:tcPr>
          <w:p w:rsidR="00FE4C33" w:rsidRPr="006A74F8" w:rsidRDefault="00FE4C33" w:rsidP="005B3395">
            <w:pPr>
              <w:jc w:val="center"/>
              <w:rPr>
                <w:b/>
                <w:sz w:val="18"/>
                <w:szCs w:val="16"/>
              </w:rPr>
            </w:pPr>
            <w:r w:rsidRPr="006A74F8">
              <w:rPr>
                <w:b/>
                <w:sz w:val="18"/>
                <w:szCs w:val="16"/>
              </w:rPr>
              <w:t xml:space="preserve"> $30,81</w:t>
            </w:r>
            <w:r w:rsidR="00ED5243" w:rsidRPr="006A74F8">
              <w:rPr>
                <w:b/>
                <w:sz w:val="18"/>
                <w:szCs w:val="16"/>
              </w:rPr>
              <w:t>1</w:t>
            </w:r>
            <w:r w:rsidRPr="006A74F8">
              <w:rPr>
                <w:b/>
                <w:sz w:val="18"/>
                <w:szCs w:val="16"/>
              </w:rPr>
              <w:t xml:space="preserve"> </w:t>
            </w:r>
          </w:p>
        </w:tc>
        <w:tc>
          <w:tcPr>
            <w:tcW w:w="3247" w:type="dxa"/>
            <w:hideMark/>
          </w:tcPr>
          <w:p w:rsidR="00FE4C33" w:rsidRPr="006A74F8" w:rsidRDefault="00FE4C33" w:rsidP="005B3395">
            <w:pPr>
              <w:rPr>
                <w:sz w:val="18"/>
                <w:szCs w:val="16"/>
              </w:rPr>
            </w:pPr>
          </w:p>
        </w:tc>
      </w:tr>
    </w:tbl>
    <w:p w:rsidR="00BB325C" w:rsidRPr="006A74F8" w:rsidRDefault="00B1255E" w:rsidP="0075649F">
      <w:pPr>
        <w:pStyle w:val="Heading2"/>
        <w:spacing w:before="160"/>
      </w:pPr>
      <w:r w:rsidRPr="006A74F8">
        <w:t xml:space="preserve"> </w:t>
      </w:r>
      <w:r w:rsidR="008307CA" w:rsidRPr="006A74F8">
        <w:t>Changes</w:t>
      </w:r>
      <w:r w:rsidR="00BB325C" w:rsidRPr="006A74F8">
        <w:t xml:space="preserve"> in regulatory burden</w:t>
      </w:r>
      <w:bookmarkEnd w:id="2957"/>
    </w:p>
    <w:p w:rsidR="00567EA7" w:rsidRPr="006A74F8" w:rsidRDefault="00E85287" w:rsidP="00567EA7">
      <w:r w:rsidRPr="006A74F8">
        <w:t>An increase in flexibility is proposed u</w:t>
      </w:r>
      <w:r w:rsidR="00567EA7" w:rsidRPr="006A74F8">
        <w:t xml:space="preserve">nder the new legislation, </w:t>
      </w:r>
      <w:r w:rsidR="00E439A4" w:rsidRPr="006A74F8">
        <w:t xml:space="preserve">with the approach to increasing flexibility different </w:t>
      </w:r>
      <w:r w:rsidR="00567EA7" w:rsidRPr="006A74F8">
        <w:t xml:space="preserve">under each </w:t>
      </w:r>
      <w:r w:rsidR="008307CA" w:rsidRPr="006A74F8">
        <w:t>o</w:t>
      </w:r>
      <w:r w:rsidR="00567EA7" w:rsidRPr="006A74F8">
        <w:t>ption.</w:t>
      </w:r>
    </w:p>
    <w:p w:rsidR="00567EA7" w:rsidRPr="006A74F8" w:rsidRDefault="00567EA7" w:rsidP="00567EA7">
      <w:r w:rsidRPr="006A74F8">
        <w:t>Under</w:t>
      </w:r>
      <w:r w:rsidRPr="006A74F8">
        <w:rPr>
          <w:b/>
        </w:rPr>
        <w:t xml:space="preserve"> </w:t>
      </w:r>
      <w:r w:rsidR="009F0892" w:rsidRPr="006A74F8">
        <w:rPr>
          <w:b/>
        </w:rPr>
        <w:t>o</w:t>
      </w:r>
      <w:r w:rsidRPr="006A74F8">
        <w:rPr>
          <w:b/>
        </w:rPr>
        <w:t>ption 1</w:t>
      </w:r>
      <w:r w:rsidRPr="006A74F8">
        <w:t>, increased flexibility would be supported through legislative provisions that enable the NMI to:</w:t>
      </w:r>
    </w:p>
    <w:p w:rsidR="00E85287" w:rsidRPr="006A74F8" w:rsidRDefault="00E439A4" w:rsidP="0075649F">
      <w:pPr>
        <w:pStyle w:val="ListParagraph"/>
        <w:numPr>
          <w:ilvl w:val="0"/>
          <w:numId w:val="82"/>
        </w:numPr>
      </w:pPr>
      <w:r w:rsidRPr="006A74F8">
        <w:t>m</w:t>
      </w:r>
      <w:r w:rsidR="00692ACE" w:rsidRPr="006A74F8">
        <w:t xml:space="preserve">ake </w:t>
      </w:r>
      <w:r w:rsidR="00567EA7" w:rsidRPr="006A74F8">
        <w:t xml:space="preserve">a </w:t>
      </w:r>
      <w:r w:rsidR="00AB1ECF" w:rsidRPr="006A74F8">
        <w:t>d</w:t>
      </w:r>
      <w:r w:rsidR="00567EA7" w:rsidRPr="006A74F8">
        <w:t xml:space="preserve">etermination </w:t>
      </w:r>
      <w:r w:rsidR="00AB1ECF" w:rsidRPr="006A74F8">
        <w:t>by way of an administrative document that is made public</w:t>
      </w:r>
      <w:r w:rsidR="00F40FC0" w:rsidRPr="006A74F8">
        <w:t>,</w:t>
      </w:r>
      <w:r w:rsidR="00AB1ECF" w:rsidRPr="006A74F8">
        <w:t xml:space="preserve"> </w:t>
      </w:r>
      <w:r w:rsidR="00567EA7" w:rsidRPr="006A74F8">
        <w:t xml:space="preserve">indicating that instruments of a specific </w:t>
      </w:r>
      <w:r w:rsidR="008217E0" w:rsidRPr="006A74F8">
        <w:t xml:space="preserve">category </w:t>
      </w:r>
      <w:r w:rsidR="00567EA7" w:rsidRPr="006A74F8">
        <w:t>need not apply for pattern approval</w:t>
      </w:r>
    </w:p>
    <w:p w:rsidR="00AB1ECF" w:rsidRPr="006A74F8" w:rsidRDefault="00F40FC0" w:rsidP="0075649F">
      <w:pPr>
        <w:pStyle w:val="ListParagraph"/>
        <w:numPr>
          <w:ilvl w:val="0"/>
          <w:numId w:val="82"/>
        </w:numPr>
      </w:pPr>
      <w:r w:rsidRPr="006A74F8">
        <w:t>s</w:t>
      </w:r>
      <w:r w:rsidR="009416BE" w:rsidRPr="006A74F8">
        <w:t>pecify</w:t>
      </w:r>
      <w:r w:rsidR="00E85287" w:rsidRPr="006A74F8">
        <w:t xml:space="preserve"> that instruments of a specific </w:t>
      </w:r>
      <w:r w:rsidR="008217E0" w:rsidRPr="006A74F8">
        <w:t>category</w:t>
      </w:r>
      <w:r w:rsidR="00E85287" w:rsidRPr="006A74F8">
        <w:t xml:space="preserve"> are exempt from pattern approval</w:t>
      </w:r>
      <w:r w:rsidR="00AB1ECF" w:rsidRPr="006A74F8">
        <w:t>.</w:t>
      </w:r>
      <w:r w:rsidR="00567EA7" w:rsidRPr="006A74F8">
        <w:t xml:space="preserve"> </w:t>
      </w:r>
    </w:p>
    <w:p w:rsidR="008217E0" w:rsidRPr="006A74F8" w:rsidRDefault="00567EA7" w:rsidP="009416BE">
      <w:r w:rsidRPr="006A74F8">
        <w:t>A change in regulatory burden is possible</w:t>
      </w:r>
      <w:r w:rsidR="009416BE" w:rsidRPr="006A74F8">
        <w:t xml:space="preserve"> </w:t>
      </w:r>
      <w:r w:rsidR="008217E0" w:rsidRPr="006A74F8">
        <w:t>if the Chief Metrologist determin</w:t>
      </w:r>
      <w:r w:rsidR="009416BE" w:rsidRPr="006A74F8">
        <w:t>es</w:t>
      </w:r>
      <w:r w:rsidR="008217E0" w:rsidRPr="006A74F8">
        <w:t xml:space="preserve"> that instruments of a specific category do not need to apply for pattern approval</w:t>
      </w:r>
      <w:r w:rsidR="009416BE" w:rsidRPr="006A74F8">
        <w:t xml:space="preserve">. The savings would be the cost of </w:t>
      </w:r>
      <w:r w:rsidR="00203D5A" w:rsidRPr="006A74F8">
        <w:t>pattern approval</w:t>
      </w:r>
      <w:r w:rsidR="009416BE" w:rsidRPr="006A74F8">
        <w:t xml:space="preserve"> application that a manufacturer would no longer need to do</w:t>
      </w:r>
      <w:r w:rsidR="008217E0" w:rsidRPr="006A74F8">
        <w:t>.</w:t>
      </w:r>
    </w:p>
    <w:p w:rsidR="00567EA7" w:rsidRPr="006A74F8" w:rsidRDefault="00567EA7" w:rsidP="00567EA7">
      <w:r w:rsidRPr="006A74F8">
        <w:t xml:space="preserve">Under </w:t>
      </w:r>
      <w:r w:rsidR="009F0892" w:rsidRPr="006A74F8">
        <w:rPr>
          <w:b/>
        </w:rPr>
        <w:t>o</w:t>
      </w:r>
      <w:r w:rsidRPr="006A74F8">
        <w:rPr>
          <w:b/>
        </w:rPr>
        <w:t>ption 2</w:t>
      </w:r>
      <w:r w:rsidRPr="006A74F8">
        <w:t>, increased flexibility would be supported through legislative provisions that enable the NMI to:</w:t>
      </w:r>
    </w:p>
    <w:p w:rsidR="009416BE" w:rsidRPr="006A74F8" w:rsidRDefault="009416BE" w:rsidP="001B561E">
      <w:pPr>
        <w:pStyle w:val="ListParagraph"/>
        <w:numPr>
          <w:ilvl w:val="0"/>
          <w:numId w:val="82"/>
        </w:numPr>
      </w:pPr>
      <w:r w:rsidRPr="006A74F8">
        <w:t>s</w:t>
      </w:r>
      <w:r w:rsidR="00567EA7" w:rsidRPr="006A74F8">
        <w:t xml:space="preserve">elect appropriate instrument control mechanisms from a range of alternatives and to establish their use following </w:t>
      </w:r>
      <w:r w:rsidR="00F40FC0" w:rsidRPr="006A74F8">
        <w:t xml:space="preserve">appropriate </w:t>
      </w:r>
      <w:r w:rsidR="00567EA7" w:rsidRPr="006A74F8">
        <w:t>data collection, risk assessment and consultation with the measuring instrument sector</w:t>
      </w:r>
    </w:p>
    <w:p w:rsidR="00567EA7" w:rsidRPr="006A74F8" w:rsidRDefault="009416BE" w:rsidP="001B561E">
      <w:pPr>
        <w:pStyle w:val="ListParagraph"/>
        <w:numPr>
          <w:ilvl w:val="0"/>
          <w:numId w:val="82"/>
        </w:numPr>
      </w:pPr>
      <w:r w:rsidRPr="006A74F8">
        <w:t xml:space="preserve">reconsider risks </w:t>
      </w:r>
      <w:r w:rsidR="00567EA7" w:rsidRPr="006A74F8">
        <w:t>over time</w:t>
      </w:r>
      <w:r w:rsidRPr="006A74F8">
        <w:t xml:space="preserve"> as circumstances change</w:t>
      </w:r>
      <w:r w:rsidR="00567EA7" w:rsidRPr="006A74F8">
        <w:t xml:space="preserve">  </w:t>
      </w:r>
    </w:p>
    <w:p w:rsidR="004177C8" w:rsidRPr="006A74F8" w:rsidRDefault="009416BE" w:rsidP="001B561E">
      <w:pPr>
        <w:pStyle w:val="ListParagraph"/>
        <w:numPr>
          <w:ilvl w:val="0"/>
          <w:numId w:val="82"/>
        </w:numPr>
      </w:pPr>
      <w:r w:rsidRPr="006A74F8">
        <w:t>r</w:t>
      </w:r>
      <w:r w:rsidR="00567EA7" w:rsidRPr="006A74F8">
        <w:t xml:space="preserve">etain pattern approval as </w:t>
      </w:r>
      <w:r w:rsidR="004177C8" w:rsidRPr="006A74F8">
        <w:t>a default mechanism</w:t>
      </w:r>
      <w:r w:rsidR="00567EA7" w:rsidRPr="006A74F8">
        <w:t xml:space="preserve"> of control for trade </w:t>
      </w:r>
      <w:r w:rsidR="00692ACE" w:rsidRPr="006A74F8">
        <w:t>measuring instruments</w:t>
      </w:r>
      <w:r w:rsidR="00567EA7" w:rsidRPr="006A74F8">
        <w:t xml:space="preserve"> unless determined otherwise through a determination </w:t>
      </w:r>
      <w:r w:rsidR="00F40FC0" w:rsidRPr="006A74F8">
        <w:t>or exemption</w:t>
      </w:r>
      <w:r w:rsidR="00567EA7" w:rsidRPr="006A74F8">
        <w:t xml:space="preserve"> by the Chief Metrologist or an alternative method. </w:t>
      </w:r>
    </w:p>
    <w:p w:rsidR="00567EA7" w:rsidRPr="006A74F8" w:rsidRDefault="009416BE" w:rsidP="009416BE">
      <w:pPr>
        <w:keepNext/>
      </w:pPr>
      <w:r w:rsidRPr="006A74F8">
        <w:t xml:space="preserve">Under this option there are two possible changes in regulatory burden </w:t>
      </w:r>
      <w:r w:rsidR="00C624F7" w:rsidRPr="006A74F8">
        <w:t xml:space="preserve">that </w:t>
      </w:r>
      <w:r w:rsidRPr="006A74F8">
        <w:t>may occur:</w:t>
      </w:r>
    </w:p>
    <w:p w:rsidR="00692ACE" w:rsidRPr="006A74F8" w:rsidRDefault="00692ACE" w:rsidP="00F40FC0">
      <w:pPr>
        <w:pStyle w:val="ListParagraph"/>
        <w:numPr>
          <w:ilvl w:val="0"/>
          <w:numId w:val="83"/>
        </w:numPr>
      </w:pPr>
      <w:r w:rsidRPr="006A74F8">
        <w:t>If pattern approval is not required</w:t>
      </w:r>
      <w:r w:rsidR="00D43CEE" w:rsidRPr="006A74F8">
        <w:t>:</w:t>
      </w:r>
      <w:r w:rsidRPr="006A74F8">
        <w:t xml:space="preserve"> there will be a reduction </w:t>
      </w:r>
      <w:r w:rsidR="000F4D26" w:rsidRPr="006A74F8">
        <w:t xml:space="preserve">in regulatory burden </w:t>
      </w:r>
      <w:r w:rsidRPr="006A74F8">
        <w:t>caused by removing costs associated with the pattern approval process.</w:t>
      </w:r>
    </w:p>
    <w:p w:rsidR="00692ACE" w:rsidRPr="006A74F8" w:rsidRDefault="00692ACE" w:rsidP="00F40FC0">
      <w:pPr>
        <w:pStyle w:val="ListParagraph"/>
        <w:numPr>
          <w:ilvl w:val="0"/>
          <w:numId w:val="83"/>
        </w:numPr>
      </w:pPr>
      <w:r w:rsidRPr="006A74F8">
        <w:t>If pattern approval is replaced by another mechanism of control or by a set of other controls</w:t>
      </w:r>
      <w:r w:rsidR="00D43CEE" w:rsidRPr="006A74F8">
        <w:t>:</w:t>
      </w:r>
      <w:r w:rsidRPr="006A74F8">
        <w:t xml:space="preserve"> </w:t>
      </w:r>
      <w:r w:rsidR="000F4D26" w:rsidRPr="006A74F8">
        <w:t>w</w:t>
      </w:r>
      <w:r w:rsidRPr="006A74F8">
        <w:t xml:space="preserve">here </w:t>
      </w:r>
      <w:r w:rsidR="00203D5A" w:rsidRPr="006A74F8">
        <w:t xml:space="preserve">pattern approval </w:t>
      </w:r>
      <w:r w:rsidRPr="006A74F8">
        <w:t xml:space="preserve">is replaced, the change in burden is a reduction in the costs associated with the pattern approval process. However, these may be replaced by other costs </w:t>
      </w:r>
      <w:r w:rsidR="00D43CEE" w:rsidRPr="006A74F8">
        <w:t xml:space="preserve">associated with other mechanisms of control </w:t>
      </w:r>
      <w:r w:rsidR="000F4D26" w:rsidRPr="006A74F8">
        <w:t>yet</w:t>
      </w:r>
      <w:r w:rsidRPr="006A74F8">
        <w:t xml:space="preserve"> to be determined.</w:t>
      </w:r>
    </w:p>
    <w:p w:rsidR="00692ACE" w:rsidRPr="006A74F8" w:rsidRDefault="008307CA" w:rsidP="00692ACE">
      <w:bookmarkStart w:id="2958" w:name="_Toc67390629"/>
      <w:r w:rsidRPr="006A74F8">
        <w:t>Under</w:t>
      </w:r>
      <w:r w:rsidRPr="006A74F8">
        <w:rPr>
          <w:b/>
        </w:rPr>
        <w:t xml:space="preserve"> </w:t>
      </w:r>
      <w:r w:rsidR="009F0892" w:rsidRPr="006A74F8">
        <w:rPr>
          <w:b/>
        </w:rPr>
        <w:t>o</w:t>
      </w:r>
      <w:r w:rsidR="00692ACE" w:rsidRPr="006A74F8">
        <w:rPr>
          <w:b/>
        </w:rPr>
        <w:t>ption 3</w:t>
      </w:r>
      <w:r w:rsidRPr="006A74F8">
        <w:rPr>
          <w:b/>
        </w:rPr>
        <w:t>,</w:t>
      </w:r>
      <w:r w:rsidR="00692ACE" w:rsidRPr="006A74F8">
        <w:t xml:space="preserve"> </w:t>
      </w:r>
      <w:r w:rsidRPr="006A74F8">
        <w:t xml:space="preserve">increased flexibility </w:t>
      </w:r>
      <w:r w:rsidR="00692ACE" w:rsidRPr="006A74F8">
        <w:t xml:space="preserve">extends the application of a range of </w:t>
      </w:r>
      <w:r w:rsidR="00AA0CA2" w:rsidRPr="006A74F8">
        <w:t xml:space="preserve">instrument control </w:t>
      </w:r>
      <w:r w:rsidR="00692ACE" w:rsidRPr="006A74F8">
        <w:t xml:space="preserve">mechanisms to </w:t>
      </w:r>
      <w:r w:rsidRPr="006A74F8">
        <w:t>measuring instruments</w:t>
      </w:r>
      <w:r w:rsidR="00692ACE" w:rsidRPr="006A74F8">
        <w:t xml:space="preserve"> used for regulatory purposes. </w:t>
      </w:r>
      <w:r w:rsidRPr="006A74F8">
        <w:t xml:space="preserve">This would be </w:t>
      </w:r>
      <w:r w:rsidR="00692ACE" w:rsidRPr="006A74F8">
        <w:t xml:space="preserve">supported through legislative provisions (as for </w:t>
      </w:r>
      <w:r w:rsidR="009F0892" w:rsidRPr="006A74F8">
        <w:t>o</w:t>
      </w:r>
      <w:r w:rsidR="00692ACE" w:rsidRPr="006A74F8">
        <w:t>ption 2)</w:t>
      </w:r>
      <w:r w:rsidRPr="006A74F8">
        <w:t xml:space="preserve"> in view of extending NMI’s role with respect </w:t>
      </w:r>
      <w:r w:rsidR="009416BE" w:rsidRPr="006A74F8">
        <w:t xml:space="preserve">to </w:t>
      </w:r>
      <w:r w:rsidRPr="006A74F8">
        <w:t xml:space="preserve">measurement used for </w:t>
      </w:r>
      <w:r w:rsidR="00AA0CA2" w:rsidRPr="006A74F8">
        <w:t xml:space="preserve">other </w:t>
      </w:r>
      <w:r w:rsidRPr="006A74F8">
        <w:t>regulatory purposes</w:t>
      </w:r>
      <w:r w:rsidR="00692ACE" w:rsidRPr="006A74F8">
        <w:t xml:space="preserve">. </w:t>
      </w:r>
    </w:p>
    <w:p w:rsidR="008307CA" w:rsidRPr="006A74F8" w:rsidRDefault="00692ACE" w:rsidP="00692ACE">
      <w:r w:rsidRPr="006A74F8">
        <w:lastRenderedPageBreak/>
        <w:t xml:space="preserve">Industry compliance with </w:t>
      </w:r>
      <w:r w:rsidR="0076043A" w:rsidRPr="006A74F8">
        <w:t xml:space="preserve">measuring instrument </w:t>
      </w:r>
      <w:r w:rsidRPr="006A74F8">
        <w:t xml:space="preserve">requirements stipulated by </w:t>
      </w:r>
      <w:r w:rsidR="000F45EC" w:rsidRPr="006A74F8">
        <w:t xml:space="preserve">NMI to </w:t>
      </w:r>
      <w:r w:rsidR="009416BE" w:rsidRPr="006A74F8">
        <w:t>support</w:t>
      </w:r>
      <w:r w:rsidR="000F45EC" w:rsidRPr="006A74F8">
        <w:t xml:space="preserve"> </w:t>
      </w:r>
      <w:r w:rsidRPr="006A74F8">
        <w:t xml:space="preserve">other regulators would be considered </w:t>
      </w:r>
      <w:r w:rsidR="008307CA" w:rsidRPr="006A74F8">
        <w:t xml:space="preserve">a </w:t>
      </w:r>
      <w:r w:rsidRPr="006A74F8">
        <w:t xml:space="preserve">regulatory burden. </w:t>
      </w:r>
      <w:r w:rsidR="0076043A" w:rsidRPr="006A74F8">
        <w:t xml:space="preserve">Under </w:t>
      </w:r>
      <w:r w:rsidR="009F0892" w:rsidRPr="006A74F8">
        <w:t>o</w:t>
      </w:r>
      <w:r w:rsidR="0076043A" w:rsidRPr="006A74F8">
        <w:t>ption 3, t</w:t>
      </w:r>
      <w:r w:rsidRPr="006A74F8">
        <w:t xml:space="preserve">he nature of the </w:t>
      </w:r>
      <w:r w:rsidR="0076043A" w:rsidRPr="006A74F8">
        <w:t xml:space="preserve">regulatory </w:t>
      </w:r>
      <w:r w:rsidRPr="006A74F8">
        <w:t>burden is contingent on whether the NMI exercises additional power</w:t>
      </w:r>
      <w:r w:rsidR="00693214" w:rsidRPr="006A74F8">
        <w:t>s</w:t>
      </w:r>
      <w:r w:rsidRPr="006A74F8">
        <w:t xml:space="preserve"> to compel certain mechanisms of control </w:t>
      </w:r>
      <w:r w:rsidR="0076043A" w:rsidRPr="006A74F8">
        <w:t>(</w:t>
      </w:r>
      <w:r w:rsidRPr="006A74F8">
        <w:t>to include pattern approval</w:t>
      </w:r>
      <w:r w:rsidR="0076043A" w:rsidRPr="006A74F8">
        <w:t>) over measuring instruments</w:t>
      </w:r>
      <w:r w:rsidR="000F45EC" w:rsidRPr="006A74F8">
        <w:t xml:space="preserve"> used for regulatory purposes</w:t>
      </w:r>
      <w:r w:rsidRPr="006A74F8">
        <w:t xml:space="preserve">. </w:t>
      </w:r>
      <w:r w:rsidR="00ED16BF" w:rsidRPr="006A74F8">
        <w:t>T</w:t>
      </w:r>
      <w:r w:rsidR="0076043A" w:rsidRPr="006A74F8">
        <w:t xml:space="preserve">he NMI </w:t>
      </w:r>
      <w:r w:rsidR="000F45EC" w:rsidRPr="006A74F8">
        <w:t>may</w:t>
      </w:r>
      <w:r w:rsidR="0076043A" w:rsidRPr="006A74F8">
        <w:t xml:space="preserve"> impose additional regulatory burden on the </w:t>
      </w:r>
      <w:r w:rsidRPr="006A74F8">
        <w:t xml:space="preserve">other </w:t>
      </w:r>
      <w:r w:rsidR="00ED16BF" w:rsidRPr="006A74F8">
        <w:t>government agencies, businesses and individuals</w:t>
      </w:r>
      <w:r w:rsidR="0076043A" w:rsidRPr="006A74F8">
        <w:t xml:space="preserve">, with the detail of the </w:t>
      </w:r>
      <w:r w:rsidR="009416BE" w:rsidRPr="006A74F8">
        <w:t>particular requirement to be</w:t>
      </w:r>
      <w:r w:rsidR="0076043A" w:rsidRPr="006A74F8">
        <w:t xml:space="preserve"> </w:t>
      </w:r>
      <w:r w:rsidRPr="006A74F8">
        <w:t xml:space="preserve">determined </w:t>
      </w:r>
      <w:r w:rsidR="0076043A" w:rsidRPr="006A74F8">
        <w:t xml:space="preserve">collaboratively </w:t>
      </w:r>
      <w:r w:rsidRPr="006A74F8">
        <w:t>in the future</w:t>
      </w:r>
      <w:r w:rsidR="0076043A" w:rsidRPr="006A74F8">
        <w:t xml:space="preserve">. </w:t>
      </w:r>
    </w:p>
    <w:p w:rsidR="00692ACE" w:rsidRPr="006A74F8" w:rsidRDefault="0076043A" w:rsidP="00692ACE">
      <w:r w:rsidRPr="006A74F8">
        <w:t>The change in burden</w:t>
      </w:r>
      <w:r w:rsidR="00692ACE" w:rsidRPr="006A74F8">
        <w:t xml:space="preserve"> may include:</w:t>
      </w:r>
    </w:p>
    <w:p w:rsidR="00692ACE" w:rsidRPr="006A74F8" w:rsidRDefault="009416BE" w:rsidP="00A97CCD">
      <w:pPr>
        <w:pStyle w:val="ListParagraph"/>
        <w:numPr>
          <w:ilvl w:val="0"/>
          <w:numId w:val="83"/>
        </w:numPr>
      </w:pPr>
      <w:r w:rsidRPr="006A74F8">
        <w:t>an i</w:t>
      </w:r>
      <w:r w:rsidR="00692ACE" w:rsidRPr="006A74F8">
        <w:t>ncrease in regulatory burden where greater confidence in the reliable performance of measuring instruments requires pattern approval</w:t>
      </w:r>
      <w:r w:rsidRPr="006A74F8">
        <w:t>; and / or</w:t>
      </w:r>
    </w:p>
    <w:p w:rsidR="00692ACE" w:rsidRPr="006A74F8" w:rsidRDefault="009416BE" w:rsidP="00BB6096">
      <w:pPr>
        <w:pStyle w:val="ListParagraph"/>
        <w:numPr>
          <w:ilvl w:val="0"/>
          <w:numId w:val="83"/>
        </w:numPr>
      </w:pPr>
      <w:r w:rsidRPr="006A74F8">
        <w:t>an i</w:t>
      </w:r>
      <w:r w:rsidR="00692ACE" w:rsidRPr="006A74F8">
        <w:t xml:space="preserve">ncrease in regulatory burden where other </w:t>
      </w:r>
      <w:r w:rsidR="00693214" w:rsidRPr="006A74F8">
        <w:t xml:space="preserve">measuring instrument </w:t>
      </w:r>
      <w:r w:rsidR="00692ACE" w:rsidRPr="006A74F8">
        <w:t xml:space="preserve">control mechanisms (not being pattern approval) are applied under measurement law </w:t>
      </w:r>
      <w:r w:rsidR="00693214" w:rsidRPr="006A74F8">
        <w:t>that</w:t>
      </w:r>
      <w:r w:rsidR="00692ACE" w:rsidRPr="006A74F8">
        <w:t xml:space="preserve"> have not previously been used by regulators in their</w:t>
      </w:r>
      <w:r w:rsidR="00D43CEE" w:rsidRPr="006A74F8">
        <w:t xml:space="preserve"> regulations and/or </w:t>
      </w:r>
      <w:r w:rsidR="00692ACE" w:rsidRPr="006A74F8">
        <w:t>compliance programs.</w:t>
      </w:r>
    </w:p>
    <w:p w:rsidR="0076043A" w:rsidRPr="006A74F8" w:rsidRDefault="0076043A" w:rsidP="0076043A">
      <w:r w:rsidRPr="006A74F8">
        <w:t>While it is possible to reduce regulatory burden for measuring instruments</w:t>
      </w:r>
      <w:r w:rsidR="00194435" w:rsidRPr="006A74F8">
        <w:t xml:space="preserve"> used for trade</w:t>
      </w:r>
      <w:r w:rsidRPr="006A74F8">
        <w:t xml:space="preserve">, there would be an unquantifiable increase in regulatory burden for measuring instruments used for </w:t>
      </w:r>
      <w:r w:rsidR="0006699B" w:rsidRPr="006A74F8">
        <w:t xml:space="preserve">other </w:t>
      </w:r>
      <w:r w:rsidRPr="006A74F8">
        <w:t xml:space="preserve">regulatory purposes in </w:t>
      </w:r>
      <w:r w:rsidR="009F0892" w:rsidRPr="006A74F8">
        <w:t>o</w:t>
      </w:r>
      <w:r w:rsidRPr="006A74F8">
        <w:t>ption 3.</w:t>
      </w:r>
    </w:p>
    <w:p w:rsidR="00E85287" w:rsidRPr="006A74F8" w:rsidRDefault="00B1255E" w:rsidP="00A31A00">
      <w:pPr>
        <w:pStyle w:val="Heading2"/>
      </w:pPr>
      <w:r w:rsidRPr="006A74F8">
        <w:t xml:space="preserve"> </w:t>
      </w:r>
      <w:r w:rsidR="00E85287" w:rsidRPr="006A74F8">
        <w:t>Potential savings</w:t>
      </w:r>
      <w:bookmarkEnd w:id="2958"/>
    </w:p>
    <w:p w:rsidR="00116355" w:rsidRPr="006A74F8" w:rsidRDefault="00116355" w:rsidP="00116355">
      <w:r w:rsidRPr="006A74F8">
        <w:t xml:space="preserve">The extent of savings is not possible to quantify precisely. Below are scenarios that estimate the reduction in regulatory burden if the requirement for pattern approval were </w:t>
      </w:r>
      <w:r w:rsidR="00977780" w:rsidRPr="006A74F8">
        <w:t>reduced</w:t>
      </w:r>
      <w:r w:rsidRPr="006A74F8">
        <w:t xml:space="preserve"> </w:t>
      </w:r>
      <w:r w:rsidR="00977780" w:rsidRPr="006A74F8">
        <w:t>by</w:t>
      </w:r>
      <w:r w:rsidRPr="006A74F8">
        <w:t xml:space="preserve"> a percentage under any of the </w:t>
      </w:r>
      <w:r w:rsidR="009F0892" w:rsidRPr="006A74F8">
        <w:t>o</w:t>
      </w:r>
      <w:r w:rsidRPr="006A74F8">
        <w:t>ptions. It is anticipated that there will be no change on day one of the new legislation. The scenarios show potential savings per option, with implementation or transition across a 5 to 10 year timeframe per option.</w:t>
      </w:r>
    </w:p>
    <w:p w:rsidR="00D14B95" w:rsidRPr="006A74F8" w:rsidRDefault="00D14B95" w:rsidP="00D14B95">
      <w:pPr>
        <w:pStyle w:val="Caption"/>
        <w:keepNext/>
      </w:pPr>
      <w:r w:rsidRPr="006A74F8">
        <w:t xml:space="preserve">Table </w:t>
      </w:r>
      <w:r w:rsidR="00B1255E" w:rsidRPr="006A74F8">
        <w:t>A11</w:t>
      </w:r>
      <w:r w:rsidRPr="006A74F8">
        <w:t xml:space="preserve">- </w:t>
      </w:r>
      <w:r w:rsidR="00D003A8" w:rsidRPr="006A74F8">
        <w:rPr>
          <w:noProof/>
        </w:rPr>
        <w:fldChar w:fldCharType="begin"/>
      </w:r>
      <w:r w:rsidR="00D003A8" w:rsidRPr="006A74F8">
        <w:rPr>
          <w:noProof/>
        </w:rPr>
        <w:instrText xml:space="preserve"> SEQ Table_A12- \* ARABIC </w:instrText>
      </w:r>
      <w:r w:rsidR="00D003A8" w:rsidRPr="006A74F8">
        <w:rPr>
          <w:noProof/>
        </w:rPr>
        <w:fldChar w:fldCharType="separate"/>
      </w:r>
      <w:r w:rsidR="0033017F">
        <w:rPr>
          <w:noProof/>
        </w:rPr>
        <w:t>8</w:t>
      </w:r>
      <w:r w:rsidR="00D003A8" w:rsidRPr="006A74F8">
        <w:rPr>
          <w:noProof/>
        </w:rPr>
        <w:fldChar w:fldCharType="end"/>
      </w:r>
      <w:r w:rsidRPr="006A74F8">
        <w:t>: Regulatory burden savings scenarios if requirements for pattern approval were reduced</w:t>
      </w:r>
    </w:p>
    <w:tbl>
      <w:tblPr>
        <w:tblW w:w="9177" w:type="dxa"/>
        <w:tblInd w:w="27" w:type="dxa"/>
        <w:tblCellMar>
          <w:left w:w="0" w:type="dxa"/>
          <w:right w:w="0" w:type="dxa"/>
        </w:tblCellMar>
        <w:tblLook w:val="04A0" w:firstRow="1" w:lastRow="0" w:firstColumn="1" w:lastColumn="0" w:noHBand="0" w:noVBand="1"/>
        <w:tblCaption w:val="Table A12- 8: Regulatory burden savings scenarios if requirements for pattern approval were reduced"/>
        <w:tblDescription w:val="Option 1 provides a savings of $9,029. Option 2 provides a savings of $36,115. Option three savings are difficult to quantify. "/>
      </w:tblPr>
      <w:tblGrid>
        <w:gridCol w:w="3392"/>
        <w:gridCol w:w="1391"/>
        <w:gridCol w:w="1134"/>
        <w:gridCol w:w="1550"/>
        <w:gridCol w:w="1710"/>
      </w:tblGrid>
      <w:tr w:rsidR="00116355" w:rsidRPr="006A74F8" w:rsidTr="00D14B95">
        <w:trPr>
          <w:trHeight w:val="219"/>
        </w:trPr>
        <w:tc>
          <w:tcPr>
            <w:tcW w:w="3392" w:type="dxa"/>
            <w:tcBorders>
              <w:top w:val="single" w:sz="4" w:space="0" w:color="auto"/>
              <w:left w:val="single" w:sz="8" w:space="0" w:color="auto"/>
              <w:bottom w:val="single" w:sz="8" w:space="0" w:color="auto"/>
              <w:right w:val="single" w:sz="8" w:space="0" w:color="auto"/>
            </w:tcBorders>
            <w:shd w:val="clear" w:color="auto" w:fill="1F3864"/>
            <w:noWrap/>
            <w:tcMar>
              <w:top w:w="0" w:type="dxa"/>
              <w:left w:w="108" w:type="dxa"/>
              <w:bottom w:w="0" w:type="dxa"/>
              <w:right w:w="108" w:type="dxa"/>
            </w:tcMar>
            <w:hideMark/>
          </w:tcPr>
          <w:p w:rsidR="00116355" w:rsidRPr="006A74F8" w:rsidRDefault="00116355" w:rsidP="00246E9D">
            <w:pPr>
              <w:spacing w:after="0" w:line="240" w:lineRule="auto"/>
              <w:rPr>
                <w:rFonts w:ascii="Calibri" w:eastAsia="Calibri" w:hAnsi="Calibri" w:cs="Calibri"/>
                <w:b/>
              </w:rPr>
            </w:pPr>
            <w:r w:rsidRPr="006A74F8">
              <w:rPr>
                <w:rFonts w:ascii="Calibri" w:eastAsia="Calibri" w:hAnsi="Calibri" w:cs="Calibri"/>
                <w:b/>
              </w:rPr>
              <w:t xml:space="preserve">Potential </w:t>
            </w:r>
            <w:r w:rsidR="00786948" w:rsidRPr="006A74F8">
              <w:rPr>
                <w:rFonts w:ascii="Calibri" w:eastAsia="Calibri" w:hAnsi="Calibri" w:cs="Calibri"/>
                <w:b/>
              </w:rPr>
              <w:t>s</w:t>
            </w:r>
            <w:r w:rsidRPr="006A74F8">
              <w:rPr>
                <w:rFonts w:ascii="Calibri" w:eastAsia="Calibri" w:hAnsi="Calibri" w:cs="Calibri"/>
                <w:b/>
              </w:rPr>
              <w:t>avings scenarios</w:t>
            </w:r>
          </w:p>
        </w:tc>
        <w:tc>
          <w:tcPr>
            <w:tcW w:w="1391" w:type="dxa"/>
            <w:tcBorders>
              <w:top w:val="single" w:sz="4" w:space="0" w:color="auto"/>
              <w:left w:val="nil"/>
              <w:bottom w:val="single" w:sz="8" w:space="0" w:color="auto"/>
              <w:right w:val="single" w:sz="8" w:space="0" w:color="auto"/>
            </w:tcBorders>
            <w:shd w:val="clear" w:color="auto" w:fill="1F3864"/>
            <w:noWrap/>
            <w:tcMar>
              <w:top w:w="0" w:type="dxa"/>
              <w:left w:w="108" w:type="dxa"/>
              <w:bottom w:w="0" w:type="dxa"/>
              <w:right w:w="108" w:type="dxa"/>
            </w:tcMar>
            <w:hideMark/>
          </w:tcPr>
          <w:p w:rsidR="00116355" w:rsidRPr="006A74F8" w:rsidRDefault="00116355" w:rsidP="00246E9D">
            <w:pPr>
              <w:spacing w:after="0" w:line="240" w:lineRule="auto"/>
              <w:jc w:val="center"/>
              <w:rPr>
                <w:rFonts w:ascii="Calibri" w:eastAsia="Calibri" w:hAnsi="Calibri" w:cs="Calibri"/>
                <w:b/>
              </w:rPr>
            </w:pPr>
            <w:r w:rsidRPr="006A74F8">
              <w:rPr>
                <w:rFonts w:ascii="Calibri" w:eastAsia="Calibri" w:hAnsi="Calibri" w:cs="Calibri"/>
                <w:b/>
              </w:rPr>
              <w:t>Status Quo</w:t>
            </w:r>
          </w:p>
        </w:tc>
        <w:tc>
          <w:tcPr>
            <w:tcW w:w="1134" w:type="dxa"/>
            <w:tcBorders>
              <w:top w:val="single" w:sz="4" w:space="0" w:color="auto"/>
              <w:left w:val="nil"/>
              <w:bottom w:val="single" w:sz="8" w:space="0" w:color="auto"/>
              <w:right w:val="single" w:sz="8" w:space="0" w:color="auto"/>
            </w:tcBorders>
            <w:shd w:val="clear" w:color="auto" w:fill="1F3864"/>
            <w:noWrap/>
            <w:tcMar>
              <w:top w:w="0" w:type="dxa"/>
              <w:left w:w="108" w:type="dxa"/>
              <w:bottom w:w="0" w:type="dxa"/>
              <w:right w:w="108" w:type="dxa"/>
            </w:tcMar>
            <w:hideMark/>
          </w:tcPr>
          <w:p w:rsidR="00116355" w:rsidRPr="006A74F8" w:rsidRDefault="00116355" w:rsidP="00246E9D">
            <w:pPr>
              <w:spacing w:after="0" w:line="240" w:lineRule="auto"/>
              <w:jc w:val="center"/>
              <w:rPr>
                <w:rFonts w:ascii="Calibri" w:eastAsia="Calibri" w:hAnsi="Calibri" w:cs="Calibri"/>
                <w:b/>
              </w:rPr>
            </w:pPr>
            <w:r w:rsidRPr="006A74F8">
              <w:rPr>
                <w:rFonts w:ascii="Calibri" w:eastAsia="Calibri" w:hAnsi="Calibri" w:cs="Calibri"/>
                <w:b/>
              </w:rPr>
              <w:t>Option 1</w:t>
            </w:r>
          </w:p>
        </w:tc>
        <w:tc>
          <w:tcPr>
            <w:tcW w:w="1550" w:type="dxa"/>
            <w:tcBorders>
              <w:top w:val="single" w:sz="4" w:space="0" w:color="auto"/>
              <w:left w:val="nil"/>
              <w:bottom w:val="single" w:sz="8" w:space="0" w:color="auto"/>
              <w:right w:val="single" w:sz="8" w:space="0" w:color="auto"/>
            </w:tcBorders>
            <w:shd w:val="clear" w:color="auto" w:fill="1F3864"/>
            <w:noWrap/>
            <w:tcMar>
              <w:top w:w="0" w:type="dxa"/>
              <w:left w:w="108" w:type="dxa"/>
              <w:bottom w:w="0" w:type="dxa"/>
              <w:right w:w="108" w:type="dxa"/>
            </w:tcMar>
            <w:hideMark/>
          </w:tcPr>
          <w:p w:rsidR="00116355" w:rsidRPr="006A74F8" w:rsidRDefault="00116355" w:rsidP="00246E9D">
            <w:pPr>
              <w:spacing w:after="0" w:line="240" w:lineRule="auto"/>
              <w:jc w:val="center"/>
              <w:rPr>
                <w:rFonts w:ascii="Calibri" w:eastAsia="Calibri" w:hAnsi="Calibri" w:cs="Calibri"/>
                <w:b/>
              </w:rPr>
            </w:pPr>
            <w:r w:rsidRPr="006A74F8">
              <w:rPr>
                <w:rFonts w:ascii="Calibri" w:eastAsia="Calibri" w:hAnsi="Calibri" w:cs="Calibri"/>
                <w:b/>
              </w:rPr>
              <w:t>Option 2</w:t>
            </w:r>
          </w:p>
        </w:tc>
        <w:tc>
          <w:tcPr>
            <w:tcW w:w="1710" w:type="dxa"/>
            <w:tcBorders>
              <w:top w:val="single" w:sz="4" w:space="0" w:color="auto"/>
              <w:left w:val="nil"/>
              <w:bottom w:val="single" w:sz="8" w:space="0" w:color="auto"/>
              <w:right w:val="single" w:sz="8" w:space="0" w:color="auto"/>
            </w:tcBorders>
            <w:shd w:val="clear" w:color="auto" w:fill="1F3864"/>
          </w:tcPr>
          <w:p w:rsidR="00116355" w:rsidRPr="006A74F8" w:rsidRDefault="00116355" w:rsidP="00246E9D">
            <w:pPr>
              <w:spacing w:after="0" w:line="240" w:lineRule="auto"/>
              <w:jc w:val="center"/>
              <w:rPr>
                <w:rFonts w:ascii="Calibri" w:eastAsia="Calibri" w:hAnsi="Calibri" w:cs="Calibri"/>
                <w:b/>
              </w:rPr>
            </w:pPr>
            <w:r w:rsidRPr="006A74F8">
              <w:rPr>
                <w:rFonts w:ascii="Calibri" w:eastAsia="Calibri" w:hAnsi="Calibri" w:cs="Calibri"/>
                <w:b/>
              </w:rPr>
              <w:t>Option 3</w:t>
            </w:r>
          </w:p>
        </w:tc>
      </w:tr>
      <w:tr w:rsidR="00116355" w:rsidRPr="006A74F8" w:rsidTr="00D14B95">
        <w:trPr>
          <w:trHeight w:val="219"/>
        </w:trPr>
        <w:tc>
          <w:tcPr>
            <w:tcW w:w="33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16355" w:rsidRPr="006A74F8" w:rsidRDefault="00116355" w:rsidP="00246E9D">
            <w:pPr>
              <w:spacing w:after="0" w:line="240" w:lineRule="auto"/>
              <w:rPr>
                <w:rFonts w:ascii="Calibri" w:eastAsia="Calibri" w:hAnsi="Calibri" w:cs="Calibri"/>
              </w:rPr>
            </w:pPr>
            <w:r w:rsidRPr="006A74F8">
              <w:rPr>
                <w:rFonts w:ascii="Calibri" w:eastAsia="Calibri" w:hAnsi="Calibri" w:cs="Calibri"/>
              </w:rPr>
              <w:t xml:space="preserve">% reduction in burden </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hideMark/>
          </w:tcPr>
          <w:p w:rsidR="00116355" w:rsidRPr="006A74F8" w:rsidRDefault="00116355" w:rsidP="00246E9D">
            <w:pPr>
              <w:spacing w:after="0" w:line="240" w:lineRule="auto"/>
              <w:rPr>
                <w:rFonts w:ascii="Calibri" w:eastAsia="Calibri" w:hAnsi="Calibri" w:cs="Calibri"/>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116355" w:rsidRPr="006A74F8" w:rsidRDefault="00116355" w:rsidP="00246E9D">
            <w:pPr>
              <w:spacing w:after="0" w:line="240" w:lineRule="auto"/>
              <w:jc w:val="center"/>
              <w:rPr>
                <w:rFonts w:ascii="Calibri" w:eastAsia="Calibri" w:hAnsi="Calibri" w:cs="Calibri"/>
              </w:rPr>
            </w:pPr>
            <w:r w:rsidRPr="006A74F8">
              <w:rPr>
                <w:rFonts w:ascii="Calibri" w:eastAsia="Calibri" w:hAnsi="Calibri" w:cs="Calibri"/>
              </w:rPr>
              <w:t>5%</w:t>
            </w:r>
          </w:p>
          <w:p w:rsidR="00116355" w:rsidRPr="006A74F8" w:rsidRDefault="00116355" w:rsidP="00246E9D">
            <w:pPr>
              <w:spacing w:after="0" w:line="240" w:lineRule="auto"/>
              <w:jc w:val="center"/>
              <w:rPr>
                <w:rFonts w:ascii="Calibri" w:eastAsia="Calibri" w:hAnsi="Calibri" w:cs="Calibri"/>
              </w:rPr>
            </w:pPr>
          </w:p>
        </w:tc>
        <w:tc>
          <w:tcPr>
            <w:tcW w:w="1550" w:type="dxa"/>
            <w:tcBorders>
              <w:top w:val="nil"/>
              <w:left w:val="nil"/>
              <w:bottom w:val="single" w:sz="8" w:space="0" w:color="auto"/>
              <w:right w:val="single" w:sz="8" w:space="0" w:color="auto"/>
            </w:tcBorders>
            <w:noWrap/>
            <w:tcMar>
              <w:top w:w="0" w:type="dxa"/>
              <w:left w:w="108" w:type="dxa"/>
              <w:bottom w:w="0" w:type="dxa"/>
              <w:right w:w="108" w:type="dxa"/>
            </w:tcMar>
            <w:hideMark/>
          </w:tcPr>
          <w:p w:rsidR="00116355" w:rsidRPr="006A74F8" w:rsidRDefault="00116355" w:rsidP="00246E9D">
            <w:pPr>
              <w:spacing w:after="0" w:line="240" w:lineRule="auto"/>
              <w:jc w:val="center"/>
              <w:rPr>
                <w:rFonts w:ascii="Calibri" w:eastAsia="Calibri" w:hAnsi="Calibri" w:cs="Calibri"/>
              </w:rPr>
            </w:pPr>
            <w:r w:rsidRPr="006A74F8">
              <w:rPr>
                <w:rFonts w:ascii="Calibri" w:eastAsia="Calibri" w:hAnsi="Calibri" w:cs="Calibri"/>
              </w:rPr>
              <w:t>20%</w:t>
            </w:r>
          </w:p>
          <w:p w:rsidR="00116355" w:rsidRPr="006A74F8" w:rsidRDefault="00116355" w:rsidP="00246E9D">
            <w:pPr>
              <w:spacing w:after="0" w:line="240" w:lineRule="auto"/>
              <w:jc w:val="center"/>
              <w:rPr>
                <w:rFonts w:ascii="Calibri" w:eastAsia="Calibri" w:hAnsi="Calibri" w:cs="Calibri"/>
              </w:rPr>
            </w:pPr>
          </w:p>
        </w:tc>
        <w:tc>
          <w:tcPr>
            <w:tcW w:w="1710" w:type="dxa"/>
            <w:tcBorders>
              <w:top w:val="nil"/>
              <w:left w:val="nil"/>
              <w:bottom w:val="single" w:sz="8" w:space="0" w:color="auto"/>
              <w:right w:val="single" w:sz="8" w:space="0" w:color="auto"/>
            </w:tcBorders>
          </w:tcPr>
          <w:p w:rsidR="00116355" w:rsidRPr="006A74F8" w:rsidRDefault="00116355" w:rsidP="00246E9D">
            <w:pPr>
              <w:spacing w:after="0" w:line="240" w:lineRule="auto"/>
              <w:jc w:val="center"/>
              <w:rPr>
                <w:rFonts w:ascii="Calibri" w:eastAsia="Calibri" w:hAnsi="Calibri" w:cs="Calibri"/>
              </w:rPr>
            </w:pPr>
            <w:r w:rsidRPr="006A74F8">
              <w:rPr>
                <w:rFonts w:ascii="Calibri" w:eastAsia="Calibri" w:hAnsi="Calibri" w:cs="Calibri"/>
              </w:rPr>
              <w:t>Cannot be  determined</w:t>
            </w:r>
          </w:p>
        </w:tc>
      </w:tr>
      <w:tr w:rsidR="00116355" w:rsidRPr="006A74F8" w:rsidTr="00D14B95">
        <w:trPr>
          <w:trHeight w:val="219"/>
        </w:trPr>
        <w:tc>
          <w:tcPr>
            <w:tcW w:w="33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16355" w:rsidRPr="006A74F8" w:rsidRDefault="00116355" w:rsidP="00246E9D">
            <w:pPr>
              <w:spacing w:after="0" w:line="240" w:lineRule="auto"/>
              <w:rPr>
                <w:rFonts w:ascii="Calibri" w:eastAsia="Calibri" w:hAnsi="Calibri" w:cs="Calibri"/>
              </w:rPr>
            </w:pPr>
            <w:r w:rsidRPr="006A74F8">
              <w:rPr>
                <w:rFonts w:ascii="Calibri" w:eastAsia="Calibri" w:hAnsi="Calibri" w:cs="Calibri"/>
              </w:rPr>
              <w:t>Regulatory burden to industry</w:t>
            </w:r>
          </w:p>
        </w:tc>
        <w:tc>
          <w:tcPr>
            <w:tcW w:w="139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116355" w:rsidRPr="006A74F8" w:rsidRDefault="00116355" w:rsidP="00246E9D">
            <w:pPr>
              <w:spacing w:after="0" w:line="240" w:lineRule="auto"/>
              <w:rPr>
                <w:rFonts w:ascii="Calibri" w:eastAsia="Calibri" w:hAnsi="Calibri" w:cs="Calibri"/>
              </w:rPr>
            </w:pPr>
            <w:r w:rsidRPr="006A74F8">
              <w:rPr>
                <w:b/>
              </w:rPr>
              <w:t>$180,573</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116355" w:rsidRPr="006A74F8" w:rsidRDefault="00D51C4E" w:rsidP="00EE147C">
            <w:pPr>
              <w:spacing w:after="0" w:line="240" w:lineRule="auto"/>
              <w:jc w:val="center"/>
              <w:rPr>
                <w:rFonts w:ascii="Calibri" w:eastAsia="Calibri" w:hAnsi="Calibri" w:cs="Calibri"/>
              </w:rPr>
            </w:pPr>
            <w:r w:rsidRPr="006A74F8">
              <w:rPr>
                <w:rFonts w:ascii="Calibri" w:hAnsi="Calibri" w:cs="Calibri"/>
              </w:rPr>
              <w:t>$171,544</w:t>
            </w:r>
          </w:p>
        </w:tc>
        <w:tc>
          <w:tcPr>
            <w:tcW w:w="15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116355" w:rsidRPr="006A74F8" w:rsidRDefault="00D51C4E">
            <w:pPr>
              <w:spacing w:after="0" w:line="240" w:lineRule="auto"/>
              <w:jc w:val="center"/>
              <w:rPr>
                <w:rFonts w:ascii="Calibri" w:eastAsia="Calibri" w:hAnsi="Calibri" w:cs="Calibri"/>
              </w:rPr>
            </w:pPr>
            <w:r w:rsidRPr="006A74F8">
              <w:rPr>
                <w:rFonts w:ascii="Calibri" w:hAnsi="Calibri" w:cs="Calibri"/>
              </w:rPr>
              <w:t>$114,458</w:t>
            </w:r>
          </w:p>
        </w:tc>
        <w:tc>
          <w:tcPr>
            <w:tcW w:w="1710" w:type="dxa"/>
            <w:tcBorders>
              <w:top w:val="nil"/>
              <w:left w:val="nil"/>
              <w:bottom w:val="single" w:sz="8" w:space="0" w:color="auto"/>
              <w:right w:val="single" w:sz="8" w:space="0" w:color="auto"/>
            </w:tcBorders>
            <w:shd w:val="clear" w:color="auto" w:fill="auto"/>
          </w:tcPr>
          <w:p w:rsidR="00116355" w:rsidRPr="006A74F8" w:rsidRDefault="00D94C6F" w:rsidP="00246E9D">
            <w:pPr>
              <w:spacing w:after="0" w:line="240" w:lineRule="auto"/>
              <w:jc w:val="center"/>
              <w:rPr>
                <w:rFonts w:ascii="Calibri" w:eastAsia="Calibri" w:hAnsi="Calibri" w:cs="Calibri"/>
                <w:b/>
              </w:rPr>
            </w:pPr>
            <w:r w:rsidRPr="006A74F8">
              <w:rPr>
                <w:rFonts w:ascii="Calibri" w:eastAsia="Calibri" w:hAnsi="Calibri" w:cs="Calibri"/>
                <w:b/>
              </w:rPr>
              <w:t>Increase</w:t>
            </w:r>
          </w:p>
        </w:tc>
      </w:tr>
      <w:tr w:rsidR="00116355" w:rsidRPr="006A74F8" w:rsidTr="00D14B95">
        <w:trPr>
          <w:trHeight w:val="219"/>
        </w:trPr>
        <w:tc>
          <w:tcPr>
            <w:tcW w:w="33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16355" w:rsidRPr="006A74F8" w:rsidRDefault="00116355" w:rsidP="00246E9D">
            <w:pPr>
              <w:spacing w:after="0" w:line="240" w:lineRule="auto"/>
              <w:rPr>
                <w:rFonts w:ascii="Calibri" w:eastAsia="Calibri" w:hAnsi="Calibri" w:cs="Calibri"/>
                <w:b/>
              </w:rPr>
            </w:pPr>
            <w:r w:rsidRPr="006A74F8">
              <w:rPr>
                <w:rFonts w:ascii="Calibri" w:eastAsia="Calibri" w:hAnsi="Calibri" w:cs="Calibri"/>
                <w:b/>
              </w:rPr>
              <w:t>Savings from options</w:t>
            </w:r>
          </w:p>
        </w:tc>
        <w:tc>
          <w:tcPr>
            <w:tcW w:w="139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116355" w:rsidRPr="006A74F8" w:rsidRDefault="00116355" w:rsidP="00246E9D">
            <w:pPr>
              <w:spacing w:after="0" w:line="240" w:lineRule="auto"/>
              <w:jc w:val="center"/>
              <w:rPr>
                <w:rFonts w:ascii="Calibri" w:eastAsia="Calibri" w:hAnsi="Calibri" w:cs="Calibri"/>
                <w:b/>
              </w:rPr>
            </w:pP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116355" w:rsidRPr="006A74F8" w:rsidRDefault="00F45F69" w:rsidP="00EE147C">
            <w:pPr>
              <w:spacing w:after="0" w:line="240" w:lineRule="auto"/>
              <w:jc w:val="center"/>
              <w:rPr>
                <w:rFonts w:ascii="Calibri" w:eastAsia="Calibri" w:hAnsi="Calibri" w:cs="Calibri"/>
                <w:b/>
              </w:rPr>
            </w:pPr>
            <w:r w:rsidRPr="006A74F8">
              <w:rPr>
                <w:rFonts w:ascii="Calibri" w:hAnsi="Calibri" w:cs="Calibri"/>
                <w:b/>
              </w:rPr>
              <w:t>-</w:t>
            </w:r>
            <w:r w:rsidR="00116355" w:rsidRPr="006A74F8">
              <w:rPr>
                <w:rFonts w:ascii="Calibri" w:hAnsi="Calibri" w:cs="Calibri"/>
                <w:b/>
              </w:rPr>
              <w:t>$9,02</w:t>
            </w:r>
            <w:r w:rsidR="00825392" w:rsidRPr="006A74F8">
              <w:rPr>
                <w:rFonts w:ascii="Calibri" w:hAnsi="Calibri" w:cs="Calibri"/>
                <w:b/>
              </w:rPr>
              <w:t>9</w:t>
            </w:r>
          </w:p>
        </w:tc>
        <w:tc>
          <w:tcPr>
            <w:tcW w:w="15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116355" w:rsidRPr="006A74F8" w:rsidRDefault="00F45F69">
            <w:pPr>
              <w:spacing w:after="0" w:line="240" w:lineRule="auto"/>
              <w:jc w:val="center"/>
              <w:rPr>
                <w:rFonts w:ascii="Calibri" w:eastAsia="Calibri" w:hAnsi="Calibri" w:cs="Calibri"/>
                <w:b/>
              </w:rPr>
            </w:pPr>
            <w:r w:rsidRPr="006A74F8">
              <w:rPr>
                <w:rFonts w:ascii="Calibri" w:hAnsi="Calibri" w:cs="Calibri"/>
                <w:b/>
              </w:rPr>
              <w:t>-</w:t>
            </w:r>
            <w:r w:rsidR="00116355" w:rsidRPr="006A74F8">
              <w:rPr>
                <w:rFonts w:ascii="Calibri" w:hAnsi="Calibri" w:cs="Calibri"/>
                <w:b/>
              </w:rPr>
              <w:t>$36,11</w:t>
            </w:r>
            <w:r w:rsidR="00825392" w:rsidRPr="006A74F8">
              <w:rPr>
                <w:rFonts w:ascii="Calibri" w:hAnsi="Calibri" w:cs="Calibri"/>
                <w:b/>
              </w:rPr>
              <w:t>5</w:t>
            </w:r>
          </w:p>
        </w:tc>
        <w:tc>
          <w:tcPr>
            <w:tcW w:w="1710" w:type="dxa"/>
            <w:tcBorders>
              <w:top w:val="nil"/>
              <w:left w:val="nil"/>
              <w:bottom w:val="single" w:sz="8" w:space="0" w:color="auto"/>
              <w:right w:val="single" w:sz="8" w:space="0" w:color="auto"/>
            </w:tcBorders>
            <w:shd w:val="clear" w:color="auto" w:fill="auto"/>
          </w:tcPr>
          <w:p w:rsidR="00116355" w:rsidRPr="006A74F8" w:rsidRDefault="00116355" w:rsidP="00246E9D">
            <w:pPr>
              <w:spacing w:after="0" w:line="240" w:lineRule="auto"/>
              <w:jc w:val="center"/>
              <w:rPr>
                <w:rFonts w:ascii="Calibri" w:eastAsia="Calibri" w:hAnsi="Calibri" w:cs="Calibri"/>
                <w:b/>
              </w:rPr>
            </w:pPr>
            <w:r w:rsidRPr="006A74F8">
              <w:rPr>
                <w:rFonts w:ascii="Calibri" w:eastAsia="Calibri" w:hAnsi="Calibri" w:cs="Calibri"/>
              </w:rPr>
              <w:t>-</w:t>
            </w:r>
          </w:p>
        </w:tc>
      </w:tr>
    </w:tbl>
    <w:p w:rsidR="00977780" w:rsidRPr="006A74F8" w:rsidRDefault="00977780" w:rsidP="00116355">
      <w:pPr>
        <w:spacing w:before="120"/>
      </w:pPr>
    </w:p>
    <w:p w:rsidR="009F6314" w:rsidRPr="006A74F8" w:rsidRDefault="009F6314">
      <w:pPr>
        <w:rPr>
          <w:i/>
          <w:iCs/>
          <w:color w:val="005677" w:themeColor="text2"/>
          <w:szCs w:val="18"/>
        </w:rPr>
      </w:pPr>
      <w:r w:rsidRPr="006A74F8">
        <w:br w:type="page"/>
      </w:r>
    </w:p>
    <w:p w:rsidR="00D14B95" w:rsidRPr="006A74F8" w:rsidRDefault="00D14B95" w:rsidP="00D14B95">
      <w:pPr>
        <w:pStyle w:val="Caption"/>
        <w:keepNext/>
      </w:pPr>
      <w:r w:rsidRPr="006A74F8">
        <w:lastRenderedPageBreak/>
        <w:t xml:space="preserve">Table </w:t>
      </w:r>
      <w:r w:rsidR="00B1255E" w:rsidRPr="006A74F8">
        <w:t>A11</w:t>
      </w:r>
      <w:r w:rsidRPr="006A74F8">
        <w:t xml:space="preserve">- </w:t>
      </w:r>
      <w:r w:rsidR="00D003A8" w:rsidRPr="006A74F8">
        <w:rPr>
          <w:noProof/>
        </w:rPr>
        <w:fldChar w:fldCharType="begin"/>
      </w:r>
      <w:r w:rsidR="00D003A8" w:rsidRPr="006A74F8">
        <w:rPr>
          <w:noProof/>
        </w:rPr>
        <w:instrText xml:space="preserve"> SEQ Table_A12- \* ARABIC </w:instrText>
      </w:r>
      <w:r w:rsidR="00D003A8" w:rsidRPr="006A74F8">
        <w:rPr>
          <w:noProof/>
        </w:rPr>
        <w:fldChar w:fldCharType="separate"/>
      </w:r>
      <w:r w:rsidR="0033017F">
        <w:rPr>
          <w:noProof/>
        </w:rPr>
        <w:t>9</w:t>
      </w:r>
      <w:r w:rsidR="00D003A8" w:rsidRPr="006A74F8">
        <w:rPr>
          <w:noProof/>
        </w:rPr>
        <w:fldChar w:fldCharType="end"/>
      </w:r>
      <w:r w:rsidRPr="006A74F8">
        <w:t>: Summary of potential savings for the sector in relation to status quo</w:t>
      </w: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2- 9: Summary of potential savings for the sector in relation to status quo"/>
        <w:tblDescription w:val="status quo: Approximately $0.18m cost for pattern approval application. Option 1: Potential savings of approximately  $0.01m if 5% reduction in pattern approval over 5-10 years for specific instrument categories. Option 2: Potential savings of approximately $0.04m if 20% reduction in pattern approval over 5-10 years; Unquantifiable potential change (increase or decrease) in burden from flexible controls on measuring instruments used for trade. Option 3: As for option 2 plus Additional regulatory burden for measuring instruments used for regulatory purposes."/>
      </w:tblPr>
      <w:tblGrid>
        <w:gridCol w:w="2122"/>
        <w:gridCol w:w="2268"/>
        <w:gridCol w:w="2616"/>
        <w:gridCol w:w="2325"/>
      </w:tblGrid>
      <w:tr w:rsidR="0076043A" w:rsidRPr="006A74F8" w:rsidTr="005241BE">
        <w:trPr>
          <w:trHeight w:val="260"/>
        </w:trPr>
        <w:tc>
          <w:tcPr>
            <w:tcW w:w="2122" w:type="dxa"/>
            <w:shd w:val="clear" w:color="auto" w:fill="1F3864"/>
          </w:tcPr>
          <w:p w:rsidR="0076043A" w:rsidRPr="006A74F8" w:rsidRDefault="0076043A" w:rsidP="00E600DA">
            <w:pPr>
              <w:rPr>
                <w:b/>
              </w:rPr>
            </w:pPr>
            <w:r w:rsidRPr="006A74F8">
              <w:rPr>
                <w:b/>
              </w:rPr>
              <w:t xml:space="preserve">Status Quo cost of </w:t>
            </w:r>
            <w:r w:rsidR="005241BE" w:rsidRPr="006A74F8">
              <w:rPr>
                <w:b/>
              </w:rPr>
              <w:t>pattern approval</w:t>
            </w:r>
          </w:p>
        </w:tc>
        <w:tc>
          <w:tcPr>
            <w:tcW w:w="2268" w:type="dxa"/>
            <w:shd w:val="clear" w:color="auto" w:fill="1F3864"/>
          </w:tcPr>
          <w:p w:rsidR="0076043A" w:rsidRPr="006A74F8" w:rsidRDefault="0076043A" w:rsidP="00E600DA">
            <w:pPr>
              <w:rPr>
                <w:b/>
              </w:rPr>
            </w:pPr>
            <w:r w:rsidRPr="006A74F8">
              <w:rPr>
                <w:b/>
              </w:rPr>
              <w:t>Option 1 potential savings</w:t>
            </w:r>
          </w:p>
        </w:tc>
        <w:tc>
          <w:tcPr>
            <w:tcW w:w="2616" w:type="dxa"/>
            <w:shd w:val="clear" w:color="auto" w:fill="1F3864"/>
          </w:tcPr>
          <w:p w:rsidR="0076043A" w:rsidRPr="006A74F8" w:rsidRDefault="0076043A" w:rsidP="00E600DA">
            <w:pPr>
              <w:rPr>
                <w:b/>
              </w:rPr>
            </w:pPr>
            <w:r w:rsidRPr="006A74F8">
              <w:rPr>
                <w:b/>
              </w:rPr>
              <w:t>Option 2 potential savings</w:t>
            </w:r>
          </w:p>
        </w:tc>
        <w:tc>
          <w:tcPr>
            <w:tcW w:w="2325" w:type="dxa"/>
            <w:shd w:val="clear" w:color="auto" w:fill="1F3864"/>
          </w:tcPr>
          <w:p w:rsidR="0076043A" w:rsidRPr="006A74F8" w:rsidRDefault="0076043A" w:rsidP="00E600DA">
            <w:pPr>
              <w:rPr>
                <w:b/>
              </w:rPr>
            </w:pPr>
            <w:r w:rsidRPr="006A74F8">
              <w:rPr>
                <w:b/>
              </w:rPr>
              <w:t>Option 3 potential savings</w:t>
            </w:r>
          </w:p>
        </w:tc>
      </w:tr>
      <w:tr w:rsidR="00E6581C" w:rsidRPr="006A74F8" w:rsidTr="005241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7"/>
        </w:trPr>
        <w:tc>
          <w:tcPr>
            <w:tcW w:w="2122" w:type="dxa"/>
            <w:tcBorders>
              <w:top w:val="single" w:sz="4" w:space="0" w:color="auto"/>
              <w:left w:val="single" w:sz="4" w:space="0" w:color="auto"/>
              <w:bottom w:val="single" w:sz="4" w:space="0" w:color="auto"/>
              <w:right w:val="single" w:sz="4" w:space="0" w:color="auto"/>
            </w:tcBorders>
          </w:tcPr>
          <w:p w:rsidR="00E6581C" w:rsidRPr="006A74F8" w:rsidRDefault="006136CF" w:rsidP="00E6581C">
            <w:pPr>
              <w:rPr>
                <w:rStyle w:val="Hyperlink"/>
                <w:b/>
                <w:color w:val="auto"/>
                <w:u w:val="none"/>
              </w:rPr>
            </w:pPr>
            <w:r w:rsidRPr="006A74F8">
              <w:t>Approximate</w:t>
            </w:r>
            <w:r w:rsidRPr="006A74F8">
              <w:rPr>
                <w:b/>
              </w:rPr>
              <w:t xml:space="preserve"> </w:t>
            </w:r>
            <w:r w:rsidR="00E6581C" w:rsidRPr="006A74F8">
              <w:rPr>
                <w:b/>
              </w:rPr>
              <w:t>$</w:t>
            </w:r>
            <w:r w:rsidRPr="006A74F8">
              <w:rPr>
                <w:b/>
              </w:rPr>
              <w:t>0.18m</w:t>
            </w:r>
            <w:r w:rsidR="00E6581C" w:rsidRPr="006A74F8">
              <w:rPr>
                <w:rFonts w:cstheme="minorHAnsi"/>
              </w:rPr>
              <w:t xml:space="preserve"> </w:t>
            </w:r>
            <w:r w:rsidR="00E6581C" w:rsidRPr="006A74F8">
              <w:t>cost for pattern approval application</w:t>
            </w:r>
            <w:r w:rsidR="00AE09BC" w:rsidRPr="006A74F8">
              <w:t xml:space="preserve"> (combined annual application cost)</w:t>
            </w:r>
          </w:p>
        </w:tc>
        <w:tc>
          <w:tcPr>
            <w:tcW w:w="2268" w:type="dxa"/>
            <w:tcBorders>
              <w:top w:val="single" w:sz="4" w:space="0" w:color="auto"/>
              <w:left w:val="single" w:sz="4" w:space="0" w:color="auto"/>
              <w:bottom w:val="single" w:sz="4" w:space="0" w:color="auto"/>
              <w:right w:val="single" w:sz="4" w:space="0" w:color="auto"/>
            </w:tcBorders>
          </w:tcPr>
          <w:p w:rsidR="00825392" w:rsidRPr="006A74F8" w:rsidRDefault="00825392" w:rsidP="00825392">
            <w:pPr>
              <w:rPr>
                <w:rFonts w:cstheme="minorHAnsi"/>
              </w:rPr>
            </w:pPr>
            <w:r w:rsidRPr="006A74F8">
              <w:rPr>
                <w:rFonts w:cstheme="minorHAnsi"/>
              </w:rPr>
              <w:t xml:space="preserve">Potential </w:t>
            </w:r>
            <w:r w:rsidRPr="00666A9E">
              <w:rPr>
                <w:rFonts w:cstheme="minorHAnsi"/>
              </w:rPr>
              <w:t xml:space="preserve">savings of </w:t>
            </w:r>
            <w:r w:rsidR="006136CF" w:rsidRPr="00666A9E">
              <w:rPr>
                <w:rFonts w:cstheme="minorHAnsi"/>
              </w:rPr>
              <w:t xml:space="preserve">approximately </w:t>
            </w:r>
            <w:r w:rsidRPr="00666A9E">
              <w:rPr>
                <w:rFonts w:cstheme="minorHAnsi"/>
              </w:rPr>
              <w:t xml:space="preserve"> </w:t>
            </w:r>
            <w:r w:rsidRPr="00666A9E">
              <w:rPr>
                <w:rFonts w:cstheme="minorHAnsi"/>
                <w:b/>
              </w:rPr>
              <w:t>$</w:t>
            </w:r>
            <w:r w:rsidR="006136CF" w:rsidRPr="00666A9E">
              <w:rPr>
                <w:rFonts w:cstheme="minorHAnsi"/>
                <w:b/>
              </w:rPr>
              <w:t>0.01m</w:t>
            </w:r>
            <w:r w:rsidRPr="00666A9E">
              <w:rPr>
                <w:rFonts w:cstheme="minorHAnsi"/>
              </w:rPr>
              <w:t xml:space="preserve"> if 5% </w:t>
            </w:r>
            <w:r w:rsidRPr="006A74F8">
              <w:rPr>
                <w:rFonts w:cstheme="minorHAnsi"/>
              </w:rPr>
              <w:t xml:space="preserve">reduction in </w:t>
            </w:r>
            <w:r w:rsidR="00203D5A" w:rsidRPr="006A74F8">
              <w:t xml:space="preserve">pattern approval </w:t>
            </w:r>
            <w:r w:rsidRPr="006A74F8">
              <w:rPr>
                <w:rFonts w:cstheme="minorHAnsi"/>
              </w:rPr>
              <w:t>over 5-10 years for specific instrument categories</w:t>
            </w:r>
          </w:p>
          <w:p w:rsidR="00E6581C" w:rsidRPr="006A74F8" w:rsidRDefault="00E6581C" w:rsidP="00D43CEE">
            <w:pPr>
              <w:rPr>
                <w:rStyle w:val="Hyperlink"/>
                <w:color w:val="auto"/>
                <w:u w:val="none"/>
              </w:rPr>
            </w:pPr>
          </w:p>
        </w:tc>
        <w:tc>
          <w:tcPr>
            <w:tcW w:w="2616" w:type="dxa"/>
            <w:tcBorders>
              <w:top w:val="single" w:sz="4" w:space="0" w:color="auto"/>
              <w:left w:val="single" w:sz="4" w:space="0" w:color="auto"/>
              <w:bottom w:val="single" w:sz="4" w:space="0" w:color="auto"/>
              <w:right w:val="single" w:sz="4" w:space="0" w:color="auto"/>
            </w:tcBorders>
          </w:tcPr>
          <w:p w:rsidR="00825392" w:rsidRPr="006A74F8" w:rsidRDefault="00825392" w:rsidP="00825392">
            <w:pPr>
              <w:rPr>
                <w:rFonts w:cstheme="minorHAnsi"/>
              </w:rPr>
            </w:pPr>
            <w:r w:rsidRPr="006A74F8">
              <w:rPr>
                <w:rFonts w:cstheme="minorHAnsi"/>
              </w:rPr>
              <w:t>Potential savings of</w:t>
            </w:r>
            <w:r w:rsidR="006136CF" w:rsidRPr="006A74F8">
              <w:rPr>
                <w:rFonts w:cstheme="minorHAnsi"/>
              </w:rPr>
              <w:t xml:space="preserve"> approximately</w:t>
            </w:r>
            <w:r w:rsidRPr="006A74F8">
              <w:rPr>
                <w:rFonts w:cstheme="minorHAnsi"/>
              </w:rPr>
              <w:t xml:space="preserve"> </w:t>
            </w:r>
            <w:r w:rsidRPr="006A74F8">
              <w:rPr>
                <w:rFonts w:cstheme="minorHAnsi"/>
                <w:b/>
              </w:rPr>
              <w:t>$</w:t>
            </w:r>
            <w:r w:rsidR="006136CF" w:rsidRPr="006A74F8">
              <w:rPr>
                <w:rFonts w:cstheme="minorHAnsi"/>
                <w:b/>
              </w:rPr>
              <w:t>0.04m</w:t>
            </w:r>
            <w:r w:rsidRPr="006A74F8">
              <w:rPr>
                <w:rFonts w:cstheme="minorHAnsi"/>
              </w:rPr>
              <w:t xml:space="preserve"> if 20% reduction in </w:t>
            </w:r>
            <w:r w:rsidR="00203D5A" w:rsidRPr="006A74F8">
              <w:t xml:space="preserve">pattern approval </w:t>
            </w:r>
            <w:r w:rsidRPr="006A74F8">
              <w:rPr>
                <w:rFonts w:cstheme="minorHAnsi"/>
              </w:rPr>
              <w:t xml:space="preserve">over 5-10 years </w:t>
            </w:r>
          </w:p>
          <w:p w:rsidR="00E6581C" w:rsidRPr="006A74F8" w:rsidRDefault="00825392" w:rsidP="00EE147C">
            <w:pPr>
              <w:rPr>
                <w:rStyle w:val="Hyperlink"/>
                <w:color w:val="auto"/>
                <w:u w:val="none"/>
              </w:rPr>
            </w:pPr>
            <w:r w:rsidRPr="006A74F8">
              <w:t>Unquantifiable p</w:t>
            </w:r>
            <w:r w:rsidRPr="006A74F8">
              <w:rPr>
                <w:rFonts w:cstheme="minorHAnsi"/>
              </w:rPr>
              <w:t>otential change (</w:t>
            </w:r>
            <w:r w:rsidRPr="006A74F8">
              <w:rPr>
                <w:rFonts w:cstheme="minorHAnsi"/>
                <w:b/>
              </w:rPr>
              <w:t>increase or decrease</w:t>
            </w:r>
            <w:r w:rsidRPr="006A74F8">
              <w:rPr>
                <w:rFonts w:cstheme="minorHAnsi"/>
              </w:rPr>
              <w:t>) in burden from flexible controls on measuring instruments used for trade</w:t>
            </w:r>
          </w:p>
        </w:tc>
        <w:tc>
          <w:tcPr>
            <w:tcW w:w="2325" w:type="dxa"/>
            <w:tcBorders>
              <w:top w:val="single" w:sz="4" w:space="0" w:color="auto"/>
              <w:left w:val="single" w:sz="4" w:space="0" w:color="auto"/>
              <w:bottom w:val="single" w:sz="4" w:space="0" w:color="auto"/>
              <w:right w:val="single" w:sz="4" w:space="0" w:color="auto"/>
            </w:tcBorders>
          </w:tcPr>
          <w:p w:rsidR="00825392" w:rsidRPr="006A74F8" w:rsidRDefault="00825392" w:rsidP="00825392">
            <w:pPr>
              <w:rPr>
                <w:rFonts w:cstheme="minorHAnsi"/>
              </w:rPr>
            </w:pPr>
            <w:r w:rsidRPr="006A74F8">
              <w:rPr>
                <w:rFonts w:cstheme="minorHAnsi"/>
              </w:rPr>
              <w:t xml:space="preserve">As for </w:t>
            </w:r>
            <w:r w:rsidR="009F0892" w:rsidRPr="006A74F8">
              <w:rPr>
                <w:rFonts w:cstheme="minorHAnsi"/>
              </w:rPr>
              <w:t>o</w:t>
            </w:r>
            <w:r w:rsidRPr="006A74F8">
              <w:rPr>
                <w:rFonts w:cstheme="minorHAnsi"/>
              </w:rPr>
              <w:t>ption 2</w:t>
            </w:r>
            <w:r w:rsidR="005241BE" w:rsidRPr="006A74F8">
              <w:rPr>
                <w:rFonts w:cstheme="minorHAnsi"/>
              </w:rPr>
              <w:t>,</w:t>
            </w:r>
            <w:r w:rsidRPr="006A74F8">
              <w:rPr>
                <w:rFonts w:cstheme="minorHAnsi"/>
              </w:rPr>
              <w:t xml:space="preserve"> plus</w:t>
            </w:r>
            <w:r w:rsidR="005241BE" w:rsidRPr="006A74F8">
              <w:rPr>
                <w:rFonts w:cstheme="minorHAnsi"/>
              </w:rPr>
              <w:t>:</w:t>
            </w:r>
          </w:p>
          <w:p w:rsidR="00825392" w:rsidRPr="006A74F8" w:rsidRDefault="00825392" w:rsidP="00825392">
            <w:pPr>
              <w:rPr>
                <w:rFonts w:cstheme="minorHAnsi"/>
              </w:rPr>
            </w:pPr>
            <w:r w:rsidRPr="006A74F8">
              <w:rPr>
                <w:rFonts w:cstheme="minorHAnsi"/>
                <w:b/>
              </w:rPr>
              <w:t>Additional regulatory burden</w:t>
            </w:r>
            <w:r w:rsidRPr="006A74F8">
              <w:rPr>
                <w:rFonts w:cstheme="minorHAnsi"/>
              </w:rPr>
              <w:t xml:space="preserve"> for measuring instruments used for regulatory purposes</w:t>
            </w:r>
          </w:p>
          <w:p w:rsidR="00E6581C" w:rsidRPr="006A74F8" w:rsidRDefault="00E6581C" w:rsidP="00E6581C">
            <w:pPr>
              <w:rPr>
                <w:rStyle w:val="Hyperlink"/>
                <w:color w:val="auto"/>
                <w:u w:val="none"/>
              </w:rPr>
            </w:pPr>
          </w:p>
        </w:tc>
      </w:tr>
    </w:tbl>
    <w:p w:rsidR="00CD34DD" w:rsidRPr="006A74F8" w:rsidRDefault="00CD34DD" w:rsidP="00885650">
      <w:pPr>
        <w:rPr>
          <w:rFonts w:asciiTheme="majorHAnsi" w:eastAsiaTheme="majorEastAsia" w:hAnsiTheme="majorHAnsi" w:cstheme="majorBidi"/>
          <w:color w:val="005677" w:themeColor="text2"/>
          <w:sz w:val="48"/>
          <w:szCs w:val="32"/>
        </w:rPr>
        <w:sectPr w:rsidR="00CD34DD" w:rsidRPr="006A74F8" w:rsidSect="00EC61D8">
          <w:pgSz w:w="11907" w:h="16840" w:code="9"/>
          <w:pgMar w:top="1440" w:right="1440" w:bottom="1440" w:left="1440" w:header="851" w:footer="0" w:gutter="0"/>
          <w:cols w:space="708"/>
          <w:titlePg/>
          <w:docGrid w:linePitch="360"/>
        </w:sectPr>
      </w:pPr>
      <w:bookmarkStart w:id="2959" w:name="_Toc68010892"/>
      <w:bookmarkStart w:id="2960" w:name="_Toc68011272"/>
      <w:bookmarkStart w:id="2961" w:name="_Toc68011330"/>
      <w:bookmarkEnd w:id="2959"/>
      <w:bookmarkEnd w:id="2960"/>
      <w:bookmarkEnd w:id="2961"/>
    </w:p>
    <w:p w:rsidR="00EE6DFF" w:rsidRPr="006A74F8" w:rsidRDefault="00EE6DFF" w:rsidP="00392086">
      <w:pPr>
        <w:pStyle w:val="Heading1"/>
        <w:ind w:left="709" w:hanging="709"/>
      </w:pPr>
      <w:bookmarkStart w:id="2962" w:name="_Appendix_13:_Costing"/>
      <w:bookmarkStart w:id="2963" w:name="_Toc66435718"/>
      <w:bookmarkStart w:id="2964" w:name="_Toc66436507"/>
      <w:bookmarkStart w:id="2965" w:name="_Toc66437718"/>
      <w:bookmarkStart w:id="2966" w:name="_Toc66440057"/>
      <w:bookmarkStart w:id="2967" w:name="_Toc66442259"/>
      <w:bookmarkStart w:id="2968" w:name="_Toc66451928"/>
      <w:bookmarkStart w:id="2969" w:name="_Toc66459205"/>
      <w:bookmarkStart w:id="2970" w:name="_Toc66460259"/>
      <w:bookmarkStart w:id="2971" w:name="_Toc81919639"/>
      <w:bookmarkStart w:id="2972" w:name="_Toc81919913"/>
      <w:bookmarkStart w:id="2973" w:name="_Toc81921180"/>
      <w:bookmarkStart w:id="2974" w:name="_Toc81923755"/>
      <w:bookmarkStart w:id="2975" w:name="_Toc81923782"/>
      <w:bookmarkStart w:id="2976" w:name="_Toc81994304"/>
      <w:bookmarkStart w:id="2977" w:name="_Toc81997329"/>
      <w:bookmarkStart w:id="2978" w:name="_Toc81998102"/>
      <w:bookmarkStart w:id="2979" w:name="_Toc82011856"/>
      <w:bookmarkStart w:id="2980" w:name="_Toc82512712"/>
      <w:bookmarkStart w:id="2981" w:name="_Toc82516180"/>
      <w:bookmarkStart w:id="2982" w:name="_Toc82519121"/>
      <w:bookmarkStart w:id="2983" w:name="_Toc82706663"/>
      <w:bookmarkStart w:id="2984" w:name="_Toc82790548"/>
      <w:bookmarkStart w:id="2985" w:name="_Toc82791067"/>
      <w:bookmarkStart w:id="2986" w:name="_Toc82792378"/>
      <w:bookmarkStart w:id="2987" w:name="_Toc83290760"/>
      <w:bookmarkStart w:id="2988" w:name="_Toc83292769"/>
      <w:bookmarkStart w:id="2989" w:name="_Toc83293540"/>
      <w:bookmarkStart w:id="2990" w:name="_Toc67305405"/>
      <w:bookmarkStart w:id="2991" w:name="_Toc67306319"/>
      <w:bookmarkStart w:id="2992" w:name="_Toc67306769"/>
      <w:bookmarkStart w:id="2993" w:name="_Toc67313621"/>
      <w:bookmarkStart w:id="2994" w:name="_Toc67320814"/>
      <w:bookmarkStart w:id="2995" w:name="_Toc67321967"/>
      <w:bookmarkStart w:id="2996" w:name="_Toc67324432"/>
      <w:bookmarkStart w:id="2997" w:name="_Toc67326593"/>
      <w:bookmarkStart w:id="2998" w:name="_Toc67649132"/>
      <w:bookmarkStart w:id="2999" w:name="_Toc67650116"/>
      <w:bookmarkStart w:id="3000" w:name="_Toc67650371"/>
      <w:bookmarkStart w:id="3001" w:name="_Toc67650663"/>
      <w:bookmarkStart w:id="3002" w:name="_Toc67652983"/>
      <w:bookmarkStart w:id="3003" w:name="_Toc67653068"/>
      <w:bookmarkStart w:id="3004" w:name="_Toc67653500"/>
      <w:bookmarkStart w:id="3005" w:name="_Toc67653563"/>
      <w:bookmarkStart w:id="3006" w:name="_Toc67649980"/>
      <w:bookmarkStart w:id="3007" w:name="_Toc67654066"/>
      <w:bookmarkStart w:id="3008" w:name="_Toc67654373"/>
      <w:bookmarkStart w:id="3009" w:name="_Toc67654590"/>
      <w:bookmarkStart w:id="3010" w:name="_Toc67656197"/>
      <w:bookmarkStart w:id="3011" w:name="_Toc67656959"/>
      <w:bookmarkStart w:id="3012" w:name="_Toc67659258"/>
      <w:bookmarkStart w:id="3013" w:name="_Toc67659759"/>
      <w:bookmarkStart w:id="3014" w:name="_Toc67661726"/>
      <w:bookmarkStart w:id="3015" w:name="_Toc67662817"/>
      <w:bookmarkStart w:id="3016" w:name="_Toc67662958"/>
      <w:bookmarkStart w:id="3017" w:name="_Toc67664464"/>
      <w:bookmarkStart w:id="3018" w:name="_Toc67667191"/>
      <w:bookmarkStart w:id="3019" w:name="_Toc67668264"/>
      <w:bookmarkStart w:id="3020" w:name="_Toc67669171"/>
      <w:bookmarkStart w:id="3021" w:name="_Toc67665782"/>
      <w:bookmarkStart w:id="3022" w:name="_Toc67912171"/>
      <w:bookmarkStart w:id="3023" w:name="_Toc67922252"/>
      <w:bookmarkStart w:id="3024" w:name="_Toc67929111"/>
      <w:bookmarkStart w:id="3025" w:name="_Toc67929405"/>
      <w:bookmarkStart w:id="3026" w:name="_Toc67929630"/>
      <w:bookmarkStart w:id="3027" w:name="_Toc67927107"/>
      <w:bookmarkStart w:id="3028" w:name="_Toc68011273"/>
      <w:bookmarkStart w:id="3029" w:name="_Toc68011331"/>
      <w:bookmarkEnd w:id="2962"/>
      <w:r w:rsidRPr="006A74F8">
        <w:lastRenderedPageBreak/>
        <w:t>Appendix 1</w:t>
      </w:r>
      <w:r w:rsidR="00266F0F" w:rsidRPr="006A74F8">
        <w:t>2</w:t>
      </w:r>
      <w:r w:rsidRPr="006A74F8">
        <w:t>: Costing the regulatory burden o</w:t>
      </w:r>
      <w:r w:rsidR="009866E2" w:rsidRPr="006A74F8">
        <w:t>n</w:t>
      </w:r>
      <w:r w:rsidRPr="006A74F8">
        <w:t xml:space="preserve"> Authorised Third Parties</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r w:rsidR="008B4CE2" w:rsidRPr="006A74F8">
        <w:t xml:space="preserve"> </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p>
    <w:p w:rsidR="00227F88" w:rsidRPr="006A74F8" w:rsidRDefault="00B1255E" w:rsidP="00A31A00">
      <w:pPr>
        <w:pStyle w:val="Heading2"/>
      </w:pPr>
      <w:bookmarkStart w:id="3030" w:name="_Toc67390632"/>
      <w:r w:rsidRPr="006A74F8">
        <w:t xml:space="preserve"> </w:t>
      </w:r>
      <w:r w:rsidR="00227F88" w:rsidRPr="006A74F8">
        <w:t>Overview</w:t>
      </w:r>
      <w:bookmarkEnd w:id="3030"/>
    </w:p>
    <w:p w:rsidR="00EE32EA" w:rsidRPr="006A74F8" w:rsidRDefault="009155CA" w:rsidP="00544120">
      <w:pPr>
        <w:shd w:val="clear" w:color="auto" w:fill="DFF3F3" w:themeFill="accent4" w:themeFillTint="33"/>
      </w:pPr>
      <w:r w:rsidRPr="006A74F8">
        <w:t xml:space="preserve">This appendix </w:t>
      </w:r>
      <w:r w:rsidR="00EE32EA" w:rsidRPr="006A74F8">
        <w:t>provide</w:t>
      </w:r>
      <w:r w:rsidR="00BA24CE" w:rsidRPr="006A74F8">
        <w:t>s</w:t>
      </w:r>
      <w:r w:rsidR="00E64A1E" w:rsidRPr="006A74F8">
        <w:t xml:space="preserve"> details on how proposed changes would affect ATPs, including</w:t>
      </w:r>
      <w:r w:rsidR="00EE32EA" w:rsidRPr="006A74F8">
        <w:t>:</w:t>
      </w:r>
    </w:p>
    <w:p w:rsidR="00EE32EA" w:rsidRPr="006A74F8" w:rsidRDefault="009155CA" w:rsidP="0096707A">
      <w:pPr>
        <w:pStyle w:val="ListParagraph"/>
        <w:numPr>
          <w:ilvl w:val="0"/>
          <w:numId w:val="112"/>
        </w:numPr>
        <w:shd w:val="clear" w:color="auto" w:fill="DFF3F3" w:themeFill="accent4" w:themeFillTint="33"/>
      </w:pPr>
      <w:r w:rsidRPr="006A74F8">
        <w:t>details on</w:t>
      </w:r>
      <w:r w:rsidR="00EE32EA" w:rsidRPr="006A74F8">
        <w:t xml:space="preserve"> the</w:t>
      </w:r>
      <w:r w:rsidRPr="006A74F8">
        <w:t xml:space="preserve"> </w:t>
      </w:r>
      <w:r w:rsidR="00EE32EA" w:rsidRPr="006A74F8">
        <w:t xml:space="preserve">current number of ATPs providing measurement services under the </w:t>
      </w:r>
      <w:r w:rsidR="00BA24CE" w:rsidRPr="006A74F8">
        <w:t>measurement legislation</w:t>
      </w:r>
    </w:p>
    <w:p w:rsidR="00EE32EA" w:rsidRPr="006A74F8" w:rsidRDefault="00EE32EA" w:rsidP="001D02ED">
      <w:pPr>
        <w:pStyle w:val="ListParagraph"/>
        <w:numPr>
          <w:ilvl w:val="0"/>
          <w:numId w:val="112"/>
        </w:numPr>
        <w:shd w:val="clear" w:color="auto" w:fill="DFF3F3" w:themeFill="accent4" w:themeFillTint="33"/>
      </w:pPr>
      <w:r w:rsidRPr="006A74F8">
        <w:t>the estimated status quo cost for appointments (including application, renewal, competency) and reporting requirements on ATP</w:t>
      </w:r>
      <w:r w:rsidR="00C1097C" w:rsidRPr="006A74F8">
        <w:t>s</w:t>
      </w:r>
    </w:p>
    <w:p w:rsidR="00EE32EA" w:rsidRPr="006A74F8" w:rsidRDefault="00EE32EA" w:rsidP="006F3059">
      <w:pPr>
        <w:pStyle w:val="ListParagraph"/>
        <w:numPr>
          <w:ilvl w:val="0"/>
          <w:numId w:val="112"/>
        </w:numPr>
        <w:shd w:val="clear" w:color="auto" w:fill="DFF3F3" w:themeFill="accent4" w:themeFillTint="33"/>
      </w:pPr>
      <w:r w:rsidRPr="006A74F8">
        <w:t>details o</w:t>
      </w:r>
      <w:r w:rsidR="00383F22" w:rsidRPr="006A74F8">
        <w:t>f</w:t>
      </w:r>
      <w:r w:rsidRPr="006A74F8">
        <w:t xml:space="preserve"> proposed changes to appointment and reporting arrangements</w:t>
      </w:r>
    </w:p>
    <w:p w:rsidR="009155CA" w:rsidRPr="006A74F8" w:rsidRDefault="00EE32EA">
      <w:pPr>
        <w:pStyle w:val="ListParagraph"/>
        <w:numPr>
          <w:ilvl w:val="0"/>
          <w:numId w:val="112"/>
        </w:numPr>
        <w:shd w:val="clear" w:color="auto" w:fill="DFF3F3" w:themeFill="accent4" w:themeFillTint="33"/>
      </w:pPr>
      <w:r w:rsidRPr="006A74F8">
        <w:t>potential changes to regulatory burden on ATPs based on changing requirements.</w:t>
      </w:r>
      <w:r w:rsidR="009155CA" w:rsidRPr="006A74F8">
        <w:t xml:space="preserve"> </w:t>
      </w:r>
    </w:p>
    <w:p w:rsidR="0014118C" w:rsidRPr="006A74F8" w:rsidRDefault="0014118C" w:rsidP="00C1097C">
      <w:pPr>
        <w:spacing w:before="240"/>
      </w:pPr>
      <w:r w:rsidRPr="006A74F8">
        <w:t xml:space="preserve">Broadly, the changes relate to the application, renewal and reporting requirements that ATPs need to meet under the measurement legislation.  </w:t>
      </w:r>
    </w:p>
    <w:p w:rsidR="00EE32EA" w:rsidRPr="006A74F8" w:rsidRDefault="00EC2E3C" w:rsidP="009834C7">
      <w:pPr>
        <w:pStyle w:val="Heading3"/>
        <w:tabs>
          <w:tab w:val="left" w:pos="993"/>
        </w:tabs>
      </w:pPr>
      <w:r w:rsidRPr="006A74F8">
        <w:t>N</w:t>
      </w:r>
      <w:r w:rsidR="00EE32EA" w:rsidRPr="006A74F8">
        <w:t xml:space="preserve">umber of ATPs </w:t>
      </w:r>
    </w:p>
    <w:p w:rsidR="00107BA3" w:rsidRPr="006A74F8" w:rsidRDefault="007950DE" w:rsidP="00107BA3">
      <w:pPr>
        <w:rPr>
          <w:b/>
        </w:rPr>
      </w:pPr>
      <w:r w:rsidRPr="006A74F8">
        <w:t>ATPs</w:t>
      </w:r>
      <w:r w:rsidRPr="006A74F8" w:rsidDel="0014118C">
        <w:t xml:space="preserve"> </w:t>
      </w:r>
      <w:r w:rsidR="0014118C" w:rsidRPr="006A74F8">
        <w:t xml:space="preserve">provide measurement services under the </w:t>
      </w:r>
      <w:r w:rsidR="004E530F" w:rsidRPr="006A74F8">
        <w:t>measurement legislation</w:t>
      </w:r>
      <w:r w:rsidR="0014118C" w:rsidRPr="006A74F8">
        <w:t xml:space="preserve"> and are authorised under </w:t>
      </w:r>
      <w:r w:rsidRPr="006A74F8">
        <w:t>the following</w:t>
      </w:r>
      <w:r w:rsidR="0014118C" w:rsidRPr="006A74F8">
        <w:t xml:space="preserve"> categories</w:t>
      </w:r>
      <w:r w:rsidR="008B4CE2" w:rsidRPr="006A74F8">
        <w:t>:</w:t>
      </w:r>
      <w:r w:rsidR="00107BA3" w:rsidRPr="006A74F8">
        <w:rPr>
          <w:b/>
        </w:rPr>
        <w:t xml:space="preserve"> </w:t>
      </w:r>
    </w:p>
    <w:p w:rsidR="00107BA3" w:rsidRPr="006A74F8" w:rsidRDefault="00107BA3" w:rsidP="0096707A">
      <w:pPr>
        <w:pStyle w:val="ListParagraph"/>
        <w:numPr>
          <w:ilvl w:val="0"/>
          <w:numId w:val="134"/>
        </w:numPr>
      </w:pPr>
      <w:r w:rsidRPr="006A74F8">
        <w:t xml:space="preserve">Licensees </w:t>
      </w:r>
    </w:p>
    <w:p w:rsidR="00107BA3" w:rsidRPr="006A74F8" w:rsidRDefault="00107BA3" w:rsidP="001D02ED">
      <w:pPr>
        <w:pStyle w:val="ListParagraph"/>
        <w:numPr>
          <w:ilvl w:val="1"/>
          <w:numId w:val="134"/>
        </w:numPr>
        <w:rPr>
          <w:b/>
        </w:rPr>
      </w:pPr>
      <w:r w:rsidRPr="006A74F8">
        <w:t>Servicing Licensees (SL)</w:t>
      </w:r>
    </w:p>
    <w:p w:rsidR="00107BA3" w:rsidRPr="006A74F8" w:rsidRDefault="00107BA3" w:rsidP="006F3059">
      <w:pPr>
        <w:pStyle w:val="ListParagraph"/>
        <w:numPr>
          <w:ilvl w:val="1"/>
          <w:numId w:val="134"/>
        </w:numPr>
      </w:pPr>
      <w:r w:rsidRPr="006A74F8">
        <w:t>Public Weighbridge Licensees (PWB</w:t>
      </w:r>
      <w:r w:rsidR="00036AC1" w:rsidRPr="006A74F8">
        <w:t>L</w:t>
      </w:r>
      <w:r w:rsidRPr="006A74F8">
        <w:t>)</w:t>
      </w:r>
    </w:p>
    <w:p w:rsidR="00107BA3" w:rsidRPr="006A74F8" w:rsidRDefault="00107BA3">
      <w:pPr>
        <w:pStyle w:val="ListParagraph"/>
        <w:numPr>
          <w:ilvl w:val="0"/>
          <w:numId w:val="134"/>
        </w:numPr>
      </w:pPr>
      <w:r w:rsidRPr="006A74F8" w:rsidDel="0014118C">
        <w:t>Authorities</w:t>
      </w:r>
    </w:p>
    <w:p w:rsidR="00107BA3" w:rsidRPr="006A74F8" w:rsidRDefault="00107BA3">
      <w:pPr>
        <w:pStyle w:val="ListParagraph"/>
        <w:numPr>
          <w:ilvl w:val="1"/>
          <w:numId w:val="134"/>
        </w:numPr>
      </w:pPr>
      <w:r w:rsidRPr="006A74F8">
        <w:t>Certifying Authorities (CA)</w:t>
      </w:r>
    </w:p>
    <w:p w:rsidR="00107BA3" w:rsidRPr="006A74F8" w:rsidRDefault="00107BA3">
      <w:pPr>
        <w:pStyle w:val="ListParagraph"/>
        <w:numPr>
          <w:ilvl w:val="1"/>
          <w:numId w:val="134"/>
        </w:numPr>
      </w:pPr>
      <w:r w:rsidRPr="006A74F8">
        <w:t>Verifying Authorities (VA)</w:t>
      </w:r>
    </w:p>
    <w:p w:rsidR="00107BA3" w:rsidRPr="006A74F8" w:rsidRDefault="00107BA3">
      <w:pPr>
        <w:pStyle w:val="ListParagraph"/>
        <w:numPr>
          <w:ilvl w:val="1"/>
          <w:numId w:val="134"/>
        </w:numPr>
      </w:pPr>
      <w:r w:rsidRPr="006A74F8">
        <w:t xml:space="preserve">Approving Authorities (AA) </w:t>
      </w:r>
    </w:p>
    <w:p w:rsidR="00107BA3" w:rsidRPr="006A74F8" w:rsidRDefault="00107BA3">
      <w:pPr>
        <w:pStyle w:val="ListParagraph"/>
        <w:numPr>
          <w:ilvl w:val="0"/>
          <w:numId w:val="134"/>
        </w:numPr>
      </w:pPr>
      <w:r w:rsidRPr="006A74F8">
        <w:t>Appointments</w:t>
      </w:r>
    </w:p>
    <w:p w:rsidR="00107BA3" w:rsidRPr="006A74F8" w:rsidRDefault="00107BA3">
      <w:pPr>
        <w:pStyle w:val="ListParagraph"/>
        <w:numPr>
          <w:ilvl w:val="1"/>
          <w:numId w:val="134"/>
        </w:numPr>
      </w:pPr>
      <w:r w:rsidRPr="006A74F8">
        <w:t>Utility Meter Verifiers (UMV)</w:t>
      </w:r>
    </w:p>
    <w:p w:rsidR="00B63FCB" w:rsidRPr="006A74F8" w:rsidRDefault="001D02ED" w:rsidP="00EE147C">
      <w:pPr>
        <w:spacing w:before="240"/>
      </w:pPr>
      <w:r w:rsidRPr="006A74F8">
        <w:t>As of March 2021, t</w:t>
      </w:r>
      <w:r w:rsidR="00227F88" w:rsidRPr="006A74F8">
        <w:t xml:space="preserve">here </w:t>
      </w:r>
      <w:r w:rsidRPr="006A74F8">
        <w:t>were</w:t>
      </w:r>
      <w:r w:rsidR="00227F88" w:rsidRPr="006A74F8">
        <w:t xml:space="preserve"> 617 ATP</w:t>
      </w:r>
      <w:r w:rsidR="00754CBA" w:rsidRPr="006A74F8">
        <w:t>s</w:t>
      </w:r>
      <w:r w:rsidR="00227F88" w:rsidRPr="006A74F8">
        <w:t xml:space="preserve"> implementing the measurement framework in Australia. Below is the breakdown of licen</w:t>
      </w:r>
      <w:r w:rsidR="00F15850" w:rsidRPr="006A74F8">
        <w:t>s</w:t>
      </w:r>
      <w:r w:rsidR="00227F88" w:rsidRPr="006A74F8">
        <w:t>e</w:t>
      </w:r>
      <w:r w:rsidR="00107BA3" w:rsidRPr="006A74F8">
        <w:t>e</w:t>
      </w:r>
      <w:r w:rsidR="00227F88" w:rsidRPr="006A74F8">
        <w:t>s</w:t>
      </w:r>
      <w:r w:rsidR="00C62A46" w:rsidRPr="006A74F8">
        <w:t>, authorities</w:t>
      </w:r>
      <w:r w:rsidR="00227F88" w:rsidRPr="006A74F8">
        <w:t xml:space="preserve"> and appointments.  </w:t>
      </w:r>
    </w:p>
    <w:p w:rsidR="00D14B95" w:rsidRPr="006A74F8" w:rsidRDefault="00D14B95" w:rsidP="00D14B95">
      <w:pPr>
        <w:pStyle w:val="Caption"/>
        <w:keepNext/>
      </w:pPr>
      <w:r w:rsidRPr="006A74F8">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1</w:t>
      </w:r>
      <w:r w:rsidR="00D003A8" w:rsidRPr="006A74F8">
        <w:rPr>
          <w:noProof/>
        </w:rPr>
        <w:fldChar w:fldCharType="end"/>
      </w:r>
      <w:r w:rsidRPr="006A74F8">
        <w:t>: Breakdown of Authorised Third Parties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3- 1: Breakdown of Authorised Third Parties"/>
        <w:tblDescription w:val="Table describes the type and number of ATPs"/>
      </w:tblPr>
      <w:tblGrid>
        <w:gridCol w:w="1468"/>
        <w:gridCol w:w="2989"/>
      </w:tblGrid>
      <w:tr w:rsidR="0014118C" w:rsidRPr="006A74F8" w:rsidTr="00107BA3">
        <w:trPr>
          <w:trHeight w:val="112"/>
        </w:trPr>
        <w:tc>
          <w:tcPr>
            <w:tcW w:w="1468" w:type="dxa"/>
            <w:shd w:val="clear" w:color="auto" w:fill="1F3864"/>
          </w:tcPr>
          <w:p w:rsidR="0014118C" w:rsidRPr="006A74F8" w:rsidRDefault="0014118C" w:rsidP="004133DF">
            <w:pPr>
              <w:spacing w:after="0"/>
              <w:rPr>
                <w:b/>
              </w:rPr>
            </w:pPr>
            <w:r w:rsidRPr="006A74F8">
              <w:rPr>
                <w:b/>
              </w:rPr>
              <w:t>ATPs</w:t>
            </w:r>
          </w:p>
        </w:tc>
        <w:tc>
          <w:tcPr>
            <w:tcW w:w="2989" w:type="dxa"/>
            <w:shd w:val="clear" w:color="auto" w:fill="1F3864"/>
          </w:tcPr>
          <w:p w:rsidR="0014118C" w:rsidRPr="006A74F8" w:rsidRDefault="0014118C" w:rsidP="004133DF">
            <w:pPr>
              <w:spacing w:after="0"/>
              <w:rPr>
                <w:b/>
              </w:rPr>
            </w:pPr>
            <w:r w:rsidRPr="006A74F8">
              <w:rPr>
                <w:b/>
              </w:rPr>
              <w:t>Current number of entities</w:t>
            </w:r>
          </w:p>
        </w:tc>
      </w:tr>
      <w:tr w:rsidR="0014118C" w:rsidRPr="006A74F8" w:rsidTr="004E530F">
        <w:trPr>
          <w:trHeight w:val="112"/>
        </w:trPr>
        <w:tc>
          <w:tcPr>
            <w:tcW w:w="1468" w:type="dxa"/>
          </w:tcPr>
          <w:p w:rsidR="0014118C" w:rsidRPr="006A74F8" w:rsidRDefault="0014118C" w:rsidP="004133DF">
            <w:pPr>
              <w:spacing w:after="0"/>
            </w:pPr>
            <w:r w:rsidRPr="006A74F8">
              <w:t>SL</w:t>
            </w:r>
          </w:p>
        </w:tc>
        <w:tc>
          <w:tcPr>
            <w:tcW w:w="2989" w:type="dxa"/>
          </w:tcPr>
          <w:p w:rsidR="0014118C" w:rsidRPr="006A74F8" w:rsidRDefault="0014118C" w:rsidP="00C73917">
            <w:pPr>
              <w:spacing w:after="0"/>
              <w:jc w:val="center"/>
            </w:pPr>
            <w:r w:rsidRPr="006A74F8">
              <w:t>334</w:t>
            </w:r>
          </w:p>
        </w:tc>
      </w:tr>
      <w:tr w:rsidR="0014118C" w:rsidRPr="006A74F8" w:rsidTr="004E530F">
        <w:trPr>
          <w:trHeight w:val="112"/>
        </w:trPr>
        <w:tc>
          <w:tcPr>
            <w:tcW w:w="1468" w:type="dxa"/>
          </w:tcPr>
          <w:p w:rsidR="0014118C" w:rsidRPr="006A74F8" w:rsidRDefault="0014118C" w:rsidP="004133DF">
            <w:pPr>
              <w:spacing w:after="0"/>
            </w:pPr>
            <w:r w:rsidRPr="006A74F8">
              <w:t>PWB</w:t>
            </w:r>
            <w:r w:rsidR="00036AC1" w:rsidRPr="006A74F8">
              <w:t>L</w:t>
            </w:r>
          </w:p>
        </w:tc>
        <w:tc>
          <w:tcPr>
            <w:tcW w:w="2989" w:type="dxa"/>
          </w:tcPr>
          <w:p w:rsidR="0014118C" w:rsidRPr="006A74F8" w:rsidRDefault="0014118C" w:rsidP="00C73917">
            <w:pPr>
              <w:spacing w:after="0"/>
              <w:jc w:val="center"/>
            </w:pPr>
            <w:r w:rsidRPr="006A74F8">
              <w:t>228</w:t>
            </w:r>
          </w:p>
        </w:tc>
      </w:tr>
      <w:tr w:rsidR="0014118C" w:rsidRPr="006A74F8" w:rsidTr="004E530F">
        <w:trPr>
          <w:trHeight w:val="112"/>
        </w:trPr>
        <w:tc>
          <w:tcPr>
            <w:tcW w:w="1468" w:type="dxa"/>
          </w:tcPr>
          <w:p w:rsidR="0014118C" w:rsidRPr="006A74F8" w:rsidRDefault="0014118C" w:rsidP="004133DF">
            <w:pPr>
              <w:spacing w:after="0"/>
            </w:pPr>
            <w:r w:rsidRPr="006A74F8">
              <w:t>UMV</w:t>
            </w:r>
          </w:p>
        </w:tc>
        <w:tc>
          <w:tcPr>
            <w:tcW w:w="2989" w:type="dxa"/>
          </w:tcPr>
          <w:p w:rsidR="0014118C" w:rsidRPr="006A74F8" w:rsidRDefault="0014118C" w:rsidP="00C73917">
            <w:pPr>
              <w:spacing w:after="0"/>
              <w:jc w:val="center"/>
            </w:pPr>
            <w:r w:rsidRPr="006A74F8">
              <w:t>14</w:t>
            </w:r>
          </w:p>
        </w:tc>
      </w:tr>
      <w:tr w:rsidR="0014118C" w:rsidRPr="006A74F8" w:rsidTr="004E530F">
        <w:trPr>
          <w:trHeight w:val="112"/>
        </w:trPr>
        <w:tc>
          <w:tcPr>
            <w:tcW w:w="1468" w:type="dxa"/>
          </w:tcPr>
          <w:p w:rsidR="0014118C" w:rsidRPr="006A74F8" w:rsidRDefault="0014118C" w:rsidP="004133DF">
            <w:pPr>
              <w:spacing w:after="0"/>
            </w:pPr>
            <w:r w:rsidRPr="006A74F8">
              <w:t>CA</w:t>
            </w:r>
          </w:p>
        </w:tc>
        <w:tc>
          <w:tcPr>
            <w:tcW w:w="2989" w:type="dxa"/>
          </w:tcPr>
          <w:p w:rsidR="0014118C" w:rsidRPr="006A74F8" w:rsidRDefault="0014118C" w:rsidP="00C73917">
            <w:pPr>
              <w:spacing w:after="0"/>
              <w:jc w:val="center"/>
            </w:pPr>
            <w:r w:rsidRPr="006A74F8">
              <w:t>13</w:t>
            </w:r>
          </w:p>
        </w:tc>
      </w:tr>
      <w:tr w:rsidR="0014118C" w:rsidRPr="006A74F8" w:rsidTr="004E530F">
        <w:trPr>
          <w:trHeight w:val="112"/>
        </w:trPr>
        <w:tc>
          <w:tcPr>
            <w:tcW w:w="1468" w:type="dxa"/>
          </w:tcPr>
          <w:p w:rsidR="0014118C" w:rsidRPr="006A74F8" w:rsidRDefault="0014118C" w:rsidP="004133DF">
            <w:pPr>
              <w:spacing w:after="0"/>
            </w:pPr>
            <w:r w:rsidRPr="006A74F8">
              <w:t>VA</w:t>
            </w:r>
          </w:p>
        </w:tc>
        <w:tc>
          <w:tcPr>
            <w:tcW w:w="2989" w:type="dxa"/>
          </w:tcPr>
          <w:p w:rsidR="0014118C" w:rsidRPr="006A74F8" w:rsidRDefault="0014118C" w:rsidP="00C73917">
            <w:pPr>
              <w:spacing w:after="0"/>
              <w:jc w:val="center"/>
            </w:pPr>
            <w:r w:rsidRPr="006A74F8">
              <w:t>25</w:t>
            </w:r>
          </w:p>
        </w:tc>
      </w:tr>
      <w:tr w:rsidR="0014118C" w:rsidRPr="006A74F8" w:rsidTr="004E530F">
        <w:trPr>
          <w:trHeight w:val="108"/>
        </w:trPr>
        <w:tc>
          <w:tcPr>
            <w:tcW w:w="1468" w:type="dxa"/>
          </w:tcPr>
          <w:p w:rsidR="0014118C" w:rsidRPr="006A74F8" w:rsidRDefault="0014118C" w:rsidP="004133DF">
            <w:pPr>
              <w:spacing w:after="0"/>
            </w:pPr>
            <w:r w:rsidRPr="006A74F8">
              <w:t>AA</w:t>
            </w:r>
          </w:p>
        </w:tc>
        <w:tc>
          <w:tcPr>
            <w:tcW w:w="2989" w:type="dxa"/>
          </w:tcPr>
          <w:p w:rsidR="0014118C" w:rsidRPr="006A74F8" w:rsidRDefault="0014118C" w:rsidP="00C73917">
            <w:pPr>
              <w:spacing w:after="0"/>
              <w:jc w:val="center"/>
            </w:pPr>
            <w:r w:rsidRPr="006A74F8">
              <w:t>3</w:t>
            </w:r>
          </w:p>
        </w:tc>
      </w:tr>
      <w:tr w:rsidR="0014118C" w:rsidRPr="006A74F8" w:rsidTr="004E530F">
        <w:trPr>
          <w:trHeight w:val="108"/>
        </w:trPr>
        <w:tc>
          <w:tcPr>
            <w:tcW w:w="1468" w:type="dxa"/>
          </w:tcPr>
          <w:p w:rsidR="0014118C" w:rsidRPr="006A74F8" w:rsidRDefault="0014118C" w:rsidP="004133DF">
            <w:pPr>
              <w:spacing w:after="0"/>
              <w:rPr>
                <w:b/>
              </w:rPr>
            </w:pPr>
            <w:r w:rsidRPr="006A74F8">
              <w:rPr>
                <w:b/>
              </w:rPr>
              <w:t>Total</w:t>
            </w:r>
          </w:p>
        </w:tc>
        <w:tc>
          <w:tcPr>
            <w:tcW w:w="2989" w:type="dxa"/>
          </w:tcPr>
          <w:p w:rsidR="0014118C" w:rsidRPr="006A74F8" w:rsidRDefault="0014118C" w:rsidP="00C73917">
            <w:pPr>
              <w:spacing w:after="0"/>
              <w:jc w:val="center"/>
              <w:rPr>
                <w:b/>
              </w:rPr>
            </w:pPr>
            <w:r w:rsidRPr="006A74F8">
              <w:rPr>
                <w:b/>
              </w:rPr>
              <w:t>617</w:t>
            </w:r>
          </w:p>
        </w:tc>
      </w:tr>
    </w:tbl>
    <w:p w:rsidR="000D427A" w:rsidRPr="006A74F8" w:rsidRDefault="00B1255E" w:rsidP="000D427A">
      <w:pPr>
        <w:pStyle w:val="Heading2"/>
      </w:pPr>
      <w:bookmarkStart w:id="3031" w:name="_Toc67390634"/>
      <w:r w:rsidRPr="006A74F8">
        <w:lastRenderedPageBreak/>
        <w:t xml:space="preserve"> </w:t>
      </w:r>
      <w:r w:rsidR="000D427A" w:rsidRPr="006A74F8">
        <w:t xml:space="preserve">Estimated </w:t>
      </w:r>
      <w:r w:rsidR="00E67D08" w:rsidRPr="006A74F8">
        <w:t>s</w:t>
      </w:r>
      <w:r w:rsidR="000D427A" w:rsidRPr="006A74F8">
        <w:t xml:space="preserve">tatus </w:t>
      </w:r>
      <w:r w:rsidR="00E67D08" w:rsidRPr="006A74F8">
        <w:t>q</w:t>
      </w:r>
      <w:r w:rsidR="000D427A" w:rsidRPr="006A74F8">
        <w:t xml:space="preserve">uo </w:t>
      </w:r>
      <w:r w:rsidR="00E67D08" w:rsidRPr="006A74F8">
        <w:t>r</w:t>
      </w:r>
      <w:r w:rsidR="000D427A" w:rsidRPr="006A74F8">
        <w:t xml:space="preserve">egulatory </w:t>
      </w:r>
      <w:r w:rsidR="00E67D08" w:rsidRPr="006A74F8">
        <w:t>b</w:t>
      </w:r>
      <w:r w:rsidR="000D427A" w:rsidRPr="006A74F8">
        <w:t xml:space="preserve">urden </w:t>
      </w:r>
      <w:r w:rsidR="00E67D08" w:rsidRPr="006A74F8">
        <w:t>c</w:t>
      </w:r>
      <w:r w:rsidR="000D427A" w:rsidRPr="006A74F8">
        <w:t>ost</w:t>
      </w:r>
    </w:p>
    <w:p w:rsidR="000D427A" w:rsidRPr="006A74F8" w:rsidRDefault="000D427A" w:rsidP="000D427A">
      <w:r w:rsidRPr="006A74F8">
        <w:t>This estimate is limited to application, renewal and reporting costs across all ATPs. Costs associated with other requirements of appointment</w:t>
      </w:r>
      <w:r w:rsidR="00383F22" w:rsidRPr="006A74F8">
        <w:t>s</w:t>
      </w:r>
      <w:r w:rsidRPr="006A74F8">
        <w:t xml:space="preserve"> are not included here.</w:t>
      </w:r>
    </w:p>
    <w:p w:rsidR="00D14B95" w:rsidRPr="006A74F8" w:rsidRDefault="00D14B95" w:rsidP="00D14B95">
      <w:pPr>
        <w:pStyle w:val="Caption"/>
        <w:keepNext/>
      </w:pPr>
      <w:r w:rsidRPr="006A74F8">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2</w:t>
      </w:r>
      <w:r w:rsidR="00D003A8" w:rsidRPr="006A74F8">
        <w:rPr>
          <w:noProof/>
        </w:rPr>
        <w:fldChar w:fldCharType="end"/>
      </w:r>
      <w:r w:rsidRPr="006A74F8">
        <w:t>: Estimated regulatory burden cost of the status quo</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3- 2: Estimated regulatory burden cost of the status quo"/>
        <w:tblDescription w:val="Describes the regulatory burden cost under the status quo for ATPs"/>
      </w:tblPr>
      <w:tblGrid>
        <w:gridCol w:w="1555"/>
        <w:gridCol w:w="2512"/>
        <w:gridCol w:w="2693"/>
        <w:gridCol w:w="2756"/>
      </w:tblGrid>
      <w:tr w:rsidR="00BE44CD" w:rsidRPr="006A74F8" w:rsidTr="00BE44CD">
        <w:trPr>
          <w:trHeight w:val="162"/>
        </w:trPr>
        <w:tc>
          <w:tcPr>
            <w:tcW w:w="1555" w:type="dxa"/>
            <w:shd w:val="clear" w:color="auto" w:fill="1F3864"/>
            <w:noWrap/>
            <w:vAlign w:val="center"/>
            <w:hideMark/>
          </w:tcPr>
          <w:p w:rsidR="00BE44CD" w:rsidRPr="006A74F8" w:rsidRDefault="00BE44CD" w:rsidP="00BE44CD">
            <w:pPr>
              <w:keepNext/>
              <w:jc w:val="center"/>
              <w:rPr>
                <w:rFonts w:ascii="Calibri" w:eastAsia="Times New Roman" w:hAnsi="Calibri" w:cs="Calibri"/>
                <w:b/>
                <w:bCs/>
                <w:lang w:eastAsia="en-AU"/>
              </w:rPr>
            </w:pPr>
            <w:r w:rsidRPr="006A74F8">
              <w:rPr>
                <w:rFonts w:ascii="Calibri" w:eastAsia="Times New Roman" w:hAnsi="Calibri" w:cs="Calibri"/>
                <w:b/>
                <w:bCs/>
                <w:lang w:eastAsia="en-AU"/>
              </w:rPr>
              <w:t>ATP</w:t>
            </w:r>
          </w:p>
        </w:tc>
        <w:tc>
          <w:tcPr>
            <w:tcW w:w="2512" w:type="dxa"/>
            <w:shd w:val="clear" w:color="auto" w:fill="1F3864"/>
            <w:vAlign w:val="center"/>
          </w:tcPr>
          <w:p w:rsidR="00BE44CD" w:rsidRPr="006A74F8" w:rsidRDefault="00BE44CD" w:rsidP="00BE44CD">
            <w:pPr>
              <w:keepNext/>
              <w:spacing w:after="0" w:line="240" w:lineRule="auto"/>
              <w:jc w:val="center"/>
              <w:rPr>
                <w:rFonts w:ascii="Calibri" w:eastAsia="Times New Roman" w:hAnsi="Calibri" w:cs="Calibri"/>
                <w:b/>
                <w:bCs/>
                <w:lang w:eastAsia="en-AU"/>
              </w:rPr>
            </w:pPr>
            <w:r w:rsidRPr="006A74F8">
              <w:rPr>
                <w:rFonts w:ascii="Calibri" w:eastAsia="Times New Roman" w:hAnsi="Calibri" w:cs="Calibri"/>
                <w:b/>
                <w:bCs/>
                <w:lang w:eastAsia="en-AU"/>
              </w:rPr>
              <w:t>Cost of Application (includes cost of competency) and Renewal</w:t>
            </w:r>
          </w:p>
        </w:tc>
        <w:tc>
          <w:tcPr>
            <w:tcW w:w="2693" w:type="dxa"/>
            <w:shd w:val="clear" w:color="auto" w:fill="1F3864"/>
            <w:noWrap/>
            <w:vAlign w:val="center"/>
            <w:hideMark/>
          </w:tcPr>
          <w:p w:rsidR="00BE44CD" w:rsidRPr="006A74F8" w:rsidRDefault="00BE44CD" w:rsidP="00BE44CD">
            <w:pPr>
              <w:keepNext/>
              <w:spacing w:after="0" w:line="240" w:lineRule="auto"/>
              <w:jc w:val="center"/>
              <w:rPr>
                <w:rFonts w:ascii="Calibri" w:eastAsia="Times New Roman" w:hAnsi="Calibri" w:cs="Calibri"/>
                <w:b/>
                <w:bCs/>
                <w:lang w:eastAsia="en-AU"/>
              </w:rPr>
            </w:pPr>
            <w:r w:rsidRPr="006A74F8">
              <w:rPr>
                <w:rFonts w:ascii="Calibri" w:eastAsia="Times New Roman" w:hAnsi="Calibri" w:cs="Calibri"/>
                <w:b/>
                <w:bCs/>
                <w:lang w:eastAsia="en-AU"/>
              </w:rPr>
              <w:t>Cost of Reporting and Informing</w:t>
            </w:r>
          </w:p>
        </w:tc>
        <w:tc>
          <w:tcPr>
            <w:tcW w:w="2756" w:type="dxa"/>
            <w:shd w:val="clear" w:color="auto" w:fill="1F3864"/>
            <w:noWrap/>
            <w:vAlign w:val="center"/>
            <w:hideMark/>
          </w:tcPr>
          <w:p w:rsidR="00BE44CD" w:rsidRPr="006A74F8" w:rsidRDefault="00BE44CD" w:rsidP="00BE44CD">
            <w:pPr>
              <w:keepNext/>
              <w:spacing w:after="0" w:line="240" w:lineRule="auto"/>
              <w:jc w:val="center"/>
              <w:rPr>
                <w:rFonts w:ascii="Calibri" w:eastAsia="Times New Roman" w:hAnsi="Calibri" w:cs="Calibri"/>
                <w:b/>
                <w:bCs/>
                <w:lang w:eastAsia="en-AU"/>
              </w:rPr>
            </w:pPr>
            <w:r w:rsidRPr="006A74F8">
              <w:rPr>
                <w:rFonts w:ascii="Calibri" w:eastAsia="Times New Roman" w:hAnsi="Calibri" w:cs="Calibri"/>
                <w:b/>
                <w:bCs/>
                <w:lang w:eastAsia="en-AU"/>
              </w:rPr>
              <w:t>Total Annual APT Costs (application, renewal cost, competence and reporting)</w:t>
            </w:r>
          </w:p>
        </w:tc>
      </w:tr>
      <w:tr w:rsidR="00A43D56" w:rsidRPr="006A74F8" w:rsidTr="00A43D56">
        <w:trPr>
          <w:trHeight w:val="162"/>
        </w:trPr>
        <w:tc>
          <w:tcPr>
            <w:tcW w:w="1555" w:type="dxa"/>
            <w:shd w:val="clear" w:color="auto" w:fill="auto"/>
            <w:noWrap/>
            <w:vAlign w:val="bottom"/>
            <w:hideMark/>
          </w:tcPr>
          <w:p w:rsidR="00A43D56" w:rsidRPr="006A74F8" w:rsidRDefault="00A43D56" w:rsidP="00A43D56">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SL</w:t>
            </w:r>
          </w:p>
        </w:tc>
        <w:tc>
          <w:tcPr>
            <w:tcW w:w="2512" w:type="dxa"/>
            <w:vAlign w:val="center"/>
          </w:tcPr>
          <w:p w:rsidR="00A43D56" w:rsidRPr="006A74F8" w:rsidRDefault="00A43D56" w:rsidP="00A43D56">
            <w:pPr>
              <w:spacing w:after="0" w:line="240" w:lineRule="auto"/>
              <w:jc w:val="center"/>
            </w:pPr>
            <w:r w:rsidRPr="006A74F8">
              <w:rPr>
                <w:rFonts w:ascii="Calibri" w:eastAsia="Times New Roman" w:hAnsi="Calibri" w:cs="Calibri"/>
                <w:color w:val="000000"/>
                <w:lang w:eastAsia="en-AU"/>
              </w:rPr>
              <w:t>$235,071</w:t>
            </w:r>
          </w:p>
        </w:tc>
        <w:tc>
          <w:tcPr>
            <w:tcW w:w="2693" w:type="dxa"/>
            <w:shd w:val="clear" w:color="auto" w:fill="auto"/>
            <w:noWrap/>
            <w:vAlign w:val="center"/>
            <w:hideMark/>
          </w:tcPr>
          <w:p w:rsidR="00A43D56" w:rsidRPr="006A74F8" w:rsidRDefault="00A43D56" w:rsidP="00A43D56">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$3,024,834</w:t>
            </w:r>
          </w:p>
        </w:tc>
        <w:tc>
          <w:tcPr>
            <w:tcW w:w="2756" w:type="dxa"/>
            <w:shd w:val="clear" w:color="auto" w:fill="auto"/>
            <w:noWrap/>
            <w:vAlign w:val="center"/>
          </w:tcPr>
          <w:p w:rsidR="00A43D56" w:rsidRPr="006A74F8" w:rsidRDefault="00A43D56" w:rsidP="00A43D56">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$3,259,905</w:t>
            </w:r>
          </w:p>
        </w:tc>
      </w:tr>
      <w:tr w:rsidR="00A43D56" w:rsidRPr="006A74F8" w:rsidTr="00A43D56">
        <w:trPr>
          <w:trHeight w:val="162"/>
        </w:trPr>
        <w:tc>
          <w:tcPr>
            <w:tcW w:w="1555" w:type="dxa"/>
            <w:shd w:val="clear" w:color="auto" w:fill="auto"/>
            <w:noWrap/>
            <w:vAlign w:val="bottom"/>
            <w:hideMark/>
          </w:tcPr>
          <w:p w:rsidR="00A43D56" w:rsidRPr="006A74F8" w:rsidRDefault="00A43D56" w:rsidP="00A43D56">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PWBL</w:t>
            </w:r>
          </w:p>
        </w:tc>
        <w:tc>
          <w:tcPr>
            <w:tcW w:w="2512" w:type="dxa"/>
            <w:vAlign w:val="center"/>
          </w:tcPr>
          <w:p w:rsidR="00A43D56" w:rsidRPr="006A74F8" w:rsidRDefault="00A43D56" w:rsidP="00A43D56">
            <w:pPr>
              <w:spacing w:after="0" w:line="240" w:lineRule="auto"/>
              <w:jc w:val="center"/>
            </w:pPr>
            <w:r w:rsidRPr="006A74F8">
              <w:rPr>
                <w:rFonts w:ascii="Calibri" w:eastAsia="Times New Roman" w:hAnsi="Calibri" w:cs="Calibri"/>
                <w:color w:val="000000"/>
                <w:lang w:eastAsia="en-AU"/>
              </w:rPr>
              <w:t>$84,230</w:t>
            </w:r>
          </w:p>
        </w:tc>
        <w:tc>
          <w:tcPr>
            <w:tcW w:w="2693" w:type="dxa"/>
            <w:shd w:val="clear" w:color="auto" w:fill="auto"/>
            <w:noWrap/>
            <w:vAlign w:val="center"/>
            <w:hideMark/>
          </w:tcPr>
          <w:p w:rsidR="00A43D56" w:rsidRPr="006A74F8" w:rsidRDefault="00A43D56" w:rsidP="00A43D56">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$16,678</w:t>
            </w:r>
          </w:p>
        </w:tc>
        <w:tc>
          <w:tcPr>
            <w:tcW w:w="2756" w:type="dxa"/>
            <w:shd w:val="clear" w:color="auto" w:fill="auto"/>
            <w:noWrap/>
            <w:vAlign w:val="center"/>
          </w:tcPr>
          <w:p w:rsidR="00A43D56" w:rsidRPr="006A74F8" w:rsidRDefault="00A43D56" w:rsidP="00A43D56">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$100,908</w:t>
            </w:r>
          </w:p>
        </w:tc>
      </w:tr>
      <w:tr w:rsidR="00A43D56" w:rsidRPr="006A74F8" w:rsidTr="00A43D56">
        <w:trPr>
          <w:trHeight w:val="162"/>
        </w:trPr>
        <w:tc>
          <w:tcPr>
            <w:tcW w:w="1555" w:type="dxa"/>
            <w:shd w:val="clear" w:color="auto" w:fill="auto"/>
            <w:noWrap/>
            <w:vAlign w:val="bottom"/>
            <w:hideMark/>
          </w:tcPr>
          <w:p w:rsidR="00A43D56" w:rsidRPr="006A74F8" w:rsidRDefault="00A43D56" w:rsidP="00A43D56">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UMV</w:t>
            </w:r>
          </w:p>
        </w:tc>
        <w:tc>
          <w:tcPr>
            <w:tcW w:w="2512" w:type="dxa"/>
            <w:vAlign w:val="center"/>
          </w:tcPr>
          <w:p w:rsidR="00A43D56" w:rsidRPr="006A74F8" w:rsidRDefault="00A43D56" w:rsidP="00A43D56">
            <w:pPr>
              <w:spacing w:after="0" w:line="240" w:lineRule="auto"/>
              <w:jc w:val="center"/>
            </w:pPr>
            <w:r w:rsidRPr="006A74F8">
              <w:rPr>
                <w:rFonts w:ascii="Calibri" w:eastAsia="Times New Roman" w:hAnsi="Calibri" w:cs="Calibri"/>
                <w:color w:val="000000"/>
                <w:lang w:eastAsia="en-AU"/>
              </w:rPr>
              <w:t>$75,896</w:t>
            </w:r>
          </w:p>
        </w:tc>
        <w:tc>
          <w:tcPr>
            <w:tcW w:w="2693" w:type="dxa"/>
            <w:shd w:val="clear" w:color="auto" w:fill="auto"/>
            <w:noWrap/>
            <w:vAlign w:val="center"/>
            <w:hideMark/>
          </w:tcPr>
          <w:p w:rsidR="00A43D56" w:rsidRPr="006A74F8" w:rsidRDefault="00A43D56" w:rsidP="00A43D56">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$4,887</w:t>
            </w:r>
          </w:p>
        </w:tc>
        <w:tc>
          <w:tcPr>
            <w:tcW w:w="2756" w:type="dxa"/>
            <w:shd w:val="clear" w:color="auto" w:fill="auto"/>
            <w:noWrap/>
            <w:vAlign w:val="center"/>
          </w:tcPr>
          <w:p w:rsidR="00A43D56" w:rsidRPr="006A74F8" w:rsidRDefault="00A43D56" w:rsidP="00A43D56">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$80,783</w:t>
            </w:r>
          </w:p>
        </w:tc>
      </w:tr>
      <w:tr w:rsidR="00A43D56" w:rsidRPr="006A74F8" w:rsidTr="00A43D56">
        <w:trPr>
          <w:trHeight w:val="162"/>
        </w:trPr>
        <w:tc>
          <w:tcPr>
            <w:tcW w:w="1555" w:type="dxa"/>
            <w:shd w:val="clear" w:color="auto" w:fill="auto"/>
            <w:noWrap/>
            <w:vAlign w:val="bottom"/>
            <w:hideMark/>
          </w:tcPr>
          <w:p w:rsidR="00A43D56" w:rsidRPr="006A74F8" w:rsidRDefault="00A43D56" w:rsidP="00A43D56">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LMA</w:t>
            </w:r>
          </w:p>
        </w:tc>
        <w:tc>
          <w:tcPr>
            <w:tcW w:w="2512" w:type="dxa"/>
            <w:vAlign w:val="center"/>
          </w:tcPr>
          <w:p w:rsidR="00A43D56" w:rsidRPr="006A74F8" w:rsidRDefault="00A43D56" w:rsidP="00A43D56">
            <w:pPr>
              <w:spacing w:after="0" w:line="240" w:lineRule="auto"/>
              <w:jc w:val="center"/>
            </w:pPr>
            <w:r w:rsidRPr="006A74F8">
              <w:rPr>
                <w:rFonts w:ascii="Calibri" w:eastAsia="Times New Roman" w:hAnsi="Calibri" w:cs="Calibri"/>
                <w:color w:val="000000"/>
                <w:lang w:eastAsia="en-AU"/>
              </w:rPr>
              <w:t>$118,480</w:t>
            </w:r>
          </w:p>
        </w:tc>
        <w:tc>
          <w:tcPr>
            <w:tcW w:w="2693" w:type="dxa"/>
            <w:shd w:val="clear" w:color="auto" w:fill="auto"/>
            <w:noWrap/>
            <w:vAlign w:val="center"/>
            <w:hideMark/>
          </w:tcPr>
          <w:p w:rsidR="00A43D56" w:rsidRPr="006A74F8" w:rsidRDefault="00A43D56" w:rsidP="00A43D56">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$4,499</w:t>
            </w:r>
          </w:p>
        </w:tc>
        <w:tc>
          <w:tcPr>
            <w:tcW w:w="2756" w:type="dxa"/>
            <w:shd w:val="clear" w:color="auto" w:fill="auto"/>
            <w:noWrap/>
            <w:vAlign w:val="center"/>
          </w:tcPr>
          <w:p w:rsidR="00A43D56" w:rsidRPr="006A74F8" w:rsidRDefault="00A43D56" w:rsidP="00A43D56">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$122,979</w:t>
            </w:r>
          </w:p>
        </w:tc>
      </w:tr>
      <w:tr w:rsidR="00A43D56" w:rsidRPr="006A74F8" w:rsidTr="00A43D56">
        <w:trPr>
          <w:trHeight w:val="162"/>
        </w:trPr>
        <w:tc>
          <w:tcPr>
            <w:tcW w:w="1555" w:type="dxa"/>
            <w:shd w:val="clear" w:color="auto" w:fill="auto"/>
            <w:noWrap/>
            <w:vAlign w:val="bottom"/>
            <w:hideMark/>
          </w:tcPr>
          <w:p w:rsidR="00A43D56" w:rsidRPr="006A74F8" w:rsidRDefault="00A43D56" w:rsidP="00A43D56">
            <w:pPr>
              <w:spacing w:after="0" w:line="240" w:lineRule="auto"/>
              <w:rPr>
                <w:rFonts w:ascii="Calibri" w:eastAsia="Times New Roman" w:hAnsi="Calibri" w:cs="Calibri"/>
                <w:b/>
                <w:bCs/>
                <w:color w:val="000000"/>
                <w:lang w:eastAsia="en-AU"/>
              </w:rPr>
            </w:pPr>
            <w:r w:rsidRPr="006A74F8">
              <w:rPr>
                <w:rFonts w:ascii="Calibri" w:eastAsia="Times New Roman" w:hAnsi="Calibri" w:cs="Calibri"/>
                <w:b/>
                <w:bCs/>
                <w:color w:val="000000"/>
                <w:lang w:eastAsia="en-AU"/>
              </w:rPr>
              <w:t>Total</w:t>
            </w:r>
            <w:r w:rsidRPr="006A74F8">
              <w:rPr>
                <w:rFonts w:ascii="Calibri" w:eastAsia="Times New Roman" w:hAnsi="Calibri" w:cs="Calibri"/>
                <w:b/>
                <w:color w:val="000000"/>
                <w:lang w:eastAsia="en-AU"/>
              </w:rPr>
              <w:t xml:space="preserve"> All ATPs</w:t>
            </w:r>
            <w:r w:rsidRPr="006A74F8">
              <w:rPr>
                <w:rStyle w:val="FootnoteReference"/>
                <w:rFonts w:eastAsia="Times New Roman" w:cs="Calibri"/>
                <w:b/>
                <w:color w:val="000000"/>
                <w:lang w:eastAsia="en-AU"/>
              </w:rPr>
              <w:footnoteReference w:id="199"/>
            </w:r>
          </w:p>
        </w:tc>
        <w:tc>
          <w:tcPr>
            <w:tcW w:w="2512" w:type="dxa"/>
            <w:vAlign w:val="center"/>
          </w:tcPr>
          <w:p w:rsidR="00A43D56" w:rsidRPr="006A74F8" w:rsidRDefault="00A43D56" w:rsidP="00A43D56">
            <w:pPr>
              <w:spacing w:after="0" w:line="240" w:lineRule="auto"/>
              <w:jc w:val="center"/>
              <w:rPr>
                <w:b/>
              </w:rPr>
            </w:pPr>
            <w:r w:rsidRPr="006A74F8">
              <w:rPr>
                <w:rFonts w:ascii="Calibri" w:eastAsia="Times New Roman" w:hAnsi="Calibri" w:cs="Calibri"/>
                <w:b/>
                <w:bCs/>
                <w:color w:val="000000"/>
                <w:lang w:eastAsia="en-AU"/>
              </w:rPr>
              <w:t>$513,677</w:t>
            </w:r>
          </w:p>
        </w:tc>
        <w:tc>
          <w:tcPr>
            <w:tcW w:w="2693" w:type="dxa"/>
            <w:shd w:val="clear" w:color="auto" w:fill="auto"/>
            <w:noWrap/>
            <w:vAlign w:val="center"/>
          </w:tcPr>
          <w:p w:rsidR="00A43D56" w:rsidRPr="006A74F8" w:rsidRDefault="00A43D56" w:rsidP="00A43D56">
            <w:pPr>
              <w:spacing w:after="0" w:line="240" w:lineRule="auto"/>
              <w:jc w:val="center"/>
              <w:rPr>
                <w:rFonts w:ascii="Calibri" w:eastAsia="Times New Roman" w:hAnsi="Calibri" w:cs="Calibri"/>
                <w:b/>
                <w:color w:val="000000"/>
                <w:lang w:eastAsia="en-AU"/>
              </w:rPr>
            </w:pPr>
            <w:r w:rsidRPr="006A74F8">
              <w:rPr>
                <w:rFonts w:ascii="Calibri" w:eastAsia="Times New Roman" w:hAnsi="Calibri" w:cs="Calibri"/>
                <w:b/>
                <w:bCs/>
                <w:color w:val="000000"/>
                <w:lang w:eastAsia="en-AU"/>
              </w:rPr>
              <w:t>$3,050,898</w:t>
            </w:r>
          </w:p>
        </w:tc>
        <w:tc>
          <w:tcPr>
            <w:tcW w:w="2756" w:type="dxa"/>
            <w:shd w:val="clear" w:color="auto" w:fill="auto"/>
            <w:noWrap/>
            <w:vAlign w:val="center"/>
            <w:hideMark/>
          </w:tcPr>
          <w:p w:rsidR="00A43D56" w:rsidRPr="006A74F8" w:rsidRDefault="00A43D56" w:rsidP="00A43D56">
            <w:pPr>
              <w:spacing w:after="0" w:line="240" w:lineRule="auto"/>
              <w:jc w:val="center"/>
              <w:rPr>
                <w:rFonts w:ascii="Calibri" w:eastAsia="Times New Roman" w:hAnsi="Calibri" w:cs="Calibri"/>
                <w:b/>
                <w:color w:val="000000"/>
                <w:lang w:eastAsia="en-AU"/>
              </w:rPr>
            </w:pPr>
            <w:r w:rsidRPr="006A74F8">
              <w:rPr>
                <w:rFonts w:ascii="Calibri" w:eastAsia="Times New Roman" w:hAnsi="Calibri" w:cs="Calibri"/>
                <w:b/>
                <w:bCs/>
                <w:color w:val="000000"/>
                <w:lang w:eastAsia="en-AU"/>
              </w:rPr>
              <w:t>$3,564,575</w:t>
            </w:r>
          </w:p>
        </w:tc>
      </w:tr>
    </w:tbl>
    <w:p w:rsidR="000D427A" w:rsidRPr="006A74F8" w:rsidRDefault="000D427A" w:rsidP="00D7410D">
      <w:pPr>
        <w:spacing w:before="160"/>
      </w:pPr>
      <w:r w:rsidRPr="006A74F8">
        <w:t>These calculations are based on an average number of ATPs that apply, renew and report each year and an estimated cost of applying, renewing and reporting each year (</w:t>
      </w:r>
      <w:r w:rsidR="00BF2863" w:rsidRPr="006A74F8">
        <w:t xml:space="preserve">provided in </w:t>
      </w:r>
      <w:r w:rsidRPr="006A74F8">
        <w:t>tables below). The costs of application include the cost of competency requirements.</w:t>
      </w:r>
    </w:p>
    <w:p w:rsidR="000D427A" w:rsidRPr="006A74F8" w:rsidRDefault="000D427A" w:rsidP="000D427A">
      <w:pPr>
        <w:spacing w:before="120"/>
      </w:pPr>
      <w:r w:rsidRPr="006A74F8">
        <w:t>The calculations do not include other activities that may apply to their role. For example, in the case of S</w:t>
      </w:r>
      <w:r w:rsidR="001D02ED" w:rsidRPr="006A74F8">
        <w:t xml:space="preserve">ervicing </w:t>
      </w:r>
      <w:r w:rsidRPr="006A74F8">
        <w:t>L</w:t>
      </w:r>
      <w:r w:rsidR="001D02ED" w:rsidRPr="006A74F8">
        <w:t>icensees</w:t>
      </w:r>
      <w:r w:rsidRPr="006A74F8">
        <w:t>, the cost of ongoing record keeping, maintaining appropriate standards or affixing verification marks have not been included.</w:t>
      </w:r>
    </w:p>
    <w:p w:rsidR="000D427A" w:rsidRPr="006A74F8" w:rsidRDefault="000D427A" w:rsidP="001E43AC">
      <w:pPr>
        <w:pStyle w:val="Heading3"/>
        <w:tabs>
          <w:tab w:val="left" w:pos="993"/>
        </w:tabs>
      </w:pPr>
      <w:r w:rsidRPr="006A74F8">
        <w:t xml:space="preserve">Methodology, </w:t>
      </w:r>
      <w:r w:rsidR="00E67D08" w:rsidRPr="006A74F8">
        <w:t>a</w:t>
      </w:r>
      <w:r w:rsidRPr="006A74F8">
        <w:t xml:space="preserve">ssumptions and </w:t>
      </w:r>
      <w:r w:rsidR="00E67D08" w:rsidRPr="006A74F8">
        <w:t>d</w:t>
      </w:r>
      <w:r w:rsidRPr="006A74F8">
        <w:t xml:space="preserve">ata </w:t>
      </w:r>
      <w:r w:rsidR="00E67D08" w:rsidRPr="006A74F8">
        <w:t>s</w:t>
      </w:r>
      <w:r w:rsidRPr="006A74F8">
        <w:t>ources</w:t>
      </w:r>
    </w:p>
    <w:p w:rsidR="00D14B95" w:rsidRPr="006A74F8" w:rsidRDefault="00D14B95" w:rsidP="00D14B95">
      <w:pPr>
        <w:pStyle w:val="Caption"/>
        <w:keepNext/>
      </w:pPr>
      <w:r w:rsidRPr="006A74F8">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3</w:t>
      </w:r>
      <w:r w:rsidR="00D003A8" w:rsidRPr="006A74F8">
        <w:rPr>
          <w:noProof/>
        </w:rPr>
        <w:fldChar w:fldCharType="end"/>
      </w:r>
      <w:r w:rsidRPr="006A74F8">
        <w:t>: Assumptions regarding the number of applications, renewals and reporting for ATPs</w:t>
      </w:r>
    </w:p>
    <w:tbl>
      <w:tblPr>
        <w:tblpPr w:leftFromText="180" w:rightFromText="180" w:vertAnchor="text" w:horzAnchor="margin" w:tblpY="13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3- 3: Assumptions regarding the number of applications, renewals and reporting for ATPs"/>
        <w:tblDescription w:val="Assumptions regarding the number of average yearly applications, average yearly renewals and number of ATPs reporting yearly"/>
      </w:tblPr>
      <w:tblGrid>
        <w:gridCol w:w="988"/>
        <w:gridCol w:w="2976"/>
        <w:gridCol w:w="2552"/>
        <w:gridCol w:w="2551"/>
      </w:tblGrid>
      <w:tr w:rsidR="006D3790" w:rsidRPr="006A74F8" w:rsidTr="008F5DB1">
        <w:trPr>
          <w:trHeight w:val="234"/>
        </w:trPr>
        <w:tc>
          <w:tcPr>
            <w:tcW w:w="988" w:type="dxa"/>
            <w:shd w:val="clear" w:color="auto" w:fill="1F3864"/>
            <w:noWrap/>
            <w:vAlign w:val="bottom"/>
            <w:hideMark/>
          </w:tcPr>
          <w:p w:rsidR="006D3790" w:rsidRPr="006A74F8" w:rsidRDefault="006D3790" w:rsidP="006D3790">
            <w:pPr>
              <w:spacing w:after="0" w:line="240" w:lineRule="auto"/>
              <w:rPr>
                <w:rFonts w:ascii="Calibri" w:eastAsia="Times New Roman" w:hAnsi="Calibri" w:cs="Calibri"/>
                <w:b/>
                <w:lang w:eastAsia="en-AU"/>
              </w:rPr>
            </w:pPr>
            <w:r w:rsidRPr="006A74F8">
              <w:rPr>
                <w:rFonts w:ascii="Calibri" w:eastAsia="Times New Roman" w:hAnsi="Calibri" w:cs="Calibri"/>
                <w:b/>
                <w:lang w:eastAsia="en-AU"/>
              </w:rPr>
              <w:t>ATP</w:t>
            </w:r>
          </w:p>
        </w:tc>
        <w:tc>
          <w:tcPr>
            <w:tcW w:w="2976" w:type="dxa"/>
            <w:shd w:val="clear" w:color="auto" w:fill="1F3864"/>
            <w:noWrap/>
            <w:vAlign w:val="bottom"/>
            <w:hideMark/>
          </w:tcPr>
          <w:p w:rsidR="006D3790" w:rsidRPr="006A74F8" w:rsidRDefault="006D3790" w:rsidP="006D3790">
            <w:pPr>
              <w:spacing w:after="0" w:line="240" w:lineRule="auto"/>
              <w:rPr>
                <w:rFonts w:ascii="Calibri" w:eastAsia="Times New Roman" w:hAnsi="Calibri" w:cs="Calibri"/>
                <w:b/>
                <w:lang w:eastAsia="en-AU"/>
              </w:rPr>
            </w:pPr>
            <w:r w:rsidRPr="006A74F8">
              <w:rPr>
                <w:rFonts w:ascii="Calibri" w:eastAsia="Times New Roman" w:hAnsi="Calibri" w:cs="Calibri"/>
                <w:b/>
                <w:lang w:eastAsia="en-AU"/>
              </w:rPr>
              <w:t>Average yearly applications</w:t>
            </w:r>
          </w:p>
        </w:tc>
        <w:tc>
          <w:tcPr>
            <w:tcW w:w="2552" w:type="dxa"/>
            <w:shd w:val="clear" w:color="auto" w:fill="1F3864"/>
            <w:noWrap/>
            <w:vAlign w:val="bottom"/>
            <w:hideMark/>
          </w:tcPr>
          <w:p w:rsidR="006D3790" w:rsidRPr="006A74F8" w:rsidRDefault="006D3790" w:rsidP="006D3790">
            <w:pPr>
              <w:spacing w:after="0" w:line="240" w:lineRule="auto"/>
              <w:rPr>
                <w:rFonts w:ascii="Calibri" w:eastAsia="Times New Roman" w:hAnsi="Calibri" w:cs="Calibri"/>
                <w:b/>
                <w:lang w:eastAsia="en-AU"/>
              </w:rPr>
            </w:pPr>
            <w:r w:rsidRPr="006A74F8">
              <w:rPr>
                <w:rFonts w:ascii="Calibri" w:eastAsia="Times New Roman" w:hAnsi="Calibri" w:cs="Calibri"/>
                <w:b/>
                <w:lang w:eastAsia="en-AU"/>
              </w:rPr>
              <w:t>Average yearly renewals</w:t>
            </w:r>
          </w:p>
        </w:tc>
        <w:tc>
          <w:tcPr>
            <w:tcW w:w="2551" w:type="dxa"/>
            <w:shd w:val="clear" w:color="auto" w:fill="1F3864"/>
            <w:noWrap/>
            <w:vAlign w:val="bottom"/>
            <w:hideMark/>
          </w:tcPr>
          <w:p w:rsidR="006D3790" w:rsidRPr="006A74F8" w:rsidRDefault="006D3790" w:rsidP="006D3790">
            <w:pPr>
              <w:spacing w:after="0" w:line="240" w:lineRule="auto"/>
              <w:rPr>
                <w:rFonts w:ascii="Calibri" w:eastAsia="Times New Roman" w:hAnsi="Calibri" w:cs="Calibri"/>
                <w:b/>
                <w:lang w:eastAsia="en-AU"/>
              </w:rPr>
            </w:pPr>
            <w:r w:rsidRPr="006A74F8">
              <w:rPr>
                <w:rFonts w:ascii="Calibri" w:eastAsia="Times New Roman" w:hAnsi="Calibri" w:cs="Calibri"/>
                <w:b/>
                <w:lang w:eastAsia="en-AU"/>
              </w:rPr>
              <w:t>ATPs reporting yearly</w:t>
            </w:r>
          </w:p>
        </w:tc>
      </w:tr>
      <w:tr w:rsidR="006D3790" w:rsidRPr="006A74F8" w:rsidTr="006D3790">
        <w:trPr>
          <w:trHeight w:val="234"/>
        </w:trPr>
        <w:tc>
          <w:tcPr>
            <w:tcW w:w="988" w:type="dxa"/>
            <w:shd w:val="clear" w:color="auto" w:fill="auto"/>
            <w:noWrap/>
            <w:vAlign w:val="bottom"/>
            <w:hideMark/>
          </w:tcPr>
          <w:p w:rsidR="006D3790" w:rsidRPr="006A74F8" w:rsidRDefault="006D3790" w:rsidP="006D3790">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SL</w:t>
            </w:r>
          </w:p>
        </w:tc>
        <w:tc>
          <w:tcPr>
            <w:tcW w:w="2976"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21</w:t>
            </w:r>
          </w:p>
        </w:tc>
        <w:tc>
          <w:tcPr>
            <w:tcW w:w="2552"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150</w:t>
            </w:r>
          </w:p>
        </w:tc>
        <w:tc>
          <w:tcPr>
            <w:tcW w:w="2551"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334</w:t>
            </w:r>
          </w:p>
        </w:tc>
      </w:tr>
      <w:tr w:rsidR="006D3790" w:rsidRPr="006A74F8" w:rsidTr="006D3790">
        <w:trPr>
          <w:trHeight w:val="234"/>
        </w:trPr>
        <w:tc>
          <w:tcPr>
            <w:tcW w:w="988" w:type="dxa"/>
            <w:shd w:val="clear" w:color="auto" w:fill="auto"/>
            <w:noWrap/>
            <w:vAlign w:val="bottom"/>
            <w:hideMark/>
          </w:tcPr>
          <w:p w:rsidR="006D3790" w:rsidRPr="006A74F8" w:rsidRDefault="006D3790" w:rsidP="006D3790">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PWB</w:t>
            </w:r>
            <w:r w:rsidR="00036AC1" w:rsidRPr="006A74F8">
              <w:rPr>
                <w:rFonts w:ascii="Calibri" w:eastAsia="Times New Roman" w:hAnsi="Calibri" w:cs="Calibri"/>
                <w:color w:val="000000"/>
                <w:lang w:eastAsia="en-AU"/>
              </w:rPr>
              <w:t>L</w:t>
            </w:r>
          </w:p>
        </w:tc>
        <w:tc>
          <w:tcPr>
            <w:tcW w:w="2976"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10</w:t>
            </w:r>
          </w:p>
        </w:tc>
        <w:tc>
          <w:tcPr>
            <w:tcW w:w="2552"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228</w:t>
            </w:r>
          </w:p>
        </w:tc>
        <w:tc>
          <w:tcPr>
            <w:tcW w:w="2551"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228</w:t>
            </w:r>
          </w:p>
        </w:tc>
      </w:tr>
      <w:tr w:rsidR="006D3790" w:rsidRPr="006A74F8" w:rsidTr="006D3790">
        <w:trPr>
          <w:trHeight w:val="234"/>
        </w:trPr>
        <w:tc>
          <w:tcPr>
            <w:tcW w:w="988" w:type="dxa"/>
            <w:shd w:val="clear" w:color="auto" w:fill="auto"/>
            <w:noWrap/>
            <w:vAlign w:val="bottom"/>
            <w:hideMark/>
          </w:tcPr>
          <w:p w:rsidR="006D3790" w:rsidRPr="006A74F8" w:rsidRDefault="006D3790" w:rsidP="006D3790">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UMV</w:t>
            </w:r>
          </w:p>
        </w:tc>
        <w:tc>
          <w:tcPr>
            <w:tcW w:w="2976"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1</w:t>
            </w:r>
          </w:p>
        </w:tc>
        <w:tc>
          <w:tcPr>
            <w:tcW w:w="2552"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14</w:t>
            </w:r>
          </w:p>
        </w:tc>
        <w:tc>
          <w:tcPr>
            <w:tcW w:w="2551"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14</w:t>
            </w:r>
          </w:p>
        </w:tc>
      </w:tr>
      <w:tr w:rsidR="006D3790" w:rsidRPr="006A74F8" w:rsidTr="006D3790">
        <w:trPr>
          <w:trHeight w:val="234"/>
        </w:trPr>
        <w:tc>
          <w:tcPr>
            <w:tcW w:w="988" w:type="dxa"/>
            <w:shd w:val="clear" w:color="auto" w:fill="auto"/>
            <w:noWrap/>
            <w:vAlign w:val="bottom"/>
            <w:hideMark/>
          </w:tcPr>
          <w:p w:rsidR="006D3790" w:rsidRPr="006A74F8" w:rsidRDefault="006D3790" w:rsidP="006D3790">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LMA</w:t>
            </w:r>
          </w:p>
        </w:tc>
        <w:tc>
          <w:tcPr>
            <w:tcW w:w="2976"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3</w:t>
            </w:r>
          </w:p>
        </w:tc>
        <w:tc>
          <w:tcPr>
            <w:tcW w:w="2552"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41</w:t>
            </w:r>
          </w:p>
        </w:tc>
        <w:tc>
          <w:tcPr>
            <w:tcW w:w="2551"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41</w:t>
            </w:r>
          </w:p>
        </w:tc>
      </w:tr>
      <w:tr w:rsidR="006D3790" w:rsidRPr="006A74F8" w:rsidTr="006D3790">
        <w:trPr>
          <w:trHeight w:val="234"/>
        </w:trPr>
        <w:tc>
          <w:tcPr>
            <w:tcW w:w="988" w:type="dxa"/>
            <w:shd w:val="clear" w:color="auto" w:fill="auto"/>
            <w:noWrap/>
            <w:vAlign w:val="bottom"/>
            <w:hideMark/>
          </w:tcPr>
          <w:p w:rsidR="006D3790" w:rsidRPr="006A74F8" w:rsidRDefault="006D3790" w:rsidP="006D3790">
            <w:pPr>
              <w:spacing w:after="0" w:line="240" w:lineRule="auto"/>
              <w:rPr>
                <w:rFonts w:ascii="Calibri" w:eastAsia="Times New Roman" w:hAnsi="Calibri" w:cs="Calibri"/>
                <w:b/>
                <w:color w:val="000000"/>
                <w:lang w:eastAsia="en-AU"/>
              </w:rPr>
            </w:pPr>
            <w:r w:rsidRPr="006A74F8">
              <w:rPr>
                <w:rFonts w:ascii="Calibri" w:eastAsia="Times New Roman" w:hAnsi="Calibri" w:cs="Calibri"/>
                <w:b/>
                <w:color w:val="000000"/>
                <w:lang w:eastAsia="en-AU"/>
              </w:rPr>
              <w:t>Total</w:t>
            </w:r>
          </w:p>
        </w:tc>
        <w:tc>
          <w:tcPr>
            <w:tcW w:w="2976"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b/>
                <w:color w:val="000000"/>
                <w:lang w:eastAsia="en-AU"/>
              </w:rPr>
            </w:pPr>
            <w:r w:rsidRPr="006A74F8">
              <w:rPr>
                <w:rFonts w:ascii="Calibri" w:eastAsia="Times New Roman" w:hAnsi="Calibri" w:cs="Calibri"/>
                <w:b/>
                <w:color w:val="000000"/>
                <w:lang w:eastAsia="en-AU"/>
              </w:rPr>
              <w:t>35</w:t>
            </w:r>
          </w:p>
        </w:tc>
        <w:tc>
          <w:tcPr>
            <w:tcW w:w="2552"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b/>
                <w:color w:val="000000"/>
                <w:lang w:eastAsia="en-AU"/>
              </w:rPr>
            </w:pPr>
            <w:r w:rsidRPr="006A74F8">
              <w:rPr>
                <w:rFonts w:ascii="Calibri" w:eastAsia="Times New Roman" w:hAnsi="Calibri" w:cs="Calibri"/>
                <w:b/>
                <w:color w:val="000000"/>
                <w:lang w:eastAsia="en-AU"/>
              </w:rPr>
              <w:t>433</w:t>
            </w:r>
          </w:p>
        </w:tc>
        <w:tc>
          <w:tcPr>
            <w:tcW w:w="2551" w:type="dxa"/>
            <w:shd w:val="clear" w:color="auto" w:fill="auto"/>
            <w:noWrap/>
            <w:vAlign w:val="bottom"/>
            <w:hideMark/>
          </w:tcPr>
          <w:p w:rsidR="006D3790" w:rsidRPr="006A74F8" w:rsidRDefault="006D3790" w:rsidP="006D3790">
            <w:pPr>
              <w:spacing w:after="0" w:line="240" w:lineRule="auto"/>
              <w:jc w:val="center"/>
              <w:rPr>
                <w:rFonts w:ascii="Calibri" w:eastAsia="Times New Roman" w:hAnsi="Calibri" w:cs="Calibri"/>
                <w:b/>
                <w:color w:val="000000"/>
                <w:lang w:eastAsia="en-AU"/>
              </w:rPr>
            </w:pPr>
            <w:r w:rsidRPr="006A74F8">
              <w:rPr>
                <w:rFonts w:ascii="Calibri" w:eastAsia="Times New Roman" w:hAnsi="Calibri" w:cs="Calibri"/>
                <w:b/>
                <w:color w:val="000000"/>
                <w:lang w:eastAsia="en-AU"/>
              </w:rPr>
              <w:t>617</w:t>
            </w:r>
          </w:p>
        </w:tc>
      </w:tr>
    </w:tbl>
    <w:p w:rsidR="000D427A" w:rsidRPr="006A74F8" w:rsidRDefault="000D427A" w:rsidP="001D02ED">
      <w:pPr>
        <w:spacing w:before="160"/>
      </w:pPr>
      <w:r w:rsidRPr="006A74F8">
        <w:t>Data sources across all ATP costing sheets:</w:t>
      </w:r>
    </w:p>
    <w:p w:rsidR="000D427A" w:rsidRPr="006A74F8" w:rsidRDefault="000D427A" w:rsidP="00D7410D">
      <w:pPr>
        <w:pStyle w:val="ListParagraph"/>
        <w:numPr>
          <w:ilvl w:val="0"/>
          <w:numId w:val="113"/>
        </w:numPr>
      </w:pPr>
      <w:r w:rsidRPr="006A74F8">
        <w:t>Labour cost source: Australian Bureau of Statistics (2018), “Employee Earnings and Hours, Australia, Cat. No. 6306.0</w:t>
      </w:r>
      <w:r w:rsidR="001D02ED" w:rsidRPr="006A74F8">
        <w:t>”.</w:t>
      </w:r>
      <w:r w:rsidRPr="006A74F8">
        <w:t xml:space="preserve"> </w:t>
      </w:r>
    </w:p>
    <w:p w:rsidR="00144B87" w:rsidRPr="006A74F8" w:rsidRDefault="000D427A" w:rsidP="00AF3B9D">
      <w:pPr>
        <w:pStyle w:val="ListParagraph"/>
        <w:numPr>
          <w:ilvl w:val="0"/>
          <w:numId w:val="113"/>
        </w:numPr>
        <w:sectPr w:rsidR="00144B87" w:rsidRPr="006A74F8" w:rsidSect="00EC61D8">
          <w:pgSz w:w="11907" w:h="16840" w:code="9"/>
          <w:pgMar w:top="1440" w:right="1440" w:bottom="1440" w:left="1440" w:header="851" w:footer="0" w:gutter="0"/>
          <w:cols w:space="708"/>
          <w:docGrid w:linePitch="360"/>
        </w:sectPr>
      </w:pPr>
      <w:r w:rsidRPr="006A74F8">
        <w:t>Other data: NMI Data</w:t>
      </w:r>
      <w:r w:rsidR="00107BA3" w:rsidRPr="006A74F8">
        <w:t>.</w:t>
      </w:r>
    </w:p>
    <w:p w:rsidR="000D427A" w:rsidRPr="006A74F8" w:rsidRDefault="000D427A" w:rsidP="000D427A">
      <w:pPr>
        <w:pStyle w:val="Heading4"/>
      </w:pPr>
      <w:r w:rsidRPr="006A74F8">
        <w:lastRenderedPageBreak/>
        <w:t>Servicing Licensee</w:t>
      </w:r>
    </w:p>
    <w:p w:rsidR="00D14B95" w:rsidRPr="006A74F8" w:rsidRDefault="00D14B95" w:rsidP="00D14B95">
      <w:pPr>
        <w:pStyle w:val="Caption"/>
        <w:keepNext/>
      </w:pPr>
      <w:r w:rsidRPr="006A74F8">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4</w:t>
      </w:r>
      <w:r w:rsidR="00D003A8" w:rsidRPr="006A74F8">
        <w:rPr>
          <w:noProof/>
        </w:rPr>
        <w:fldChar w:fldCharType="end"/>
      </w:r>
      <w:r w:rsidRPr="006A74F8">
        <w:t>: Assumptions for Servicing Licensee calculations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3- 4: Assumptions for Servicing Licensee calculations"/>
        <w:tblDescription w:val="Table details the assumptions made in calculating the costs for Servicing Licensees and total annual costs for Servicing Licensees"/>
      </w:tblPr>
      <w:tblGrid>
        <w:gridCol w:w="1417"/>
        <w:gridCol w:w="1062"/>
        <w:gridCol w:w="1781"/>
        <w:gridCol w:w="1974"/>
        <w:gridCol w:w="3405"/>
      </w:tblGrid>
      <w:tr w:rsidR="000D427A" w:rsidRPr="006A74F8" w:rsidTr="008F5DB1">
        <w:trPr>
          <w:trHeight w:val="273"/>
        </w:trPr>
        <w:tc>
          <w:tcPr>
            <w:tcW w:w="4260" w:type="dxa"/>
            <w:gridSpan w:val="3"/>
            <w:shd w:val="clear" w:color="auto" w:fill="D9D9D9" w:themeFill="background1" w:themeFillShade="D9"/>
            <w:noWrap/>
            <w:vAlign w:val="center"/>
            <w:hideMark/>
          </w:tcPr>
          <w:p w:rsidR="000D427A" w:rsidRPr="006A74F8" w:rsidRDefault="000D427A" w:rsidP="009132EB">
            <w:pPr>
              <w:pStyle w:val="ListParagraph"/>
              <w:numPr>
                <w:ilvl w:val="1"/>
                <w:numId w:val="14"/>
              </w:numPr>
              <w:tabs>
                <w:tab w:val="clear" w:pos="1440"/>
                <w:tab w:val="num" w:pos="738"/>
              </w:tabs>
              <w:spacing w:after="0" w:line="240" w:lineRule="auto"/>
              <w:ind w:left="880"/>
              <w:jc w:val="center"/>
              <w:rPr>
                <w:rFonts w:eastAsia="Times New Roman" w:cstheme="minorHAnsi"/>
                <w:b/>
                <w:bCs/>
                <w:sz w:val="18"/>
                <w:szCs w:val="18"/>
                <w:lang w:eastAsia="en-AU"/>
              </w:rPr>
            </w:pPr>
            <w:r w:rsidRPr="006A74F8">
              <w:rPr>
                <w:rFonts w:eastAsia="Times New Roman" w:cstheme="minorHAnsi"/>
                <w:b/>
                <w:bCs/>
                <w:sz w:val="18"/>
                <w:szCs w:val="18"/>
                <w:lang w:eastAsia="en-AU"/>
              </w:rPr>
              <w:t>APPLICATION</w:t>
            </w:r>
          </w:p>
        </w:tc>
        <w:tc>
          <w:tcPr>
            <w:tcW w:w="1974"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Assumptions </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ESTIMATE OF APPLICATIONS FOR LICENCE EACH YEAR</w:t>
            </w:r>
          </w:p>
        </w:tc>
      </w:tr>
      <w:tr w:rsidR="000D427A" w:rsidRPr="006A74F8" w:rsidTr="009132EB">
        <w:trPr>
          <w:trHeight w:val="752"/>
        </w:trPr>
        <w:tc>
          <w:tcPr>
            <w:tcW w:w="1417"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Understanding the process for licence application </w:t>
            </w:r>
          </w:p>
        </w:tc>
        <w:tc>
          <w:tcPr>
            <w:tcW w:w="1062"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(s18NA, reg2.41) </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SL applications expected yearly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21</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There were 334 SL licensees in 2020. Estimated average number of new licences per year, based on 2 year average numbers 2019 and 2020 (25+18)/2=21</w:t>
            </w:r>
          </w:p>
        </w:tc>
      </w:tr>
      <w:tr w:rsidR="000D427A" w:rsidRPr="006A74F8" w:rsidTr="009132EB">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Number of </w:t>
            </w:r>
            <w:r w:rsidR="00D7133E" w:rsidRPr="006A74F8">
              <w:rPr>
                <w:rFonts w:eastAsia="Times New Roman" w:cstheme="minorHAnsi"/>
                <w:sz w:val="18"/>
                <w:szCs w:val="18"/>
                <w:lang w:eastAsia="en-AU"/>
              </w:rPr>
              <w:t>persons required to do this</w:t>
            </w:r>
            <w:r w:rsidRPr="006A74F8">
              <w:rPr>
                <w:rFonts w:eastAsia="Times New Roman" w:cstheme="minorHAnsi"/>
                <w:sz w:val="18"/>
                <w:szCs w:val="18"/>
                <w:lang w:eastAsia="en-AU"/>
              </w:rPr>
              <w:t xml:space="preserve"> activity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3405" w:type="dxa"/>
            <w:shd w:val="clear" w:color="auto" w:fill="auto"/>
            <w:vAlign w:val="center"/>
            <w:hideMark/>
          </w:tcPr>
          <w:p w:rsidR="000D427A" w:rsidRPr="006A74F8" w:rsidRDefault="00F24BB7"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One</w:t>
            </w:r>
            <w:r w:rsidR="000D427A" w:rsidRPr="006A74F8">
              <w:rPr>
                <w:rFonts w:eastAsia="Times New Roman" w:cstheme="minorHAnsi"/>
                <w:sz w:val="18"/>
                <w:szCs w:val="18"/>
                <w:lang w:eastAsia="en-AU"/>
              </w:rPr>
              <w:t xml:space="preserve"> staff member</w:t>
            </w:r>
          </w:p>
        </w:tc>
      </w:tr>
      <w:tr w:rsidR="000D427A" w:rsidRPr="006A74F8" w:rsidTr="009132EB">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times activity performed per year per staff</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Once based on number of annual applications</w:t>
            </w:r>
          </w:p>
        </w:tc>
      </w:tr>
      <w:tr w:rsidR="000D427A" w:rsidRPr="006A74F8" w:rsidTr="009132EB">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each staff to do activity (in hours)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6</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NMI estimates</w:t>
            </w:r>
          </w:p>
        </w:tc>
      </w:tr>
      <w:tr w:rsidR="000D427A" w:rsidRPr="006A74F8" w:rsidTr="009132EB">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$11</w:t>
            </w:r>
            <w:r w:rsidR="00F24BB7" w:rsidRPr="006A74F8">
              <w:rPr>
                <w:rFonts w:cstheme="minorHAnsi"/>
                <w:sz w:val="18"/>
                <w:szCs w:val="18"/>
              </w:rPr>
              <w:t>0.83</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the ABS Cat 6306.0</w:t>
            </w:r>
            <w:r w:rsidRPr="006A74F8">
              <w:rPr>
                <w:rStyle w:val="FootnoteReference"/>
                <w:rFonts w:asciiTheme="minorHAnsi" w:eastAsia="Times New Roman" w:hAnsiTheme="minorHAnsi" w:cstheme="minorHAnsi"/>
                <w:sz w:val="18"/>
                <w:szCs w:val="18"/>
                <w:lang w:eastAsia="en-AU"/>
              </w:rPr>
              <w:footnoteReference w:id="200"/>
            </w:r>
            <w:r w:rsidRPr="006A74F8">
              <w:rPr>
                <w:rFonts w:eastAsia="Times New Roman" w:cstheme="minorHAnsi"/>
                <w:sz w:val="18"/>
                <w:szCs w:val="18"/>
                <w:lang w:eastAsia="en-AU"/>
              </w:rPr>
              <w:t xml:space="preserve"> average weekly earnings for various engineering and technical wage including 1.75 multiplier</w:t>
            </w:r>
            <w:r w:rsidRPr="006A74F8">
              <w:rPr>
                <w:rStyle w:val="FootnoteReference"/>
                <w:rFonts w:asciiTheme="minorHAnsi" w:eastAsia="Times New Roman" w:hAnsiTheme="minorHAnsi" w:cstheme="minorHAnsi"/>
                <w:sz w:val="18"/>
                <w:szCs w:val="18"/>
                <w:lang w:eastAsia="en-AU"/>
              </w:rPr>
              <w:footnoteReference w:id="201"/>
            </w:r>
            <w:r w:rsidRPr="006A74F8">
              <w:rPr>
                <w:rFonts w:eastAsia="Times New Roman" w:cstheme="minorHAnsi"/>
                <w:sz w:val="18"/>
                <w:szCs w:val="18"/>
                <w:lang w:eastAsia="en-AU"/>
              </w:rPr>
              <w:t xml:space="preserve"> for on-costs</w:t>
            </w:r>
          </w:p>
        </w:tc>
      </w:tr>
      <w:tr w:rsidR="000D427A" w:rsidRPr="006A74F8" w:rsidTr="009132EB">
        <w:trPr>
          <w:trHeight w:val="273"/>
        </w:trPr>
        <w:tc>
          <w:tcPr>
            <w:tcW w:w="1417"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c>
          <w:tcPr>
            <w:tcW w:w="1062"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 xml:space="preserve">Cost of Activity </w:t>
            </w:r>
            <w:r w:rsidR="002B064F" w:rsidRPr="006A74F8">
              <w:rPr>
                <w:rFonts w:eastAsia="Times New Roman" w:cstheme="minorHAnsi"/>
                <w:b/>
                <w:bCs/>
                <w:sz w:val="18"/>
                <w:szCs w:val="18"/>
                <w:lang w:eastAsia="en-AU"/>
              </w:rPr>
              <w:t xml:space="preserve">a </w:t>
            </w:r>
            <w:r w:rsidRPr="006A74F8">
              <w:rPr>
                <w:rFonts w:eastAsia="Times New Roman" w:cstheme="minorHAnsi"/>
                <w:b/>
                <w:bCs/>
                <w:sz w:val="18"/>
                <w:szCs w:val="18"/>
                <w:lang w:eastAsia="en-AU"/>
              </w:rPr>
              <w:t xml:space="preserve">= </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cstheme="minorHAnsi"/>
                <w:b/>
                <w:sz w:val="18"/>
                <w:szCs w:val="18"/>
              </w:rPr>
              <w:t xml:space="preserve"> $13,</w:t>
            </w:r>
            <w:r w:rsidR="00D7133E" w:rsidRPr="006A74F8">
              <w:rPr>
                <w:rFonts w:cstheme="minorHAnsi"/>
                <w:b/>
                <w:sz w:val="18"/>
                <w:szCs w:val="18"/>
              </w:rPr>
              <w:t>965</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Annual cost of SL understanding the process to apply</w:t>
            </w:r>
          </w:p>
        </w:tc>
      </w:tr>
      <w:tr w:rsidR="000D427A" w:rsidRPr="006A74F8" w:rsidTr="009132EB">
        <w:trPr>
          <w:trHeight w:val="273"/>
        </w:trPr>
        <w:tc>
          <w:tcPr>
            <w:tcW w:w="1417"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c>
          <w:tcPr>
            <w:tcW w:w="1062"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 </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9132EB">
        <w:trPr>
          <w:trHeight w:val="546"/>
        </w:trPr>
        <w:tc>
          <w:tcPr>
            <w:tcW w:w="1417"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Supplying the relevant information and documents with application</w:t>
            </w:r>
          </w:p>
        </w:tc>
        <w:tc>
          <w:tcPr>
            <w:tcW w:w="1062"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(s18NA, s18ND, s18NHf, reg2.41) </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SL applications expected yearly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21</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There were 334 SL licensees in 2020. Estimated average number of new licences per year, based on 2 year average numbers 2019 and 2020 (25+18)/2=21</w:t>
            </w:r>
          </w:p>
        </w:tc>
      </w:tr>
      <w:tr w:rsidR="000D427A" w:rsidRPr="006A74F8" w:rsidTr="009132EB">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Number of </w:t>
            </w:r>
            <w:r w:rsidR="00D7133E" w:rsidRPr="006A74F8">
              <w:rPr>
                <w:rFonts w:eastAsia="Times New Roman" w:cstheme="minorHAnsi"/>
                <w:sz w:val="18"/>
                <w:szCs w:val="18"/>
                <w:lang w:eastAsia="en-AU"/>
              </w:rPr>
              <w:t>persons required to do this</w:t>
            </w:r>
            <w:r w:rsidRPr="006A74F8">
              <w:rPr>
                <w:rFonts w:eastAsia="Times New Roman" w:cstheme="minorHAnsi"/>
                <w:sz w:val="18"/>
                <w:szCs w:val="18"/>
                <w:lang w:eastAsia="en-AU"/>
              </w:rPr>
              <w:t xml:space="preserve"> activity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Minimum requirement of </w:t>
            </w:r>
            <w:r w:rsidR="00D7410D" w:rsidRPr="006A74F8">
              <w:rPr>
                <w:rFonts w:eastAsia="Times New Roman" w:cstheme="minorHAnsi"/>
                <w:sz w:val="18"/>
                <w:szCs w:val="18"/>
                <w:lang w:eastAsia="en-AU"/>
              </w:rPr>
              <w:t>one</w:t>
            </w:r>
            <w:r w:rsidRPr="006A74F8">
              <w:rPr>
                <w:rFonts w:eastAsia="Times New Roman" w:cstheme="minorHAnsi"/>
                <w:sz w:val="18"/>
                <w:szCs w:val="18"/>
                <w:lang w:eastAsia="en-AU"/>
              </w:rPr>
              <w:t xml:space="preserve"> staff member</w:t>
            </w:r>
          </w:p>
        </w:tc>
      </w:tr>
      <w:tr w:rsidR="000D427A" w:rsidRPr="006A74F8" w:rsidTr="009132EB">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times activity performed per year per staff</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3405" w:type="dxa"/>
            <w:shd w:val="clear" w:color="auto" w:fill="auto"/>
            <w:vAlign w:val="center"/>
            <w:hideMark/>
          </w:tcPr>
          <w:p w:rsidR="000D427A" w:rsidRPr="006A74F8" w:rsidRDefault="00F24BB7"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annual number of actual applications</w:t>
            </w:r>
          </w:p>
        </w:tc>
      </w:tr>
      <w:tr w:rsidR="000D427A" w:rsidRPr="006A74F8" w:rsidTr="009132EB">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each staff to do activity (in hours)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15</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NMI estimates</w:t>
            </w:r>
          </w:p>
        </w:tc>
      </w:tr>
      <w:tr w:rsidR="000D427A" w:rsidRPr="006A74F8" w:rsidTr="009132EB">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974" w:type="dxa"/>
            <w:shd w:val="clear" w:color="auto" w:fill="auto"/>
            <w:noWrap/>
            <w:vAlign w:val="center"/>
            <w:hideMark/>
          </w:tcPr>
          <w:p w:rsidR="000D427A" w:rsidRPr="006A74F8" w:rsidRDefault="00F24BB7" w:rsidP="000D427A">
            <w:pPr>
              <w:spacing w:after="0" w:line="240" w:lineRule="auto"/>
              <w:jc w:val="center"/>
              <w:rPr>
                <w:rFonts w:eastAsia="Times New Roman" w:cstheme="minorHAnsi"/>
                <w:sz w:val="18"/>
                <w:szCs w:val="18"/>
                <w:lang w:eastAsia="en-AU"/>
              </w:rPr>
            </w:pPr>
            <w:r w:rsidRPr="006A74F8">
              <w:rPr>
                <w:rFonts w:eastAsia="Times New Roman" w:cstheme="minorHAnsi"/>
                <w:bCs/>
                <w:sz w:val="18"/>
                <w:szCs w:val="18"/>
                <w:lang w:eastAsia="en-AU"/>
              </w:rPr>
              <w:t xml:space="preserve"> $110.83</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the ABS Cat 6306.0</w:t>
            </w:r>
            <w:r w:rsidRPr="006A74F8">
              <w:rPr>
                <w:rStyle w:val="FootnoteReference"/>
                <w:rFonts w:asciiTheme="minorHAnsi" w:eastAsia="Times New Roman" w:hAnsiTheme="minorHAnsi" w:cstheme="minorHAnsi"/>
                <w:sz w:val="18"/>
                <w:szCs w:val="18"/>
                <w:lang w:eastAsia="en-AU"/>
              </w:rPr>
              <w:footnoteReference w:id="202"/>
            </w:r>
            <w:r w:rsidRPr="006A74F8">
              <w:rPr>
                <w:rFonts w:eastAsia="Times New Roman" w:cstheme="minorHAnsi"/>
                <w:sz w:val="18"/>
                <w:szCs w:val="18"/>
                <w:lang w:eastAsia="en-AU"/>
              </w:rPr>
              <w:t xml:space="preserve"> average weekly earnings for various engineering and technical wage including 1.75 multiplier</w:t>
            </w:r>
            <w:r w:rsidRPr="006A74F8">
              <w:rPr>
                <w:rStyle w:val="FootnoteReference"/>
                <w:rFonts w:asciiTheme="minorHAnsi" w:eastAsia="Times New Roman" w:hAnsiTheme="minorHAnsi" w:cstheme="minorHAnsi"/>
                <w:sz w:val="18"/>
                <w:szCs w:val="18"/>
                <w:lang w:eastAsia="en-AU"/>
              </w:rPr>
              <w:footnoteReference w:id="203"/>
            </w:r>
            <w:r w:rsidRPr="006A74F8">
              <w:rPr>
                <w:rFonts w:eastAsia="Times New Roman" w:cstheme="minorHAnsi"/>
                <w:sz w:val="18"/>
                <w:szCs w:val="18"/>
                <w:lang w:eastAsia="en-AU"/>
              </w:rPr>
              <w:t xml:space="preserve"> for on-costs</w:t>
            </w:r>
          </w:p>
        </w:tc>
      </w:tr>
      <w:tr w:rsidR="000D427A" w:rsidRPr="006A74F8" w:rsidTr="009132EB">
        <w:trPr>
          <w:trHeight w:val="560"/>
        </w:trPr>
        <w:tc>
          <w:tcPr>
            <w:tcW w:w="1417"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1062"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 xml:space="preserve">Cost of Activity </w:t>
            </w:r>
            <w:r w:rsidR="002B064F" w:rsidRPr="006A74F8">
              <w:rPr>
                <w:rFonts w:eastAsia="Times New Roman" w:cstheme="minorHAnsi"/>
                <w:b/>
                <w:bCs/>
                <w:sz w:val="18"/>
                <w:szCs w:val="18"/>
                <w:lang w:eastAsia="en-AU"/>
              </w:rPr>
              <w:t>b</w:t>
            </w:r>
            <w:r w:rsidRPr="006A74F8">
              <w:rPr>
                <w:rFonts w:eastAsia="Times New Roman" w:cstheme="minorHAnsi"/>
                <w:b/>
                <w:bCs/>
                <w:sz w:val="18"/>
                <w:szCs w:val="18"/>
                <w:lang w:eastAsia="en-AU"/>
              </w:rPr>
              <w:t xml:space="preserve"> = </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 xml:space="preserve"> $34,</w:t>
            </w:r>
            <w:r w:rsidR="00D7133E" w:rsidRPr="006A74F8">
              <w:rPr>
                <w:rFonts w:eastAsia="Times New Roman" w:cstheme="minorHAnsi"/>
                <w:b/>
                <w:bCs/>
                <w:sz w:val="18"/>
                <w:szCs w:val="18"/>
                <w:lang w:eastAsia="en-AU"/>
              </w:rPr>
              <w:t>911</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Time for SL to put together all information required to accompany application including details of the required equipment</w:t>
            </w:r>
          </w:p>
        </w:tc>
      </w:tr>
      <w:tr w:rsidR="000D427A" w:rsidRPr="006A74F8" w:rsidTr="009132EB">
        <w:trPr>
          <w:trHeight w:val="273"/>
        </w:trPr>
        <w:tc>
          <w:tcPr>
            <w:tcW w:w="4260" w:type="dxa"/>
            <w:gridSpan w:val="3"/>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 Total cost of application</w:t>
            </w:r>
          </w:p>
        </w:tc>
        <w:tc>
          <w:tcPr>
            <w:tcW w:w="1974" w:type="dxa"/>
            <w:shd w:val="clear" w:color="auto" w:fill="D9D9D9" w:themeFill="background1" w:themeFillShade="D9"/>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$48,</w:t>
            </w:r>
            <w:r w:rsidR="00D7133E" w:rsidRPr="006A74F8">
              <w:rPr>
                <w:rFonts w:eastAsia="Times New Roman" w:cstheme="minorHAnsi"/>
                <w:b/>
                <w:bCs/>
                <w:sz w:val="18"/>
                <w:szCs w:val="18"/>
                <w:lang w:eastAsia="en-AU"/>
              </w:rPr>
              <w:t>876</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506AF2" w:rsidRPr="006A74F8" w:rsidTr="00222273">
        <w:trPr>
          <w:trHeight w:val="273"/>
        </w:trPr>
        <w:tc>
          <w:tcPr>
            <w:tcW w:w="9639" w:type="dxa"/>
            <w:gridSpan w:val="5"/>
            <w:shd w:val="clear" w:color="auto" w:fill="auto"/>
            <w:vAlign w:val="center"/>
            <w:hideMark/>
          </w:tcPr>
          <w:p w:rsidR="00506AF2" w:rsidRPr="006A74F8" w:rsidRDefault="00506AF2" w:rsidP="00506AF2">
            <w:pPr>
              <w:spacing w:after="0" w:line="240" w:lineRule="auto"/>
              <w:jc w:val="center"/>
              <w:rPr>
                <w:rFonts w:eastAsia="Times New Roman" w:cstheme="minorHAnsi"/>
                <w:sz w:val="18"/>
                <w:szCs w:val="18"/>
                <w:lang w:eastAsia="en-AU"/>
              </w:rPr>
            </w:pPr>
            <w:r w:rsidRPr="006A74F8">
              <w:rPr>
                <w:rFonts w:eastAsia="Times New Roman" w:cstheme="minorHAnsi"/>
                <w:b/>
                <w:bCs/>
                <w:sz w:val="18"/>
                <w:szCs w:val="18"/>
                <w:lang w:eastAsia="en-AU"/>
              </w:rPr>
              <w:t> </w:t>
            </w:r>
          </w:p>
        </w:tc>
      </w:tr>
      <w:tr w:rsidR="000D427A" w:rsidRPr="006A74F8" w:rsidTr="008F5DB1">
        <w:trPr>
          <w:trHeight w:val="273"/>
        </w:trPr>
        <w:tc>
          <w:tcPr>
            <w:tcW w:w="4260" w:type="dxa"/>
            <w:gridSpan w:val="3"/>
            <w:shd w:val="clear" w:color="auto" w:fill="D9D9D9" w:themeFill="background1" w:themeFillShade="D9"/>
            <w:vAlign w:val="center"/>
            <w:hideMark/>
          </w:tcPr>
          <w:p w:rsidR="002B064F" w:rsidRPr="006A74F8" w:rsidRDefault="002B064F" w:rsidP="002B064F">
            <w:pPr>
              <w:spacing w:after="0" w:line="240" w:lineRule="auto"/>
              <w:jc w:val="center"/>
              <w:rPr>
                <w:rFonts w:eastAsia="Times New Roman" w:cstheme="minorHAnsi"/>
                <w:b/>
                <w:bCs/>
                <w:sz w:val="18"/>
                <w:szCs w:val="18"/>
                <w:lang w:eastAsia="en-AU"/>
              </w:rPr>
            </w:pPr>
          </w:p>
          <w:p w:rsidR="000D427A" w:rsidRPr="006A74F8" w:rsidRDefault="000D427A" w:rsidP="009132EB">
            <w:pPr>
              <w:pStyle w:val="ListParagraph"/>
              <w:numPr>
                <w:ilvl w:val="1"/>
                <w:numId w:val="14"/>
              </w:numPr>
              <w:tabs>
                <w:tab w:val="clear" w:pos="1440"/>
                <w:tab w:val="num" w:pos="171"/>
              </w:tabs>
              <w:spacing w:after="0" w:line="240" w:lineRule="auto"/>
              <w:ind w:left="880"/>
              <w:jc w:val="center"/>
              <w:rPr>
                <w:rFonts w:eastAsia="Times New Roman" w:cstheme="minorHAnsi"/>
                <w:b/>
                <w:bCs/>
                <w:sz w:val="18"/>
                <w:szCs w:val="18"/>
                <w:lang w:eastAsia="en-AU"/>
              </w:rPr>
            </w:pPr>
            <w:r w:rsidRPr="006A74F8">
              <w:rPr>
                <w:rFonts w:eastAsia="Times New Roman" w:cstheme="minorHAnsi"/>
                <w:b/>
                <w:bCs/>
                <w:sz w:val="18"/>
                <w:szCs w:val="18"/>
                <w:lang w:eastAsia="en-AU"/>
              </w:rPr>
              <w:t>RENEWAL</w:t>
            </w:r>
          </w:p>
        </w:tc>
        <w:tc>
          <w:tcPr>
            <w:tcW w:w="1974" w:type="dxa"/>
            <w:shd w:val="clear" w:color="auto" w:fill="auto"/>
            <w:noWrap/>
            <w:vAlign w:val="bottom"/>
            <w:hideMark/>
          </w:tcPr>
          <w:p w:rsidR="000D427A" w:rsidRPr="006A74F8"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ESTIMATE NUMBER TO RENEW EACH YEAR</w:t>
            </w:r>
          </w:p>
        </w:tc>
      </w:tr>
      <w:tr w:rsidR="000D427A" w:rsidRPr="006A74F8" w:rsidTr="006A10C6">
        <w:trPr>
          <w:trHeight w:val="546"/>
        </w:trPr>
        <w:tc>
          <w:tcPr>
            <w:tcW w:w="1417"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Understanding the process for licence renewal</w:t>
            </w:r>
          </w:p>
        </w:tc>
        <w:tc>
          <w:tcPr>
            <w:tcW w:w="1062"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(s18NK-NL) </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SL renewals expected yearly</w:t>
            </w:r>
          </w:p>
        </w:tc>
        <w:tc>
          <w:tcPr>
            <w:tcW w:w="1974" w:type="dxa"/>
            <w:shd w:val="clear" w:color="auto" w:fill="auto"/>
            <w:noWrap/>
            <w:vAlign w:val="center"/>
            <w:hideMark/>
          </w:tcPr>
          <w:p w:rsidR="000D427A" w:rsidRPr="006A74F8" w:rsidRDefault="00F24BB7" w:rsidP="000D427A">
            <w:pPr>
              <w:spacing w:after="0" w:line="240" w:lineRule="auto"/>
              <w:jc w:val="center"/>
              <w:rPr>
                <w:rFonts w:eastAsia="Times New Roman" w:cstheme="minorHAnsi"/>
                <w:sz w:val="18"/>
                <w:szCs w:val="18"/>
                <w:lang w:eastAsia="en-AU"/>
              </w:rPr>
            </w:pPr>
            <w:r w:rsidRPr="006A74F8">
              <w:rPr>
                <w:rFonts w:cstheme="minorHAnsi"/>
                <w:sz w:val="18"/>
                <w:szCs w:val="18"/>
              </w:rPr>
              <w:t>120</w:t>
            </w:r>
            <w:r w:rsidR="000D427A" w:rsidRPr="006A74F8">
              <w:rPr>
                <w:rFonts w:cstheme="minorHAnsi"/>
                <w:sz w:val="18"/>
                <w:szCs w:val="18"/>
              </w:rPr>
              <w:t xml:space="preserve"> </w:t>
            </w:r>
          </w:p>
        </w:tc>
        <w:tc>
          <w:tcPr>
            <w:tcW w:w="3405" w:type="dxa"/>
            <w:shd w:val="clear" w:color="auto" w:fill="auto"/>
            <w:vAlign w:val="center"/>
            <w:hideMark/>
          </w:tcPr>
          <w:p w:rsidR="000D427A" w:rsidRPr="006A74F8" w:rsidRDefault="00F24BB7"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120 licences are renewed annually</w:t>
            </w:r>
          </w:p>
        </w:tc>
      </w:tr>
      <w:tr w:rsidR="000D427A" w:rsidRPr="006A74F8" w:rsidTr="006A10C6">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Number of </w:t>
            </w:r>
            <w:r w:rsidR="00B561A3" w:rsidRPr="006A74F8">
              <w:rPr>
                <w:rFonts w:eastAsia="Times New Roman" w:cstheme="minorHAnsi"/>
                <w:sz w:val="18"/>
                <w:szCs w:val="18"/>
                <w:lang w:eastAsia="en-AU"/>
              </w:rPr>
              <w:t>persons required to do this</w:t>
            </w:r>
            <w:r w:rsidRPr="006A74F8">
              <w:rPr>
                <w:rFonts w:eastAsia="Times New Roman" w:cstheme="minorHAnsi"/>
                <w:sz w:val="18"/>
                <w:szCs w:val="18"/>
                <w:lang w:eastAsia="en-AU"/>
              </w:rPr>
              <w:t xml:space="preserve"> activity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1 </w:t>
            </w:r>
          </w:p>
        </w:tc>
        <w:tc>
          <w:tcPr>
            <w:tcW w:w="3405" w:type="dxa"/>
            <w:shd w:val="clear" w:color="auto" w:fill="auto"/>
            <w:vAlign w:val="center"/>
            <w:hideMark/>
          </w:tcPr>
          <w:p w:rsidR="000D427A" w:rsidRPr="006A74F8" w:rsidRDefault="00480C9F"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One</w:t>
            </w:r>
            <w:r w:rsidR="000D427A" w:rsidRPr="006A74F8">
              <w:rPr>
                <w:rFonts w:eastAsia="Times New Roman" w:cstheme="minorHAnsi"/>
                <w:sz w:val="18"/>
                <w:szCs w:val="18"/>
                <w:lang w:eastAsia="en-AU"/>
              </w:rPr>
              <w:t xml:space="preserve"> staff member</w:t>
            </w:r>
          </w:p>
        </w:tc>
      </w:tr>
      <w:tr w:rsidR="000D427A" w:rsidRPr="006A74F8" w:rsidTr="006A10C6">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times activity performed per year per staff</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w:t>
            </w:r>
            <w:r w:rsidR="00480C9F" w:rsidRPr="006A74F8">
              <w:rPr>
                <w:rFonts w:cstheme="minorHAnsi"/>
                <w:sz w:val="18"/>
                <w:szCs w:val="18"/>
              </w:rPr>
              <w:t>1</w:t>
            </w:r>
            <w:r w:rsidRPr="006A74F8">
              <w:rPr>
                <w:rFonts w:cstheme="minorHAnsi"/>
                <w:sz w:val="18"/>
                <w:szCs w:val="18"/>
              </w:rPr>
              <w:t xml:space="preserve"> </w:t>
            </w:r>
          </w:p>
        </w:tc>
        <w:tc>
          <w:tcPr>
            <w:tcW w:w="3405" w:type="dxa"/>
            <w:shd w:val="clear" w:color="auto" w:fill="auto"/>
            <w:vAlign w:val="center"/>
            <w:hideMark/>
          </w:tcPr>
          <w:p w:rsidR="000D427A" w:rsidRPr="006A74F8" w:rsidRDefault="00480C9F"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annual number of actual applications</w:t>
            </w:r>
          </w:p>
        </w:tc>
      </w:tr>
      <w:tr w:rsidR="000D427A" w:rsidRPr="006A74F8" w:rsidTr="006A10C6">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each staff to do activity (in hours)</w:t>
            </w:r>
          </w:p>
        </w:tc>
        <w:tc>
          <w:tcPr>
            <w:tcW w:w="1974" w:type="dxa"/>
            <w:shd w:val="clear" w:color="auto" w:fill="auto"/>
            <w:noWrap/>
            <w:vAlign w:val="center"/>
            <w:hideMark/>
          </w:tcPr>
          <w:p w:rsidR="000D427A" w:rsidRPr="006A74F8" w:rsidRDefault="00480C9F" w:rsidP="000D427A">
            <w:pPr>
              <w:spacing w:after="0" w:line="240" w:lineRule="auto"/>
              <w:jc w:val="center"/>
              <w:rPr>
                <w:rFonts w:eastAsia="Times New Roman" w:cstheme="minorHAnsi"/>
                <w:sz w:val="18"/>
                <w:szCs w:val="18"/>
                <w:lang w:eastAsia="en-AU"/>
              </w:rPr>
            </w:pPr>
            <w:r w:rsidRPr="006A74F8">
              <w:rPr>
                <w:rFonts w:cstheme="minorHAnsi"/>
                <w:sz w:val="18"/>
                <w:szCs w:val="18"/>
              </w:rPr>
              <w:t>1</w:t>
            </w:r>
            <w:r w:rsidR="000D427A" w:rsidRPr="006A74F8">
              <w:rPr>
                <w:rFonts w:cstheme="minorHAnsi"/>
                <w:sz w:val="18"/>
                <w:szCs w:val="18"/>
              </w:rPr>
              <w:t xml:space="preserve"> </w:t>
            </w:r>
          </w:p>
        </w:tc>
        <w:tc>
          <w:tcPr>
            <w:tcW w:w="3405" w:type="dxa"/>
            <w:shd w:val="clear" w:color="auto" w:fill="auto"/>
            <w:vAlign w:val="center"/>
            <w:hideMark/>
          </w:tcPr>
          <w:p w:rsidR="000D427A" w:rsidRPr="006A74F8" w:rsidRDefault="000D427A" w:rsidP="00480C9F">
            <w:pPr>
              <w:rPr>
                <w:rFonts w:cstheme="minorHAnsi"/>
                <w:color w:val="000000"/>
                <w:sz w:val="18"/>
                <w:szCs w:val="18"/>
              </w:rPr>
            </w:pPr>
            <w:r w:rsidRPr="006A74F8">
              <w:rPr>
                <w:rFonts w:cstheme="minorHAnsi"/>
                <w:color w:val="000000"/>
                <w:sz w:val="18"/>
                <w:szCs w:val="18"/>
              </w:rPr>
              <w:t xml:space="preserve">NMI estimates </w:t>
            </w:r>
            <w:r w:rsidR="00480C9F" w:rsidRPr="006A74F8">
              <w:rPr>
                <w:rFonts w:cstheme="minorHAnsi"/>
                <w:color w:val="000000"/>
                <w:sz w:val="18"/>
                <w:szCs w:val="18"/>
              </w:rPr>
              <w:t>including discounting</w:t>
            </w:r>
            <w:r w:rsidRPr="006A74F8">
              <w:rPr>
                <w:rFonts w:cstheme="minorHAnsi"/>
                <w:color w:val="000000"/>
                <w:sz w:val="18"/>
                <w:szCs w:val="18"/>
              </w:rPr>
              <w:t xml:space="preserve"> for efficiency gains from learning </w:t>
            </w:r>
            <w:r w:rsidR="00480C9F" w:rsidRPr="006A74F8">
              <w:rPr>
                <w:rFonts w:cstheme="minorHAnsi"/>
                <w:color w:val="000000"/>
                <w:sz w:val="18"/>
                <w:szCs w:val="18"/>
              </w:rPr>
              <w:t>from prior</w:t>
            </w:r>
            <w:r w:rsidRPr="006A74F8">
              <w:rPr>
                <w:rFonts w:cstheme="minorHAnsi"/>
                <w:color w:val="000000"/>
                <w:sz w:val="18"/>
                <w:szCs w:val="18"/>
              </w:rPr>
              <w:t xml:space="preserve"> applications</w:t>
            </w:r>
          </w:p>
        </w:tc>
      </w:tr>
      <w:tr w:rsidR="000D427A" w:rsidRPr="006A74F8" w:rsidTr="006A10C6">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$110.</w:t>
            </w:r>
            <w:r w:rsidR="00480C9F" w:rsidRPr="006A74F8">
              <w:rPr>
                <w:rFonts w:cstheme="minorHAnsi"/>
                <w:sz w:val="18"/>
                <w:szCs w:val="18"/>
              </w:rPr>
              <w:t>83</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the ABS Cat 6306.0</w:t>
            </w:r>
            <w:r w:rsidRPr="006A74F8">
              <w:rPr>
                <w:rStyle w:val="FootnoteReference"/>
                <w:rFonts w:asciiTheme="minorHAnsi" w:eastAsia="Times New Roman" w:hAnsiTheme="minorHAnsi" w:cstheme="minorHAnsi"/>
                <w:sz w:val="18"/>
                <w:szCs w:val="18"/>
                <w:lang w:eastAsia="en-AU"/>
              </w:rPr>
              <w:footnoteReference w:id="204"/>
            </w:r>
            <w:r w:rsidRPr="006A74F8">
              <w:rPr>
                <w:rFonts w:eastAsia="Times New Roman" w:cstheme="minorHAnsi"/>
                <w:sz w:val="18"/>
                <w:szCs w:val="18"/>
                <w:lang w:eastAsia="en-AU"/>
              </w:rPr>
              <w:t xml:space="preserve"> average weekly earnings for various engineering and technical wage including 1.75 multiplier</w:t>
            </w:r>
            <w:r w:rsidRPr="006A74F8">
              <w:rPr>
                <w:rStyle w:val="FootnoteReference"/>
                <w:rFonts w:asciiTheme="minorHAnsi" w:eastAsia="Times New Roman" w:hAnsiTheme="minorHAnsi" w:cstheme="minorHAnsi"/>
                <w:sz w:val="18"/>
                <w:szCs w:val="18"/>
                <w:lang w:eastAsia="en-AU"/>
              </w:rPr>
              <w:footnoteReference w:id="205"/>
            </w:r>
            <w:r w:rsidRPr="006A74F8">
              <w:rPr>
                <w:rFonts w:eastAsia="Times New Roman" w:cstheme="minorHAnsi"/>
                <w:sz w:val="18"/>
                <w:szCs w:val="18"/>
                <w:lang w:eastAsia="en-AU"/>
              </w:rPr>
              <w:t xml:space="preserve"> for on-costs</w:t>
            </w:r>
          </w:p>
        </w:tc>
      </w:tr>
      <w:tr w:rsidR="000D427A" w:rsidRPr="006A74F8" w:rsidTr="004604B2">
        <w:trPr>
          <w:trHeight w:val="273"/>
        </w:trPr>
        <w:tc>
          <w:tcPr>
            <w:tcW w:w="1417"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c>
          <w:tcPr>
            <w:tcW w:w="1062"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sz w:val="18"/>
                <w:szCs w:val="18"/>
                <w:lang w:eastAsia="en-AU"/>
              </w:rPr>
              <w:t xml:space="preserve">Cost of Activity </w:t>
            </w:r>
            <w:r w:rsidR="002B064F" w:rsidRPr="006A74F8">
              <w:rPr>
                <w:rFonts w:eastAsia="Times New Roman" w:cstheme="minorHAnsi"/>
                <w:sz w:val="18"/>
                <w:szCs w:val="18"/>
                <w:lang w:eastAsia="en-AU"/>
              </w:rPr>
              <w:t xml:space="preserve">a </w:t>
            </w:r>
            <w:r w:rsidRPr="006A74F8">
              <w:rPr>
                <w:rFonts w:eastAsia="Times New Roman" w:cstheme="minorHAnsi"/>
                <w:sz w:val="18"/>
                <w:szCs w:val="18"/>
                <w:lang w:eastAsia="en-AU"/>
              </w:rPr>
              <w:t>=</w:t>
            </w:r>
          </w:p>
        </w:tc>
        <w:tc>
          <w:tcPr>
            <w:tcW w:w="1974" w:type="dxa"/>
            <w:shd w:val="clear" w:color="auto" w:fill="auto"/>
            <w:noWrap/>
            <w:vAlign w:val="center"/>
            <w:hideMark/>
          </w:tcPr>
          <w:p w:rsidR="000D427A" w:rsidRPr="006A74F8" w:rsidRDefault="00D7133E"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$13,300</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4604B2">
        <w:trPr>
          <w:trHeight w:val="349"/>
        </w:trPr>
        <w:tc>
          <w:tcPr>
            <w:tcW w:w="1417" w:type="dxa"/>
            <w:shd w:val="clear" w:color="auto" w:fill="D9D9D9" w:themeFill="background1" w:themeFillShade="D9"/>
            <w:vAlign w:val="center"/>
          </w:tcPr>
          <w:p w:rsidR="000D427A" w:rsidRPr="006A74F8" w:rsidRDefault="000D427A" w:rsidP="000D427A">
            <w:pPr>
              <w:spacing w:after="0" w:line="240" w:lineRule="auto"/>
              <w:jc w:val="center"/>
              <w:rPr>
                <w:rFonts w:eastAsia="Times New Roman" w:cstheme="minorHAnsi"/>
                <w:sz w:val="18"/>
                <w:szCs w:val="18"/>
                <w:lang w:eastAsia="en-AU"/>
              </w:rPr>
            </w:pPr>
          </w:p>
        </w:tc>
        <w:tc>
          <w:tcPr>
            <w:tcW w:w="1062" w:type="dxa"/>
            <w:shd w:val="clear" w:color="auto" w:fill="D9D9D9" w:themeFill="background1" w:themeFillShade="D9"/>
            <w:vAlign w:val="center"/>
          </w:tcPr>
          <w:p w:rsidR="000D427A" w:rsidRPr="006A74F8" w:rsidRDefault="000D427A" w:rsidP="000D427A">
            <w:pPr>
              <w:spacing w:after="0" w:line="240" w:lineRule="auto"/>
              <w:jc w:val="center"/>
              <w:rPr>
                <w:rFonts w:eastAsia="Times New Roman" w:cstheme="minorHAnsi"/>
                <w:sz w:val="18"/>
                <w:szCs w:val="18"/>
                <w:lang w:eastAsia="en-AU"/>
              </w:rPr>
            </w:pPr>
          </w:p>
        </w:tc>
        <w:tc>
          <w:tcPr>
            <w:tcW w:w="1781" w:type="dxa"/>
            <w:shd w:val="clear" w:color="auto" w:fill="D9D9D9" w:themeFill="background1" w:themeFillShade="D9"/>
            <w:vAlign w:val="center"/>
          </w:tcPr>
          <w:p w:rsidR="000D427A" w:rsidRPr="006A74F8" w:rsidRDefault="000D427A" w:rsidP="000D427A">
            <w:pPr>
              <w:spacing w:after="0" w:line="240" w:lineRule="auto"/>
              <w:rPr>
                <w:rFonts w:eastAsia="Times New Roman" w:cstheme="minorHAnsi"/>
                <w:sz w:val="18"/>
                <w:szCs w:val="18"/>
                <w:lang w:eastAsia="en-AU"/>
              </w:rPr>
            </w:pPr>
          </w:p>
        </w:tc>
        <w:tc>
          <w:tcPr>
            <w:tcW w:w="1974" w:type="dxa"/>
            <w:shd w:val="clear" w:color="auto" w:fill="auto"/>
            <w:noWrap/>
            <w:vAlign w:val="center"/>
          </w:tcPr>
          <w:p w:rsidR="000D427A" w:rsidRPr="006A74F8"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tcPr>
          <w:p w:rsidR="000D427A" w:rsidRPr="006A74F8" w:rsidRDefault="000D427A" w:rsidP="000D427A">
            <w:pPr>
              <w:spacing w:after="0" w:line="240" w:lineRule="auto"/>
              <w:rPr>
                <w:rFonts w:eastAsia="Times New Roman" w:cstheme="minorHAnsi"/>
                <w:sz w:val="18"/>
                <w:szCs w:val="18"/>
                <w:lang w:eastAsia="en-AU"/>
              </w:rPr>
            </w:pPr>
          </w:p>
        </w:tc>
      </w:tr>
      <w:tr w:rsidR="000D427A" w:rsidRPr="006A74F8" w:rsidTr="006A10C6">
        <w:trPr>
          <w:trHeight w:val="546"/>
        </w:trPr>
        <w:tc>
          <w:tcPr>
            <w:tcW w:w="1417"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Supplying the relevant information and documents</w:t>
            </w:r>
          </w:p>
        </w:tc>
        <w:tc>
          <w:tcPr>
            <w:tcW w:w="1062"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(s18NK-NL) </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SL renewals expected yearly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w:t>
            </w:r>
            <w:r w:rsidR="00480C9F" w:rsidRPr="006A74F8">
              <w:rPr>
                <w:rFonts w:cstheme="minorHAnsi"/>
                <w:sz w:val="18"/>
                <w:szCs w:val="18"/>
              </w:rPr>
              <w:t>120</w:t>
            </w:r>
            <w:r w:rsidRPr="006A74F8">
              <w:rPr>
                <w:rFonts w:cstheme="minorHAnsi"/>
                <w:sz w:val="18"/>
                <w:szCs w:val="18"/>
              </w:rPr>
              <w:t xml:space="preserve"> </w:t>
            </w:r>
          </w:p>
        </w:tc>
        <w:tc>
          <w:tcPr>
            <w:tcW w:w="3405" w:type="dxa"/>
            <w:shd w:val="clear" w:color="auto" w:fill="auto"/>
            <w:hideMark/>
          </w:tcPr>
          <w:p w:rsidR="000D427A" w:rsidRPr="006A74F8" w:rsidRDefault="00480C9F" w:rsidP="000D427A">
            <w:pPr>
              <w:spacing w:after="0" w:line="240" w:lineRule="auto"/>
              <w:rPr>
                <w:rFonts w:eastAsia="Times New Roman" w:cstheme="minorHAnsi"/>
                <w:sz w:val="18"/>
                <w:szCs w:val="18"/>
                <w:lang w:eastAsia="en-AU"/>
              </w:rPr>
            </w:pPr>
            <w:r w:rsidRPr="006A74F8">
              <w:rPr>
                <w:rFonts w:cstheme="minorHAnsi"/>
                <w:sz w:val="18"/>
                <w:szCs w:val="18"/>
              </w:rPr>
              <w:t>120 licences are renewed annually</w:t>
            </w:r>
          </w:p>
        </w:tc>
      </w:tr>
      <w:tr w:rsidR="000D427A" w:rsidRPr="006A74F8" w:rsidTr="006A10C6">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Number of </w:t>
            </w:r>
            <w:r w:rsidR="00B561A3" w:rsidRPr="006A74F8">
              <w:rPr>
                <w:rFonts w:eastAsia="Times New Roman" w:cstheme="minorHAnsi"/>
                <w:sz w:val="18"/>
                <w:szCs w:val="18"/>
                <w:lang w:eastAsia="en-AU"/>
              </w:rPr>
              <w:t>persons required to do this</w:t>
            </w:r>
            <w:r w:rsidRPr="006A74F8">
              <w:rPr>
                <w:rFonts w:eastAsia="Times New Roman" w:cstheme="minorHAnsi"/>
                <w:sz w:val="18"/>
                <w:szCs w:val="18"/>
                <w:lang w:eastAsia="en-AU"/>
              </w:rPr>
              <w:t xml:space="preserve"> activity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1 </w:t>
            </w:r>
          </w:p>
        </w:tc>
        <w:tc>
          <w:tcPr>
            <w:tcW w:w="3405" w:type="dxa"/>
            <w:shd w:val="clear" w:color="auto" w:fill="auto"/>
            <w:hideMark/>
          </w:tcPr>
          <w:p w:rsidR="000D427A" w:rsidRPr="006A74F8" w:rsidRDefault="000D427A" w:rsidP="000D427A">
            <w:pPr>
              <w:spacing w:after="0" w:line="240" w:lineRule="auto"/>
              <w:rPr>
                <w:rFonts w:eastAsia="Times New Roman" w:cstheme="minorHAnsi"/>
                <w:sz w:val="18"/>
                <w:szCs w:val="18"/>
                <w:lang w:eastAsia="en-AU"/>
              </w:rPr>
            </w:pPr>
            <w:r w:rsidRPr="006A74F8">
              <w:rPr>
                <w:rFonts w:cstheme="minorHAnsi"/>
                <w:sz w:val="18"/>
                <w:szCs w:val="18"/>
              </w:rPr>
              <w:t xml:space="preserve">Minimum requirement of </w:t>
            </w:r>
            <w:r w:rsidR="004604B2" w:rsidRPr="006A74F8">
              <w:rPr>
                <w:rFonts w:cstheme="minorHAnsi"/>
                <w:sz w:val="18"/>
                <w:szCs w:val="18"/>
              </w:rPr>
              <w:t>one</w:t>
            </w:r>
            <w:r w:rsidRPr="006A74F8">
              <w:rPr>
                <w:rFonts w:cstheme="minorHAnsi"/>
                <w:sz w:val="18"/>
                <w:szCs w:val="18"/>
              </w:rPr>
              <w:t xml:space="preserve"> staff member</w:t>
            </w:r>
          </w:p>
        </w:tc>
      </w:tr>
      <w:tr w:rsidR="000D427A" w:rsidRPr="006A74F8" w:rsidTr="006A10C6">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D7133E"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perso</w:t>
            </w:r>
            <w:r w:rsidR="00B561A3" w:rsidRPr="006A74F8">
              <w:rPr>
                <w:rFonts w:eastAsia="Times New Roman" w:cstheme="minorHAnsi"/>
                <w:sz w:val="18"/>
                <w:szCs w:val="18"/>
                <w:lang w:eastAsia="en-AU"/>
              </w:rPr>
              <w:t>ns required to do this activity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w:t>
            </w:r>
            <w:r w:rsidR="00480C9F" w:rsidRPr="006A74F8">
              <w:rPr>
                <w:rFonts w:cstheme="minorHAnsi"/>
                <w:sz w:val="18"/>
                <w:szCs w:val="18"/>
              </w:rPr>
              <w:t>1</w:t>
            </w:r>
            <w:r w:rsidRPr="006A74F8">
              <w:rPr>
                <w:rFonts w:cstheme="minorHAnsi"/>
                <w:sz w:val="18"/>
                <w:szCs w:val="18"/>
              </w:rPr>
              <w:t xml:space="preserve"> </w:t>
            </w:r>
          </w:p>
        </w:tc>
        <w:tc>
          <w:tcPr>
            <w:tcW w:w="3405" w:type="dxa"/>
            <w:shd w:val="clear" w:color="auto" w:fill="auto"/>
            <w:hideMark/>
          </w:tcPr>
          <w:p w:rsidR="000D427A" w:rsidRPr="006A74F8" w:rsidRDefault="00480C9F" w:rsidP="000D427A">
            <w:pPr>
              <w:spacing w:after="0" w:line="240" w:lineRule="auto"/>
              <w:rPr>
                <w:rFonts w:eastAsia="Times New Roman" w:cstheme="minorHAnsi"/>
                <w:sz w:val="18"/>
                <w:szCs w:val="18"/>
                <w:lang w:eastAsia="en-AU"/>
              </w:rPr>
            </w:pPr>
            <w:r w:rsidRPr="006A74F8">
              <w:rPr>
                <w:rFonts w:cstheme="minorHAnsi"/>
                <w:sz w:val="18"/>
                <w:szCs w:val="18"/>
              </w:rPr>
              <w:t>Based on annual number of actual applications</w:t>
            </w:r>
          </w:p>
        </w:tc>
      </w:tr>
      <w:tr w:rsidR="000D427A" w:rsidRPr="006A74F8" w:rsidTr="006A10C6">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each staff to do activity (in hours)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w:t>
            </w:r>
            <w:r w:rsidR="00480C9F" w:rsidRPr="006A74F8">
              <w:rPr>
                <w:rFonts w:cstheme="minorHAnsi"/>
                <w:sz w:val="18"/>
                <w:szCs w:val="18"/>
              </w:rPr>
              <w:t>5</w:t>
            </w:r>
            <w:r w:rsidRPr="006A74F8">
              <w:rPr>
                <w:rFonts w:cstheme="minorHAnsi"/>
                <w:sz w:val="18"/>
                <w:szCs w:val="18"/>
              </w:rPr>
              <w:t xml:space="preserve"> </w:t>
            </w:r>
          </w:p>
        </w:tc>
        <w:tc>
          <w:tcPr>
            <w:tcW w:w="3405" w:type="dxa"/>
            <w:shd w:val="clear" w:color="auto" w:fill="auto"/>
            <w:hideMark/>
          </w:tcPr>
          <w:p w:rsidR="000D427A" w:rsidRPr="006A74F8" w:rsidRDefault="00480C9F" w:rsidP="000D427A">
            <w:pPr>
              <w:spacing w:after="0" w:line="240" w:lineRule="auto"/>
              <w:rPr>
                <w:rFonts w:eastAsia="Times New Roman" w:cstheme="minorHAnsi"/>
                <w:sz w:val="18"/>
                <w:szCs w:val="18"/>
                <w:lang w:eastAsia="en-AU"/>
              </w:rPr>
            </w:pPr>
            <w:r w:rsidRPr="006A74F8">
              <w:rPr>
                <w:rFonts w:cstheme="minorHAnsi"/>
                <w:sz w:val="18"/>
                <w:szCs w:val="18"/>
              </w:rPr>
              <w:t>NMI estimates</w:t>
            </w:r>
            <w:r w:rsidR="002D7AE8" w:rsidRPr="006A74F8">
              <w:rPr>
                <w:rFonts w:cstheme="minorHAnsi"/>
                <w:sz w:val="18"/>
                <w:szCs w:val="18"/>
              </w:rPr>
              <w:t xml:space="preserve"> </w:t>
            </w:r>
            <w:r w:rsidR="002D7AE8" w:rsidRPr="006A74F8">
              <w:rPr>
                <w:rFonts w:cstheme="minorHAnsi"/>
                <w:color w:val="000000"/>
                <w:sz w:val="18"/>
                <w:szCs w:val="18"/>
              </w:rPr>
              <w:t>including discounting for efficiency gains from learning from prior applications</w:t>
            </w:r>
          </w:p>
        </w:tc>
      </w:tr>
      <w:tr w:rsidR="000D427A" w:rsidRPr="006A74F8" w:rsidTr="006A10C6">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w:t>
            </w:r>
            <w:r w:rsidR="00480C9F" w:rsidRPr="006A74F8">
              <w:rPr>
                <w:rFonts w:cstheme="minorHAnsi"/>
                <w:sz w:val="18"/>
                <w:szCs w:val="18"/>
              </w:rPr>
              <w:t>110.83</w:t>
            </w:r>
            <w:r w:rsidRPr="006A74F8">
              <w:rPr>
                <w:rFonts w:cstheme="minorHAnsi"/>
                <w:sz w:val="18"/>
                <w:szCs w:val="18"/>
              </w:rPr>
              <w:t xml:space="preserve"> </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the ABS Cat 6306.0</w:t>
            </w:r>
            <w:r w:rsidRPr="006A74F8">
              <w:rPr>
                <w:rStyle w:val="FootnoteReference"/>
                <w:rFonts w:asciiTheme="minorHAnsi" w:eastAsia="Times New Roman" w:hAnsiTheme="minorHAnsi" w:cstheme="minorHAnsi"/>
                <w:sz w:val="18"/>
                <w:szCs w:val="18"/>
                <w:lang w:eastAsia="en-AU"/>
              </w:rPr>
              <w:footnoteReference w:id="206"/>
            </w:r>
            <w:r w:rsidRPr="006A74F8">
              <w:rPr>
                <w:rFonts w:eastAsia="Times New Roman" w:cstheme="minorHAnsi"/>
                <w:sz w:val="18"/>
                <w:szCs w:val="18"/>
                <w:lang w:eastAsia="en-AU"/>
              </w:rPr>
              <w:t xml:space="preserve"> average weekly earnings for various engineering and technical wage</w:t>
            </w:r>
          </w:p>
        </w:tc>
      </w:tr>
      <w:tr w:rsidR="000D427A" w:rsidRPr="006A74F8" w:rsidTr="004604B2">
        <w:trPr>
          <w:trHeight w:val="273"/>
        </w:trPr>
        <w:tc>
          <w:tcPr>
            <w:tcW w:w="1417"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1062"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Cost of Activity </w:t>
            </w:r>
            <w:r w:rsidR="002B064F" w:rsidRPr="006A74F8">
              <w:rPr>
                <w:rFonts w:eastAsia="Times New Roman" w:cstheme="minorHAnsi"/>
                <w:sz w:val="18"/>
                <w:szCs w:val="18"/>
                <w:lang w:eastAsia="en-AU"/>
              </w:rPr>
              <w:t>b</w:t>
            </w:r>
            <w:r w:rsidRPr="006A74F8">
              <w:rPr>
                <w:rFonts w:eastAsia="Times New Roman" w:cstheme="minorHAnsi"/>
                <w:sz w:val="18"/>
                <w:szCs w:val="18"/>
                <w:lang w:eastAsia="en-AU"/>
              </w:rPr>
              <w:t xml:space="preserve"> = </w:t>
            </w:r>
          </w:p>
        </w:tc>
        <w:tc>
          <w:tcPr>
            <w:tcW w:w="1974" w:type="dxa"/>
            <w:shd w:val="clear" w:color="auto" w:fill="auto"/>
            <w:noWrap/>
            <w:vAlign w:val="center"/>
            <w:hideMark/>
          </w:tcPr>
          <w:p w:rsidR="000D427A" w:rsidRPr="006A74F8" w:rsidRDefault="002D7AE8"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w:t>
            </w:r>
            <w:r w:rsidR="00D7133E" w:rsidRPr="006A74F8">
              <w:rPr>
                <w:rFonts w:eastAsia="Times New Roman" w:cstheme="minorHAnsi"/>
                <w:b/>
                <w:bCs/>
                <w:sz w:val="18"/>
                <w:szCs w:val="18"/>
                <w:lang w:eastAsia="en-AU"/>
              </w:rPr>
              <w:t>66,498</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4604B2">
        <w:trPr>
          <w:trHeight w:val="273"/>
        </w:trPr>
        <w:tc>
          <w:tcPr>
            <w:tcW w:w="4260" w:type="dxa"/>
            <w:gridSpan w:val="3"/>
            <w:shd w:val="clear" w:color="auto" w:fill="D9D9D9" w:themeFill="background1" w:themeFillShade="D9"/>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Total cost of renewal </w:t>
            </w:r>
          </w:p>
        </w:tc>
        <w:tc>
          <w:tcPr>
            <w:tcW w:w="1974" w:type="dxa"/>
            <w:shd w:val="clear" w:color="auto" w:fill="D9D9D9" w:themeFill="background1" w:themeFillShade="D9"/>
            <w:noWrap/>
            <w:vAlign w:val="center"/>
            <w:hideMark/>
          </w:tcPr>
          <w:p w:rsidR="000D427A" w:rsidRPr="006A74F8" w:rsidRDefault="00D7133E"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$79,798</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506AF2" w:rsidRPr="006A74F8" w:rsidTr="00144B87">
        <w:trPr>
          <w:trHeight w:val="268"/>
        </w:trPr>
        <w:tc>
          <w:tcPr>
            <w:tcW w:w="9639" w:type="dxa"/>
            <w:gridSpan w:val="5"/>
            <w:shd w:val="clear" w:color="auto" w:fill="auto"/>
            <w:noWrap/>
            <w:vAlign w:val="bottom"/>
            <w:hideMark/>
          </w:tcPr>
          <w:p w:rsidR="00506AF2" w:rsidRPr="006A74F8" w:rsidRDefault="00506AF2" w:rsidP="000D427A">
            <w:pPr>
              <w:spacing w:after="0" w:line="240" w:lineRule="auto"/>
              <w:rPr>
                <w:rFonts w:eastAsia="Times New Roman" w:cstheme="minorHAnsi"/>
                <w:sz w:val="18"/>
                <w:szCs w:val="18"/>
                <w:lang w:eastAsia="en-AU"/>
              </w:rPr>
            </w:pPr>
          </w:p>
        </w:tc>
      </w:tr>
      <w:tr w:rsidR="000D427A" w:rsidRPr="006A74F8" w:rsidTr="00A03099">
        <w:trPr>
          <w:trHeight w:val="273"/>
        </w:trPr>
        <w:tc>
          <w:tcPr>
            <w:tcW w:w="4260" w:type="dxa"/>
            <w:gridSpan w:val="3"/>
            <w:shd w:val="clear" w:color="auto" w:fill="D9D9D9" w:themeFill="background1" w:themeFillShade="D9"/>
            <w:vAlign w:val="center"/>
            <w:hideMark/>
          </w:tcPr>
          <w:p w:rsidR="000D427A" w:rsidRPr="006A74F8" w:rsidRDefault="000D427A" w:rsidP="00A03099">
            <w:pPr>
              <w:pStyle w:val="ListParagraph"/>
              <w:numPr>
                <w:ilvl w:val="1"/>
                <w:numId w:val="14"/>
              </w:numPr>
              <w:tabs>
                <w:tab w:val="clear" w:pos="1440"/>
                <w:tab w:val="num" w:pos="738"/>
              </w:tabs>
              <w:spacing w:after="0" w:line="240" w:lineRule="auto"/>
              <w:ind w:left="596"/>
              <w:jc w:val="center"/>
              <w:rPr>
                <w:rFonts w:eastAsia="Times New Roman" w:cstheme="minorHAnsi"/>
                <w:b/>
                <w:bCs/>
                <w:sz w:val="18"/>
                <w:szCs w:val="18"/>
                <w:lang w:eastAsia="en-AU"/>
              </w:rPr>
            </w:pPr>
            <w:r w:rsidRPr="006A74F8">
              <w:rPr>
                <w:rFonts w:eastAsia="Times New Roman" w:cstheme="minorHAnsi"/>
                <w:b/>
                <w:bCs/>
                <w:sz w:val="18"/>
                <w:szCs w:val="18"/>
                <w:lang w:eastAsia="en-AU"/>
              </w:rPr>
              <w:t>COMPETENCY: STATEMENT OF ATTAINMENT</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STATEMENT OF ATTAINMENT OF A VERIFIER</w:t>
            </w:r>
          </w:p>
        </w:tc>
      </w:tr>
      <w:tr w:rsidR="000D427A" w:rsidRPr="006A74F8" w:rsidTr="006A10C6">
        <w:trPr>
          <w:trHeight w:val="546"/>
        </w:trPr>
        <w:tc>
          <w:tcPr>
            <w:tcW w:w="1417"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Time required for assessment to obtain the Statement of Attainment</w:t>
            </w:r>
          </w:p>
        </w:tc>
        <w:tc>
          <w:tcPr>
            <w:tcW w:w="1062"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(s18NH 9(a)-(c), reg 2.43 9A)</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Number of SL expected to apply / renew annually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w:t>
            </w:r>
            <w:r w:rsidR="002D7AE8" w:rsidRPr="006A74F8">
              <w:rPr>
                <w:rFonts w:cstheme="minorHAnsi"/>
                <w:sz w:val="18"/>
                <w:szCs w:val="18"/>
              </w:rPr>
              <w:t>120</w:t>
            </w:r>
            <w:r w:rsidRPr="006A74F8">
              <w:rPr>
                <w:rFonts w:cstheme="minorHAnsi"/>
                <w:sz w:val="18"/>
                <w:szCs w:val="18"/>
              </w:rPr>
              <w:t xml:space="preserve"> </w:t>
            </w:r>
          </w:p>
        </w:tc>
        <w:tc>
          <w:tcPr>
            <w:tcW w:w="3405" w:type="dxa"/>
            <w:shd w:val="clear" w:color="auto" w:fill="auto"/>
            <w:hideMark/>
          </w:tcPr>
          <w:p w:rsidR="000D427A" w:rsidRPr="006A74F8" w:rsidRDefault="002D7AE8" w:rsidP="000D427A">
            <w:pPr>
              <w:spacing w:after="0" w:line="240" w:lineRule="auto"/>
              <w:rPr>
                <w:rFonts w:eastAsia="Times New Roman" w:cstheme="minorHAnsi"/>
                <w:sz w:val="18"/>
                <w:szCs w:val="18"/>
                <w:lang w:eastAsia="en-AU"/>
              </w:rPr>
            </w:pPr>
            <w:r w:rsidRPr="006A74F8">
              <w:rPr>
                <w:rFonts w:cstheme="minorHAnsi"/>
                <w:sz w:val="18"/>
                <w:szCs w:val="18"/>
              </w:rPr>
              <w:t>120 licences are renewed annually</w:t>
            </w:r>
          </w:p>
        </w:tc>
      </w:tr>
      <w:tr w:rsidR="000D427A" w:rsidRPr="006A74F8" w:rsidTr="006A10C6">
        <w:trPr>
          <w:trHeight w:val="273"/>
        </w:trPr>
        <w:tc>
          <w:tcPr>
            <w:tcW w:w="1417"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Number of </w:t>
            </w:r>
            <w:r w:rsidR="00B561A3" w:rsidRPr="006A74F8">
              <w:rPr>
                <w:rFonts w:eastAsia="Times New Roman" w:cstheme="minorHAnsi"/>
                <w:sz w:val="18"/>
                <w:szCs w:val="18"/>
                <w:lang w:eastAsia="en-AU"/>
              </w:rPr>
              <w:t>persons required to do this</w:t>
            </w:r>
            <w:r w:rsidRPr="006A74F8">
              <w:rPr>
                <w:rFonts w:eastAsia="Times New Roman" w:cstheme="minorHAnsi"/>
                <w:sz w:val="18"/>
                <w:szCs w:val="18"/>
                <w:lang w:eastAsia="en-AU"/>
              </w:rPr>
              <w:t xml:space="preserve"> activity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1</w:t>
            </w:r>
          </w:p>
        </w:tc>
        <w:tc>
          <w:tcPr>
            <w:tcW w:w="3405" w:type="dxa"/>
            <w:shd w:val="clear" w:color="auto" w:fill="auto"/>
            <w:hideMark/>
          </w:tcPr>
          <w:p w:rsidR="000D427A" w:rsidRPr="006A74F8" w:rsidRDefault="002D7AE8" w:rsidP="000D427A">
            <w:pPr>
              <w:spacing w:after="0" w:line="240" w:lineRule="auto"/>
              <w:rPr>
                <w:rFonts w:eastAsia="Times New Roman" w:cstheme="minorHAnsi"/>
                <w:sz w:val="18"/>
                <w:szCs w:val="18"/>
                <w:lang w:eastAsia="en-AU"/>
              </w:rPr>
            </w:pPr>
            <w:r w:rsidRPr="006A74F8">
              <w:rPr>
                <w:rFonts w:cstheme="minorHAnsi"/>
                <w:sz w:val="18"/>
                <w:szCs w:val="18"/>
              </w:rPr>
              <w:t>minimum</w:t>
            </w:r>
            <w:r w:rsidR="000D427A" w:rsidRPr="006A74F8">
              <w:rPr>
                <w:rFonts w:cstheme="minorHAnsi"/>
                <w:sz w:val="18"/>
                <w:szCs w:val="18"/>
              </w:rPr>
              <w:t xml:space="preserve"> requirement of </w:t>
            </w:r>
            <w:r w:rsidR="004D32E3" w:rsidRPr="006A74F8">
              <w:rPr>
                <w:rFonts w:cstheme="minorHAnsi"/>
                <w:sz w:val="18"/>
                <w:szCs w:val="18"/>
              </w:rPr>
              <w:t>one</w:t>
            </w:r>
            <w:r w:rsidR="000D427A" w:rsidRPr="006A74F8">
              <w:rPr>
                <w:rFonts w:cstheme="minorHAnsi"/>
                <w:sz w:val="18"/>
                <w:szCs w:val="18"/>
              </w:rPr>
              <w:t xml:space="preserve"> verifier per SL</w:t>
            </w:r>
          </w:p>
        </w:tc>
      </w:tr>
      <w:tr w:rsidR="000D427A" w:rsidRPr="006A74F8" w:rsidTr="006A10C6">
        <w:trPr>
          <w:trHeight w:val="546"/>
        </w:trPr>
        <w:tc>
          <w:tcPr>
            <w:tcW w:w="1417"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A7004E" w:rsidP="00A03099">
            <w:pPr>
              <w:rPr>
                <w:rFonts w:eastAsia="Times New Roman" w:cstheme="minorHAnsi"/>
                <w:sz w:val="18"/>
                <w:szCs w:val="18"/>
                <w:lang w:eastAsia="en-AU"/>
              </w:rPr>
            </w:pPr>
            <w:r w:rsidRPr="006A74F8">
              <w:rPr>
                <w:rFonts w:eastAsia="Times New Roman" w:cstheme="minorHAnsi"/>
                <w:sz w:val="18"/>
                <w:szCs w:val="18"/>
                <w:lang w:eastAsia="en-AU"/>
              </w:rPr>
              <w:t>Number of times activi</w:t>
            </w:r>
            <w:r w:rsidR="00B561A3" w:rsidRPr="006A74F8">
              <w:rPr>
                <w:rFonts w:eastAsia="Times New Roman" w:cstheme="minorHAnsi"/>
                <w:sz w:val="18"/>
                <w:szCs w:val="18"/>
                <w:lang w:eastAsia="en-AU"/>
              </w:rPr>
              <w:t>ty performed per year per staff</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w:t>
            </w:r>
            <w:r w:rsidR="002D7AE8" w:rsidRPr="006A74F8">
              <w:rPr>
                <w:rFonts w:cstheme="minorHAnsi"/>
                <w:sz w:val="18"/>
                <w:szCs w:val="18"/>
              </w:rPr>
              <w:t>1</w:t>
            </w:r>
            <w:r w:rsidRPr="006A74F8">
              <w:rPr>
                <w:rFonts w:cstheme="minorHAnsi"/>
                <w:sz w:val="18"/>
                <w:szCs w:val="18"/>
              </w:rPr>
              <w:t xml:space="preserve"> </w:t>
            </w:r>
          </w:p>
        </w:tc>
        <w:tc>
          <w:tcPr>
            <w:tcW w:w="3405" w:type="dxa"/>
            <w:shd w:val="clear" w:color="auto" w:fill="auto"/>
            <w:hideMark/>
          </w:tcPr>
          <w:p w:rsidR="000D427A" w:rsidRPr="006A74F8" w:rsidRDefault="002D7AE8" w:rsidP="000D427A">
            <w:pPr>
              <w:spacing w:after="0" w:line="240" w:lineRule="auto"/>
              <w:rPr>
                <w:rFonts w:eastAsia="Times New Roman" w:cstheme="minorHAnsi"/>
                <w:sz w:val="18"/>
                <w:szCs w:val="18"/>
                <w:lang w:eastAsia="en-AU"/>
              </w:rPr>
            </w:pPr>
            <w:r w:rsidRPr="006A74F8">
              <w:rPr>
                <w:rFonts w:cstheme="minorHAnsi"/>
                <w:sz w:val="18"/>
                <w:szCs w:val="18"/>
              </w:rPr>
              <w:t>Based on annual number of actual applications</w:t>
            </w:r>
          </w:p>
        </w:tc>
      </w:tr>
      <w:tr w:rsidR="000D427A" w:rsidRPr="006A74F8" w:rsidTr="006A10C6">
        <w:trPr>
          <w:trHeight w:val="546"/>
        </w:trPr>
        <w:tc>
          <w:tcPr>
            <w:tcW w:w="1417"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A7004E"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Average time of each staff to do activity (in hours)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8</w:t>
            </w:r>
          </w:p>
        </w:tc>
        <w:tc>
          <w:tcPr>
            <w:tcW w:w="3405" w:type="dxa"/>
            <w:shd w:val="clear" w:color="auto" w:fill="auto"/>
            <w:vAlign w:val="center"/>
            <w:hideMark/>
          </w:tcPr>
          <w:p w:rsidR="000D427A" w:rsidRPr="006A74F8" w:rsidRDefault="002D7AE8"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Assessment takes a maximum of </w:t>
            </w:r>
            <w:r w:rsidR="004D32E3" w:rsidRPr="006A74F8">
              <w:rPr>
                <w:rFonts w:eastAsia="Times New Roman" w:cstheme="minorHAnsi"/>
                <w:sz w:val="18"/>
                <w:szCs w:val="18"/>
                <w:lang w:eastAsia="en-AU"/>
              </w:rPr>
              <w:t>one</w:t>
            </w:r>
            <w:r w:rsidRPr="006A74F8">
              <w:rPr>
                <w:rFonts w:eastAsia="Times New Roman" w:cstheme="minorHAnsi"/>
                <w:sz w:val="18"/>
                <w:szCs w:val="18"/>
                <w:lang w:eastAsia="en-AU"/>
              </w:rPr>
              <w:t xml:space="preserve"> day</w:t>
            </w:r>
          </w:p>
        </w:tc>
      </w:tr>
      <w:tr w:rsidR="000D427A" w:rsidRPr="006A74F8" w:rsidTr="006A10C6">
        <w:trPr>
          <w:trHeight w:val="273"/>
        </w:trPr>
        <w:tc>
          <w:tcPr>
            <w:tcW w:w="1417"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1062"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A7004E"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w:t>
            </w:r>
            <w:r w:rsidR="00A7004E" w:rsidRPr="006A74F8">
              <w:rPr>
                <w:rFonts w:cstheme="minorHAnsi"/>
                <w:sz w:val="18"/>
                <w:szCs w:val="18"/>
              </w:rPr>
              <w:t>110.83</w:t>
            </w:r>
            <w:r w:rsidRPr="006A74F8">
              <w:rPr>
                <w:rFonts w:cstheme="minorHAnsi"/>
                <w:sz w:val="18"/>
                <w:szCs w:val="18"/>
              </w:rPr>
              <w:t xml:space="preserve"> </w:t>
            </w:r>
          </w:p>
        </w:tc>
        <w:tc>
          <w:tcPr>
            <w:tcW w:w="3405" w:type="dxa"/>
            <w:shd w:val="clear" w:color="auto" w:fill="auto"/>
            <w:vAlign w:val="center"/>
            <w:hideMark/>
          </w:tcPr>
          <w:p w:rsidR="000D427A" w:rsidRPr="006A74F8" w:rsidRDefault="00A7004E"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the ABS Cat 6306.0</w:t>
            </w:r>
            <w:r w:rsidRPr="006A74F8">
              <w:rPr>
                <w:rStyle w:val="FootnoteReference"/>
                <w:rFonts w:asciiTheme="minorHAnsi" w:eastAsia="Times New Roman" w:hAnsiTheme="minorHAnsi" w:cstheme="minorHAnsi"/>
                <w:sz w:val="18"/>
                <w:szCs w:val="18"/>
                <w:lang w:eastAsia="en-AU"/>
              </w:rPr>
              <w:footnoteReference w:id="207"/>
            </w:r>
            <w:r w:rsidRPr="006A74F8">
              <w:rPr>
                <w:rFonts w:eastAsia="Times New Roman" w:cstheme="minorHAnsi"/>
                <w:sz w:val="18"/>
                <w:szCs w:val="18"/>
                <w:lang w:eastAsia="en-AU"/>
              </w:rPr>
              <w:t xml:space="preserve"> average weekly earnings for various engineering </w:t>
            </w:r>
            <w:r w:rsidRPr="006A74F8">
              <w:rPr>
                <w:rFonts w:eastAsia="Times New Roman" w:cstheme="minorHAnsi"/>
                <w:sz w:val="18"/>
                <w:szCs w:val="18"/>
                <w:lang w:eastAsia="en-AU"/>
              </w:rPr>
              <w:lastRenderedPageBreak/>
              <w:t>and technical wage including 1.75 multiplier</w:t>
            </w:r>
            <w:r w:rsidRPr="006A74F8">
              <w:rPr>
                <w:rStyle w:val="FootnoteReference"/>
                <w:rFonts w:asciiTheme="minorHAnsi" w:eastAsia="Times New Roman" w:hAnsiTheme="minorHAnsi" w:cstheme="minorHAnsi"/>
                <w:sz w:val="18"/>
                <w:szCs w:val="18"/>
                <w:lang w:eastAsia="en-AU"/>
              </w:rPr>
              <w:footnoteReference w:id="208"/>
            </w:r>
            <w:r w:rsidRPr="006A74F8">
              <w:rPr>
                <w:rFonts w:eastAsia="Times New Roman" w:cstheme="minorHAnsi"/>
                <w:sz w:val="18"/>
                <w:szCs w:val="18"/>
                <w:lang w:eastAsia="en-AU"/>
              </w:rPr>
              <w:t xml:space="preserve"> for on-costs</w:t>
            </w:r>
          </w:p>
        </w:tc>
      </w:tr>
      <w:tr w:rsidR="000D427A" w:rsidRPr="006A74F8" w:rsidTr="00A03099">
        <w:trPr>
          <w:trHeight w:val="273"/>
        </w:trPr>
        <w:tc>
          <w:tcPr>
            <w:tcW w:w="4260" w:type="dxa"/>
            <w:gridSpan w:val="3"/>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eastAsia="Times New Roman" w:cstheme="minorHAnsi"/>
                <w:sz w:val="18"/>
                <w:szCs w:val="18"/>
                <w:lang w:eastAsia="en-AU"/>
              </w:rPr>
              <w:lastRenderedPageBreak/>
              <w:t> </w:t>
            </w:r>
            <w:r w:rsidR="00F23D41" w:rsidRPr="006A74F8">
              <w:rPr>
                <w:rFonts w:eastAsia="Times New Roman" w:cstheme="minorHAnsi"/>
                <w:b/>
                <w:sz w:val="18"/>
                <w:szCs w:val="18"/>
                <w:lang w:eastAsia="en-AU"/>
              </w:rPr>
              <w:t>Total c</w:t>
            </w:r>
            <w:r w:rsidRPr="006A74F8">
              <w:rPr>
                <w:rFonts w:eastAsia="Times New Roman" w:cstheme="minorHAnsi"/>
                <w:b/>
                <w:bCs/>
                <w:sz w:val="18"/>
                <w:szCs w:val="18"/>
                <w:lang w:eastAsia="en-AU"/>
              </w:rPr>
              <w:t xml:space="preserve">ost </w:t>
            </w:r>
            <w:r w:rsidR="00F23D41" w:rsidRPr="006A74F8">
              <w:rPr>
                <w:rFonts w:eastAsia="Times New Roman" w:cstheme="minorHAnsi"/>
                <w:b/>
                <w:bCs/>
                <w:sz w:val="18"/>
                <w:szCs w:val="18"/>
                <w:lang w:eastAsia="en-AU"/>
              </w:rPr>
              <w:t>of</w:t>
            </w:r>
            <w:r w:rsidRPr="006A74F8">
              <w:rPr>
                <w:rFonts w:eastAsia="Times New Roman" w:cstheme="minorHAnsi"/>
                <w:b/>
                <w:bCs/>
                <w:sz w:val="18"/>
                <w:szCs w:val="18"/>
                <w:lang w:eastAsia="en-AU"/>
              </w:rPr>
              <w:t xml:space="preserve"> competency =</w:t>
            </w:r>
          </w:p>
        </w:tc>
        <w:tc>
          <w:tcPr>
            <w:tcW w:w="1974" w:type="dxa"/>
            <w:shd w:val="clear" w:color="auto" w:fill="D9D9D9" w:themeFill="background1" w:themeFillShade="D9"/>
            <w:noWrap/>
            <w:vAlign w:val="center"/>
            <w:hideMark/>
          </w:tcPr>
          <w:p w:rsidR="000D427A" w:rsidRPr="006A74F8" w:rsidRDefault="00A7004E"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w:t>
            </w:r>
            <w:r w:rsidR="00D7133E" w:rsidRPr="006A74F8">
              <w:rPr>
                <w:rFonts w:eastAsia="Times New Roman" w:cstheme="minorHAnsi"/>
                <w:b/>
                <w:bCs/>
                <w:sz w:val="18"/>
                <w:szCs w:val="18"/>
                <w:lang w:eastAsia="en-AU"/>
              </w:rPr>
              <w:t>106,397</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p>
        </w:tc>
      </w:tr>
      <w:tr w:rsidR="00506AF2" w:rsidRPr="006A74F8" w:rsidTr="00506AF2">
        <w:trPr>
          <w:trHeight w:val="114"/>
        </w:trPr>
        <w:tc>
          <w:tcPr>
            <w:tcW w:w="9639" w:type="dxa"/>
            <w:gridSpan w:val="5"/>
            <w:shd w:val="clear" w:color="auto" w:fill="auto"/>
            <w:vAlign w:val="center"/>
            <w:hideMark/>
          </w:tcPr>
          <w:p w:rsidR="00506AF2" w:rsidRPr="006A74F8" w:rsidRDefault="00506AF2" w:rsidP="000D427A">
            <w:pPr>
              <w:spacing w:after="0" w:line="240" w:lineRule="auto"/>
              <w:rPr>
                <w:rFonts w:eastAsia="Times New Roman" w:cstheme="minorHAnsi"/>
                <w:sz w:val="18"/>
                <w:szCs w:val="18"/>
                <w:lang w:eastAsia="en-AU"/>
              </w:rPr>
            </w:pPr>
          </w:p>
        </w:tc>
      </w:tr>
      <w:tr w:rsidR="000D427A" w:rsidRPr="006A74F8" w:rsidTr="00A03099">
        <w:trPr>
          <w:trHeight w:val="273"/>
        </w:trPr>
        <w:tc>
          <w:tcPr>
            <w:tcW w:w="4260" w:type="dxa"/>
            <w:gridSpan w:val="3"/>
            <w:shd w:val="clear" w:color="auto" w:fill="D9D9D9" w:themeFill="background1" w:themeFillShade="D9"/>
            <w:vAlign w:val="center"/>
            <w:hideMark/>
          </w:tcPr>
          <w:p w:rsidR="000D427A" w:rsidRPr="006A74F8" w:rsidRDefault="00524396" w:rsidP="00524396">
            <w:pPr>
              <w:pStyle w:val="ListParagraph"/>
              <w:spacing w:after="0" w:line="240" w:lineRule="auto"/>
              <w:ind w:left="29" w:firstLine="0"/>
              <w:jc w:val="center"/>
              <w:rPr>
                <w:rFonts w:eastAsia="Times New Roman" w:cstheme="minorHAnsi"/>
                <w:b/>
                <w:bCs/>
                <w:sz w:val="18"/>
                <w:szCs w:val="18"/>
                <w:lang w:eastAsia="en-AU"/>
              </w:rPr>
            </w:pPr>
            <w:r w:rsidRPr="006A74F8">
              <w:rPr>
                <w:rFonts w:cstheme="minorHAnsi"/>
                <w:sz w:val="18"/>
                <w:szCs w:val="18"/>
                <w:lang w:eastAsia="en-AU"/>
              </w:rPr>
              <w:t>4.</w:t>
            </w:r>
            <w:r w:rsidR="002B064F" w:rsidRPr="006A74F8">
              <w:rPr>
                <w:rFonts w:cstheme="minorHAnsi"/>
                <w:sz w:val="18"/>
                <w:szCs w:val="18"/>
                <w:lang w:eastAsia="en-AU"/>
              </w:rPr>
              <w:t xml:space="preserve"> </w:t>
            </w:r>
            <w:r w:rsidR="000D427A" w:rsidRPr="006A74F8">
              <w:rPr>
                <w:rFonts w:eastAsia="Times New Roman" w:cstheme="minorHAnsi"/>
                <w:b/>
                <w:bCs/>
                <w:sz w:val="18"/>
                <w:szCs w:val="18"/>
                <w:lang w:eastAsia="en-AU"/>
              </w:rPr>
              <w:t xml:space="preserve">REPORTING </w:t>
            </w:r>
            <w:r w:rsidR="002B064F" w:rsidRPr="006A74F8">
              <w:rPr>
                <w:rFonts w:eastAsia="Times New Roman" w:cstheme="minorHAnsi"/>
                <w:b/>
                <w:bCs/>
                <w:sz w:val="18"/>
                <w:szCs w:val="18"/>
                <w:lang w:eastAsia="en-AU"/>
              </w:rPr>
              <w:t>TO THE SECRETARY ON VERIFICATIONS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REPORTING EACH YEAR</w:t>
            </w:r>
          </w:p>
        </w:tc>
      </w:tr>
      <w:tr w:rsidR="000D427A" w:rsidRPr="006A74F8" w:rsidTr="006A10C6">
        <w:trPr>
          <w:trHeight w:val="546"/>
        </w:trPr>
        <w:tc>
          <w:tcPr>
            <w:tcW w:w="1417" w:type="dxa"/>
            <w:vMerge w:val="restart"/>
            <w:shd w:val="clear" w:color="auto" w:fill="D9D9D9" w:themeFill="background1" w:themeFillShade="D9"/>
            <w:vAlign w:val="center"/>
            <w:hideMark/>
          </w:tcPr>
          <w:p w:rsidR="000D427A" w:rsidRPr="006A74F8" w:rsidRDefault="00B561A3"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F</w:t>
            </w:r>
            <w:r w:rsidR="00A7004E" w:rsidRPr="006A74F8">
              <w:rPr>
                <w:rFonts w:eastAsia="Times New Roman" w:cstheme="minorHAnsi"/>
                <w:sz w:val="18"/>
                <w:szCs w:val="18"/>
                <w:lang w:eastAsia="en-AU"/>
              </w:rPr>
              <w:t>orm</w:t>
            </w:r>
            <w:r w:rsidR="000D427A" w:rsidRPr="006A74F8">
              <w:rPr>
                <w:rFonts w:eastAsia="Times New Roman" w:cstheme="minorHAnsi"/>
                <w:sz w:val="18"/>
                <w:szCs w:val="18"/>
                <w:lang w:eastAsia="en-AU"/>
              </w:rPr>
              <w:t xml:space="preserve"> 6</w:t>
            </w:r>
          </w:p>
        </w:tc>
        <w:tc>
          <w:tcPr>
            <w:tcW w:w="1062"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(s18NH d, e, h, g, reg 2.43 10-16) </w:t>
            </w:r>
          </w:p>
        </w:tc>
        <w:tc>
          <w:tcPr>
            <w:tcW w:w="1781" w:type="dxa"/>
            <w:shd w:val="clear" w:color="auto" w:fill="D9D9D9" w:themeFill="background1" w:themeFillShade="D9"/>
            <w:vAlign w:val="center"/>
            <w:hideMark/>
          </w:tcPr>
          <w:p w:rsidR="000D427A" w:rsidRPr="006A74F8" w:rsidRDefault="004D32E3"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w:t>
            </w:r>
            <w:r w:rsidR="000D427A" w:rsidRPr="006A74F8">
              <w:rPr>
                <w:rFonts w:eastAsia="Times New Roman" w:cstheme="minorHAnsi"/>
                <w:sz w:val="18"/>
                <w:szCs w:val="18"/>
                <w:lang w:eastAsia="en-AU"/>
              </w:rPr>
              <w:t xml:space="preserve">umber of measuring instruments verified </w:t>
            </w:r>
            <w:r w:rsidR="008C0A0F" w:rsidRPr="006A74F8">
              <w:rPr>
                <w:rFonts w:eastAsia="Times New Roman" w:cstheme="minorHAnsi"/>
                <w:sz w:val="18"/>
                <w:szCs w:val="18"/>
                <w:lang w:eastAsia="en-AU"/>
              </w:rPr>
              <w:t>and</w:t>
            </w:r>
            <w:r w:rsidR="000D427A" w:rsidRPr="006A74F8">
              <w:rPr>
                <w:rFonts w:eastAsia="Times New Roman" w:cstheme="minorHAnsi"/>
                <w:sz w:val="18"/>
                <w:szCs w:val="18"/>
                <w:lang w:eastAsia="en-AU"/>
              </w:rPr>
              <w:t xml:space="preserve"> reverified per year</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78,198 </w:t>
            </w:r>
          </w:p>
        </w:tc>
        <w:tc>
          <w:tcPr>
            <w:tcW w:w="3405" w:type="dxa"/>
            <w:shd w:val="clear" w:color="auto" w:fill="auto"/>
            <w:vAlign w:val="bottom"/>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Based on 3 year average number of reported </w:t>
            </w:r>
            <w:r w:rsidR="002108FE" w:rsidRPr="006A74F8">
              <w:rPr>
                <w:rFonts w:eastAsia="Times New Roman" w:cstheme="minorHAnsi"/>
                <w:sz w:val="18"/>
                <w:szCs w:val="18"/>
                <w:lang w:eastAsia="en-AU"/>
              </w:rPr>
              <w:t>measuring instruments</w:t>
            </w:r>
            <w:r w:rsidRPr="006A74F8">
              <w:rPr>
                <w:rFonts w:eastAsia="Times New Roman" w:cstheme="minorHAnsi"/>
                <w:sz w:val="18"/>
                <w:szCs w:val="18"/>
                <w:lang w:eastAsia="en-AU"/>
              </w:rPr>
              <w:t xml:space="preserve"> verified </w:t>
            </w:r>
            <w:r w:rsidR="008C0A0F" w:rsidRPr="006A74F8">
              <w:rPr>
                <w:rFonts w:eastAsia="Times New Roman" w:cstheme="minorHAnsi"/>
                <w:sz w:val="18"/>
                <w:szCs w:val="18"/>
                <w:lang w:eastAsia="en-AU"/>
              </w:rPr>
              <w:t>and</w:t>
            </w:r>
            <w:r w:rsidRPr="006A74F8">
              <w:rPr>
                <w:rFonts w:eastAsia="Times New Roman" w:cstheme="minorHAnsi"/>
                <w:sz w:val="18"/>
                <w:szCs w:val="18"/>
                <w:lang w:eastAsia="en-AU"/>
              </w:rPr>
              <w:t xml:space="preserve"> reverified</w:t>
            </w:r>
            <w:r w:rsidR="00392F71" w:rsidRPr="006A74F8">
              <w:rPr>
                <w:rStyle w:val="FootnoteReference"/>
                <w:rFonts w:asciiTheme="minorHAnsi" w:hAnsiTheme="minorHAnsi" w:cstheme="minorHAnsi"/>
                <w:color w:val="000000"/>
                <w:sz w:val="18"/>
                <w:szCs w:val="18"/>
              </w:rPr>
              <w:footnoteReference w:id="209"/>
            </w:r>
          </w:p>
        </w:tc>
      </w:tr>
      <w:tr w:rsidR="000D427A" w:rsidRPr="006A74F8" w:rsidTr="006A10C6">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Time required to report the verification</w:t>
            </w:r>
            <w:r w:rsidR="00D7133E" w:rsidRPr="006A74F8">
              <w:rPr>
                <w:rFonts w:eastAsia="Times New Roman" w:cstheme="minorHAnsi"/>
                <w:sz w:val="18"/>
                <w:szCs w:val="18"/>
                <w:lang w:eastAsia="en-AU"/>
              </w:rPr>
              <w:t xml:space="preserve"> in hrs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0.25 </w:t>
            </w:r>
          </w:p>
        </w:tc>
        <w:tc>
          <w:tcPr>
            <w:tcW w:w="3405" w:type="dxa"/>
            <w:shd w:val="clear" w:color="auto" w:fill="auto"/>
            <w:vAlign w:val="bottom"/>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15 minutes to report, on each verification on Form 6</w:t>
            </w:r>
          </w:p>
        </w:tc>
      </w:tr>
      <w:tr w:rsidR="000D427A" w:rsidRPr="006A74F8" w:rsidTr="006A10C6">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persons required to do this activity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1 </w:t>
            </w:r>
          </w:p>
        </w:tc>
        <w:tc>
          <w:tcPr>
            <w:tcW w:w="3405" w:type="dxa"/>
            <w:shd w:val="clear" w:color="auto" w:fill="auto"/>
            <w:vAlign w:val="bottom"/>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Minimum requirement of </w:t>
            </w:r>
            <w:r w:rsidR="004D32E3" w:rsidRPr="006A74F8">
              <w:rPr>
                <w:rFonts w:eastAsia="Times New Roman" w:cstheme="minorHAnsi"/>
                <w:sz w:val="18"/>
                <w:szCs w:val="18"/>
                <w:lang w:eastAsia="en-AU"/>
              </w:rPr>
              <w:t>one</w:t>
            </w:r>
            <w:r w:rsidRPr="006A74F8">
              <w:rPr>
                <w:rFonts w:eastAsia="Times New Roman" w:cstheme="minorHAnsi"/>
                <w:sz w:val="18"/>
                <w:szCs w:val="18"/>
                <w:lang w:eastAsia="en-AU"/>
              </w:rPr>
              <w:t xml:space="preserve"> verifier per SL</w:t>
            </w:r>
          </w:p>
        </w:tc>
      </w:tr>
      <w:tr w:rsidR="000D427A" w:rsidRPr="006A74F8" w:rsidTr="006A10C6">
        <w:trPr>
          <w:trHeight w:val="820"/>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974" w:type="dxa"/>
            <w:shd w:val="clear" w:color="auto" w:fill="auto"/>
            <w:noWrap/>
            <w:vAlign w:val="center"/>
            <w:hideMark/>
          </w:tcPr>
          <w:p w:rsidR="000D427A" w:rsidRPr="006A74F8" w:rsidRDefault="00D7133E"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$110.83</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the ABS Cat 6306.0</w:t>
            </w:r>
            <w:r w:rsidRPr="006A74F8">
              <w:rPr>
                <w:rStyle w:val="FootnoteReference"/>
                <w:rFonts w:asciiTheme="minorHAnsi" w:eastAsia="Times New Roman" w:hAnsiTheme="minorHAnsi" w:cstheme="minorHAnsi"/>
                <w:sz w:val="18"/>
                <w:szCs w:val="18"/>
                <w:lang w:eastAsia="en-AU"/>
              </w:rPr>
              <w:footnoteReference w:id="210"/>
            </w:r>
            <w:r w:rsidRPr="006A74F8">
              <w:rPr>
                <w:rFonts w:eastAsia="Times New Roman" w:cstheme="minorHAnsi"/>
                <w:sz w:val="18"/>
                <w:szCs w:val="18"/>
                <w:lang w:eastAsia="en-AU"/>
              </w:rPr>
              <w:t xml:space="preserve"> average weekly earnings for various engineering and technical wage including 1.75 multiplier</w:t>
            </w:r>
            <w:r w:rsidRPr="006A74F8">
              <w:rPr>
                <w:rStyle w:val="FootnoteReference"/>
                <w:rFonts w:asciiTheme="minorHAnsi" w:eastAsia="Times New Roman" w:hAnsiTheme="minorHAnsi" w:cstheme="minorHAnsi"/>
                <w:sz w:val="18"/>
                <w:szCs w:val="18"/>
                <w:lang w:eastAsia="en-AU"/>
              </w:rPr>
              <w:footnoteReference w:id="211"/>
            </w:r>
            <w:r w:rsidRPr="006A74F8">
              <w:rPr>
                <w:rFonts w:eastAsia="Times New Roman" w:cstheme="minorHAnsi"/>
                <w:sz w:val="18"/>
                <w:szCs w:val="18"/>
                <w:lang w:eastAsia="en-AU"/>
              </w:rPr>
              <w:t xml:space="preserve"> for on-costs</w:t>
            </w:r>
          </w:p>
        </w:tc>
      </w:tr>
      <w:tr w:rsidR="000D427A" w:rsidRPr="006A74F8" w:rsidTr="00A03099">
        <w:trPr>
          <w:trHeight w:val="273"/>
        </w:trPr>
        <w:tc>
          <w:tcPr>
            <w:tcW w:w="1417"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1062"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 xml:space="preserve">Cost of Activity = </w:t>
            </w:r>
          </w:p>
        </w:tc>
        <w:tc>
          <w:tcPr>
            <w:tcW w:w="1974" w:type="dxa"/>
            <w:shd w:val="clear" w:color="auto" w:fill="D9D9D9" w:themeFill="background1" w:themeFillShade="D9"/>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cstheme="minorHAnsi"/>
                <w:b/>
                <w:sz w:val="18"/>
                <w:szCs w:val="18"/>
              </w:rPr>
              <w:t xml:space="preserve"> $2,166,</w:t>
            </w:r>
            <w:r w:rsidR="00D7133E" w:rsidRPr="006A74F8">
              <w:rPr>
                <w:rFonts w:cstheme="minorHAnsi"/>
                <w:b/>
                <w:sz w:val="18"/>
                <w:szCs w:val="18"/>
              </w:rPr>
              <w:t>671</w:t>
            </w:r>
          </w:p>
        </w:tc>
        <w:tc>
          <w:tcPr>
            <w:tcW w:w="3405" w:type="dxa"/>
            <w:shd w:val="clear" w:color="auto" w:fill="auto"/>
            <w:vAlign w:val="bottom"/>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506AF2" w:rsidRPr="006A74F8" w:rsidTr="00A03099">
        <w:trPr>
          <w:trHeight w:val="188"/>
        </w:trPr>
        <w:tc>
          <w:tcPr>
            <w:tcW w:w="9639" w:type="dxa"/>
            <w:gridSpan w:val="5"/>
            <w:shd w:val="clear" w:color="auto" w:fill="auto"/>
            <w:noWrap/>
            <w:vAlign w:val="center"/>
            <w:hideMark/>
          </w:tcPr>
          <w:p w:rsidR="00506AF2" w:rsidRPr="006A74F8" w:rsidRDefault="00506AF2" w:rsidP="000D427A">
            <w:pPr>
              <w:spacing w:after="0" w:line="240" w:lineRule="auto"/>
              <w:rPr>
                <w:rFonts w:eastAsia="Times New Roman" w:cstheme="minorHAnsi"/>
                <w:sz w:val="18"/>
                <w:szCs w:val="18"/>
                <w:lang w:eastAsia="en-AU"/>
              </w:rPr>
            </w:pPr>
          </w:p>
        </w:tc>
      </w:tr>
      <w:tr w:rsidR="000D427A" w:rsidRPr="006A74F8" w:rsidTr="00A03099">
        <w:trPr>
          <w:trHeight w:val="273"/>
        </w:trPr>
        <w:tc>
          <w:tcPr>
            <w:tcW w:w="4260" w:type="dxa"/>
            <w:gridSpan w:val="3"/>
            <w:shd w:val="clear" w:color="auto" w:fill="D9D9D9" w:themeFill="background1" w:themeFillShade="D9"/>
            <w:noWrap/>
            <w:vAlign w:val="center"/>
            <w:hideMark/>
          </w:tcPr>
          <w:p w:rsidR="000D427A" w:rsidRPr="006A74F8" w:rsidRDefault="000D427A" w:rsidP="00BA1970">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Informing on changes in eligibility to verify MI</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6A10C6">
        <w:trPr>
          <w:trHeight w:val="820"/>
        </w:trPr>
        <w:tc>
          <w:tcPr>
            <w:tcW w:w="1417" w:type="dxa"/>
            <w:vMerge w:val="restart"/>
            <w:shd w:val="clear" w:color="auto" w:fill="D9D9D9" w:themeFill="background1" w:themeFillShade="D9"/>
            <w:vAlign w:val="center"/>
            <w:hideMark/>
          </w:tcPr>
          <w:p w:rsidR="000D427A" w:rsidRPr="006A74F8" w:rsidRDefault="00B561A3"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C</w:t>
            </w:r>
            <w:r w:rsidR="00A7004E" w:rsidRPr="006A74F8">
              <w:rPr>
                <w:rFonts w:eastAsia="Times New Roman" w:cstheme="minorHAnsi"/>
                <w:sz w:val="18"/>
                <w:szCs w:val="18"/>
                <w:lang w:eastAsia="en-AU"/>
              </w:rPr>
              <w:t>hanges</w:t>
            </w:r>
            <w:r w:rsidR="000D427A" w:rsidRPr="006A74F8">
              <w:rPr>
                <w:rFonts w:eastAsia="Times New Roman" w:cstheme="minorHAnsi"/>
                <w:sz w:val="18"/>
                <w:szCs w:val="18"/>
                <w:lang w:eastAsia="en-AU"/>
              </w:rPr>
              <w:t xml:space="preserve"> in eligibility to verify MI</w:t>
            </w:r>
          </w:p>
        </w:tc>
        <w:tc>
          <w:tcPr>
            <w:tcW w:w="1062"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(reg 2.43(6)) </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Number of </w:t>
            </w:r>
            <w:r w:rsidR="00B561A3" w:rsidRPr="006A74F8">
              <w:rPr>
                <w:rFonts w:eastAsia="Times New Roman" w:cstheme="minorHAnsi"/>
                <w:sz w:val="18"/>
                <w:szCs w:val="18"/>
                <w:lang w:eastAsia="en-AU"/>
              </w:rPr>
              <w:t>reports</w:t>
            </w:r>
          </w:p>
        </w:tc>
        <w:tc>
          <w:tcPr>
            <w:tcW w:w="1974" w:type="dxa"/>
            <w:shd w:val="clear" w:color="auto" w:fill="auto"/>
            <w:noWrap/>
            <w:vAlign w:val="center"/>
            <w:hideMark/>
          </w:tcPr>
          <w:p w:rsidR="000D427A" w:rsidRPr="006A74F8" w:rsidRDefault="00B561A3"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200</w:t>
            </w:r>
          </w:p>
        </w:tc>
        <w:tc>
          <w:tcPr>
            <w:tcW w:w="3405" w:type="dxa"/>
            <w:shd w:val="clear" w:color="auto" w:fill="auto"/>
            <w:vAlign w:val="center"/>
            <w:hideMark/>
          </w:tcPr>
          <w:p w:rsidR="000D427A" w:rsidRPr="006A74F8" w:rsidRDefault="00B561A3"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NMI estimate</w:t>
            </w:r>
          </w:p>
        </w:tc>
      </w:tr>
      <w:tr w:rsidR="000D427A" w:rsidRPr="006A74F8" w:rsidTr="006A10C6">
        <w:trPr>
          <w:trHeight w:val="273"/>
        </w:trPr>
        <w:tc>
          <w:tcPr>
            <w:tcW w:w="1417"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staff per business performing activity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Minimum requirement of </w:t>
            </w:r>
            <w:r w:rsidR="00BA1970" w:rsidRPr="006A74F8">
              <w:rPr>
                <w:rFonts w:eastAsia="Times New Roman" w:cstheme="minorHAnsi"/>
                <w:sz w:val="18"/>
                <w:szCs w:val="18"/>
                <w:lang w:eastAsia="en-AU"/>
              </w:rPr>
              <w:t>one</w:t>
            </w:r>
            <w:r w:rsidRPr="006A74F8">
              <w:rPr>
                <w:rFonts w:eastAsia="Times New Roman" w:cstheme="minorHAnsi"/>
                <w:sz w:val="18"/>
                <w:szCs w:val="18"/>
                <w:lang w:eastAsia="en-AU"/>
              </w:rPr>
              <w:t xml:space="preserve"> staff member</w:t>
            </w:r>
          </w:p>
        </w:tc>
      </w:tr>
      <w:tr w:rsidR="000D427A" w:rsidRPr="006A74F8" w:rsidTr="006A10C6">
        <w:trPr>
          <w:trHeight w:val="273"/>
        </w:trPr>
        <w:tc>
          <w:tcPr>
            <w:tcW w:w="1417"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How many times activity happens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Estimate of once that verifiers might inform SL of a change in eligibility as verifiers </w:t>
            </w:r>
          </w:p>
        </w:tc>
      </w:tr>
      <w:tr w:rsidR="000D427A" w:rsidRPr="006A74F8" w:rsidTr="006A10C6">
        <w:trPr>
          <w:trHeight w:val="273"/>
        </w:trPr>
        <w:tc>
          <w:tcPr>
            <w:tcW w:w="1417"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verifier to notify SL (in hours)</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0.33</w:t>
            </w:r>
          </w:p>
        </w:tc>
        <w:tc>
          <w:tcPr>
            <w:tcW w:w="3405" w:type="dxa"/>
            <w:shd w:val="clear" w:color="auto" w:fill="auto"/>
            <w:vAlign w:val="center"/>
            <w:hideMark/>
          </w:tcPr>
          <w:p w:rsidR="000D427A" w:rsidRPr="006A74F8" w:rsidRDefault="00B561A3"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NMI estimates its takes</w:t>
            </w:r>
            <w:r w:rsidR="00A7004E" w:rsidRPr="006A74F8">
              <w:rPr>
                <w:rFonts w:eastAsia="Times New Roman" w:cstheme="minorHAnsi"/>
                <w:sz w:val="18"/>
                <w:szCs w:val="18"/>
                <w:lang w:eastAsia="en-AU"/>
              </w:rPr>
              <w:t xml:space="preserve"> 20 minutes</w:t>
            </w:r>
            <w:r w:rsidRPr="006A74F8">
              <w:rPr>
                <w:rFonts w:eastAsia="Times New Roman" w:cstheme="minorHAnsi"/>
                <w:sz w:val="18"/>
                <w:szCs w:val="18"/>
                <w:lang w:eastAsia="en-AU"/>
              </w:rPr>
              <w:t xml:space="preserve"> per report</w:t>
            </w:r>
          </w:p>
        </w:tc>
      </w:tr>
      <w:tr w:rsidR="000D427A" w:rsidRPr="006A74F8" w:rsidTr="006A10C6">
        <w:trPr>
          <w:trHeight w:val="546"/>
        </w:trPr>
        <w:tc>
          <w:tcPr>
            <w:tcW w:w="1417"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974" w:type="dxa"/>
            <w:shd w:val="clear" w:color="auto" w:fill="auto"/>
            <w:noWrap/>
            <w:vAlign w:val="center"/>
            <w:hideMark/>
          </w:tcPr>
          <w:p w:rsidR="000D427A" w:rsidRPr="006A74F8" w:rsidRDefault="00B561A3"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$110.83</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the ABS Cat 6306.0</w:t>
            </w:r>
            <w:r w:rsidRPr="006A74F8">
              <w:rPr>
                <w:rStyle w:val="FootnoteReference"/>
                <w:rFonts w:asciiTheme="minorHAnsi" w:eastAsia="Times New Roman" w:hAnsiTheme="minorHAnsi" w:cstheme="minorHAnsi"/>
                <w:sz w:val="18"/>
                <w:szCs w:val="18"/>
                <w:lang w:eastAsia="en-AU"/>
              </w:rPr>
              <w:footnoteReference w:id="212"/>
            </w:r>
            <w:r w:rsidRPr="006A74F8">
              <w:rPr>
                <w:rFonts w:eastAsia="Times New Roman" w:cstheme="minorHAnsi"/>
                <w:sz w:val="18"/>
                <w:szCs w:val="18"/>
                <w:lang w:eastAsia="en-AU"/>
              </w:rPr>
              <w:t xml:space="preserve"> average weekly earnings for various engineering and technical wage including 1.75 multiplier</w:t>
            </w:r>
            <w:r w:rsidRPr="006A74F8">
              <w:rPr>
                <w:rStyle w:val="FootnoteReference"/>
                <w:rFonts w:asciiTheme="minorHAnsi" w:eastAsia="Times New Roman" w:hAnsiTheme="minorHAnsi" w:cstheme="minorHAnsi"/>
                <w:sz w:val="18"/>
                <w:szCs w:val="18"/>
                <w:lang w:eastAsia="en-AU"/>
              </w:rPr>
              <w:footnoteReference w:id="213"/>
            </w:r>
            <w:r w:rsidRPr="006A74F8">
              <w:rPr>
                <w:rFonts w:eastAsia="Times New Roman" w:cstheme="minorHAnsi"/>
                <w:sz w:val="18"/>
                <w:szCs w:val="18"/>
                <w:lang w:eastAsia="en-AU"/>
              </w:rPr>
              <w:t xml:space="preserve"> for on-costs</w:t>
            </w:r>
          </w:p>
        </w:tc>
      </w:tr>
      <w:tr w:rsidR="000D427A" w:rsidRPr="006A74F8" w:rsidTr="00A03099">
        <w:trPr>
          <w:trHeight w:val="273"/>
        </w:trPr>
        <w:tc>
          <w:tcPr>
            <w:tcW w:w="1417"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c>
          <w:tcPr>
            <w:tcW w:w="1062"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 xml:space="preserve">Cost of Activity = </w:t>
            </w:r>
          </w:p>
        </w:tc>
        <w:tc>
          <w:tcPr>
            <w:tcW w:w="1974" w:type="dxa"/>
            <w:shd w:val="clear" w:color="auto" w:fill="D9D9D9" w:themeFill="background1" w:themeFillShade="D9"/>
            <w:noWrap/>
            <w:vAlign w:val="center"/>
            <w:hideMark/>
          </w:tcPr>
          <w:p w:rsidR="000D427A" w:rsidRPr="006A74F8" w:rsidRDefault="00B561A3" w:rsidP="000D427A">
            <w:pPr>
              <w:spacing w:after="0" w:line="240" w:lineRule="auto"/>
              <w:jc w:val="center"/>
              <w:rPr>
                <w:rFonts w:eastAsia="Times New Roman" w:cstheme="minorHAnsi"/>
                <w:b/>
                <w:bCs/>
                <w:sz w:val="18"/>
                <w:szCs w:val="18"/>
                <w:lang w:eastAsia="en-AU"/>
              </w:rPr>
            </w:pPr>
            <w:r w:rsidRPr="006A74F8">
              <w:rPr>
                <w:rFonts w:cstheme="minorHAnsi"/>
                <w:b/>
                <w:sz w:val="18"/>
                <w:szCs w:val="18"/>
              </w:rPr>
              <w:t xml:space="preserve"> $7,3</w:t>
            </w:r>
            <w:r w:rsidR="0095612B" w:rsidRPr="006A74F8">
              <w:rPr>
                <w:rFonts w:cstheme="minorHAnsi"/>
                <w:b/>
                <w:sz w:val="18"/>
                <w:szCs w:val="18"/>
              </w:rPr>
              <w:t>15</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506AF2" w:rsidRPr="006A74F8" w:rsidTr="00506AF2">
        <w:trPr>
          <w:trHeight w:val="113"/>
        </w:trPr>
        <w:tc>
          <w:tcPr>
            <w:tcW w:w="9639" w:type="dxa"/>
            <w:gridSpan w:val="5"/>
            <w:shd w:val="clear" w:color="auto" w:fill="auto"/>
            <w:noWrap/>
            <w:vAlign w:val="bottom"/>
          </w:tcPr>
          <w:p w:rsidR="00506AF2" w:rsidRPr="006A74F8" w:rsidRDefault="00506AF2" w:rsidP="000D427A">
            <w:pPr>
              <w:spacing w:after="0" w:line="240" w:lineRule="auto"/>
              <w:rPr>
                <w:rFonts w:eastAsia="Times New Roman" w:cstheme="minorHAnsi"/>
                <w:sz w:val="18"/>
                <w:szCs w:val="18"/>
                <w:lang w:eastAsia="en-AU"/>
              </w:rPr>
            </w:pPr>
          </w:p>
        </w:tc>
      </w:tr>
      <w:tr w:rsidR="000D427A" w:rsidRPr="006A74F8" w:rsidTr="008F5DB1">
        <w:trPr>
          <w:trHeight w:val="300"/>
        </w:trPr>
        <w:tc>
          <w:tcPr>
            <w:tcW w:w="4260" w:type="dxa"/>
            <w:gridSpan w:val="3"/>
            <w:shd w:val="clear" w:color="auto" w:fill="D9D9D9" w:themeFill="background1" w:themeFillShade="D9"/>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 xml:space="preserve">SL NOTIFICATION TO </w:t>
            </w:r>
            <w:r w:rsidR="002108FE" w:rsidRPr="006A74F8">
              <w:rPr>
                <w:rFonts w:eastAsia="Times New Roman" w:cstheme="minorHAnsi"/>
                <w:b/>
                <w:bCs/>
                <w:sz w:val="18"/>
                <w:szCs w:val="18"/>
                <w:lang w:eastAsia="en-AU"/>
              </w:rPr>
              <w:t xml:space="preserve">MEASURING INSTRUMENT </w:t>
            </w:r>
            <w:r w:rsidRPr="006A74F8">
              <w:rPr>
                <w:rFonts w:eastAsia="Times New Roman" w:cstheme="minorHAnsi"/>
                <w:b/>
                <w:bCs/>
                <w:sz w:val="18"/>
                <w:szCs w:val="18"/>
                <w:lang w:eastAsia="en-AU"/>
              </w:rPr>
              <w:t>CONTROLLER OF CHANGE IN CONDITIONS</w:t>
            </w:r>
          </w:p>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Informing on grounds for disciplinary action</w:t>
            </w:r>
          </w:p>
        </w:tc>
        <w:tc>
          <w:tcPr>
            <w:tcW w:w="1974" w:type="dxa"/>
            <w:shd w:val="clear" w:color="auto" w:fill="auto"/>
            <w:noWrap/>
            <w:vAlign w:val="bottom"/>
            <w:hideMark/>
          </w:tcPr>
          <w:p w:rsidR="000D427A" w:rsidRPr="006A74F8"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9132EB">
        <w:trPr>
          <w:trHeight w:val="546"/>
        </w:trPr>
        <w:tc>
          <w:tcPr>
            <w:tcW w:w="1417"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lastRenderedPageBreak/>
              <w:t xml:space="preserve">informing </w:t>
            </w:r>
            <w:r w:rsidR="002108FE" w:rsidRPr="006A74F8">
              <w:rPr>
                <w:rFonts w:eastAsia="Times New Roman" w:cstheme="minorHAnsi"/>
                <w:sz w:val="18"/>
                <w:szCs w:val="18"/>
                <w:lang w:eastAsia="en-AU"/>
              </w:rPr>
              <w:t>measuring instruments</w:t>
            </w:r>
            <w:r w:rsidRPr="006A74F8">
              <w:rPr>
                <w:rFonts w:eastAsia="Times New Roman" w:cstheme="minorHAnsi"/>
                <w:sz w:val="18"/>
                <w:szCs w:val="18"/>
                <w:lang w:eastAsia="en-AU"/>
              </w:rPr>
              <w:t xml:space="preserve"> controller about NITP if </w:t>
            </w:r>
            <w:r w:rsidR="002108FE" w:rsidRPr="006A74F8">
              <w:rPr>
                <w:rFonts w:eastAsia="Times New Roman" w:cstheme="minorHAnsi"/>
                <w:sz w:val="18"/>
                <w:szCs w:val="18"/>
                <w:lang w:eastAsia="en-AU"/>
              </w:rPr>
              <w:t>measuring instrument</w:t>
            </w:r>
            <w:r w:rsidRPr="006A74F8">
              <w:rPr>
                <w:rFonts w:eastAsia="Times New Roman" w:cstheme="minorHAnsi"/>
                <w:sz w:val="18"/>
                <w:szCs w:val="18"/>
                <w:lang w:eastAsia="en-AU"/>
              </w:rPr>
              <w:t xml:space="preserve"> not approved pattern, outside MPE etc.</w:t>
            </w:r>
          </w:p>
        </w:tc>
        <w:tc>
          <w:tcPr>
            <w:tcW w:w="1062"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(reg 2.43(14)) </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number of measuring instruments verified </w:t>
            </w:r>
            <w:r w:rsidR="008C0A0F" w:rsidRPr="006A74F8">
              <w:rPr>
                <w:rFonts w:eastAsia="Times New Roman" w:cstheme="minorHAnsi"/>
                <w:sz w:val="18"/>
                <w:szCs w:val="18"/>
                <w:lang w:eastAsia="en-AU"/>
              </w:rPr>
              <w:t>and</w:t>
            </w:r>
            <w:r w:rsidRPr="006A74F8">
              <w:rPr>
                <w:rFonts w:eastAsia="Times New Roman" w:cstheme="minorHAnsi"/>
                <w:sz w:val="18"/>
                <w:szCs w:val="18"/>
                <w:lang w:eastAsia="en-AU"/>
              </w:rPr>
              <w:t xml:space="preserve"> reverified per year</w:t>
            </w:r>
          </w:p>
        </w:tc>
        <w:tc>
          <w:tcPr>
            <w:tcW w:w="1974" w:type="dxa"/>
            <w:shd w:val="clear" w:color="auto" w:fill="auto"/>
            <w:noWrap/>
            <w:vAlign w:val="center"/>
            <w:hideMark/>
          </w:tcPr>
          <w:p w:rsidR="000D427A" w:rsidRPr="006A74F8" w:rsidRDefault="000D427A" w:rsidP="00855191">
            <w:pPr>
              <w:spacing w:after="0" w:line="240" w:lineRule="auto"/>
              <w:jc w:val="center"/>
              <w:rPr>
                <w:rFonts w:eastAsia="Times New Roman" w:cstheme="minorHAnsi"/>
                <w:sz w:val="18"/>
                <w:szCs w:val="18"/>
                <w:lang w:eastAsia="en-AU"/>
              </w:rPr>
            </w:pPr>
            <w:r w:rsidRPr="006A74F8">
              <w:rPr>
                <w:rFonts w:cstheme="minorHAnsi"/>
                <w:color w:val="000000"/>
                <w:sz w:val="18"/>
                <w:szCs w:val="18"/>
              </w:rPr>
              <w:t>78,198</w:t>
            </w:r>
          </w:p>
        </w:tc>
        <w:tc>
          <w:tcPr>
            <w:tcW w:w="3405" w:type="dxa"/>
            <w:shd w:val="clear" w:color="auto" w:fill="auto"/>
            <w:vAlign w:val="bottom"/>
            <w:hideMark/>
          </w:tcPr>
          <w:p w:rsidR="000D427A" w:rsidRPr="006A74F8" w:rsidRDefault="008560EA" w:rsidP="008560EA">
            <w:pPr>
              <w:rPr>
                <w:rFonts w:cstheme="minorHAnsi"/>
                <w:color w:val="000000"/>
                <w:sz w:val="18"/>
                <w:szCs w:val="18"/>
              </w:rPr>
            </w:pPr>
            <w:r w:rsidRPr="006A74F8">
              <w:rPr>
                <w:rFonts w:cstheme="minorHAnsi"/>
                <w:color w:val="000000"/>
                <w:sz w:val="18"/>
                <w:szCs w:val="18"/>
              </w:rPr>
              <w:t xml:space="preserve">Based on 3 year average number of reported </w:t>
            </w:r>
            <w:r w:rsidR="002108FE" w:rsidRPr="006A74F8">
              <w:rPr>
                <w:rFonts w:cstheme="minorHAnsi"/>
                <w:color w:val="000000"/>
                <w:sz w:val="18"/>
                <w:szCs w:val="18"/>
              </w:rPr>
              <w:t>measuring instruments</w:t>
            </w:r>
            <w:r w:rsidRPr="006A74F8">
              <w:rPr>
                <w:rFonts w:cstheme="minorHAnsi"/>
                <w:color w:val="000000"/>
                <w:sz w:val="18"/>
                <w:szCs w:val="18"/>
              </w:rPr>
              <w:t xml:space="preserve"> verified </w:t>
            </w:r>
            <w:r w:rsidR="008C0A0F" w:rsidRPr="006A74F8">
              <w:rPr>
                <w:rFonts w:cstheme="minorHAnsi"/>
                <w:color w:val="000000"/>
                <w:sz w:val="18"/>
                <w:szCs w:val="18"/>
              </w:rPr>
              <w:t>and</w:t>
            </w:r>
            <w:r w:rsidRPr="006A74F8">
              <w:rPr>
                <w:rFonts w:cstheme="minorHAnsi"/>
                <w:color w:val="000000"/>
                <w:sz w:val="18"/>
                <w:szCs w:val="18"/>
              </w:rPr>
              <w:t xml:space="preserve"> reverified</w:t>
            </w:r>
            <w:r w:rsidR="00392F71" w:rsidRPr="006A74F8">
              <w:rPr>
                <w:rStyle w:val="FootnoteReference"/>
                <w:rFonts w:asciiTheme="minorHAnsi" w:hAnsiTheme="minorHAnsi" w:cstheme="minorHAnsi"/>
                <w:color w:val="000000"/>
                <w:sz w:val="18"/>
                <w:szCs w:val="18"/>
              </w:rPr>
              <w:footnoteReference w:id="214"/>
            </w:r>
          </w:p>
        </w:tc>
      </w:tr>
      <w:tr w:rsidR="000D427A" w:rsidRPr="006A74F8" w:rsidTr="009132EB">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Number of staff required to notify the </w:t>
            </w:r>
            <w:r w:rsidR="002108FE" w:rsidRPr="006A74F8">
              <w:rPr>
                <w:rFonts w:eastAsia="Times New Roman" w:cstheme="minorHAnsi"/>
                <w:sz w:val="18"/>
                <w:szCs w:val="18"/>
                <w:lang w:eastAsia="en-AU"/>
              </w:rPr>
              <w:t>measuring instrument</w:t>
            </w:r>
            <w:r w:rsidRPr="006A74F8">
              <w:rPr>
                <w:rFonts w:eastAsia="Times New Roman" w:cstheme="minorHAnsi"/>
                <w:sz w:val="18"/>
                <w:szCs w:val="18"/>
                <w:lang w:eastAsia="en-AU"/>
              </w:rPr>
              <w:t xml:space="preserve"> controller</w:t>
            </w:r>
          </w:p>
        </w:tc>
        <w:tc>
          <w:tcPr>
            <w:tcW w:w="1974" w:type="dxa"/>
            <w:shd w:val="clear" w:color="auto" w:fill="auto"/>
            <w:noWrap/>
            <w:vAlign w:val="center"/>
            <w:hideMark/>
          </w:tcPr>
          <w:p w:rsidR="000D427A" w:rsidRPr="006A74F8" w:rsidRDefault="000D427A" w:rsidP="00855191">
            <w:pPr>
              <w:spacing w:after="0" w:line="240" w:lineRule="auto"/>
              <w:jc w:val="center"/>
              <w:rPr>
                <w:rFonts w:eastAsia="Times New Roman" w:cstheme="minorHAnsi"/>
                <w:sz w:val="18"/>
                <w:szCs w:val="18"/>
                <w:lang w:eastAsia="en-AU"/>
              </w:rPr>
            </w:pPr>
            <w:r w:rsidRPr="006A74F8">
              <w:rPr>
                <w:rFonts w:cstheme="minorHAnsi"/>
                <w:color w:val="000000"/>
                <w:sz w:val="18"/>
                <w:szCs w:val="18"/>
              </w:rPr>
              <w:t xml:space="preserve">1 </w:t>
            </w:r>
          </w:p>
        </w:tc>
        <w:tc>
          <w:tcPr>
            <w:tcW w:w="3405" w:type="dxa"/>
            <w:shd w:val="clear" w:color="auto" w:fill="auto"/>
            <w:vAlign w:val="center"/>
            <w:hideMark/>
          </w:tcPr>
          <w:p w:rsidR="000D427A" w:rsidRPr="006A74F8" w:rsidRDefault="008560EA" w:rsidP="008560EA">
            <w:pPr>
              <w:rPr>
                <w:rFonts w:cstheme="minorHAnsi"/>
                <w:sz w:val="18"/>
                <w:szCs w:val="18"/>
              </w:rPr>
            </w:pPr>
            <w:r w:rsidRPr="006A74F8">
              <w:rPr>
                <w:rFonts w:cstheme="minorHAnsi"/>
                <w:sz w:val="18"/>
                <w:szCs w:val="18"/>
              </w:rPr>
              <w:t>One verifier per business</w:t>
            </w:r>
          </w:p>
        </w:tc>
      </w:tr>
      <w:tr w:rsidR="000D427A" w:rsidRPr="006A74F8" w:rsidTr="009132EB">
        <w:trPr>
          <w:trHeight w:val="1367"/>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How many times activity happens</w:t>
            </w:r>
          </w:p>
        </w:tc>
        <w:tc>
          <w:tcPr>
            <w:tcW w:w="1974" w:type="dxa"/>
            <w:shd w:val="clear" w:color="auto" w:fill="auto"/>
            <w:noWrap/>
            <w:vAlign w:val="center"/>
            <w:hideMark/>
          </w:tcPr>
          <w:p w:rsidR="000D427A" w:rsidRPr="006A74F8" w:rsidRDefault="008560EA" w:rsidP="000D427A">
            <w:pPr>
              <w:spacing w:after="0" w:line="240" w:lineRule="auto"/>
              <w:jc w:val="center"/>
              <w:rPr>
                <w:rFonts w:eastAsia="Times New Roman" w:cstheme="minorHAnsi"/>
                <w:sz w:val="18"/>
                <w:szCs w:val="18"/>
                <w:lang w:eastAsia="en-AU"/>
              </w:rPr>
            </w:pPr>
            <w:r w:rsidRPr="006A74F8">
              <w:rPr>
                <w:rFonts w:cstheme="minorHAnsi"/>
                <w:sz w:val="18"/>
                <w:szCs w:val="18"/>
              </w:rPr>
              <w:t>1%</w:t>
            </w:r>
          </w:p>
        </w:tc>
        <w:tc>
          <w:tcPr>
            <w:tcW w:w="3405" w:type="dxa"/>
            <w:shd w:val="clear" w:color="auto" w:fill="auto"/>
            <w:vAlign w:val="center"/>
            <w:hideMark/>
          </w:tcPr>
          <w:p w:rsidR="000D427A" w:rsidRPr="006A74F8" w:rsidRDefault="008560EA" w:rsidP="000D427A">
            <w:pPr>
              <w:spacing w:after="0" w:line="240" w:lineRule="auto"/>
              <w:rPr>
                <w:rFonts w:eastAsia="Times New Roman" w:cstheme="minorHAnsi"/>
                <w:sz w:val="18"/>
                <w:szCs w:val="18"/>
                <w:lang w:eastAsia="en-AU"/>
              </w:rPr>
            </w:pPr>
            <w:r w:rsidRPr="006A74F8">
              <w:rPr>
                <w:rFonts w:cstheme="minorHAnsi"/>
                <w:sz w:val="18"/>
                <w:szCs w:val="18"/>
              </w:rPr>
              <w:t>This estimate is an average</w:t>
            </w:r>
            <w:r w:rsidR="00CE1C9D" w:rsidRPr="006A74F8">
              <w:rPr>
                <w:rFonts w:cstheme="minorHAnsi"/>
                <w:sz w:val="18"/>
                <w:szCs w:val="18"/>
              </w:rPr>
              <w:t>. N</w:t>
            </w:r>
            <w:r w:rsidRPr="006A74F8">
              <w:rPr>
                <w:rFonts w:cstheme="minorHAnsi"/>
                <w:sz w:val="18"/>
                <w:szCs w:val="18"/>
              </w:rPr>
              <w:t xml:space="preserve">otifications to the </w:t>
            </w:r>
            <w:r w:rsidR="002108FE" w:rsidRPr="006A74F8">
              <w:rPr>
                <w:rFonts w:cstheme="minorHAnsi"/>
                <w:color w:val="000000"/>
                <w:sz w:val="18"/>
                <w:szCs w:val="18"/>
              </w:rPr>
              <w:t>measuring instruments</w:t>
            </w:r>
            <w:r w:rsidRPr="006A74F8">
              <w:rPr>
                <w:rFonts w:cstheme="minorHAnsi"/>
                <w:sz w:val="18"/>
                <w:szCs w:val="18"/>
              </w:rPr>
              <w:t xml:space="preserve"> controller happens for around 1% of all verified instruments</w:t>
            </w:r>
            <w:r w:rsidR="00CE1C9D" w:rsidRPr="006A74F8">
              <w:rPr>
                <w:rFonts w:cstheme="minorHAnsi"/>
                <w:sz w:val="18"/>
                <w:szCs w:val="18"/>
              </w:rPr>
              <w:t>.</w:t>
            </w:r>
          </w:p>
        </w:tc>
      </w:tr>
      <w:tr w:rsidR="000D427A" w:rsidRPr="006A74F8" w:rsidTr="009132EB">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each staff to do activity (in hours)</w:t>
            </w:r>
          </w:p>
        </w:tc>
        <w:tc>
          <w:tcPr>
            <w:tcW w:w="1974" w:type="dxa"/>
            <w:shd w:val="clear" w:color="auto" w:fill="auto"/>
            <w:noWrap/>
            <w:vAlign w:val="center"/>
            <w:hideMark/>
          </w:tcPr>
          <w:p w:rsidR="000D427A" w:rsidRPr="006A74F8" w:rsidRDefault="000D427A" w:rsidP="00855191">
            <w:pPr>
              <w:spacing w:after="0" w:line="240" w:lineRule="auto"/>
              <w:jc w:val="center"/>
              <w:rPr>
                <w:rFonts w:eastAsia="Times New Roman" w:cstheme="minorHAnsi"/>
                <w:sz w:val="18"/>
                <w:szCs w:val="18"/>
                <w:lang w:eastAsia="en-AU"/>
              </w:rPr>
            </w:pPr>
            <w:r w:rsidRPr="006A74F8">
              <w:rPr>
                <w:rFonts w:cstheme="minorHAnsi"/>
                <w:sz w:val="18"/>
                <w:szCs w:val="18"/>
              </w:rPr>
              <w:t xml:space="preserve">0.33 </w:t>
            </w:r>
          </w:p>
        </w:tc>
        <w:tc>
          <w:tcPr>
            <w:tcW w:w="3405" w:type="dxa"/>
            <w:shd w:val="clear" w:color="auto" w:fill="auto"/>
            <w:vAlign w:val="center"/>
            <w:hideMark/>
          </w:tcPr>
          <w:p w:rsidR="000D427A" w:rsidRPr="006A74F8" w:rsidRDefault="008560EA" w:rsidP="008560EA">
            <w:pPr>
              <w:rPr>
                <w:rFonts w:cstheme="minorHAnsi"/>
                <w:sz w:val="18"/>
                <w:szCs w:val="18"/>
              </w:rPr>
            </w:pPr>
            <w:r w:rsidRPr="006A74F8">
              <w:rPr>
                <w:rFonts w:cstheme="minorHAnsi"/>
                <w:sz w:val="18"/>
                <w:szCs w:val="18"/>
              </w:rPr>
              <w:t>NMI estimate 20 minutes to inform the controller</w:t>
            </w:r>
          </w:p>
        </w:tc>
      </w:tr>
      <w:tr w:rsidR="000D427A" w:rsidRPr="006A74F8" w:rsidTr="009132EB">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974" w:type="dxa"/>
            <w:shd w:val="clear" w:color="auto" w:fill="auto"/>
            <w:noWrap/>
            <w:vAlign w:val="center"/>
            <w:hideMark/>
          </w:tcPr>
          <w:p w:rsidR="000D427A" w:rsidRPr="006A74F8" w:rsidRDefault="008560EA"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$110.83</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the ABS Cat 6306.0</w:t>
            </w:r>
            <w:r w:rsidRPr="006A74F8">
              <w:rPr>
                <w:rStyle w:val="FootnoteReference"/>
                <w:rFonts w:asciiTheme="minorHAnsi" w:eastAsia="Times New Roman" w:hAnsiTheme="minorHAnsi" w:cstheme="minorHAnsi"/>
                <w:sz w:val="18"/>
                <w:szCs w:val="18"/>
                <w:lang w:eastAsia="en-AU"/>
              </w:rPr>
              <w:footnoteReference w:id="215"/>
            </w:r>
            <w:r w:rsidR="008560EA" w:rsidRPr="006A74F8">
              <w:rPr>
                <w:rFonts w:eastAsia="Times New Roman" w:cstheme="minorHAnsi"/>
                <w:sz w:val="18"/>
                <w:szCs w:val="18"/>
                <w:lang w:eastAsia="en-AU"/>
              </w:rPr>
              <w:t xml:space="preserve"> </w:t>
            </w:r>
            <w:r w:rsidRPr="006A74F8">
              <w:rPr>
                <w:rFonts w:eastAsia="Times New Roman" w:cstheme="minorHAnsi"/>
                <w:sz w:val="18"/>
                <w:szCs w:val="18"/>
                <w:lang w:eastAsia="en-AU"/>
              </w:rPr>
              <w:t>average weekly earnings for various engineering and technical wage</w:t>
            </w:r>
          </w:p>
        </w:tc>
      </w:tr>
      <w:tr w:rsidR="000D427A" w:rsidRPr="006A74F8" w:rsidTr="008F5DB1">
        <w:trPr>
          <w:trHeight w:val="273"/>
        </w:trPr>
        <w:tc>
          <w:tcPr>
            <w:tcW w:w="1417"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c>
          <w:tcPr>
            <w:tcW w:w="1062"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 xml:space="preserve">Cost of Activity = </w:t>
            </w:r>
          </w:p>
        </w:tc>
        <w:tc>
          <w:tcPr>
            <w:tcW w:w="1974" w:type="dxa"/>
            <w:shd w:val="clear" w:color="auto" w:fill="D9D9D9" w:themeFill="background1" w:themeFillShade="D9"/>
            <w:noWrap/>
            <w:hideMark/>
          </w:tcPr>
          <w:p w:rsidR="000D427A" w:rsidRPr="006A74F8" w:rsidRDefault="00A7004E" w:rsidP="000D427A">
            <w:pPr>
              <w:spacing w:after="0" w:line="240" w:lineRule="auto"/>
              <w:jc w:val="center"/>
              <w:rPr>
                <w:rFonts w:eastAsia="Times New Roman" w:cstheme="minorHAnsi"/>
                <w:b/>
                <w:bCs/>
                <w:sz w:val="18"/>
                <w:szCs w:val="18"/>
                <w:lang w:eastAsia="en-AU"/>
              </w:rPr>
            </w:pPr>
            <w:r w:rsidRPr="006A74F8">
              <w:rPr>
                <w:rFonts w:cstheme="minorHAnsi"/>
                <w:sz w:val="18"/>
                <w:szCs w:val="18"/>
              </w:rPr>
              <w:t xml:space="preserve"> </w:t>
            </w:r>
            <w:r w:rsidR="008560EA" w:rsidRPr="006A74F8">
              <w:rPr>
                <w:rFonts w:cstheme="minorHAnsi"/>
                <w:b/>
                <w:sz w:val="18"/>
                <w:szCs w:val="18"/>
              </w:rPr>
              <w:t>$28,</w:t>
            </w:r>
            <w:r w:rsidR="0095612B" w:rsidRPr="006A74F8">
              <w:rPr>
                <w:rFonts w:cstheme="minorHAnsi"/>
                <w:b/>
                <w:sz w:val="18"/>
                <w:szCs w:val="18"/>
              </w:rPr>
              <w:t>600</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506AF2" w:rsidRPr="006A74F8" w:rsidTr="00222273">
        <w:trPr>
          <w:trHeight w:val="273"/>
        </w:trPr>
        <w:tc>
          <w:tcPr>
            <w:tcW w:w="9639" w:type="dxa"/>
            <w:gridSpan w:val="5"/>
            <w:shd w:val="clear" w:color="auto" w:fill="auto"/>
            <w:noWrap/>
            <w:vAlign w:val="bottom"/>
            <w:hideMark/>
          </w:tcPr>
          <w:p w:rsidR="00506AF2" w:rsidRPr="006A74F8" w:rsidRDefault="00506AF2" w:rsidP="000D427A">
            <w:pPr>
              <w:spacing w:after="0" w:line="240" w:lineRule="auto"/>
              <w:rPr>
                <w:rFonts w:eastAsia="Times New Roman" w:cstheme="minorHAnsi"/>
                <w:sz w:val="18"/>
                <w:szCs w:val="18"/>
                <w:lang w:eastAsia="en-AU"/>
              </w:rPr>
            </w:pPr>
          </w:p>
        </w:tc>
      </w:tr>
      <w:tr w:rsidR="000D427A" w:rsidRPr="006A74F8" w:rsidTr="008F5DB1">
        <w:trPr>
          <w:trHeight w:val="492"/>
        </w:trPr>
        <w:tc>
          <w:tcPr>
            <w:tcW w:w="4260" w:type="dxa"/>
            <w:gridSpan w:val="3"/>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time for SL to provide Test Report / histogram to Secretary if required to</w:t>
            </w:r>
          </w:p>
          <w:p w:rsidR="000D427A" w:rsidRPr="006A74F8" w:rsidRDefault="000D427A" w:rsidP="000D427A">
            <w:pPr>
              <w:spacing w:after="0" w:line="240" w:lineRule="auto"/>
              <w:jc w:val="center"/>
              <w:rPr>
                <w:rFonts w:eastAsia="Times New Roman" w:cstheme="minorHAnsi"/>
                <w:b/>
                <w:bCs/>
                <w:sz w:val="18"/>
                <w:szCs w:val="18"/>
                <w:lang w:eastAsia="en-AU"/>
              </w:rPr>
            </w:pPr>
          </w:p>
        </w:tc>
        <w:tc>
          <w:tcPr>
            <w:tcW w:w="1974" w:type="dxa"/>
            <w:shd w:val="clear" w:color="auto" w:fill="auto"/>
            <w:noWrap/>
            <w:vAlign w:val="bottom"/>
            <w:hideMark/>
          </w:tcPr>
          <w:p w:rsidR="000D427A" w:rsidRPr="006A74F8"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BA1970">
        <w:trPr>
          <w:trHeight w:val="546"/>
        </w:trPr>
        <w:tc>
          <w:tcPr>
            <w:tcW w:w="1417"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 time SL to provide test report if directed to; re 2.39(3) - batch testing histogram use of NITP reported to secretary/manufacturer/importer</w:t>
            </w:r>
          </w:p>
        </w:tc>
        <w:tc>
          <w:tcPr>
            <w:tcW w:w="1062"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(NTMR 2.43(25); reg 2.39 (3); 3.19 ) </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Average annual number of complex </w:t>
            </w:r>
            <w:r w:rsidR="002108FE" w:rsidRPr="006A74F8">
              <w:rPr>
                <w:rFonts w:eastAsia="Times New Roman" w:cstheme="minorHAnsi"/>
                <w:sz w:val="18"/>
                <w:szCs w:val="18"/>
                <w:lang w:eastAsia="en-AU"/>
              </w:rPr>
              <w:t>measuring instruments</w:t>
            </w:r>
            <w:r w:rsidRPr="006A74F8">
              <w:rPr>
                <w:rFonts w:eastAsia="Times New Roman" w:cstheme="minorHAnsi"/>
                <w:sz w:val="18"/>
                <w:szCs w:val="18"/>
                <w:lang w:eastAsia="en-AU"/>
              </w:rPr>
              <w:t xml:space="preserve"> verified </w:t>
            </w:r>
            <w:r w:rsidR="008C0A0F" w:rsidRPr="006A74F8">
              <w:rPr>
                <w:rFonts w:eastAsia="Times New Roman" w:cstheme="minorHAnsi"/>
                <w:sz w:val="18"/>
                <w:szCs w:val="18"/>
                <w:lang w:eastAsia="en-AU"/>
              </w:rPr>
              <w:t>and</w:t>
            </w:r>
            <w:r w:rsidRPr="006A74F8">
              <w:rPr>
                <w:rFonts w:eastAsia="Times New Roman" w:cstheme="minorHAnsi"/>
                <w:sz w:val="18"/>
                <w:szCs w:val="18"/>
                <w:lang w:eastAsia="en-AU"/>
              </w:rPr>
              <w:t xml:space="preserve"> reverified each year</w:t>
            </w:r>
          </w:p>
        </w:tc>
        <w:tc>
          <w:tcPr>
            <w:tcW w:w="1974" w:type="dxa"/>
            <w:shd w:val="clear" w:color="auto" w:fill="auto"/>
            <w:noWrap/>
            <w:vAlign w:val="center"/>
            <w:hideMark/>
          </w:tcPr>
          <w:p w:rsidR="000D427A" w:rsidRPr="006A74F8" w:rsidRDefault="000D427A" w:rsidP="000D427A">
            <w:pPr>
              <w:jc w:val="center"/>
              <w:rPr>
                <w:rFonts w:cstheme="minorHAnsi"/>
                <w:color w:val="000000"/>
                <w:sz w:val="18"/>
                <w:szCs w:val="18"/>
              </w:rPr>
            </w:pPr>
            <w:r w:rsidRPr="006A74F8">
              <w:rPr>
                <w:rFonts w:cstheme="minorHAnsi"/>
                <w:color w:val="000000"/>
                <w:sz w:val="18"/>
                <w:szCs w:val="18"/>
              </w:rPr>
              <w:t xml:space="preserve">7,419 </w:t>
            </w:r>
          </w:p>
          <w:p w:rsidR="000D427A" w:rsidRPr="006A74F8"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bottom"/>
            <w:hideMark/>
          </w:tcPr>
          <w:p w:rsidR="008560EA" w:rsidRPr="006A74F8" w:rsidRDefault="008560EA" w:rsidP="008560EA">
            <w:pPr>
              <w:rPr>
                <w:rFonts w:cstheme="minorHAnsi"/>
                <w:color w:val="000000"/>
                <w:sz w:val="18"/>
                <w:szCs w:val="18"/>
              </w:rPr>
            </w:pPr>
            <w:r w:rsidRPr="006A74F8">
              <w:rPr>
                <w:rFonts w:cstheme="minorHAnsi"/>
                <w:color w:val="000000"/>
                <w:sz w:val="18"/>
                <w:szCs w:val="18"/>
              </w:rPr>
              <w:t xml:space="preserve">NMI estimates based on 3 year average number of reported </w:t>
            </w:r>
            <w:r w:rsidR="00BF70E2" w:rsidRPr="006A74F8">
              <w:rPr>
                <w:rFonts w:cstheme="minorHAnsi"/>
                <w:color w:val="000000"/>
                <w:sz w:val="18"/>
                <w:szCs w:val="18"/>
              </w:rPr>
              <w:t xml:space="preserve">complex instruments </w:t>
            </w:r>
            <w:r w:rsidR="002108FE" w:rsidRPr="006A74F8">
              <w:rPr>
                <w:rFonts w:cstheme="minorHAnsi"/>
                <w:color w:val="000000"/>
                <w:sz w:val="18"/>
                <w:szCs w:val="18"/>
              </w:rPr>
              <w:t xml:space="preserve">measuring instruments </w:t>
            </w:r>
            <w:r w:rsidRPr="006A74F8">
              <w:rPr>
                <w:rFonts w:cstheme="minorHAnsi"/>
                <w:color w:val="000000"/>
                <w:sz w:val="18"/>
                <w:szCs w:val="18"/>
              </w:rPr>
              <w:t xml:space="preserve">verified </w:t>
            </w:r>
            <w:r w:rsidR="008C0A0F" w:rsidRPr="006A74F8">
              <w:rPr>
                <w:rFonts w:cstheme="minorHAnsi"/>
                <w:color w:val="000000"/>
                <w:sz w:val="18"/>
                <w:szCs w:val="18"/>
              </w:rPr>
              <w:t>and</w:t>
            </w:r>
            <w:r w:rsidRPr="006A74F8">
              <w:rPr>
                <w:rFonts w:cstheme="minorHAnsi"/>
                <w:color w:val="000000"/>
                <w:sz w:val="18"/>
                <w:szCs w:val="18"/>
              </w:rPr>
              <w:t xml:space="preserve"> reverified </w:t>
            </w:r>
          </w:p>
          <w:p w:rsidR="000D427A" w:rsidRPr="006A74F8" w:rsidRDefault="000D427A" w:rsidP="000D427A">
            <w:pPr>
              <w:spacing w:after="0" w:line="240" w:lineRule="auto"/>
              <w:rPr>
                <w:rFonts w:eastAsia="Times New Roman" w:cstheme="minorHAnsi"/>
                <w:sz w:val="18"/>
                <w:szCs w:val="18"/>
                <w:lang w:eastAsia="en-AU"/>
              </w:rPr>
            </w:pPr>
          </w:p>
        </w:tc>
      </w:tr>
      <w:tr w:rsidR="000D427A" w:rsidRPr="006A74F8" w:rsidTr="006A10C6">
        <w:trPr>
          <w:trHeight w:val="273"/>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persons required to do this activity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3405" w:type="dxa"/>
            <w:shd w:val="clear" w:color="auto" w:fill="auto"/>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One staff member</w:t>
            </w:r>
          </w:p>
        </w:tc>
      </w:tr>
      <w:tr w:rsidR="000D427A" w:rsidRPr="006A74F8" w:rsidTr="00BA1970">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Time required to do this activity</w:t>
            </w:r>
          </w:p>
        </w:tc>
        <w:tc>
          <w:tcPr>
            <w:tcW w:w="1974"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3405" w:type="dxa"/>
            <w:shd w:val="clear" w:color="auto" w:fill="auto"/>
            <w:vAlign w:val="bottom"/>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Estimated time to prepare and send a report to the Secretary and if applicable to the manufacture/importer</w:t>
            </w:r>
          </w:p>
        </w:tc>
      </w:tr>
      <w:tr w:rsidR="000D427A" w:rsidRPr="006A74F8" w:rsidTr="00BA1970">
        <w:trPr>
          <w:trHeight w:val="546"/>
        </w:trPr>
        <w:tc>
          <w:tcPr>
            <w:tcW w:w="1417"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974" w:type="dxa"/>
            <w:shd w:val="clear" w:color="auto" w:fill="auto"/>
            <w:noWrap/>
            <w:vAlign w:val="center"/>
            <w:hideMark/>
          </w:tcPr>
          <w:p w:rsidR="000D427A" w:rsidRPr="006A74F8" w:rsidRDefault="00F317DE" w:rsidP="000D427A">
            <w:pPr>
              <w:spacing w:after="0" w:line="240" w:lineRule="auto"/>
              <w:jc w:val="center"/>
              <w:rPr>
                <w:rFonts w:eastAsia="Times New Roman" w:cstheme="minorHAnsi"/>
                <w:sz w:val="18"/>
                <w:szCs w:val="18"/>
                <w:lang w:eastAsia="en-AU"/>
              </w:rPr>
            </w:pPr>
            <w:r w:rsidRPr="006A74F8">
              <w:rPr>
                <w:rFonts w:cstheme="minorHAnsi"/>
                <w:sz w:val="18"/>
                <w:szCs w:val="18"/>
              </w:rPr>
              <w:t xml:space="preserve"> $110.83</w:t>
            </w:r>
          </w:p>
        </w:tc>
        <w:tc>
          <w:tcPr>
            <w:tcW w:w="3405"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the ABS Cat 6306.0</w:t>
            </w:r>
            <w:r w:rsidRPr="006A74F8">
              <w:rPr>
                <w:rStyle w:val="FootnoteReference"/>
                <w:rFonts w:asciiTheme="minorHAnsi" w:eastAsia="Times New Roman" w:hAnsiTheme="minorHAnsi" w:cstheme="minorHAnsi"/>
                <w:sz w:val="18"/>
                <w:szCs w:val="18"/>
                <w:lang w:eastAsia="en-AU"/>
              </w:rPr>
              <w:footnoteReference w:id="216"/>
            </w:r>
            <w:r w:rsidRPr="006A74F8">
              <w:rPr>
                <w:rFonts w:eastAsia="Times New Roman" w:cstheme="minorHAnsi"/>
                <w:sz w:val="18"/>
                <w:szCs w:val="18"/>
                <w:lang w:eastAsia="en-AU"/>
              </w:rPr>
              <w:t xml:space="preserve"> average weekly earnings for various engineering and technical wage including 1.75 multiplier</w:t>
            </w:r>
            <w:r w:rsidRPr="006A74F8">
              <w:rPr>
                <w:rStyle w:val="FootnoteReference"/>
                <w:rFonts w:asciiTheme="minorHAnsi" w:eastAsia="Times New Roman" w:hAnsiTheme="minorHAnsi" w:cstheme="minorHAnsi"/>
                <w:sz w:val="18"/>
                <w:szCs w:val="18"/>
                <w:lang w:eastAsia="en-AU"/>
              </w:rPr>
              <w:footnoteReference w:id="217"/>
            </w:r>
            <w:r w:rsidRPr="006A74F8">
              <w:rPr>
                <w:rFonts w:eastAsia="Times New Roman" w:cstheme="minorHAnsi"/>
                <w:sz w:val="18"/>
                <w:szCs w:val="18"/>
                <w:lang w:eastAsia="en-AU"/>
              </w:rPr>
              <w:t xml:space="preserve"> for on-costs</w:t>
            </w:r>
          </w:p>
        </w:tc>
      </w:tr>
      <w:tr w:rsidR="000D427A" w:rsidRPr="006A74F8" w:rsidTr="008F5DB1">
        <w:trPr>
          <w:trHeight w:val="273"/>
        </w:trPr>
        <w:tc>
          <w:tcPr>
            <w:tcW w:w="1417"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1062"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781"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 xml:space="preserve">Cost of Activity = </w:t>
            </w:r>
          </w:p>
        </w:tc>
        <w:tc>
          <w:tcPr>
            <w:tcW w:w="1974" w:type="dxa"/>
            <w:shd w:val="clear" w:color="auto" w:fill="D9D9D9" w:themeFill="background1" w:themeFillShade="D9"/>
            <w:noWrap/>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cstheme="minorHAnsi"/>
                <w:b/>
                <w:sz w:val="18"/>
                <w:szCs w:val="18"/>
              </w:rPr>
              <w:t xml:space="preserve"> $822,</w:t>
            </w:r>
            <w:r w:rsidR="00BF70E2" w:rsidRPr="006A74F8">
              <w:rPr>
                <w:rFonts w:cstheme="minorHAnsi"/>
                <w:b/>
                <w:sz w:val="18"/>
                <w:szCs w:val="18"/>
              </w:rPr>
              <w:t>248</w:t>
            </w:r>
          </w:p>
        </w:tc>
        <w:tc>
          <w:tcPr>
            <w:tcW w:w="3405" w:type="dxa"/>
            <w:shd w:val="clear" w:color="auto" w:fill="auto"/>
            <w:vAlign w:val="bottom"/>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8F5DB1">
        <w:trPr>
          <w:trHeight w:val="273"/>
        </w:trPr>
        <w:tc>
          <w:tcPr>
            <w:tcW w:w="4260" w:type="dxa"/>
            <w:gridSpan w:val="3"/>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r w:rsidRPr="006A74F8">
              <w:rPr>
                <w:rFonts w:eastAsia="Times New Roman" w:cstheme="minorHAnsi"/>
                <w:b/>
                <w:bCs/>
                <w:sz w:val="18"/>
                <w:szCs w:val="18"/>
                <w:lang w:eastAsia="en-AU"/>
              </w:rPr>
              <w:t>Total Reporting costs</w:t>
            </w:r>
          </w:p>
        </w:tc>
        <w:tc>
          <w:tcPr>
            <w:tcW w:w="1974" w:type="dxa"/>
            <w:shd w:val="clear" w:color="auto" w:fill="D9D9D9" w:themeFill="background1" w:themeFillShade="D9"/>
            <w:noWrap/>
            <w:vAlign w:val="bottom"/>
            <w:hideMark/>
          </w:tcPr>
          <w:p w:rsidR="000D427A" w:rsidRPr="006A74F8" w:rsidRDefault="00A7004E"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w:t>
            </w:r>
            <w:r w:rsidR="00F317DE" w:rsidRPr="006A74F8">
              <w:rPr>
                <w:rFonts w:eastAsia="Times New Roman" w:cstheme="minorHAnsi"/>
                <w:b/>
                <w:bCs/>
                <w:sz w:val="18"/>
                <w:szCs w:val="18"/>
                <w:lang w:eastAsia="en-AU"/>
              </w:rPr>
              <w:t>3,0</w:t>
            </w:r>
            <w:r w:rsidR="000C73E7" w:rsidRPr="006A74F8">
              <w:rPr>
                <w:rFonts w:eastAsia="Times New Roman" w:cstheme="minorHAnsi"/>
                <w:b/>
                <w:bCs/>
                <w:sz w:val="18"/>
                <w:szCs w:val="18"/>
                <w:lang w:eastAsia="en-AU"/>
              </w:rPr>
              <w:t>24</w:t>
            </w:r>
            <w:r w:rsidR="00F317DE" w:rsidRPr="006A74F8">
              <w:rPr>
                <w:rFonts w:eastAsia="Times New Roman" w:cstheme="minorHAnsi"/>
                <w:b/>
                <w:bCs/>
                <w:sz w:val="18"/>
                <w:szCs w:val="18"/>
                <w:lang w:eastAsia="en-AU"/>
              </w:rPr>
              <w:t>,</w:t>
            </w:r>
            <w:r w:rsidR="000C73E7" w:rsidRPr="006A74F8">
              <w:rPr>
                <w:rFonts w:eastAsia="Times New Roman" w:cstheme="minorHAnsi"/>
                <w:b/>
                <w:bCs/>
                <w:sz w:val="18"/>
                <w:szCs w:val="18"/>
                <w:lang w:eastAsia="en-AU"/>
              </w:rPr>
              <w:t>834</w:t>
            </w:r>
          </w:p>
        </w:tc>
        <w:tc>
          <w:tcPr>
            <w:tcW w:w="3405" w:type="dxa"/>
            <w:shd w:val="clear" w:color="auto" w:fill="auto"/>
            <w:vAlign w:val="bottom"/>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18738B" w:rsidRPr="006A74F8" w:rsidTr="00222273">
        <w:trPr>
          <w:trHeight w:val="273"/>
        </w:trPr>
        <w:tc>
          <w:tcPr>
            <w:tcW w:w="9639" w:type="dxa"/>
            <w:gridSpan w:val="5"/>
            <w:shd w:val="clear" w:color="auto" w:fill="auto"/>
            <w:noWrap/>
            <w:vAlign w:val="bottom"/>
            <w:hideMark/>
          </w:tcPr>
          <w:p w:rsidR="0018738B" w:rsidRPr="006A74F8" w:rsidRDefault="0018738B" w:rsidP="000D427A">
            <w:pPr>
              <w:spacing w:after="0" w:line="240" w:lineRule="auto"/>
              <w:rPr>
                <w:rFonts w:eastAsia="Times New Roman" w:cstheme="minorHAnsi"/>
                <w:sz w:val="18"/>
                <w:szCs w:val="18"/>
                <w:lang w:eastAsia="en-AU"/>
              </w:rPr>
            </w:pPr>
          </w:p>
        </w:tc>
      </w:tr>
      <w:tr w:rsidR="000D427A" w:rsidRPr="006A74F8" w:rsidTr="00480C9F">
        <w:trPr>
          <w:trHeight w:val="257"/>
        </w:trPr>
        <w:tc>
          <w:tcPr>
            <w:tcW w:w="4260" w:type="dxa"/>
            <w:gridSpan w:val="3"/>
            <w:shd w:val="clear" w:color="auto" w:fill="auto"/>
            <w:noWrap/>
            <w:vAlign w:val="bottom"/>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 xml:space="preserve">Total Annual SL Costs (Application, renewal cost, competence </w:t>
            </w:r>
            <w:r w:rsidR="004814C2" w:rsidRPr="006A74F8">
              <w:rPr>
                <w:rFonts w:eastAsia="Times New Roman" w:cstheme="minorHAnsi"/>
                <w:b/>
                <w:bCs/>
                <w:sz w:val="18"/>
                <w:szCs w:val="18"/>
                <w:lang w:eastAsia="en-AU"/>
              </w:rPr>
              <w:t>and</w:t>
            </w:r>
            <w:r w:rsidRPr="006A74F8">
              <w:rPr>
                <w:rFonts w:eastAsia="Times New Roman" w:cstheme="minorHAnsi"/>
                <w:b/>
                <w:bCs/>
                <w:sz w:val="18"/>
                <w:szCs w:val="18"/>
                <w:lang w:eastAsia="en-AU"/>
              </w:rPr>
              <w:t xml:space="preserve"> reporting)</w:t>
            </w:r>
          </w:p>
        </w:tc>
        <w:tc>
          <w:tcPr>
            <w:tcW w:w="1974" w:type="dxa"/>
            <w:shd w:val="clear" w:color="000000" w:fill="DBDBDB"/>
            <w:noWrap/>
            <w:vAlign w:val="bottom"/>
            <w:hideMark/>
          </w:tcPr>
          <w:p w:rsidR="00F317DE" w:rsidRPr="006A74F8" w:rsidRDefault="00A7004E" w:rsidP="00F317DE">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w:t>
            </w:r>
            <w:r w:rsidR="00141163" w:rsidRPr="006A74F8">
              <w:rPr>
                <w:rFonts w:eastAsia="Times New Roman" w:cstheme="minorHAnsi"/>
                <w:b/>
                <w:bCs/>
                <w:sz w:val="18"/>
                <w:szCs w:val="18"/>
                <w:lang w:eastAsia="en-AU"/>
              </w:rPr>
              <w:t>3,259,905</w:t>
            </w:r>
          </w:p>
          <w:p w:rsidR="000D427A" w:rsidRPr="006A74F8" w:rsidRDefault="000D427A" w:rsidP="000D427A">
            <w:pPr>
              <w:spacing w:after="0" w:line="240" w:lineRule="auto"/>
              <w:jc w:val="center"/>
              <w:rPr>
                <w:rFonts w:eastAsia="Times New Roman" w:cstheme="minorHAnsi"/>
                <w:b/>
                <w:bCs/>
                <w:sz w:val="18"/>
                <w:szCs w:val="18"/>
                <w:lang w:eastAsia="en-AU"/>
              </w:rPr>
            </w:pPr>
          </w:p>
        </w:tc>
        <w:tc>
          <w:tcPr>
            <w:tcW w:w="3405" w:type="dxa"/>
            <w:shd w:val="clear" w:color="auto" w:fill="auto"/>
            <w:vAlign w:val="center"/>
            <w:hideMark/>
          </w:tcPr>
          <w:p w:rsidR="00564D05"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p w:rsidR="000D427A" w:rsidRPr="006A74F8" w:rsidRDefault="000D427A" w:rsidP="00C1097C">
            <w:pPr>
              <w:rPr>
                <w:rFonts w:eastAsia="Times New Roman" w:cstheme="minorHAnsi"/>
                <w:sz w:val="18"/>
                <w:szCs w:val="18"/>
                <w:lang w:eastAsia="en-AU"/>
              </w:rPr>
            </w:pPr>
          </w:p>
        </w:tc>
      </w:tr>
    </w:tbl>
    <w:p w:rsidR="000D427A" w:rsidRPr="006A74F8" w:rsidRDefault="000D427A" w:rsidP="001E43AC">
      <w:pPr>
        <w:pStyle w:val="Heading4"/>
        <w:tabs>
          <w:tab w:val="left" w:pos="993"/>
        </w:tabs>
      </w:pPr>
      <w:r w:rsidRPr="006A74F8">
        <w:lastRenderedPageBreak/>
        <w:t>Utility Meter Verifiers</w:t>
      </w:r>
    </w:p>
    <w:p w:rsidR="00D14B95" w:rsidRPr="006A74F8" w:rsidRDefault="00D14B95" w:rsidP="00D14B95">
      <w:pPr>
        <w:pStyle w:val="Caption"/>
        <w:keepNext/>
      </w:pPr>
      <w:r w:rsidRPr="006A74F8">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5</w:t>
      </w:r>
      <w:r w:rsidR="00D003A8" w:rsidRPr="006A74F8">
        <w:rPr>
          <w:noProof/>
        </w:rPr>
        <w:fldChar w:fldCharType="end"/>
      </w:r>
      <w:r w:rsidRPr="006A74F8">
        <w:t>: Assumptions for Utility Meter Verifiers calculations</w:t>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3- 5: Assumptions for Utility Meter Verifiers calculations"/>
        <w:tblDescription w:val="Table details the assumptions made in calculating the costs for Utility Meter Verifiers  and total annual costs for Utility Meter Verifiers "/>
      </w:tblPr>
      <w:tblGrid>
        <w:gridCol w:w="1300"/>
        <w:gridCol w:w="869"/>
        <w:gridCol w:w="1872"/>
        <w:gridCol w:w="1057"/>
        <w:gridCol w:w="4669"/>
      </w:tblGrid>
      <w:tr w:rsidR="000D427A" w:rsidRPr="006A74F8" w:rsidTr="0018738B">
        <w:trPr>
          <w:trHeight w:val="560"/>
        </w:trPr>
        <w:tc>
          <w:tcPr>
            <w:tcW w:w="4041" w:type="dxa"/>
            <w:gridSpan w:val="3"/>
            <w:shd w:val="clear" w:color="auto" w:fill="D9D9D9" w:themeFill="background1" w:themeFillShade="D9"/>
            <w:noWrap/>
            <w:vAlign w:val="center"/>
            <w:hideMark/>
          </w:tcPr>
          <w:p w:rsidR="000D427A" w:rsidRPr="006A74F8" w:rsidRDefault="000D427A" w:rsidP="00353151">
            <w:pPr>
              <w:pStyle w:val="ListParagraph"/>
              <w:numPr>
                <w:ilvl w:val="3"/>
                <w:numId w:val="14"/>
              </w:numPr>
              <w:tabs>
                <w:tab w:val="clear" w:pos="2880"/>
                <w:tab w:val="num" w:pos="596"/>
              </w:tabs>
              <w:spacing w:after="0" w:line="240" w:lineRule="auto"/>
              <w:ind w:left="880"/>
              <w:jc w:val="center"/>
              <w:rPr>
                <w:rFonts w:eastAsia="Times New Roman" w:cstheme="minorHAnsi"/>
                <w:b/>
                <w:bCs/>
                <w:sz w:val="18"/>
                <w:szCs w:val="18"/>
                <w:lang w:eastAsia="en-AU"/>
              </w:rPr>
            </w:pPr>
            <w:r w:rsidRPr="006A74F8">
              <w:rPr>
                <w:rFonts w:eastAsia="Times New Roman" w:cstheme="minorHAnsi"/>
                <w:b/>
                <w:bCs/>
                <w:sz w:val="18"/>
                <w:szCs w:val="18"/>
                <w:lang w:eastAsia="en-AU"/>
              </w:rPr>
              <w:t>APPLICATION</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p>
        </w:tc>
        <w:tc>
          <w:tcPr>
            <w:tcW w:w="4669" w:type="dxa"/>
            <w:shd w:val="clear" w:color="auto" w:fill="auto"/>
            <w:noWrap/>
            <w:vAlign w:val="bottom"/>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18738B">
        <w:trPr>
          <w:trHeight w:val="560"/>
        </w:trPr>
        <w:tc>
          <w:tcPr>
            <w:tcW w:w="1300"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Understanding the </w:t>
            </w:r>
            <w:r w:rsidR="00F317DE" w:rsidRPr="006A74F8">
              <w:rPr>
                <w:rFonts w:eastAsia="Times New Roman" w:cstheme="minorHAnsi"/>
                <w:sz w:val="18"/>
                <w:szCs w:val="18"/>
                <w:lang w:eastAsia="en-AU"/>
              </w:rPr>
              <w:t xml:space="preserve">appointment </w:t>
            </w:r>
            <w:r w:rsidRPr="006A74F8">
              <w:rPr>
                <w:rFonts w:eastAsia="Times New Roman" w:cstheme="minorHAnsi"/>
                <w:sz w:val="18"/>
                <w:szCs w:val="18"/>
                <w:lang w:eastAsia="en-AU"/>
              </w:rPr>
              <w:t>process</w:t>
            </w:r>
          </w:p>
        </w:tc>
        <w:tc>
          <w:tcPr>
            <w:tcW w:w="869"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 (s18R) </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UMVs</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UMVs</w:t>
            </w:r>
            <w:r w:rsidR="00ED03C1" w:rsidRPr="006A74F8">
              <w:rPr>
                <w:rFonts w:eastAsia="Times New Roman" w:cstheme="minorHAnsi"/>
                <w:sz w:val="18"/>
                <w:szCs w:val="18"/>
                <w:lang w:eastAsia="en-AU"/>
              </w:rPr>
              <w:t xml:space="preserve"> n</w:t>
            </w:r>
            <w:r w:rsidRPr="006A74F8">
              <w:rPr>
                <w:rFonts w:eastAsia="Times New Roman" w:cstheme="minorHAnsi"/>
                <w:sz w:val="18"/>
                <w:szCs w:val="18"/>
                <w:lang w:eastAsia="en-AU"/>
              </w:rPr>
              <w:t xml:space="preserve">umbers are stable </w:t>
            </w:r>
            <w:r w:rsidR="000251E2" w:rsidRPr="006A74F8">
              <w:rPr>
                <w:rFonts w:eastAsia="Times New Roman" w:cstheme="minorHAnsi"/>
                <w:sz w:val="18"/>
                <w:szCs w:val="18"/>
                <w:lang w:eastAsia="en-AU"/>
              </w:rPr>
              <w:t xml:space="preserve">– </w:t>
            </w:r>
            <w:r w:rsidRPr="006A74F8">
              <w:rPr>
                <w:rFonts w:eastAsia="Times New Roman" w:cstheme="minorHAnsi"/>
                <w:sz w:val="18"/>
                <w:szCs w:val="18"/>
                <w:lang w:eastAsia="en-AU"/>
              </w:rPr>
              <w:t xml:space="preserve">estimate only </w:t>
            </w:r>
            <w:r w:rsidR="008C642B" w:rsidRPr="006A74F8">
              <w:rPr>
                <w:rFonts w:eastAsia="Times New Roman" w:cstheme="minorHAnsi"/>
                <w:sz w:val="18"/>
                <w:szCs w:val="18"/>
                <w:lang w:eastAsia="en-AU"/>
              </w:rPr>
              <w:t>one</w:t>
            </w:r>
            <w:r w:rsidRPr="006A74F8">
              <w:rPr>
                <w:rFonts w:eastAsia="Times New Roman" w:cstheme="minorHAnsi"/>
                <w:sz w:val="18"/>
                <w:szCs w:val="18"/>
                <w:lang w:eastAsia="en-AU"/>
              </w:rPr>
              <w:t xml:space="preserve"> new applicant annually</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One staff </w:t>
            </w:r>
            <w:r w:rsidR="00ED03C1" w:rsidRPr="006A74F8">
              <w:rPr>
                <w:rFonts w:eastAsia="Times New Roman" w:cstheme="minorHAnsi"/>
                <w:sz w:val="18"/>
                <w:szCs w:val="18"/>
                <w:lang w:eastAsia="en-AU"/>
              </w:rPr>
              <w:t>member</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Once based on number of annual applications</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6</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NMI estimates</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057" w:type="dxa"/>
            <w:shd w:val="clear" w:color="auto" w:fill="auto"/>
            <w:noWrap/>
            <w:vAlign w:val="center"/>
            <w:hideMark/>
          </w:tcPr>
          <w:p w:rsidR="000D427A" w:rsidRPr="006A74F8" w:rsidRDefault="00ED03C1" w:rsidP="000D427A">
            <w:pPr>
              <w:spacing w:after="0" w:line="240" w:lineRule="auto"/>
              <w:rPr>
                <w:rFonts w:eastAsia="Times New Roman" w:cstheme="minorHAnsi"/>
                <w:sz w:val="18"/>
                <w:szCs w:val="18"/>
                <w:lang w:eastAsia="en-AU"/>
              </w:rPr>
            </w:pPr>
            <w:r w:rsidRPr="006A74F8">
              <w:rPr>
                <w:sz w:val="18"/>
                <w:szCs w:val="18"/>
              </w:rPr>
              <w:t xml:space="preserve"> $110.83</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18"/>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19"/>
            </w:r>
            <w:r w:rsidRPr="006A74F8">
              <w:rPr>
                <w:rFonts w:ascii="Calibri" w:eastAsia="Times New Roman" w:hAnsi="Calibri" w:cs="Calibri"/>
                <w:sz w:val="18"/>
                <w:szCs w:val="18"/>
                <w:lang w:eastAsia="en-AU"/>
              </w:rPr>
              <w:t xml:space="preserve"> for on-costs</w:t>
            </w:r>
          </w:p>
        </w:tc>
      </w:tr>
      <w:tr w:rsidR="000D427A" w:rsidRPr="006A74F8" w:rsidTr="0018738B">
        <w:trPr>
          <w:trHeight w:val="560"/>
        </w:trPr>
        <w:tc>
          <w:tcPr>
            <w:tcW w:w="1300"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c>
          <w:tcPr>
            <w:tcW w:w="869"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Cost of Activity = </w:t>
            </w:r>
          </w:p>
        </w:tc>
        <w:tc>
          <w:tcPr>
            <w:tcW w:w="1057" w:type="dxa"/>
            <w:shd w:val="clear" w:color="auto" w:fill="auto"/>
            <w:noWrap/>
            <w:vAlign w:val="center"/>
            <w:hideMark/>
          </w:tcPr>
          <w:p w:rsidR="000D427A" w:rsidRPr="006A74F8" w:rsidRDefault="000D427A" w:rsidP="006A10C6">
            <w:pPr>
              <w:spacing w:after="0" w:line="240" w:lineRule="auto"/>
              <w:jc w:val="center"/>
              <w:rPr>
                <w:rFonts w:eastAsia="Times New Roman" w:cstheme="minorHAnsi"/>
                <w:b/>
                <w:bCs/>
                <w:sz w:val="18"/>
                <w:szCs w:val="18"/>
                <w:lang w:eastAsia="en-AU"/>
              </w:rPr>
            </w:pPr>
            <w:r w:rsidRPr="006A74F8">
              <w:rPr>
                <w:b/>
                <w:sz w:val="18"/>
                <w:szCs w:val="18"/>
              </w:rPr>
              <w:t>$665</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Burden to understand the application process</w:t>
            </w:r>
          </w:p>
        </w:tc>
      </w:tr>
      <w:tr w:rsidR="000D427A" w:rsidRPr="006A74F8" w:rsidTr="0018738B">
        <w:trPr>
          <w:trHeight w:val="294"/>
        </w:trPr>
        <w:tc>
          <w:tcPr>
            <w:tcW w:w="1300" w:type="dxa"/>
            <w:shd w:val="clear" w:color="auto" w:fill="D9D9D9" w:themeFill="background1" w:themeFillShade="D9"/>
            <w:vAlign w:val="center"/>
          </w:tcPr>
          <w:p w:rsidR="000D427A" w:rsidRPr="006A74F8" w:rsidRDefault="000D427A" w:rsidP="000D427A">
            <w:pPr>
              <w:spacing w:after="0" w:line="240" w:lineRule="auto"/>
              <w:jc w:val="center"/>
              <w:rPr>
                <w:rFonts w:eastAsia="Times New Roman" w:cstheme="minorHAnsi"/>
                <w:sz w:val="18"/>
                <w:szCs w:val="18"/>
                <w:lang w:eastAsia="en-AU"/>
              </w:rPr>
            </w:pPr>
          </w:p>
        </w:tc>
        <w:tc>
          <w:tcPr>
            <w:tcW w:w="869" w:type="dxa"/>
            <w:shd w:val="clear" w:color="auto" w:fill="D9D9D9" w:themeFill="background1" w:themeFillShade="D9"/>
            <w:vAlign w:val="center"/>
          </w:tcPr>
          <w:p w:rsidR="000D427A" w:rsidRPr="006A74F8" w:rsidRDefault="000D427A" w:rsidP="000D427A">
            <w:pPr>
              <w:spacing w:after="0" w:line="240" w:lineRule="auto"/>
              <w:jc w:val="center"/>
              <w:rPr>
                <w:rFonts w:eastAsia="Times New Roman" w:cstheme="minorHAnsi"/>
                <w:sz w:val="18"/>
                <w:szCs w:val="18"/>
                <w:lang w:eastAsia="en-AU"/>
              </w:rPr>
            </w:pPr>
          </w:p>
        </w:tc>
        <w:tc>
          <w:tcPr>
            <w:tcW w:w="1872" w:type="dxa"/>
            <w:shd w:val="clear" w:color="auto" w:fill="D9D9D9" w:themeFill="background1" w:themeFillShade="D9"/>
            <w:vAlign w:val="center"/>
          </w:tcPr>
          <w:p w:rsidR="000D427A" w:rsidRPr="006A74F8" w:rsidRDefault="000D427A" w:rsidP="000D427A">
            <w:pPr>
              <w:spacing w:after="0" w:line="240" w:lineRule="auto"/>
              <w:rPr>
                <w:rFonts w:eastAsia="Times New Roman" w:cstheme="minorHAnsi"/>
                <w:sz w:val="18"/>
                <w:szCs w:val="18"/>
                <w:lang w:eastAsia="en-AU"/>
              </w:rPr>
            </w:pPr>
          </w:p>
        </w:tc>
        <w:tc>
          <w:tcPr>
            <w:tcW w:w="1057" w:type="dxa"/>
            <w:shd w:val="clear" w:color="auto" w:fill="auto"/>
            <w:noWrap/>
            <w:vAlign w:val="center"/>
          </w:tcPr>
          <w:p w:rsidR="000D427A" w:rsidRPr="006A74F8" w:rsidRDefault="000D427A" w:rsidP="000D427A">
            <w:pPr>
              <w:spacing w:after="0" w:line="240" w:lineRule="auto"/>
              <w:jc w:val="center"/>
              <w:rPr>
                <w:rFonts w:eastAsia="Times New Roman" w:cstheme="minorHAnsi"/>
                <w:sz w:val="18"/>
                <w:szCs w:val="18"/>
                <w:lang w:eastAsia="en-AU"/>
              </w:rPr>
            </w:pPr>
          </w:p>
        </w:tc>
        <w:tc>
          <w:tcPr>
            <w:tcW w:w="4669" w:type="dxa"/>
            <w:shd w:val="clear" w:color="auto" w:fill="auto"/>
            <w:vAlign w:val="center"/>
          </w:tcPr>
          <w:p w:rsidR="000D427A" w:rsidRPr="006A74F8" w:rsidRDefault="000D427A" w:rsidP="000D427A">
            <w:pPr>
              <w:spacing w:after="0" w:line="240" w:lineRule="auto"/>
              <w:rPr>
                <w:rFonts w:eastAsia="Times New Roman" w:cstheme="minorHAnsi"/>
                <w:sz w:val="18"/>
                <w:szCs w:val="18"/>
                <w:lang w:eastAsia="en-AU"/>
              </w:rPr>
            </w:pPr>
          </w:p>
        </w:tc>
      </w:tr>
      <w:tr w:rsidR="000D427A" w:rsidRPr="006A74F8" w:rsidTr="0018738B">
        <w:trPr>
          <w:trHeight w:val="560"/>
        </w:trPr>
        <w:tc>
          <w:tcPr>
            <w:tcW w:w="1300"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Supplying the relevant information and documents with application</w:t>
            </w:r>
          </w:p>
        </w:tc>
        <w:tc>
          <w:tcPr>
            <w:tcW w:w="869"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 (s18R) </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UMVs</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14 current number of UMVs. Numbers are stable </w:t>
            </w:r>
            <w:r w:rsidR="008B53EC" w:rsidRPr="006A74F8">
              <w:rPr>
                <w:rFonts w:eastAsia="Times New Roman" w:cstheme="minorHAnsi"/>
                <w:sz w:val="18"/>
                <w:szCs w:val="18"/>
                <w:lang w:eastAsia="en-AU"/>
              </w:rPr>
              <w:t>–</w:t>
            </w:r>
            <w:r w:rsidRPr="006A74F8">
              <w:rPr>
                <w:rFonts w:eastAsia="Times New Roman" w:cstheme="minorHAnsi"/>
                <w:sz w:val="18"/>
                <w:szCs w:val="18"/>
                <w:lang w:eastAsia="en-AU"/>
              </w:rPr>
              <w:t xml:space="preserve"> estimate only 1 new applicant annually</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353151"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w:t>
            </w:r>
            <w:r w:rsidR="000D427A" w:rsidRPr="006A74F8">
              <w:rPr>
                <w:rFonts w:eastAsia="Times New Roman" w:cstheme="minorHAnsi"/>
                <w:sz w:val="18"/>
                <w:szCs w:val="18"/>
                <w:lang w:eastAsia="en-AU"/>
              </w:rPr>
              <w:t>s a minimum one staff is involved</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Once based on number of annual applications</w:t>
            </w:r>
          </w:p>
        </w:tc>
      </w:tr>
      <w:tr w:rsidR="000D427A" w:rsidRPr="006A74F8" w:rsidTr="0018738B">
        <w:trPr>
          <w:trHeight w:val="623"/>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rsidR="000D427A" w:rsidRPr="006A74F8" w:rsidRDefault="00ED03C1"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ED03C1"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NMI estimates</w:t>
            </w:r>
          </w:p>
        </w:tc>
      </w:tr>
      <w:tr w:rsidR="000D427A" w:rsidRPr="006A74F8" w:rsidTr="0018738B">
        <w:trPr>
          <w:trHeight w:val="934"/>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057" w:type="dxa"/>
            <w:shd w:val="clear" w:color="auto" w:fill="auto"/>
            <w:noWrap/>
            <w:vAlign w:val="center"/>
            <w:hideMark/>
          </w:tcPr>
          <w:p w:rsidR="000D427A" w:rsidRPr="006A74F8" w:rsidRDefault="00ED03C1"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$110.83</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the ABS Cat 6306.0</w:t>
            </w:r>
            <w:r w:rsidRPr="006A74F8">
              <w:rPr>
                <w:rStyle w:val="FootnoteReference"/>
                <w:rFonts w:eastAsia="Times New Roman" w:cstheme="minorHAnsi"/>
                <w:sz w:val="18"/>
                <w:szCs w:val="18"/>
                <w:lang w:eastAsia="en-AU"/>
              </w:rPr>
              <w:footnoteReference w:id="220"/>
            </w:r>
            <w:r w:rsidRPr="006A74F8">
              <w:rPr>
                <w:rFonts w:eastAsia="Times New Roman" w:cstheme="minorHAnsi"/>
                <w:sz w:val="18"/>
                <w:szCs w:val="18"/>
                <w:lang w:eastAsia="en-AU"/>
              </w:rPr>
              <w:t xml:space="preserve"> average weekly earnings for various engineering and technical wage</w:t>
            </w:r>
          </w:p>
        </w:tc>
      </w:tr>
      <w:tr w:rsidR="000D427A" w:rsidRPr="006A74F8" w:rsidTr="0018738B">
        <w:trPr>
          <w:trHeight w:val="560"/>
        </w:trPr>
        <w:tc>
          <w:tcPr>
            <w:tcW w:w="1300"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869"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 xml:space="preserve">Cost of Activity = </w:t>
            </w:r>
          </w:p>
        </w:tc>
        <w:tc>
          <w:tcPr>
            <w:tcW w:w="1057" w:type="dxa"/>
            <w:shd w:val="clear" w:color="auto" w:fill="auto"/>
            <w:noWrap/>
            <w:vAlign w:val="center"/>
            <w:hideMark/>
          </w:tcPr>
          <w:p w:rsidR="000D427A" w:rsidRPr="006A74F8" w:rsidRDefault="00ED03C1"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$111</w:t>
            </w:r>
          </w:p>
        </w:tc>
        <w:tc>
          <w:tcPr>
            <w:tcW w:w="4669" w:type="dxa"/>
            <w:shd w:val="clear" w:color="auto" w:fill="auto"/>
            <w:noWrap/>
            <w:vAlign w:val="bottom"/>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18738B">
        <w:trPr>
          <w:trHeight w:val="560"/>
        </w:trPr>
        <w:tc>
          <w:tcPr>
            <w:tcW w:w="4041" w:type="dxa"/>
            <w:gridSpan w:val="3"/>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T</w:t>
            </w:r>
            <w:r w:rsidR="00F23D41" w:rsidRPr="006A74F8">
              <w:rPr>
                <w:rFonts w:eastAsia="Times New Roman" w:cstheme="minorHAnsi"/>
                <w:b/>
                <w:bCs/>
                <w:sz w:val="18"/>
                <w:szCs w:val="18"/>
                <w:lang w:eastAsia="en-AU"/>
              </w:rPr>
              <w:t>otal cost of application</w:t>
            </w:r>
          </w:p>
        </w:tc>
        <w:tc>
          <w:tcPr>
            <w:tcW w:w="1057" w:type="dxa"/>
            <w:shd w:val="clear" w:color="auto" w:fill="auto"/>
            <w:noWrap/>
            <w:vAlign w:val="center"/>
            <w:hideMark/>
          </w:tcPr>
          <w:p w:rsidR="000D427A" w:rsidRPr="006A74F8" w:rsidRDefault="00ED03C1"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$776</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18738B" w:rsidRPr="006A74F8" w:rsidTr="0018738B">
        <w:trPr>
          <w:trHeight w:val="233"/>
        </w:trPr>
        <w:tc>
          <w:tcPr>
            <w:tcW w:w="9767" w:type="dxa"/>
            <w:gridSpan w:val="5"/>
            <w:shd w:val="clear" w:color="auto" w:fill="auto"/>
            <w:noWrap/>
            <w:vAlign w:val="bottom"/>
            <w:hideMark/>
          </w:tcPr>
          <w:p w:rsidR="0018738B" w:rsidRPr="006A74F8" w:rsidRDefault="0018738B" w:rsidP="0018738B">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 </w:t>
            </w:r>
          </w:p>
        </w:tc>
      </w:tr>
      <w:tr w:rsidR="000D427A" w:rsidRPr="006A74F8" w:rsidTr="0018738B">
        <w:trPr>
          <w:trHeight w:val="560"/>
        </w:trPr>
        <w:tc>
          <w:tcPr>
            <w:tcW w:w="4041" w:type="dxa"/>
            <w:gridSpan w:val="3"/>
            <w:shd w:val="clear" w:color="auto" w:fill="D9D9D9" w:themeFill="background1" w:themeFillShade="D9"/>
            <w:vAlign w:val="center"/>
            <w:hideMark/>
          </w:tcPr>
          <w:p w:rsidR="00524396" w:rsidRPr="006A74F8" w:rsidRDefault="00524396" w:rsidP="00524396">
            <w:pPr>
              <w:spacing w:after="0" w:line="240" w:lineRule="auto"/>
              <w:jc w:val="center"/>
              <w:rPr>
                <w:rFonts w:eastAsia="Times New Roman" w:cstheme="minorHAnsi"/>
                <w:b/>
                <w:sz w:val="18"/>
                <w:szCs w:val="18"/>
                <w:lang w:eastAsia="en-AU"/>
              </w:rPr>
            </w:pPr>
            <w:r w:rsidRPr="006A74F8">
              <w:rPr>
                <w:rFonts w:eastAsia="Times New Roman" w:cstheme="minorHAnsi"/>
                <w:b/>
                <w:sz w:val="18"/>
                <w:szCs w:val="18"/>
                <w:lang w:eastAsia="en-AU"/>
              </w:rPr>
              <w:t>2.</w:t>
            </w:r>
            <w:r w:rsidR="000D427A" w:rsidRPr="006A74F8">
              <w:rPr>
                <w:rFonts w:eastAsia="Times New Roman" w:cstheme="minorHAnsi"/>
                <w:b/>
                <w:sz w:val="18"/>
                <w:szCs w:val="18"/>
                <w:lang w:eastAsia="en-AU"/>
              </w:rPr>
              <w:t xml:space="preserve"> Renewal process</w:t>
            </w:r>
            <w:r w:rsidRPr="006A74F8">
              <w:rPr>
                <w:rFonts w:eastAsia="Times New Roman" w:cstheme="minorHAnsi"/>
                <w:b/>
                <w:sz w:val="18"/>
                <w:szCs w:val="18"/>
                <w:lang w:eastAsia="en-AU"/>
              </w:rPr>
              <w:t> </w:t>
            </w:r>
          </w:p>
          <w:p w:rsidR="000D427A" w:rsidRPr="006A74F8" w:rsidRDefault="000D427A" w:rsidP="000D427A">
            <w:pPr>
              <w:spacing w:after="0" w:line="240" w:lineRule="auto"/>
              <w:rPr>
                <w:rFonts w:eastAsia="Times New Roman" w:cstheme="minorHAnsi"/>
                <w:b/>
                <w:sz w:val="18"/>
                <w:szCs w:val="18"/>
                <w:lang w:eastAsia="en-AU"/>
              </w:rPr>
            </w:pP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p>
        </w:tc>
      </w:tr>
      <w:tr w:rsidR="000D427A" w:rsidRPr="006A74F8" w:rsidTr="0018738B">
        <w:trPr>
          <w:trHeight w:val="560"/>
        </w:trPr>
        <w:tc>
          <w:tcPr>
            <w:tcW w:w="1300"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Understanding the process for Renewal</w:t>
            </w:r>
          </w:p>
        </w:tc>
        <w:tc>
          <w:tcPr>
            <w:tcW w:w="869"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LMA</w:t>
            </w:r>
            <w:r w:rsidR="00991336" w:rsidRPr="006A74F8">
              <w:rPr>
                <w:rFonts w:eastAsia="Times New Roman" w:cstheme="minorHAnsi"/>
                <w:sz w:val="18"/>
                <w:szCs w:val="18"/>
                <w:lang w:eastAsia="en-AU"/>
              </w:rPr>
              <w:t>s</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14</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14 current UMV licences. Administratively good for 3 years. Total 41 annual renewals average applications. </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ED03C1"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One staff member</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0.3</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14 current UMV licences. The appointment generally is good for 3 years generally hence 1/3 = 0.33</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6</w:t>
            </w:r>
          </w:p>
        </w:tc>
        <w:tc>
          <w:tcPr>
            <w:tcW w:w="4669" w:type="dxa"/>
            <w:shd w:val="clear" w:color="auto" w:fill="auto"/>
            <w:vAlign w:val="center"/>
            <w:hideMark/>
          </w:tcPr>
          <w:p w:rsidR="000D427A" w:rsidRPr="006A74F8" w:rsidRDefault="00ED03C1"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NMI estimate</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sz w:val="18"/>
                <w:szCs w:val="18"/>
              </w:rPr>
              <w:t xml:space="preserve"> $</w:t>
            </w:r>
            <w:r w:rsidR="00ED03C1" w:rsidRPr="006A74F8">
              <w:rPr>
                <w:sz w:val="18"/>
                <w:szCs w:val="18"/>
              </w:rPr>
              <w:t>110.83</w:t>
            </w:r>
            <w:r w:rsidRPr="006A74F8">
              <w:rPr>
                <w:sz w:val="18"/>
                <w:szCs w:val="18"/>
              </w:rPr>
              <w:t xml:space="preserve"> </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21"/>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22"/>
            </w:r>
            <w:r w:rsidRPr="006A74F8">
              <w:rPr>
                <w:rFonts w:ascii="Calibri" w:eastAsia="Times New Roman" w:hAnsi="Calibri" w:cs="Calibri"/>
                <w:sz w:val="18"/>
                <w:szCs w:val="18"/>
                <w:lang w:eastAsia="en-AU"/>
              </w:rPr>
              <w:t xml:space="preserve"> for on-costs</w:t>
            </w:r>
          </w:p>
        </w:tc>
      </w:tr>
      <w:tr w:rsidR="000D427A" w:rsidRPr="006A74F8" w:rsidTr="0018738B">
        <w:trPr>
          <w:trHeight w:val="560"/>
        </w:trPr>
        <w:tc>
          <w:tcPr>
            <w:tcW w:w="1300"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c>
          <w:tcPr>
            <w:tcW w:w="869"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 xml:space="preserve">Cost of Activity = </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b/>
                <w:sz w:val="18"/>
                <w:szCs w:val="18"/>
              </w:rPr>
              <w:t xml:space="preserve"> $</w:t>
            </w:r>
            <w:r w:rsidR="00A36876" w:rsidRPr="006A74F8">
              <w:rPr>
                <w:b/>
                <w:sz w:val="18"/>
                <w:szCs w:val="18"/>
              </w:rPr>
              <w:t>2,793</w:t>
            </w:r>
            <w:r w:rsidRPr="006A74F8">
              <w:rPr>
                <w:b/>
                <w:sz w:val="18"/>
                <w:szCs w:val="18"/>
              </w:rPr>
              <w:t xml:space="preserve"> </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18738B">
        <w:trPr>
          <w:trHeight w:val="262"/>
        </w:trPr>
        <w:tc>
          <w:tcPr>
            <w:tcW w:w="1300" w:type="dxa"/>
            <w:shd w:val="clear" w:color="auto" w:fill="D9D9D9" w:themeFill="background1" w:themeFillShade="D9"/>
            <w:vAlign w:val="center"/>
          </w:tcPr>
          <w:p w:rsidR="000D427A" w:rsidRPr="006A74F8" w:rsidRDefault="000D427A" w:rsidP="000D427A">
            <w:pPr>
              <w:spacing w:after="0" w:line="240" w:lineRule="auto"/>
              <w:jc w:val="center"/>
              <w:rPr>
                <w:rFonts w:eastAsia="Times New Roman" w:cstheme="minorHAnsi"/>
                <w:sz w:val="18"/>
                <w:szCs w:val="18"/>
                <w:lang w:eastAsia="en-AU"/>
              </w:rPr>
            </w:pPr>
          </w:p>
        </w:tc>
        <w:tc>
          <w:tcPr>
            <w:tcW w:w="869" w:type="dxa"/>
            <w:shd w:val="clear" w:color="auto" w:fill="D9D9D9" w:themeFill="background1" w:themeFillShade="D9"/>
            <w:vAlign w:val="center"/>
          </w:tcPr>
          <w:p w:rsidR="000D427A" w:rsidRPr="006A74F8" w:rsidRDefault="000D427A" w:rsidP="000D427A">
            <w:pPr>
              <w:spacing w:after="0" w:line="240" w:lineRule="auto"/>
              <w:jc w:val="center"/>
              <w:rPr>
                <w:rFonts w:eastAsia="Times New Roman" w:cstheme="minorHAnsi"/>
                <w:sz w:val="18"/>
                <w:szCs w:val="18"/>
                <w:lang w:eastAsia="en-AU"/>
              </w:rPr>
            </w:pPr>
          </w:p>
        </w:tc>
        <w:tc>
          <w:tcPr>
            <w:tcW w:w="1872" w:type="dxa"/>
            <w:shd w:val="clear" w:color="auto" w:fill="D9D9D9" w:themeFill="background1" w:themeFillShade="D9"/>
            <w:vAlign w:val="center"/>
          </w:tcPr>
          <w:p w:rsidR="000D427A" w:rsidRPr="006A74F8" w:rsidRDefault="000D427A" w:rsidP="000D427A">
            <w:pPr>
              <w:spacing w:after="0" w:line="240" w:lineRule="auto"/>
              <w:rPr>
                <w:rFonts w:eastAsia="Times New Roman" w:cstheme="minorHAnsi"/>
                <w:sz w:val="18"/>
                <w:szCs w:val="18"/>
                <w:lang w:eastAsia="en-AU"/>
              </w:rPr>
            </w:pPr>
          </w:p>
        </w:tc>
        <w:tc>
          <w:tcPr>
            <w:tcW w:w="1057" w:type="dxa"/>
            <w:shd w:val="clear" w:color="auto" w:fill="auto"/>
            <w:noWrap/>
            <w:vAlign w:val="center"/>
          </w:tcPr>
          <w:p w:rsidR="000D427A" w:rsidRPr="006A74F8" w:rsidRDefault="000D427A" w:rsidP="000D427A">
            <w:pPr>
              <w:spacing w:after="0" w:line="240" w:lineRule="auto"/>
              <w:jc w:val="center"/>
              <w:rPr>
                <w:rFonts w:eastAsia="Times New Roman" w:cstheme="minorHAnsi"/>
                <w:sz w:val="18"/>
                <w:szCs w:val="18"/>
                <w:lang w:eastAsia="en-AU"/>
              </w:rPr>
            </w:pPr>
          </w:p>
        </w:tc>
        <w:tc>
          <w:tcPr>
            <w:tcW w:w="4669" w:type="dxa"/>
            <w:shd w:val="clear" w:color="auto" w:fill="auto"/>
            <w:vAlign w:val="center"/>
          </w:tcPr>
          <w:p w:rsidR="000D427A" w:rsidRPr="006A74F8" w:rsidRDefault="000D427A" w:rsidP="000D427A">
            <w:pPr>
              <w:spacing w:after="0" w:line="240" w:lineRule="auto"/>
              <w:rPr>
                <w:rFonts w:eastAsia="Times New Roman" w:cstheme="minorHAnsi"/>
                <w:sz w:val="18"/>
                <w:szCs w:val="18"/>
                <w:lang w:eastAsia="en-AU"/>
              </w:rPr>
            </w:pPr>
          </w:p>
        </w:tc>
      </w:tr>
      <w:tr w:rsidR="000D427A" w:rsidRPr="006A74F8" w:rsidTr="0018738B">
        <w:trPr>
          <w:trHeight w:val="560"/>
        </w:trPr>
        <w:tc>
          <w:tcPr>
            <w:tcW w:w="1300"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Supplying the relevant information and documents</w:t>
            </w:r>
          </w:p>
        </w:tc>
        <w:tc>
          <w:tcPr>
            <w:tcW w:w="869"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UMV</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14</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14 current UMV licences. Administratively good for 3 years. Total 41 annual renewals average applications. </w:t>
            </w:r>
          </w:p>
        </w:tc>
      </w:tr>
      <w:tr w:rsidR="000D427A" w:rsidRPr="006A74F8" w:rsidTr="0018738B">
        <w:trPr>
          <w:trHeight w:val="934"/>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ED03C1"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One staff member</w:t>
            </w:r>
          </w:p>
        </w:tc>
      </w:tr>
      <w:tr w:rsidR="000D427A" w:rsidRPr="006A74F8" w:rsidTr="0018738B">
        <w:trPr>
          <w:trHeight w:val="934"/>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0.3</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14 current UMV licences. The appointment generally is good for 3 years generally hence 1/3 = 0.33</w:t>
            </w:r>
          </w:p>
        </w:tc>
      </w:tr>
      <w:tr w:rsidR="000D427A" w:rsidRPr="006A74F8" w:rsidTr="0018738B">
        <w:trPr>
          <w:trHeight w:val="623"/>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rsidR="000D427A" w:rsidRPr="006A74F8" w:rsidRDefault="00DB43CC"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5</w:t>
            </w:r>
          </w:p>
        </w:tc>
        <w:tc>
          <w:tcPr>
            <w:tcW w:w="4669" w:type="dxa"/>
            <w:shd w:val="clear" w:color="auto" w:fill="auto"/>
            <w:vAlign w:val="center"/>
            <w:hideMark/>
          </w:tcPr>
          <w:p w:rsidR="000D427A" w:rsidRPr="006A74F8" w:rsidRDefault="00DB43CC"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NMI estimate</w:t>
            </w:r>
          </w:p>
        </w:tc>
      </w:tr>
      <w:tr w:rsidR="000D427A" w:rsidRPr="006A74F8" w:rsidTr="0018738B">
        <w:trPr>
          <w:trHeight w:val="934"/>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Labour cost ($/hr) (wage + non-wage labour costs)</w:t>
            </w:r>
          </w:p>
        </w:tc>
        <w:tc>
          <w:tcPr>
            <w:tcW w:w="1057" w:type="dxa"/>
            <w:shd w:val="clear" w:color="auto" w:fill="auto"/>
            <w:noWrap/>
            <w:vAlign w:val="center"/>
            <w:hideMark/>
          </w:tcPr>
          <w:p w:rsidR="000D427A" w:rsidRPr="006A74F8" w:rsidRDefault="00DB43CC" w:rsidP="000D427A">
            <w:pPr>
              <w:spacing w:after="0" w:line="240" w:lineRule="auto"/>
              <w:jc w:val="center"/>
              <w:rPr>
                <w:rFonts w:eastAsia="Times New Roman" w:cstheme="minorHAnsi"/>
                <w:sz w:val="18"/>
                <w:szCs w:val="18"/>
                <w:lang w:eastAsia="en-AU"/>
              </w:rPr>
            </w:pPr>
            <w:r w:rsidRPr="006A74F8">
              <w:rPr>
                <w:sz w:val="18"/>
                <w:szCs w:val="18"/>
              </w:rPr>
              <w:t xml:space="preserve"> $110.83</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23"/>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24"/>
            </w:r>
            <w:r w:rsidRPr="006A74F8">
              <w:rPr>
                <w:rFonts w:ascii="Calibri" w:eastAsia="Times New Roman" w:hAnsi="Calibri" w:cs="Calibri"/>
                <w:sz w:val="18"/>
                <w:szCs w:val="18"/>
                <w:lang w:eastAsia="en-AU"/>
              </w:rPr>
              <w:t xml:space="preserve"> for on-costs</w:t>
            </w:r>
          </w:p>
        </w:tc>
      </w:tr>
      <w:tr w:rsidR="000D427A" w:rsidRPr="006A74F8" w:rsidTr="0018738B">
        <w:trPr>
          <w:trHeight w:val="560"/>
        </w:trPr>
        <w:tc>
          <w:tcPr>
            <w:tcW w:w="1300"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869"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Cost of Activity = </w:t>
            </w:r>
          </w:p>
        </w:tc>
        <w:tc>
          <w:tcPr>
            <w:tcW w:w="1057" w:type="dxa"/>
            <w:shd w:val="clear" w:color="auto" w:fill="auto"/>
            <w:noWrap/>
            <w:vAlign w:val="center"/>
            <w:hideMark/>
          </w:tcPr>
          <w:p w:rsidR="000D427A" w:rsidRPr="006A74F8" w:rsidRDefault="00DB43CC" w:rsidP="000D427A">
            <w:pPr>
              <w:spacing w:after="0" w:line="240" w:lineRule="auto"/>
              <w:jc w:val="center"/>
              <w:rPr>
                <w:rFonts w:eastAsia="Times New Roman" w:cstheme="minorHAnsi"/>
                <w:b/>
                <w:bCs/>
                <w:sz w:val="18"/>
                <w:szCs w:val="18"/>
                <w:lang w:eastAsia="en-AU"/>
              </w:rPr>
            </w:pPr>
            <w:r w:rsidRPr="006A74F8">
              <w:rPr>
                <w:sz w:val="18"/>
                <w:szCs w:val="18"/>
              </w:rPr>
              <w:t xml:space="preserve"> $2,</w:t>
            </w:r>
            <w:r w:rsidR="00A36876" w:rsidRPr="006A74F8">
              <w:rPr>
                <w:sz w:val="18"/>
                <w:szCs w:val="18"/>
              </w:rPr>
              <w:t>327</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18738B">
        <w:trPr>
          <w:trHeight w:val="560"/>
        </w:trPr>
        <w:tc>
          <w:tcPr>
            <w:tcW w:w="4041" w:type="dxa"/>
            <w:gridSpan w:val="3"/>
            <w:shd w:val="clear" w:color="auto" w:fill="D9D9D9" w:themeFill="background1" w:themeFillShade="D9"/>
            <w:noWrap/>
            <w:vAlign w:val="center"/>
            <w:hideMark/>
          </w:tcPr>
          <w:p w:rsidR="000D427A" w:rsidRPr="006A74F8" w:rsidRDefault="00F23D41"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Total cost of renewal</w:t>
            </w:r>
          </w:p>
        </w:tc>
        <w:tc>
          <w:tcPr>
            <w:tcW w:w="1057" w:type="dxa"/>
            <w:shd w:val="clear" w:color="auto" w:fill="auto"/>
            <w:noWrap/>
            <w:vAlign w:val="center"/>
            <w:hideMark/>
          </w:tcPr>
          <w:p w:rsidR="000D427A" w:rsidRPr="006A74F8" w:rsidRDefault="00DB43CC"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$5,</w:t>
            </w:r>
            <w:r w:rsidR="00A36876" w:rsidRPr="006A74F8">
              <w:rPr>
                <w:rFonts w:eastAsia="Times New Roman" w:cstheme="minorHAnsi"/>
                <w:b/>
                <w:bCs/>
                <w:sz w:val="18"/>
                <w:szCs w:val="18"/>
                <w:lang w:eastAsia="en-AU"/>
              </w:rPr>
              <w:t>120</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18738B" w:rsidRPr="006A74F8" w:rsidTr="0018738B">
        <w:trPr>
          <w:trHeight w:val="185"/>
        </w:trPr>
        <w:tc>
          <w:tcPr>
            <w:tcW w:w="9767" w:type="dxa"/>
            <w:gridSpan w:val="5"/>
            <w:shd w:val="clear" w:color="auto" w:fill="auto"/>
            <w:noWrap/>
            <w:vAlign w:val="center"/>
            <w:hideMark/>
          </w:tcPr>
          <w:p w:rsidR="0018738B" w:rsidRPr="006A74F8" w:rsidRDefault="0018738B" w:rsidP="000D427A">
            <w:pPr>
              <w:spacing w:after="0" w:line="240" w:lineRule="auto"/>
              <w:rPr>
                <w:rFonts w:eastAsia="Times New Roman" w:cstheme="minorHAnsi"/>
                <w:sz w:val="18"/>
                <w:szCs w:val="18"/>
                <w:lang w:eastAsia="en-AU"/>
              </w:rPr>
            </w:pPr>
          </w:p>
        </w:tc>
      </w:tr>
      <w:tr w:rsidR="000D427A" w:rsidRPr="006A74F8" w:rsidTr="0018738B">
        <w:trPr>
          <w:trHeight w:val="261"/>
        </w:trPr>
        <w:tc>
          <w:tcPr>
            <w:tcW w:w="4041" w:type="dxa"/>
            <w:gridSpan w:val="3"/>
            <w:shd w:val="clear" w:color="auto" w:fill="D9D9D9" w:themeFill="background1" w:themeFillShade="D9"/>
            <w:vAlign w:val="center"/>
            <w:hideMark/>
          </w:tcPr>
          <w:p w:rsidR="000D427A" w:rsidRPr="006A74F8" w:rsidRDefault="000A116A" w:rsidP="000A116A">
            <w:pPr>
              <w:pStyle w:val="ListParagraph"/>
              <w:spacing w:after="0" w:line="240" w:lineRule="auto"/>
              <w:ind w:firstLine="0"/>
              <w:rPr>
                <w:rFonts w:eastAsia="Times New Roman" w:cstheme="minorHAnsi"/>
                <w:b/>
                <w:bCs/>
                <w:sz w:val="18"/>
                <w:szCs w:val="18"/>
                <w:lang w:eastAsia="en-AU"/>
              </w:rPr>
            </w:pPr>
            <w:r w:rsidRPr="006A74F8">
              <w:rPr>
                <w:b/>
                <w:sz w:val="18"/>
                <w:szCs w:val="18"/>
                <w:lang w:eastAsia="en-AU"/>
              </w:rPr>
              <w:t>3.</w:t>
            </w:r>
            <w:r w:rsidR="009A469F" w:rsidRPr="006A74F8">
              <w:rPr>
                <w:b/>
                <w:sz w:val="18"/>
                <w:szCs w:val="18"/>
                <w:lang w:eastAsia="en-AU"/>
              </w:rPr>
              <w:t>COMPETENCE</w:t>
            </w:r>
            <w:r w:rsidR="000D427A" w:rsidRPr="006A74F8">
              <w:rPr>
                <w:rFonts w:eastAsia="Times New Roman" w:cstheme="minorHAnsi"/>
                <w:b/>
                <w:bCs/>
                <w:sz w:val="18"/>
                <w:szCs w:val="18"/>
                <w:lang w:eastAsia="en-AU"/>
              </w:rPr>
              <w:t xml:space="preserve"> </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p>
        </w:tc>
        <w:tc>
          <w:tcPr>
            <w:tcW w:w="4669" w:type="dxa"/>
            <w:shd w:val="clear" w:color="auto" w:fill="auto"/>
            <w:vAlign w:val="center"/>
          </w:tcPr>
          <w:p w:rsidR="000D427A" w:rsidRPr="006A74F8" w:rsidRDefault="000D427A" w:rsidP="000D427A">
            <w:pPr>
              <w:spacing w:after="0" w:line="240" w:lineRule="auto"/>
              <w:rPr>
                <w:rFonts w:eastAsia="Times New Roman" w:cstheme="minorHAnsi"/>
                <w:sz w:val="18"/>
                <w:szCs w:val="18"/>
                <w:lang w:eastAsia="en-AU"/>
              </w:rPr>
            </w:pPr>
          </w:p>
        </w:tc>
      </w:tr>
      <w:tr w:rsidR="000D427A" w:rsidRPr="006A74F8" w:rsidTr="0018738B">
        <w:trPr>
          <w:trHeight w:val="560"/>
        </w:trPr>
        <w:tc>
          <w:tcPr>
            <w:tcW w:w="1300"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Time required for to obtain </w:t>
            </w:r>
            <w:r w:rsidR="00DB43CC" w:rsidRPr="006A74F8">
              <w:rPr>
                <w:rFonts w:eastAsia="Times New Roman" w:cstheme="minorHAnsi"/>
                <w:sz w:val="18"/>
                <w:szCs w:val="18"/>
                <w:lang w:eastAsia="en-AU"/>
              </w:rPr>
              <w:t>accreditation</w:t>
            </w:r>
          </w:p>
        </w:tc>
        <w:tc>
          <w:tcPr>
            <w:tcW w:w="869"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(s18RB </w:t>
            </w:r>
            <w:r w:rsidR="00243D15" w:rsidRPr="006A74F8">
              <w:rPr>
                <w:rFonts w:eastAsia="Times New Roman" w:cstheme="minorHAnsi"/>
                <w:sz w:val="18"/>
                <w:szCs w:val="18"/>
                <w:lang w:eastAsia="en-AU"/>
              </w:rPr>
              <w:t>(</w:t>
            </w:r>
            <w:r w:rsidRPr="006A74F8">
              <w:rPr>
                <w:rFonts w:eastAsia="Times New Roman" w:cstheme="minorHAnsi"/>
                <w:sz w:val="18"/>
                <w:szCs w:val="18"/>
                <w:lang w:eastAsia="en-AU"/>
              </w:rPr>
              <w:t>a</w:t>
            </w:r>
            <w:r w:rsidR="00243D15" w:rsidRPr="006A74F8">
              <w:rPr>
                <w:rFonts w:eastAsia="Times New Roman" w:cstheme="minorHAnsi"/>
                <w:sz w:val="18"/>
                <w:szCs w:val="18"/>
                <w:lang w:eastAsia="en-AU"/>
              </w:rPr>
              <w:t>)</w:t>
            </w:r>
            <w:r w:rsidRPr="006A74F8">
              <w:rPr>
                <w:rFonts w:eastAsia="Times New Roman" w:cstheme="minorHAnsi"/>
                <w:sz w:val="18"/>
                <w:szCs w:val="18"/>
                <w:lang w:eastAsia="en-AU"/>
              </w:rPr>
              <w:t xml:space="preserve"> </w:t>
            </w:r>
            <w:r w:rsidR="00243D15" w:rsidRPr="006A74F8">
              <w:rPr>
                <w:rFonts w:eastAsia="Times New Roman" w:cstheme="minorHAnsi"/>
                <w:sz w:val="18"/>
                <w:szCs w:val="18"/>
                <w:lang w:eastAsia="en-AU"/>
              </w:rPr>
              <w:t>– (</w:t>
            </w:r>
            <w:r w:rsidRPr="006A74F8">
              <w:rPr>
                <w:rFonts w:eastAsia="Times New Roman" w:cstheme="minorHAnsi"/>
                <w:sz w:val="18"/>
                <w:szCs w:val="18"/>
                <w:lang w:eastAsia="en-AU"/>
              </w:rPr>
              <w:t>aa</w:t>
            </w:r>
            <w:r w:rsidR="00243D15" w:rsidRPr="006A74F8">
              <w:rPr>
                <w:rFonts w:eastAsia="Times New Roman" w:cstheme="minorHAnsi"/>
                <w:sz w:val="18"/>
                <w:szCs w:val="18"/>
                <w:lang w:eastAsia="en-AU"/>
              </w:rPr>
              <w:t>)</w:t>
            </w:r>
            <w:r w:rsidRPr="006A74F8">
              <w:rPr>
                <w:rFonts w:eastAsia="Times New Roman" w:cstheme="minorHAnsi"/>
                <w:sz w:val="18"/>
                <w:szCs w:val="18"/>
                <w:lang w:eastAsia="en-AU"/>
              </w:rPr>
              <w:t xml:space="preserve">, s18RCA) </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UMVs</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14</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14 current UMV </w:t>
            </w:r>
            <w:r w:rsidR="00DB43CC" w:rsidRPr="006A74F8">
              <w:rPr>
                <w:rFonts w:eastAsia="Times New Roman" w:cstheme="minorHAnsi"/>
                <w:sz w:val="18"/>
                <w:szCs w:val="18"/>
                <w:lang w:eastAsia="en-AU"/>
              </w:rPr>
              <w:t>appointments which are</w:t>
            </w:r>
            <w:r w:rsidRPr="006A74F8">
              <w:rPr>
                <w:rFonts w:eastAsia="Times New Roman" w:cstheme="minorHAnsi"/>
                <w:sz w:val="18"/>
                <w:szCs w:val="18"/>
                <w:lang w:eastAsia="en-AU"/>
              </w:rPr>
              <w:t xml:space="preserve"> for 3 years.</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Percentage of business activity dependent on measurement activity = percentage NATA accreditation value for measurement activity</w:t>
            </w:r>
          </w:p>
        </w:tc>
        <w:tc>
          <w:tcPr>
            <w:tcW w:w="1057" w:type="dxa"/>
            <w:shd w:val="clear" w:color="auto" w:fill="auto"/>
            <w:noWrap/>
            <w:vAlign w:val="center"/>
            <w:hideMark/>
          </w:tcPr>
          <w:p w:rsidR="000D427A" w:rsidRPr="006A74F8" w:rsidRDefault="00DB43CC"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5</w:t>
            </w:r>
            <w:r w:rsidR="00ED03C1" w:rsidRPr="006A74F8">
              <w:rPr>
                <w:rFonts w:eastAsia="Times New Roman" w:cstheme="minorHAnsi"/>
                <w:sz w:val="18"/>
                <w:szCs w:val="18"/>
                <w:lang w:eastAsia="en-AU"/>
              </w:rPr>
              <w:t>0</w:t>
            </w:r>
            <w:r w:rsidR="000D427A" w:rsidRPr="006A74F8">
              <w:rPr>
                <w:rFonts w:eastAsia="Times New Roman" w:cstheme="minorHAnsi"/>
                <w:sz w:val="18"/>
                <w:szCs w:val="18"/>
                <w:lang w:eastAsia="en-AU"/>
              </w:rPr>
              <w:t>%</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UMV depend on the accreditation for their business. The value of the accreditation to the business is high at 100%. </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DB43CC"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Annual cost</w:t>
            </w:r>
            <w:r w:rsidR="00F23D41" w:rsidRPr="006A74F8">
              <w:rPr>
                <w:rFonts w:eastAsia="Times New Roman" w:cstheme="minorHAnsi"/>
                <w:sz w:val="18"/>
                <w:szCs w:val="18"/>
                <w:lang w:eastAsia="en-AU"/>
              </w:rPr>
              <w:t xml:space="preserve"> of accreditation</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$10,000</w:t>
            </w:r>
          </w:p>
        </w:tc>
        <w:tc>
          <w:tcPr>
            <w:tcW w:w="4669" w:type="dxa"/>
            <w:shd w:val="clear" w:color="auto" w:fill="auto"/>
            <w:vAlign w:val="center"/>
            <w:hideMark/>
          </w:tcPr>
          <w:p w:rsidR="000D427A" w:rsidRPr="006A74F8" w:rsidRDefault="00DB43CC"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Estimate NATA accreditation cost for </w:t>
            </w:r>
            <w:r w:rsidR="006C73CA" w:rsidRPr="006A74F8">
              <w:rPr>
                <w:rFonts w:eastAsia="Times New Roman" w:cstheme="minorHAnsi"/>
                <w:sz w:val="18"/>
                <w:szCs w:val="18"/>
                <w:lang w:eastAsia="en-AU"/>
              </w:rPr>
              <w:t xml:space="preserve">AS </w:t>
            </w:r>
            <w:r w:rsidRPr="006A74F8">
              <w:rPr>
                <w:rFonts w:eastAsia="Times New Roman" w:cstheme="minorHAnsi"/>
                <w:sz w:val="18"/>
                <w:szCs w:val="18"/>
                <w:lang w:eastAsia="en-AU"/>
              </w:rPr>
              <w:t>17025</w:t>
            </w:r>
          </w:p>
        </w:tc>
      </w:tr>
      <w:tr w:rsidR="000D427A" w:rsidRPr="006A74F8" w:rsidTr="0018738B">
        <w:trPr>
          <w:trHeight w:val="560"/>
        </w:trPr>
        <w:tc>
          <w:tcPr>
            <w:tcW w:w="4041" w:type="dxa"/>
            <w:gridSpan w:val="3"/>
            <w:shd w:val="clear" w:color="auto" w:fill="D9D9D9" w:themeFill="background1" w:themeFillShade="D9"/>
            <w:vAlign w:val="center"/>
            <w:hideMark/>
          </w:tcPr>
          <w:p w:rsidR="000D427A" w:rsidRPr="006A74F8" w:rsidRDefault="00F23D41" w:rsidP="009A469F">
            <w:pPr>
              <w:spacing w:after="0" w:line="240" w:lineRule="auto"/>
              <w:jc w:val="center"/>
              <w:rPr>
                <w:rFonts w:eastAsia="Times New Roman" w:cstheme="minorHAnsi"/>
                <w:b/>
                <w:bCs/>
                <w:sz w:val="18"/>
                <w:szCs w:val="18"/>
                <w:lang w:eastAsia="en-AU"/>
              </w:rPr>
            </w:pPr>
            <w:r w:rsidRPr="006A74F8">
              <w:rPr>
                <w:rFonts w:eastAsia="Times New Roman" w:cstheme="minorHAnsi"/>
                <w:b/>
                <w:sz w:val="18"/>
                <w:szCs w:val="18"/>
                <w:lang w:eastAsia="en-AU"/>
              </w:rPr>
              <w:t xml:space="preserve">Total cost of </w:t>
            </w:r>
            <w:r w:rsidR="009A469F" w:rsidRPr="006A74F8">
              <w:rPr>
                <w:rFonts w:eastAsia="Times New Roman" w:cstheme="minorHAnsi"/>
                <w:b/>
                <w:sz w:val="18"/>
                <w:szCs w:val="18"/>
                <w:lang w:eastAsia="en-AU"/>
              </w:rPr>
              <w:t>competence</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w:t>
            </w:r>
            <w:r w:rsidR="00DB43CC" w:rsidRPr="006A74F8">
              <w:rPr>
                <w:rFonts w:eastAsia="Times New Roman" w:cstheme="minorHAnsi"/>
                <w:b/>
                <w:bCs/>
                <w:sz w:val="18"/>
                <w:szCs w:val="18"/>
                <w:lang w:eastAsia="en-AU"/>
              </w:rPr>
              <w:t>7</w:t>
            </w:r>
            <w:r w:rsidR="00ED03C1" w:rsidRPr="006A74F8">
              <w:rPr>
                <w:rFonts w:eastAsia="Times New Roman" w:cstheme="minorHAnsi"/>
                <w:b/>
                <w:bCs/>
                <w:sz w:val="18"/>
                <w:szCs w:val="18"/>
                <w:lang w:eastAsia="en-AU"/>
              </w:rPr>
              <w:t>0</w:t>
            </w:r>
            <w:r w:rsidRPr="006A74F8">
              <w:rPr>
                <w:rFonts w:eastAsia="Times New Roman" w:cstheme="minorHAnsi"/>
                <w:b/>
                <w:bCs/>
                <w:sz w:val="18"/>
                <w:szCs w:val="18"/>
                <w:lang w:eastAsia="en-AU"/>
              </w:rPr>
              <w:t>,000</w:t>
            </w:r>
          </w:p>
        </w:tc>
        <w:tc>
          <w:tcPr>
            <w:tcW w:w="4669" w:type="dxa"/>
            <w:shd w:val="clear" w:color="auto" w:fill="auto"/>
            <w:noWrap/>
            <w:vAlign w:val="bottom"/>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18738B" w:rsidRPr="006A74F8" w:rsidTr="00222273">
        <w:trPr>
          <w:trHeight w:val="180"/>
        </w:trPr>
        <w:tc>
          <w:tcPr>
            <w:tcW w:w="9767" w:type="dxa"/>
            <w:gridSpan w:val="5"/>
            <w:shd w:val="clear" w:color="auto" w:fill="auto"/>
            <w:noWrap/>
            <w:vAlign w:val="center"/>
            <w:hideMark/>
          </w:tcPr>
          <w:p w:rsidR="0018738B" w:rsidRPr="006A74F8" w:rsidRDefault="0018738B"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lastRenderedPageBreak/>
              <w:t> </w:t>
            </w:r>
          </w:p>
        </w:tc>
      </w:tr>
      <w:tr w:rsidR="000D427A" w:rsidRPr="006A74F8" w:rsidTr="0018738B">
        <w:trPr>
          <w:trHeight w:val="560"/>
        </w:trPr>
        <w:tc>
          <w:tcPr>
            <w:tcW w:w="5098" w:type="dxa"/>
            <w:gridSpan w:val="4"/>
            <w:shd w:val="clear" w:color="auto" w:fill="D9D9D9" w:themeFill="background1" w:themeFillShade="D9"/>
            <w:vAlign w:val="center"/>
            <w:hideMark/>
          </w:tcPr>
          <w:p w:rsidR="000D427A" w:rsidRPr="006A74F8" w:rsidRDefault="000A116A"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4.</w:t>
            </w:r>
            <w:r w:rsidR="000D427A" w:rsidRPr="006A74F8">
              <w:rPr>
                <w:rFonts w:eastAsia="Times New Roman" w:cstheme="minorHAnsi"/>
                <w:b/>
                <w:bCs/>
                <w:sz w:val="18"/>
                <w:szCs w:val="18"/>
                <w:lang w:eastAsia="en-AU"/>
              </w:rPr>
              <w:t>COST OF REPORTING TO THE CHIEF METROLOGIST WHEN ASKED TO (s18RBg)</w:t>
            </w:r>
          </w:p>
        </w:tc>
        <w:tc>
          <w:tcPr>
            <w:tcW w:w="4669" w:type="dxa"/>
            <w:shd w:val="clear" w:color="auto" w:fill="auto"/>
            <w:vAlign w:val="bottom"/>
            <w:hideMark/>
          </w:tcPr>
          <w:p w:rsidR="000D427A" w:rsidRPr="006A74F8" w:rsidRDefault="000D427A" w:rsidP="000D427A">
            <w:pPr>
              <w:spacing w:after="0" w:line="240" w:lineRule="auto"/>
              <w:rPr>
                <w:rFonts w:eastAsia="Times New Roman" w:cstheme="minorHAnsi"/>
                <w:sz w:val="18"/>
                <w:szCs w:val="18"/>
                <w:lang w:eastAsia="en-AU"/>
              </w:rPr>
            </w:pPr>
          </w:p>
        </w:tc>
      </w:tr>
      <w:tr w:rsidR="000D427A" w:rsidRPr="006A74F8" w:rsidTr="0018738B">
        <w:trPr>
          <w:trHeight w:val="560"/>
        </w:trPr>
        <w:tc>
          <w:tcPr>
            <w:tcW w:w="1300"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Report to the Chief Metrologist if asked to</w:t>
            </w:r>
          </w:p>
        </w:tc>
        <w:tc>
          <w:tcPr>
            <w:tcW w:w="869"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s18RB</w:t>
            </w:r>
            <w:r w:rsidR="00243D15" w:rsidRPr="006A74F8">
              <w:rPr>
                <w:rFonts w:eastAsia="Times New Roman" w:cstheme="minorHAnsi"/>
                <w:sz w:val="18"/>
                <w:szCs w:val="18"/>
                <w:lang w:eastAsia="en-AU"/>
              </w:rPr>
              <w:t>(</w:t>
            </w:r>
            <w:r w:rsidRPr="006A74F8">
              <w:rPr>
                <w:rFonts w:eastAsia="Times New Roman" w:cstheme="minorHAnsi"/>
                <w:sz w:val="18"/>
                <w:szCs w:val="18"/>
                <w:lang w:eastAsia="en-AU"/>
              </w:rPr>
              <w:t>g</w:t>
            </w:r>
            <w:r w:rsidR="00243D15" w:rsidRPr="006A74F8">
              <w:rPr>
                <w:rFonts w:eastAsia="Times New Roman" w:cstheme="minorHAnsi"/>
                <w:sz w:val="18"/>
                <w:szCs w:val="18"/>
                <w:lang w:eastAsia="en-AU"/>
              </w:rPr>
              <w:t>)</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UMVs</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14</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Current number of UMVs</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ED03C1"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One staff member</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3</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Time to write the report and submit by email. </w:t>
            </w:r>
          </w:p>
        </w:tc>
      </w:tr>
      <w:tr w:rsidR="000D427A" w:rsidRPr="006A74F8" w:rsidTr="0018738B">
        <w:trPr>
          <w:trHeight w:val="560"/>
        </w:trPr>
        <w:tc>
          <w:tcPr>
            <w:tcW w:w="1300"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Estimate one request made once every year</w:t>
            </w:r>
          </w:p>
        </w:tc>
      </w:tr>
      <w:tr w:rsidR="000D427A" w:rsidRPr="006A74F8" w:rsidTr="0018738B">
        <w:trPr>
          <w:trHeight w:val="560"/>
        </w:trPr>
        <w:tc>
          <w:tcPr>
            <w:tcW w:w="1300"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Labour cost ($/hr) (wage + non-wage labour costs) time of assessment </w:t>
            </w:r>
          </w:p>
        </w:tc>
        <w:tc>
          <w:tcPr>
            <w:tcW w:w="1057" w:type="dxa"/>
            <w:shd w:val="clear" w:color="auto" w:fill="auto"/>
            <w:noWrap/>
            <w:vAlign w:val="center"/>
            <w:hideMark/>
          </w:tcPr>
          <w:p w:rsidR="000D427A" w:rsidRPr="006A74F8" w:rsidRDefault="00DB43CC" w:rsidP="000D427A">
            <w:pPr>
              <w:spacing w:after="0" w:line="240" w:lineRule="auto"/>
              <w:jc w:val="center"/>
              <w:rPr>
                <w:rFonts w:eastAsia="Times New Roman" w:cstheme="minorHAnsi"/>
                <w:sz w:val="18"/>
                <w:szCs w:val="18"/>
                <w:lang w:eastAsia="en-AU"/>
              </w:rPr>
            </w:pPr>
            <w:r w:rsidRPr="006A74F8">
              <w:rPr>
                <w:sz w:val="18"/>
                <w:szCs w:val="18"/>
              </w:rPr>
              <w:t xml:space="preserve"> $110.83</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25"/>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26"/>
            </w:r>
            <w:r w:rsidRPr="006A74F8">
              <w:rPr>
                <w:rFonts w:ascii="Calibri" w:eastAsia="Times New Roman" w:hAnsi="Calibri" w:cs="Calibri"/>
                <w:sz w:val="18"/>
                <w:szCs w:val="18"/>
                <w:lang w:eastAsia="en-AU"/>
              </w:rPr>
              <w:t xml:space="preserve"> for on-costs</w:t>
            </w:r>
          </w:p>
        </w:tc>
      </w:tr>
      <w:tr w:rsidR="000D427A" w:rsidRPr="006A74F8" w:rsidTr="0018738B">
        <w:trPr>
          <w:trHeight w:val="560"/>
        </w:trPr>
        <w:tc>
          <w:tcPr>
            <w:tcW w:w="1300"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869"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Cost of activity =</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b/>
                <w:sz w:val="18"/>
                <w:szCs w:val="18"/>
              </w:rPr>
              <w:t>$4,655</w:t>
            </w:r>
          </w:p>
        </w:tc>
        <w:tc>
          <w:tcPr>
            <w:tcW w:w="4669" w:type="dxa"/>
            <w:shd w:val="clear" w:color="auto" w:fill="auto"/>
            <w:vAlign w:val="center"/>
            <w:hideMark/>
          </w:tcPr>
          <w:p w:rsidR="000D427A" w:rsidRPr="006A74F8" w:rsidRDefault="00DB43CC"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w:t>
            </w:r>
            <w:r w:rsidR="00ED03C1" w:rsidRPr="006A74F8">
              <w:rPr>
                <w:rFonts w:eastAsia="Times New Roman" w:cstheme="minorHAnsi"/>
                <w:sz w:val="18"/>
                <w:szCs w:val="18"/>
                <w:lang w:eastAsia="en-AU"/>
              </w:rPr>
              <w:t>nnual</w:t>
            </w:r>
            <w:r w:rsidR="000D427A" w:rsidRPr="006A74F8">
              <w:rPr>
                <w:rFonts w:eastAsia="Times New Roman" w:cstheme="minorHAnsi"/>
                <w:sz w:val="18"/>
                <w:szCs w:val="18"/>
                <w:lang w:eastAsia="en-AU"/>
              </w:rPr>
              <w:t xml:space="preserve"> cost </w:t>
            </w:r>
          </w:p>
        </w:tc>
      </w:tr>
      <w:tr w:rsidR="0018738B" w:rsidRPr="006A74F8" w:rsidTr="00222273">
        <w:trPr>
          <w:trHeight w:val="223"/>
        </w:trPr>
        <w:tc>
          <w:tcPr>
            <w:tcW w:w="9767" w:type="dxa"/>
            <w:gridSpan w:val="5"/>
            <w:shd w:val="clear" w:color="auto" w:fill="auto"/>
            <w:noWrap/>
            <w:vAlign w:val="bottom"/>
            <w:hideMark/>
          </w:tcPr>
          <w:p w:rsidR="0018738B" w:rsidRPr="006A74F8" w:rsidRDefault="0018738B" w:rsidP="0018738B">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0D427A" w:rsidRPr="006A74F8" w:rsidTr="0018738B">
        <w:trPr>
          <w:trHeight w:val="560"/>
        </w:trPr>
        <w:tc>
          <w:tcPr>
            <w:tcW w:w="5098" w:type="dxa"/>
            <w:gridSpan w:val="4"/>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 xml:space="preserve">COST OF PROVIDING LIST OF </w:t>
            </w:r>
            <w:r w:rsidR="003179F1" w:rsidRPr="006A74F8">
              <w:rPr>
                <w:rFonts w:eastAsia="Times New Roman" w:cstheme="minorHAnsi"/>
                <w:b/>
                <w:bCs/>
                <w:sz w:val="18"/>
                <w:szCs w:val="18"/>
                <w:lang w:eastAsia="en-AU"/>
              </w:rPr>
              <w:t>EMPLOYEES (</w:t>
            </w:r>
            <w:r w:rsidRPr="006A74F8">
              <w:rPr>
                <w:rFonts w:eastAsia="Times New Roman" w:cstheme="minorHAnsi"/>
                <w:b/>
                <w:bCs/>
                <w:sz w:val="18"/>
                <w:szCs w:val="18"/>
                <w:lang w:eastAsia="en-AU"/>
              </w:rPr>
              <w:t>VERIFIERS</w:t>
            </w:r>
            <w:r w:rsidR="003179F1" w:rsidRPr="006A74F8">
              <w:rPr>
                <w:rFonts w:eastAsia="Times New Roman" w:cstheme="minorHAnsi"/>
                <w:b/>
                <w:bCs/>
                <w:sz w:val="18"/>
                <w:szCs w:val="18"/>
                <w:lang w:eastAsia="en-AU"/>
              </w:rPr>
              <w:t>)</w:t>
            </w:r>
            <w:r w:rsidRPr="006A74F8">
              <w:rPr>
                <w:rFonts w:eastAsia="Times New Roman" w:cstheme="minorHAnsi"/>
                <w:b/>
                <w:bCs/>
                <w:sz w:val="18"/>
                <w:szCs w:val="18"/>
                <w:lang w:eastAsia="en-AU"/>
              </w:rPr>
              <w:t xml:space="preserve"> TO THE SECRETARY(s18RBb)</w:t>
            </w:r>
          </w:p>
        </w:tc>
        <w:tc>
          <w:tcPr>
            <w:tcW w:w="4669" w:type="dxa"/>
            <w:shd w:val="clear" w:color="auto" w:fill="auto"/>
            <w:noWrap/>
            <w:vAlign w:val="center"/>
            <w:hideMark/>
          </w:tcPr>
          <w:p w:rsidR="000D427A" w:rsidRPr="006A74F8" w:rsidRDefault="000D427A" w:rsidP="000D427A">
            <w:pPr>
              <w:spacing w:after="0" w:line="240" w:lineRule="auto"/>
              <w:rPr>
                <w:rFonts w:eastAsia="Times New Roman" w:cstheme="minorHAnsi"/>
                <w:sz w:val="18"/>
                <w:szCs w:val="18"/>
                <w:lang w:eastAsia="en-AU"/>
              </w:rPr>
            </w:pPr>
          </w:p>
        </w:tc>
      </w:tr>
      <w:tr w:rsidR="000D427A" w:rsidRPr="006A74F8" w:rsidTr="0018738B">
        <w:trPr>
          <w:trHeight w:val="560"/>
        </w:trPr>
        <w:tc>
          <w:tcPr>
            <w:tcW w:w="1300"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Provide a list of verifiers to the Secretary</w:t>
            </w:r>
          </w:p>
        </w:tc>
        <w:tc>
          <w:tcPr>
            <w:tcW w:w="869" w:type="dxa"/>
            <w:vMerge w:val="restart"/>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xml:space="preserve"> (s18RB</w:t>
            </w:r>
            <w:r w:rsidR="00243D15" w:rsidRPr="006A74F8">
              <w:rPr>
                <w:rFonts w:eastAsia="Times New Roman" w:cstheme="minorHAnsi"/>
                <w:sz w:val="18"/>
                <w:szCs w:val="18"/>
                <w:lang w:eastAsia="en-AU"/>
              </w:rPr>
              <w:t>(</w:t>
            </w:r>
            <w:r w:rsidRPr="006A74F8">
              <w:rPr>
                <w:rFonts w:eastAsia="Times New Roman" w:cstheme="minorHAnsi"/>
                <w:sz w:val="18"/>
                <w:szCs w:val="18"/>
                <w:lang w:eastAsia="en-AU"/>
              </w:rPr>
              <w:t>b</w:t>
            </w:r>
            <w:r w:rsidR="00243D15" w:rsidRPr="006A74F8">
              <w:rPr>
                <w:rFonts w:eastAsia="Times New Roman" w:cstheme="minorHAnsi"/>
                <w:sz w:val="18"/>
                <w:szCs w:val="18"/>
                <w:lang w:eastAsia="en-AU"/>
              </w:rPr>
              <w:t>)</w:t>
            </w:r>
            <w:r w:rsidRPr="006A74F8">
              <w:rPr>
                <w:rFonts w:eastAsia="Times New Roman" w:cstheme="minorHAnsi"/>
                <w:sz w:val="18"/>
                <w:szCs w:val="18"/>
                <w:lang w:eastAsia="en-AU"/>
              </w:rPr>
              <w:t xml:space="preserve">)  </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UMVs</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14</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Current number of UMVs</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1</w:t>
            </w:r>
          </w:p>
        </w:tc>
        <w:tc>
          <w:tcPr>
            <w:tcW w:w="4669" w:type="dxa"/>
            <w:shd w:val="clear" w:color="auto" w:fill="auto"/>
            <w:vAlign w:val="center"/>
            <w:hideMark/>
          </w:tcPr>
          <w:p w:rsidR="000D427A" w:rsidRPr="006A74F8" w:rsidRDefault="00ED03C1"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One staff member</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0.5</w:t>
            </w:r>
          </w:p>
        </w:tc>
        <w:tc>
          <w:tcPr>
            <w:tcW w:w="4669" w:type="dxa"/>
            <w:shd w:val="clear" w:color="auto" w:fill="auto"/>
            <w:vAlign w:val="center"/>
            <w:hideMark/>
          </w:tcPr>
          <w:p w:rsidR="000D427A" w:rsidRPr="006A74F8" w:rsidRDefault="003179F1"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NMI estimate</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0.3</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Estimated </w:t>
            </w:r>
            <w:r w:rsidR="003179F1" w:rsidRPr="006A74F8">
              <w:rPr>
                <w:rFonts w:eastAsia="Times New Roman" w:cstheme="minorHAnsi"/>
                <w:sz w:val="18"/>
                <w:szCs w:val="18"/>
                <w:lang w:eastAsia="en-AU"/>
              </w:rPr>
              <w:t>that it will</w:t>
            </w:r>
            <w:r w:rsidRPr="006A74F8">
              <w:rPr>
                <w:rFonts w:eastAsia="Times New Roman" w:cstheme="minorHAnsi"/>
                <w:sz w:val="18"/>
                <w:szCs w:val="18"/>
                <w:lang w:eastAsia="en-AU"/>
              </w:rPr>
              <w:t xml:space="preserve"> </w:t>
            </w:r>
            <w:r w:rsidR="008B53EC" w:rsidRPr="006A74F8">
              <w:rPr>
                <w:rFonts w:eastAsia="Times New Roman" w:cstheme="minorHAnsi"/>
                <w:sz w:val="18"/>
                <w:szCs w:val="18"/>
                <w:lang w:eastAsia="en-AU"/>
              </w:rPr>
              <w:t xml:space="preserve">be </w:t>
            </w:r>
            <w:r w:rsidRPr="006A74F8">
              <w:rPr>
                <w:rFonts w:eastAsia="Times New Roman" w:cstheme="minorHAnsi"/>
                <w:sz w:val="18"/>
                <w:szCs w:val="18"/>
                <w:lang w:eastAsia="en-AU"/>
              </w:rPr>
              <w:t xml:space="preserve">once every </w:t>
            </w:r>
            <w:r w:rsidR="00054734" w:rsidRPr="006A74F8">
              <w:rPr>
                <w:rFonts w:eastAsia="Times New Roman" w:cstheme="minorHAnsi"/>
                <w:sz w:val="18"/>
                <w:szCs w:val="18"/>
                <w:lang w:eastAsia="en-AU"/>
              </w:rPr>
              <w:t>3</w:t>
            </w:r>
            <w:r w:rsidRPr="006A74F8">
              <w:rPr>
                <w:rFonts w:eastAsia="Times New Roman" w:cstheme="minorHAnsi"/>
                <w:sz w:val="18"/>
                <w:szCs w:val="18"/>
                <w:lang w:eastAsia="en-AU"/>
              </w:rPr>
              <w:t xml:space="preserve"> years</w:t>
            </w:r>
          </w:p>
        </w:tc>
      </w:tr>
      <w:tr w:rsidR="000D427A" w:rsidRPr="006A74F8" w:rsidTr="0018738B">
        <w:trPr>
          <w:trHeight w:val="560"/>
        </w:trPr>
        <w:tc>
          <w:tcPr>
            <w:tcW w:w="1300"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Labour cost ($/hr) (wage + non-wage labour costs) time of assessment </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sz w:val="18"/>
                <w:szCs w:val="18"/>
              </w:rPr>
              <w:t xml:space="preserve"> $</w:t>
            </w:r>
            <w:r w:rsidR="003179F1" w:rsidRPr="006A74F8">
              <w:rPr>
                <w:sz w:val="18"/>
                <w:szCs w:val="18"/>
              </w:rPr>
              <w:t>110.83</w:t>
            </w:r>
            <w:r w:rsidRPr="006A74F8">
              <w:rPr>
                <w:sz w:val="18"/>
                <w:szCs w:val="18"/>
              </w:rPr>
              <w:t xml:space="preserve"> </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Based on the ABS Cat 6306.0</w:t>
            </w:r>
            <w:r w:rsidRPr="006A74F8">
              <w:rPr>
                <w:rStyle w:val="FootnoteReference"/>
                <w:rFonts w:eastAsia="Times New Roman" w:cstheme="minorHAnsi"/>
                <w:sz w:val="18"/>
                <w:szCs w:val="18"/>
                <w:lang w:eastAsia="en-AU"/>
              </w:rPr>
              <w:footnoteReference w:id="227"/>
            </w:r>
            <w:r w:rsidRPr="006A74F8">
              <w:rPr>
                <w:rFonts w:eastAsia="Times New Roman" w:cstheme="minorHAnsi"/>
                <w:sz w:val="18"/>
                <w:szCs w:val="18"/>
                <w:lang w:eastAsia="en-AU"/>
              </w:rPr>
              <w:t xml:space="preserve"> average weekly earnings for various engineering and technical wage</w:t>
            </w:r>
          </w:p>
        </w:tc>
      </w:tr>
      <w:tr w:rsidR="000D427A" w:rsidRPr="006A74F8" w:rsidTr="0018738B">
        <w:trPr>
          <w:trHeight w:val="560"/>
        </w:trPr>
        <w:tc>
          <w:tcPr>
            <w:tcW w:w="1300"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 </w:t>
            </w:r>
          </w:p>
        </w:tc>
        <w:tc>
          <w:tcPr>
            <w:tcW w:w="869" w:type="dxa"/>
            <w:shd w:val="clear" w:color="auto" w:fill="D9D9D9" w:themeFill="background1" w:themeFillShade="D9"/>
            <w:vAlign w:val="center"/>
            <w:hideMark/>
          </w:tcPr>
          <w:p w:rsidR="000D427A" w:rsidRPr="006A74F8" w:rsidRDefault="000D427A" w:rsidP="000D427A">
            <w:pPr>
              <w:spacing w:after="0" w:line="240" w:lineRule="auto"/>
              <w:jc w:val="center"/>
              <w:rPr>
                <w:rFonts w:eastAsia="Times New Roman" w:cstheme="minorHAnsi"/>
                <w:sz w:val="18"/>
                <w:szCs w:val="18"/>
                <w:lang w:eastAsia="en-AU"/>
              </w:rPr>
            </w:pPr>
            <w:r w:rsidRPr="006A74F8">
              <w:rPr>
                <w:rFonts w:eastAsia="Times New Roman" w:cstheme="minorHAnsi"/>
                <w:sz w:val="18"/>
                <w:szCs w:val="18"/>
                <w:lang w:eastAsia="en-AU"/>
              </w:rPr>
              <w:t>-</w:t>
            </w:r>
          </w:p>
        </w:tc>
        <w:tc>
          <w:tcPr>
            <w:tcW w:w="1872" w:type="dxa"/>
            <w:shd w:val="clear" w:color="auto" w:fill="D9D9D9" w:themeFill="background1" w:themeFillShade="D9"/>
            <w:vAlign w:val="center"/>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b/>
                <w:bCs/>
                <w:sz w:val="18"/>
                <w:szCs w:val="18"/>
                <w:lang w:eastAsia="en-AU"/>
              </w:rPr>
              <w:t>Cost of activity =</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b/>
                <w:sz w:val="18"/>
                <w:szCs w:val="18"/>
              </w:rPr>
              <w:t>$233</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xml:space="preserve">Annual cost </w:t>
            </w:r>
          </w:p>
        </w:tc>
      </w:tr>
      <w:tr w:rsidR="000D427A" w:rsidRPr="006A74F8" w:rsidTr="0018738B">
        <w:trPr>
          <w:trHeight w:val="560"/>
        </w:trPr>
        <w:tc>
          <w:tcPr>
            <w:tcW w:w="4041" w:type="dxa"/>
            <w:gridSpan w:val="3"/>
            <w:shd w:val="clear" w:color="auto" w:fill="D9D9D9" w:themeFill="background1" w:themeFillShade="D9"/>
            <w:vAlign w:val="center"/>
            <w:hideMark/>
          </w:tcPr>
          <w:p w:rsidR="000D427A" w:rsidRPr="006A74F8" w:rsidRDefault="00F23D41" w:rsidP="00F23D41">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 xml:space="preserve">Total cost of reporting </w:t>
            </w:r>
          </w:p>
        </w:tc>
        <w:tc>
          <w:tcPr>
            <w:tcW w:w="1057" w:type="dxa"/>
            <w:shd w:val="clear" w:color="auto" w:fill="auto"/>
            <w:noWrap/>
            <w:vAlign w:val="center"/>
            <w:hideMark/>
          </w:tcPr>
          <w:p w:rsidR="000D427A" w:rsidRPr="006A74F8" w:rsidRDefault="000D427A" w:rsidP="000D427A">
            <w:pPr>
              <w:spacing w:after="0" w:line="240" w:lineRule="auto"/>
              <w:jc w:val="center"/>
              <w:rPr>
                <w:rFonts w:eastAsia="Times New Roman" w:cstheme="minorHAnsi"/>
                <w:b/>
                <w:bCs/>
                <w:sz w:val="18"/>
                <w:szCs w:val="18"/>
                <w:lang w:eastAsia="en-AU"/>
              </w:rPr>
            </w:pPr>
            <w:r w:rsidRPr="006A74F8">
              <w:rPr>
                <w:b/>
                <w:sz w:val="18"/>
                <w:szCs w:val="18"/>
              </w:rPr>
              <w:t>$4,887</w:t>
            </w:r>
          </w:p>
        </w:tc>
        <w:tc>
          <w:tcPr>
            <w:tcW w:w="4669" w:type="dxa"/>
            <w:shd w:val="clear" w:color="auto" w:fill="auto"/>
            <w:vAlign w:val="center"/>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r w:rsidR="0018738B" w:rsidRPr="006A74F8" w:rsidTr="00222273">
        <w:trPr>
          <w:trHeight w:val="205"/>
        </w:trPr>
        <w:tc>
          <w:tcPr>
            <w:tcW w:w="9767" w:type="dxa"/>
            <w:gridSpan w:val="5"/>
            <w:shd w:val="clear" w:color="auto" w:fill="auto"/>
            <w:noWrap/>
            <w:vAlign w:val="bottom"/>
          </w:tcPr>
          <w:p w:rsidR="0018738B" w:rsidRPr="006A74F8" w:rsidRDefault="0018738B" w:rsidP="000D427A">
            <w:pPr>
              <w:spacing w:after="0" w:line="240" w:lineRule="auto"/>
              <w:rPr>
                <w:rFonts w:eastAsia="Times New Roman" w:cstheme="minorHAnsi"/>
                <w:sz w:val="18"/>
                <w:szCs w:val="18"/>
                <w:lang w:eastAsia="en-AU"/>
              </w:rPr>
            </w:pPr>
          </w:p>
        </w:tc>
      </w:tr>
      <w:tr w:rsidR="000D427A" w:rsidRPr="006A74F8" w:rsidTr="0018738B">
        <w:trPr>
          <w:trHeight w:val="489"/>
        </w:trPr>
        <w:tc>
          <w:tcPr>
            <w:tcW w:w="4041" w:type="dxa"/>
            <w:gridSpan w:val="3"/>
            <w:shd w:val="clear" w:color="auto" w:fill="auto"/>
            <w:noWrap/>
            <w:vAlign w:val="bottom"/>
            <w:hideMark/>
          </w:tcPr>
          <w:p w:rsidR="000D427A" w:rsidRPr="006A74F8" w:rsidRDefault="000D427A" w:rsidP="000D427A">
            <w:pPr>
              <w:spacing w:after="0" w:line="240" w:lineRule="auto"/>
              <w:rPr>
                <w:rFonts w:eastAsia="Times New Roman" w:cstheme="minorHAnsi"/>
                <w:b/>
                <w:bCs/>
                <w:sz w:val="18"/>
                <w:szCs w:val="18"/>
                <w:lang w:eastAsia="en-AU"/>
              </w:rPr>
            </w:pPr>
            <w:r w:rsidRPr="006A74F8">
              <w:rPr>
                <w:rFonts w:eastAsia="Times New Roman" w:cstheme="minorHAnsi"/>
                <w:sz w:val="18"/>
                <w:szCs w:val="18"/>
                <w:lang w:eastAsia="en-AU"/>
              </w:rPr>
              <w:t> </w:t>
            </w:r>
            <w:r w:rsidRPr="006A74F8">
              <w:rPr>
                <w:rFonts w:ascii="Calibri" w:eastAsia="Times New Roman" w:hAnsi="Calibri" w:cs="Calibri"/>
                <w:b/>
                <w:sz w:val="18"/>
                <w:szCs w:val="18"/>
                <w:lang w:eastAsia="en-AU"/>
              </w:rPr>
              <w:t xml:space="preserve">Total Annual UMV Costs (Application, renewal cost, competence </w:t>
            </w:r>
            <w:r w:rsidR="004814C2" w:rsidRPr="006A74F8">
              <w:rPr>
                <w:rFonts w:ascii="Calibri" w:eastAsia="Times New Roman" w:hAnsi="Calibri" w:cs="Calibri"/>
                <w:b/>
                <w:sz w:val="18"/>
                <w:szCs w:val="18"/>
                <w:lang w:eastAsia="en-AU"/>
              </w:rPr>
              <w:t>and</w:t>
            </w:r>
            <w:r w:rsidRPr="006A74F8">
              <w:rPr>
                <w:rFonts w:ascii="Calibri" w:eastAsia="Times New Roman" w:hAnsi="Calibri" w:cs="Calibri"/>
                <w:b/>
                <w:sz w:val="18"/>
                <w:szCs w:val="18"/>
                <w:lang w:eastAsia="en-AU"/>
              </w:rPr>
              <w:t xml:space="preserve"> reporting)</w:t>
            </w:r>
          </w:p>
        </w:tc>
        <w:tc>
          <w:tcPr>
            <w:tcW w:w="1057" w:type="dxa"/>
            <w:shd w:val="clear" w:color="auto" w:fill="auto"/>
            <w:noWrap/>
            <w:vAlign w:val="center"/>
            <w:hideMark/>
          </w:tcPr>
          <w:p w:rsidR="000D427A" w:rsidRPr="006A74F8" w:rsidRDefault="00ED03C1" w:rsidP="000D427A">
            <w:pPr>
              <w:spacing w:after="0" w:line="240" w:lineRule="auto"/>
              <w:jc w:val="center"/>
              <w:rPr>
                <w:rFonts w:eastAsia="Times New Roman" w:cstheme="minorHAnsi"/>
                <w:b/>
                <w:bCs/>
                <w:sz w:val="18"/>
                <w:szCs w:val="18"/>
                <w:lang w:eastAsia="en-AU"/>
              </w:rPr>
            </w:pPr>
            <w:r w:rsidRPr="006A74F8">
              <w:rPr>
                <w:rFonts w:eastAsia="Times New Roman" w:cstheme="minorHAnsi"/>
                <w:b/>
                <w:bCs/>
                <w:sz w:val="18"/>
                <w:szCs w:val="18"/>
                <w:lang w:eastAsia="en-AU"/>
              </w:rPr>
              <w:t>$</w:t>
            </w:r>
            <w:r w:rsidR="003179F1" w:rsidRPr="006A74F8">
              <w:rPr>
                <w:rFonts w:eastAsia="Times New Roman" w:cstheme="minorHAnsi"/>
                <w:b/>
                <w:bCs/>
                <w:sz w:val="18"/>
                <w:szCs w:val="18"/>
                <w:lang w:eastAsia="en-AU"/>
              </w:rPr>
              <w:t>8</w:t>
            </w:r>
            <w:r w:rsidR="00A36876" w:rsidRPr="006A74F8">
              <w:rPr>
                <w:rFonts w:eastAsia="Times New Roman" w:cstheme="minorHAnsi"/>
                <w:b/>
                <w:bCs/>
                <w:sz w:val="18"/>
                <w:szCs w:val="18"/>
                <w:lang w:eastAsia="en-AU"/>
              </w:rPr>
              <w:t>0,784</w:t>
            </w:r>
          </w:p>
        </w:tc>
        <w:tc>
          <w:tcPr>
            <w:tcW w:w="4669" w:type="dxa"/>
            <w:shd w:val="clear" w:color="auto" w:fill="auto"/>
            <w:noWrap/>
            <w:vAlign w:val="bottom"/>
            <w:hideMark/>
          </w:tcPr>
          <w:p w:rsidR="000D427A" w:rsidRPr="006A74F8" w:rsidRDefault="000D427A" w:rsidP="000D427A">
            <w:pPr>
              <w:spacing w:after="0" w:line="240" w:lineRule="auto"/>
              <w:rPr>
                <w:rFonts w:eastAsia="Times New Roman" w:cstheme="minorHAnsi"/>
                <w:sz w:val="18"/>
                <w:szCs w:val="18"/>
                <w:lang w:eastAsia="en-AU"/>
              </w:rPr>
            </w:pPr>
            <w:r w:rsidRPr="006A74F8">
              <w:rPr>
                <w:rFonts w:eastAsia="Times New Roman" w:cstheme="minorHAnsi"/>
                <w:sz w:val="18"/>
                <w:szCs w:val="18"/>
                <w:lang w:eastAsia="en-AU"/>
              </w:rPr>
              <w:t> </w:t>
            </w:r>
          </w:p>
        </w:tc>
      </w:tr>
    </w:tbl>
    <w:p w:rsidR="000D427A" w:rsidRPr="006A74F8" w:rsidRDefault="000D427A" w:rsidP="000D427A"/>
    <w:p w:rsidR="000D427A" w:rsidRPr="006A74F8" w:rsidRDefault="000D427A" w:rsidP="001E43AC">
      <w:pPr>
        <w:pStyle w:val="Heading4"/>
        <w:tabs>
          <w:tab w:val="left" w:pos="1134"/>
        </w:tabs>
      </w:pPr>
      <w:r w:rsidRPr="006A74F8">
        <w:lastRenderedPageBreak/>
        <w:t>Legal Metrology Authorities (CA, VA, AA)</w:t>
      </w:r>
    </w:p>
    <w:p w:rsidR="00D14B95" w:rsidRPr="006A74F8" w:rsidRDefault="00D14B95" w:rsidP="00D14B95">
      <w:pPr>
        <w:pStyle w:val="Caption"/>
        <w:keepNext/>
      </w:pPr>
      <w:r w:rsidRPr="006A74F8">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6</w:t>
      </w:r>
      <w:r w:rsidR="00D003A8" w:rsidRPr="006A74F8">
        <w:rPr>
          <w:noProof/>
        </w:rPr>
        <w:fldChar w:fldCharType="end"/>
      </w:r>
      <w:r w:rsidRPr="006A74F8">
        <w:t>: Assumptions for Legal Metrology Authority calculations</w:t>
      </w:r>
    </w:p>
    <w:tbl>
      <w:tblPr>
        <w:tblW w:w="9067" w:type="dxa"/>
        <w:tblLook w:val="04A0" w:firstRow="1" w:lastRow="0" w:firstColumn="1" w:lastColumn="0" w:noHBand="0" w:noVBand="1"/>
        <w:tblCaption w:val="Table A13- 6: Assumptions for Legal Metrology Authority calculations"/>
        <w:tblDescription w:val="Table details the assumptions made in calculating the costs for the Legal Metrology Authority and total annual costs for Legal Metrology Authority"/>
      </w:tblPr>
      <w:tblGrid>
        <w:gridCol w:w="1300"/>
        <w:gridCol w:w="839"/>
        <w:gridCol w:w="1485"/>
        <w:gridCol w:w="1536"/>
        <w:gridCol w:w="3907"/>
      </w:tblGrid>
      <w:tr w:rsidR="000D427A" w:rsidRPr="006A74F8" w:rsidTr="008B6AC1">
        <w:trPr>
          <w:trHeight w:val="394"/>
        </w:trPr>
        <w:tc>
          <w:tcPr>
            <w:tcW w:w="3624"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1. Application for appointment of verifying or certifying authority (Administrative cost)</w:t>
            </w:r>
          </w:p>
        </w:tc>
        <w:tc>
          <w:tcPr>
            <w:tcW w:w="153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p>
        </w:tc>
        <w:tc>
          <w:tcPr>
            <w:tcW w:w="3907" w:type="dxa"/>
            <w:tcBorders>
              <w:top w:val="single" w:sz="4" w:space="0" w:color="auto"/>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ESTIMATE NUMBER THAT APPLY EACH YEAR</w:t>
            </w:r>
          </w:p>
        </w:tc>
      </w:tr>
      <w:tr w:rsidR="000D427A" w:rsidRPr="006A74F8" w:rsidTr="008B6AC1">
        <w:trPr>
          <w:trHeight w:val="1023"/>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Understanding the process for appointment application </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(reg 70- 72))</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LMA</w:t>
            </w:r>
            <w:r w:rsidR="00085629" w:rsidRPr="006A74F8">
              <w:rPr>
                <w:rFonts w:ascii="Calibri" w:eastAsia="Times New Roman" w:hAnsi="Calibri" w:cs="Calibri"/>
                <w:sz w:val="18"/>
                <w:szCs w:val="18"/>
                <w:lang w:eastAsia="en-AU"/>
              </w:rPr>
              <w:t>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3</w:t>
            </w:r>
          </w:p>
        </w:tc>
        <w:tc>
          <w:tcPr>
            <w:tcW w:w="3907" w:type="dxa"/>
            <w:tcBorders>
              <w:top w:val="nil"/>
              <w:left w:val="nil"/>
              <w:bottom w:val="single" w:sz="4" w:space="0" w:color="auto"/>
              <w:right w:val="single" w:sz="4" w:space="0" w:color="auto"/>
            </w:tcBorders>
            <w:shd w:val="clear" w:color="auto" w:fill="auto"/>
            <w:vAlign w:val="center"/>
            <w:hideMark/>
          </w:tcPr>
          <w:p w:rsidR="008C0A0F" w:rsidRPr="006A74F8" w:rsidRDefault="000D427A" w:rsidP="008C0A0F">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Average number of current LMA appointments (although legislation only specifies VA and CA, this includes 2 Approving Authorities). Administratively good for 3 years. </w:t>
            </w:r>
          </w:p>
          <w:p w:rsidR="000D427A" w:rsidRPr="006A74F8" w:rsidRDefault="008C0A0F"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2021 LMA </w:t>
            </w:r>
            <w:r w:rsidR="000D427A" w:rsidRPr="006A74F8">
              <w:rPr>
                <w:rFonts w:ascii="Calibri" w:eastAsia="Times New Roman" w:hAnsi="Calibri" w:cs="Calibri"/>
                <w:sz w:val="18"/>
                <w:szCs w:val="18"/>
                <w:lang w:eastAsia="en-AU"/>
              </w:rPr>
              <w:t xml:space="preserve">Numbers </w:t>
            </w:r>
            <w:r w:rsidRPr="006A74F8">
              <w:rPr>
                <w:rFonts w:ascii="Calibri" w:eastAsia="Times New Roman" w:hAnsi="Calibri" w:cs="Calibri"/>
                <w:sz w:val="18"/>
                <w:szCs w:val="18"/>
                <w:lang w:eastAsia="en-AU"/>
              </w:rPr>
              <w:t>Total 41 (</w:t>
            </w:r>
            <w:r w:rsidR="000D427A" w:rsidRPr="006A74F8">
              <w:rPr>
                <w:rFonts w:ascii="Calibri" w:eastAsia="Times New Roman" w:hAnsi="Calibri" w:cs="Calibri"/>
                <w:sz w:val="18"/>
                <w:szCs w:val="18"/>
                <w:lang w:eastAsia="en-AU"/>
              </w:rPr>
              <w:t>AA=3, CA=13, VA=25</w:t>
            </w:r>
            <w:r w:rsidRPr="006A74F8">
              <w:rPr>
                <w:rFonts w:ascii="Calibri" w:eastAsia="Times New Roman" w:hAnsi="Calibri" w:cs="Calibri"/>
                <w:sz w:val="18"/>
                <w:szCs w:val="18"/>
                <w:lang w:eastAsia="en-AU"/>
              </w:rPr>
              <w:t>)</w:t>
            </w:r>
            <w:r w:rsidR="000D427A" w:rsidRPr="006A74F8">
              <w:rPr>
                <w:rFonts w:ascii="Calibri" w:eastAsia="Times New Roman" w:hAnsi="Calibri" w:cs="Calibri"/>
                <w:sz w:val="18"/>
                <w:szCs w:val="18"/>
                <w:lang w:eastAsia="en-AU"/>
              </w:rPr>
              <w:t>. The number of LMA is fairly stable over time</w:t>
            </w:r>
          </w:p>
        </w:tc>
      </w:tr>
      <w:tr w:rsidR="000D427A" w:rsidRPr="006A74F8"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staff per business performing activity</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ED03C1"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One staff member</w:t>
            </w:r>
          </w:p>
        </w:tc>
      </w:tr>
      <w:tr w:rsidR="000D427A" w:rsidRPr="006A74F8"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times activity performed per year per staff</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Once based on number of annual applications</w:t>
            </w:r>
          </w:p>
        </w:tc>
      </w:tr>
      <w:tr w:rsidR="000D427A" w:rsidRPr="006A74F8"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Avg. time of each staff to do activity (in hours)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6</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E75D6B"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NMI estimate</w:t>
            </w:r>
          </w:p>
        </w:tc>
      </w:tr>
      <w:tr w:rsidR="000D427A" w:rsidRPr="006A74F8"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Labour cost ($/hr) (wage + non-wage labour costs)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E75D6B" w:rsidP="000D427A">
            <w:pPr>
              <w:spacing w:after="0" w:line="240" w:lineRule="auto"/>
              <w:jc w:val="center"/>
              <w:rPr>
                <w:rFonts w:ascii="Calibri" w:eastAsia="Times New Roman" w:hAnsi="Calibri" w:cs="Calibri"/>
                <w:sz w:val="18"/>
                <w:szCs w:val="18"/>
                <w:lang w:eastAsia="en-AU"/>
              </w:rPr>
            </w:pPr>
            <w:r w:rsidRPr="006A74F8">
              <w:rPr>
                <w:sz w:val="18"/>
                <w:szCs w:val="18"/>
              </w:rPr>
              <w:t xml:space="preserve"> $110.83</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28"/>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29"/>
            </w:r>
            <w:r w:rsidRPr="006A74F8">
              <w:rPr>
                <w:rFonts w:ascii="Calibri" w:eastAsia="Times New Roman" w:hAnsi="Calibri" w:cs="Calibri"/>
                <w:sz w:val="18"/>
                <w:szCs w:val="18"/>
                <w:lang w:eastAsia="en-AU"/>
              </w:rPr>
              <w:t xml:space="preserve"> for on-costs</w:t>
            </w:r>
          </w:p>
        </w:tc>
      </w:tr>
      <w:tr w:rsidR="000D427A" w:rsidRPr="006A74F8" w:rsidTr="008B6AC1">
        <w:trPr>
          <w:trHeight w:val="307"/>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c>
          <w:tcPr>
            <w:tcW w:w="743"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xml:space="preserve">Cost of Activity = </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b/>
                <w:sz w:val="18"/>
                <w:szCs w:val="18"/>
              </w:rPr>
              <w:t xml:space="preserve"> $1,99</w:t>
            </w:r>
            <w:r w:rsidR="00134F93" w:rsidRPr="006A74F8">
              <w:rPr>
                <w:b/>
                <w:sz w:val="18"/>
                <w:szCs w:val="18"/>
              </w:rPr>
              <w:t>5</w:t>
            </w:r>
            <w:r w:rsidRPr="006A74F8">
              <w:rPr>
                <w:b/>
                <w:sz w:val="18"/>
                <w:szCs w:val="18"/>
              </w:rPr>
              <w:t xml:space="preserve"> </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1023"/>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Supplying the relevant information and documents with application</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(reg72</w:t>
            </w:r>
            <w:r w:rsidR="00243D15" w:rsidRPr="006A74F8">
              <w:rPr>
                <w:rFonts w:ascii="Calibri" w:eastAsia="Times New Roman" w:hAnsi="Calibri" w:cs="Calibri"/>
                <w:sz w:val="18"/>
                <w:szCs w:val="18"/>
                <w:lang w:eastAsia="en-AU"/>
              </w:rPr>
              <w:t>)</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LMA</w:t>
            </w:r>
            <w:r w:rsidR="00085629" w:rsidRPr="006A74F8">
              <w:rPr>
                <w:rFonts w:ascii="Calibri" w:eastAsia="Times New Roman" w:hAnsi="Calibri" w:cs="Calibri"/>
                <w:sz w:val="18"/>
                <w:szCs w:val="18"/>
                <w:lang w:eastAsia="en-AU"/>
              </w:rPr>
              <w:t>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3</w:t>
            </w:r>
          </w:p>
        </w:tc>
        <w:tc>
          <w:tcPr>
            <w:tcW w:w="3907" w:type="dxa"/>
            <w:tcBorders>
              <w:top w:val="nil"/>
              <w:left w:val="nil"/>
              <w:bottom w:val="single" w:sz="4" w:space="0" w:color="auto"/>
              <w:right w:val="single" w:sz="4" w:space="0" w:color="auto"/>
            </w:tcBorders>
            <w:shd w:val="clear" w:color="auto" w:fill="auto"/>
            <w:vAlign w:val="center"/>
            <w:hideMark/>
          </w:tcPr>
          <w:p w:rsidR="008C0A0F"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Average number of LMA appointments issued per year (although legislation only specifies VA and CA, this includes 2 Approving Authorities). Administratively good for 3 years. </w:t>
            </w:r>
          </w:p>
          <w:p w:rsidR="000D427A" w:rsidRPr="006A74F8" w:rsidRDefault="008C0A0F"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2021 LMA </w:t>
            </w:r>
            <w:r w:rsidR="000D427A" w:rsidRPr="006A74F8">
              <w:rPr>
                <w:rFonts w:ascii="Calibri" w:eastAsia="Times New Roman" w:hAnsi="Calibri" w:cs="Calibri"/>
                <w:sz w:val="18"/>
                <w:szCs w:val="18"/>
                <w:lang w:eastAsia="en-AU"/>
              </w:rPr>
              <w:t xml:space="preserve">Numbers </w:t>
            </w:r>
            <w:r w:rsidRPr="006A74F8">
              <w:rPr>
                <w:rFonts w:ascii="Calibri" w:eastAsia="Times New Roman" w:hAnsi="Calibri" w:cs="Calibri"/>
                <w:sz w:val="18"/>
                <w:szCs w:val="18"/>
                <w:lang w:eastAsia="en-AU"/>
              </w:rPr>
              <w:t>Total 41 (</w:t>
            </w:r>
            <w:r w:rsidR="000D427A" w:rsidRPr="006A74F8">
              <w:rPr>
                <w:rFonts w:ascii="Calibri" w:eastAsia="Times New Roman" w:hAnsi="Calibri" w:cs="Calibri"/>
                <w:sz w:val="18"/>
                <w:szCs w:val="18"/>
                <w:lang w:eastAsia="en-AU"/>
              </w:rPr>
              <w:t>AA=3, CA=13, VA=25</w:t>
            </w:r>
            <w:r w:rsidRPr="006A74F8">
              <w:rPr>
                <w:rFonts w:ascii="Calibri" w:eastAsia="Times New Roman" w:hAnsi="Calibri" w:cs="Calibri"/>
                <w:sz w:val="18"/>
                <w:szCs w:val="18"/>
                <w:lang w:eastAsia="en-AU"/>
              </w:rPr>
              <w:t>).</w:t>
            </w:r>
            <w:r w:rsidR="000D427A" w:rsidRPr="006A74F8">
              <w:rPr>
                <w:rFonts w:ascii="Calibri" w:eastAsia="Times New Roman" w:hAnsi="Calibri" w:cs="Calibri"/>
                <w:sz w:val="18"/>
                <w:szCs w:val="18"/>
                <w:lang w:eastAsia="en-AU"/>
              </w:rPr>
              <w:t xml:space="preserve"> The number of LMA is fairly stable over time </w:t>
            </w:r>
          </w:p>
        </w:tc>
      </w:tr>
      <w:tr w:rsidR="000D427A" w:rsidRPr="006A74F8"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staff per business performing activity</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ED03C1"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One staff member</w:t>
            </w:r>
          </w:p>
        </w:tc>
      </w:tr>
      <w:tr w:rsidR="000D427A" w:rsidRPr="006A74F8"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times activity performed per year per staff</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Once based on number of annual applications</w:t>
            </w:r>
          </w:p>
        </w:tc>
      </w:tr>
      <w:tr w:rsidR="000D427A" w:rsidRPr="006A74F8"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Avg. time of each staff to do activity (in hours)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15</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Assuming a large number of documents need to be compiled (worst case)</w:t>
            </w:r>
          </w:p>
        </w:tc>
      </w:tr>
      <w:tr w:rsidR="000D427A" w:rsidRPr="006A74F8" w:rsidTr="006A10C6">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Labour cost ($/hr) (wage + non-wage labour costs)</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$11</w:t>
            </w:r>
            <w:r w:rsidR="00134F93" w:rsidRPr="006A74F8">
              <w:rPr>
                <w:rFonts w:ascii="Calibri" w:eastAsia="Times New Roman" w:hAnsi="Calibri" w:cs="Calibri"/>
                <w:sz w:val="18"/>
                <w:szCs w:val="18"/>
                <w:lang w:eastAsia="en-AU"/>
              </w:rPr>
              <w:t>0.83</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30"/>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31"/>
            </w:r>
            <w:r w:rsidRPr="006A74F8">
              <w:rPr>
                <w:rFonts w:ascii="Calibri" w:eastAsia="Times New Roman" w:hAnsi="Calibri" w:cs="Calibri"/>
                <w:sz w:val="18"/>
                <w:szCs w:val="18"/>
                <w:lang w:eastAsia="en-AU"/>
              </w:rPr>
              <w:t xml:space="preserve"> for on-costs</w:t>
            </w:r>
          </w:p>
        </w:tc>
      </w:tr>
      <w:tr w:rsidR="000D427A" w:rsidRPr="006A74F8" w:rsidTr="008B6AC1">
        <w:trPr>
          <w:trHeight w:val="491"/>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c>
          <w:tcPr>
            <w:tcW w:w="743" w:type="dxa"/>
            <w:tcBorders>
              <w:top w:val="nil"/>
              <w:left w:val="nil"/>
              <w:bottom w:val="single" w:sz="4" w:space="0" w:color="auto"/>
              <w:right w:val="single" w:sz="4" w:space="0" w:color="auto"/>
            </w:tcBorders>
            <w:shd w:val="clear" w:color="auto" w:fill="D9D9D9" w:themeFill="background1" w:themeFillShade="D9"/>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sz w:val="18"/>
                <w:szCs w:val="18"/>
              </w:rPr>
              <w:t xml:space="preserve"> </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xml:space="preserve">Cost of Activity = </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$4,987</w:t>
            </w:r>
          </w:p>
        </w:tc>
        <w:tc>
          <w:tcPr>
            <w:tcW w:w="3907" w:type="dxa"/>
            <w:tcBorders>
              <w:top w:val="nil"/>
              <w:left w:val="nil"/>
              <w:bottom w:val="single" w:sz="4" w:space="0" w:color="auto"/>
              <w:right w:val="single" w:sz="4" w:space="0" w:color="auto"/>
            </w:tcBorders>
            <w:shd w:val="clear" w:color="auto" w:fill="auto"/>
            <w:noWrap/>
            <w:vAlign w:val="bottom"/>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275"/>
        </w:trPr>
        <w:tc>
          <w:tcPr>
            <w:tcW w:w="36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xml:space="preserve">Total </w:t>
            </w:r>
            <w:r w:rsidR="00F23D41" w:rsidRPr="006A74F8">
              <w:rPr>
                <w:rFonts w:ascii="Calibri" w:eastAsia="Times New Roman" w:hAnsi="Calibri" w:cs="Calibri"/>
                <w:b/>
                <w:bCs/>
                <w:sz w:val="18"/>
                <w:szCs w:val="18"/>
                <w:lang w:eastAsia="en-AU"/>
              </w:rPr>
              <w:t>cost</w:t>
            </w:r>
            <w:r w:rsidRPr="006A74F8">
              <w:rPr>
                <w:rFonts w:ascii="Calibri" w:eastAsia="Times New Roman" w:hAnsi="Calibri" w:cs="Calibri"/>
                <w:b/>
                <w:bCs/>
                <w:sz w:val="18"/>
                <w:szCs w:val="18"/>
                <w:lang w:eastAsia="en-AU"/>
              </w:rPr>
              <w:t xml:space="preserve"> of application </w:t>
            </w:r>
          </w:p>
        </w:tc>
        <w:tc>
          <w:tcPr>
            <w:tcW w:w="1536"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b/>
                <w:sz w:val="18"/>
                <w:szCs w:val="18"/>
              </w:rPr>
              <w:t xml:space="preserve"> $6,982</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18738B" w:rsidRPr="006A74F8" w:rsidTr="00144B87">
        <w:trPr>
          <w:trHeight w:val="299"/>
        </w:trPr>
        <w:tc>
          <w:tcPr>
            <w:tcW w:w="9067" w:type="dxa"/>
            <w:gridSpan w:val="5"/>
            <w:tcBorders>
              <w:top w:val="nil"/>
              <w:left w:val="single" w:sz="4" w:space="0" w:color="auto"/>
              <w:bottom w:val="single" w:sz="4" w:space="0" w:color="auto"/>
              <w:right w:val="single" w:sz="4" w:space="0" w:color="auto"/>
            </w:tcBorders>
            <w:shd w:val="clear" w:color="auto" w:fill="auto"/>
            <w:vAlign w:val="center"/>
            <w:hideMark/>
          </w:tcPr>
          <w:p w:rsidR="0018738B" w:rsidRPr="006A74F8" w:rsidRDefault="0018738B" w:rsidP="000D427A">
            <w:pPr>
              <w:spacing w:after="0" w:line="240" w:lineRule="auto"/>
              <w:rPr>
                <w:rFonts w:ascii="Calibri" w:eastAsia="Times New Roman" w:hAnsi="Calibri" w:cs="Calibri"/>
                <w:sz w:val="18"/>
                <w:szCs w:val="18"/>
                <w:lang w:eastAsia="en-AU"/>
              </w:rPr>
            </w:pPr>
          </w:p>
        </w:tc>
      </w:tr>
      <w:tr w:rsidR="000D427A" w:rsidRPr="006A74F8" w:rsidTr="0018738B">
        <w:trPr>
          <w:trHeight w:val="274"/>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2. Renewal process</w:t>
            </w:r>
          </w:p>
        </w:tc>
        <w:tc>
          <w:tcPr>
            <w:tcW w:w="743"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Costs relating to Renewal process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ESTIMATE NUMBER TO RENEW EACH YEAR</w:t>
            </w:r>
          </w:p>
        </w:tc>
      </w:tr>
      <w:tr w:rsidR="000D427A" w:rsidRPr="006A74F8" w:rsidTr="008B6AC1">
        <w:trPr>
          <w:trHeight w:val="1023"/>
        </w:trPr>
        <w:tc>
          <w:tcPr>
            <w:tcW w:w="1300" w:type="dxa"/>
            <w:vMerge w:val="restart"/>
            <w:tcBorders>
              <w:top w:val="nil"/>
              <w:left w:val="single" w:sz="4" w:space="0" w:color="auto"/>
              <w:bottom w:val="nil"/>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Understanding the process for Renewal</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(reg72</w:t>
            </w:r>
            <w:r w:rsidR="00CB2BFC" w:rsidRPr="006A74F8">
              <w:rPr>
                <w:rFonts w:ascii="Calibri" w:eastAsia="Times New Roman" w:hAnsi="Calibri" w:cs="Calibri"/>
                <w:sz w:val="18"/>
                <w:szCs w:val="18"/>
                <w:lang w:eastAsia="en-AU"/>
              </w:rPr>
              <w:t>)</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LMA</w:t>
            </w:r>
            <w:r w:rsidR="00B95660" w:rsidRPr="006A74F8">
              <w:rPr>
                <w:rFonts w:ascii="Calibri" w:eastAsia="Times New Roman" w:hAnsi="Calibri" w:cs="Calibri"/>
                <w:sz w:val="18"/>
                <w:szCs w:val="18"/>
                <w:lang w:eastAsia="en-AU"/>
              </w:rPr>
              <w:t>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41</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Average number of LMA appointments issued per year (although legislation only specifies VA and CA, this includes 2 Approving Authorities). Administratively good for 3 years. </w:t>
            </w:r>
            <w:r w:rsidR="008C0A0F" w:rsidRPr="006A74F8">
              <w:rPr>
                <w:rFonts w:ascii="Calibri" w:eastAsia="Times New Roman" w:hAnsi="Calibri" w:cs="Calibri"/>
                <w:sz w:val="18"/>
                <w:szCs w:val="18"/>
                <w:lang w:eastAsia="en-AU"/>
              </w:rPr>
              <w:t xml:space="preserve">2021 LMA </w:t>
            </w:r>
            <w:r w:rsidRPr="006A74F8">
              <w:rPr>
                <w:rFonts w:ascii="Calibri" w:eastAsia="Times New Roman" w:hAnsi="Calibri" w:cs="Calibri"/>
                <w:sz w:val="18"/>
                <w:szCs w:val="18"/>
                <w:lang w:eastAsia="en-AU"/>
              </w:rPr>
              <w:t xml:space="preserve">Numbers </w:t>
            </w:r>
            <w:r w:rsidR="008C0A0F" w:rsidRPr="006A74F8">
              <w:rPr>
                <w:rFonts w:ascii="Calibri" w:eastAsia="Times New Roman" w:hAnsi="Calibri" w:cs="Calibri"/>
                <w:sz w:val="18"/>
                <w:szCs w:val="18"/>
                <w:lang w:eastAsia="en-AU"/>
              </w:rPr>
              <w:t>Total 41 (</w:t>
            </w:r>
            <w:r w:rsidRPr="006A74F8">
              <w:rPr>
                <w:rFonts w:ascii="Calibri" w:eastAsia="Times New Roman" w:hAnsi="Calibri" w:cs="Calibri"/>
                <w:sz w:val="18"/>
                <w:szCs w:val="18"/>
                <w:lang w:eastAsia="en-AU"/>
              </w:rPr>
              <w:t>AA=3, CA=13, VA=25</w:t>
            </w:r>
            <w:r w:rsidR="008C0A0F" w:rsidRPr="006A74F8">
              <w:rPr>
                <w:rFonts w:ascii="Calibri" w:eastAsia="Times New Roman" w:hAnsi="Calibri" w:cs="Calibri"/>
                <w:sz w:val="18"/>
                <w:szCs w:val="18"/>
                <w:lang w:eastAsia="en-AU"/>
              </w:rPr>
              <w:t>).</w:t>
            </w:r>
          </w:p>
        </w:tc>
      </w:tr>
      <w:tr w:rsidR="000D427A" w:rsidRPr="006A74F8" w:rsidTr="008B6AC1">
        <w:trPr>
          <w:trHeight w:val="1023"/>
        </w:trPr>
        <w:tc>
          <w:tcPr>
            <w:tcW w:w="1300" w:type="dxa"/>
            <w:vMerge/>
            <w:tcBorders>
              <w:top w:val="nil"/>
              <w:left w:val="single" w:sz="4" w:space="0" w:color="auto"/>
              <w:bottom w:val="nil"/>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staff per business performing activity</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ED03C1"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One staff member</w:t>
            </w:r>
          </w:p>
        </w:tc>
      </w:tr>
      <w:tr w:rsidR="000D427A" w:rsidRPr="006A74F8" w:rsidTr="008B6AC1">
        <w:trPr>
          <w:trHeight w:val="1023"/>
        </w:trPr>
        <w:tc>
          <w:tcPr>
            <w:tcW w:w="1300" w:type="dxa"/>
            <w:vMerge/>
            <w:tcBorders>
              <w:top w:val="nil"/>
              <w:left w:val="single" w:sz="4" w:space="0" w:color="auto"/>
              <w:bottom w:val="nil"/>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times activity performed per year per staff</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0.3</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The appointment generally is good for 3 years generally hence 1/3 = </w:t>
            </w:r>
            <w:r w:rsidRPr="006A74F8">
              <w:rPr>
                <w:rFonts w:ascii="Calibri" w:eastAsia="Times New Roman" w:hAnsi="Calibri" w:cs="Calibri"/>
                <w:b/>
                <w:sz w:val="18"/>
                <w:szCs w:val="18"/>
                <w:lang w:eastAsia="en-AU"/>
              </w:rPr>
              <w:t>0.33</w:t>
            </w:r>
          </w:p>
        </w:tc>
      </w:tr>
      <w:tr w:rsidR="000D427A" w:rsidRPr="006A74F8" w:rsidTr="008B6AC1">
        <w:trPr>
          <w:trHeight w:val="1023"/>
        </w:trPr>
        <w:tc>
          <w:tcPr>
            <w:tcW w:w="1300" w:type="dxa"/>
            <w:vMerge/>
            <w:tcBorders>
              <w:top w:val="nil"/>
              <w:left w:val="single" w:sz="4" w:space="0" w:color="auto"/>
              <w:bottom w:val="nil"/>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Avg. time of each staff to do activity (in hours)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E75D6B"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Average time over 32 standards (NMI Est.) estimate accounts for an assumed 50% efficiency gains from learning in subsequent applications</w:t>
            </w:r>
          </w:p>
        </w:tc>
      </w:tr>
      <w:tr w:rsidR="000D427A" w:rsidRPr="006A74F8" w:rsidTr="008B6AC1">
        <w:trPr>
          <w:trHeight w:val="1023"/>
        </w:trPr>
        <w:tc>
          <w:tcPr>
            <w:tcW w:w="1300" w:type="dxa"/>
            <w:vMerge/>
            <w:tcBorders>
              <w:top w:val="nil"/>
              <w:left w:val="single" w:sz="4" w:space="0" w:color="auto"/>
              <w:bottom w:val="nil"/>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Labour cost ($/hr) (wage + non-wage labour costs)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FE0CE6"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w:t>
            </w:r>
            <w:r w:rsidR="00E75D6B" w:rsidRPr="006A74F8">
              <w:rPr>
                <w:rFonts w:ascii="Calibri" w:eastAsia="Times New Roman" w:hAnsi="Calibri" w:cs="Calibri"/>
                <w:sz w:val="18"/>
                <w:szCs w:val="18"/>
                <w:lang w:eastAsia="en-AU"/>
              </w:rPr>
              <w:t>110.83</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32"/>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33"/>
            </w:r>
            <w:r w:rsidRPr="006A74F8">
              <w:rPr>
                <w:rFonts w:ascii="Calibri" w:eastAsia="Times New Roman" w:hAnsi="Calibri" w:cs="Calibri"/>
                <w:sz w:val="18"/>
                <w:szCs w:val="18"/>
                <w:lang w:eastAsia="en-AU"/>
              </w:rPr>
              <w:t xml:space="preserve"> for on-costs</w:t>
            </w:r>
          </w:p>
        </w:tc>
      </w:tr>
      <w:tr w:rsidR="000D427A" w:rsidRPr="006A74F8" w:rsidTr="008B6AC1">
        <w:trPr>
          <w:trHeight w:val="135"/>
        </w:trPr>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c>
          <w:tcPr>
            <w:tcW w:w="743"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xml:space="preserve">Cost of Activity = </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w:t>
            </w:r>
            <w:r w:rsidR="00FE0CE6" w:rsidRPr="006A74F8">
              <w:rPr>
                <w:rFonts w:ascii="Calibri" w:eastAsia="Times New Roman" w:hAnsi="Calibri" w:cs="Calibri"/>
                <w:b/>
                <w:bCs/>
                <w:sz w:val="18"/>
                <w:szCs w:val="18"/>
                <w:lang w:eastAsia="en-AU"/>
              </w:rPr>
              <w:t>1,5</w:t>
            </w:r>
            <w:r w:rsidR="00134F93" w:rsidRPr="006A74F8">
              <w:rPr>
                <w:rFonts w:ascii="Calibri" w:eastAsia="Times New Roman" w:hAnsi="Calibri" w:cs="Calibri"/>
                <w:b/>
                <w:bCs/>
                <w:sz w:val="18"/>
                <w:szCs w:val="18"/>
                <w:lang w:eastAsia="en-AU"/>
              </w:rPr>
              <w:t>00</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1390"/>
        </w:trPr>
        <w:tc>
          <w:tcPr>
            <w:tcW w:w="1300"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Supplying the relevant information and documents</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(reg72</w:t>
            </w:r>
            <w:r w:rsidR="006C737B" w:rsidRPr="006A74F8">
              <w:rPr>
                <w:rFonts w:ascii="Calibri" w:eastAsia="Times New Roman" w:hAnsi="Calibri" w:cs="Calibri"/>
                <w:sz w:val="18"/>
                <w:szCs w:val="18"/>
                <w:lang w:eastAsia="en-AU"/>
              </w:rPr>
              <w:t>)</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LMA</w:t>
            </w:r>
            <w:r w:rsidR="00B95660" w:rsidRPr="006A74F8">
              <w:rPr>
                <w:rFonts w:ascii="Calibri" w:eastAsia="Times New Roman" w:hAnsi="Calibri" w:cs="Calibri"/>
                <w:sz w:val="18"/>
                <w:szCs w:val="18"/>
                <w:lang w:eastAsia="en-AU"/>
              </w:rPr>
              <w:t>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41</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Average number of LMA appointments issued per year (although legislation only specifies VA and CA, this includes 2 Approving Authorities)</w:t>
            </w:r>
            <w:r w:rsidR="00004DE4"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 xml:space="preserve"> Administratively good for 3 years. </w:t>
            </w:r>
            <w:r w:rsidR="008C0A0F" w:rsidRPr="006A74F8">
              <w:rPr>
                <w:rFonts w:ascii="Calibri" w:eastAsia="Times New Roman" w:hAnsi="Calibri" w:cs="Calibri"/>
                <w:sz w:val="18"/>
                <w:szCs w:val="18"/>
                <w:lang w:eastAsia="en-AU"/>
              </w:rPr>
              <w:t xml:space="preserve">2021 LMA </w:t>
            </w:r>
            <w:r w:rsidRPr="006A74F8">
              <w:rPr>
                <w:rFonts w:ascii="Calibri" w:eastAsia="Times New Roman" w:hAnsi="Calibri" w:cs="Calibri"/>
                <w:sz w:val="18"/>
                <w:szCs w:val="18"/>
                <w:lang w:eastAsia="en-AU"/>
              </w:rPr>
              <w:t xml:space="preserve">Numbers </w:t>
            </w:r>
            <w:r w:rsidR="008C0A0F" w:rsidRPr="006A74F8">
              <w:rPr>
                <w:rFonts w:ascii="Calibri" w:eastAsia="Times New Roman" w:hAnsi="Calibri" w:cs="Calibri"/>
                <w:sz w:val="18"/>
                <w:szCs w:val="18"/>
                <w:lang w:eastAsia="en-AU"/>
              </w:rPr>
              <w:t>Total 41 (</w:t>
            </w:r>
            <w:r w:rsidRPr="006A74F8">
              <w:rPr>
                <w:rFonts w:ascii="Calibri" w:eastAsia="Times New Roman" w:hAnsi="Calibri" w:cs="Calibri"/>
                <w:sz w:val="18"/>
                <w:szCs w:val="18"/>
                <w:lang w:eastAsia="en-AU"/>
              </w:rPr>
              <w:t>AA=3, CA=13, VA=25</w:t>
            </w:r>
            <w:r w:rsidR="008C0A0F" w:rsidRPr="006A74F8">
              <w:rPr>
                <w:rFonts w:ascii="Calibri" w:eastAsia="Times New Roman" w:hAnsi="Calibri" w:cs="Calibri"/>
                <w:sz w:val="18"/>
                <w:szCs w:val="18"/>
                <w:lang w:eastAsia="en-AU"/>
              </w:rPr>
              <w:t>).</w:t>
            </w:r>
          </w:p>
        </w:tc>
      </w:tr>
      <w:tr w:rsidR="000D427A" w:rsidRPr="006A74F8" w:rsidTr="008B6AC1">
        <w:trPr>
          <w:trHeight w:val="1023"/>
        </w:trPr>
        <w:tc>
          <w:tcPr>
            <w:tcW w:w="130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staff per business performing activity</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ED03C1"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One staff member</w:t>
            </w:r>
          </w:p>
        </w:tc>
      </w:tr>
      <w:tr w:rsidR="000D427A" w:rsidRPr="006A74F8" w:rsidTr="006A10C6">
        <w:trPr>
          <w:trHeight w:val="1023"/>
        </w:trPr>
        <w:tc>
          <w:tcPr>
            <w:tcW w:w="130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times activity performed per year per staff</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0.3</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The appointment generally is good for 3 years generally hence 1/3 = </w:t>
            </w:r>
            <w:r w:rsidRPr="006A74F8">
              <w:rPr>
                <w:rFonts w:ascii="Calibri" w:eastAsia="Times New Roman" w:hAnsi="Calibri" w:cs="Calibri"/>
                <w:b/>
                <w:sz w:val="18"/>
                <w:szCs w:val="18"/>
                <w:lang w:eastAsia="en-AU"/>
              </w:rPr>
              <w:t>0.33</w:t>
            </w:r>
          </w:p>
        </w:tc>
      </w:tr>
      <w:tr w:rsidR="000D427A" w:rsidRPr="006A74F8" w:rsidTr="006A10C6">
        <w:trPr>
          <w:trHeight w:val="1023"/>
        </w:trPr>
        <w:tc>
          <w:tcPr>
            <w:tcW w:w="130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Avg. time of each staff to do activity (in hours)</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0D427A" w:rsidRPr="006A74F8" w:rsidRDefault="00FE0CE6"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5</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FE0CE6"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NMI estimate</w:t>
            </w:r>
          </w:p>
        </w:tc>
      </w:tr>
      <w:tr w:rsidR="000D427A" w:rsidRPr="006A74F8" w:rsidTr="008B6AC1">
        <w:trPr>
          <w:trHeight w:val="1023"/>
        </w:trPr>
        <w:tc>
          <w:tcPr>
            <w:tcW w:w="130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Labour cost ($/hr) (wage + non-wage labour costs)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FE0CE6" w:rsidP="000D427A">
            <w:pPr>
              <w:spacing w:after="0" w:line="240" w:lineRule="auto"/>
              <w:jc w:val="center"/>
              <w:rPr>
                <w:rFonts w:ascii="Calibri" w:eastAsia="Times New Roman" w:hAnsi="Calibri" w:cs="Calibri"/>
                <w:sz w:val="18"/>
                <w:szCs w:val="18"/>
                <w:lang w:eastAsia="en-AU"/>
              </w:rPr>
            </w:pPr>
            <w:r w:rsidRPr="006A74F8">
              <w:rPr>
                <w:sz w:val="18"/>
                <w:szCs w:val="18"/>
              </w:rPr>
              <w:t xml:space="preserve"> $110.83</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34"/>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35"/>
            </w:r>
            <w:r w:rsidRPr="006A74F8">
              <w:rPr>
                <w:rFonts w:ascii="Calibri" w:eastAsia="Times New Roman" w:hAnsi="Calibri" w:cs="Calibri"/>
                <w:sz w:val="18"/>
                <w:szCs w:val="18"/>
                <w:lang w:eastAsia="en-AU"/>
              </w:rPr>
              <w:t xml:space="preserve"> for on-costs</w:t>
            </w:r>
          </w:p>
        </w:tc>
      </w:tr>
      <w:tr w:rsidR="000D427A" w:rsidRPr="006A74F8" w:rsidTr="008B6AC1">
        <w:trPr>
          <w:trHeight w:val="533"/>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c>
          <w:tcPr>
            <w:tcW w:w="743"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Cost of Activity = </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b/>
                <w:sz w:val="18"/>
                <w:szCs w:val="18"/>
              </w:rPr>
              <w:t xml:space="preserve"> $</w:t>
            </w:r>
            <w:r w:rsidR="00FE0CE6" w:rsidRPr="006A74F8">
              <w:rPr>
                <w:b/>
                <w:sz w:val="18"/>
                <w:szCs w:val="18"/>
              </w:rPr>
              <w:t>7,</w:t>
            </w:r>
            <w:r w:rsidR="00134F93" w:rsidRPr="006A74F8">
              <w:rPr>
                <w:b/>
                <w:sz w:val="18"/>
                <w:szCs w:val="18"/>
              </w:rPr>
              <w:t>498</w:t>
            </w:r>
            <w:r w:rsidRPr="006A74F8">
              <w:rPr>
                <w:b/>
                <w:sz w:val="18"/>
                <w:szCs w:val="18"/>
              </w:rPr>
              <w:t xml:space="preserve"> </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227"/>
        </w:trPr>
        <w:tc>
          <w:tcPr>
            <w:tcW w:w="3624"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0D427A" w:rsidRPr="006A74F8" w:rsidRDefault="000D427A" w:rsidP="00F23D41">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xml:space="preserve">Total </w:t>
            </w:r>
            <w:r w:rsidR="00F23D41" w:rsidRPr="006A74F8">
              <w:rPr>
                <w:rFonts w:ascii="Calibri" w:eastAsia="Times New Roman" w:hAnsi="Calibri" w:cs="Calibri"/>
                <w:b/>
                <w:bCs/>
                <w:sz w:val="18"/>
                <w:szCs w:val="18"/>
                <w:lang w:eastAsia="en-AU"/>
              </w:rPr>
              <w:t>cost of</w:t>
            </w:r>
            <w:r w:rsidRPr="006A74F8">
              <w:rPr>
                <w:rFonts w:ascii="Calibri" w:eastAsia="Times New Roman" w:hAnsi="Calibri" w:cs="Calibri"/>
                <w:b/>
                <w:bCs/>
                <w:sz w:val="18"/>
                <w:szCs w:val="18"/>
                <w:lang w:eastAsia="en-AU"/>
              </w:rPr>
              <w:t xml:space="preserve"> renewal</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FE0CE6"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w:t>
            </w:r>
            <w:r w:rsidR="00134F93" w:rsidRPr="006A74F8">
              <w:rPr>
                <w:rFonts w:ascii="Calibri" w:eastAsia="Times New Roman" w:hAnsi="Calibri" w:cs="Calibri"/>
                <w:b/>
                <w:bCs/>
                <w:sz w:val="18"/>
                <w:szCs w:val="18"/>
                <w:lang w:eastAsia="en-AU"/>
              </w:rPr>
              <w:t>8,998</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132"/>
        </w:trPr>
        <w:tc>
          <w:tcPr>
            <w:tcW w:w="906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D427A" w:rsidRPr="006A74F8" w:rsidRDefault="000D427A" w:rsidP="000D427A">
            <w:pPr>
              <w:spacing w:after="0" w:line="240" w:lineRule="auto"/>
              <w:rPr>
                <w:rFonts w:ascii="Calibri" w:eastAsia="Times New Roman" w:hAnsi="Calibri" w:cs="Calibri"/>
                <w:sz w:val="18"/>
                <w:szCs w:val="18"/>
                <w:lang w:eastAsia="en-AU"/>
              </w:rPr>
            </w:pPr>
          </w:p>
        </w:tc>
      </w:tr>
      <w:tr w:rsidR="000D427A" w:rsidRPr="006A74F8" w:rsidTr="008B6AC1">
        <w:trPr>
          <w:trHeight w:val="132"/>
        </w:trPr>
        <w:tc>
          <w:tcPr>
            <w:tcW w:w="36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862651" w:rsidP="00862651">
            <w:pPr>
              <w:pStyle w:val="ListParagraph"/>
              <w:spacing w:after="0" w:line="240" w:lineRule="auto"/>
              <w:ind w:firstLine="0"/>
              <w:rPr>
                <w:rFonts w:ascii="Calibri" w:eastAsia="Times New Roman" w:hAnsi="Calibri" w:cs="Calibri"/>
                <w:b/>
                <w:bCs/>
                <w:sz w:val="18"/>
                <w:szCs w:val="18"/>
                <w:lang w:eastAsia="en-AU"/>
              </w:rPr>
            </w:pPr>
            <w:r w:rsidRPr="006A74F8">
              <w:rPr>
                <w:sz w:val="18"/>
                <w:szCs w:val="18"/>
                <w:lang w:eastAsia="en-AU"/>
              </w:rPr>
              <w:t>3.</w:t>
            </w:r>
            <w:r w:rsidR="000D427A" w:rsidRPr="006A74F8">
              <w:rPr>
                <w:rFonts w:ascii="Calibri" w:eastAsia="Times New Roman" w:hAnsi="Calibri" w:cs="Calibri"/>
                <w:b/>
                <w:sz w:val="18"/>
                <w:szCs w:val="18"/>
                <w:lang w:eastAsia="en-AU"/>
              </w:rPr>
              <w:t>Competence</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r>
      <w:tr w:rsidR="000D427A" w:rsidRPr="006A74F8" w:rsidTr="008B6AC1">
        <w:trPr>
          <w:trHeight w:val="1023"/>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Cost of NATA accredit</w:t>
            </w:r>
            <w:r w:rsidR="00862651" w:rsidRPr="006A74F8">
              <w:rPr>
                <w:rFonts w:ascii="Calibri" w:eastAsia="Times New Roman" w:hAnsi="Calibri" w:cs="Calibri"/>
                <w:sz w:val="18"/>
                <w:szCs w:val="18"/>
                <w:lang w:eastAsia="en-AU"/>
              </w:rPr>
              <w:t>at</w:t>
            </w:r>
            <w:r w:rsidRPr="006A74F8">
              <w:rPr>
                <w:rFonts w:ascii="Calibri" w:eastAsia="Times New Roman" w:hAnsi="Calibri" w:cs="Calibri"/>
                <w:sz w:val="18"/>
                <w:szCs w:val="18"/>
                <w:lang w:eastAsia="en-AU"/>
              </w:rPr>
              <w:t>ion</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(reg 73)</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Number of LMA </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41</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Average number of LMA appointments issued per year (although legislation only specifies VA and CA, this includes 2 Approving Authorities). Administratively good for 3 years. </w:t>
            </w:r>
            <w:r w:rsidR="008C0A0F" w:rsidRPr="006A74F8">
              <w:rPr>
                <w:rFonts w:ascii="Calibri" w:eastAsia="Times New Roman" w:hAnsi="Calibri" w:cs="Calibri"/>
                <w:sz w:val="18"/>
                <w:szCs w:val="18"/>
                <w:lang w:eastAsia="en-AU"/>
              </w:rPr>
              <w:t xml:space="preserve">2021 LMA </w:t>
            </w:r>
            <w:r w:rsidRPr="006A74F8">
              <w:rPr>
                <w:rFonts w:ascii="Calibri" w:eastAsia="Times New Roman" w:hAnsi="Calibri" w:cs="Calibri"/>
                <w:sz w:val="18"/>
                <w:szCs w:val="18"/>
                <w:lang w:eastAsia="en-AU"/>
              </w:rPr>
              <w:t xml:space="preserve">Numbers </w:t>
            </w:r>
            <w:r w:rsidR="008C0A0F" w:rsidRPr="006A74F8">
              <w:rPr>
                <w:rFonts w:ascii="Calibri" w:eastAsia="Times New Roman" w:hAnsi="Calibri" w:cs="Calibri"/>
                <w:sz w:val="18"/>
                <w:szCs w:val="18"/>
                <w:lang w:eastAsia="en-AU"/>
              </w:rPr>
              <w:t>Total 41 (</w:t>
            </w:r>
            <w:r w:rsidRPr="006A74F8">
              <w:rPr>
                <w:rFonts w:ascii="Calibri" w:eastAsia="Times New Roman" w:hAnsi="Calibri" w:cs="Calibri"/>
                <w:sz w:val="18"/>
                <w:szCs w:val="18"/>
                <w:lang w:eastAsia="en-AU"/>
              </w:rPr>
              <w:t>AA=3, CA=13, VA=25</w:t>
            </w:r>
            <w:r w:rsidR="008C0A0F" w:rsidRPr="006A74F8">
              <w:rPr>
                <w:rFonts w:ascii="Calibri" w:eastAsia="Times New Roman" w:hAnsi="Calibri" w:cs="Calibri"/>
                <w:sz w:val="18"/>
                <w:szCs w:val="18"/>
                <w:lang w:eastAsia="en-AU"/>
              </w:rPr>
              <w:t>).</w:t>
            </w:r>
          </w:p>
        </w:tc>
      </w:tr>
      <w:tr w:rsidR="000D427A" w:rsidRPr="006A74F8" w:rsidTr="008B6AC1">
        <w:trPr>
          <w:trHeight w:val="2117"/>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Percentage of business activity dependent on measurement activity = percentage NATA accreditation value for measurement activity</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25%</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The value of the accreditation is used for other business activities besides for the measurement requirements. The value of measurement activities to the LMA business is anywhere between 1% to 50%. For the purposes of calculation, a median point will be used (25%).</w:t>
            </w:r>
          </w:p>
        </w:tc>
      </w:tr>
      <w:tr w:rsidR="000D427A" w:rsidRPr="006A74F8" w:rsidTr="008B6AC1">
        <w:trPr>
          <w:trHeight w:val="487"/>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FE0CE6"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Nata accreditation</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$10,000</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FE0CE6"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Estimate NATA accreditation cost for 17025</w:t>
            </w:r>
          </w:p>
        </w:tc>
      </w:tr>
      <w:tr w:rsidR="000D427A" w:rsidRPr="006A74F8" w:rsidTr="008B6AC1">
        <w:trPr>
          <w:trHeight w:val="317"/>
        </w:trPr>
        <w:tc>
          <w:tcPr>
            <w:tcW w:w="3624"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F23D41" w:rsidP="00F23D41">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sz w:val="18"/>
                <w:szCs w:val="18"/>
                <w:lang w:eastAsia="en-AU"/>
              </w:rPr>
              <w:t>Total cost of competence</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$102,500</w:t>
            </w:r>
          </w:p>
        </w:tc>
        <w:tc>
          <w:tcPr>
            <w:tcW w:w="3907" w:type="dxa"/>
            <w:tcBorders>
              <w:top w:val="nil"/>
              <w:left w:val="nil"/>
              <w:bottom w:val="single" w:sz="4" w:space="0" w:color="auto"/>
              <w:right w:val="single" w:sz="4" w:space="0" w:color="auto"/>
            </w:tcBorders>
            <w:shd w:val="clear" w:color="auto" w:fill="auto"/>
            <w:noWrap/>
            <w:vAlign w:val="bottom"/>
            <w:hideMark/>
          </w:tcPr>
          <w:p w:rsidR="000D427A" w:rsidRPr="006A74F8" w:rsidRDefault="000D427A" w:rsidP="000D427A">
            <w:pPr>
              <w:spacing w:after="0" w:line="240" w:lineRule="auto"/>
              <w:jc w:val="right"/>
              <w:rPr>
                <w:rFonts w:ascii="Calibri" w:eastAsia="Times New Roman" w:hAnsi="Calibri" w:cs="Calibri"/>
                <w:sz w:val="18"/>
                <w:szCs w:val="18"/>
                <w:lang w:eastAsia="en-AU"/>
              </w:rPr>
            </w:pPr>
          </w:p>
        </w:tc>
      </w:tr>
      <w:tr w:rsidR="0018738B" w:rsidRPr="006A74F8" w:rsidTr="0018738B">
        <w:trPr>
          <w:trHeight w:val="141"/>
        </w:trPr>
        <w:tc>
          <w:tcPr>
            <w:tcW w:w="906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8738B" w:rsidRPr="006A74F8" w:rsidRDefault="0018738B"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120"/>
        </w:trPr>
        <w:tc>
          <w:tcPr>
            <w:tcW w:w="36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862651"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4.</w:t>
            </w:r>
            <w:r w:rsidR="000D427A" w:rsidRPr="006A74F8">
              <w:rPr>
                <w:rFonts w:ascii="Calibri" w:eastAsia="Times New Roman" w:hAnsi="Calibri" w:cs="Calibri"/>
                <w:b/>
                <w:bCs/>
                <w:sz w:val="18"/>
                <w:szCs w:val="18"/>
                <w:lang w:eastAsia="en-AU"/>
              </w:rPr>
              <w:t>Report to the Chief Metrologist if asked to (reg 77</w:t>
            </w:r>
            <w:r w:rsidR="000B6E4F" w:rsidRPr="006A74F8">
              <w:rPr>
                <w:rFonts w:ascii="Calibri" w:eastAsia="Times New Roman" w:hAnsi="Calibri" w:cs="Calibri"/>
                <w:b/>
                <w:bCs/>
                <w:sz w:val="18"/>
                <w:szCs w:val="18"/>
                <w:lang w:eastAsia="en-AU"/>
              </w:rPr>
              <w:t>(</w:t>
            </w:r>
            <w:r w:rsidR="000D427A" w:rsidRPr="006A74F8">
              <w:rPr>
                <w:rFonts w:ascii="Calibri" w:eastAsia="Times New Roman" w:hAnsi="Calibri" w:cs="Calibri"/>
                <w:b/>
                <w:bCs/>
                <w:sz w:val="18"/>
                <w:szCs w:val="18"/>
                <w:lang w:eastAsia="en-AU"/>
              </w:rPr>
              <w:t>1</w:t>
            </w:r>
            <w:r w:rsidR="000B6E4F" w:rsidRPr="006A74F8">
              <w:rPr>
                <w:rFonts w:ascii="Calibri" w:eastAsia="Times New Roman" w:hAnsi="Calibri" w:cs="Calibri"/>
                <w:b/>
                <w:bCs/>
                <w:sz w:val="18"/>
                <w:szCs w:val="18"/>
                <w:lang w:eastAsia="en-AU"/>
              </w:rPr>
              <w:t>)(</w:t>
            </w:r>
            <w:r w:rsidR="000D427A" w:rsidRPr="006A74F8">
              <w:rPr>
                <w:rFonts w:ascii="Calibri" w:eastAsia="Times New Roman" w:hAnsi="Calibri" w:cs="Calibri"/>
                <w:b/>
                <w:bCs/>
                <w:sz w:val="18"/>
                <w:szCs w:val="18"/>
                <w:lang w:eastAsia="en-AU"/>
              </w:rPr>
              <w:t>c</w:t>
            </w:r>
            <w:r w:rsidR="000B6E4F" w:rsidRPr="006A74F8">
              <w:rPr>
                <w:rFonts w:ascii="Calibri" w:eastAsia="Times New Roman" w:hAnsi="Calibri" w:cs="Calibri"/>
                <w:b/>
                <w:bCs/>
                <w:sz w:val="18"/>
                <w:szCs w:val="18"/>
                <w:lang w:eastAsia="en-AU"/>
              </w:rPr>
              <w:t>)</w:t>
            </w:r>
            <w:r w:rsidR="000D427A" w:rsidRPr="006A74F8">
              <w:rPr>
                <w:rFonts w:ascii="Calibri" w:eastAsia="Times New Roman" w:hAnsi="Calibri" w:cs="Calibri"/>
                <w:b/>
                <w:bCs/>
                <w:sz w:val="18"/>
                <w:szCs w:val="18"/>
                <w:lang w:eastAsia="en-AU"/>
              </w:rPr>
              <w:t>)</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p>
        </w:tc>
        <w:tc>
          <w:tcPr>
            <w:tcW w:w="3907" w:type="dxa"/>
            <w:tcBorders>
              <w:top w:val="nil"/>
              <w:left w:val="nil"/>
              <w:bottom w:val="single" w:sz="4" w:space="0" w:color="auto"/>
              <w:right w:val="single" w:sz="4" w:space="0" w:color="auto"/>
            </w:tcBorders>
            <w:shd w:val="clear" w:color="auto" w:fill="auto"/>
            <w:vAlign w:val="bottom"/>
            <w:hideMark/>
          </w:tcPr>
          <w:p w:rsidR="000D427A" w:rsidRPr="006A74F8" w:rsidRDefault="000D427A" w:rsidP="000D427A">
            <w:pPr>
              <w:spacing w:after="0" w:line="240" w:lineRule="auto"/>
              <w:rPr>
                <w:rFonts w:ascii="Calibri" w:eastAsia="Times New Roman" w:hAnsi="Calibri" w:cs="Calibri"/>
                <w:sz w:val="18"/>
                <w:szCs w:val="18"/>
                <w:lang w:eastAsia="en-AU"/>
              </w:rPr>
            </w:pPr>
          </w:p>
        </w:tc>
      </w:tr>
      <w:tr w:rsidR="000D427A" w:rsidRPr="006A74F8" w:rsidTr="008B6AC1">
        <w:trPr>
          <w:trHeight w:val="1023"/>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Report to the Chief Metrologist</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(reg 77</w:t>
            </w:r>
            <w:r w:rsidR="000B6E4F"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1</w:t>
            </w:r>
            <w:r w:rsidR="000B6E4F"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c</w:t>
            </w:r>
            <w:r w:rsidR="000B6E4F"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LMAs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41</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Average number of LMA appointments issued per year (although legislation only specifies VA and CA, this includes 2 Approving Authorities). Administratively good for 3 years. </w:t>
            </w:r>
            <w:r w:rsidR="008C0A0F" w:rsidRPr="006A74F8">
              <w:rPr>
                <w:rFonts w:ascii="Calibri" w:eastAsia="Times New Roman" w:hAnsi="Calibri" w:cs="Calibri"/>
                <w:sz w:val="18"/>
                <w:szCs w:val="18"/>
                <w:lang w:eastAsia="en-AU"/>
              </w:rPr>
              <w:t xml:space="preserve">2021 LMA </w:t>
            </w:r>
            <w:r w:rsidR="002C481C">
              <w:rPr>
                <w:rFonts w:ascii="Calibri" w:eastAsia="Times New Roman" w:hAnsi="Calibri" w:cs="Calibri"/>
                <w:sz w:val="18"/>
                <w:szCs w:val="18"/>
                <w:lang w:eastAsia="en-AU"/>
              </w:rPr>
              <w:t>n</w:t>
            </w:r>
            <w:r w:rsidRPr="006A74F8">
              <w:rPr>
                <w:rFonts w:ascii="Calibri" w:eastAsia="Times New Roman" w:hAnsi="Calibri" w:cs="Calibri"/>
                <w:sz w:val="18"/>
                <w:szCs w:val="18"/>
                <w:lang w:eastAsia="en-AU"/>
              </w:rPr>
              <w:t xml:space="preserve">umbers </w:t>
            </w:r>
            <w:r w:rsidR="008C0A0F" w:rsidRPr="006A74F8">
              <w:rPr>
                <w:rFonts w:ascii="Calibri" w:eastAsia="Times New Roman" w:hAnsi="Calibri" w:cs="Calibri"/>
                <w:sz w:val="18"/>
                <w:szCs w:val="18"/>
                <w:lang w:eastAsia="en-AU"/>
              </w:rPr>
              <w:t>Total 41 (</w:t>
            </w:r>
            <w:r w:rsidRPr="006A74F8">
              <w:rPr>
                <w:rFonts w:ascii="Calibri" w:eastAsia="Times New Roman" w:hAnsi="Calibri" w:cs="Calibri"/>
                <w:sz w:val="18"/>
                <w:szCs w:val="18"/>
                <w:lang w:eastAsia="en-AU"/>
              </w:rPr>
              <w:t>AA=3, CA=13, VA=25</w:t>
            </w:r>
            <w:r w:rsidR="008C0A0F" w:rsidRPr="006A74F8">
              <w:rPr>
                <w:rFonts w:ascii="Calibri" w:eastAsia="Times New Roman" w:hAnsi="Calibri" w:cs="Calibri"/>
                <w:sz w:val="18"/>
                <w:szCs w:val="18"/>
                <w:lang w:eastAsia="en-AU"/>
              </w:rPr>
              <w:t>).</w:t>
            </w:r>
          </w:p>
        </w:tc>
      </w:tr>
      <w:tr w:rsidR="000D427A" w:rsidRPr="006A74F8"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staff per business performing activity</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ED03C1"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One</w:t>
            </w:r>
            <w:r w:rsidR="000D427A" w:rsidRPr="006A74F8">
              <w:rPr>
                <w:rFonts w:ascii="Calibri" w:eastAsia="Times New Roman" w:hAnsi="Calibri" w:cs="Calibri"/>
                <w:sz w:val="18"/>
                <w:szCs w:val="18"/>
                <w:lang w:eastAsia="en-AU"/>
              </w:rPr>
              <w:t xml:space="preserve"> staff member</w:t>
            </w:r>
          </w:p>
        </w:tc>
      </w:tr>
      <w:tr w:rsidR="000D427A" w:rsidRPr="006A74F8" w:rsidTr="008B6AC1">
        <w:trPr>
          <w:trHeight w:val="861"/>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Avg. time of each staff to do activity (in hours)</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3</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Estimated time to write the report and submit by email. Note this is an estimate as this has never been required, although provision is made for this in the legislation.</w:t>
            </w:r>
          </w:p>
        </w:tc>
      </w:tr>
      <w:tr w:rsidR="000D427A" w:rsidRPr="006A74F8" w:rsidTr="008B6AC1">
        <w:trPr>
          <w:trHeight w:val="6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times activity performed per year per staff?</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0.3</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A22007"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The appointment generally is good for 3 years generally hence 1/3 = </w:t>
            </w:r>
            <w:r w:rsidRPr="006A74F8">
              <w:rPr>
                <w:rFonts w:ascii="Calibri" w:eastAsia="Times New Roman" w:hAnsi="Calibri" w:cs="Calibri"/>
                <w:b/>
                <w:sz w:val="18"/>
                <w:szCs w:val="18"/>
                <w:lang w:eastAsia="en-AU"/>
              </w:rPr>
              <w:t>0.33</w:t>
            </w:r>
          </w:p>
        </w:tc>
      </w:tr>
      <w:tr w:rsidR="000D427A" w:rsidRPr="006A74F8" w:rsidTr="006A10C6">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Labour cost ($/hr) (wage + non-wage labour costs) time of assessment </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0D427A" w:rsidRPr="006A74F8" w:rsidRDefault="00A22007" w:rsidP="000D427A">
            <w:pPr>
              <w:spacing w:after="0" w:line="240" w:lineRule="auto"/>
              <w:jc w:val="center"/>
              <w:rPr>
                <w:rFonts w:ascii="Calibri" w:eastAsia="Times New Roman" w:hAnsi="Calibri" w:cs="Calibri"/>
                <w:sz w:val="18"/>
                <w:szCs w:val="18"/>
                <w:lang w:eastAsia="en-AU"/>
              </w:rPr>
            </w:pPr>
            <w:r w:rsidRPr="006A74F8">
              <w:rPr>
                <w:sz w:val="18"/>
                <w:szCs w:val="18"/>
              </w:rPr>
              <w:t xml:space="preserve"> $110.83</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36"/>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37"/>
            </w:r>
            <w:r w:rsidRPr="006A74F8">
              <w:rPr>
                <w:rFonts w:ascii="Calibri" w:eastAsia="Times New Roman" w:hAnsi="Calibri" w:cs="Calibri"/>
                <w:sz w:val="18"/>
                <w:szCs w:val="18"/>
                <w:lang w:eastAsia="en-AU"/>
              </w:rPr>
              <w:t xml:space="preserve"> for on-costs</w:t>
            </w:r>
          </w:p>
        </w:tc>
      </w:tr>
      <w:tr w:rsidR="000D427A" w:rsidRPr="006A74F8" w:rsidTr="008B6AC1">
        <w:trPr>
          <w:trHeight w:val="403"/>
        </w:trPr>
        <w:tc>
          <w:tcPr>
            <w:tcW w:w="3624"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F23D41" w:rsidP="00F23D41">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sz w:val="18"/>
                <w:szCs w:val="18"/>
                <w:lang w:eastAsia="en-AU"/>
              </w:rPr>
              <w:t>Total cost of reporting</w:t>
            </w:r>
          </w:p>
        </w:tc>
        <w:tc>
          <w:tcPr>
            <w:tcW w:w="1536"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b/>
                <w:sz w:val="18"/>
                <w:szCs w:val="18"/>
              </w:rPr>
              <w:t xml:space="preserve"> $4,</w:t>
            </w:r>
            <w:r w:rsidR="00134F93" w:rsidRPr="006A74F8">
              <w:rPr>
                <w:b/>
                <w:sz w:val="18"/>
                <w:szCs w:val="18"/>
              </w:rPr>
              <w:t>499</w:t>
            </w:r>
          </w:p>
        </w:tc>
        <w:tc>
          <w:tcPr>
            <w:tcW w:w="390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18738B" w:rsidRPr="006A74F8" w:rsidTr="00222273">
        <w:trPr>
          <w:trHeight w:val="96"/>
        </w:trPr>
        <w:tc>
          <w:tcPr>
            <w:tcW w:w="906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18738B" w:rsidRPr="006A74F8" w:rsidRDefault="0018738B" w:rsidP="000D427A">
            <w:pPr>
              <w:spacing w:after="0" w:line="240" w:lineRule="auto"/>
              <w:rPr>
                <w:rFonts w:ascii="Calibri" w:eastAsia="Times New Roman" w:hAnsi="Calibri" w:cs="Calibri"/>
                <w:b/>
                <w:bCs/>
                <w:sz w:val="18"/>
                <w:szCs w:val="18"/>
                <w:lang w:eastAsia="en-AU"/>
              </w:rPr>
            </w:pPr>
          </w:p>
        </w:tc>
      </w:tr>
      <w:tr w:rsidR="000D427A" w:rsidRPr="006A74F8" w:rsidTr="008B6AC1">
        <w:trPr>
          <w:trHeight w:val="96"/>
        </w:trPr>
        <w:tc>
          <w:tcPr>
            <w:tcW w:w="362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b/>
                <w:sz w:val="18"/>
                <w:szCs w:val="18"/>
                <w:lang w:eastAsia="en-AU"/>
              </w:rPr>
              <w:t xml:space="preserve">Total Annual </w:t>
            </w:r>
            <w:r w:rsidR="00862651" w:rsidRPr="006A74F8">
              <w:rPr>
                <w:rFonts w:ascii="Calibri" w:eastAsia="Times New Roman" w:hAnsi="Calibri" w:cs="Calibri"/>
                <w:b/>
                <w:sz w:val="18"/>
                <w:szCs w:val="18"/>
                <w:lang w:eastAsia="en-AU"/>
              </w:rPr>
              <w:t>LMA</w:t>
            </w:r>
            <w:r w:rsidRPr="006A74F8">
              <w:rPr>
                <w:rFonts w:ascii="Calibri" w:eastAsia="Times New Roman" w:hAnsi="Calibri" w:cs="Calibri"/>
                <w:b/>
                <w:sz w:val="18"/>
                <w:szCs w:val="18"/>
                <w:lang w:eastAsia="en-AU"/>
              </w:rPr>
              <w:t xml:space="preserve"> Costs (Application, renewal cost, competence </w:t>
            </w:r>
            <w:r w:rsidR="004814C2" w:rsidRPr="006A74F8">
              <w:rPr>
                <w:rFonts w:ascii="Calibri" w:eastAsia="Times New Roman" w:hAnsi="Calibri" w:cs="Calibri"/>
                <w:b/>
                <w:sz w:val="18"/>
                <w:szCs w:val="18"/>
                <w:lang w:eastAsia="en-AU"/>
              </w:rPr>
              <w:t>and</w:t>
            </w:r>
            <w:r w:rsidRPr="006A74F8">
              <w:rPr>
                <w:rFonts w:ascii="Calibri" w:eastAsia="Times New Roman" w:hAnsi="Calibri" w:cs="Calibri"/>
                <w:b/>
                <w:sz w:val="18"/>
                <w:szCs w:val="18"/>
                <w:lang w:eastAsia="en-AU"/>
              </w:rPr>
              <w:t xml:space="preserve"> reporting)</w:t>
            </w:r>
          </w:p>
          <w:p w:rsidR="000D427A" w:rsidRPr="006A74F8" w:rsidRDefault="000D427A" w:rsidP="000D427A">
            <w:pPr>
              <w:spacing w:after="0" w:line="240" w:lineRule="auto"/>
              <w:rPr>
                <w:rFonts w:ascii="Calibri" w:eastAsia="Times New Roman" w:hAnsi="Calibri" w:cs="Calibri"/>
                <w:b/>
                <w:bCs/>
                <w:sz w:val="18"/>
                <w:szCs w:val="18"/>
                <w:lang w:eastAsia="en-AU"/>
              </w:rPr>
            </w:pP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22007" w:rsidRPr="006A74F8" w:rsidRDefault="000D427A" w:rsidP="00A22007">
            <w:pPr>
              <w:spacing w:after="0" w:line="240" w:lineRule="auto"/>
              <w:jc w:val="center"/>
              <w:rPr>
                <w:b/>
                <w:sz w:val="18"/>
                <w:szCs w:val="18"/>
              </w:rPr>
            </w:pPr>
            <w:r w:rsidRPr="006A74F8">
              <w:rPr>
                <w:b/>
                <w:sz w:val="18"/>
                <w:szCs w:val="18"/>
              </w:rPr>
              <w:t>$</w:t>
            </w:r>
            <w:r w:rsidR="00A22007" w:rsidRPr="006A74F8">
              <w:rPr>
                <w:b/>
                <w:sz w:val="18"/>
                <w:szCs w:val="18"/>
              </w:rPr>
              <w:t>12</w:t>
            </w:r>
            <w:r w:rsidR="00134F93" w:rsidRPr="006A74F8">
              <w:rPr>
                <w:b/>
                <w:sz w:val="18"/>
                <w:szCs w:val="18"/>
              </w:rPr>
              <w:t>2,979</w:t>
            </w:r>
          </w:p>
          <w:p w:rsidR="000D427A" w:rsidRPr="006A74F8" w:rsidRDefault="000D427A" w:rsidP="000D427A">
            <w:pPr>
              <w:spacing w:after="0" w:line="240" w:lineRule="auto"/>
              <w:jc w:val="center"/>
              <w:rPr>
                <w:rFonts w:ascii="Calibri" w:eastAsia="Times New Roman" w:hAnsi="Calibri" w:cs="Calibri"/>
                <w:b/>
                <w:bCs/>
                <w:sz w:val="18"/>
                <w:szCs w:val="18"/>
                <w:lang w:eastAsia="en-AU"/>
              </w:rPr>
            </w:pPr>
          </w:p>
        </w:tc>
        <w:tc>
          <w:tcPr>
            <w:tcW w:w="3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27A" w:rsidRPr="006A74F8" w:rsidRDefault="000D427A" w:rsidP="000D427A">
            <w:pPr>
              <w:spacing w:after="0" w:line="240" w:lineRule="auto"/>
              <w:rPr>
                <w:rFonts w:ascii="Calibri" w:eastAsia="Times New Roman" w:hAnsi="Calibri" w:cs="Calibri"/>
                <w:b/>
                <w:bCs/>
                <w:sz w:val="18"/>
                <w:szCs w:val="18"/>
                <w:lang w:eastAsia="en-AU"/>
              </w:rPr>
            </w:pPr>
          </w:p>
        </w:tc>
      </w:tr>
    </w:tbl>
    <w:p w:rsidR="000D427A" w:rsidRPr="006A74F8" w:rsidRDefault="000D427A" w:rsidP="000D427A"/>
    <w:p w:rsidR="000D427A" w:rsidRPr="006A74F8" w:rsidRDefault="000D427A" w:rsidP="001E43AC">
      <w:pPr>
        <w:pStyle w:val="Heading4"/>
        <w:tabs>
          <w:tab w:val="left" w:pos="1134"/>
        </w:tabs>
      </w:pPr>
      <w:r w:rsidRPr="006A74F8">
        <w:t>Public Weighbridge Licensee</w:t>
      </w:r>
    </w:p>
    <w:p w:rsidR="00D14B95" w:rsidRPr="006A74F8" w:rsidRDefault="00D14B95" w:rsidP="00D14B95">
      <w:pPr>
        <w:pStyle w:val="Caption"/>
        <w:keepNext/>
      </w:pPr>
      <w:r w:rsidRPr="006A74F8">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7</w:t>
      </w:r>
      <w:r w:rsidR="00D003A8" w:rsidRPr="006A74F8">
        <w:rPr>
          <w:noProof/>
        </w:rPr>
        <w:fldChar w:fldCharType="end"/>
      </w:r>
      <w:r w:rsidRPr="006A74F8">
        <w:t>: Assumptions for public weighbridge licensee calculations</w:t>
      </w:r>
    </w:p>
    <w:tbl>
      <w:tblPr>
        <w:tblW w:w="9580" w:type="dxa"/>
        <w:tblLook w:val="04A0" w:firstRow="1" w:lastRow="0" w:firstColumn="1" w:lastColumn="0" w:noHBand="0" w:noVBand="1"/>
        <w:tblCaption w:val="Table A13- 7: Assumptions for public weighbridge licensee calculations"/>
        <w:tblDescription w:val="Table details the assumptions made in calculating the costs for public weighbridge licensees and the total annual costs"/>
      </w:tblPr>
      <w:tblGrid>
        <w:gridCol w:w="1300"/>
        <w:gridCol w:w="873"/>
        <w:gridCol w:w="1991"/>
        <w:gridCol w:w="1520"/>
        <w:gridCol w:w="3896"/>
      </w:tblGrid>
      <w:tr w:rsidR="000D427A" w:rsidRPr="006A74F8"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1. APPLICATION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p>
        </w:tc>
        <w:tc>
          <w:tcPr>
            <w:tcW w:w="394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72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Understanding the process for licence application </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(s18PA, PD, PE, PH</w:t>
            </w:r>
            <w:r w:rsidR="004B6327"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1</w:t>
            </w:r>
            <w:r w:rsidR="004B6327"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a</w:t>
            </w:r>
            <w:r w:rsidR="004B6327"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w:t>
            </w:r>
            <w:r w:rsidR="004B6327"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b</w:t>
            </w:r>
            <w:r w:rsidR="004B6327"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 ; NTMR 3.12-3.16</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PWB</w:t>
            </w:r>
            <w:r w:rsidR="00036AC1" w:rsidRPr="006A74F8">
              <w:rPr>
                <w:rFonts w:ascii="Calibri" w:eastAsia="Times New Roman" w:hAnsi="Calibri" w:cs="Calibri"/>
                <w:sz w:val="18"/>
                <w:szCs w:val="18"/>
                <w:lang w:eastAsia="en-AU"/>
              </w:rPr>
              <w:t>L</w:t>
            </w:r>
            <w:r w:rsidRPr="006A74F8">
              <w:rPr>
                <w:rFonts w:ascii="Calibri" w:eastAsia="Times New Roman" w:hAnsi="Calibri" w:cs="Calibri"/>
                <w:sz w:val="18"/>
                <w:szCs w:val="18"/>
                <w:lang w:eastAsia="en-AU"/>
              </w:rPr>
              <w:t xml:space="preserve"> applications expected yearly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10</w:t>
            </w:r>
          </w:p>
        </w:tc>
        <w:tc>
          <w:tcPr>
            <w:tcW w:w="3947" w:type="dxa"/>
            <w:tcBorders>
              <w:top w:val="nil"/>
              <w:left w:val="nil"/>
              <w:bottom w:val="single" w:sz="4" w:space="0" w:color="auto"/>
              <w:right w:val="single" w:sz="4" w:space="0" w:color="auto"/>
            </w:tcBorders>
            <w:shd w:val="clear" w:color="auto" w:fill="auto"/>
            <w:vAlign w:val="center"/>
            <w:hideMark/>
          </w:tcPr>
          <w:p w:rsidR="007A243F" w:rsidRPr="006A74F8" w:rsidRDefault="000D427A" w:rsidP="00036AC1">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w:t>
            </w:r>
            <w:r w:rsidR="00036AC1" w:rsidRPr="006A74F8">
              <w:rPr>
                <w:rFonts w:ascii="Calibri" w:eastAsia="Times New Roman" w:hAnsi="Calibri" w:cs="Calibri"/>
                <w:sz w:val="18"/>
                <w:szCs w:val="18"/>
                <w:lang w:eastAsia="en-AU"/>
              </w:rPr>
              <w:t xml:space="preserve">nnual average number of new PWBLs </w:t>
            </w:r>
            <w:r w:rsidRPr="006A74F8">
              <w:rPr>
                <w:rFonts w:ascii="Calibri" w:eastAsia="Times New Roman" w:hAnsi="Calibri" w:cs="Calibri"/>
                <w:sz w:val="18"/>
                <w:szCs w:val="18"/>
                <w:lang w:eastAsia="en-AU"/>
              </w:rPr>
              <w:t xml:space="preserve">= 228 </w:t>
            </w:r>
          </w:p>
          <w:p w:rsidR="000D427A" w:rsidRPr="006A74F8" w:rsidRDefault="007A243F" w:rsidP="00036AC1">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T</w:t>
            </w:r>
            <w:r w:rsidR="000D427A" w:rsidRPr="006A74F8">
              <w:rPr>
                <w:rFonts w:ascii="Calibri" w:eastAsia="Times New Roman" w:hAnsi="Calibri" w:cs="Calibri"/>
                <w:sz w:val="18"/>
                <w:szCs w:val="18"/>
                <w:lang w:eastAsia="en-AU"/>
              </w:rPr>
              <w:t>otal number NMI estimate not more than 10 new licences processed annually</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staff per business performing activity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ED03C1"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One staff member</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times activity performed per year per staff</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Once based on number of annual applications</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Avg. time of each staff to do activity (in hours)</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A22007"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4</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A22007"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NMI estimate</w:t>
            </w:r>
          </w:p>
        </w:tc>
      </w:tr>
      <w:tr w:rsidR="000D427A" w:rsidRPr="006A74F8" w:rsidTr="008B6AC1">
        <w:trPr>
          <w:trHeight w:val="39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Labour cost ($/hr) (wage + non-wage labour costs)</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A22007" w:rsidP="000D427A">
            <w:pPr>
              <w:spacing w:after="0" w:line="240" w:lineRule="auto"/>
              <w:jc w:val="center"/>
              <w:rPr>
                <w:rFonts w:ascii="Calibri" w:eastAsia="Times New Roman" w:hAnsi="Calibri" w:cs="Calibri"/>
                <w:sz w:val="18"/>
                <w:szCs w:val="18"/>
                <w:lang w:eastAsia="en-AU"/>
              </w:rPr>
            </w:pPr>
            <w:r w:rsidRPr="006A74F8">
              <w:rPr>
                <w:sz w:val="18"/>
                <w:szCs w:val="18"/>
              </w:rPr>
              <w:t xml:space="preserve"> $110.83</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38"/>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39"/>
            </w:r>
            <w:r w:rsidRPr="006A74F8">
              <w:rPr>
                <w:rFonts w:ascii="Calibri" w:eastAsia="Times New Roman" w:hAnsi="Calibri" w:cs="Calibri"/>
                <w:sz w:val="18"/>
                <w:szCs w:val="18"/>
                <w:lang w:eastAsia="en-AU"/>
              </w:rPr>
              <w:t xml:space="preserve"> for on-costs</w:t>
            </w:r>
          </w:p>
        </w:tc>
      </w:tr>
      <w:tr w:rsidR="000D427A" w:rsidRPr="006A74F8" w:rsidTr="008B6AC1">
        <w:trPr>
          <w:trHeight w:val="390"/>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xml:space="preserve">Cost of Activity = </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b/>
                <w:sz w:val="18"/>
                <w:szCs w:val="18"/>
              </w:rPr>
              <w:t xml:space="preserve"> $</w:t>
            </w:r>
            <w:r w:rsidR="00A22007" w:rsidRPr="006A74F8">
              <w:rPr>
                <w:b/>
                <w:sz w:val="18"/>
                <w:szCs w:val="18"/>
              </w:rPr>
              <w:t>4,433</w:t>
            </w:r>
            <w:r w:rsidRPr="006A74F8">
              <w:rPr>
                <w:b/>
                <w:sz w:val="18"/>
                <w:szCs w:val="18"/>
              </w:rPr>
              <w:t xml:space="preserve"> </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A22007"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Annual cost</w:t>
            </w:r>
          </w:p>
        </w:tc>
      </w:tr>
      <w:tr w:rsidR="0018738B" w:rsidRPr="006A74F8" w:rsidTr="0018738B">
        <w:trPr>
          <w:trHeight w:val="131"/>
        </w:trPr>
        <w:tc>
          <w:tcPr>
            <w:tcW w:w="9580" w:type="dxa"/>
            <w:gridSpan w:val="5"/>
            <w:tcBorders>
              <w:top w:val="nil"/>
              <w:left w:val="single" w:sz="4" w:space="0" w:color="auto"/>
              <w:bottom w:val="single" w:sz="4" w:space="0" w:color="auto"/>
              <w:right w:val="single" w:sz="4" w:space="0" w:color="auto"/>
            </w:tcBorders>
            <w:shd w:val="clear" w:color="auto" w:fill="auto"/>
            <w:noWrap/>
            <w:vAlign w:val="bottom"/>
            <w:hideMark/>
          </w:tcPr>
          <w:p w:rsidR="0018738B" w:rsidRPr="006A74F8" w:rsidRDefault="0018738B"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72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Supplying the relevant information and documents with application</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(s18PA, PD, PE, PH</w:t>
            </w:r>
            <w:r w:rsidR="004B6327"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1</w:t>
            </w:r>
            <w:r w:rsidR="004B6327"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a</w:t>
            </w:r>
            <w:r w:rsidR="004B6327"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w:t>
            </w:r>
            <w:r w:rsidR="004B6327"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b</w:t>
            </w:r>
            <w:r w:rsidR="004B6327" w:rsidRPr="006A74F8">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 ; NTMR 3.12-3.16</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PWB applications expected yearly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10</w:t>
            </w:r>
          </w:p>
        </w:tc>
        <w:tc>
          <w:tcPr>
            <w:tcW w:w="3947" w:type="dxa"/>
            <w:tcBorders>
              <w:top w:val="nil"/>
              <w:left w:val="nil"/>
              <w:bottom w:val="single" w:sz="4" w:space="0" w:color="auto"/>
              <w:right w:val="single" w:sz="4" w:space="0" w:color="auto"/>
            </w:tcBorders>
            <w:shd w:val="clear" w:color="auto" w:fill="auto"/>
            <w:vAlign w:val="center"/>
            <w:hideMark/>
          </w:tcPr>
          <w:p w:rsidR="007A243F" w:rsidRPr="006A74F8" w:rsidRDefault="000D427A" w:rsidP="00036AC1">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Annual average number of new </w:t>
            </w:r>
            <w:r w:rsidR="00036AC1" w:rsidRPr="006A74F8">
              <w:rPr>
                <w:rFonts w:ascii="Calibri" w:eastAsia="Times New Roman" w:hAnsi="Calibri" w:cs="Calibri"/>
                <w:sz w:val="18"/>
                <w:szCs w:val="18"/>
                <w:lang w:eastAsia="en-AU"/>
              </w:rPr>
              <w:t>PWBL</w:t>
            </w:r>
            <w:r w:rsidRPr="006A74F8">
              <w:rPr>
                <w:rFonts w:ascii="Calibri" w:eastAsia="Times New Roman" w:hAnsi="Calibri" w:cs="Calibri"/>
                <w:sz w:val="18"/>
                <w:szCs w:val="18"/>
                <w:lang w:eastAsia="en-AU"/>
              </w:rPr>
              <w:t xml:space="preserve"> = 228 </w:t>
            </w:r>
          </w:p>
          <w:p w:rsidR="000D427A" w:rsidRPr="006A74F8" w:rsidRDefault="007A243F" w:rsidP="00036AC1">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T</w:t>
            </w:r>
            <w:r w:rsidR="000D427A" w:rsidRPr="006A74F8">
              <w:rPr>
                <w:rFonts w:ascii="Calibri" w:eastAsia="Times New Roman" w:hAnsi="Calibri" w:cs="Calibri"/>
                <w:sz w:val="18"/>
                <w:szCs w:val="18"/>
                <w:lang w:eastAsia="en-AU"/>
              </w:rPr>
              <w:t>otal number NMI estimate not more than 10 new licences processed annually</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staff per business performing activity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Once based on number of annual applications</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times activity performed per year per staff</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A22007"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Once based on number of annual applications</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Avg. time of each staff to do activity (in hours)</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A22007"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8</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A22007"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NMI estimate</w:t>
            </w:r>
          </w:p>
        </w:tc>
      </w:tr>
      <w:tr w:rsidR="000D427A" w:rsidRPr="006A74F8" w:rsidTr="006A10C6">
        <w:trPr>
          <w:trHeight w:val="39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Labour cost ($/hr) (wage + non-wage labour costs)</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0D427A" w:rsidRPr="006A74F8" w:rsidRDefault="00A22007" w:rsidP="000D427A">
            <w:pPr>
              <w:spacing w:after="0" w:line="240" w:lineRule="auto"/>
              <w:jc w:val="center"/>
              <w:rPr>
                <w:rFonts w:ascii="Calibri" w:eastAsia="Times New Roman" w:hAnsi="Calibri" w:cs="Calibri"/>
                <w:sz w:val="18"/>
                <w:szCs w:val="18"/>
                <w:lang w:eastAsia="en-AU"/>
              </w:rPr>
            </w:pPr>
            <w:r w:rsidRPr="006A74F8">
              <w:rPr>
                <w:sz w:val="18"/>
                <w:szCs w:val="18"/>
              </w:rPr>
              <w:t xml:space="preserve"> $110.83</w:t>
            </w:r>
          </w:p>
        </w:tc>
        <w:tc>
          <w:tcPr>
            <w:tcW w:w="394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40"/>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41"/>
            </w:r>
            <w:r w:rsidRPr="006A74F8">
              <w:rPr>
                <w:rFonts w:ascii="Calibri" w:eastAsia="Times New Roman" w:hAnsi="Calibri" w:cs="Calibri"/>
                <w:sz w:val="18"/>
                <w:szCs w:val="18"/>
                <w:lang w:eastAsia="en-AU"/>
              </w:rPr>
              <w:t xml:space="preserve"> for on-costs</w:t>
            </w:r>
          </w:p>
        </w:tc>
      </w:tr>
      <w:tr w:rsidR="000D427A" w:rsidRPr="006A74F8" w:rsidTr="008B6AC1">
        <w:trPr>
          <w:trHeight w:val="390"/>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xml:space="preserve">Cost of Activity = </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b/>
                <w:sz w:val="18"/>
                <w:szCs w:val="18"/>
              </w:rPr>
              <w:t xml:space="preserve"> $</w:t>
            </w:r>
            <w:r w:rsidR="00A22007" w:rsidRPr="006A74F8">
              <w:rPr>
                <w:b/>
                <w:sz w:val="18"/>
                <w:szCs w:val="18"/>
              </w:rPr>
              <w:t>8,866</w:t>
            </w:r>
            <w:r w:rsidRPr="006A74F8">
              <w:rPr>
                <w:b/>
                <w:sz w:val="18"/>
                <w:szCs w:val="18"/>
              </w:rPr>
              <w:t xml:space="preserve"> </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Annual cost of PWB </w:t>
            </w:r>
            <w:r w:rsidR="00036AC1" w:rsidRPr="006A74F8">
              <w:rPr>
                <w:rFonts w:ascii="Calibri" w:eastAsia="Times New Roman" w:hAnsi="Calibri" w:cs="Calibri"/>
                <w:sz w:val="18"/>
                <w:szCs w:val="18"/>
                <w:lang w:eastAsia="en-AU"/>
              </w:rPr>
              <w:t xml:space="preserve">licensees </w:t>
            </w:r>
            <w:r w:rsidRPr="006A74F8">
              <w:rPr>
                <w:rFonts w:ascii="Calibri" w:eastAsia="Times New Roman" w:hAnsi="Calibri" w:cs="Calibri"/>
                <w:sz w:val="18"/>
                <w:szCs w:val="18"/>
                <w:lang w:eastAsia="en-AU"/>
              </w:rPr>
              <w:t>completing application with relevant information</w:t>
            </w:r>
          </w:p>
        </w:tc>
      </w:tr>
      <w:tr w:rsidR="000D427A" w:rsidRPr="006A74F8"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w:t>
            </w:r>
            <w:r w:rsidR="00F23D41" w:rsidRPr="006A74F8">
              <w:rPr>
                <w:rFonts w:ascii="Calibri" w:eastAsia="Times New Roman" w:hAnsi="Calibri" w:cs="Calibri"/>
                <w:b/>
                <w:bCs/>
                <w:sz w:val="18"/>
                <w:szCs w:val="18"/>
                <w:lang w:eastAsia="en-AU"/>
              </w:rPr>
              <w:t>Total cost of application</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A22007"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$13,299</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A22007"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Annual cost</w:t>
            </w:r>
          </w:p>
        </w:tc>
      </w:tr>
      <w:tr w:rsidR="0018738B" w:rsidRPr="006A74F8" w:rsidTr="00144B87">
        <w:trPr>
          <w:trHeight w:val="323"/>
        </w:trPr>
        <w:tc>
          <w:tcPr>
            <w:tcW w:w="9580" w:type="dxa"/>
            <w:gridSpan w:val="5"/>
            <w:tcBorders>
              <w:top w:val="nil"/>
              <w:left w:val="single" w:sz="4" w:space="0" w:color="auto"/>
              <w:bottom w:val="single" w:sz="4" w:space="0" w:color="auto"/>
              <w:right w:val="single" w:sz="4" w:space="0" w:color="auto"/>
            </w:tcBorders>
            <w:shd w:val="clear" w:color="auto" w:fill="auto"/>
            <w:noWrap/>
            <w:vAlign w:val="bottom"/>
            <w:hideMark/>
          </w:tcPr>
          <w:p w:rsidR="0018738B" w:rsidRPr="006A74F8" w:rsidRDefault="0018738B" w:rsidP="0018738B">
            <w:pPr>
              <w:spacing w:after="0" w:line="240" w:lineRule="auto"/>
              <w:rPr>
                <w:rFonts w:ascii="Calibri" w:eastAsia="Times New Roman" w:hAnsi="Calibri" w:cs="Calibri"/>
                <w:sz w:val="18"/>
                <w:szCs w:val="18"/>
                <w:lang w:eastAsia="en-AU"/>
              </w:rPr>
            </w:pPr>
          </w:p>
        </w:tc>
      </w:tr>
      <w:tr w:rsidR="000D427A" w:rsidRPr="006A74F8"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2. RENEWAL OF LICENCE</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390"/>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Renewal process</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Costs relating to Renewal process</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ESTIMATE NUMBER TO RENEW EACH YEAR</w:t>
            </w:r>
          </w:p>
        </w:tc>
      </w:tr>
      <w:tr w:rsidR="000D427A" w:rsidRPr="006A74F8" w:rsidTr="008B6AC1">
        <w:trPr>
          <w:trHeight w:val="96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Understanding the process for licence  renewal</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(s18PL-PM; NTMR 3.12-3.16)</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renewals expected yearly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A22007" w:rsidP="00A22007">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80</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A22007"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Annual actual average </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staff per business performing activity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ED03C1"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One staff member</w:t>
            </w:r>
          </w:p>
        </w:tc>
      </w:tr>
      <w:tr w:rsidR="000D427A" w:rsidRPr="006A74F8" w:rsidTr="008B6AC1">
        <w:trPr>
          <w:trHeight w:val="960"/>
        </w:trPr>
        <w:tc>
          <w:tcPr>
            <w:tcW w:w="1300" w:type="dxa"/>
            <w:vMerge/>
            <w:tcBorders>
              <w:top w:val="nil"/>
              <w:left w:val="single" w:sz="4" w:space="0" w:color="auto"/>
              <w:bottom w:val="single" w:sz="4" w:space="0" w:color="auto"/>
              <w:right w:val="single" w:sz="4" w:space="0" w:color="auto"/>
            </w:tcBorders>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times activity performed per year per staff</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Once based on number of annual applications</w:t>
            </w:r>
          </w:p>
        </w:tc>
      </w:tr>
      <w:tr w:rsidR="000D427A" w:rsidRPr="006A74F8" w:rsidTr="008B6AC1">
        <w:trPr>
          <w:trHeight w:val="390"/>
        </w:trPr>
        <w:tc>
          <w:tcPr>
            <w:tcW w:w="1300" w:type="dxa"/>
            <w:vMerge/>
            <w:tcBorders>
              <w:top w:val="nil"/>
              <w:left w:val="single" w:sz="4" w:space="0" w:color="auto"/>
              <w:bottom w:val="single" w:sz="4" w:space="0" w:color="auto"/>
              <w:right w:val="single" w:sz="4" w:space="0" w:color="auto"/>
            </w:tcBorders>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Avg. time of each staff to do activity (in hours)</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A22007"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Estimate accounts for an assumed 50% efficiency gains from learning in subsequent applications</w:t>
            </w:r>
          </w:p>
        </w:tc>
      </w:tr>
      <w:tr w:rsidR="000D427A" w:rsidRPr="006A74F8" w:rsidTr="008B6AC1">
        <w:trPr>
          <w:trHeight w:val="390"/>
        </w:trPr>
        <w:tc>
          <w:tcPr>
            <w:tcW w:w="1300" w:type="dxa"/>
            <w:vMerge/>
            <w:tcBorders>
              <w:top w:val="nil"/>
              <w:left w:val="single" w:sz="4" w:space="0" w:color="auto"/>
              <w:bottom w:val="single" w:sz="4" w:space="0" w:color="auto"/>
              <w:right w:val="single" w:sz="4" w:space="0" w:color="auto"/>
            </w:tcBorders>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Labour cost ($/hr) (wage + non-wage labour costs)</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sz w:val="18"/>
                <w:szCs w:val="18"/>
              </w:rPr>
              <w:t xml:space="preserve"> $</w:t>
            </w:r>
            <w:r w:rsidR="00A22007" w:rsidRPr="006A74F8">
              <w:rPr>
                <w:sz w:val="18"/>
                <w:szCs w:val="18"/>
              </w:rPr>
              <w:t>110.83</w:t>
            </w:r>
            <w:r w:rsidRPr="006A74F8">
              <w:rPr>
                <w:sz w:val="18"/>
                <w:szCs w:val="18"/>
              </w:rPr>
              <w:t xml:space="preserve"> </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42"/>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43"/>
            </w:r>
            <w:r w:rsidRPr="006A74F8">
              <w:rPr>
                <w:rFonts w:ascii="Calibri" w:eastAsia="Times New Roman" w:hAnsi="Calibri" w:cs="Calibri"/>
                <w:sz w:val="18"/>
                <w:szCs w:val="18"/>
                <w:lang w:eastAsia="en-AU"/>
              </w:rPr>
              <w:t xml:space="preserve"> for on-costs</w:t>
            </w:r>
          </w:p>
        </w:tc>
      </w:tr>
      <w:tr w:rsidR="000D427A" w:rsidRPr="006A74F8" w:rsidTr="008B6AC1">
        <w:trPr>
          <w:trHeight w:val="390"/>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xml:space="preserve">Cost of Activity = </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b/>
                <w:sz w:val="18"/>
                <w:szCs w:val="18"/>
              </w:rPr>
              <w:t xml:space="preserve">  $</w:t>
            </w:r>
            <w:r w:rsidR="00A22007" w:rsidRPr="006A74F8">
              <w:rPr>
                <w:b/>
                <w:sz w:val="18"/>
                <w:szCs w:val="18"/>
              </w:rPr>
              <w:t>8,866</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A22007"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Annual cost</w:t>
            </w:r>
          </w:p>
        </w:tc>
      </w:tr>
      <w:tr w:rsidR="0018738B" w:rsidRPr="006A74F8" w:rsidTr="00144B87">
        <w:trPr>
          <w:trHeight w:val="343"/>
        </w:trPr>
        <w:tc>
          <w:tcPr>
            <w:tcW w:w="9580" w:type="dxa"/>
            <w:gridSpan w:val="5"/>
            <w:tcBorders>
              <w:top w:val="nil"/>
              <w:left w:val="single" w:sz="4" w:space="0" w:color="auto"/>
              <w:bottom w:val="single" w:sz="4" w:space="0" w:color="auto"/>
              <w:right w:val="single" w:sz="4" w:space="0" w:color="auto"/>
            </w:tcBorders>
            <w:shd w:val="clear" w:color="auto" w:fill="auto"/>
            <w:vAlign w:val="center"/>
            <w:hideMark/>
          </w:tcPr>
          <w:p w:rsidR="0018738B" w:rsidRPr="006A74F8" w:rsidRDefault="0018738B" w:rsidP="0018738B">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72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Supplying the relevant information and documents</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(s18PL-PM; NTMR 3.12-3.16)</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Number of renewals expected yearly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B75DB8"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80</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B75DB8"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Annual actual average </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staff per business performing activity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ED03C1"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One staff member</w:t>
            </w:r>
          </w:p>
        </w:tc>
      </w:tr>
      <w:tr w:rsidR="000D427A" w:rsidRPr="006A74F8" w:rsidTr="008B6AC1">
        <w:trPr>
          <w:trHeight w:val="96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times activity performed per year per staff</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Once based on number of annual applications</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Avg. time of each staff to do activity (in hours)</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B75DB8"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3</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Assume at least one staff</w:t>
            </w:r>
          </w:p>
        </w:tc>
      </w:tr>
      <w:tr w:rsidR="000D427A" w:rsidRPr="006A74F8" w:rsidTr="008B6AC1">
        <w:trPr>
          <w:trHeight w:val="39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Labour cost ($/hr) (wage + non-wage labour costs)</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11799D"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$110.83</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44"/>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45"/>
            </w:r>
            <w:r w:rsidRPr="006A74F8">
              <w:rPr>
                <w:rFonts w:ascii="Calibri" w:eastAsia="Times New Roman" w:hAnsi="Calibri" w:cs="Calibri"/>
                <w:sz w:val="18"/>
                <w:szCs w:val="18"/>
                <w:lang w:eastAsia="en-AU"/>
              </w:rPr>
              <w:t xml:space="preserve"> for on-costs</w:t>
            </w:r>
          </w:p>
        </w:tc>
      </w:tr>
      <w:tr w:rsidR="000D427A" w:rsidRPr="006A74F8" w:rsidTr="008B6AC1">
        <w:trPr>
          <w:trHeight w:val="390"/>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b/>
                <w:sz w:val="18"/>
                <w:szCs w:val="18"/>
                <w:lang w:eastAsia="en-AU"/>
              </w:rPr>
            </w:pPr>
            <w:r w:rsidRPr="006A74F8">
              <w:rPr>
                <w:rFonts w:ascii="Calibri" w:eastAsia="Times New Roman" w:hAnsi="Calibri" w:cs="Calibri"/>
                <w:b/>
                <w:sz w:val="18"/>
                <w:szCs w:val="18"/>
                <w:lang w:eastAsia="en-AU"/>
              </w:rPr>
              <w:t xml:space="preserve">Cost of Activity = </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w:t>
            </w:r>
            <w:r w:rsidR="0011799D" w:rsidRPr="006A74F8">
              <w:rPr>
                <w:rFonts w:ascii="Calibri" w:eastAsia="Times New Roman" w:hAnsi="Calibri" w:cs="Calibri"/>
                <w:b/>
                <w:bCs/>
                <w:sz w:val="18"/>
                <w:szCs w:val="18"/>
                <w:lang w:eastAsia="en-AU"/>
              </w:rPr>
              <w:t>26,59</w:t>
            </w:r>
            <w:r w:rsidR="00134F93" w:rsidRPr="006A74F8">
              <w:rPr>
                <w:rFonts w:ascii="Calibri" w:eastAsia="Times New Roman" w:hAnsi="Calibri" w:cs="Calibri"/>
                <w:b/>
                <w:bCs/>
                <w:sz w:val="18"/>
                <w:szCs w:val="18"/>
                <w:lang w:eastAsia="en-AU"/>
              </w:rPr>
              <w:t>9</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Annual cost of burden on PWB applicant completing the renewal</w:t>
            </w:r>
          </w:p>
        </w:tc>
      </w:tr>
      <w:tr w:rsidR="000D427A" w:rsidRPr="006A74F8"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 </w:t>
            </w:r>
            <w:r w:rsidR="00F23D41" w:rsidRPr="006A74F8">
              <w:rPr>
                <w:rFonts w:ascii="Calibri" w:eastAsia="Times New Roman" w:hAnsi="Calibri" w:cs="Calibri"/>
                <w:b/>
                <w:bCs/>
                <w:sz w:val="18"/>
                <w:szCs w:val="18"/>
                <w:lang w:eastAsia="en-AU"/>
              </w:rPr>
              <w:t>Total cost of renewal</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w:t>
            </w:r>
            <w:r w:rsidR="0011799D" w:rsidRPr="006A74F8">
              <w:rPr>
                <w:rFonts w:ascii="Calibri" w:eastAsia="Times New Roman" w:hAnsi="Calibri" w:cs="Calibri"/>
                <w:b/>
                <w:bCs/>
                <w:sz w:val="18"/>
                <w:szCs w:val="18"/>
                <w:lang w:eastAsia="en-AU"/>
              </w:rPr>
              <w:t>35,46</w:t>
            </w:r>
            <w:r w:rsidR="00134F93" w:rsidRPr="006A74F8">
              <w:rPr>
                <w:rFonts w:ascii="Calibri" w:eastAsia="Times New Roman" w:hAnsi="Calibri" w:cs="Calibri"/>
                <w:b/>
                <w:bCs/>
                <w:sz w:val="18"/>
                <w:szCs w:val="18"/>
                <w:lang w:eastAsia="en-AU"/>
              </w:rPr>
              <w:t>5</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11799D"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Annual cost</w:t>
            </w:r>
          </w:p>
        </w:tc>
      </w:tr>
      <w:tr w:rsidR="0018738B" w:rsidRPr="006A74F8" w:rsidTr="00144B87">
        <w:trPr>
          <w:trHeight w:val="285"/>
        </w:trPr>
        <w:tc>
          <w:tcPr>
            <w:tcW w:w="9580" w:type="dxa"/>
            <w:gridSpan w:val="5"/>
            <w:tcBorders>
              <w:top w:val="nil"/>
              <w:left w:val="single" w:sz="4" w:space="0" w:color="auto"/>
              <w:bottom w:val="single" w:sz="4" w:space="0" w:color="auto"/>
              <w:right w:val="single" w:sz="4" w:space="0" w:color="auto"/>
            </w:tcBorders>
            <w:shd w:val="clear" w:color="auto" w:fill="auto"/>
            <w:noWrap/>
            <w:vAlign w:val="bottom"/>
            <w:hideMark/>
          </w:tcPr>
          <w:p w:rsidR="0018738B" w:rsidRPr="006A74F8" w:rsidRDefault="0018738B" w:rsidP="0018738B">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3. Competence</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Cost of requirement to have a verifier with a Statement of Attainment</w:t>
            </w:r>
          </w:p>
        </w:tc>
      </w:tr>
      <w:tr w:rsidR="000D427A" w:rsidRPr="006A74F8" w:rsidTr="008B6AC1">
        <w:trPr>
          <w:trHeight w:val="72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Time required for  assessment to obtain the Statement of Attainment</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 (S18pc 18PH 1.c-d-e; NTMR reg 3.25) </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36AC1">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PWB</w:t>
            </w:r>
            <w:r w:rsidR="00036AC1" w:rsidRPr="006A74F8">
              <w:rPr>
                <w:rFonts w:ascii="Calibri" w:eastAsia="Times New Roman" w:hAnsi="Calibri" w:cs="Calibri"/>
                <w:sz w:val="18"/>
                <w:szCs w:val="18"/>
                <w:lang w:eastAsia="en-AU"/>
              </w:rPr>
              <w:t xml:space="preserve"> entities</w:t>
            </w:r>
            <w:r w:rsidRPr="006A74F8">
              <w:rPr>
                <w:rFonts w:ascii="Calibri" w:eastAsia="Times New Roman" w:hAnsi="Calibri" w:cs="Calibri"/>
                <w:sz w:val="18"/>
                <w:szCs w:val="18"/>
                <w:lang w:eastAsia="en-AU"/>
              </w:rPr>
              <w:t xml:space="preserve"> expected to apply / renew annually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11799D"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80</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11799D" w:rsidP="00036AC1">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Annual average number of actual applications</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staff per business performing activity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11799D"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M</w:t>
            </w:r>
            <w:r w:rsidR="000D427A" w:rsidRPr="006A74F8">
              <w:rPr>
                <w:rFonts w:ascii="Calibri" w:eastAsia="Times New Roman" w:hAnsi="Calibri" w:cs="Calibri"/>
                <w:sz w:val="18"/>
                <w:szCs w:val="18"/>
                <w:lang w:eastAsia="en-AU"/>
              </w:rPr>
              <w:t xml:space="preserve">inimum requirement of </w:t>
            </w:r>
            <w:r w:rsidR="004B6327" w:rsidRPr="006A74F8">
              <w:rPr>
                <w:rFonts w:ascii="Calibri" w:eastAsia="Times New Roman" w:hAnsi="Calibri" w:cs="Calibri"/>
                <w:sz w:val="18"/>
                <w:szCs w:val="18"/>
                <w:lang w:eastAsia="en-AU"/>
              </w:rPr>
              <w:t>one</w:t>
            </w:r>
            <w:r w:rsidR="000D427A" w:rsidRPr="006A74F8">
              <w:rPr>
                <w:rFonts w:ascii="Calibri" w:eastAsia="Times New Roman" w:hAnsi="Calibri" w:cs="Calibri"/>
                <w:sz w:val="18"/>
                <w:szCs w:val="18"/>
                <w:lang w:eastAsia="en-AU"/>
              </w:rPr>
              <w:t xml:space="preserve"> competent operation per PWB</w:t>
            </w:r>
            <w:r w:rsidR="00036AC1" w:rsidRPr="006A74F8">
              <w:rPr>
                <w:rFonts w:ascii="Calibri" w:eastAsia="Times New Roman" w:hAnsi="Calibri" w:cs="Calibri"/>
                <w:sz w:val="18"/>
                <w:szCs w:val="18"/>
                <w:lang w:eastAsia="en-AU"/>
              </w:rPr>
              <w:t>L</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Avg. time of each staff to do activity (in hours)</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4</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 written assessment takes ½ a day at most (est</w:t>
            </w:r>
            <w:r w:rsidR="00405AE5">
              <w:rPr>
                <w:rFonts w:ascii="Calibri" w:eastAsia="Times New Roman" w:hAnsi="Calibri" w:cs="Calibri"/>
                <w:sz w:val="18"/>
                <w:szCs w:val="18"/>
                <w:lang w:eastAsia="en-AU"/>
              </w:rPr>
              <w:t>.</w:t>
            </w:r>
            <w:r w:rsidRPr="006A74F8">
              <w:rPr>
                <w:rFonts w:ascii="Calibri" w:eastAsia="Times New Roman" w:hAnsi="Calibri" w:cs="Calibri"/>
                <w:sz w:val="18"/>
                <w:szCs w:val="18"/>
                <w:lang w:eastAsia="en-AU"/>
              </w:rPr>
              <w:t xml:space="preserve"> 4 hours). Operators provide additional information that is derived from the course of their work time.  </w:t>
            </w:r>
          </w:p>
        </w:tc>
      </w:tr>
      <w:tr w:rsidR="000D427A" w:rsidRPr="006A74F8" w:rsidTr="008B6AC1">
        <w:trPr>
          <w:trHeight w:val="96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Labour cost ($/hr) (wage + non-wage labour costs) time of assessment </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sz w:val="18"/>
                <w:szCs w:val="18"/>
              </w:rPr>
              <w:t xml:space="preserve"> $</w:t>
            </w:r>
            <w:r w:rsidR="009C5933" w:rsidRPr="006A74F8">
              <w:rPr>
                <w:sz w:val="18"/>
                <w:szCs w:val="18"/>
              </w:rPr>
              <w:t>110.83</w:t>
            </w:r>
            <w:r w:rsidRPr="006A74F8">
              <w:rPr>
                <w:sz w:val="18"/>
                <w:szCs w:val="18"/>
              </w:rPr>
              <w:t xml:space="preserve"> </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46"/>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47"/>
            </w:r>
            <w:r w:rsidRPr="006A74F8">
              <w:rPr>
                <w:rFonts w:ascii="Calibri" w:eastAsia="Times New Roman" w:hAnsi="Calibri" w:cs="Calibri"/>
                <w:sz w:val="18"/>
                <w:szCs w:val="18"/>
                <w:lang w:eastAsia="en-AU"/>
              </w:rPr>
              <w:t xml:space="preserve"> for on-costs</w:t>
            </w:r>
          </w:p>
        </w:tc>
      </w:tr>
      <w:tr w:rsidR="000D427A" w:rsidRPr="006A74F8" w:rsidTr="008B6AC1">
        <w:trPr>
          <w:trHeight w:val="390"/>
        </w:trPr>
        <w:tc>
          <w:tcPr>
            <w:tcW w:w="4113"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F23D41" w:rsidP="00F23D41">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sz w:val="18"/>
                <w:szCs w:val="18"/>
                <w:lang w:eastAsia="en-AU"/>
              </w:rPr>
              <w:t>Total cost of competency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w:t>
            </w:r>
            <w:r w:rsidR="009C5933" w:rsidRPr="006A74F8">
              <w:rPr>
                <w:rFonts w:ascii="Calibri" w:eastAsia="Times New Roman" w:hAnsi="Calibri" w:cs="Calibri"/>
                <w:b/>
                <w:bCs/>
                <w:sz w:val="18"/>
                <w:szCs w:val="18"/>
                <w:lang w:eastAsia="en-AU"/>
              </w:rPr>
              <w:t>35,46</w:t>
            </w:r>
            <w:r w:rsidR="00ED5243" w:rsidRPr="006A74F8">
              <w:rPr>
                <w:rFonts w:ascii="Calibri" w:eastAsia="Times New Roman" w:hAnsi="Calibri" w:cs="Calibri"/>
                <w:b/>
                <w:bCs/>
                <w:sz w:val="18"/>
                <w:szCs w:val="18"/>
                <w:lang w:eastAsia="en-AU"/>
              </w:rPr>
              <w:t>6</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9C5933"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Annual cost</w:t>
            </w:r>
          </w:p>
        </w:tc>
      </w:tr>
      <w:tr w:rsidR="0018738B" w:rsidRPr="006A74F8" w:rsidTr="00144B87">
        <w:trPr>
          <w:trHeight w:val="413"/>
        </w:trPr>
        <w:tc>
          <w:tcPr>
            <w:tcW w:w="9580" w:type="dxa"/>
            <w:gridSpan w:val="5"/>
            <w:tcBorders>
              <w:top w:val="nil"/>
              <w:left w:val="single" w:sz="4" w:space="0" w:color="auto"/>
              <w:bottom w:val="single" w:sz="4" w:space="0" w:color="auto"/>
              <w:right w:val="single" w:sz="4" w:space="0" w:color="auto"/>
            </w:tcBorders>
            <w:shd w:val="clear" w:color="auto" w:fill="auto"/>
            <w:noWrap/>
            <w:vAlign w:val="bottom"/>
            <w:hideMark/>
          </w:tcPr>
          <w:p w:rsidR="0018738B" w:rsidRPr="006A74F8" w:rsidRDefault="0018738B" w:rsidP="0018738B">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w:t>
            </w:r>
          </w:p>
        </w:tc>
      </w:tr>
      <w:tr w:rsidR="000D427A" w:rsidRPr="006A74F8"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04DE4" w:rsidP="000D427A">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4.</w:t>
            </w:r>
            <w:r w:rsidR="000D427A" w:rsidRPr="006A74F8">
              <w:rPr>
                <w:rFonts w:ascii="Calibri" w:eastAsia="Times New Roman" w:hAnsi="Calibri" w:cs="Calibri"/>
                <w:b/>
                <w:bCs/>
                <w:sz w:val="18"/>
                <w:szCs w:val="18"/>
                <w:lang w:eastAsia="en-AU"/>
              </w:rPr>
              <w:t>PROVIDING INFORMATION</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A </w:t>
            </w:r>
            <w:r w:rsidR="002655CB" w:rsidRPr="006A74F8">
              <w:rPr>
                <w:rFonts w:ascii="Calibri" w:eastAsia="Times New Roman" w:hAnsi="Calibri" w:cs="Calibri"/>
                <w:sz w:val="18"/>
                <w:szCs w:val="18"/>
                <w:lang w:eastAsia="en-AU"/>
              </w:rPr>
              <w:t>PWB</w:t>
            </w:r>
            <w:r w:rsidRPr="006A74F8">
              <w:rPr>
                <w:rFonts w:ascii="Calibri" w:eastAsia="Times New Roman" w:hAnsi="Calibri" w:cs="Calibri"/>
                <w:sz w:val="18"/>
                <w:szCs w:val="18"/>
                <w:lang w:eastAsia="en-AU"/>
              </w:rPr>
              <w:t xml:space="preserve"> provide</w:t>
            </w:r>
            <w:r w:rsidR="008C0A0F" w:rsidRPr="006A74F8">
              <w:rPr>
                <w:rFonts w:ascii="Calibri" w:eastAsia="Times New Roman" w:hAnsi="Calibri" w:cs="Calibri"/>
                <w:sz w:val="18"/>
                <w:szCs w:val="18"/>
                <w:lang w:eastAsia="en-AU"/>
              </w:rPr>
              <w:t>s information</w:t>
            </w:r>
            <w:r w:rsidRPr="006A74F8">
              <w:rPr>
                <w:rFonts w:ascii="Calibri" w:eastAsia="Times New Roman" w:hAnsi="Calibri" w:cs="Calibri"/>
                <w:sz w:val="18"/>
                <w:szCs w:val="18"/>
                <w:lang w:eastAsia="en-AU"/>
              </w:rPr>
              <w:t xml:space="preserve"> in writing </w:t>
            </w:r>
            <w:r w:rsidR="008C0A0F" w:rsidRPr="006A74F8">
              <w:rPr>
                <w:rStyle w:val="FootnoteReference"/>
                <w:rFonts w:eastAsia="Times New Roman" w:cs="Calibri"/>
                <w:b/>
                <w:sz w:val="18"/>
                <w:szCs w:val="18"/>
                <w:lang w:eastAsia="en-AU"/>
              </w:rPr>
              <w:footnoteReference w:id="248"/>
            </w:r>
          </w:p>
        </w:tc>
      </w:tr>
      <w:tr w:rsidR="000D427A" w:rsidRPr="006A74F8" w:rsidTr="008B6AC1">
        <w:trPr>
          <w:trHeight w:val="72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compliance with Public Weighbridge regulations</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NTMR reg 3.37</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Number of PWBs </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228</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36AC1">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Annual average number of PWB</w:t>
            </w:r>
            <w:r w:rsidR="00036AC1" w:rsidRPr="006A74F8">
              <w:rPr>
                <w:rFonts w:ascii="Calibri" w:eastAsia="Times New Roman" w:hAnsi="Calibri" w:cs="Calibri"/>
                <w:sz w:val="18"/>
                <w:szCs w:val="18"/>
                <w:lang w:eastAsia="en-AU"/>
              </w:rPr>
              <w:t>Ls</w:t>
            </w:r>
            <w:r w:rsidRPr="006A74F8">
              <w:rPr>
                <w:rFonts w:ascii="Calibri" w:eastAsia="Times New Roman" w:hAnsi="Calibri" w:cs="Calibri"/>
                <w:sz w:val="18"/>
                <w:szCs w:val="18"/>
                <w:lang w:eastAsia="en-AU"/>
              </w:rPr>
              <w:t xml:space="preserve"> to renew per year = 228 total licences Renewals for 1.2 </w:t>
            </w:r>
            <w:r w:rsidR="004814C2" w:rsidRPr="006A74F8">
              <w:rPr>
                <w:rFonts w:ascii="Calibri" w:eastAsia="Times New Roman" w:hAnsi="Calibri" w:cs="Calibri"/>
                <w:sz w:val="18"/>
                <w:szCs w:val="18"/>
                <w:lang w:eastAsia="en-AU"/>
              </w:rPr>
              <w:t>and</w:t>
            </w:r>
            <w:r w:rsidRPr="006A74F8">
              <w:rPr>
                <w:rFonts w:ascii="Calibri" w:eastAsia="Times New Roman" w:hAnsi="Calibri" w:cs="Calibri"/>
                <w:sz w:val="18"/>
                <w:szCs w:val="18"/>
                <w:lang w:eastAsia="en-AU"/>
              </w:rPr>
              <w:t xml:space="preserve"> 3 year </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staff per business present during activity</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ED03C1"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One staff member</w:t>
            </w:r>
          </w:p>
        </w:tc>
      </w:tr>
      <w:tr w:rsidR="000D427A" w:rsidRPr="006A74F8" w:rsidTr="008B6AC1">
        <w:trPr>
          <w:trHeight w:val="48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Avg. time of each staff  (in hours)</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2</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Assumes 30 minutes per quarter on the assumption of a high change in operators in a year</w:t>
            </w:r>
          </w:p>
        </w:tc>
      </w:tr>
      <w:tr w:rsidR="000D427A" w:rsidRPr="006A74F8" w:rsidTr="006A10C6">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times activity performed per year per staff</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0.3</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 xml:space="preserve">A call for </w:t>
            </w:r>
            <w:r w:rsidR="009C5933" w:rsidRPr="006A74F8">
              <w:rPr>
                <w:rFonts w:ascii="Calibri" w:eastAsia="Times New Roman" w:hAnsi="Calibri" w:cs="Calibri"/>
                <w:sz w:val="18"/>
                <w:szCs w:val="18"/>
                <w:lang w:eastAsia="en-AU"/>
              </w:rPr>
              <w:t>information</w:t>
            </w:r>
            <w:r w:rsidRPr="006A74F8">
              <w:rPr>
                <w:rFonts w:ascii="Calibri" w:eastAsia="Times New Roman" w:hAnsi="Calibri" w:cs="Calibri"/>
                <w:sz w:val="18"/>
                <w:szCs w:val="18"/>
                <w:lang w:eastAsia="en-AU"/>
              </w:rPr>
              <w:t xml:space="preserve"> is made on average once every </w:t>
            </w:r>
            <w:r w:rsidR="00F846FE" w:rsidRPr="006A74F8">
              <w:rPr>
                <w:rFonts w:ascii="Calibri" w:eastAsia="Times New Roman" w:hAnsi="Calibri" w:cs="Calibri"/>
                <w:sz w:val="18"/>
                <w:szCs w:val="18"/>
                <w:lang w:eastAsia="en-AU"/>
              </w:rPr>
              <w:t>3</w:t>
            </w:r>
            <w:r w:rsidRPr="006A74F8">
              <w:rPr>
                <w:rFonts w:ascii="Calibri" w:eastAsia="Times New Roman" w:hAnsi="Calibri" w:cs="Calibri"/>
                <w:sz w:val="18"/>
                <w:szCs w:val="18"/>
                <w:lang w:eastAsia="en-AU"/>
              </w:rPr>
              <w:t xml:space="preserve"> years</w:t>
            </w:r>
            <w:r w:rsidR="00004DE4" w:rsidRPr="006A74F8">
              <w:rPr>
                <w:rFonts w:ascii="Calibri" w:eastAsia="Times New Roman" w:hAnsi="Calibri" w:cs="Calibri"/>
                <w:sz w:val="18"/>
                <w:szCs w:val="18"/>
                <w:lang w:eastAsia="en-AU"/>
              </w:rPr>
              <w:t xml:space="preserve">, 1/3 years = </w:t>
            </w:r>
            <w:r w:rsidR="00004DE4" w:rsidRPr="006A74F8">
              <w:rPr>
                <w:rFonts w:ascii="Calibri" w:eastAsia="Times New Roman" w:hAnsi="Calibri" w:cs="Calibri"/>
                <w:b/>
                <w:sz w:val="18"/>
                <w:szCs w:val="18"/>
                <w:lang w:eastAsia="en-AU"/>
              </w:rPr>
              <w:t>0.33</w:t>
            </w:r>
          </w:p>
        </w:tc>
      </w:tr>
      <w:tr w:rsidR="000D427A" w:rsidRPr="006A74F8" w:rsidTr="006A10C6">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Number of times activity performed per year per staff?</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1</w:t>
            </w:r>
          </w:p>
        </w:tc>
        <w:tc>
          <w:tcPr>
            <w:tcW w:w="3947" w:type="dxa"/>
            <w:tcBorders>
              <w:top w:val="single" w:sz="4" w:space="0" w:color="auto"/>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Assume at least one staff</w:t>
            </w:r>
          </w:p>
        </w:tc>
      </w:tr>
      <w:tr w:rsidR="000D427A" w:rsidRPr="006A74F8"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82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Labour cost ($/hr) (wage + non-wage labour costs)</w:t>
            </w: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99531B" w:rsidP="000D427A">
            <w:pPr>
              <w:spacing w:after="0" w:line="240" w:lineRule="auto"/>
              <w:jc w:val="center"/>
              <w:rPr>
                <w:rFonts w:ascii="Calibri" w:eastAsia="Times New Roman" w:hAnsi="Calibri" w:cs="Calibri"/>
                <w:sz w:val="18"/>
                <w:szCs w:val="18"/>
                <w:lang w:eastAsia="en-AU"/>
              </w:rPr>
            </w:pPr>
            <w:r w:rsidRPr="006A74F8">
              <w:rPr>
                <w:sz w:val="18"/>
                <w:szCs w:val="18"/>
              </w:rPr>
              <w:t xml:space="preserve"> $110.83</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Based on the ABS Cat 6306.0</w:t>
            </w:r>
            <w:r w:rsidRPr="006A74F8">
              <w:rPr>
                <w:rStyle w:val="FootnoteReference"/>
                <w:rFonts w:eastAsia="Times New Roman" w:cs="Calibri"/>
                <w:sz w:val="18"/>
                <w:szCs w:val="18"/>
                <w:lang w:eastAsia="en-AU"/>
              </w:rPr>
              <w:footnoteReference w:id="249"/>
            </w:r>
            <w:r w:rsidRPr="006A74F8">
              <w:rPr>
                <w:rFonts w:ascii="Calibri" w:eastAsia="Times New Roman" w:hAnsi="Calibri" w:cs="Calibri"/>
                <w:sz w:val="18"/>
                <w:szCs w:val="18"/>
                <w:lang w:eastAsia="en-AU"/>
              </w:rPr>
              <w:t xml:space="preserve"> average weekly earnings for various engineering and technical wage including 1.75 multiplier</w:t>
            </w:r>
            <w:r w:rsidRPr="006A74F8">
              <w:rPr>
                <w:rStyle w:val="FootnoteReference"/>
                <w:rFonts w:eastAsia="Times New Roman" w:cs="Calibri"/>
                <w:sz w:val="18"/>
                <w:szCs w:val="18"/>
                <w:lang w:eastAsia="en-AU"/>
              </w:rPr>
              <w:footnoteReference w:id="250"/>
            </w:r>
            <w:r w:rsidRPr="006A74F8">
              <w:rPr>
                <w:rFonts w:ascii="Calibri" w:eastAsia="Times New Roman" w:hAnsi="Calibri" w:cs="Calibri"/>
                <w:sz w:val="18"/>
                <w:szCs w:val="18"/>
                <w:lang w:eastAsia="en-AU"/>
              </w:rPr>
              <w:t xml:space="preserve"> for on-costs</w:t>
            </w:r>
          </w:p>
        </w:tc>
      </w:tr>
      <w:tr w:rsidR="000D427A" w:rsidRPr="006A74F8" w:rsidTr="008B6AC1">
        <w:trPr>
          <w:trHeight w:val="390"/>
        </w:trPr>
        <w:tc>
          <w:tcPr>
            <w:tcW w:w="4113"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23D41" w:rsidRPr="006A74F8" w:rsidRDefault="00F23D41" w:rsidP="00F23D41">
            <w:pPr>
              <w:spacing w:after="0" w:line="240" w:lineRule="auto"/>
              <w:jc w:val="center"/>
              <w:rPr>
                <w:rFonts w:ascii="Calibri" w:eastAsia="Times New Roman" w:hAnsi="Calibri" w:cs="Calibri"/>
                <w:sz w:val="18"/>
                <w:szCs w:val="18"/>
                <w:lang w:eastAsia="en-AU"/>
              </w:rPr>
            </w:pPr>
          </w:p>
          <w:p w:rsidR="00F23D41" w:rsidRPr="006A74F8" w:rsidRDefault="00F23D41" w:rsidP="00F23D41">
            <w:pPr>
              <w:spacing w:after="0" w:line="240" w:lineRule="auto"/>
              <w:jc w:val="center"/>
              <w:rPr>
                <w:rFonts w:ascii="Calibri" w:eastAsia="Times New Roman" w:hAnsi="Calibri" w:cs="Calibri"/>
                <w:b/>
                <w:bCs/>
                <w:sz w:val="18"/>
                <w:szCs w:val="18"/>
                <w:lang w:eastAsia="en-AU"/>
              </w:rPr>
            </w:pPr>
            <w:r w:rsidRPr="006A74F8">
              <w:rPr>
                <w:rFonts w:ascii="Calibri" w:eastAsia="Times New Roman" w:hAnsi="Calibri" w:cs="Calibri"/>
                <w:b/>
                <w:bCs/>
                <w:sz w:val="18"/>
                <w:szCs w:val="18"/>
                <w:lang w:eastAsia="en-AU"/>
              </w:rPr>
              <w:t>Total cost of providing information</w:t>
            </w:r>
          </w:p>
          <w:p w:rsidR="000D427A" w:rsidRPr="006A74F8" w:rsidRDefault="000D427A" w:rsidP="00F23D41">
            <w:pPr>
              <w:spacing w:after="0" w:line="240" w:lineRule="auto"/>
              <w:jc w:val="center"/>
              <w:rPr>
                <w:rFonts w:ascii="Calibri" w:eastAsia="Times New Roman" w:hAnsi="Calibri" w:cs="Calibri"/>
                <w:b/>
                <w:bCs/>
                <w:sz w:val="18"/>
                <w:szCs w:val="18"/>
                <w:lang w:eastAsia="en-AU"/>
              </w:rPr>
            </w:pPr>
          </w:p>
        </w:tc>
        <w:tc>
          <w:tcPr>
            <w:tcW w:w="1520" w:type="dxa"/>
            <w:tcBorders>
              <w:top w:val="nil"/>
              <w:left w:val="nil"/>
              <w:bottom w:val="single" w:sz="4" w:space="0" w:color="auto"/>
              <w:right w:val="single" w:sz="4" w:space="0" w:color="auto"/>
            </w:tcBorders>
            <w:shd w:val="clear" w:color="auto" w:fill="auto"/>
            <w:noWrap/>
            <w:vAlign w:val="center"/>
            <w:hideMark/>
          </w:tcPr>
          <w:p w:rsidR="000D427A" w:rsidRPr="006A74F8" w:rsidRDefault="000D427A" w:rsidP="000D427A">
            <w:pPr>
              <w:spacing w:after="0" w:line="240" w:lineRule="auto"/>
              <w:jc w:val="center"/>
              <w:rPr>
                <w:rFonts w:ascii="Calibri" w:eastAsia="Times New Roman" w:hAnsi="Calibri" w:cs="Calibri"/>
                <w:b/>
                <w:bCs/>
                <w:sz w:val="18"/>
                <w:szCs w:val="18"/>
                <w:lang w:eastAsia="en-AU"/>
              </w:rPr>
            </w:pPr>
            <w:r w:rsidRPr="006A74F8">
              <w:rPr>
                <w:b/>
                <w:sz w:val="18"/>
                <w:szCs w:val="18"/>
              </w:rPr>
              <w:t xml:space="preserve"> $16,</w:t>
            </w:r>
            <w:r w:rsidR="00ED5243" w:rsidRPr="006A74F8">
              <w:rPr>
                <w:b/>
                <w:sz w:val="18"/>
                <w:szCs w:val="18"/>
              </w:rPr>
              <w:t>678</w:t>
            </w:r>
            <w:r w:rsidRPr="006A74F8">
              <w:rPr>
                <w:b/>
                <w:sz w:val="18"/>
                <w:szCs w:val="18"/>
              </w:rPr>
              <w:t xml:space="preserve"> </w:t>
            </w:r>
          </w:p>
        </w:tc>
        <w:tc>
          <w:tcPr>
            <w:tcW w:w="3947" w:type="dxa"/>
            <w:tcBorders>
              <w:top w:val="nil"/>
              <w:left w:val="nil"/>
              <w:bottom w:val="single" w:sz="4" w:space="0" w:color="auto"/>
              <w:right w:val="single" w:sz="4" w:space="0" w:color="auto"/>
            </w:tcBorders>
            <w:shd w:val="clear" w:color="auto" w:fill="auto"/>
            <w:vAlign w:val="center"/>
            <w:hideMark/>
          </w:tcPr>
          <w:p w:rsidR="000D427A" w:rsidRPr="006A74F8" w:rsidRDefault="000D427A" w:rsidP="000D427A">
            <w:pPr>
              <w:spacing w:after="0" w:line="240" w:lineRule="auto"/>
              <w:rPr>
                <w:rFonts w:ascii="Calibri" w:eastAsia="Times New Roman" w:hAnsi="Calibri" w:cs="Calibri"/>
                <w:sz w:val="18"/>
                <w:szCs w:val="18"/>
                <w:lang w:eastAsia="en-AU"/>
              </w:rPr>
            </w:pPr>
            <w:r w:rsidRPr="006A74F8">
              <w:rPr>
                <w:rFonts w:ascii="Calibri" w:eastAsia="Times New Roman" w:hAnsi="Calibri" w:cs="Calibri"/>
                <w:sz w:val="18"/>
                <w:szCs w:val="18"/>
                <w:lang w:eastAsia="en-AU"/>
              </w:rPr>
              <w:t>Cost of providing this information to the Secretary</w:t>
            </w:r>
          </w:p>
        </w:tc>
      </w:tr>
      <w:tr w:rsidR="0018738B" w:rsidRPr="006A74F8" w:rsidTr="00222273">
        <w:trPr>
          <w:trHeight w:val="141"/>
        </w:trPr>
        <w:tc>
          <w:tcPr>
            <w:tcW w:w="9580" w:type="dxa"/>
            <w:gridSpan w:val="5"/>
            <w:tcBorders>
              <w:top w:val="nil"/>
              <w:left w:val="single" w:sz="4" w:space="0" w:color="auto"/>
              <w:bottom w:val="single" w:sz="4" w:space="0" w:color="auto"/>
              <w:right w:val="single" w:sz="4" w:space="0" w:color="auto"/>
            </w:tcBorders>
            <w:shd w:val="clear" w:color="auto" w:fill="auto"/>
            <w:vAlign w:val="center"/>
          </w:tcPr>
          <w:p w:rsidR="0018738B" w:rsidRPr="006A74F8" w:rsidRDefault="0018738B" w:rsidP="000D427A">
            <w:pPr>
              <w:spacing w:after="0" w:line="240" w:lineRule="auto"/>
              <w:rPr>
                <w:rFonts w:ascii="Calibri" w:eastAsia="Times New Roman" w:hAnsi="Calibri" w:cs="Calibri"/>
                <w:sz w:val="18"/>
                <w:szCs w:val="18"/>
                <w:lang w:eastAsia="en-AU"/>
              </w:rPr>
            </w:pPr>
          </w:p>
        </w:tc>
      </w:tr>
      <w:tr w:rsidR="000D427A" w:rsidRPr="006A74F8" w:rsidTr="008B6AC1">
        <w:trPr>
          <w:trHeight w:val="141"/>
        </w:trPr>
        <w:tc>
          <w:tcPr>
            <w:tcW w:w="4113" w:type="dxa"/>
            <w:gridSpan w:val="3"/>
            <w:tcBorders>
              <w:top w:val="nil"/>
              <w:left w:val="single" w:sz="4" w:space="0" w:color="auto"/>
              <w:bottom w:val="single" w:sz="4" w:space="0" w:color="auto"/>
              <w:right w:val="single" w:sz="4" w:space="0" w:color="auto"/>
            </w:tcBorders>
            <w:shd w:val="clear" w:color="auto" w:fill="auto"/>
            <w:vAlign w:val="center"/>
          </w:tcPr>
          <w:p w:rsidR="000D427A" w:rsidRPr="006A74F8" w:rsidRDefault="000D427A" w:rsidP="000D427A">
            <w:pPr>
              <w:spacing w:after="0" w:line="240" w:lineRule="auto"/>
              <w:rPr>
                <w:rFonts w:ascii="Calibri" w:eastAsia="Times New Roman" w:hAnsi="Calibri" w:cs="Calibri"/>
                <w:b/>
                <w:sz w:val="18"/>
                <w:szCs w:val="18"/>
                <w:lang w:eastAsia="en-AU"/>
              </w:rPr>
            </w:pPr>
            <w:r w:rsidRPr="006A74F8">
              <w:rPr>
                <w:rFonts w:ascii="Calibri" w:eastAsia="Times New Roman" w:hAnsi="Calibri" w:cs="Calibri"/>
                <w:b/>
                <w:sz w:val="18"/>
                <w:szCs w:val="18"/>
                <w:lang w:eastAsia="en-AU"/>
              </w:rPr>
              <w:t>Total Annual PWB</w:t>
            </w:r>
            <w:r w:rsidR="00036AC1" w:rsidRPr="006A74F8">
              <w:rPr>
                <w:rFonts w:ascii="Calibri" w:eastAsia="Times New Roman" w:hAnsi="Calibri" w:cs="Calibri"/>
                <w:b/>
                <w:sz w:val="18"/>
                <w:szCs w:val="18"/>
                <w:lang w:eastAsia="en-AU"/>
              </w:rPr>
              <w:t>L</w:t>
            </w:r>
            <w:r w:rsidRPr="006A74F8">
              <w:rPr>
                <w:rFonts w:ascii="Calibri" w:eastAsia="Times New Roman" w:hAnsi="Calibri" w:cs="Calibri"/>
                <w:b/>
                <w:sz w:val="18"/>
                <w:szCs w:val="18"/>
                <w:lang w:eastAsia="en-AU"/>
              </w:rPr>
              <w:t xml:space="preserve"> Costs (Application, renewal cost, competence </w:t>
            </w:r>
            <w:r w:rsidR="004814C2" w:rsidRPr="006A74F8">
              <w:rPr>
                <w:rFonts w:ascii="Calibri" w:eastAsia="Times New Roman" w:hAnsi="Calibri" w:cs="Calibri"/>
                <w:b/>
                <w:sz w:val="18"/>
                <w:szCs w:val="18"/>
                <w:lang w:eastAsia="en-AU"/>
              </w:rPr>
              <w:t>and</w:t>
            </w:r>
            <w:r w:rsidRPr="006A74F8">
              <w:rPr>
                <w:rFonts w:ascii="Calibri" w:eastAsia="Times New Roman" w:hAnsi="Calibri" w:cs="Calibri"/>
                <w:b/>
                <w:sz w:val="18"/>
                <w:szCs w:val="18"/>
                <w:lang w:eastAsia="en-AU"/>
              </w:rPr>
              <w:t xml:space="preserve"> reporting)</w:t>
            </w:r>
          </w:p>
        </w:tc>
        <w:tc>
          <w:tcPr>
            <w:tcW w:w="1520" w:type="dxa"/>
            <w:tcBorders>
              <w:top w:val="nil"/>
              <w:left w:val="nil"/>
              <w:bottom w:val="single" w:sz="4" w:space="0" w:color="auto"/>
              <w:right w:val="single" w:sz="4" w:space="0" w:color="auto"/>
            </w:tcBorders>
            <w:shd w:val="clear" w:color="auto" w:fill="auto"/>
            <w:noWrap/>
            <w:vAlign w:val="center"/>
          </w:tcPr>
          <w:p w:rsidR="000D427A" w:rsidRPr="006A74F8" w:rsidRDefault="000D427A" w:rsidP="000D427A">
            <w:pPr>
              <w:spacing w:after="0" w:line="240" w:lineRule="auto"/>
              <w:jc w:val="center"/>
              <w:rPr>
                <w:rFonts w:ascii="Calibri" w:eastAsia="Times New Roman" w:hAnsi="Calibri" w:cs="Calibri"/>
                <w:b/>
                <w:sz w:val="18"/>
                <w:szCs w:val="18"/>
                <w:lang w:eastAsia="en-AU"/>
              </w:rPr>
            </w:pPr>
            <w:r w:rsidRPr="006A74F8">
              <w:rPr>
                <w:rFonts w:ascii="Calibri" w:eastAsia="Times New Roman" w:hAnsi="Calibri" w:cs="Calibri"/>
                <w:b/>
                <w:sz w:val="18"/>
                <w:szCs w:val="18"/>
                <w:lang w:eastAsia="en-AU"/>
              </w:rPr>
              <w:t>$</w:t>
            </w:r>
            <w:r w:rsidR="009C5933" w:rsidRPr="006A74F8">
              <w:rPr>
                <w:rFonts w:ascii="Calibri" w:eastAsia="Times New Roman" w:hAnsi="Calibri" w:cs="Calibri"/>
                <w:b/>
                <w:sz w:val="18"/>
                <w:szCs w:val="18"/>
                <w:lang w:eastAsia="en-AU"/>
              </w:rPr>
              <w:t>10</w:t>
            </w:r>
            <w:r w:rsidR="00ED5243" w:rsidRPr="006A74F8">
              <w:rPr>
                <w:rFonts w:ascii="Calibri" w:eastAsia="Times New Roman" w:hAnsi="Calibri" w:cs="Calibri"/>
                <w:b/>
                <w:sz w:val="18"/>
                <w:szCs w:val="18"/>
                <w:lang w:eastAsia="en-AU"/>
              </w:rPr>
              <w:t>0,908</w:t>
            </w:r>
          </w:p>
        </w:tc>
        <w:tc>
          <w:tcPr>
            <w:tcW w:w="3947" w:type="dxa"/>
            <w:tcBorders>
              <w:top w:val="nil"/>
              <w:left w:val="nil"/>
              <w:bottom w:val="single" w:sz="4" w:space="0" w:color="auto"/>
              <w:right w:val="single" w:sz="4" w:space="0" w:color="auto"/>
            </w:tcBorders>
            <w:shd w:val="clear" w:color="auto" w:fill="auto"/>
            <w:vAlign w:val="center"/>
          </w:tcPr>
          <w:p w:rsidR="000D427A" w:rsidRPr="006A74F8" w:rsidRDefault="000D427A" w:rsidP="000D427A">
            <w:pPr>
              <w:spacing w:after="0" w:line="240" w:lineRule="auto"/>
              <w:rPr>
                <w:rFonts w:ascii="Calibri" w:eastAsia="Times New Roman" w:hAnsi="Calibri" w:cs="Calibri"/>
                <w:sz w:val="18"/>
                <w:szCs w:val="18"/>
                <w:lang w:eastAsia="en-AU"/>
              </w:rPr>
            </w:pPr>
          </w:p>
        </w:tc>
      </w:tr>
    </w:tbl>
    <w:p w:rsidR="000D427A" w:rsidRPr="006A74F8" w:rsidRDefault="000D427A" w:rsidP="000D427A"/>
    <w:p w:rsidR="005F6C6E" w:rsidRPr="006A74F8" w:rsidRDefault="00B1255E" w:rsidP="00A31A00">
      <w:pPr>
        <w:pStyle w:val="Heading2"/>
      </w:pPr>
      <w:r w:rsidRPr="006A74F8">
        <w:t xml:space="preserve"> </w:t>
      </w:r>
      <w:r w:rsidR="005F6C6E" w:rsidRPr="006A74F8">
        <w:t>Proposed changes to regulatory burden</w:t>
      </w:r>
      <w:bookmarkEnd w:id="3031"/>
    </w:p>
    <w:p w:rsidR="0071583B" w:rsidRPr="006A74F8" w:rsidRDefault="0071583B" w:rsidP="001E43AC">
      <w:pPr>
        <w:pStyle w:val="Heading3"/>
        <w:tabs>
          <w:tab w:val="left" w:pos="993"/>
        </w:tabs>
      </w:pPr>
      <w:r w:rsidRPr="006A74F8">
        <w:t xml:space="preserve">Overview  </w:t>
      </w:r>
    </w:p>
    <w:p w:rsidR="0071583B" w:rsidRPr="006A74F8" w:rsidRDefault="0071583B" w:rsidP="0014118C">
      <w:r w:rsidRPr="006A74F8">
        <w:t xml:space="preserve">The regulations stipulate that ATPs go through a process of application and renewal to obtain their authorisation to provide measurement services under the </w:t>
      </w:r>
      <w:r w:rsidR="00F865D2" w:rsidRPr="006A74F8">
        <w:t>measurement legislation</w:t>
      </w:r>
      <w:r w:rsidRPr="006A74F8">
        <w:t xml:space="preserve">. The regulations also </w:t>
      </w:r>
      <w:r w:rsidR="0003689C" w:rsidRPr="006A74F8">
        <w:t>s</w:t>
      </w:r>
      <w:r w:rsidR="00B85822" w:rsidRPr="006A74F8">
        <w:t>et out</w:t>
      </w:r>
      <w:r w:rsidR="0003689C" w:rsidRPr="006A74F8">
        <w:t xml:space="preserve"> </w:t>
      </w:r>
      <w:r w:rsidRPr="006A74F8">
        <w:t xml:space="preserve">any reporting requirements imposed on them. </w:t>
      </w:r>
    </w:p>
    <w:p w:rsidR="0014118C" w:rsidRPr="006A74F8" w:rsidRDefault="0014118C" w:rsidP="0014118C">
      <w:r w:rsidRPr="006A74F8">
        <w:t>Some ATPs have multiple licences</w:t>
      </w:r>
      <w:r w:rsidR="00C62A46" w:rsidRPr="006A74F8">
        <w:t>, authorities</w:t>
      </w:r>
      <w:r w:rsidRPr="006A74F8">
        <w:t xml:space="preserve"> </w:t>
      </w:r>
      <w:r w:rsidR="002746F9" w:rsidRPr="006A74F8">
        <w:t>and</w:t>
      </w:r>
      <w:r w:rsidRPr="006A74F8">
        <w:t xml:space="preserve"> appointments</w:t>
      </w:r>
      <w:r w:rsidR="008620A7" w:rsidRPr="006A74F8">
        <w:t>, or a mixture of these</w:t>
      </w:r>
      <w:r w:rsidRPr="006A74F8">
        <w:t xml:space="preserve">. Each </w:t>
      </w:r>
      <w:r w:rsidR="00C62A46" w:rsidRPr="006A74F8">
        <w:t>one</w:t>
      </w:r>
      <w:r w:rsidRPr="006A74F8">
        <w:t xml:space="preserve"> requires a separate application</w:t>
      </w:r>
      <w:r w:rsidR="002746F9" w:rsidRPr="006A74F8">
        <w:t xml:space="preserve"> and</w:t>
      </w:r>
      <w:r w:rsidRPr="006A74F8">
        <w:t xml:space="preserve"> renewal. </w:t>
      </w:r>
      <w:r w:rsidR="00836C63" w:rsidRPr="006A74F8">
        <w:t xml:space="preserve">Streamlining the </w:t>
      </w:r>
      <w:r w:rsidR="00553A2E" w:rsidRPr="006A74F8">
        <w:t xml:space="preserve">administrative </w:t>
      </w:r>
      <w:r w:rsidR="00836C63" w:rsidRPr="006A74F8">
        <w:t>arrangements</w:t>
      </w:r>
      <w:r w:rsidRPr="006A74F8">
        <w:t xml:space="preserve"> </w:t>
      </w:r>
      <w:r w:rsidR="00836C63" w:rsidRPr="006A74F8">
        <w:t xml:space="preserve">by which ATPs </w:t>
      </w:r>
      <w:r w:rsidR="00553A2E" w:rsidRPr="006A74F8">
        <w:t>are appointed may</w:t>
      </w:r>
      <w:r w:rsidR="00836C63" w:rsidRPr="006A74F8">
        <w:t xml:space="preserve"> reduce </w:t>
      </w:r>
      <w:r w:rsidR="00E302BE" w:rsidRPr="006A74F8">
        <w:t xml:space="preserve">some </w:t>
      </w:r>
      <w:r w:rsidR="00836C63" w:rsidRPr="006A74F8">
        <w:t>regulatory burden costs associated with applications and renewals.</w:t>
      </w:r>
    </w:p>
    <w:p w:rsidR="0014118C" w:rsidRPr="006A74F8" w:rsidRDefault="0014118C" w:rsidP="0014118C">
      <w:r w:rsidRPr="006A74F8">
        <w:t>The following table shows that there are a number of ATPs that have multiple licences</w:t>
      </w:r>
      <w:r w:rsidR="00836C63" w:rsidRPr="006A74F8">
        <w:t>, authorities</w:t>
      </w:r>
      <w:r w:rsidRPr="006A74F8">
        <w:t xml:space="preserve"> or appointments</w:t>
      </w:r>
      <w:r w:rsidR="00836C63" w:rsidRPr="006A74F8">
        <w:t>.</w:t>
      </w:r>
      <w:r w:rsidR="002746F9" w:rsidRPr="006A74F8">
        <w:t xml:space="preserve"> </w:t>
      </w:r>
    </w:p>
    <w:p w:rsidR="00D14B95" w:rsidRPr="006A74F8" w:rsidRDefault="00D14B95" w:rsidP="00D14B95">
      <w:pPr>
        <w:pStyle w:val="Caption"/>
        <w:keepNext/>
      </w:pPr>
      <w:r w:rsidRPr="006A74F8">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8</w:t>
      </w:r>
      <w:r w:rsidR="00D003A8" w:rsidRPr="006A74F8">
        <w:rPr>
          <w:noProof/>
        </w:rPr>
        <w:fldChar w:fldCharType="end"/>
      </w:r>
      <w:r w:rsidRPr="006A74F8">
        <w:t>: Number of ATPs that hold multiple licenses</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3- 8: Number of ATPs that hold multiple licenses"/>
        <w:tblDescription w:val="Table shows the number of ATPs that have singular or multiple licences, authorities or appointments."/>
      </w:tblPr>
      <w:tblGrid>
        <w:gridCol w:w="2090"/>
        <w:gridCol w:w="2300"/>
        <w:gridCol w:w="2362"/>
        <w:gridCol w:w="2524"/>
      </w:tblGrid>
      <w:tr w:rsidR="0014118C" w:rsidRPr="006A74F8" w:rsidTr="00107BA3">
        <w:trPr>
          <w:trHeight w:val="95"/>
        </w:trPr>
        <w:tc>
          <w:tcPr>
            <w:tcW w:w="2090" w:type="dxa"/>
            <w:shd w:val="clear" w:color="auto" w:fill="1F3864"/>
          </w:tcPr>
          <w:p w:rsidR="0014118C" w:rsidRPr="006A74F8" w:rsidRDefault="0014118C" w:rsidP="002746F9">
            <w:pPr>
              <w:spacing w:after="0"/>
              <w:rPr>
                <w:b/>
              </w:rPr>
            </w:pPr>
            <w:r w:rsidRPr="006A74F8">
              <w:rPr>
                <w:b/>
              </w:rPr>
              <w:t>ATPs</w:t>
            </w:r>
          </w:p>
        </w:tc>
        <w:tc>
          <w:tcPr>
            <w:tcW w:w="2300" w:type="dxa"/>
            <w:shd w:val="clear" w:color="auto" w:fill="1F3864"/>
          </w:tcPr>
          <w:p w:rsidR="0014118C" w:rsidRPr="006A74F8" w:rsidRDefault="0014118C" w:rsidP="002746F9">
            <w:pPr>
              <w:spacing w:after="0"/>
              <w:rPr>
                <w:b/>
              </w:rPr>
            </w:pPr>
            <w:r w:rsidRPr="006A74F8">
              <w:rPr>
                <w:b/>
              </w:rPr>
              <w:t xml:space="preserve">How many hold only </w:t>
            </w:r>
            <w:r w:rsidR="00F865D2" w:rsidRPr="006A74F8">
              <w:rPr>
                <w:b/>
              </w:rPr>
              <w:t>a single</w:t>
            </w:r>
            <w:r w:rsidRPr="006A74F8">
              <w:rPr>
                <w:b/>
              </w:rPr>
              <w:t xml:space="preserve"> licence</w:t>
            </w:r>
            <w:r w:rsidR="00C62A46" w:rsidRPr="006A74F8">
              <w:rPr>
                <w:b/>
              </w:rPr>
              <w:t>, authority</w:t>
            </w:r>
            <w:r w:rsidRPr="006A74F8">
              <w:rPr>
                <w:b/>
              </w:rPr>
              <w:t xml:space="preserve"> or appointment?</w:t>
            </w:r>
          </w:p>
        </w:tc>
        <w:tc>
          <w:tcPr>
            <w:tcW w:w="2362" w:type="dxa"/>
            <w:shd w:val="clear" w:color="auto" w:fill="1F3864"/>
          </w:tcPr>
          <w:p w:rsidR="0014118C" w:rsidRPr="006A74F8" w:rsidRDefault="0014118C">
            <w:pPr>
              <w:spacing w:after="0"/>
              <w:rPr>
                <w:b/>
              </w:rPr>
            </w:pPr>
            <w:r w:rsidRPr="006A74F8">
              <w:rPr>
                <w:b/>
              </w:rPr>
              <w:t>How many hold multiple subclass licences?</w:t>
            </w:r>
          </w:p>
        </w:tc>
        <w:tc>
          <w:tcPr>
            <w:tcW w:w="2524" w:type="dxa"/>
            <w:shd w:val="clear" w:color="auto" w:fill="1F3864"/>
          </w:tcPr>
          <w:p w:rsidR="0014118C" w:rsidRPr="006A74F8" w:rsidRDefault="0014118C">
            <w:pPr>
              <w:spacing w:after="0"/>
              <w:rPr>
                <w:b/>
              </w:rPr>
            </w:pPr>
            <w:r w:rsidRPr="006A74F8">
              <w:rPr>
                <w:b/>
              </w:rPr>
              <w:t xml:space="preserve">How many hold more than one type of </w:t>
            </w:r>
            <w:r w:rsidR="00C62A46" w:rsidRPr="006A74F8">
              <w:rPr>
                <w:b/>
              </w:rPr>
              <w:t xml:space="preserve">authority or </w:t>
            </w:r>
            <w:r w:rsidRPr="006A74F8">
              <w:rPr>
                <w:b/>
              </w:rPr>
              <w:t>appointment?</w:t>
            </w:r>
          </w:p>
        </w:tc>
      </w:tr>
      <w:tr w:rsidR="0014118C" w:rsidRPr="006A74F8" w:rsidTr="00F865D2">
        <w:trPr>
          <w:trHeight w:val="95"/>
        </w:trPr>
        <w:tc>
          <w:tcPr>
            <w:tcW w:w="2090" w:type="dxa"/>
          </w:tcPr>
          <w:p w:rsidR="0014118C" w:rsidRPr="006A74F8" w:rsidRDefault="0014118C" w:rsidP="002746F9">
            <w:pPr>
              <w:spacing w:after="0"/>
              <w:jc w:val="center"/>
            </w:pPr>
            <w:r w:rsidRPr="006A74F8">
              <w:t>SL</w:t>
            </w:r>
          </w:p>
        </w:tc>
        <w:tc>
          <w:tcPr>
            <w:tcW w:w="2300" w:type="dxa"/>
          </w:tcPr>
          <w:p w:rsidR="0014118C" w:rsidRPr="006A74F8" w:rsidRDefault="0014118C" w:rsidP="002746F9">
            <w:pPr>
              <w:spacing w:after="0"/>
              <w:jc w:val="center"/>
            </w:pPr>
            <w:r w:rsidRPr="006A74F8">
              <w:t>97</w:t>
            </w:r>
          </w:p>
        </w:tc>
        <w:tc>
          <w:tcPr>
            <w:tcW w:w="2362" w:type="dxa"/>
          </w:tcPr>
          <w:p w:rsidR="0014118C" w:rsidRPr="006A74F8" w:rsidRDefault="0014118C" w:rsidP="002746F9">
            <w:pPr>
              <w:spacing w:after="0"/>
              <w:jc w:val="center"/>
            </w:pPr>
            <w:r w:rsidRPr="006A74F8">
              <w:t>237</w:t>
            </w:r>
          </w:p>
        </w:tc>
        <w:tc>
          <w:tcPr>
            <w:tcW w:w="2524" w:type="dxa"/>
            <w:shd w:val="clear" w:color="auto" w:fill="DDDDDE" w:themeFill="background2" w:themeFillTint="33"/>
          </w:tcPr>
          <w:p w:rsidR="0014118C" w:rsidRPr="006A74F8" w:rsidRDefault="0014118C" w:rsidP="002746F9">
            <w:pPr>
              <w:spacing w:after="0"/>
              <w:jc w:val="center"/>
            </w:pPr>
            <w:r w:rsidRPr="006A74F8">
              <w:t>N/A</w:t>
            </w:r>
          </w:p>
        </w:tc>
      </w:tr>
      <w:tr w:rsidR="0014118C" w:rsidRPr="006A74F8" w:rsidTr="00F865D2">
        <w:trPr>
          <w:trHeight w:val="95"/>
        </w:trPr>
        <w:tc>
          <w:tcPr>
            <w:tcW w:w="2090" w:type="dxa"/>
          </w:tcPr>
          <w:p w:rsidR="0014118C" w:rsidRPr="006A74F8" w:rsidRDefault="0014118C" w:rsidP="002746F9">
            <w:pPr>
              <w:spacing w:after="0"/>
              <w:jc w:val="center"/>
            </w:pPr>
            <w:r w:rsidRPr="006A74F8">
              <w:t>PWB</w:t>
            </w:r>
            <w:r w:rsidR="00036AC1" w:rsidRPr="006A74F8">
              <w:t>L</w:t>
            </w:r>
          </w:p>
        </w:tc>
        <w:tc>
          <w:tcPr>
            <w:tcW w:w="2300" w:type="dxa"/>
          </w:tcPr>
          <w:p w:rsidR="0014118C" w:rsidRPr="006A74F8" w:rsidRDefault="0014118C" w:rsidP="002746F9">
            <w:pPr>
              <w:spacing w:after="0"/>
              <w:jc w:val="center"/>
            </w:pPr>
            <w:r w:rsidRPr="006A74F8">
              <w:t>228</w:t>
            </w:r>
          </w:p>
        </w:tc>
        <w:tc>
          <w:tcPr>
            <w:tcW w:w="2362" w:type="dxa"/>
          </w:tcPr>
          <w:p w:rsidR="0014118C" w:rsidRPr="006A74F8" w:rsidRDefault="0014118C" w:rsidP="002746F9">
            <w:pPr>
              <w:spacing w:after="0"/>
              <w:jc w:val="center"/>
            </w:pPr>
            <w:r w:rsidRPr="006A74F8">
              <w:t>0</w:t>
            </w:r>
          </w:p>
        </w:tc>
        <w:tc>
          <w:tcPr>
            <w:tcW w:w="2524" w:type="dxa"/>
            <w:shd w:val="clear" w:color="auto" w:fill="DDDDDE" w:themeFill="background2" w:themeFillTint="33"/>
          </w:tcPr>
          <w:p w:rsidR="0014118C" w:rsidRPr="006A74F8" w:rsidRDefault="0014118C" w:rsidP="002746F9">
            <w:pPr>
              <w:spacing w:after="0"/>
              <w:jc w:val="center"/>
            </w:pPr>
            <w:r w:rsidRPr="006A74F8">
              <w:t>N/A</w:t>
            </w:r>
          </w:p>
        </w:tc>
      </w:tr>
      <w:tr w:rsidR="0014118C" w:rsidRPr="006A74F8" w:rsidTr="00F865D2">
        <w:trPr>
          <w:trHeight w:val="95"/>
        </w:trPr>
        <w:tc>
          <w:tcPr>
            <w:tcW w:w="2090" w:type="dxa"/>
          </w:tcPr>
          <w:p w:rsidR="0014118C" w:rsidRPr="006A74F8" w:rsidRDefault="0014118C" w:rsidP="002746F9">
            <w:pPr>
              <w:spacing w:after="0"/>
              <w:jc w:val="center"/>
            </w:pPr>
            <w:r w:rsidRPr="006A74F8">
              <w:t>UMV</w:t>
            </w:r>
          </w:p>
        </w:tc>
        <w:tc>
          <w:tcPr>
            <w:tcW w:w="2300" w:type="dxa"/>
          </w:tcPr>
          <w:p w:rsidR="0014118C" w:rsidRPr="006A74F8" w:rsidRDefault="0014118C" w:rsidP="002746F9">
            <w:pPr>
              <w:spacing w:after="0"/>
              <w:jc w:val="center"/>
            </w:pPr>
            <w:r w:rsidRPr="006A74F8">
              <w:t>13</w:t>
            </w:r>
          </w:p>
        </w:tc>
        <w:tc>
          <w:tcPr>
            <w:tcW w:w="2362" w:type="dxa"/>
          </w:tcPr>
          <w:p w:rsidR="0014118C" w:rsidRPr="006A74F8" w:rsidRDefault="0014118C" w:rsidP="002746F9">
            <w:pPr>
              <w:spacing w:after="0"/>
              <w:jc w:val="center"/>
            </w:pPr>
            <w:r w:rsidRPr="006A74F8">
              <w:t>1</w:t>
            </w:r>
          </w:p>
        </w:tc>
        <w:tc>
          <w:tcPr>
            <w:tcW w:w="2524" w:type="dxa"/>
            <w:shd w:val="clear" w:color="auto" w:fill="DDDDDE" w:themeFill="background2" w:themeFillTint="33"/>
          </w:tcPr>
          <w:p w:rsidR="0014118C" w:rsidRPr="006A74F8" w:rsidRDefault="0014118C" w:rsidP="002746F9">
            <w:pPr>
              <w:spacing w:after="0"/>
              <w:jc w:val="center"/>
            </w:pPr>
            <w:r w:rsidRPr="006A74F8">
              <w:t>N/A</w:t>
            </w:r>
          </w:p>
        </w:tc>
      </w:tr>
      <w:tr w:rsidR="0014118C" w:rsidRPr="006A74F8" w:rsidTr="00F865D2">
        <w:trPr>
          <w:trHeight w:val="95"/>
        </w:trPr>
        <w:tc>
          <w:tcPr>
            <w:tcW w:w="2090" w:type="dxa"/>
          </w:tcPr>
          <w:p w:rsidR="0014118C" w:rsidRPr="006A74F8" w:rsidRDefault="0014118C" w:rsidP="002746F9">
            <w:pPr>
              <w:spacing w:after="0"/>
              <w:jc w:val="center"/>
            </w:pPr>
            <w:r w:rsidRPr="006A74F8">
              <w:t>CA</w:t>
            </w:r>
          </w:p>
        </w:tc>
        <w:tc>
          <w:tcPr>
            <w:tcW w:w="2300" w:type="dxa"/>
            <w:shd w:val="clear" w:color="auto" w:fill="auto"/>
          </w:tcPr>
          <w:p w:rsidR="0014118C" w:rsidRPr="006A74F8" w:rsidRDefault="0014118C" w:rsidP="002746F9">
            <w:pPr>
              <w:spacing w:after="0"/>
              <w:jc w:val="center"/>
            </w:pPr>
            <w:r w:rsidRPr="006A74F8">
              <w:t>9</w:t>
            </w:r>
          </w:p>
        </w:tc>
        <w:tc>
          <w:tcPr>
            <w:tcW w:w="2362" w:type="dxa"/>
            <w:shd w:val="clear" w:color="auto" w:fill="DDDDDE" w:themeFill="background2" w:themeFillTint="33"/>
          </w:tcPr>
          <w:p w:rsidR="0014118C" w:rsidRPr="006A74F8" w:rsidRDefault="0014118C" w:rsidP="002746F9">
            <w:pPr>
              <w:spacing w:after="0"/>
              <w:jc w:val="center"/>
            </w:pPr>
            <w:r w:rsidRPr="006A74F8">
              <w:t>N/A</w:t>
            </w:r>
          </w:p>
        </w:tc>
        <w:tc>
          <w:tcPr>
            <w:tcW w:w="2524" w:type="dxa"/>
          </w:tcPr>
          <w:p w:rsidR="0014118C" w:rsidRPr="006A74F8" w:rsidRDefault="0014118C" w:rsidP="002746F9">
            <w:pPr>
              <w:spacing w:after="0"/>
              <w:jc w:val="center"/>
            </w:pPr>
            <w:r w:rsidRPr="006A74F8">
              <w:t>4</w:t>
            </w:r>
          </w:p>
        </w:tc>
      </w:tr>
      <w:tr w:rsidR="0014118C" w:rsidRPr="006A74F8" w:rsidTr="00F865D2">
        <w:trPr>
          <w:trHeight w:val="95"/>
        </w:trPr>
        <w:tc>
          <w:tcPr>
            <w:tcW w:w="2090" w:type="dxa"/>
          </w:tcPr>
          <w:p w:rsidR="0014118C" w:rsidRPr="006A74F8" w:rsidRDefault="0014118C" w:rsidP="002746F9">
            <w:pPr>
              <w:spacing w:after="0"/>
              <w:jc w:val="center"/>
            </w:pPr>
            <w:r w:rsidRPr="006A74F8">
              <w:t>VA</w:t>
            </w:r>
          </w:p>
        </w:tc>
        <w:tc>
          <w:tcPr>
            <w:tcW w:w="2300" w:type="dxa"/>
            <w:shd w:val="clear" w:color="auto" w:fill="auto"/>
          </w:tcPr>
          <w:p w:rsidR="0014118C" w:rsidRPr="006A74F8" w:rsidRDefault="0014118C" w:rsidP="002746F9">
            <w:pPr>
              <w:spacing w:after="0"/>
              <w:jc w:val="center"/>
            </w:pPr>
            <w:r w:rsidRPr="006A74F8">
              <w:t>23</w:t>
            </w:r>
          </w:p>
        </w:tc>
        <w:tc>
          <w:tcPr>
            <w:tcW w:w="2362" w:type="dxa"/>
            <w:shd w:val="clear" w:color="auto" w:fill="DDDDDE" w:themeFill="background2" w:themeFillTint="33"/>
          </w:tcPr>
          <w:p w:rsidR="0014118C" w:rsidRPr="006A74F8" w:rsidRDefault="0014118C" w:rsidP="002746F9">
            <w:pPr>
              <w:spacing w:after="0"/>
              <w:jc w:val="center"/>
            </w:pPr>
            <w:r w:rsidRPr="006A74F8">
              <w:t>N/A</w:t>
            </w:r>
          </w:p>
        </w:tc>
        <w:tc>
          <w:tcPr>
            <w:tcW w:w="2524" w:type="dxa"/>
          </w:tcPr>
          <w:p w:rsidR="0014118C" w:rsidRPr="006A74F8" w:rsidRDefault="0014118C" w:rsidP="002746F9">
            <w:pPr>
              <w:spacing w:after="0"/>
              <w:jc w:val="center"/>
            </w:pPr>
            <w:r w:rsidRPr="006A74F8">
              <w:t>2</w:t>
            </w:r>
          </w:p>
        </w:tc>
      </w:tr>
      <w:tr w:rsidR="0014118C" w:rsidRPr="006A74F8" w:rsidTr="00F865D2">
        <w:trPr>
          <w:trHeight w:val="92"/>
        </w:trPr>
        <w:tc>
          <w:tcPr>
            <w:tcW w:w="2090" w:type="dxa"/>
          </w:tcPr>
          <w:p w:rsidR="0014118C" w:rsidRPr="006A74F8" w:rsidRDefault="0014118C" w:rsidP="002746F9">
            <w:pPr>
              <w:spacing w:after="0"/>
              <w:jc w:val="center"/>
            </w:pPr>
            <w:r w:rsidRPr="006A74F8">
              <w:t>AA</w:t>
            </w:r>
          </w:p>
        </w:tc>
        <w:tc>
          <w:tcPr>
            <w:tcW w:w="2300" w:type="dxa"/>
            <w:shd w:val="clear" w:color="auto" w:fill="auto"/>
          </w:tcPr>
          <w:p w:rsidR="0014118C" w:rsidRPr="006A74F8" w:rsidRDefault="0014118C" w:rsidP="002746F9">
            <w:pPr>
              <w:spacing w:after="0"/>
              <w:jc w:val="center"/>
            </w:pPr>
            <w:r w:rsidRPr="006A74F8">
              <w:t>3</w:t>
            </w:r>
          </w:p>
        </w:tc>
        <w:tc>
          <w:tcPr>
            <w:tcW w:w="2362" w:type="dxa"/>
            <w:shd w:val="clear" w:color="auto" w:fill="DDDDDE" w:themeFill="background2" w:themeFillTint="33"/>
          </w:tcPr>
          <w:p w:rsidR="0014118C" w:rsidRPr="006A74F8" w:rsidRDefault="0014118C" w:rsidP="002746F9">
            <w:pPr>
              <w:spacing w:after="0"/>
              <w:jc w:val="center"/>
            </w:pPr>
            <w:r w:rsidRPr="006A74F8">
              <w:t>N/A</w:t>
            </w:r>
          </w:p>
        </w:tc>
        <w:tc>
          <w:tcPr>
            <w:tcW w:w="2524" w:type="dxa"/>
          </w:tcPr>
          <w:p w:rsidR="0014118C" w:rsidRPr="006A74F8" w:rsidRDefault="0014118C" w:rsidP="002746F9">
            <w:pPr>
              <w:spacing w:after="0"/>
              <w:jc w:val="center"/>
            </w:pPr>
            <w:r w:rsidRPr="006A74F8">
              <w:t>0</w:t>
            </w:r>
          </w:p>
        </w:tc>
      </w:tr>
      <w:tr w:rsidR="0014118C" w:rsidRPr="006A74F8" w:rsidTr="00F865D2">
        <w:trPr>
          <w:trHeight w:val="92"/>
        </w:trPr>
        <w:tc>
          <w:tcPr>
            <w:tcW w:w="2090" w:type="dxa"/>
          </w:tcPr>
          <w:p w:rsidR="0014118C" w:rsidRPr="006A74F8" w:rsidRDefault="0014118C" w:rsidP="002746F9">
            <w:pPr>
              <w:spacing w:after="0"/>
              <w:jc w:val="center"/>
              <w:rPr>
                <w:b/>
              </w:rPr>
            </w:pPr>
            <w:r w:rsidRPr="006A74F8">
              <w:rPr>
                <w:b/>
              </w:rPr>
              <w:t>Total</w:t>
            </w:r>
          </w:p>
        </w:tc>
        <w:tc>
          <w:tcPr>
            <w:tcW w:w="2300" w:type="dxa"/>
          </w:tcPr>
          <w:p w:rsidR="0014118C" w:rsidRPr="006A74F8" w:rsidRDefault="0014118C" w:rsidP="002746F9">
            <w:pPr>
              <w:spacing w:after="0"/>
              <w:jc w:val="center"/>
              <w:rPr>
                <w:b/>
              </w:rPr>
            </w:pPr>
            <w:r w:rsidRPr="006A74F8">
              <w:rPr>
                <w:b/>
              </w:rPr>
              <w:t>373</w:t>
            </w:r>
          </w:p>
        </w:tc>
        <w:tc>
          <w:tcPr>
            <w:tcW w:w="2362" w:type="dxa"/>
          </w:tcPr>
          <w:p w:rsidR="0014118C" w:rsidRPr="006A74F8" w:rsidRDefault="0014118C" w:rsidP="002746F9">
            <w:pPr>
              <w:spacing w:after="0"/>
              <w:jc w:val="center"/>
              <w:rPr>
                <w:b/>
              </w:rPr>
            </w:pPr>
            <w:r w:rsidRPr="006A74F8">
              <w:rPr>
                <w:b/>
              </w:rPr>
              <w:t>238</w:t>
            </w:r>
          </w:p>
        </w:tc>
        <w:tc>
          <w:tcPr>
            <w:tcW w:w="2524" w:type="dxa"/>
          </w:tcPr>
          <w:p w:rsidR="0014118C" w:rsidRPr="006A74F8" w:rsidRDefault="0014118C" w:rsidP="002746F9">
            <w:pPr>
              <w:spacing w:after="0"/>
              <w:jc w:val="center"/>
              <w:rPr>
                <w:b/>
              </w:rPr>
            </w:pPr>
            <w:r w:rsidRPr="006A74F8">
              <w:rPr>
                <w:b/>
              </w:rPr>
              <w:t>6</w:t>
            </w:r>
          </w:p>
        </w:tc>
      </w:tr>
    </w:tbl>
    <w:p w:rsidR="002746F9" w:rsidRPr="006A74F8" w:rsidRDefault="002746F9" w:rsidP="00196397">
      <w:pPr>
        <w:spacing w:before="160"/>
      </w:pPr>
      <w:r w:rsidRPr="006A74F8">
        <w:t>The following table shows that there are a number of ATPs that combine licence</w:t>
      </w:r>
      <w:r w:rsidR="00C62A46" w:rsidRPr="006A74F8">
        <w:t>, authority</w:t>
      </w:r>
      <w:r w:rsidRPr="006A74F8">
        <w:t xml:space="preserve"> and appointment categories. This requires </w:t>
      </w:r>
      <w:r w:rsidR="00C62A46" w:rsidRPr="006A74F8">
        <w:t>ATPs</w:t>
      </w:r>
      <w:r w:rsidRPr="006A74F8">
        <w:t xml:space="preserve"> to submit multiple applications and renewals.</w:t>
      </w:r>
    </w:p>
    <w:p w:rsidR="00D14B95" w:rsidRPr="006A74F8" w:rsidRDefault="00D14B95" w:rsidP="00D14B95">
      <w:pPr>
        <w:pStyle w:val="Caption"/>
        <w:keepNext/>
      </w:pPr>
      <w:r w:rsidRPr="006A74F8">
        <w:lastRenderedPageBreak/>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9</w:t>
      </w:r>
      <w:r w:rsidR="00D003A8" w:rsidRPr="006A74F8">
        <w:rPr>
          <w:noProof/>
        </w:rPr>
        <w:fldChar w:fldCharType="end"/>
      </w:r>
      <w:r w:rsidRPr="006A74F8">
        <w:t>: Number of ATPs with mixed licence, authority or appointments</w:t>
      </w:r>
    </w:p>
    <w:tbl>
      <w:tblPr>
        <w:tblW w:w="6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3- 9: Number of ATPs with mixed licence, authority or appointments"/>
        <w:tblDescription w:val="Table outlines the number of ATPs with mixed licence, authority or appointments, divided by category"/>
      </w:tblPr>
      <w:tblGrid>
        <w:gridCol w:w="5043"/>
        <w:gridCol w:w="1394"/>
      </w:tblGrid>
      <w:tr w:rsidR="0014118C" w:rsidRPr="006A74F8" w:rsidTr="008F5DB1">
        <w:trPr>
          <w:trHeight w:val="188"/>
        </w:trPr>
        <w:tc>
          <w:tcPr>
            <w:tcW w:w="6437" w:type="dxa"/>
            <w:gridSpan w:val="2"/>
            <w:shd w:val="clear" w:color="auto" w:fill="1F3864"/>
            <w:noWrap/>
            <w:vAlign w:val="bottom"/>
          </w:tcPr>
          <w:p w:rsidR="0014118C" w:rsidRPr="006A74F8" w:rsidRDefault="0014118C" w:rsidP="00F865D2">
            <w:pPr>
              <w:keepNext/>
              <w:spacing w:after="0" w:line="240" w:lineRule="auto"/>
              <w:rPr>
                <w:rFonts w:ascii="Calibri" w:eastAsia="Times New Roman" w:hAnsi="Calibri" w:cs="Calibri"/>
                <w:b/>
                <w:lang w:eastAsia="en-AU"/>
              </w:rPr>
            </w:pPr>
            <w:r w:rsidRPr="006A74F8">
              <w:rPr>
                <w:rFonts w:ascii="Calibri" w:eastAsia="Times New Roman" w:hAnsi="Calibri" w:cs="Calibri"/>
                <w:b/>
                <w:lang w:eastAsia="en-AU"/>
              </w:rPr>
              <w:t>How many ATPs have mixed licence</w:t>
            </w:r>
            <w:r w:rsidR="00836C63" w:rsidRPr="006A74F8">
              <w:rPr>
                <w:rFonts w:ascii="Calibri" w:eastAsia="Times New Roman" w:hAnsi="Calibri" w:cs="Calibri"/>
                <w:b/>
                <w:lang w:eastAsia="en-AU"/>
              </w:rPr>
              <w:t>, authority or</w:t>
            </w:r>
            <w:r w:rsidRPr="006A74F8">
              <w:rPr>
                <w:rFonts w:ascii="Calibri" w:eastAsia="Times New Roman" w:hAnsi="Calibri" w:cs="Calibri"/>
                <w:b/>
                <w:lang w:eastAsia="en-AU"/>
              </w:rPr>
              <w:t xml:space="preserve"> appointments?</w:t>
            </w:r>
          </w:p>
        </w:tc>
      </w:tr>
      <w:tr w:rsidR="0014118C" w:rsidRPr="006A74F8" w:rsidTr="002746F9">
        <w:trPr>
          <w:trHeight w:val="188"/>
        </w:trPr>
        <w:tc>
          <w:tcPr>
            <w:tcW w:w="5043" w:type="dxa"/>
            <w:shd w:val="clear" w:color="auto" w:fill="auto"/>
            <w:noWrap/>
            <w:vAlign w:val="bottom"/>
            <w:hideMark/>
          </w:tcPr>
          <w:p w:rsidR="0014118C" w:rsidRPr="006A74F8" w:rsidRDefault="0014118C" w:rsidP="00F865D2">
            <w:pPr>
              <w:keepNext/>
              <w:spacing w:after="0" w:line="240" w:lineRule="auto"/>
              <w:rPr>
                <w:rFonts w:ascii="Calibri" w:eastAsia="Times New Roman" w:hAnsi="Calibri" w:cs="Calibri"/>
                <w:lang w:eastAsia="en-AU"/>
              </w:rPr>
            </w:pPr>
            <w:r w:rsidRPr="006A74F8">
              <w:rPr>
                <w:rFonts w:ascii="Calibri" w:eastAsia="Times New Roman" w:hAnsi="Calibri" w:cs="Calibri"/>
                <w:lang w:eastAsia="en-AU"/>
              </w:rPr>
              <w:t>SL - CA</w:t>
            </w:r>
          </w:p>
        </w:tc>
        <w:tc>
          <w:tcPr>
            <w:tcW w:w="1394" w:type="dxa"/>
            <w:shd w:val="clear" w:color="auto" w:fill="auto"/>
            <w:noWrap/>
            <w:vAlign w:val="bottom"/>
            <w:hideMark/>
          </w:tcPr>
          <w:p w:rsidR="0014118C" w:rsidRPr="006A74F8" w:rsidRDefault="0014118C" w:rsidP="00F865D2">
            <w:pPr>
              <w:keepNext/>
              <w:spacing w:after="0" w:line="240" w:lineRule="auto"/>
              <w:jc w:val="center"/>
              <w:rPr>
                <w:rFonts w:ascii="Calibri" w:eastAsia="Times New Roman" w:hAnsi="Calibri" w:cs="Calibri"/>
                <w:lang w:eastAsia="en-AU"/>
              </w:rPr>
            </w:pPr>
            <w:r w:rsidRPr="006A74F8">
              <w:rPr>
                <w:rFonts w:ascii="Calibri" w:eastAsia="Times New Roman" w:hAnsi="Calibri" w:cs="Calibri"/>
                <w:lang w:eastAsia="en-AU"/>
              </w:rPr>
              <w:t>3</w:t>
            </w:r>
          </w:p>
        </w:tc>
      </w:tr>
      <w:tr w:rsidR="0014118C" w:rsidRPr="006A74F8" w:rsidTr="002746F9">
        <w:trPr>
          <w:trHeight w:val="188"/>
        </w:trPr>
        <w:tc>
          <w:tcPr>
            <w:tcW w:w="5043" w:type="dxa"/>
            <w:shd w:val="clear" w:color="auto" w:fill="auto"/>
            <w:noWrap/>
            <w:vAlign w:val="bottom"/>
            <w:hideMark/>
          </w:tcPr>
          <w:p w:rsidR="0014118C" w:rsidRPr="006A74F8" w:rsidRDefault="0014118C" w:rsidP="00F865D2">
            <w:pPr>
              <w:keepNext/>
              <w:spacing w:after="0" w:line="240" w:lineRule="auto"/>
              <w:rPr>
                <w:rFonts w:ascii="Calibri" w:eastAsia="Times New Roman" w:hAnsi="Calibri" w:cs="Calibri"/>
                <w:lang w:eastAsia="en-AU"/>
              </w:rPr>
            </w:pPr>
            <w:r w:rsidRPr="006A74F8">
              <w:rPr>
                <w:rFonts w:ascii="Calibri" w:eastAsia="Times New Roman" w:hAnsi="Calibri" w:cs="Calibri"/>
                <w:lang w:eastAsia="en-AU"/>
              </w:rPr>
              <w:t>SL - VA</w:t>
            </w:r>
          </w:p>
        </w:tc>
        <w:tc>
          <w:tcPr>
            <w:tcW w:w="1394" w:type="dxa"/>
            <w:shd w:val="clear" w:color="auto" w:fill="auto"/>
            <w:noWrap/>
            <w:vAlign w:val="bottom"/>
            <w:hideMark/>
          </w:tcPr>
          <w:p w:rsidR="0014118C" w:rsidRPr="006A74F8" w:rsidRDefault="0014118C" w:rsidP="00F865D2">
            <w:pPr>
              <w:keepNext/>
              <w:spacing w:after="0" w:line="240" w:lineRule="auto"/>
              <w:jc w:val="center"/>
              <w:rPr>
                <w:rFonts w:ascii="Calibri" w:eastAsia="Times New Roman" w:hAnsi="Calibri" w:cs="Calibri"/>
                <w:lang w:eastAsia="en-AU"/>
              </w:rPr>
            </w:pPr>
            <w:r w:rsidRPr="006A74F8">
              <w:rPr>
                <w:rFonts w:ascii="Calibri" w:eastAsia="Times New Roman" w:hAnsi="Calibri" w:cs="Calibri"/>
                <w:lang w:eastAsia="en-AU"/>
              </w:rPr>
              <w:t>7</w:t>
            </w:r>
          </w:p>
        </w:tc>
      </w:tr>
      <w:tr w:rsidR="0014118C" w:rsidRPr="006A74F8" w:rsidTr="002746F9">
        <w:trPr>
          <w:trHeight w:val="188"/>
        </w:trPr>
        <w:tc>
          <w:tcPr>
            <w:tcW w:w="5043" w:type="dxa"/>
            <w:shd w:val="clear" w:color="auto" w:fill="auto"/>
            <w:noWrap/>
            <w:vAlign w:val="bottom"/>
            <w:hideMark/>
          </w:tcPr>
          <w:p w:rsidR="0014118C" w:rsidRPr="006A74F8" w:rsidRDefault="0014118C" w:rsidP="00F865D2">
            <w:pPr>
              <w:keepNext/>
              <w:spacing w:after="0" w:line="240" w:lineRule="auto"/>
              <w:rPr>
                <w:rFonts w:ascii="Calibri" w:eastAsia="Times New Roman" w:hAnsi="Calibri" w:cs="Calibri"/>
                <w:lang w:eastAsia="en-AU"/>
              </w:rPr>
            </w:pPr>
            <w:r w:rsidRPr="006A74F8">
              <w:rPr>
                <w:rFonts w:ascii="Calibri" w:eastAsia="Times New Roman" w:hAnsi="Calibri" w:cs="Calibri"/>
                <w:lang w:eastAsia="en-AU"/>
              </w:rPr>
              <w:t>CA - AA</w:t>
            </w:r>
          </w:p>
        </w:tc>
        <w:tc>
          <w:tcPr>
            <w:tcW w:w="1394" w:type="dxa"/>
            <w:shd w:val="clear" w:color="auto" w:fill="auto"/>
            <w:noWrap/>
            <w:vAlign w:val="bottom"/>
            <w:hideMark/>
          </w:tcPr>
          <w:p w:rsidR="0014118C" w:rsidRPr="006A74F8" w:rsidRDefault="0014118C" w:rsidP="00F865D2">
            <w:pPr>
              <w:keepNext/>
              <w:spacing w:after="0" w:line="240" w:lineRule="auto"/>
              <w:jc w:val="center"/>
              <w:rPr>
                <w:rFonts w:ascii="Calibri" w:eastAsia="Times New Roman" w:hAnsi="Calibri" w:cs="Calibri"/>
                <w:lang w:eastAsia="en-AU"/>
              </w:rPr>
            </w:pPr>
            <w:r w:rsidRPr="006A74F8">
              <w:rPr>
                <w:rFonts w:ascii="Calibri" w:eastAsia="Times New Roman" w:hAnsi="Calibri" w:cs="Calibri"/>
                <w:lang w:eastAsia="en-AU"/>
              </w:rPr>
              <w:t>1</w:t>
            </w:r>
          </w:p>
        </w:tc>
      </w:tr>
      <w:tr w:rsidR="0014118C" w:rsidRPr="006A74F8" w:rsidTr="002746F9">
        <w:trPr>
          <w:trHeight w:val="188"/>
        </w:trPr>
        <w:tc>
          <w:tcPr>
            <w:tcW w:w="5043" w:type="dxa"/>
            <w:shd w:val="clear" w:color="auto" w:fill="auto"/>
            <w:noWrap/>
            <w:vAlign w:val="bottom"/>
            <w:hideMark/>
          </w:tcPr>
          <w:p w:rsidR="0014118C" w:rsidRPr="006A74F8" w:rsidRDefault="0014118C" w:rsidP="00F865D2">
            <w:pPr>
              <w:keepNext/>
              <w:spacing w:after="0" w:line="240" w:lineRule="auto"/>
              <w:rPr>
                <w:rFonts w:ascii="Calibri" w:eastAsia="Times New Roman" w:hAnsi="Calibri" w:cs="Calibri"/>
                <w:lang w:eastAsia="en-AU"/>
              </w:rPr>
            </w:pPr>
            <w:r w:rsidRPr="006A74F8">
              <w:rPr>
                <w:rFonts w:ascii="Calibri" w:eastAsia="Times New Roman" w:hAnsi="Calibri" w:cs="Calibri"/>
                <w:lang w:eastAsia="en-AU"/>
              </w:rPr>
              <w:t>VA - UMV</w:t>
            </w:r>
          </w:p>
        </w:tc>
        <w:tc>
          <w:tcPr>
            <w:tcW w:w="1394" w:type="dxa"/>
            <w:shd w:val="clear" w:color="auto" w:fill="auto"/>
            <w:noWrap/>
            <w:vAlign w:val="bottom"/>
            <w:hideMark/>
          </w:tcPr>
          <w:p w:rsidR="0014118C" w:rsidRPr="006A74F8" w:rsidRDefault="0014118C" w:rsidP="00F865D2">
            <w:pPr>
              <w:keepNext/>
              <w:spacing w:after="0" w:line="240" w:lineRule="auto"/>
              <w:jc w:val="center"/>
              <w:rPr>
                <w:rFonts w:ascii="Calibri" w:eastAsia="Times New Roman" w:hAnsi="Calibri" w:cs="Calibri"/>
                <w:lang w:eastAsia="en-AU"/>
              </w:rPr>
            </w:pPr>
            <w:r w:rsidRPr="006A74F8">
              <w:rPr>
                <w:rFonts w:ascii="Calibri" w:eastAsia="Times New Roman" w:hAnsi="Calibri" w:cs="Calibri"/>
                <w:lang w:eastAsia="en-AU"/>
              </w:rPr>
              <w:t>3</w:t>
            </w:r>
          </w:p>
        </w:tc>
      </w:tr>
      <w:tr w:rsidR="0014118C" w:rsidRPr="006A74F8" w:rsidTr="002746F9">
        <w:trPr>
          <w:trHeight w:val="188"/>
        </w:trPr>
        <w:tc>
          <w:tcPr>
            <w:tcW w:w="5043" w:type="dxa"/>
            <w:shd w:val="clear" w:color="auto" w:fill="auto"/>
            <w:noWrap/>
            <w:vAlign w:val="bottom"/>
            <w:hideMark/>
          </w:tcPr>
          <w:p w:rsidR="0014118C" w:rsidRPr="006A74F8" w:rsidRDefault="0014118C" w:rsidP="00F865D2">
            <w:pPr>
              <w:keepNext/>
              <w:spacing w:after="0" w:line="240" w:lineRule="auto"/>
              <w:rPr>
                <w:rFonts w:ascii="Calibri" w:eastAsia="Times New Roman" w:hAnsi="Calibri" w:cs="Calibri"/>
                <w:lang w:eastAsia="en-AU"/>
              </w:rPr>
            </w:pPr>
            <w:r w:rsidRPr="006A74F8">
              <w:rPr>
                <w:rFonts w:ascii="Calibri" w:eastAsia="Times New Roman" w:hAnsi="Calibri" w:cs="Calibri"/>
                <w:lang w:eastAsia="en-AU"/>
              </w:rPr>
              <w:t>AA - UMV</w:t>
            </w:r>
          </w:p>
        </w:tc>
        <w:tc>
          <w:tcPr>
            <w:tcW w:w="1394" w:type="dxa"/>
            <w:shd w:val="clear" w:color="auto" w:fill="auto"/>
            <w:noWrap/>
            <w:vAlign w:val="bottom"/>
            <w:hideMark/>
          </w:tcPr>
          <w:p w:rsidR="0014118C" w:rsidRPr="006A74F8" w:rsidRDefault="0014118C" w:rsidP="00F865D2">
            <w:pPr>
              <w:keepNext/>
              <w:spacing w:after="0" w:line="240" w:lineRule="auto"/>
              <w:jc w:val="center"/>
              <w:rPr>
                <w:rFonts w:ascii="Calibri" w:eastAsia="Times New Roman" w:hAnsi="Calibri" w:cs="Calibri"/>
                <w:lang w:eastAsia="en-AU"/>
              </w:rPr>
            </w:pPr>
            <w:r w:rsidRPr="006A74F8">
              <w:rPr>
                <w:rFonts w:ascii="Calibri" w:eastAsia="Times New Roman" w:hAnsi="Calibri" w:cs="Calibri"/>
                <w:lang w:eastAsia="en-AU"/>
              </w:rPr>
              <w:t>1</w:t>
            </w:r>
          </w:p>
        </w:tc>
      </w:tr>
      <w:tr w:rsidR="0014118C" w:rsidRPr="006A74F8" w:rsidTr="002746F9">
        <w:trPr>
          <w:trHeight w:val="188"/>
        </w:trPr>
        <w:tc>
          <w:tcPr>
            <w:tcW w:w="5043" w:type="dxa"/>
            <w:shd w:val="clear" w:color="auto" w:fill="auto"/>
            <w:noWrap/>
            <w:vAlign w:val="bottom"/>
            <w:hideMark/>
          </w:tcPr>
          <w:p w:rsidR="0014118C" w:rsidRPr="006A74F8" w:rsidRDefault="0014118C" w:rsidP="00F865D2">
            <w:pPr>
              <w:keepNext/>
              <w:spacing w:after="0" w:line="240" w:lineRule="auto"/>
              <w:rPr>
                <w:rFonts w:ascii="Calibri" w:eastAsia="Times New Roman" w:hAnsi="Calibri" w:cs="Calibri"/>
                <w:b/>
                <w:lang w:eastAsia="en-AU"/>
              </w:rPr>
            </w:pPr>
            <w:r w:rsidRPr="006A74F8">
              <w:rPr>
                <w:rFonts w:ascii="Calibri" w:eastAsia="Times New Roman" w:hAnsi="Calibri" w:cs="Calibri"/>
                <w:b/>
                <w:lang w:eastAsia="en-AU"/>
              </w:rPr>
              <w:t>Total</w:t>
            </w:r>
          </w:p>
        </w:tc>
        <w:tc>
          <w:tcPr>
            <w:tcW w:w="1394" w:type="dxa"/>
            <w:shd w:val="clear" w:color="auto" w:fill="auto"/>
            <w:noWrap/>
            <w:vAlign w:val="bottom"/>
            <w:hideMark/>
          </w:tcPr>
          <w:p w:rsidR="0014118C" w:rsidRPr="006A74F8" w:rsidRDefault="0014118C" w:rsidP="00F865D2">
            <w:pPr>
              <w:keepNext/>
              <w:spacing w:after="0" w:line="240" w:lineRule="auto"/>
              <w:jc w:val="center"/>
              <w:rPr>
                <w:rFonts w:ascii="Calibri" w:eastAsia="Times New Roman" w:hAnsi="Calibri" w:cs="Calibri"/>
                <w:b/>
                <w:lang w:eastAsia="en-AU"/>
              </w:rPr>
            </w:pPr>
            <w:r w:rsidRPr="006A74F8">
              <w:rPr>
                <w:rFonts w:ascii="Calibri" w:eastAsia="Times New Roman" w:hAnsi="Calibri" w:cs="Calibri"/>
                <w:b/>
                <w:lang w:eastAsia="en-AU"/>
              </w:rPr>
              <w:t>15</w:t>
            </w:r>
          </w:p>
        </w:tc>
      </w:tr>
    </w:tbl>
    <w:p w:rsidR="005F6C6E" w:rsidRPr="006A74F8" w:rsidRDefault="005F6C6E" w:rsidP="00F52233">
      <w:pPr>
        <w:pStyle w:val="Heading3"/>
        <w:tabs>
          <w:tab w:val="left" w:pos="993"/>
        </w:tabs>
        <w:spacing w:before="240"/>
      </w:pPr>
      <w:r w:rsidRPr="006A74F8">
        <w:t>Streamlining the appointments system</w:t>
      </w:r>
    </w:p>
    <w:p w:rsidR="005F6C6E" w:rsidRPr="006A74F8" w:rsidRDefault="005F6C6E" w:rsidP="00FD7AC9">
      <w:r w:rsidRPr="006A74F8">
        <w:t>The table below summarises the appointment arrangements proposed under each option</w:t>
      </w:r>
      <w:r w:rsidR="001E37AC" w:rsidRPr="006A74F8">
        <w:t>.</w:t>
      </w:r>
    </w:p>
    <w:p w:rsidR="00D14B95" w:rsidRPr="006A74F8" w:rsidRDefault="00D14B95" w:rsidP="00D14B95">
      <w:pPr>
        <w:pStyle w:val="Caption"/>
        <w:keepNext/>
      </w:pPr>
      <w:r w:rsidRPr="006A74F8">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10</w:t>
      </w:r>
      <w:r w:rsidR="00D003A8" w:rsidRPr="006A74F8">
        <w:rPr>
          <w:noProof/>
        </w:rPr>
        <w:fldChar w:fldCharType="end"/>
      </w:r>
      <w:r w:rsidRPr="006A74F8">
        <w:t>: Appointment arrangements proposed under options 1-3</w:t>
      </w:r>
    </w:p>
    <w:tbl>
      <w:tblPr>
        <w:tblW w:w="8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3- 10: Appointment arrangements proposed under options 1-3"/>
        <w:tblDescription w:val="Table describes the proposed appointment arrangements under options 1-3"/>
      </w:tblPr>
      <w:tblGrid>
        <w:gridCol w:w="1142"/>
        <w:gridCol w:w="2377"/>
        <w:gridCol w:w="5165"/>
      </w:tblGrid>
      <w:tr w:rsidR="005F6C6E" w:rsidRPr="006A74F8" w:rsidTr="001E37AC">
        <w:trPr>
          <w:trHeight w:val="160"/>
        </w:trPr>
        <w:tc>
          <w:tcPr>
            <w:tcW w:w="1142" w:type="dxa"/>
            <w:shd w:val="clear" w:color="auto" w:fill="1F3864"/>
          </w:tcPr>
          <w:p w:rsidR="005F6C6E" w:rsidRPr="006A74F8" w:rsidRDefault="005F6C6E" w:rsidP="004133DF">
            <w:pPr>
              <w:spacing w:after="0"/>
              <w:rPr>
                <w:b/>
                <w:sz w:val="18"/>
              </w:rPr>
            </w:pPr>
            <w:r w:rsidRPr="006A74F8">
              <w:rPr>
                <w:b/>
                <w:sz w:val="18"/>
              </w:rPr>
              <w:t>ATP</w:t>
            </w:r>
          </w:p>
        </w:tc>
        <w:tc>
          <w:tcPr>
            <w:tcW w:w="2377" w:type="dxa"/>
            <w:shd w:val="clear" w:color="auto" w:fill="1F3864"/>
          </w:tcPr>
          <w:p w:rsidR="005F6C6E" w:rsidRPr="006A74F8" w:rsidRDefault="005F6C6E" w:rsidP="004133DF">
            <w:pPr>
              <w:spacing w:after="0"/>
              <w:rPr>
                <w:b/>
                <w:sz w:val="18"/>
              </w:rPr>
            </w:pPr>
            <w:r w:rsidRPr="006A74F8">
              <w:rPr>
                <w:b/>
                <w:sz w:val="18"/>
              </w:rPr>
              <w:t>Option 1</w:t>
            </w:r>
          </w:p>
        </w:tc>
        <w:tc>
          <w:tcPr>
            <w:tcW w:w="5165" w:type="dxa"/>
            <w:shd w:val="clear" w:color="auto" w:fill="1F3864"/>
          </w:tcPr>
          <w:p w:rsidR="005F6C6E" w:rsidRPr="006A74F8" w:rsidRDefault="005F6C6E" w:rsidP="004133DF">
            <w:pPr>
              <w:spacing w:after="0"/>
              <w:rPr>
                <w:b/>
                <w:sz w:val="18"/>
              </w:rPr>
            </w:pPr>
            <w:r w:rsidRPr="006A74F8">
              <w:rPr>
                <w:b/>
                <w:sz w:val="18"/>
              </w:rPr>
              <w:t>Option 2 and 3</w:t>
            </w:r>
          </w:p>
        </w:tc>
      </w:tr>
      <w:tr w:rsidR="00E95BC0" w:rsidRPr="006A74F8" w:rsidTr="00417CD6">
        <w:trPr>
          <w:trHeight w:val="160"/>
        </w:trPr>
        <w:tc>
          <w:tcPr>
            <w:tcW w:w="1142" w:type="dxa"/>
          </w:tcPr>
          <w:p w:rsidR="00E95BC0" w:rsidRPr="006A74F8" w:rsidRDefault="00E95BC0" w:rsidP="004133DF">
            <w:pPr>
              <w:spacing w:after="0"/>
              <w:rPr>
                <w:sz w:val="18"/>
              </w:rPr>
            </w:pPr>
            <w:r w:rsidRPr="006A74F8">
              <w:rPr>
                <w:sz w:val="18"/>
              </w:rPr>
              <w:t xml:space="preserve">SL </w:t>
            </w:r>
          </w:p>
        </w:tc>
        <w:tc>
          <w:tcPr>
            <w:tcW w:w="2377" w:type="dxa"/>
            <w:vMerge w:val="restart"/>
          </w:tcPr>
          <w:p w:rsidR="00E95BC0" w:rsidRPr="006A74F8" w:rsidRDefault="00E95BC0" w:rsidP="00B07063">
            <w:pPr>
              <w:pStyle w:val="ListParagraph"/>
              <w:numPr>
                <w:ilvl w:val="0"/>
                <w:numId w:val="59"/>
              </w:numPr>
              <w:spacing w:after="0"/>
              <w:ind w:left="317"/>
              <w:rPr>
                <w:b/>
                <w:sz w:val="18"/>
              </w:rPr>
            </w:pPr>
            <w:r w:rsidRPr="006A74F8">
              <w:rPr>
                <w:b/>
                <w:sz w:val="18"/>
              </w:rPr>
              <w:t xml:space="preserve">Merged Licence </w:t>
            </w:r>
          </w:p>
        </w:tc>
        <w:tc>
          <w:tcPr>
            <w:tcW w:w="5165" w:type="dxa"/>
            <w:vMerge w:val="restart"/>
            <w:vAlign w:val="center"/>
          </w:tcPr>
          <w:p w:rsidR="00E95BC0" w:rsidRPr="006A74F8" w:rsidRDefault="00E95BC0" w:rsidP="00B07063">
            <w:pPr>
              <w:pStyle w:val="ListParagraph"/>
              <w:numPr>
                <w:ilvl w:val="0"/>
                <w:numId w:val="60"/>
              </w:numPr>
              <w:spacing w:after="0"/>
              <w:rPr>
                <w:b/>
                <w:sz w:val="18"/>
              </w:rPr>
            </w:pPr>
            <w:r w:rsidRPr="006A74F8">
              <w:rPr>
                <w:b/>
                <w:sz w:val="18"/>
              </w:rPr>
              <w:t>Appointed Authority</w:t>
            </w:r>
            <w:r w:rsidR="001F5BDF" w:rsidRPr="006A74F8">
              <w:rPr>
                <w:b/>
                <w:sz w:val="18"/>
              </w:rPr>
              <w:t>:</w:t>
            </w:r>
            <w:r w:rsidRPr="006A74F8">
              <w:rPr>
                <w:b/>
                <w:sz w:val="18"/>
              </w:rPr>
              <w:t xml:space="preserve"> single </w:t>
            </w:r>
            <w:r w:rsidR="00E5758B" w:rsidRPr="006A74F8">
              <w:rPr>
                <w:b/>
                <w:sz w:val="18"/>
              </w:rPr>
              <w:t>appointment mechanism</w:t>
            </w:r>
          </w:p>
          <w:p w:rsidR="00F61F7C" w:rsidRPr="006A74F8" w:rsidRDefault="00E5758B" w:rsidP="00603432">
            <w:pPr>
              <w:spacing w:after="0"/>
              <w:rPr>
                <w:sz w:val="18"/>
              </w:rPr>
            </w:pPr>
            <w:r w:rsidRPr="006A74F8">
              <w:rPr>
                <w:sz w:val="18"/>
              </w:rPr>
              <w:t>Single legislative</w:t>
            </w:r>
            <w:r w:rsidR="00E95BC0" w:rsidRPr="006A74F8">
              <w:rPr>
                <w:sz w:val="18"/>
              </w:rPr>
              <w:t xml:space="preserve"> appointment </w:t>
            </w:r>
            <w:r w:rsidRPr="006A74F8">
              <w:rPr>
                <w:sz w:val="18"/>
              </w:rPr>
              <w:t xml:space="preserve">mechanism </w:t>
            </w:r>
            <w:r w:rsidR="00E95BC0" w:rsidRPr="006A74F8">
              <w:rPr>
                <w:sz w:val="18"/>
              </w:rPr>
              <w:t xml:space="preserve">will apply with </w:t>
            </w:r>
            <w:r w:rsidR="00B07063" w:rsidRPr="006A74F8">
              <w:rPr>
                <w:sz w:val="18"/>
              </w:rPr>
              <w:t xml:space="preserve">distinct </w:t>
            </w:r>
            <w:r w:rsidRPr="006A74F8">
              <w:rPr>
                <w:sz w:val="18"/>
              </w:rPr>
              <w:t xml:space="preserve">ATP functions </w:t>
            </w:r>
            <w:r w:rsidR="009735B3" w:rsidRPr="006A74F8">
              <w:rPr>
                <w:sz w:val="18"/>
              </w:rPr>
              <w:t>(SL, UMV, CA, VA</w:t>
            </w:r>
            <w:r w:rsidR="00AD4BD7" w:rsidRPr="006A74F8">
              <w:rPr>
                <w:sz w:val="18"/>
              </w:rPr>
              <w:t>, AA</w:t>
            </w:r>
            <w:r w:rsidR="00F61F7C" w:rsidRPr="006A74F8">
              <w:rPr>
                <w:sz w:val="18"/>
              </w:rPr>
              <w:t>, PWBL</w:t>
            </w:r>
            <w:r w:rsidR="00AD4BD7" w:rsidRPr="006A74F8">
              <w:rPr>
                <w:sz w:val="18"/>
              </w:rPr>
              <w:t xml:space="preserve">) </w:t>
            </w:r>
            <w:r w:rsidR="00E95BC0" w:rsidRPr="006A74F8">
              <w:rPr>
                <w:sz w:val="18"/>
              </w:rPr>
              <w:t xml:space="preserve">specified in </w:t>
            </w:r>
            <w:r w:rsidRPr="006A74F8">
              <w:rPr>
                <w:sz w:val="18"/>
              </w:rPr>
              <w:t>the regulations and the ability to accommodate new types of functions in the future</w:t>
            </w:r>
            <w:r w:rsidR="00E95BC0" w:rsidRPr="006A74F8">
              <w:rPr>
                <w:sz w:val="18"/>
              </w:rPr>
              <w:t>.</w:t>
            </w:r>
            <w:r w:rsidR="00E95BC0" w:rsidRPr="006A74F8" w:rsidDel="00603432">
              <w:rPr>
                <w:sz w:val="18"/>
              </w:rPr>
              <w:t xml:space="preserve"> Requirements for </w:t>
            </w:r>
            <w:r w:rsidR="00196397" w:rsidRPr="006A74F8">
              <w:rPr>
                <w:sz w:val="18"/>
              </w:rPr>
              <w:t>public weighbridges</w:t>
            </w:r>
            <w:r w:rsidR="00E95BC0" w:rsidRPr="006A74F8" w:rsidDel="00603432">
              <w:rPr>
                <w:sz w:val="18"/>
              </w:rPr>
              <w:t xml:space="preserve"> will be simplified.</w:t>
            </w:r>
          </w:p>
          <w:p w:rsidR="00F61F7C" w:rsidRPr="006A74F8" w:rsidRDefault="00F61F7C" w:rsidP="00F61F7C">
            <w:pPr>
              <w:pStyle w:val="ListParagraph"/>
              <w:spacing w:after="0"/>
              <w:ind w:left="360" w:firstLine="0"/>
              <w:rPr>
                <w:b/>
                <w:sz w:val="18"/>
              </w:rPr>
            </w:pPr>
          </w:p>
          <w:p w:rsidR="00E95BC0" w:rsidRPr="006A74F8" w:rsidRDefault="00F61F7C" w:rsidP="00603432">
            <w:pPr>
              <w:spacing w:after="0"/>
              <w:rPr>
                <w:sz w:val="18"/>
              </w:rPr>
            </w:pPr>
            <w:r w:rsidRPr="006A74F8">
              <w:rPr>
                <w:sz w:val="18"/>
              </w:rPr>
              <w:t xml:space="preserve"> </w:t>
            </w:r>
          </w:p>
        </w:tc>
      </w:tr>
      <w:tr w:rsidR="00E95BC0" w:rsidRPr="006A74F8" w:rsidTr="00417CD6">
        <w:trPr>
          <w:trHeight w:val="160"/>
        </w:trPr>
        <w:tc>
          <w:tcPr>
            <w:tcW w:w="1142" w:type="dxa"/>
          </w:tcPr>
          <w:p w:rsidR="00E95BC0" w:rsidRPr="006A74F8" w:rsidRDefault="00E95BC0" w:rsidP="004133DF">
            <w:pPr>
              <w:spacing w:after="0"/>
              <w:rPr>
                <w:sz w:val="18"/>
              </w:rPr>
            </w:pPr>
            <w:r w:rsidRPr="006A74F8">
              <w:rPr>
                <w:sz w:val="18"/>
              </w:rPr>
              <w:t xml:space="preserve">UMV </w:t>
            </w:r>
          </w:p>
        </w:tc>
        <w:tc>
          <w:tcPr>
            <w:tcW w:w="2377" w:type="dxa"/>
            <w:vMerge/>
          </w:tcPr>
          <w:p w:rsidR="00E95BC0" w:rsidRPr="006A74F8" w:rsidRDefault="00E95BC0" w:rsidP="004133DF">
            <w:pPr>
              <w:spacing w:after="0"/>
              <w:ind w:left="317"/>
              <w:rPr>
                <w:sz w:val="18"/>
              </w:rPr>
            </w:pPr>
          </w:p>
        </w:tc>
        <w:tc>
          <w:tcPr>
            <w:tcW w:w="5165" w:type="dxa"/>
            <w:vMerge/>
          </w:tcPr>
          <w:p w:rsidR="00E95BC0" w:rsidRPr="006A74F8" w:rsidRDefault="00E95BC0" w:rsidP="004133DF">
            <w:pPr>
              <w:spacing w:after="0"/>
              <w:rPr>
                <w:sz w:val="18"/>
              </w:rPr>
            </w:pPr>
          </w:p>
        </w:tc>
      </w:tr>
      <w:tr w:rsidR="00E95BC0" w:rsidRPr="006A74F8" w:rsidTr="00417CD6">
        <w:trPr>
          <w:trHeight w:val="160"/>
        </w:trPr>
        <w:tc>
          <w:tcPr>
            <w:tcW w:w="1142" w:type="dxa"/>
          </w:tcPr>
          <w:p w:rsidR="00E95BC0" w:rsidRPr="006A74F8" w:rsidRDefault="00E95BC0" w:rsidP="004133DF">
            <w:pPr>
              <w:spacing w:after="0"/>
              <w:rPr>
                <w:sz w:val="18"/>
              </w:rPr>
            </w:pPr>
            <w:r w:rsidRPr="006A74F8">
              <w:rPr>
                <w:sz w:val="18"/>
              </w:rPr>
              <w:t xml:space="preserve">CA </w:t>
            </w:r>
          </w:p>
        </w:tc>
        <w:tc>
          <w:tcPr>
            <w:tcW w:w="2377" w:type="dxa"/>
            <w:vMerge w:val="restart"/>
          </w:tcPr>
          <w:p w:rsidR="00E95BC0" w:rsidRPr="006A74F8" w:rsidRDefault="00E95BC0" w:rsidP="00B07063">
            <w:pPr>
              <w:pStyle w:val="ListParagraph"/>
              <w:numPr>
                <w:ilvl w:val="0"/>
                <w:numId w:val="59"/>
              </w:numPr>
              <w:spacing w:after="0"/>
              <w:ind w:left="317"/>
              <w:rPr>
                <w:b/>
                <w:sz w:val="18"/>
              </w:rPr>
            </w:pPr>
            <w:r w:rsidRPr="006A74F8">
              <w:rPr>
                <w:b/>
                <w:sz w:val="18"/>
              </w:rPr>
              <w:t xml:space="preserve">Merged Authority </w:t>
            </w:r>
          </w:p>
          <w:p w:rsidR="00E95BC0" w:rsidRPr="006A74F8" w:rsidRDefault="00E95BC0" w:rsidP="004133DF">
            <w:pPr>
              <w:spacing w:after="0"/>
              <w:ind w:left="317"/>
              <w:rPr>
                <w:b/>
                <w:sz w:val="18"/>
              </w:rPr>
            </w:pPr>
          </w:p>
        </w:tc>
        <w:tc>
          <w:tcPr>
            <w:tcW w:w="5165" w:type="dxa"/>
            <w:vMerge/>
          </w:tcPr>
          <w:p w:rsidR="00E95BC0" w:rsidRPr="006A74F8" w:rsidRDefault="00E95BC0" w:rsidP="004133DF">
            <w:pPr>
              <w:spacing w:after="0"/>
              <w:rPr>
                <w:sz w:val="18"/>
              </w:rPr>
            </w:pPr>
          </w:p>
        </w:tc>
      </w:tr>
      <w:tr w:rsidR="00E95BC0" w:rsidRPr="006A74F8" w:rsidTr="00417CD6">
        <w:trPr>
          <w:trHeight w:val="160"/>
        </w:trPr>
        <w:tc>
          <w:tcPr>
            <w:tcW w:w="1142" w:type="dxa"/>
          </w:tcPr>
          <w:p w:rsidR="00E95BC0" w:rsidRPr="006A74F8" w:rsidRDefault="00E95BC0" w:rsidP="004133DF">
            <w:pPr>
              <w:spacing w:after="0"/>
              <w:rPr>
                <w:sz w:val="18"/>
              </w:rPr>
            </w:pPr>
            <w:r w:rsidRPr="006A74F8">
              <w:rPr>
                <w:sz w:val="18"/>
              </w:rPr>
              <w:t xml:space="preserve">VA </w:t>
            </w:r>
          </w:p>
        </w:tc>
        <w:tc>
          <w:tcPr>
            <w:tcW w:w="2377" w:type="dxa"/>
            <w:vMerge/>
          </w:tcPr>
          <w:p w:rsidR="00E95BC0" w:rsidRPr="006A74F8" w:rsidRDefault="00E95BC0" w:rsidP="004133DF">
            <w:pPr>
              <w:spacing w:after="0"/>
              <w:ind w:left="317"/>
              <w:rPr>
                <w:b/>
                <w:sz w:val="18"/>
              </w:rPr>
            </w:pPr>
          </w:p>
        </w:tc>
        <w:tc>
          <w:tcPr>
            <w:tcW w:w="5165" w:type="dxa"/>
            <w:vMerge/>
          </w:tcPr>
          <w:p w:rsidR="00E95BC0" w:rsidRPr="006A74F8" w:rsidRDefault="00E95BC0" w:rsidP="004133DF">
            <w:pPr>
              <w:spacing w:after="0"/>
              <w:rPr>
                <w:sz w:val="18"/>
              </w:rPr>
            </w:pPr>
          </w:p>
        </w:tc>
      </w:tr>
      <w:tr w:rsidR="00E95BC0" w:rsidRPr="006A74F8" w:rsidTr="00417CD6">
        <w:trPr>
          <w:trHeight w:val="160"/>
        </w:trPr>
        <w:tc>
          <w:tcPr>
            <w:tcW w:w="1142" w:type="dxa"/>
          </w:tcPr>
          <w:p w:rsidR="00E95BC0" w:rsidRPr="006A74F8" w:rsidRDefault="00E95BC0" w:rsidP="004133DF">
            <w:pPr>
              <w:spacing w:after="0"/>
              <w:rPr>
                <w:sz w:val="18"/>
              </w:rPr>
            </w:pPr>
            <w:r w:rsidRPr="006A74F8">
              <w:rPr>
                <w:sz w:val="18"/>
              </w:rPr>
              <w:t xml:space="preserve">AA </w:t>
            </w:r>
          </w:p>
        </w:tc>
        <w:tc>
          <w:tcPr>
            <w:tcW w:w="2377" w:type="dxa"/>
          </w:tcPr>
          <w:p w:rsidR="00E95BC0" w:rsidRPr="006A74F8" w:rsidRDefault="00E95BC0" w:rsidP="00B07063">
            <w:pPr>
              <w:pStyle w:val="ListParagraph"/>
              <w:numPr>
                <w:ilvl w:val="0"/>
                <w:numId w:val="59"/>
              </w:numPr>
              <w:spacing w:after="0"/>
              <w:ind w:left="317"/>
              <w:rPr>
                <w:b/>
                <w:sz w:val="18"/>
              </w:rPr>
            </w:pPr>
            <w:r w:rsidRPr="006A74F8">
              <w:rPr>
                <w:b/>
                <w:sz w:val="18"/>
              </w:rPr>
              <w:t>Approving Authority</w:t>
            </w:r>
          </w:p>
        </w:tc>
        <w:tc>
          <w:tcPr>
            <w:tcW w:w="5165" w:type="dxa"/>
            <w:vMerge/>
          </w:tcPr>
          <w:p w:rsidR="00E95BC0" w:rsidRPr="006A74F8" w:rsidRDefault="00E95BC0" w:rsidP="004133DF">
            <w:pPr>
              <w:spacing w:after="0"/>
              <w:rPr>
                <w:sz w:val="18"/>
              </w:rPr>
            </w:pPr>
          </w:p>
        </w:tc>
      </w:tr>
      <w:tr w:rsidR="00F344F5" w:rsidRPr="006A74F8" w:rsidTr="0093331F">
        <w:trPr>
          <w:trHeight w:val="160"/>
        </w:trPr>
        <w:tc>
          <w:tcPr>
            <w:tcW w:w="1142" w:type="dxa"/>
          </w:tcPr>
          <w:p w:rsidR="00F344F5" w:rsidRPr="006A74F8" w:rsidRDefault="00F344F5" w:rsidP="004133DF">
            <w:pPr>
              <w:spacing w:after="0"/>
              <w:rPr>
                <w:sz w:val="18"/>
              </w:rPr>
            </w:pPr>
            <w:r w:rsidRPr="006A74F8">
              <w:rPr>
                <w:sz w:val="18"/>
              </w:rPr>
              <w:t>PWB</w:t>
            </w:r>
            <w:r w:rsidR="00036AC1" w:rsidRPr="006A74F8">
              <w:rPr>
                <w:sz w:val="18"/>
              </w:rPr>
              <w:t>L</w:t>
            </w:r>
          </w:p>
        </w:tc>
        <w:tc>
          <w:tcPr>
            <w:tcW w:w="2377" w:type="dxa"/>
          </w:tcPr>
          <w:p w:rsidR="00F344F5" w:rsidRPr="006A74F8" w:rsidRDefault="00F344F5" w:rsidP="00B07063">
            <w:pPr>
              <w:pStyle w:val="ListParagraph"/>
              <w:numPr>
                <w:ilvl w:val="0"/>
                <w:numId w:val="59"/>
              </w:numPr>
              <w:spacing w:after="0"/>
              <w:ind w:left="317"/>
              <w:rPr>
                <w:b/>
                <w:sz w:val="18"/>
              </w:rPr>
            </w:pPr>
            <w:r w:rsidRPr="006A74F8">
              <w:rPr>
                <w:b/>
                <w:sz w:val="18"/>
              </w:rPr>
              <w:t>PWB</w:t>
            </w:r>
            <w:r w:rsidR="00036AC1" w:rsidRPr="006A74F8">
              <w:rPr>
                <w:b/>
                <w:sz w:val="18"/>
              </w:rPr>
              <w:t>L</w:t>
            </w:r>
          </w:p>
          <w:p w:rsidR="00603432" w:rsidRPr="006A74F8" w:rsidRDefault="00603432" w:rsidP="00603432">
            <w:pPr>
              <w:spacing w:after="0"/>
              <w:ind w:left="-43"/>
              <w:rPr>
                <w:b/>
                <w:sz w:val="18"/>
              </w:rPr>
            </w:pPr>
            <w:r w:rsidRPr="006A74F8">
              <w:rPr>
                <w:sz w:val="18"/>
              </w:rPr>
              <w:t xml:space="preserve">Requirements for </w:t>
            </w:r>
            <w:r w:rsidR="00196397" w:rsidRPr="006A74F8">
              <w:rPr>
                <w:sz w:val="18"/>
              </w:rPr>
              <w:t>public weighbridges</w:t>
            </w:r>
            <w:r w:rsidRPr="006A74F8">
              <w:rPr>
                <w:sz w:val="18"/>
              </w:rPr>
              <w:t xml:space="preserve"> will be simplified.</w:t>
            </w:r>
          </w:p>
        </w:tc>
        <w:tc>
          <w:tcPr>
            <w:tcW w:w="5165" w:type="dxa"/>
            <w:vMerge/>
          </w:tcPr>
          <w:p w:rsidR="00F344F5" w:rsidRPr="006A74F8" w:rsidRDefault="00F344F5" w:rsidP="00D5032C">
            <w:pPr>
              <w:spacing w:after="0"/>
              <w:rPr>
                <w:b/>
                <w:sz w:val="18"/>
              </w:rPr>
            </w:pPr>
          </w:p>
        </w:tc>
      </w:tr>
      <w:tr w:rsidR="00F344F5" w:rsidRPr="006A74F8" w:rsidTr="0093331F">
        <w:trPr>
          <w:trHeight w:val="385"/>
        </w:trPr>
        <w:tc>
          <w:tcPr>
            <w:tcW w:w="1142" w:type="dxa"/>
            <w:vAlign w:val="center"/>
          </w:tcPr>
          <w:p w:rsidR="00F344F5" w:rsidRPr="006A74F8" w:rsidRDefault="00F344F5" w:rsidP="00F344F5">
            <w:pPr>
              <w:spacing w:after="0"/>
              <w:rPr>
                <w:sz w:val="18"/>
              </w:rPr>
            </w:pPr>
            <w:r w:rsidRPr="006A74F8">
              <w:rPr>
                <w:sz w:val="18"/>
              </w:rPr>
              <w:t>General licences</w:t>
            </w:r>
          </w:p>
        </w:tc>
        <w:tc>
          <w:tcPr>
            <w:tcW w:w="2377" w:type="dxa"/>
          </w:tcPr>
          <w:p w:rsidR="00F344F5" w:rsidRPr="006A74F8" w:rsidRDefault="00F344F5" w:rsidP="00F344F5">
            <w:pPr>
              <w:pStyle w:val="ListParagraph"/>
              <w:spacing w:after="0"/>
              <w:ind w:left="317" w:firstLine="0"/>
              <w:rPr>
                <w:sz w:val="18"/>
              </w:rPr>
            </w:pPr>
          </w:p>
          <w:p w:rsidR="00F344F5" w:rsidRPr="006A74F8" w:rsidRDefault="00F344F5" w:rsidP="00F344F5">
            <w:pPr>
              <w:pStyle w:val="ListParagraph"/>
              <w:spacing w:after="0"/>
              <w:ind w:left="317" w:firstLine="0"/>
              <w:rPr>
                <w:sz w:val="18"/>
              </w:rPr>
            </w:pPr>
            <w:r w:rsidRPr="006A74F8">
              <w:rPr>
                <w:sz w:val="18"/>
              </w:rPr>
              <w:t>N/A</w:t>
            </w:r>
          </w:p>
        </w:tc>
        <w:tc>
          <w:tcPr>
            <w:tcW w:w="5165" w:type="dxa"/>
          </w:tcPr>
          <w:p w:rsidR="00F344F5" w:rsidRPr="006A74F8" w:rsidRDefault="00F344F5" w:rsidP="00B07063">
            <w:pPr>
              <w:pStyle w:val="ListParagraph"/>
              <w:numPr>
                <w:ilvl w:val="0"/>
                <w:numId w:val="60"/>
              </w:numPr>
              <w:spacing w:after="0"/>
              <w:rPr>
                <w:b/>
                <w:sz w:val="18"/>
              </w:rPr>
            </w:pPr>
            <w:r w:rsidRPr="006A74F8">
              <w:rPr>
                <w:b/>
                <w:sz w:val="18"/>
              </w:rPr>
              <w:t xml:space="preserve">General licences </w:t>
            </w:r>
          </w:p>
          <w:p w:rsidR="00F344F5" w:rsidRPr="006A74F8" w:rsidRDefault="00F344F5" w:rsidP="00F344F5">
            <w:pPr>
              <w:spacing w:after="0"/>
              <w:rPr>
                <w:sz w:val="18"/>
              </w:rPr>
            </w:pPr>
            <w:r w:rsidRPr="006A74F8">
              <w:rPr>
                <w:sz w:val="18"/>
              </w:rPr>
              <w:t xml:space="preserve">General Licences may be introduced </w:t>
            </w:r>
            <w:r w:rsidR="0014787C" w:rsidRPr="006A74F8">
              <w:rPr>
                <w:sz w:val="18"/>
              </w:rPr>
              <w:t xml:space="preserve">in future </w:t>
            </w:r>
            <w:r w:rsidRPr="006A74F8">
              <w:rPr>
                <w:sz w:val="18"/>
              </w:rPr>
              <w:t>to enable the provision of measurement services.</w:t>
            </w:r>
          </w:p>
        </w:tc>
      </w:tr>
      <w:tr w:rsidR="00E95BC0" w:rsidRPr="006A74F8" w:rsidTr="0093331F">
        <w:trPr>
          <w:trHeight w:val="160"/>
        </w:trPr>
        <w:tc>
          <w:tcPr>
            <w:tcW w:w="1142" w:type="dxa"/>
            <w:tcBorders>
              <w:top w:val="single" w:sz="4" w:space="0" w:color="auto"/>
              <w:left w:val="single" w:sz="4" w:space="0" w:color="auto"/>
              <w:bottom w:val="single" w:sz="4" w:space="0" w:color="auto"/>
              <w:right w:val="single" w:sz="4" w:space="0" w:color="auto"/>
            </w:tcBorders>
            <w:shd w:val="clear" w:color="auto" w:fill="DDDDDE" w:themeFill="background2" w:themeFillTint="33"/>
            <w:vAlign w:val="center"/>
          </w:tcPr>
          <w:p w:rsidR="00E95BC0" w:rsidRPr="006A74F8" w:rsidRDefault="00E95BC0" w:rsidP="004133DF">
            <w:pPr>
              <w:spacing w:after="0"/>
              <w:rPr>
                <w:sz w:val="18"/>
              </w:rPr>
            </w:pPr>
            <w:r w:rsidRPr="006A74F8">
              <w:rPr>
                <w:sz w:val="18"/>
              </w:rPr>
              <w:t>How many ATPs benefit?</w:t>
            </w:r>
          </w:p>
        </w:tc>
        <w:tc>
          <w:tcPr>
            <w:tcW w:w="2377" w:type="dxa"/>
            <w:tcBorders>
              <w:top w:val="single" w:sz="4" w:space="0" w:color="auto"/>
              <w:left w:val="single" w:sz="4" w:space="0" w:color="auto"/>
              <w:bottom w:val="single" w:sz="4" w:space="0" w:color="auto"/>
              <w:right w:val="single" w:sz="4" w:space="0" w:color="auto"/>
            </w:tcBorders>
            <w:shd w:val="clear" w:color="auto" w:fill="DDDDDE" w:themeFill="background2" w:themeFillTint="33"/>
          </w:tcPr>
          <w:p w:rsidR="0093331F" w:rsidRPr="006A74F8" w:rsidRDefault="0093331F" w:rsidP="0093331F">
            <w:pPr>
              <w:pStyle w:val="ListParagraph"/>
              <w:spacing w:after="0"/>
              <w:ind w:left="317" w:firstLine="0"/>
              <w:rPr>
                <w:sz w:val="18"/>
              </w:rPr>
            </w:pPr>
          </w:p>
          <w:p w:rsidR="00E95BC0" w:rsidRPr="006A74F8" w:rsidRDefault="0093331F" w:rsidP="0093331F">
            <w:pPr>
              <w:pStyle w:val="ListParagraph"/>
              <w:spacing w:after="0"/>
              <w:ind w:left="317" w:firstLine="0"/>
              <w:rPr>
                <w:sz w:val="18"/>
              </w:rPr>
            </w:pPr>
            <w:r w:rsidRPr="006A74F8">
              <w:rPr>
                <w:sz w:val="18"/>
              </w:rPr>
              <w:t>244 ATPs</w:t>
            </w:r>
          </w:p>
        </w:tc>
        <w:tc>
          <w:tcPr>
            <w:tcW w:w="5165" w:type="dxa"/>
            <w:shd w:val="clear" w:color="auto" w:fill="DDDDDE" w:themeFill="background2" w:themeFillTint="33"/>
          </w:tcPr>
          <w:p w:rsidR="0078322B" w:rsidRPr="006A74F8" w:rsidRDefault="0078322B" w:rsidP="004133DF">
            <w:pPr>
              <w:spacing w:after="0"/>
              <w:rPr>
                <w:b/>
                <w:sz w:val="18"/>
              </w:rPr>
            </w:pPr>
            <w:r w:rsidRPr="006A74F8">
              <w:rPr>
                <w:b/>
                <w:sz w:val="18"/>
              </w:rPr>
              <w:t xml:space="preserve"> </w:t>
            </w:r>
          </w:p>
          <w:p w:rsidR="00E95BC0" w:rsidRPr="006A74F8" w:rsidRDefault="0078322B" w:rsidP="00B07063">
            <w:pPr>
              <w:pStyle w:val="ListParagraph"/>
              <w:numPr>
                <w:ilvl w:val="2"/>
                <w:numId w:val="10"/>
              </w:numPr>
              <w:spacing w:after="0"/>
              <w:ind w:left="477"/>
              <w:jc w:val="both"/>
              <w:rPr>
                <w:sz w:val="18"/>
              </w:rPr>
            </w:pPr>
            <w:r w:rsidRPr="006A74F8">
              <w:rPr>
                <w:b/>
                <w:sz w:val="18"/>
              </w:rPr>
              <w:t>ATPs (potentially all 617 ATPs)</w:t>
            </w:r>
          </w:p>
        </w:tc>
      </w:tr>
    </w:tbl>
    <w:p w:rsidR="00C62A46" w:rsidRPr="006A74F8" w:rsidRDefault="00836C63" w:rsidP="0014787C">
      <w:pPr>
        <w:spacing w:before="160"/>
      </w:pPr>
      <w:r w:rsidRPr="006A74F8">
        <w:t xml:space="preserve">Under </w:t>
      </w:r>
      <w:r w:rsidR="009F0892" w:rsidRPr="006A74F8">
        <w:rPr>
          <w:b/>
        </w:rPr>
        <w:t>o</w:t>
      </w:r>
      <w:r w:rsidRPr="006A74F8">
        <w:rPr>
          <w:b/>
        </w:rPr>
        <w:t>ption 1</w:t>
      </w:r>
      <w:r w:rsidRPr="006A74F8">
        <w:t>, t</w:t>
      </w:r>
      <w:r w:rsidR="005F6C6E" w:rsidRPr="006A74F8">
        <w:t>here would be potentia</w:t>
      </w:r>
      <w:r w:rsidR="007416BE" w:rsidRPr="006A74F8">
        <w:t xml:space="preserve">l savings from streamlining </w:t>
      </w:r>
      <w:r w:rsidR="005F6C6E" w:rsidRPr="006A74F8">
        <w:t>appointments for ATPs</w:t>
      </w:r>
      <w:r w:rsidRPr="006A74F8">
        <w:t>:</w:t>
      </w:r>
      <w:r w:rsidR="005F6C6E" w:rsidRPr="006A74F8">
        <w:t xml:space="preserve"> </w:t>
      </w:r>
      <w:r w:rsidR="00997232" w:rsidRPr="006A74F8">
        <w:t xml:space="preserve"> </w:t>
      </w:r>
    </w:p>
    <w:p w:rsidR="00997232" w:rsidRPr="006A74F8" w:rsidRDefault="0071583B" w:rsidP="00B07063">
      <w:pPr>
        <w:pStyle w:val="ListParagraph"/>
        <w:numPr>
          <w:ilvl w:val="0"/>
          <w:numId w:val="128"/>
        </w:numPr>
      </w:pPr>
      <w:r w:rsidRPr="006A74F8">
        <w:t xml:space="preserve">Servicing </w:t>
      </w:r>
      <w:r w:rsidR="00997232" w:rsidRPr="006A74F8">
        <w:t>Licences could be consolidated into fewer classes</w:t>
      </w:r>
      <w:r w:rsidR="007416BE" w:rsidRPr="006A74F8">
        <w:t xml:space="preserve"> and subclasses</w:t>
      </w:r>
      <w:r w:rsidR="00C62A46" w:rsidRPr="006A74F8">
        <w:t xml:space="preserve"> </w:t>
      </w:r>
      <w:r w:rsidR="00836C63" w:rsidRPr="006A74F8">
        <w:t>with the number of classes to</w:t>
      </w:r>
      <w:r w:rsidR="00C62A46" w:rsidRPr="006A74F8">
        <w:t xml:space="preserve"> be </w:t>
      </w:r>
      <w:r w:rsidR="00997232" w:rsidRPr="006A74F8">
        <w:t>determined after further consultation in the future</w:t>
      </w:r>
      <w:r w:rsidR="007416BE" w:rsidRPr="006A74F8">
        <w:t>, potentially reducing the number of licence applications and renewals</w:t>
      </w:r>
      <w:r w:rsidR="00C62A46" w:rsidRPr="006A74F8">
        <w:t xml:space="preserve">. </w:t>
      </w:r>
      <w:r w:rsidR="007416BE" w:rsidRPr="006A74F8">
        <w:t>In addition, merging S</w:t>
      </w:r>
      <w:r w:rsidR="00B95F35" w:rsidRPr="006A74F8">
        <w:t>ervicing Licensees</w:t>
      </w:r>
      <w:r w:rsidR="007416BE" w:rsidRPr="006A74F8">
        <w:t xml:space="preserve"> and UMV</w:t>
      </w:r>
      <w:r w:rsidR="00B95F35" w:rsidRPr="006A74F8">
        <w:t>s</w:t>
      </w:r>
      <w:r w:rsidRPr="006A74F8">
        <w:t xml:space="preserve"> will streamline </w:t>
      </w:r>
      <w:r w:rsidR="007416BE" w:rsidRPr="006A74F8">
        <w:t xml:space="preserve">some </w:t>
      </w:r>
      <w:r w:rsidR="00C62A46" w:rsidRPr="006A74F8">
        <w:t xml:space="preserve">licence applications and renewals. </w:t>
      </w:r>
      <w:r w:rsidR="00997232" w:rsidRPr="006A74F8">
        <w:t xml:space="preserve"> </w:t>
      </w:r>
    </w:p>
    <w:p w:rsidR="00A72B21" w:rsidRPr="006A74F8" w:rsidRDefault="00A72B21" w:rsidP="00B07063">
      <w:pPr>
        <w:pStyle w:val="ListParagraph"/>
        <w:numPr>
          <w:ilvl w:val="0"/>
          <w:numId w:val="128"/>
        </w:numPr>
      </w:pPr>
      <w:r w:rsidRPr="006A74F8">
        <w:t>ATPs who currently hold C</w:t>
      </w:r>
      <w:r w:rsidR="00362A3A" w:rsidRPr="006A74F8">
        <w:t xml:space="preserve">ertifying </w:t>
      </w:r>
      <w:r w:rsidRPr="006A74F8">
        <w:t>A</w:t>
      </w:r>
      <w:r w:rsidR="00362A3A" w:rsidRPr="006A74F8">
        <w:t>uthority</w:t>
      </w:r>
      <w:r w:rsidRPr="006A74F8">
        <w:t xml:space="preserve"> and V</w:t>
      </w:r>
      <w:r w:rsidR="00362A3A" w:rsidRPr="006A74F8">
        <w:t xml:space="preserve">erifying </w:t>
      </w:r>
      <w:r w:rsidRPr="006A74F8">
        <w:t>A</w:t>
      </w:r>
      <w:r w:rsidR="00362A3A" w:rsidRPr="006A74F8">
        <w:t>uthority</w:t>
      </w:r>
      <w:r w:rsidRPr="006A74F8">
        <w:t xml:space="preserve"> appointments will be able to combine these into one appointment, which will streamline some authority applications and renewals.</w:t>
      </w:r>
    </w:p>
    <w:p w:rsidR="005563C2" w:rsidRPr="006A74F8" w:rsidRDefault="005563C2" w:rsidP="00B07063">
      <w:pPr>
        <w:pStyle w:val="ListParagraph"/>
        <w:numPr>
          <w:ilvl w:val="0"/>
          <w:numId w:val="128"/>
        </w:numPr>
      </w:pPr>
      <w:r w:rsidRPr="006A74F8">
        <w:t xml:space="preserve">Where ATPs hold multiple authorities of the same type, these can be merged to reduce the cost of application and renewal and can combine a broad scope of services under one merged authority. </w:t>
      </w:r>
    </w:p>
    <w:p w:rsidR="0071583B" w:rsidRPr="006A74F8" w:rsidRDefault="0071583B" w:rsidP="00B07063">
      <w:pPr>
        <w:pStyle w:val="ListParagraph"/>
        <w:numPr>
          <w:ilvl w:val="0"/>
          <w:numId w:val="128"/>
        </w:numPr>
      </w:pPr>
      <w:r w:rsidRPr="006A74F8">
        <w:t xml:space="preserve">A comparative value of savings from reduced licence classes, merged licences, </w:t>
      </w:r>
      <w:r w:rsidR="00A72B21" w:rsidRPr="006A74F8">
        <w:t xml:space="preserve">and </w:t>
      </w:r>
      <w:r w:rsidRPr="006A74F8">
        <w:t xml:space="preserve">merged authorities cannot be estimated for the purposes of this RIS.  </w:t>
      </w:r>
    </w:p>
    <w:p w:rsidR="00C62A46" w:rsidRPr="006A74F8" w:rsidRDefault="00836C63" w:rsidP="00473F96">
      <w:pPr>
        <w:spacing w:after="0"/>
      </w:pPr>
      <w:r w:rsidRPr="006A74F8">
        <w:t xml:space="preserve">Under </w:t>
      </w:r>
      <w:r w:rsidR="009F0892" w:rsidRPr="006A74F8">
        <w:rPr>
          <w:b/>
        </w:rPr>
        <w:t>o</w:t>
      </w:r>
      <w:r w:rsidRPr="006A74F8">
        <w:rPr>
          <w:b/>
        </w:rPr>
        <w:t>ption 2</w:t>
      </w:r>
      <w:r w:rsidR="00380C8B" w:rsidRPr="006A74F8">
        <w:t xml:space="preserve">, </w:t>
      </w:r>
      <w:r w:rsidR="00636C88" w:rsidRPr="006A74F8">
        <w:t>some small</w:t>
      </w:r>
      <w:r w:rsidR="00380C8B" w:rsidRPr="006A74F8">
        <w:t xml:space="preserve"> savings </w:t>
      </w:r>
      <w:r w:rsidR="00636C88" w:rsidRPr="006A74F8">
        <w:t xml:space="preserve">may </w:t>
      </w:r>
      <w:r w:rsidR="00380C8B" w:rsidRPr="006A74F8">
        <w:t xml:space="preserve">be achieved by </w:t>
      </w:r>
      <w:r w:rsidR="00636C88" w:rsidRPr="006A74F8">
        <w:t>utilising a single legislative mechanism to appoint ATPs to perform distinct functions</w:t>
      </w:r>
      <w:r w:rsidR="00A147CA" w:rsidRPr="006A74F8">
        <w:rPr>
          <w:rStyle w:val="FootnoteReference"/>
        </w:rPr>
        <w:footnoteReference w:id="251"/>
      </w:r>
      <w:r w:rsidR="00F65360" w:rsidRPr="006A74F8">
        <w:t>:</w:t>
      </w:r>
    </w:p>
    <w:p w:rsidR="00F31109" w:rsidRPr="006A74F8" w:rsidRDefault="00F31109" w:rsidP="00A147CA">
      <w:pPr>
        <w:pStyle w:val="ListParagraph"/>
        <w:numPr>
          <w:ilvl w:val="0"/>
          <w:numId w:val="129"/>
        </w:numPr>
        <w:spacing w:after="0"/>
      </w:pPr>
      <w:r w:rsidRPr="006A74F8">
        <w:lastRenderedPageBreak/>
        <w:t>Servicing Licences could be consolidated into fewer classes and subclasses with the number of classes to be determined after further consultation in the future, potentially reducing the number of licence applications and renewals.</w:t>
      </w:r>
    </w:p>
    <w:p w:rsidR="00380C8B" w:rsidRPr="006A74F8" w:rsidRDefault="00380C8B" w:rsidP="00A147CA">
      <w:pPr>
        <w:pStyle w:val="ListParagraph"/>
        <w:numPr>
          <w:ilvl w:val="0"/>
          <w:numId w:val="129"/>
        </w:numPr>
        <w:spacing w:after="0"/>
      </w:pPr>
      <w:r w:rsidRPr="006A74F8">
        <w:t>All ATPs</w:t>
      </w:r>
      <w:r w:rsidR="00636C88" w:rsidRPr="006A74F8">
        <w:t xml:space="preserve"> </w:t>
      </w:r>
      <w:r w:rsidRPr="006A74F8">
        <w:t xml:space="preserve">would </w:t>
      </w:r>
      <w:r w:rsidR="00F65360" w:rsidRPr="006A74F8">
        <w:t xml:space="preserve">be appointed </w:t>
      </w:r>
      <w:r w:rsidR="00636C88" w:rsidRPr="006A74F8">
        <w:t xml:space="preserve">through </w:t>
      </w:r>
      <w:r w:rsidR="00F65360" w:rsidRPr="006A74F8">
        <w:t xml:space="preserve">a single </w:t>
      </w:r>
      <w:r w:rsidR="00636C88" w:rsidRPr="006A74F8">
        <w:t>legislative mechanism</w:t>
      </w:r>
      <w:r w:rsidR="00F65360" w:rsidRPr="006A74F8">
        <w:t>.</w:t>
      </w:r>
      <w:r w:rsidRPr="006A74F8">
        <w:t xml:space="preserve"> This would </w:t>
      </w:r>
      <w:r w:rsidR="00636C88" w:rsidRPr="006A74F8">
        <w:t xml:space="preserve">provide a small </w:t>
      </w:r>
      <w:r w:rsidRPr="006A74F8">
        <w:t>reduc</w:t>
      </w:r>
      <w:r w:rsidR="00636C88" w:rsidRPr="006A74F8">
        <w:t>tion</w:t>
      </w:r>
      <w:r w:rsidR="0071583B" w:rsidRPr="006A74F8">
        <w:t xml:space="preserve"> </w:t>
      </w:r>
      <w:r w:rsidR="00636C88" w:rsidRPr="006A74F8">
        <w:t>in</w:t>
      </w:r>
      <w:r w:rsidR="0071583B" w:rsidRPr="006A74F8">
        <w:t xml:space="preserve"> the regulatory burden associated with the cost of </w:t>
      </w:r>
      <w:r w:rsidRPr="006A74F8">
        <w:t>applications and renewals</w:t>
      </w:r>
      <w:r w:rsidR="00F65360" w:rsidRPr="006A74F8">
        <w:t>, particularly where ATPs hold multiple appointments or wish to expand the scope of their appointment.</w:t>
      </w:r>
    </w:p>
    <w:p w:rsidR="00A72B21" w:rsidRPr="006A74F8" w:rsidRDefault="0071583B" w:rsidP="00A147CA">
      <w:pPr>
        <w:pStyle w:val="ListParagraph"/>
        <w:numPr>
          <w:ilvl w:val="0"/>
          <w:numId w:val="129"/>
        </w:numPr>
        <w:spacing w:after="0"/>
      </w:pPr>
      <w:r w:rsidRPr="006A74F8">
        <w:t>The value of the reduction cannot be estimated.</w:t>
      </w:r>
    </w:p>
    <w:p w:rsidR="00380C8B" w:rsidRPr="006A74F8" w:rsidRDefault="00380C8B" w:rsidP="00632083">
      <w:pPr>
        <w:spacing w:before="240"/>
      </w:pPr>
      <w:r w:rsidRPr="006A74F8">
        <w:t xml:space="preserve">Under </w:t>
      </w:r>
      <w:r w:rsidR="009F0892" w:rsidRPr="006A74F8">
        <w:rPr>
          <w:b/>
        </w:rPr>
        <w:t>o</w:t>
      </w:r>
      <w:r w:rsidRPr="006A74F8">
        <w:rPr>
          <w:b/>
        </w:rPr>
        <w:t>ption 3,</w:t>
      </w:r>
      <w:r w:rsidRPr="006A74F8">
        <w:t xml:space="preserve"> the number of ATPs </w:t>
      </w:r>
      <w:r w:rsidR="0080338E" w:rsidRPr="006A74F8">
        <w:t>may</w:t>
      </w:r>
      <w:r w:rsidRPr="006A74F8">
        <w:t xml:space="preserve"> increase due to </w:t>
      </w:r>
      <w:r w:rsidR="0080338E" w:rsidRPr="006A74F8">
        <w:t xml:space="preserve">possible expansion of regulatory requirements for ATPs into non-trade areas. For example, in the event that the NMI needs to create bespoke services for regulators in other sectors. This may also create benefits for ATPs where they are able to expand their services into new markets. </w:t>
      </w:r>
      <w:r w:rsidR="00632083" w:rsidRPr="006A74F8">
        <w:t>In spite of the simplification of appointment arrang</w:t>
      </w:r>
      <w:r w:rsidR="0080338E" w:rsidRPr="006A74F8">
        <w:t xml:space="preserve">ements, the regulatory burden has the potential to </w:t>
      </w:r>
      <w:r w:rsidR="00632083" w:rsidRPr="006A74F8">
        <w:t xml:space="preserve">increase based on </w:t>
      </w:r>
      <w:r w:rsidR="0080338E" w:rsidRPr="006A74F8">
        <w:t>the possible</w:t>
      </w:r>
      <w:r w:rsidR="00632083" w:rsidRPr="006A74F8">
        <w:t xml:space="preserve"> increase in ATP</w:t>
      </w:r>
      <w:r w:rsidR="0080338E" w:rsidRPr="006A74F8">
        <w:t>s</w:t>
      </w:r>
      <w:r w:rsidR="00632083" w:rsidRPr="006A74F8">
        <w:t xml:space="preserve"> </w:t>
      </w:r>
      <w:r w:rsidR="0080338E" w:rsidRPr="006A74F8">
        <w:t xml:space="preserve">who may be </w:t>
      </w:r>
      <w:r w:rsidR="00632083" w:rsidRPr="006A74F8">
        <w:t xml:space="preserve">required to </w:t>
      </w:r>
      <w:r w:rsidR="00C26FB5" w:rsidRPr="006A74F8">
        <w:t>be appointed to</w:t>
      </w:r>
      <w:r w:rsidR="00632083" w:rsidRPr="006A74F8">
        <w:t xml:space="preserve"> provide measurement services. </w:t>
      </w:r>
    </w:p>
    <w:p w:rsidR="00632083" w:rsidRPr="006A74F8" w:rsidRDefault="0080338E" w:rsidP="00C26FB5">
      <w:pPr>
        <w:pStyle w:val="ListParagraph"/>
        <w:numPr>
          <w:ilvl w:val="0"/>
          <w:numId w:val="130"/>
        </w:numPr>
      </w:pPr>
      <w:r w:rsidRPr="006A74F8">
        <w:t>Possible i</w:t>
      </w:r>
      <w:r w:rsidR="00632083" w:rsidRPr="006A74F8">
        <w:t>ncrease in number of ATPs lea</w:t>
      </w:r>
      <w:r w:rsidRPr="006A74F8">
        <w:t>ds to a potential</w:t>
      </w:r>
      <w:r w:rsidR="00632083" w:rsidRPr="006A74F8">
        <w:t xml:space="preserve"> increase in regulatory burden</w:t>
      </w:r>
      <w:r w:rsidR="00A15208" w:rsidRPr="006A74F8">
        <w:t xml:space="preserve"> associated with applications and renewals</w:t>
      </w:r>
      <w:r w:rsidR="00632083" w:rsidRPr="006A74F8">
        <w:t>. The value of the increase in regulatory burden cannot be quantified for the purposes of this RIS.</w:t>
      </w:r>
    </w:p>
    <w:p w:rsidR="00632083" w:rsidRPr="006A74F8" w:rsidRDefault="00632083" w:rsidP="00632083">
      <w:r w:rsidRPr="006A74F8">
        <w:t xml:space="preserve">The change in the </w:t>
      </w:r>
      <w:r w:rsidR="006D3790" w:rsidRPr="006A74F8">
        <w:t xml:space="preserve">regulatory burden </w:t>
      </w:r>
      <w:r w:rsidRPr="006A74F8">
        <w:t xml:space="preserve">per option is described </w:t>
      </w:r>
      <w:r w:rsidR="001E37AC" w:rsidRPr="006A74F8">
        <w:t xml:space="preserve">in the </w:t>
      </w:r>
      <w:r w:rsidRPr="006A74F8">
        <w:t>below</w:t>
      </w:r>
      <w:r w:rsidR="001E37AC" w:rsidRPr="006A74F8">
        <w:t xml:space="preserve"> table. </w:t>
      </w:r>
    </w:p>
    <w:p w:rsidR="00D14B95" w:rsidRPr="006A74F8" w:rsidRDefault="00D14B95" w:rsidP="00D14B95">
      <w:pPr>
        <w:pStyle w:val="Caption"/>
        <w:keepNext/>
      </w:pPr>
      <w:r w:rsidRPr="006A74F8">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11</w:t>
      </w:r>
      <w:r w:rsidR="00D003A8" w:rsidRPr="006A74F8">
        <w:rPr>
          <w:noProof/>
        </w:rPr>
        <w:fldChar w:fldCharType="end"/>
      </w:r>
      <w:r w:rsidRPr="006A74F8">
        <w:t>: Changes in regulatory burden for appointments of ATPs under each option</w:t>
      </w:r>
    </w:p>
    <w:tbl>
      <w:tblPr>
        <w:tblStyle w:val="TableGrid"/>
        <w:tblW w:w="0" w:type="auto"/>
        <w:tblLook w:val="04A0" w:firstRow="1" w:lastRow="0" w:firstColumn="1" w:lastColumn="0" w:noHBand="0" w:noVBand="1"/>
        <w:tblCaption w:val="Table A13- 11: Changes in regulatory burden for appointments of ATPs under each option"/>
        <w:tblDescription w:val="Table describes the changes in regulatory burden for the appointments of ATPs under each option including by comparison to the status quo."/>
      </w:tblPr>
      <w:tblGrid>
        <w:gridCol w:w="1555"/>
        <w:gridCol w:w="2268"/>
        <w:gridCol w:w="1984"/>
        <w:gridCol w:w="3210"/>
      </w:tblGrid>
      <w:tr w:rsidR="00632083" w:rsidRPr="006A74F8" w:rsidTr="00320404">
        <w:trPr>
          <w:tblHeader/>
        </w:trPr>
        <w:tc>
          <w:tcPr>
            <w:tcW w:w="1555" w:type="dxa"/>
            <w:shd w:val="clear" w:color="auto" w:fill="1F3864"/>
          </w:tcPr>
          <w:p w:rsidR="00632083" w:rsidRPr="006A74F8" w:rsidRDefault="00632083" w:rsidP="00632083">
            <w:pPr>
              <w:rPr>
                <w:b/>
                <w:szCs w:val="18"/>
              </w:rPr>
            </w:pPr>
            <w:r w:rsidRPr="006A74F8">
              <w:rPr>
                <w:b/>
                <w:szCs w:val="18"/>
              </w:rPr>
              <w:t>Status Quo</w:t>
            </w:r>
          </w:p>
        </w:tc>
        <w:tc>
          <w:tcPr>
            <w:tcW w:w="2268" w:type="dxa"/>
            <w:shd w:val="clear" w:color="auto" w:fill="1F3864"/>
          </w:tcPr>
          <w:p w:rsidR="00632083" w:rsidRPr="006A74F8" w:rsidRDefault="00632083" w:rsidP="00632083">
            <w:pPr>
              <w:rPr>
                <w:b/>
                <w:szCs w:val="18"/>
              </w:rPr>
            </w:pPr>
            <w:r w:rsidRPr="006A74F8">
              <w:rPr>
                <w:b/>
                <w:szCs w:val="18"/>
              </w:rPr>
              <w:t>Option 1</w:t>
            </w:r>
          </w:p>
        </w:tc>
        <w:tc>
          <w:tcPr>
            <w:tcW w:w="1984" w:type="dxa"/>
            <w:shd w:val="clear" w:color="auto" w:fill="1F3864"/>
          </w:tcPr>
          <w:p w:rsidR="00632083" w:rsidRPr="006A74F8" w:rsidRDefault="00632083" w:rsidP="00632083">
            <w:pPr>
              <w:rPr>
                <w:b/>
                <w:szCs w:val="18"/>
              </w:rPr>
            </w:pPr>
            <w:r w:rsidRPr="006A74F8">
              <w:rPr>
                <w:b/>
                <w:szCs w:val="18"/>
              </w:rPr>
              <w:t>Option2</w:t>
            </w:r>
          </w:p>
        </w:tc>
        <w:tc>
          <w:tcPr>
            <w:tcW w:w="3210" w:type="dxa"/>
            <w:shd w:val="clear" w:color="auto" w:fill="1F3864"/>
          </w:tcPr>
          <w:p w:rsidR="00632083" w:rsidRPr="006A74F8" w:rsidRDefault="00632083" w:rsidP="00632083">
            <w:pPr>
              <w:rPr>
                <w:b/>
                <w:szCs w:val="18"/>
              </w:rPr>
            </w:pPr>
            <w:r w:rsidRPr="006A74F8">
              <w:rPr>
                <w:b/>
                <w:szCs w:val="18"/>
              </w:rPr>
              <w:t>Option 3</w:t>
            </w:r>
          </w:p>
        </w:tc>
      </w:tr>
      <w:tr w:rsidR="00632083" w:rsidRPr="006A74F8" w:rsidTr="006D3790">
        <w:tc>
          <w:tcPr>
            <w:tcW w:w="1555" w:type="dxa"/>
          </w:tcPr>
          <w:p w:rsidR="00632083" w:rsidRPr="006A74F8" w:rsidRDefault="00632083" w:rsidP="00632083">
            <w:pPr>
              <w:rPr>
                <w:szCs w:val="18"/>
              </w:rPr>
            </w:pPr>
            <w:r w:rsidRPr="006A74F8">
              <w:rPr>
                <w:szCs w:val="18"/>
              </w:rPr>
              <w:t>$</w:t>
            </w:r>
            <w:r w:rsidR="00BF2863" w:rsidRPr="006A74F8">
              <w:rPr>
                <w:szCs w:val="18"/>
              </w:rPr>
              <w:t xml:space="preserve"> </w:t>
            </w:r>
            <w:r w:rsidR="00397575" w:rsidRPr="006A74F8">
              <w:rPr>
                <w:szCs w:val="18"/>
              </w:rPr>
              <w:t>0.5m</w:t>
            </w:r>
          </w:p>
        </w:tc>
        <w:tc>
          <w:tcPr>
            <w:tcW w:w="2268" w:type="dxa"/>
          </w:tcPr>
          <w:p w:rsidR="00632083" w:rsidRPr="006A74F8" w:rsidRDefault="00632083" w:rsidP="00632083">
            <w:pPr>
              <w:rPr>
                <w:szCs w:val="18"/>
              </w:rPr>
            </w:pPr>
            <w:r w:rsidRPr="006A74F8">
              <w:rPr>
                <w:b/>
                <w:szCs w:val="18"/>
              </w:rPr>
              <w:t>Savings</w:t>
            </w:r>
            <w:r w:rsidRPr="006A74F8">
              <w:rPr>
                <w:szCs w:val="18"/>
              </w:rPr>
              <w:t xml:space="preserve"> through merged licence</w:t>
            </w:r>
            <w:r w:rsidR="007D3F4C" w:rsidRPr="006A74F8">
              <w:rPr>
                <w:szCs w:val="18"/>
              </w:rPr>
              <w:t>s</w:t>
            </w:r>
            <w:r w:rsidRPr="006A74F8">
              <w:rPr>
                <w:szCs w:val="18"/>
              </w:rPr>
              <w:t xml:space="preserve"> and authorities</w:t>
            </w:r>
            <w:r w:rsidR="006D3790" w:rsidRPr="006A74F8">
              <w:rPr>
                <w:szCs w:val="18"/>
              </w:rPr>
              <w:t xml:space="preserve"> that would apply to some ATPs</w:t>
            </w:r>
          </w:p>
        </w:tc>
        <w:tc>
          <w:tcPr>
            <w:tcW w:w="1984" w:type="dxa"/>
          </w:tcPr>
          <w:p w:rsidR="006D3790" w:rsidRPr="006A74F8" w:rsidRDefault="007D3F4C" w:rsidP="006D3790">
            <w:pPr>
              <w:rPr>
                <w:szCs w:val="18"/>
              </w:rPr>
            </w:pPr>
            <w:r w:rsidRPr="006A74F8">
              <w:rPr>
                <w:b/>
                <w:szCs w:val="18"/>
              </w:rPr>
              <w:t>S</w:t>
            </w:r>
            <w:r w:rsidR="006D3790" w:rsidRPr="006A74F8">
              <w:rPr>
                <w:b/>
                <w:szCs w:val="18"/>
              </w:rPr>
              <w:t>avings</w:t>
            </w:r>
            <w:r w:rsidR="006D3790" w:rsidRPr="006A74F8">
              <w:rPr>
                <w:szCs w:val="18"/>
              </w:rPr>
              <w:t xml:space="preserve"> from streamlined appointment arrangements that could apply to all ATPs</w:t>
            </w:r>
          </w:p>
          <w:p w:rsidR="00632083" w:rsidRPr="006A74F8" w:rsidRDefault="00632083" w:rsidP="00632083">
            <w:pPr>
              <w:rPr>
                <w:szCs w:val="18"/>
              </w:rPr>
            </w:pPr>
          </w:p>
        </w:tc>
        <w:tc>
          <w:tcPr>
            <w:tcW w:w="3210" w:type="dxa"/>
          </w:tcPr>
          <w:p w:rsidR="006D3790" w:rsidRPr="006A74F8" w:rsidRDefault="006D3790" w:rsidP="006D3790">
            <w:pPr>
              <w:rPr>
                <w:rStyle w:val="Hyperlink"/>
                <w:color w:val="auto"/>
                <w:szCs w:val="18"/>
                <w:u w:val="none"/>
              </w:rPr>
            </w:pPr>
            <w:r w:rsidRPr="006A74F8">
              <w:rPr>
                <w:rStyle w:val="Hyperlink"/>
                <w:b/>
                <w:color w:val="auto"/>
                <w:szCs w:val="18"/>
                <w:u w:val="none"/>
              </w:rPr>
              <w:t xml:space="preserve">Savings </w:t>
            </w:r>
            <w:r w:rsidRPr="006A74F8">
              <w:rPr>
                <w:rStyle w:val="Hyperlink"/>
                <w:color w:val="auto"/>
                <w:szCs w:val="18"/>
                <w:u w:val="none"/>
              </w:rPr>
              <w:t xml:space="preserve">described under </w:t>
            </w:r>
            <w:r w:rsidR="009F0892" w:rsidRPr="006A74F8">
              <w:rPr>
                <w:rStyle w:val="Hyperlink"/>
                <w:b/>
                <w:color w:val="auto"/>
                <w:szCs w:val="18"/>
                <w:u w:val="none"/>
              </w:rPr>
              <w:t>o</w:t>
            </w:r>
            <w:r w:rsidRPr="006A74F8">
              <w:rPr>
                <w:rStyle w:val="Hyperlink"/>
                <w:b/>
                <w:color w:val="auto"/>
                <w:szCs w:val="18"/>
                <w:u w:val="none"/>
              </w:rPr>
              <w:t>ption 2</w:t>
            </w:r>
            <w:r w:rsidRPr="006A74F8">
              <w:rPr>
                <w:rStyle w:val="Hyperlink"/>
                <w:color w:val="auto"/>
                <w:szCs w:val="18"/>
                <w:u w:val="none"/>
              </w:rPr>
              <w:t>,</w:t>
            </w:r>
            <w:r w:rsidRPr="006A74F8">
              <w:rPr>
                <w:rStyle w:val="Hyperlink"/>
                <w:b/>
                <w:color w:val="auto"/>
                <w:szCs w:val="18"/>
                <w:u w:val="none"/>
              </w:rPr>
              <w:t xml:space="preserve"> </w:t>
            </w:r>
            <w:r w:rsidRPr="006A74F8">
              <w:rPr>
                <w:rStyle w:val="Hyperlink"/>
                <w:color w:val="auto"/>
                <w:szCs w:val="18"/>
                <w:u w:val="none"/>
              </w:rPr>
              <w:t>plus an</w:t>
            </w:r>
            <w:r w:rsidRPr="006A74F8">
              <w:rPr>
                <w:rStyle w:val="Hyperlink"/>
                <w:b/>
                <w:color w:val="auto"/>
                <w:szCs w:val="18"/>
                <w:u w:val="none"/>
              </w:rPr>
              <w:t xml:space="preserve"> unquantifiable increase in regulatory burden </w:t>
            </w:r>
            <w:r w:rsidRPr="006A74F8">
              <w:rPr>
                <w:rStyle w:val="Hyperlink"/>
                <w:color w:val="auto"/>
                <w:szCs w:val="18"/>
                <w:u w:val="none"/>
              </w:rPr>
              <w:t>based on</w:t>
            </w:r>
            <w:r w:rsidRPr="006A74F8" w:rsidDel="00DD34EC">
              <w:rPr>
                <w:rStyle w:val="Hyperlink"/>
                <w:color w:val="auto"/>
                <w:szCs w:val="18"/>
                <w:u w:val="none"/>
              </w:rPr>
              <w:t xml:space="preserve"> </w:t>
            </w:r>
            <w:r w:rsidRPr="006A74F8">
              <w:rPr>
                <w:rStyle w:val="Hyperlink"/>
                <w:color w:val="auto"/>
                <w:szCs w:val="18"/>
                <w:u w:val="none"/>
              </w:rPr>
              <w:t xml:space="preserve">a potential rise in the number of ATPs providing measurement services due to the </w:t>
            </w:r>
            <w:r w:rsidR="0001461E" w:rsidRPr="006A74F8">
              <w:rPr>
                <w:rStyle w:val="Hyperlink"/>
                <w:color w:val="auto"/>
                <w:szCs w:val="18"/>
                <w:u w:val="none"/>
              </w:rPr>
              <w:t>possible</w:t>
            </w:r>
            <w:r w:rsidRPr="006A74F8">
              <w:rPr>
                <w:rStyle w:val="Hyperlink"/>
                <w:color w:val="auto"/>
                <w:szCs w:val="18"/>
                <w:u w:val="none"/>
              </w:rPr>
              <w:t xml:space="preserve"> introduction of requirements for other regulatory purposes (non-trade):</w:t>
            </w:r>
          </w:p>
          <w:p w:rsidR="00632083" w:rsidRPr="006A74F8" w:rsidRDefault="006D3790" w:rsidP="006D3790">
            <w:pPr>
              <w:rPr>
                <w:szCs w:val="18"/>
              </w:rPr>
            </w:pPr>
            <w:r w:rsidRPr="006A74F8">
              <w:rPr>
                <w:rStyle w:val="Hyperlink"/>
                <w:color w:val="auto"/>
                <w:szCs w:val="18"/>
                <w:u w:val="none"/>
              </w:rPr>
              <w:t>Increased applications</w:t>
            </w:r>
            <w:r w:rsidR="00DC428E" w:rsidRPr="006A74F8">
              <w:rPr>
                <w:rStyle w:val="Hyperlink"/>
                <w:color w:val="auto"/>
                <w:szCs w:val="18"/>
                <w:u w:val="none"/>
              </w:rPr>
              <w:t xml:space="preserve"> /</w:t>
            </w:r>
            <w:r w:rsidR="008756F6" w:rsidRPr="006A74F8">
              <w:rPr>
                <w:rStyle w:val="Hyperlink"/>
                <w:color w:val="auto"/>
                <w:szCs w:val="18"/>
                <w:u w:val="none"/>
              </w:rPr>
              <w:t xml:space="preserve"> </w:t>
            </w:r>
            <w:r w:rsidRPr="006A74F8">
              <w:rPr>
                <w:rStyle w:val="Hyperlink"/>
                <w:color w:val="auto"/>
                <w:szCs w:val="18"/>
                <w:u w:val="none"/>
              </w:rPr>
              <w:t>renewal</w:t>
            </w:r>
            <w:r w:rsidR="008756F6" w:rsidRPr="006A74F8">
              <w:rPr>
                <w:rStyle w:val="Hyperlink"/>
                <w:color w:val="auto"/>
                <w:szCs w:val="18"/>
                <w:u w:val="none"/>
              </w:rPr>
              <w:t>s</w:t>
            </w:r>
          </w:p>
        </w:tc>
      </w:tr>
    </w:tbl>
    <w:p w:rsidR="00632083" w:rsidRPr="006A74F8" w:rsidRDefault="00632083" w:rsidP="00632083"/>
    <w:p w:rsidR="005F6C6E" w:rsidRPr="006A74F8" w:rsidRDefault="005F6C6E" w:rsidP="001E43AC">
      <w:pPr>
        <w:pStyle w:val="Heading3"/>
        <w:ind w:left="993" w:hanging="993"/>
      </w:pPr>
      <w:r w:rsidRPr="006A74F8">
        <w:t>Changes to reporting requirements or provision of information</w:t>
      </w:r>
    </w:p>
    <w:p w:rsidR="00E8388C" w:rsidRPr="006A74F8" w:rsidRDefault="00174DD5" w:rsidP="00E8388C">
      <w:r w:rsidRPr="006A74F8">
        <w:t>ATPs</w:t>
      </w:r>
      <w:r w:rsidR="00AD7805" w:rsidRPr="006A74F8">
        <w:t xml:space="preserve"> have reporting requirements under the regulations, but these requirements vary based on the nature of their activities</w:t>
      </w:r>
      <w:r w:rsidR="0021544F" w:rsidRPr="006A74F8">
        <w:t xml:space="preserve"> and appointment type</w:t>
      </w:r>
      <w:r w:rsidR="00AD7805" w:rsidRPr="006A74F8">
        <w:t>.</w:t>
      </w:r>
      <w:r w:rsidR="00E8388C" w:rsidRPr="006A74F8">
        <w:t xml:space="preserve"> </w:t>
      </w:r>
      <w:r w:rsidR="00D91340" w:rsidRPr="006A74F8">
        <w:t>T</w:t>
      </w:r>
      <w:r w:rsidR="00E8388C" w:rsidRPr="006A74F8">
        <w:t xml:space="preserve">here </w:t>
      </w:r>
      <w:r w:rsidR="00D91340" w:rsidRPr="006A74F8">
        <w:t>is expected to</w:t>
      </w:r>
      <w:r w:rsidR="00E8388C" w:rsidRPr="006A74F8">
        <w:t xml:space="preserve"> be an increase in regulatory burden associated with increased reporting requirements </w:t>
      </w:r>
      <w:r w:rsidR="00D91340" w:rsidRPr="006A74F8">
        <w:t>for</w:t>
      </w:r>
      <w:r w:rsidR="00E8388C" w:rsidRPr="006A74F8">
        <w:t xml:space="preserve"> UMVs </w:t>
      </w:r>
      <w:r w:rsidR="00D91340" w:rsidRPr="006A74F8">
        <w:t xml:space="preserve">(under </w:t>
      </w:r>
      <w:r w:rsidR="00D91340" w:rsidRPr="006A74F8">
        <w:rPr>
          <w:b/>
        </w:rPr>
        <w:t>all options</w:t>
      </w:r>
      <w:r w:rsidR="00D91340" w:rsidRPr="006A74F8">
        <w:t>)</w:t>
      </w:r>
      <w:r w:rsidR="00D91340" w:rsidRPr="006A74F8">
        <w:rPr>
          <w:b/>
        </w:rPr>
        <w:t xml:space="preserve"> </w:t>
      </w:r>
      <w:r w:rsidR="00E8388C" w:rsidRPr="006A74F8">
        <w:t>and LMAs</w:t>
      </w:r>
      <w:r w:rsidR="00D91340" w:rsidRPr="006A74F8">
        <w:t xml:space="preserve"> (under </w:t>
      </w:r>
      <w:r w:rsidR="00D91340" w:rsidRPr="006A74F8">
        <w:rPr>
          <w:b/>
        </w:rPr>
        <w:t>options 2 and 3</w:t>
      </w:r>
      <w:r w:rsidR="00D91340" w:rsidRPr="006A74F8">
        <w:t>)</w:t>
      </w:r>
      <w:r w:rsidR="00E8388C" w:rsidRPr="006A74F8">
        <w:t>. There will be no change in reporting requirements for S</w:t>
      </w:r>
      <w:r w:rsidR="00CD4B38" w:rsidRPr="006A74F8">
        <w:t>ervicing Licensees</w:t>
      </w:r>
      <w:r w:rsidR="00E8388C" w:rsidRPr="006A74F8">
        <w:rPr>
          <w:rStyle w:val="FootnoteReference"/>
        </w:rPr>
        <w:footnoteReference w:id="252"/>
      </w:r>
      <w:r w:rsidR="00E8388C" w:rsidRPr="006A74F8">
        <w:t xml:space="preserve"> and PWB</w:t>
      </w:r>
      <w:r w:rsidR="00036AC1" w:rsidRPr="006A74F8">
        <w:t>Ls</w:t>
      </w:r>
      <w:r w:rsidR="00B95F35" w:rsidRPr="006A74F8">
        <w:t>.</w:t>
      </w:r>
      <w:r w:rsidR="00E8388C" w:rsidRPr="006A74F8">
        <w:rPr>
          <w:rStyle w:val="FootnoteReference"/>
        </w:rPr>
        <w:footnoteReference w:id="253"/>
      </w:r>
    </w:p>
    <w:p w:rsidR="008F723F" w:rsidRPr="006A74F8" w:rsidRDefault="00E8388C" w:rsidP="008F723F">
      <w:pPr>
        <w:rPr>
          <w:rFonts w:ascii="Calibri" w:eastAsia="Times New Roman" w:hAnsi="Calibri" w:cs="Calibri"/>
          <w:bCs/>
          <w:color w:val="000000"/>
          <w:lang w:eastAsia="en-AU"/>
        </w:rPr>
      </w:pPr>
      <w:r w:rsidRPr="006A74F8">
        <w:lastRenderedPageBreak/>
        <w:t xml:space="preserve">Currently, </w:t>
      </w:r>
      <w:r w:rsidR="00AD7805" w:rsidRPr="006A74F8">
        <w:t>UMVs</w:t>
      </w:r>
      <w:r w:rsidR="00AD7805" w:rsidRPr="006A74F8">
        <w:rPr>
          <w:rStyle w:val="FootnoteReference"/>
        </w:rPr>
        <w:footnoteReference w:id="254"/>
      </w:r>
      <w:r w:rsidR="00AD7805" w:rsidRPr="006A74F8">
        <w:t xml:space="preserve"> and LMAs (</w:t>
      </w:r>
      <w:r w:rsidR="00D91340" w:rsidRPr="006A74F8">
        <w:t>CAs, VAs, and AAs</w:t>
      </w:r>
      <w:r w:rsidR="00AD7805" w:rsidRPr="006A74F8">
        <w:t>)</w:t>
      </w:r>
      <w:r w:rsidR="00AD7805" w:rsidRPr="006A74F8">
        <w:rPr>
          <w:rStyle w:val="FootnoteReference"/>
        </w:rPr>
        <w:footnoteReference w:id="255"/>
      </w:r>
      <w:r w:rsidR="00AD7805" w:rsidRPr="006A74F8">
        <w:t xml:space="preserve"> provide information at the request of NMI, rather than routine reporting. </w:t>
      </w:r>
      <w:r w:rsidR="00AD7805" w:rsidRPr="006A74F8">
        <w:rPr>
          <w:rFonts w:ascii="Calibri" w:eastAsia="Times New Roman" w:hAnsi="Calibri" w:cs="Calibri"/>
          <w:bCs/>
          <w:color w:val="000000"/>
          <w:lang w:eastAsia="en-AU"/>
        </w:rPr>
        <w:t xml:space="preserve">UMVs </w:t>
      </w:r>
      <w:r w:rsidR="00D91340" w:rsidRPr="006A74F8">
        <w:rPr>
          <w:rFonts w:ascii="Calibri" w:eastAsia="Times New Roman" w:hAnsi="Calibri" w:cs="Calibri"/>
          <w:bCs/>
          <w:color w:val="000000"/>
          <w:lang w:eastAsia="en-AU"/>
        </w:rPr>
        <w:t xml:space="preserve">(under </w:t>
      </w:r>
      <w:r w:rsidR="00D91340" w:rsidRPr="006A74F8">
        <w:rPr>
          <w:rFonts w:ascii="Calibri" w:eastAsia="Times New Roman" w:hAnsi="Calibri" w:cs="Calibri"/>
          <w:b/>
          <w:bCs/>
          <w:color w:val="000000"/>
          <w:lang w:eastAsia="en-AU"/>
        </w:rPr>
        <w:t>all options</w:t>
      </w:r>
      <w:r w:rsidR="00D91340" w:rsidRPr="006A74F8">
        <w:rPr>
          <w:rFonts w:ascii="Calibri" w:eastAsia="Times New Roman" w:hAnsi="Calibri" w:cs="Calibri"/>
          <w:bCs/>
          <w:color w:val="000000"/>
          <w:lang w:eastAsia="en-AU"/>
        </w:rPr>
        <w:t>)</w:t>
      </w:r>
      <w:r w:rsidR="00D91340" w:rsidRPr="006A74F8">
        <w:rPr>
          <w:rFonts w:ascii="Calibri" w:eastAsia="Times New Roman" w:hAnsi="Calibri" w:cs="Calibri"/>
          <w:b/>
          <w:bCs/>
          <w:color w:val="000000"/>
          <w:lang w:eastAsia="en-AU"/>
        </w:rPr>
        <w:t xml:space="preserve"> </w:t>
      </w:r>
      <w:r w:rsidR="00AD7805" w:rsidRPr="006A74F8">
        <w:rPr>
          <w:rFonts w:ascii="Calibri" w:eastAsia="Times New Roman" w:hAnsi="Calibri" w:cs="Calibri"/>
          <w:bCs/>
          <w:color w:val="000000"/>
          <w:lang w:eastAsia="en-AU"/>
        </w:rPr>
        <w:t xml:space="preserve">and LMAs </w:t>
      </w:r>
      <w:r w:rsidR="00D91340" w:rsidRPr="006A74F8">
        <w:rPr>
          <w:rFonts w:ascii="Calibri" w:eastAsia="Times New Roman" w:hAnsi="Calibri" w:cs="Calibri"/>
          <w:bCs/>
          <w:color w:val="000000"/>
          <w:lang w:eastAsia="en-AU"/>
        </w:rPr>
        <w:t xml:space="preserve">(under </w:t>
      </w:r>
      <w:r w:rsidR="00D91340" w:rsidRPr="006A74F8">
        <w:rPr>
          <w:rFonts w:ascii="Calibri" w:eastAsia="Times New Roman" w:hAnsi="Calibri" w:cs="Calibri"/>
          <w:b/>
          <w:bCs/>
          <w:color w:val="000000"/>
          <w:lang w:eastAsia="en-AU"/>
        </w:rPr>
        <w:t>options 2 and 3</w:t>
      </w:r>
      <w:r w:rsidR="00D91340" w:rsidRPr="006A74F8">
        <w:rPr>
          <w:rFonts w:ascii="Calibri" w:eastAsia="Times New Roman" w:hAnsi="Calibri" w:cs="Calibri"/>
          <w:bCs/>
          <w:color w:val="000000"/>
          <w:lang w:eastAsia="en-AU"/>
        </w:rPr>
        <w:t xml:space="preserve">) </w:t>
      </w:r>
      <w:r w:rsidR="00AD7805" w:rsidRPr="006A74F8">
        <w:rPr>
          <w:rFonts w:ascii="Calibri" w:eastAsia="Times New Roman" w:hAnsi="Calibri" w:cs="Calibri"/>
          <w:bCs/>
          <w:color w:val="000000"/>
          <w:lang w:eastAsia="en-AU"/>
        </w:rPr>
        <w:t>will see an increase in reporting requirements</w:t>
      </w:r>
      <w:r w:rsidR="00D91340" w:rsidRPr="006A74F8">
        <w:rPr>
          <w:rFonts w:ascii="Calibri" w:eastAsia="Times New Roman" w:hAnsi="Calibri" w:cs="Calibri"/>
          <w:bCs/>
          <w:color w:val="000000"/>
          <w:lang w:eastAsia="en-AU"/>
        </w:rPr>
        <w:t>,</w:t>
      </w:r>
      <w:r w:rsidR="00AD7805" w:rsidRPr="006A74F8">
        <w:rPr>
          <w:rFonts w:ascii="Calibri" w:eastAsia="Times New Roman" w:hAnsi="Calibri" w:cs="Calibri"/>
          <w:bCs/>
          <w:color w:val="000000"/>
          <w:lang w:eastAsia="en-AU"/>
        </w:rPr>
        <w:t xml:space="preserve"> subject to </w:t>
      </w:r>
      <w:r w:rsidR="0011444F" w:rsidRPr="006A74F8">
        <w:rPr>
          <w:rFonts w:ascii="Calibri" w:eastAsia="Times New Roman" w:hAnsi="Calibri" w:cs="Calibri"/>
          <w:bCs/>
          <w:color w:val="000000"/>
          <w:lang w:eastAsia="en-AU"/>
        </w:rPr>
        <w:t>the establishment of an appropriate reporting framework</w:t>
      </w:r>
      <w:r w:rsidR="00D91340" w:rsidRPr="006A74F8">
        <w:rPr>
          <w:rFonts w:ascii="Calibri" w:eastAsia="Times New Roman" w:hAnsi="Calibri" w:cs="Calibri"/>
          <w:bCs/>
          <w:color w:val="000000"/>
          <w:lang w:eastAsia="en-AU"/>
        </w:rPr>
        <w:t xml:space="preserve"> to help reduce the reporting burden increase</w:t>
      </w:r>
      <w:r w:rsidR="00AD7805" w:rsidRPr="006A74F8">
        <w:rPr>
          <w:rFonts w:ascii="Calibri" w:eastAsia="Times New Roman" w:hAnsi="Calibri" w:cs="Calibri"/>
          <w:bCs/>
          <w:color w:val="000000"/>
          <w:lang w:eastAsia="en-AU"/>
        </w:rPr>
        <w:t xml:space="preserve">.  </w:t>
      </w:r>
    </w:p>
    <w:p w:rsidR="008F723F" w:rsidRPr="006A74F8" w:rsidRDefault="008F723F" w:rsidP="006A10C6">
      <w:pPr>
        <w:pStyle w:val="ListParagraph"/>
        <w:numPr>
          <w:ilvl w:val="0"/>
          <w:numId w:val="130"/>
        </w:numPr>
        <w:rPr>
          <w:rFonts w:ascii="Calibri" w:eastAsia="Times New Roman" w:hAnsi="Calibri" w:cs="Calibri"/>
          <w:bCs/>
          <w:color w:val="000000"/>
          <w:lang w:eastAsia="en-AU"/>
        </w:rPr>
      </w:pPr>
      <w:r w:rsidRPr="006A74F8">
        <w:rPr>
          <w:rFonts w:ascii="Calibri" w:eastAsia="Times New Roman" w:hAnsi="Calibri" w:cs="Calibri"/>
          <w:bCs/>
          <w:color w:val="000000"/>
          <w:lang w:eastAsia="en-AU"/>
        </w:rPr>
        <w:t>UMV</w:t>
      </w:r>
      <w:r w:rsidR="00E8388C" w:rsidRPr="006A74F8">
        <w:rPr>
          <w:rFonts w:ascii="Calibri" w:eastAsia="Times New Roman" w:hAnsi="Calibri" w:cs="Calibri"/>
          <w:bCs/>
          <w:color w:val="000000"/>
          <w:lang w:eastAsia="en-AU"/>
        </w:rPr>
        <w:t xml:space="preserve"> reporting requirements</w:t>
      </w:r>
      <w:r w:rsidRPr="006A74F8">
        <w:rPr>
          <w:rFonts w:ascii="Calibri" w:eastAsia="Times New Roman" w:hAnsi="Calibri" w:cs="Calibri"/>
          <w:bCs/>
          <w:color w:val="000000"/>
          <w:lang w:eastAsia="en-AU"/>
        </w:rPr>
        <w:t xml:space="preserve"> (under </w:t>
      </w:r>
      <w:r w:rsidRPr="006A74F8">
        <w:rPr>
          <w:rFonts w:ascii="Calibri" w:eastAsia="Times New Roman" w:hAnsi="Calibri" w:cs="Calibri"/>
          <w:b/>
          <w:bCs/>
          <w:color w:val="000000"/>
          <w:lang w:eastAsia="en-AU"/>
        </w:rPr>
        <w:t>all options</w:t>
      </w:r>
      <w:r w:rsidRPr="006A74F8">
        <w:rPr>
          <w:rFonts w:ascii="Calibri" w:eastAsia="Times New Roman" w:hAnsi="Calibri" w:cs="Calibri"/>
          <w:bCs/>
          <w:color w:val="000000"/>
          <w:lang w:eastAsia="en-AU"/>
        </w:rPr>
        <w:t>)</w:t>
      </w:r>
      <w:r w:rsidR="00E8388C" w:rsidRPr="006A74F8">
        <w:rPr>
          <w:rFonts w:ascii="Calibri" w:eastAsia="Times New Roman" w:hAnsi="Calibri" w:cs="Calibri"/>
          <w:bCs/>
          <w:color w:val="000000"/>
          <w:lang w:eastAsia="en-AU"/>
        </w:rPr>
        <w:t xml:space="preserve"> would increase</w:t>
      </w:r>
      <w:r w:rsidRPr="006A74F8">
        <w:rPr>
          <w:rFonts w:ascii="Calibri" w:eastAsia="Times New Roman" w:hAnsi="Calibri" w:cs="Calibri"/>
          <w:bCs/>
          <w:color w:val="000000"/>
          <w:lang w:eastAsia="en-AU"/>
        </w:rPr>
        <w:t xml:space="preserve">, </w:t>
      </w:r>
      <w:r w:rsidRPr="006A74F8">
        <w:t xml:space="preserve">with routine reporting on services provided (e.g. every batch of utility meters verified) aligning with timeframes for Servicing Licensees (i.e. fortnightly reporting). </w:t>
      </w:r>
      <w:r w:rsidR="00E8388C" w:rsidRPr="006A74F8">
        <w:rPr>
          <w:rFonts w:ascii="Calibri" w:eastAsia="Times New Roman" w:hAnsi="Calibri" w:cs="Calibri"/>
          <w:bCs/>
          <w:color w:val="000000"/>
          <w:lang w:eastAsia="en-AU"/>
        </w:rPr>
        <w:t>It is difficult to quantify the increased regulatory burden on UMVs.</w:t>
      </w:r>
      <w:r w:rsidR="0011444F" w:rsidRPr="006A74F8">
        <w:rPr>
          <w:rFonts w:ascii="Calibri" w:eastAsia="Times New Roman" w:hAnsi="Calibri" w:cs="Calibri"/>
          <w:bCs/>
          <w:color w:val="000000"/>
          <w:lang w:eastAsia="en-AU"/>
        </w:rPr>
        <w:t xml:space="preserve"> </w:t>
      </w:r>
    </w:p>
    <w:p w:rsidR="008F723F" w:rsidRPr="006A74F8" w:rsidRDefault="00E8388C" w:rsidP="006A10C6">
      <w:pPr>
        <w:pStyle w:val="ListParagraph"/>
        <w:numPr>
          <w:ilvl w:val="0"/>
          <w:numId w:val="130"/>
        </w:numPr>
        <w:rPr>
          <w:rFonts w:ascii="Calibri" w:eastAsia="Times New Roman" w:hAnsi="Calibri" w:cs="Calibri"/>
          <w:bCs/>
          <w:color w:val="000000"/>
          <w:lang w:eastAsia="en-AU"/>
        </w:rPr>
      </w:pPr>
      <w:r w:rsidRPr="006A74F8">
        <w:rPr>
          <w:rFonts w:ascii="Calibri" w:eastAsia="Times New Roman" w:hAnsi="Calibri" w:cs="Calibri"/>
          <w:bCs/>
          <w:color w:val="000000"/>
          <w:lang w:eastAsia="en-AU"/>
        </w:rPr>
        <w:t>L</w:t>
      </w:r>
      <w:r w:rsidR="008F723F" w:rsidRPr="006A74F8">
        <w:rPr>
          <w:rFonts w:ascii="Calibri" w:eastAsia="Times New Roman" w:hAnsi="Calibri" w:cs="Calibri"/>
          <w:bCs/>
          <w:color w:val="000000"/>
          <w:lang w:eastAsia="en-AU"/>
        </w:rPr>
        <w:t>MA</w:t>
      </w:r>
      <w:r w:rsidRPr="006A74F8">
        <w:rPr>
          <w:rFonts w:ascii="Calibri" w:eastAsia="Times New Roman" w:hAnsi="Calibri" w:cs="Calibri"/>
          <w:bCs/>
          <w:color w:val="000000"/>
          <w:lang w:eastAsia="en-AU"/>
        </w:rPr>
        <w:t xml:space="preserve"> reporting requirements </w:t>
      </w:r>
      <w:r w:rsidR="008F723F" w:rsidRPr="006A74F8">
        <w:rPr>
          <w:rFonts w:ascii="Calibri" w:eastAsia="Times New Roman" w:hAnsi="Calibri" w:cs="Calibri"/>
          <w:bCs/>
          <w:color w:val="000000"/>
          <w:lang w:eastAsia="en-AU"/>
        </w:rPr>
        <w:t xml:space="preserve">(under </w:t>
      </w:r>
      <w:r w:rsidR="008F723F" w:rsidRPr="006A74F8">
        <w:rPr>
          <w:rFonts w:ascii="Calibri" w:eastAsia="Times New Roman" w:hAnsi="Calibri" w:cs="Calibri"/>
          <w:b/>
          <w:bCs/>
          <w:color w:val="000000"/>
          <w:lang w:eastAsia="en-AU"/>
        </w:rPr>
        <w:t>options 2 and 3</w:t>
      </w:r>
      <w:r w:rsidR="008F723F" w:rsidRPr="006A74F8">
        <w:rPr>
          <w:rFonts w:ascii="Calibri" w:eastAsia="Times New Roman" w:hAnsi="Calibri" w:cs="Calibri"/>
          <w:bCs/>
          <w:color w:val="000000"/>
          <w:lang w:eastAsia="en-AU"/>
        </w:rPr>
        <w:t>)</w:t>
      </w:r>
      <w:r w:rsidR="008F723F" w:rsidRPr="006A74F8">
        <w:rPr>
          <w:rFonts w:ascii="Calibri" w:eastAsia="Times New Roman" w:hAnsi="Calibri" w:cs="Calibri"/>
          <w:b/>
          <w:bCs/>
          <w:color w:val="000000"/>
          <w:lang w:eastAsia="en-AU"/>
        </w:rPr>
        <w:t xml:space="preserve"> </w:t>
      </w:r>
      <w:r w:rsidRPr="006A74F8">
        <w:rPr>
          <w:rFonts w:ascii="Calibri" w:eastAsia="Times New Roman" w:hAnsi="Calibri" w:cs="Calibri"/>
          <w:bCs/>
          <w:color w:val="000000"/>
          <w:lang w:eastAsia="en-AU"/>
        </w:rPr>
        <w:t>would increase</w:t>
      </w:r>
      <w:r w:rsidR="008F723F" w:rsidRPr="006A74F8">
        <w:rPr>
          <w:rFonts w:ascii="Calibri" w:eastAsia="Times New Roman" w:hAnsi="Calibri" w:cs="Calibri"/>
          <w:bCs/>
          <w:color w:val="000000"/>
          <w:lang w:eastAsia="en-AU"/>
        </w:rPr>
        <w:t xml:space="preserve">, with routine reporting on services provided </w:t>
      </w:r>
      <w:r w:rsidR="008F723F" w:rsidRPr="006A74F8">
        <w:t xml:space="preserve">(e.g. regulation certificates issued </w:t>
      </w:r>
      <w:r w:rsidR="008F723F" w:rsidRPr="006A74F8">
        <w:rPr>
          <w:rFonts w:ascii="Calibri" w:eastAsia="Times New Roman" w:hAnsi="Calibri" w:cs="Calibri"/>
          <w:bCs/>
          <w:color w:val="000000"/>
          <w:lang w:eastAsia="en-AU"/>
        </w:rPr>
        <w:t>with respect to standards of measurement, artefacts, instruments and reference materials</w:t>
      </w:r>
      <w:r w:rsidR="008F723F" w:rsidRPr="006A74F8">
        <w:t>). However, the timeframes for this reporting would likely be less frequent than that for Servicing Licensees and UMVs (i.e. potentially monthly but at least several times a year).</w:t>
      </w:r>
    </w:p>
    <w:p w:rsidR="008F723F" w:rsidRPr="006A74F8" w:rsidRDefault="008F723F" w:rsidP="006A10C6">
      <w:pPr>
        <w:pStyle w:val="ListParagraph"/>
        <w:numPr>
          <w:ilvl w:val="0"/>
          <w:numId w:val="130"/>
        </w:numPr>
        <w:rPr>
          <w:rFonts w:ascii="Calibri" w:eastAsia="Times New Roman" w:hAnsi="Calibri" w:cs="Calibri"/>
          <w:bCs/>
          <w:color w:val="000000"/>
          <w:lang w:eastAsia="en-AU"/>
        </w:rPr>
      </w:pPr>
      <w:r w:rsidRPr="006A74F8">
        <w:rPr>
          <w:rFonts w:ascii="Calibri" w:eastAsia="Times New Roman" w:hAnsi="Calibri" w:cs="Calibri"/>
          <w:bCs/>
          <w:color w:val="000000"/>
          <w:lang w:eastAsia="en-AU"/>
        </w:rPr>
        <w:t>Reporting framework updates may also realise reporting savings for S</w:t>
      </w:r>
      <w:r w:rsidR="00D5618F" w:rsidRPr="006A74F8">
        <w:rPr>
          <w:rFonts w:ascii="Calibri" w:eastAsia="Times New Roman" w:hAnsi="Calibri" w:cs="Calibri"/>
          <w:bCs/>
          <w:color w:val="000000"/>
          <w:lang w:eastAsia="en-AU"/>
        </w:rPr>
        <w:t>ervicing Licensee</w:t>
      </w:r>
      <w:r w:rsidRPr="006A74F8">
        <w:rPr>
          <w:rFonts w:ascii="Calibri" w:eastAsia="Times New Roman" w:hAnsi="Calibri" w:cs="Calibri"/>
          <w:bCs/>
          <w:color w:val="000000"/>
          <w:lang w:eastAsia="en-AU"/>
        </w:rPr>
        <w:t>s.</w:t>
      </w:r>
    </w:p>
    <w:p w:rsidR="006D3790" w:rsidRPr="006A74F8" w:rsidRDefault="006D3790" w:rsidP="008F723F">
      <w:r w:rsidRPr="006A74F8">
        <w:t>The change in the regulatory burden per option is described below:</w:t>
      </w:r>
    </w:p>
    <w:p w:rsidR="00D14B95" w:rsidRPr="006A74F8" w:rsidRDefault="00D14B95" w:rsidP="00D14B95">
      <w:pPr>
        <w:pStyle w:val="Caption"/>
        <w:keepNext/>
      </w:pPr>
      <w:r w:rsidRPr="006A74F8">
        <w:t xml:space="preserve">Table </w:t>
      </w:r>
      <w:r w:rsidR="00B1255E" w:rsidRPr="006A74F8">
        <w:t>A12</w:t>
      </w:r>
      <w:r w:rsidRPr="006A74F8">
        <w:t xml:space="preserve">- </w:t>
      </w:r>
      <w:r w:rsidR="00D003A8" w:rsidRPr="006A74F8">
        <w:rPr>
          <w:noProof/>
        </w:rPr>
        <w:fldChar w:fldCharType="begin"/>
      </w:r>
      <w:r w:rsidR="00D003A8" w:rsidRPr="006A74F8">
        <w:rPr>
          <w:noProof/>
        </w:rPr>
        <w:instrText xml:space="preserve"> SEQ Table_A13- \* ARABIC </w:instrText>
      </w:r>
      <w:r w:rsidR="00D003A8" w:rsidRPr="006A74F8">
        <w:rPr>
          <w:noProof/>
        </w:rPr>
        <w:fldChar w:fldCharType="separate"/>
      </w:r>
      <w:r w:rsidR="0033017F">
        <w:rPr>
          <w:noProof/>
        </w:rPr>
        <w:t>12</w:t>
      </w:r>
      <w:r w:rsidR="00D003A8" w:rsidRPr="006A74F8">
        <w:rPr>
          <w:noProof/>
        </w:rPr>
        <w:fldChar w:fldCharType="end"/>
      </w:r>
      <w:r w:rsidRPr="006A74F8">
        <w:t>: Changes in regulatory burden for reporting requirements of ATPs under each option</w:t>
      </w:r>
    </w:p>
    <w:tbl>
      <w:tblPr>
        <w:tblStyle w:val="TableGrid"/>
        <w:tblW w:w="0" w:type="auto"/>
        <w:tblLook w:val="04A0" w:firstRow="1" w:lastRow="0" w:firstColumn="1" w:lastColumn="0" w:noHBand="0" w:noVBand="1"/>
        <w:tblCaption w:val="Table A13- 12: Changes in regulatory burden for reporting requirements of ATPs under each option"/>
        <w:tblDescription w:val="Table describes the changes in regulatory burden for reporting requirements of ATPs under each option including by comparison to the status quo."/>
      </w:tblPr>
      <w:tblGrid>
        <w:gridCol w:w="2254"/>
        <w:gridCol w:w="2254"/>
        <w:gridCol w:w="2254"/>
        <w:gridCol w:w="2255"/>
      </w:tblGrid>
      <w:tr w:rsidR="006D3790" w:rsidRPr="006A74F8" w:rsidTr="00320404">
        <w:trPr>
          <w:tblHeader/>
        </w:trPr>
        <w:tc>
          <w:tcPr>
            <w:tcW w:w="2254" w:type="dxa"/>
            <w:shd w:val="clear" w:color="auto" w:fill="1F3864"/>
          </w:tcPr>
          <w:p w:rsidR="006D3790" w:rsidRPr="006A74F8" w:rsidRDefault="006D3790" w:rsidP="006D3790">
            <w:pPr>
              <w:rPr>
                <w:b/>
              </w:rPr>
            </w:pPr>
            <w:r w:rsidRPr="006A74F8">
              <w:rPr>
                <w:b/>
              </w:rPr>
              <w:t>Status Quo</w:t>
            </w:r>
          </w:p>
        </w:tc>
        <w:tc>
          <w:tcPr>
            <w:tcW w:w="2254" w:type="dxa"/>
            <w:shd w:val="clear" w:color="auto" w:fill="1F3864"/>
          </w:tcPr>
          <w:p w:rsidR="006D3790" w:rsidRPr="006A74F8" w:rsidRDefault="006D3790" w:rsidP="006D3790">
            <w:pPr>
              <w:rPr>
                <w:b/>
              </w:rPr>
            </w:pPr>
            <w:r w:rsidRPr="006A74F8">
              <w:rPr>
                <w:b/>
              </w:rPr>
              <w:t>Option 1</w:t>
            </w:r>
          </w:p>
        </w:tc>
        <w:tc>
          <w:tcPr>
            <w:tcW w:w="2254" w:type="dxa"/>
            <w:shd w:val="clear" w:color="auto" w:fill="1F3864"/>
          </w:tcPr>
          <w:p w:rsidR="006D3790" w:rsidRPr="006A74F8" w:rsidRDefault="006D3790" w:rsidP="006D3790">
            <w:pPr>
              <w:rPr>
                <w:b/>
              </w:rPr>
            </w:pPr>
            <w:r w:rsidRPr="006A74F8">
              <w:rPr>
                <w:b/>
              </w:rPr>
              <w:t>Option2</w:t>
            </w:r>
          </w:p>
        </w:tc>
        <w:tc>
          <w:tcPr>
            <w:tcW w:w="2255" w:type="dxa"/>
            <w:shd w:val="clear" w:color="auto" w:fill="1F3864"/>
          </w:tcPr>
          <w:p w:rsidR="006D3790" w:rsidRPr="006A74F8" w:rsidRDefault="006D3790" w:rsidP="006D3790">
            <w:pPr>
              <w:rPr>
                <w:b/>
              </w:rPr>
            </w:pPr>
            <w:r w:rsidRPr="006A74F8">
              <w:rPr>
                <w:b/>
              </w:rPr>
              <w:t>Option 3</w:t>
            </w:r>
          </w:p>
        </w:tc>
      </w:tr>
      <w:tr w:rsidR="006D3790" w:rsidRPr="006A74F8" w:rsidTr="006D3790">
        <w:tc>
          <w:tcPr>
            <w:tcW w:w="2254" w:type="dxa"/>
          </w:tcPr>
          <w:p w:rsidR="006D3790" w:rsidRPr="006A74F8" w:rsidRDefault="006D3790" w:rsidP="006D3790">
            <w:r w:rsidRPr="006A74F8">
              <w:t>$3.</w:t>
            </w:r>
            <w:r w:rsidR="0028294A" w:rsidRPr="006A74F8">
              <w:t>1</w:t>
            </w:r>
            <w:r w:rsidRPr="006A74F8">
              <w:t>m (with SL reporting estimated at $3m)</w:t>
            </w:r>
          </w:p>
        </w:tc>
        <w:tc>
          <w:tcPr>
            <w:tcW w:w="2254" w:type="dxa"/>
          </w:tcPr>
          <w:p w:rsidR="006D3790" w:rsidRPr="006A74F8" w:rsidRDefault="006D3790" w:rsidP="006D3790">
            <w:r w:rsidRPr="006A74F8">
              <w:rPr>
                <w:b/>
              </w:rPr>
              <w:t>Increased cost of reporting</w:t>
            </w:r>
            <w:r w:rsidRPr="006A74F8">
              <w:t xml:space="preserve"> for UMVs, subject to a transition period and </w:t>
            </w:r>
            <w:r w:rsidRPr="006A74F8">
              <w:rPr>
                <w:rFonts w:cstheme="minorHAnsi"/>
              </w:rPr>
              <w:t>development of an appropriate reporting framework</w:t>
            </w:r>
            <w:r w:rsidRPr="006A74F8">
              <w:t>.</w:t>
            </w:r>
            <w:r w:rsidR="0011444F" w:rsidRPr="006A74F8">
              <w:t xml:space="preserve"> Updated framework may provide savings for SLs.</w:t>
            </w:r>
          </w:p>
        </w:tc>
        <w:tc>
          <w:tcPr>
            <w:tcW w:w="2254" w:type="dxa"/>
          </w:tcPr>
          <w:p w:rsidR="006D3790" w:rsidRPr="006A74F8" w:rsidRDefault="006D3790" w:rsidP="006D3790">
            <w:r w:rsidRPr="006A74F8">
              <w:rPr>
                <w:b/>
              </w:rPr>
              <w:t>Increased cost of reporting</w:t>
            </w:r>
            <w:r w:rsidRPr="006A74F8">
              <w:t xml:space="preserve"> for UMVs and LMAs subject to a transition period and </w:t>
            </w:r>
            <w:r w:rsidRPr="006A74F8">
              <w:rPr>
                <w:rFonts w:cstheme="minorHAnsi"/>
              </w:rPr>
              <w:t>development of an appropriate reporting framework</w:t>
            </w:r>
            <w:r w:rsidRPr="006A74F8">
              <w:t>.</w:t>
            </w:r>
            <w:r w:rsidR="0011444F" w:rsidRPr="006A74F8">
              <w:t xml:space="preserve"> Updated framework may provide savings for SLs.</w:t>
            </w:r>
          </w:p>
        </w:tc>
        <w:tc>
          <w:tcPr>
            <w:tcW w:w="2255" w:type="dxa"/>
          </w:tcPr>
          <w:p w:rsidR="006D3790" w:rsidRPr="006A74F8" w:rsidRDefault="008F723F" w:rsidP="006D3790">
            <w:r w:rsidRPr="006A74F8">
              <w:rPr>
                <w:rStyle w:val="Hyperlink"/>
                <w:b/>
                <w:color w:val="auto"/>
                <w:u w:val="none"/>
              </w:rPr>
              <w:t>Potential u</w:t>
            </w:r>
            <w:r w:rsidR="006D3790" w:rsidRPr="006A74F8">
              <w:rPr>
                <w:rStyle w:val="Hyperlink"/>
                <w:b/>
                <w:color w:val="auto"/>
                <w:u w:val="none"/>
              </w:rPr>
              <w:t xml:space="preserve">nquantifiable increase in regulatory burden </w:t>
            </w:r>
            <w:r w:rsidR="006D3790" w:rsidRPr="006A74F8">
              <w:rPr>
                <w:rStyle w:val="Hyperlink"/>
                <w:color w:val="auto"/>
                <w:u w:val="none"/>
              </w:rPr>
              <w:t>based on</w:t>
            </w:r>
            <w:r w:rsidR="006D3790" w:rsidRPr="006A74F8" w:rsidDel="00DD34EC">
              <w:rPr>
                <w:rStyle w:val="Hyperlink"/>
                <w:color w:val="auto"/>
                <w:u w:val="none"/>
              </w:rPr>
              <w:t xml:space="preserve"> </w:t>
            </w:r>
            <w:r w:rsidR="006D3790" w:rsidRPr="006A74F8">
              <w:rPr>
                <w:rStyle w:val="Hyperlink"/>
                <w:color w:val="auto"/>
                <w:u w:val="none"/>
              </w:rPr>
              <w:t xml:space="preserve">a </w:t>
            </w:r>
            <w:r w:rsidRPr="006A74F8">
              <w:rPr>
                <w:rStyle w:val="Hyperlink"/>
                <w:color w:val="auto"/>
                <w:u w:val="none"/>
              </w:rPr>
              <w:t>possible</w:t>
            </w:r>
            <w:r w:rsidR="006D3790" w:rsidRPr="006A74F8">
              <w:rPr>
                <w:rStyle w:val="Hyperlink"/>
                <w:color w:val="auto"/>
                <w:u w:val="none"/>
              </w:rPr>
              <w:t xml:space="preserve"> rise in the number of ATPs providing measurement services for other regulatory purposes (non-trade)</w:t>
            </w:r>
            <w:r w:rsidRPr="006A74F8">
              <w:rPr>
                <w:rStyle w:val="Hyperlink"/>
                <w:color w:val="auto"/>
                <w:u w:val="none"/>
              </w:rPr>
              <w:t>.</w:t>
            </w:r>
          </w:p>
        </w:tc>
      </w:tr>
    </w:tbl>
    <w:p w:rsidR="00B97C2B" w:rsidRPr="006A74F8" w:rsidRDefault="00B97C2B" w:rsidP="00CD4621">
      <w:pPr>
        <w:pStyle w:val="Heading1"/>
        <w:sectPr w:rsidR="00B97C2B" w:rsidRPr="006A74F8" w:rsidSect="00EC61D8">
          <w:pgSz w:w="11907" w:h="16840" w:code="9"/>
          <w:pgMar w:top="1440" w:right="1440" w:bottom="1440" w:left="1440" w:header="851" w:footer="0" w:gutter="0"/>
          <w:cols w:space="708"/>
          <w:docGrid w:linePitch="360"/>
        </w:sectPr>
      </w:pPr>
      <w:bookmarkStart w:id="3032" w:name="_Toc67649134"/>
      <w:bookmarkStart w:id="3033" w:name="_Toc67650117"/>
      <w:bookmarkStart w:id="3034" w:name="_Toc67650372"/>
      <w:bookmarkStart w:id="3035" w:name="_Toc67650664"/>
    </w:p>
    <w:p w:rsidR="00CD4621" w:rsidRPr="006A74F8" w:rsidRDefault="00CD4621" w:rsidP="00392086">
      <w:pPr>
        <w:pStyle w:val="Heading1"/>
        <w:ind w:left="709" w:hanging="709"/>
      </w:pPr>
      <w:bookmarkStart w:id="3036" w:name="_Appendix_14:_Costing"/>
      <w:bookmarkStart w:id="3037" w:name="_Toc67929112"/>
      <w:bookmarkStart w:id="3038" w:name="_Toc67929406"/>
      <w:bookmarkStart w:id="3039" w:name="_Toc67929631"/>
      <w:bookmarkStart w:id="3040" w:name="_Toc68011274"/>
      <w:bookmarkStart w:id="3041" w:name="_Toc68011332"/>
      <w:bookmarkStart w:id="3042" w:name="_Toc81919640"/>
      <w:bookmarkStart w:id="3043" w:name="_Toc81919914"/>
      <w:bookmarkStart w:id="3044" w:name="_Toc81921181"/>
      <w:bookmarkStart w:id="3045" w:name="_Toc81923756"/>
      <w:bookmarkStart w:id="3046" w:name="_Toc81923783"/>
      <w:bookmarkStart w:id="3047" w:name="_Toc81994305"/>
      <w:bookmarkStart w:id="3048" w:name="_Toc81997330"/>
      <w:bookmarkStart w:id="3049" w:name="_Toc81998103"/>
      <w:bookmarkStart w:id="3050" w:name="_Toc82011857"/>
      <w:bookmarkStart w:id="3051" w:name="_Toc82512713"/>
      <w:bookmarkStart w:id="3052" w:name="_Toc82516181"/>
      <w:bookmarkStart w:id="3053" w:name="_Toc82519122"/>
      <w:bookmarkStart w:id="3054" w:name="_Toc82706664"/>
      <w:bookmarkStart w:id="3055" w:name="_Toc82790549"/>
      <w:bookmarkStart w:id="3056" w:name="_Toc82791068"/>
      <w:bookmarkStart w:id="3057" w:name="_Toc82792379"/>
      <w:bookmarkStart w:id="3058" w:name="_Toc83290761"/>
      <w:bookmarkStart w:id="3059" w:name="_Toc83292770"/>
      <w:bookmarkStart w:id="3060" w:name="_Toc83293541"/>
      <w:bookmarkStart w:id="3061" w:name="_Toc67652984"/>
      <w:bookmarkStart w:id="3062" w:name="_Toc67653069"/>
      <w:bookmarkStart w:id="3063" w:name="_Toc67653501"/>
      <w:bookmarkStart w:id="3064" w:name="_Toc67653564"/>
      <w:bookmarkStart w:id="3065" w:name="_Toc67649981"/>
      <w:bookmarkStart w:id="3066" w:name="_Toc67654067"/>
      <w:bookmarkStart w:id="3067" w:name="_Toc67654374"/>
      <w:bookmarkStart w:id="3068" w:name="_Toc67654591"/>
      <w:bookmarkStart w:id="3069" w:name="_Toc67656198"/>
      <w:bookmarkStart w:id="3070" w:name="_Toc67656960"/>
      <w:bookmarkStart w:id="3071" w:name="_Toc67659259"/>
      <w:bookmarkStart w:id="3072" w:name="_Toc67659760"/>
      <w:bookmarkStart w:id="3073" w:name="_Toc67661727"/>
      <w:bookmarkStart w:id="3074" w:name="_Toc67662818"/>
      <w:bookmarkStart w:id="3075" w:name="_Toc67662959"/>
      <w:bookmarkStart w:id="3076" w:name="_Toc67664465"/>
      <w:bookmarkStart w:id="3077" w:name="_Toc67667192"/>
      <w:bookmarkStart w:id="3078" w:name="_Toc67668265"/>
      <w:bookmarkStart w:id="3079" w:name="_Toc67669172"/>
      <w:bookmarkStart w:id="3080" w:name="_Toc67665783"/>
      <w:bookmarkStart w:id="3081" w:name="_Toc67912172"/>
      <w:bookmarkStart w:id="3082" w:name="_Toc67922253"/>
      <w:bookmarkStart w:id="3083" w:name="_Toc67927108"/>
      <w:bookmarkEnd w:id="3036"/>
      <w:r w:rsidRPr="006A74F8">
        <w:lastRenderedPageBreak/>
        <w:t>Appendix 1</w:t>
      </w:r>
      <w:r w:rsidR="00266F0F" w:rsidRPr="006A74F8">
        <w:t>3</w:t>
      </w:r>
      <w:r w:rsidRPr="006A74F8">
        <w:t xml:space="preserve">: Costing the regulatory burden </w:t>
      </w:r>
      <w:r w:rsidR="00BC3C7E" w:rsidRPr="006A74F8">
        <w:t>of mandatory</w:t>
      </w:r>
      <w:r w:rsidRPr="006A74F8">
        <w:t xml:space="preserve"> verification</w:t>
      </w:r>
      <w:bookmarkEnd w:id="3032"/>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r w:rsidR="00E706B4" w:rsidRPr="006A74F8">
        <w:t xml:space="preserve"> </w:t>
      </w:r>
      <w:bookmarkEnd w:id="3033"/>
      <w:bookmarkEnd w:id="3034"/>
      <w:bookmarkEnd w:id="3035"/>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p>
    <w:p w:rsidR="00CD4621" w:rsidRPr="006A74F8" w:rsidRDefault="00B1255E" w:rsidP="00CD4621">
      <w:pPr>
        <w:pStyle w:val="Heading2"/>
      </w:pPr>
      <w:r w:rsidRPr="006A74F8">
        <w:t xml:space="preserve"> </w:t>
      </w:r>
      <w:r w:rsidR="00CD4621" w:rsidRPr="006A74F8">
        <w:t>Overview</w:t>
      </w:r>
    </w:p>
    <w:p w:rsidR="006427AF" w:rsidRPr="006A74F8" w:rsidRDefault="006427AF" w:rsidP="003B094C">
      <w:pPr>
        <w:shd w:val="clear" w:color="auto" w:fill="DFF3F3" w:themeFill="accent4" w:themeFillTint="33"/>
      </w:pPr>
      <w:r w:rsidRPr="006A74F8">
        <w:t xml:space="preserve">The costs provided in this appendix are an estimation of regulatory burden costs associated with industry needing to have measuring instruments used for trade verified by </w:t>
      </w:r>
      <w:r w:rsidR="00511396" w:rsidRPr="006A74F8">
        <w:t>S</w:t>
      </w:r>
      <w:r w:rsidRPr="006A74F8">
        <w:t xml:space="preserve">ervicing </w:t>
      </w:r>
      <w:r w:rsidR="00511396" w:rsidRPr="006A74F8">
        <w:t>L</w:t>
      </w:r>
      <w:r w:rsidRPr="006A74F8">
        <w:t xml:space="preserve">icensees.  </w:t>
      </w:r>
    </w:p>
    <w:p w:rsidR="00CD4621" w:rsidRPr="006A74F8" w:rsidRDefault="00CD4621" w:rsidP="003B094C">
      <w:pPr>
        <w:shd w:val="clear" w:color="auto" w:fill="DFF3F3" w:themeFill="accent4" w:themeFillTint="33"/>
      </w:pPr>
      <w:r w:rsidRPr="006A74F8">
        <w:t xml:space="preserve">This section includes: </w:t>
      </w:r>
    </w:p>
    <w:p w:rsidR="00CD4621" w:rsidRPr="006A74F8" w:rsidRDefault="00CD4621" w:rsidP="000C6089">
      <w:pPr>
        <w:pStyle w:val="ListParagraph"/>
        <w:numPr>
          <w:ilvl w:val="0"/>
          <w:numId w:val="109"/>
        </w:numPr>
        <w:shd w:val="clear" w:color="auto" w:fill="DFF3F3" w:themeFill="accent4" w:themeFillTint="33"/>
      </w:pPr>
      <w:r w:rsidRPr="006A74F8">
        <w:t>An estimation of costs of verification of measuring instruments</w:t>
      </w:r>
      <w:r w:rsidR="006427AF" w:rsidRPr="006A74F8">
        <w:t xml:space="preserve"> used for trad</w:t>
      </w:r>
      <w:r w:rsidR="003A79BF" w:rsidRPr="006A74F8">
        <w:t>e</w:t>
      </w:r>
    </w:p>
    <w:p w:rsidR="00CD4621" w:rsidRPr="006A74F8" w:rsidRDefault="00CD4621" w:rsidP="00C808CF">
      <w:pPr>
        <w:pStyle w:val="ListParagraph"/>
        <w:numPr>
          <w:ilvl w:val="0"/>
          <w:numId w:val="109"/>
        </w:numPr>
        <w:shd w:val="clear" w:color="auto" w:fill="DFF3F3" w:themeFill="accent4" w:themeFillTint="33"/>
      </w:pPr>
      <w:r w:rsidRPr="006A74F8">
        <w:t>A description of how flexibility will be introduced under each reform option and how it may change regulatory burden for measuring instruments used for trade and/or regulatory purposes</w:t>
      </w:r>
    </w:p>
    <w:p w:rsidR="002F0383" w:rsidRPr="006A74F8" w:rsidRDefault="00CA4568" w:rsidP="006853A9">
      <w:pPr>
        <w:rPr>
          <w:i/>
        </w:rPr>
      </w:pPr>
      <w:r w:rsidRPr="006A74F8">
        <w:rPr>
          <w:i/>
        </w:rPr>
        <w:t xml:space="preserve">This section does not include </w:t>
      </w:r>
      <w:r w:rsidR="006853A9" w:rsidRPr="006A74F8">
        <w:rPr>
          <w:i/>
        </w:rPr>
        <w:t>an</w:t>
      </w:r>
      <w:r w:rsidRPr="006A74F8">
        <w:rPr>
          <w:i/>
        </w:rPr>
        <w:t xml:space="preserve"> estimation of burden in relation to the verification of utility meters </w:t>
      </w:r>
      <w:r w:rsidR="002E095D" w:rsidRPr="006A74F8">
        <w:rPr>
          <w:i/>
        </w:rPr>
        <w:t>in Australia</w:t>
      </w:r>
      <w:r w:rsidRPr="006A74F8">
        <w:rPr>
          <w:i/>
        </w:rPr>
        <w:t xml:space="preserve"> d</w:t>
      </w:r>
      <w:r w:rsidR="002E095D" w:rsidRPr="006A74F8">
        <w:rPr>
          <w:i/>
        </w:rPr>
        <w:t>ue to a lack of data</w:t>
      </w:r>
      <w:r w:rsidRPr="006A74F8">
        <w:rPr>
          <w:i/>
        </w:rPr>
        <w:t>.</w:t>
      </w:r>
    </w:p>
    <w:p w:rsidR="00CD4621" w:rsidRPr="006A74F8" w:rsidRDefault="00B1255E" w:rsidP="00CD4621">
      <w:pPr>
        <w:pStyle w:val="Heading2"/>
      </w:pPr>
      <w:r w:rsidRPr="006A74F8">
        <w:t xml:space="preserve"> </w:t>
      </w:r>
      <w:r w:rsidR="00CD4621" w:rsidRPr="006A74F8">
        <w:t xml:space="preserve">Verification </w:t>
      </w:r>
    </w:p>
    <w:p w:rsidR="00CD4621" w:rsidRPr="006A74F8" w:rsidRDefault="00CD4621" w:rsidP="000C6089">
      <w:r w:rsidRPr="006A74F8">
        <w:t>Measuring instruments used for trade purposes must be verified</w:t>
      </w:r>
      <w:r w:rsidRPr="006A74F8">
        <w:rPr>
          <w:rStyle w:val="FootnoteReference"/>
        </w:rPr>
        <w:footnoteReference w:id="256"/>
      </w:r>
      <w:r w:rsidRPr="006A74F8">
        <w:t xml:space="preserve"> by an authorised verifier</w:t>
      </w:r>
      <w:r w:rsidRPr="006A74F8">
        <w:rPr>
          <w:rStyle w:val="FootnoteReference"/>
        </w:rPr>
        <w:footnoteReference w:id="257"/>
      </w:r>
      <w:r w:rsidRPr="006A74F8">
        <w:t xml:space="preserve"> prior to first use. </w:t>
      </w:r>
      <w:r w:rsidR="00856F42" w:rsidRPr="006A74F8">
        <w:t>Section 18GG of the Act defines when a measuring instrument is verified</w:t>
      </w:r>
      <w:r w:rsidR="002F0383" w:rsidRPr="006A74F8">
        <w:t xml:space="preserve"> </w:t>
      </w:r>
      <w:r w:rsidR="00D9445B" w:rsidRPr="006A74F8">
        <w:t xml:space="preserve">which </w:t>
      </w:r>
      <w:r w:rsidR="00CA4568" w:rsidRPr="006A74F8">
        <w:t>includes testing the instrument according to</w:t>
      </w:r>
      <w:r w:rsidR="002F0383" w:rsidRPr="006A74F8">
        <w:t xml:space="preserve"> the national instrument test procedures</w:t>
      </w:r>
      <w:r w:rsidR="005F10AC" w:rsidRPr="006A74F8">
        <w:t xml:space="preserve"> (NITP)</w:t>
      </w:r>
      <w:r w:rsidR="002F0383" w:rsidRPr="006A74F8">
        <w:t xml:space="preserve"> </w:t>
      </w:r>
      <w:r w:rsidR="00CA4568" w:rsidRPr="006A74F8">
        <w:t>and affixing a mark</w:t>
      </w:r>
      <w:r w:rsidR="002E095D" w:rsidRPr="006A74F8">
        <w:t xml:space="preserve">.  </w:t>
      </w:r>
    </w:p>
    <w:p w:rsidR="00CD4621" w:rsidRPr="006A74F8" w:rsidRDefault="00470E1B" w:rsidP="001E43AC">
      <w:pPr>
        <w:pStyle w:val="Heading2"/>
        <w:ind w:left="851" w:hanging="851"/>
      </w:pPr>
      <w:r w:rsidRPr="006A74F8">
        <w:t>Estimating the regulatory burden c</w:t>
      </w:r>
      <w:r w:rsidR="00CD4621" w:rsidRPr="006A74F8">
        <w:t>ost of the verification service</w:t>
      </w:r>
    </w:p>
    <w:p w:rsidR="006427AF" w:rsidRPr="006A74F8" w:rsidRDefault="00470E1B" w:rsidP="006427AF">
      <w:pPr>
        <w:pStyle w:val="NoSpacing"/>
      </w:pPr>
      <w:r w:rsidRPr="006A74F8">
        <w:t xml:space="preserve">This </w:t>
      </w:r>
      <w:r w:rsidR="008539B9" w:rsidRPr="006A74F8">
        <w:t>subsection</w:t>
      </w:r>
      <w:r w:rsidR="0078485A" w:rsidRPr="006A74F8">
        <w:t xml:space="preserve"> provides an estimation of the cost of the verification service provided by Servicing Licensee</w:t>
      </w:r>
      <w:r w:rsidR="00BC3C7E" w:rsidRPr="006A74F8">
        <w:t>s</w:t>
      </w:r>
      <w:r w:rsidR="0078485A" w:rsidRPr="006A74F8">
        <w:t xml:space="preserve">. The NMI estimate of verification is based on </w:t>
      </w:r>
      <w:r w:rsidR="003D538E" w:rsidRPr="006A74F8">
        <w:t xml:space="preserve">the average number of </w:t>
      </w:r>
      <w:r w:rsidR="0078485A" w:rsidRPr="006A74F8">
        <w:t>submitted reports on verifications completed across 5 years</w:t>
      </w:r>
      <w:r w:rsidR="003D538E" w:rsidRPr="006A74F8">
        <w:t xml:space="preserve"> (2015/16 - 2019/20)</w:t>
      </w:r>
      <w:r w:rsidR="0078485A" w:rsidRPr="006A74F8">
        <w:t xml:space="preserve">. </w:t>
      </w:r>
    </w:p>
    <w:p w:rsidR="006427AF" w:rsidRPr="006A74F8" w:rsidRDefault="006427AF" w:rsidP="006427AF">
      <w:pPr>
        <w:pStyle w:val="NoSpacing"/>
      </w:pPr>
    </w:p>
    <w:p w:rsidR="006427AF" w:rsidRPr="006A74F8" w:rsidRDefault="006427AF" w:rsidP="006427AF">
      <w:r w:rsidRPr="006A74F8">
        <w:t xml:space="preserve">The key variables in this costing are the estimated hourly rate charged by Servicing Licensees based on the $170 verification fee provided by </w:t>
      </w:r>
      <w:r w:rsidR="00BA174F" w:rsidRPr="006A74F8">
        <w:t>t</w:t>
      </w:r>
      <w:r w:rsidRPr="006A74F8">
        <w:t xml:space="preserve">rade </w:t>
      </w:r>
      <w:r w:rsidR="00BA174F" w:rsidRPr="006A74F8">
        <w:t>m</w:t>
      </w:r>
      <w:r w:rsidRPr="006A74F8">
        <w:t xml:space="preserve">easurement </w:t>
      </w:r>
      <w:r w:rsidR="00BA174F" w:rsidRPr="006A74F8">
        <w:t>i</w:t>
      </w:r>
      <w:r w:rsidRPr="006A74F8">
        <w:t xml:space="preserve">nspectors.  </w:t>
      </w:r>
    </w:p>
    <w:p w:rsidR="00FC75BC" w:rsidRPr="006A74F8" w:rsidRDefault="008117A6" w:rsidP="00F0366B">
      <w:pPr>
        <w:keepNext/>
        <w:spacing w:after="0" w:line="240" w:lineRule="auto"/>
      </w:pPr>
      <w:r w:rsidRPr="006A74F8">
        <w:t>Assumptions used:</w:t>
      </w:r>
    </w:p>
    <w:p w:rsidR="005F10AC" w:rsidRPr="006A74F8" w:rsidRDefault="005F10AC" w:rsidP="000C6089">
      <w:pPr>
        <w:pStyle w:val="ListParagraph"/>
        <w:numPr>
          <w:ilvl w:val="0"/>
          <w:numId w:val="127"/>
        </w:numPr>
        <w:spacing w:after="0" w:line="240" w:lineRule="auto"/>
      </w:pPr>
      <w:r w:rsidRPr="006A74F8">
        <w:rPr>
          <w:b/>
        </w:rPr>
        <w:t>Time to verify</w:t>
      </w:r>
      <w:r w:rsidRPr="006A74F8">
        <w:t xml:space="preserve"> – NMI estimate of the time required for the verification of each measuring instrument according to the NITP (travel time is excluded)</w:t>
      </w:r>
      <w:r w:rsidR="00EA06BB" w:rsidRPr="006A74F8">
        <w:t>.</w:t>
      </w:r>
    </w:p>
    <w:p w:rsidR="00B818E9" w:rsidRPr="006A74F8" w:rsidRDefault="00B818E9" w:rsidP="000C6089">
      <w:pPr>
        <w:pStyle w:val="ListParagraph"/>
        <w:numPr>
          <w:ilvl w:val="0"/>
          <w:numId w:val="127"/>
        </w:numPr>
        <w:spacing w:after="0" w:line="240" w:lineRule="auto"/>
      </w:pPr>
      <w:r w:rsidRPr="006A74F8">
        <w:rPr>
          <w:b/>
        </w:rPr>
        <w:t xml:space="preserve">Servicing Licensee </w:t>
      </w:r>
      <w:r w:rsidR="00EA06BB" w:rsidRPr="006A74F8">
        <w:rPr>
          <w:b/>
        </w:rPr>
        <w:t>h</w:t>
      </w:r>
      <w:r w:rsidRPr="006A74F8">
        <w:rPr>
          <w:b/>
        </w:rPr>
        <w:t>ourly rate</w:t>
      </w:r>
      <w:r w:rsidR="001F5BDF" w:rsidRPr="006A74F8">
        <w:t>:</w:t>
      </w:r>
      <w:r w:rsidRPr="006A74F8">
        <w:t xml:space="preserve"> </w:t>
      </w:r>
      <w:r w:rsidRPr="006A74F8">
        <w:rPr>
          <w:rFonts w:ascii="Calibri" w:eastAsia="Times New Roman" w:hAnsi="Calibri" w:cs="Calibri"/>
          <w:color w:val="000000"/>
          <w:lang w:eastAsia="en-AU"/>
        </w:rPr>
        <w:t xml:space="preserve">NMI estimate for verification fee currently around $170 </w:t>
      </w:r>
      <w:r w:rsidR="00B65D2F" w:rsidRPr="006A74F8">
        <w:rPr>
          <w:rFonts w:ascii="Calibri" w:eastAsia="Times New Roman" w:hAnsi="Calibri" w:cs="Calibri"/>
          <w:color w:val="000000"/>
          <w:lang w:eastAsia="en-AU"/>
        </w:rPr>
        <w:t xml:space="preserve">(inclusive </w:t>
      </w:r>
      <w:r w:rsidR="00B65D2F" w:rsidRPr="006A74F8">
        <w:rPr>
          <w:rFonts w:ascii="Calibri" w:eastAsia="Times New Roman" w:hAnsi="Calibri" w:cs="Calibri"/>
          <w:lang w:eastAsia="en-AU"/>
        </w:rPr>
        <w:t xml:space="preserve">of </w:t>
      </w:r>
      <w:r w:rsidR="00B65D2F" w:rsidRPr="006A74F8">
        <w:t>non-wage costs)</w:t>
      </w:r>
      <w:r w:rsidR="000E47F9" w:rsidRPr="006A74F8">
        <w:t xml:space="preserve">. </w:t>
      </w:r>
    </w:p>
    <w:p w:rsidR="008117A6" w:rsidRPr="006A74F8" w:rsidRDefault="00DC1726" w:rsidP="000C6089">
      <w:pPr>
        <w:pStyle w:val="ListParagraph"/>
        <w:numPr>
          <w:ilvl w:val="0"/>
          <w:numId w:val="127"/>
        </w:numPr>
        <w:spacing w:after="0" w:line="240" w:lineRule="auto"/>
      </w:pPr>
      <w:r w:rsidRPr="006A74F8">
        <w:rPr>
          <w:rFonts w:ascii="Calibri" w:eastAsia="Times New Roman" w:hAnsi="Calibri" w:cs="Calibri"/>
          <w:b/>
          <w:color w:val="000000"/>
          <w:lang w:eastAsia="en-AU"/>
        </w:rPr>
        <w:t>5 year average n</w:t>
      </w:r>
      <w:r w:rsidR="008117A6" w:rsidRPr="006A74F8">
        <w:rPr>
          <w:b/>
        </w:rPr>
        <w:t xml:space="preserve">umber of instruments verified </w:t>
      </w:r>
      <w:r w:rsidR="00F078B9" w:rsidRPr="006A74F8">
        <w:rPr>
          <w:b/>
        </w:rPr>
        <w:t>per year</w:t>
      </w:r>
      <w:r w:rsidR="001F5BDF" w:rsidRPr="006A74F8">
        <w:t>:</w:t>
      </w:r>
      <w:r w:rsidR="008117A6" w:rsidRPr="006A74F8" w:rsidDel="005F10AC">
        <w:t xml:space="preserve"> </w:t>
      </w:r>
      <w:r w:rsidR="008117A6" w:rsidRPr="006A74F8">
        <w:rPr>
          <w:rFonts w:ascii="Calibri" w:eastAsia="Times New Roman" w:hAnsi="Calibri" w:cs="Calibri"/>
          <w:color w:val="000000"/>
          <w:lang w:eastAsia="en-AU"/>
        </w:rPr>
        <w:t xml:space="preserve">Average number of instruments verified </w:t>
      </w:r>
      <w:r w:rsidR="005F10AC" w:rsidRPr="006A74F8">
        <w:rPr>
          <w:rFonts w:ascii="Calibri" w:eastAsia="Times New Roman" w:hAnsi="Calibri" w:cs="Calibri"/>
          <w:color w:val="000000"/>
          <w:lang w:eastAsia="en-AU"/>
        </w:rPr>
        <w:t xml:space="preserve">over </w:t>
      </w:r>
      <w:r w:rsidR="00F078B9" w:rsidRPr="006A74F8">
        <w:rPr>
          <w:rFonts w:ascii="Calibri" w:eastAsia="Times New Roman" w:hAnsi="Calibri" w:cs="Calibri"/>
          <w:color w:val="000000"/>
          <w:lang w:eastAsia="en-AU"/>
        </w:rPr>
        <w:t xml:space="preserve">the last </w:t>
      </w:r>
      <w:r w:rsidR="008619FA" w:rsidRPr="006A74F8">
        <w:rPr>
          <w:rFonts w:ascii="Calibri" w:eastAsia="Times New Roman" w:hAnsi="Calibri" w:cs="Calibri"/>
          <w:color w:val="000000"/>
          <w:lang w:eastAsia="en-AU"/>
        </w:rPr>
        <w:t>5</w:t>
      </w:r>
      <w:r w:rsidR="005F10AC" w:rsidRPr="006A74F8">
        <w:rPr>
          <w:rFonts w:ascii="Calibri" w:eastAsia="Times New Roman" w:hAnsi="Calibri" w:cs="Calibri"/>
          <w:color w:val="000000"/>
          <w:lang w:eastAsia="en-AU"/>
        </w:rPr>
        <w:t xml:space="preserve"> year period </w:t>
      </w:r>
      <w:r w:rsidR="008117A6" w:rsidRPr="006A74F8">
        <w:rPr>
          <w:rFonts w:ascii="Calibri" w:eastAsia="Times New Roman" w:hAnsi="Calibri" w:cs="Calibri"/>
          <w:color w:val="000000"/>
          <w:lang w:eastAsia="en-AU"/>
        </w:rPr>
        <w:t>(2015/16 - 2019/20)</w:t>
      </w:r>
      <w:r w:rsidR="00EA06BB" w:rsidRPr="006A74F8">
        <w:rPr>
          <w:rFonts w:ascii="Calibri" w:eastAsia="Times New Roman" w:hAnsi="Calibri" w:cs="Calibri"/>
          <w:color w:val="000000"/>
          <w:lang w:eastAsia="en-AU"/>
        </w:rPr>
        <w:t>.</w:t>
      </w:r>
    </w:p>
    <w:p w:rsidR="008117A6" w:rsidRPr="006A74F8" w:rsidRDefault="008117A6" w:rsidP="000C6089">
      <w:pPr>
        <w:pStyle w:val="ListParagraph"/>
        <w:numPr>
          <w:ilvl w:val="0"/>
          <w:numId w:val="127"/>
        </w:numPr>
        <w:spacing w:after="240" w:line="240" w:lineRule="auto"/>
        <w:ind w:left="714" w:hanging="357"/>
        <w:contextualSpacing w:val="0"/>
      </w:pPr>
      <w:r w:rsidRPr="006A74F8">
        <w:rPr>
          <w:rFonts w:ascii="Calibri" w:eastAsia="Times New Roman" w:hAnsi="Calibri" w:cs="Calibri"/>
          <w:b/>
          <w:color w:val="000000"/>
          <w:lang w:eastAsia="en-AU"/>
        </w:rPr>
        <w:t>Cost of verification service to business</w:t>
      </w:r>
      <w:r w:rsidR="00B75AF8" w:rsidRPr="006A74F8">
        <w:rPr>
          <w:rFonts w:ascii="Calibri" w:eastAsia="Times New Roman" w:hAnsi="Calibri" w:cs="Calibri"/>
          <w:color w:val="000000"/>
          <w:lang w:eastAsia="en-AU"/>
        </w:rPr>
        <w:t>:</w:t>
      </w:r>
      <w:r w:rsidRPr="006A74F8">
        <w:rPr>
          <w:rFonts w:ascii="Calibri" w:eastAsia="Times New Roman" w:hAnsi="Calibri" w:cs="Calibri"/>
          <w:color w:val="000000"/>
          <w:lang w:eastAsia="en-AU"/>
        </w:rPr>
        <w:t xml:space="preserve"> Time x hourly rate x number of instruments</w:t>
      </w:r>
      <w:r w:rsidR="000E47F9" w:rsidRPr="006A74F8">
        <w:rPr>
          <w:rFonts w:ascii="Calibri" w:eastAsia="Times New Roman" w:hAnsi="Calibri" w:cs="Calibri"/>
          <w:color w:val="000000"/>
          <w:lang w:eastAsia="en-AU"/>
        </w:rPr>
        <w:t xml:space="preserve"> verified</w:t>
      </w:r>
      <w:r w:rsidR="00EA06BB" w:rsidRPr="006A74F8">
        <w:rPr>
          <w:rFonts w:ascii="Calibri" w:eastAsia="Times New Roman" w:hAnsi="Calibri" w:cs="Calibri"/>
          <w:color w:val="000000"/>
          <w:lang w:eastAsia="en-AU"/>
        </w:rPr>
        <w:t>.</w:t>
      </w:r>
    </w:p>
    <w:p w:rsidR="008E21D2" w:rsidRPr="006A74F8" w:rsidRDefault="008E21D2" w:rsidP="008E21D2">
      <w:pPr>
        <w:pStyle w:val="Caption"/>
        <w:keepNext/>
      </w:pPr>
      <w:r w:rsidRPr="006A74F8">
        <w:lastRenderedPageBreak/>
        <w:t>Table A1</w:t>
      </w:r>
      <w:r w:rsidR="00B1255E" w:rsidRPr="006A74F8">
        <w:t>3</w:t>
      </w:r>
      <w:r w:rsidRPr="006A74F8">
        <w:t xml:space="preserve">- </w:t>
      </w:r>
      <w:r w:rsidR="00A6044A" w:rsidRPr="006A74F8">
        <w:rPr>
          <w:noProof/>
        </w:rPr>
        <w:fldChar w:fldCharType="begin"/>
      </w:r>
      <w:r w:rsidR="00A6044A" w:rsidRPr="006A74F8">
        <w:rPr>
          <w:noProof/>
        </w:rPr>
        <w:instrText xml:space="preserve"> SEQ Table_A14- \* ARABIC </w:instrText>
      </w:r>
      <w:r w:rsidR="00A6044A" w:rsidRPr="006A74F8">
        <w:rPr>
          <w:noProof/>
        </w:rPr>
        <w:fldChar w:fldCharType="separate"/>
      </w:r>
      <w:r w:rsidR="0033017F">
        <w:rPr>
          <w:noProof/>
        </w:rPr>
        <w:t>1</w:t>
      </w:r>
      <w:r w:rsidR="00A6044A" w:rsidRPr="006A74F8">
        <w:rPr>
          <w:noProof/>
        </w:rPr>
        <w:fldChar w:fldCharType="end"/>
      </w:r>
      <w:r w:rsidRPr="006A74F8">
        <w:t>: Estimated cost of verification</w:t>
      </w:r>
    </w:p>
    <w:tbl>
      <w:tblPr>
        <w:tblW w:w="9634" w:type="dxa"/>
        <w:tblLook w:val="04A0" w:firstRow="1" w:lastRow="0" w:firstColumn="1" w:lastColumn="0" w:noHBand="0" w:noVBand="1"/>
        <w:tblCaption w:val="Table A14- 1: Estimated cost of verification"/>
        <w:tblDescription w:val="Describes the estimated cost of verification for each instrument category"/>
      </w:tblPr>
      <w:tblGrid>
        <w:gridCol w:w="4438"/>
        <w:gridCol w:w="1287"/>
        <w:gridCol w:w="1087"/>
        <w:gridCol w:w="1220"/>
        <w:gridCol w:w="1602"/>
      </w:tblGrid>
      <w:tr w:rsidR="00DC1726" w:rsidRPr="006A74F8" w:rsidTr="009F6314">
        <w:trPr>
          <w:trHeight w:val="1054"/>
          <w:tblHeader/>
        </w:trPr>
        <w:tc>
          <w:tcPr>
            <w:tcW w:w="4438" w:type="dxa"/>
            <w:tcBorders>
              <w:top w:val="single" w:sz="4" w:space="0" w:color="auto"/>
              <w:left w:val="single" w:sz="4" w:space="0" w:color="auto"/>
              <w:bottom w:val="single" w:sz="4" w:space="0" w:color="auto"/>
              <w:right w:val="single" w:sz="4" w:space="0" w:color="auto"/>
            </w:tcBorders>
            <w:shd w:val="clear" w:color="auto" w:fill="1F3864"/>
            <w:noWrap/>
            <w:vAlign w:val="center"/>
            <w:hideMark/>
          </w:tcPr>
          <w:p w:rsidR="00DC1726" w:rsidRPr="006A74F8" w:rsidRDefault="00DC1726" w:rsidP="00DC1726">
            <w:pPr>
              <w:spacing w:after="0" w:line="240" w:lineRule="auto"/>
              <w:jc w:val="center"/>
              <w:rPr>
                <w:rFonts w:ascii="Calibri" w:eastAsia="Times New Roman" w:hAnsi="Calibri" w:cs="Calibri"/>
                <w:b/>
                <w:sz w:val="20"/>
                <w:szCs w:val="20"/>
                <w:lang w:eastAsia="en-AU"/>
              </w:rPr>
            </w:pPr>
          </w:p>
          <w:p w:rsidR="00DC1726" w:rsidRPr="006A74F8" w:rsidRDefault="00DC1726" w:rsidP="00DC1726">
            <w:pPr>
              <w:spacing w:after="0" w:line="240" w:lineRule="auto"/>
              <w:jc w:val="center"/>
              <w:rPr>
                <w:rFonts w:ascii="Calibri" w:eastAsia="Times New Roman" w:hAnsi="Calibri" w:cs="Calibri"/>
                <w:b/>
                <w:sz w:val="20"/>
                <w:szCs w:val="20"/>
                <w:lang w:eastAsia="en-AU"/>
              </w:rPr>
            </w:pPr>
            <w:r w:rsidRPr="006A74F8">
              <w:rPr>
                <w:rFonts w:ascii="Calibri" w:eastAsia="Times New Roman" w:hAnsi="Calibri" w:cs="Calibri"/>
                <w:b/>
                <w:sz w:val="20"/>
                <w:szCs w:val="20"/>
                <w:lang w:eastAsia="en-AU"/>
              </w:rPr>
              <w:t>Instrument Category</w:t>
            </w:r>
          </w:p>
          <w:p w:rsidR="00DC1726" w:rsidRPr="006A74F8" w:rsidRDefault="00DC1726" w:rsidP="00F06869">
            <w:pPr>
              <w:pStyle w:val="Caption"/>
              <w:rPr>
                <w:lang w:eastAsia="en-AU"/>
              </w:rPr>
            </w:pPr>
          </w:p>
        </w:tc>
        <w:tc>
          <w:tcPr>
            <w:tcW w:w="1287" w:type="dxa"/>
            <w:tcBorders>
              <w:top w:val="single" w:sz="4" w:space="0" w:color="auto"/>
              <w:left w:val="nil"/>
              <w:bottom w:val="single" w:sz="4" w:space="0" w:color="auto"/>
              <w:right w:val="single" w:sz="4" w:space="0" w:color="auto"/>
            </w:tcBorders>
            <w:shd w:val="clear" w:color="auto" w:fill="1F3864"/>
            <w:vAlign w:val="center"/>
            <w:hideMark/>
          </w:tcPr>
          <w:p w:rsidR="00DC1726" w:rsidRPr="006A74F8" w:rsidRDefault="00DC1726" w:rsidP="00555EB8">
            <w:pPr>
              <w:spacing w:after="0" w:line="240" w:lineRule="auto"/>
              <w:jc w:val="center"/>
              <w:rPr>
                <w:rFonts w:ascii="Calibri" w:eastAsia="Times New Roman" w:hAnsi="Calibri" w:cs="Calibri"/>
                <w:b/>
                <w:color w:val="000000"/>
                <w:sz w:val="20"/>
                <w:szCs w:val="20"/>
                <w:lang w:eastAsia="en-AU"/>
              </w:rPr>
            </w:pPr>
            <w:r w:rsidRPr="006A74F8">
              <w:rPr>
                <w:b/>
                <w:sz w:val="20"/>
                <w:szCs w:val="20"/>
              </w:rPr>
              <w:t>Time to verify</w:t>
            </w:r>
            <w:r w:rsidR="003520F0" w:rsidRPr="006A74F8">
              <w:rPr>
                <w:b/>
                <w:sz w:val="20"/>
                <w:szCs w:val="20"/>
              </w:rPr>
              <w:t xml:space="preserve"> (hours)</w:t>
            </w:r>
          </w:p>
        </w:tc>
        <w:tc>
          <w:tcPr>
            <w:tcW w:w="1087" w:type="dxa"/>
            <w:tcBorders>
              <w:top w:val="single" w:sz="4" w:space="0" w:color="auto"/>
              <w:left w:val="nil"/>
              <w:bottom w:val="single" w:sz="4" w:space="0" w:color="auto"/>
              <w:right w:val="single" w:sz="4" w:space="0" w:color="auto"/>
            </w:tcBorders>
            <w:shd w:val="clear" w:color="auto" w:fill="1F3864"/>
            <w:vAlign w:val="center"/>
            <w:hideMark/>
          </w:tcPr>
          <w:p w:rsidR="00DC1726" w:rsidRPr="006A74F8" w:rsidRDefault="00DC1726" w:rsidP="00E70708">
            <w:pPr>
              <w:spacing w:after="0" w:line="240" w:lineRule="auto"/>
              <w:jc w:val="center"/>
              <w:rPr>
                <w:rFonts w:ascii="Calibri" w:eastAsia="Times New Roman" w:hAnsi="Calibri" w:cs="Calibri"/>
                <w:b/>
                <w:color w:val="000000"/>
                <w:sz w:val="20"/>
                <w:szCs w:val="20"/>
                <w:lang w:eastAsia="en-AU"/>
              </w:rPr>
            </w:pPr>
            <w:r w:rsidRPr="006A74F8">
              <w:rPr>
                <w:b/>
                <w:sz w:val="20"/>
                <w:szCs w:val="20"/>
              </w:rPr>
              <w:t xml:space="preserve">Servicing Licensee </w:t>
            </w:r>
            <w:r w:rsidR="00EA06BB" w:rsidRPr="006A74F8">
              <w:rPr>
                <w:b/>
                <w:sz w:val="20"/>
                <w:szCs w:val="20"/>
              </w:rPr>
              <w:t>h</w:t>
            </w:r>
            <w:r w:rsidRPr="006A74F8">
              <w:rPr>
                <w:b/>
                <w:sz w:val="20"/>
                <w:szCs w:val="20"/>
              </w:rPr>
              <w:t>ourly rate</w:t>
            </w:r>
          </w:p>
        </w:tc>
        <w:tc>
          <w:tcPr>
            <w:tcW w:w="1220" w:type="dxa"/>
            <w:tcBorders>
              <w:top w:val="single" w:sz="4" w:space="0" w:color="auto"/>
              <w:left w:val="nil"/>
              <w:bottom w:val="single" w:sz="4" w:space="0" w:color="auto"/>
              <w:right w:val="single" w:sz="4" w:space="0" w:color="auto"/>
            </w:tcBorders>
            <w:shd w:val="clear" w:color="auto" w:fill="1F3864"/>
            <w:vAlign w:val="center"/>
            <w:hideMark/>
          </w:tcPr>
          <w:p w:rsidR="00DC1726" w:rsidRPr="006A74F8" w:rsidRDefault="00DC1726">
            <w:pPr>
              <w:spacing w:after="0" w:line="240" w:lineRule="auto"/>
              <w:jc w:val="center"/>
              <w:rPr>
                <w:rFonts w:ascii="Calibri" w:eastAsia="Times New Roman" w:hAnsi="Calibri" w:cs="Calibri"/>
                <w:b/>
                <w:color w:val="FFFFFF" w:themeColor="background1"/>
                <w:sz w:val="20"/>
                <w:szCs w:val="20"/>
                <w:lang w:eastAsia="en-AU"/>
              </w:rPr>
            </w:pPr>
            <w:r w:rsidRPr="006A74F8">
              <w:rPr>
                <w:rFonts w:ascii="Calibri" w:eastAsia="Times New Roman" w:hAnsi="Calibri" w:cs="Calibri"/>
                <w:b/>
                <w:color w:val="FFFFFF" w:themeColor="background1"/>
                <w:sz w:val="20"/>
                <w:szCs w:val="20"/>
                <w:lang w:eastAsia="en-AU"/>
              </w:rPr>
              <w:t>5 year average n</w:t>
            </w:r>
            <w:r w:rsidRPr="006A74F8">
              <w:rPr>
                <w:b/>
                <w:color w:val="FFFFFF" w:themeColor="background1"/>
                <w:sz w:val="20"/>
                <w:szCs w:val="20"/>
              </w:rPr>
              <w:t>umber of instruments verified per year</w:t>
            </w:r>
            <w:r w:rsidR="006E135D" w:rsidRPr="006A74F8">
              <w:rPr>
                <w:rStyle w:val="FootnoteReference"/>
                <w:b/>
                <w:color w:val="FFFFFF" w:themeColor="background1"/>
                <w:szCs w:val="20"/>
              </w:rPr>
              <w:footnoteReference w:id="258"/>
            </w:r>
          </w:p>
        </w:tc>
        <w:tc>
          <w:tcPr>
            <w:tcW w:w="1602" w:type="dxa"/>
            <w:tcBorders>
              <w:top w:val="single" w:sz="4" w:space="0" w:color="auto"/>
              <w:left w:val="nil"/>
              <w:bottom w:val="single" w:sz="4" w:space="0" w:color="auto"/>
              <w:right w:val="single" w:sz="4" w:space="0" w:color="auto"/>
            </w:tcBorders>
            <w:shd w:val="clear" w:color="auto" w:fill="1F3864"/>
            <w:vAlign w:val="center"/>
            <w:hideMark/>
          </w:tcPr>
          <w:p w:rsidR="00DC1726" w:rsidRPr="006A74F8" w:rsidRDefault="00DC1726">
            <w:pPr>
              <w:spacing w:after="0" w:line="240" w:lineRule="auto"/>
              <w:jc w:val="center"/>
              <w:rPr>
                <w:rFonts w:ascii="Calibri" w:eastAsia="Times New Roman" w:hAnsi="Calibri" w:cs="Calibri"/>
                <w:b/>
                <w:color w:val="FFFFFF" w:themeColor="background1"/>
                <w:sz w:val="20"/>
                <w:szCs w:val="20"/>
                <w:lang w:eastAsia="en-AU"/>
              </w:rPr>
            </w:pPr>
            <w:r w:rsidRPr="006A74F8">
              <w:rPr>
                <w:rFonts w:ascii="Calibri" w:eastAsia="Times New Roman" w:hAnsi="Calibri" w:cs="Calibri"/>
                <w:b/>
                <w:color w:val="FFFFFF" w:themeColor="background1"/>
                <w:sz w:val="20"/>
                <w:szCs w:val="20"/>
                <w:lang w:eastAsia="en-AU"/>
              </w:rPr>
              <w:t>Cost of verification service to business</w:t>
            </w:r>
            <w:r w:rsidRPr="006A74F8">
              <w:rPr>
                <w:rFonts w:ascii="Calibri" w:eastAsia="Times New Roman" w:hAnsi="Calibri" w:cs="Calibri"/>
                <w:color w:val="FFFFFF" w:themeColor="background1"/>
                <w:sz w:val="20"/>
                <w:szCs w:val="20"/>
                <w:lang w:eastAsia="en-AU"/>
              </w:rPr>
              <w:t>:</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1.1 - Measures of length not exceeding 2 metres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0.2</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DC1726"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50</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1C08A4" w:rsidP="001C08A4">
            <w:pPr>
              <w:spacing w:after="0" w:line="240" w:lineRule="auto"/>
              <w:jc w:val="right"/>
              <w:rPr>
                <w:rFonts w:ascii="Calibri" w:eastAsia="Times New Roman" w:hAnsi="Calibri" w:cs="Calibri"/>
                <w:sz w:val="20"/>
                <w:szCs w:val="20"/>
                <w:lang w:eastAsia="en-AU"/>
              </w:rPr>
            </w:pPr>
            <w:r w:rsidRPr="006A74F8">
              <w:t xml:space="preserve"> $1,700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1.3 - Fabric measuring instruments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0.5</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4</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1C08A4" w:rsidP="001C08A4">
            <w:pPr>
              <w:spacing w:after="0" w:line="240" w:lineRule="auto"/>
              <w:jc w:val="right"/>
              <w:rPr>
                <w:rFonts w:ascii="Calibri" w:eastAsia="Times New Roman" w:hAnsi="Calibri" w:cs="Calibri"/>
                <w:sz w:val="20"/>
                <w:szCs w:val="20"/>
                <w:lang w:eastAsia="en-AU"/>
              </w:rPr>
            </w:pPr>
            <w:r w:rsidRPr="006A74F8">
              <w:t xml:space="preserve"> $340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10.1 - LPG measuring instruments of the fuel dispenser type excluding cryogenic liquids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1.5</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1,938</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rsidP="001C08A4">
            <w:pPr>
              <w:spacing w:after="0" w:line="240" w:lineRule="auto"/>
              <w:jc w:val="right"/>
              <w:rPr>
                <w:rFonts w:ascii="Calibri" w:eastAsia="Times New Roman" w:hAnsi="Calibri" w:cs="Calibri"/>
                <w:sz w:val="20"/>
                <w:szCs w:val="20"/>
                <w:lang w:eastAsia="en-AU"/>
              </w:rPr>
            </w:pPr>
            <w:r w:rsidRPr="006A74F8">
              <w:t xml:space="preserve"> $494,190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10.2 - LPG measuring instruments of the flow meter type excluding cryogenic liquids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3</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210</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rsidP="001C08A4">
            <w:pPr>
              <w:spacing w:after="0" w:line="240" w:lineRule="auto"/>
              <w:jc w:val="right"/>
              <w:rPr>
                <w:rFonts w:ascii="Calibri" w:eastAsia="Times New Roman" w:hAnsi="Calibri" w:cs="Calibri"/>
                <w:sz w:val="20"/>
                <w:szCs w:val="20"/>
                <w:lang w:eastAsia="en-AU"/>
              </w:rPr>
            </w:pPr>
            <w:r w:rsidRPr="006A74F8">
              <w:t xml:space="preserve"> $107,100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13.1 - Multi-dimensional measuring instruments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174</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rsidP="001C08A4">
            <w:pPr>
              <w:spacing w:after="0" w:line="240" w:lineRule="auto"/>
              <w:jc w:val="right"/>
              <w:rPr>
                <w:rFonts w:ascii="Calibri" w:eastAsia="Times New Roman" w:hAnsi="Calibri" w:cs="Calibri"/>
                <w:sz w:val="20"/>
                <w:szCs w:val="20"/>
                <w:lang w:eastAsia="en-AU"/>
              </w:rPr>
            </w:pPr>
            <w:r w:rsidRPr="006A74F8">
              <w:t xml:space="preserve"> $29,580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3.1 - Masses not exceeding 20 kg excluding masses marked “A” and metric carat masses.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0.1</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4</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1C08A4" w:rsidP="001C08A4">
            <w:pPr>
              <w:spacing w:after="0" w:line="240" w:lineRule="auto"/>
              <w:jc w:val="right"/>
              <w:rPr>
                <w:rFonts w:ascii="Calibri" w:eastAsia="Times New Roman" w:hAnsi="Calibri" w:cs="Calibri"/>
                <w:sz w:val="20"/>
                <w:szCs w:val="20"/>
                <w:lang w:eastAsia="en-AU"/>
              </w:rPr>
            </w:pPr>
            <w:r w:rsidRPr="006A74F8">
              <w:t xml:space="preserve"> $68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4.1 - Volume measures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0.3</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1C08A4" w:rsidP="001C08A4">
            <w:pPr>
              <w:spacing w:after="0" w:line="240" w:lineRule="auto"/>
              <w:jc w:val="right"/>
              <w:rPr>
                <w:rFonts w:ascii="Calibri" w:eastAsia="Times New Roman" w:hAnsi="Calibri" w:cs="Calibri"/>
                <w:sz w:val="20"/>
                <w:szCs w:val="20"/>
                <w:lang w:eastAsia="en-AU"/>
              </w:rPr>
            </w:pPr>
            <w:r w:rsidRPr="006A74F8">
              <w:t xml:space="preserve"> $51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4.2 - Beverage dispensers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0.2</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3,067</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rsidP="001C08A4">
            <w:pPr>
              <w:spacing w:after="0" w:line="240" w:lineRule="auto"/>
              <w:jc w:val="right"/>
              <w:rPr>
                <w:rFonts w:ascii="Calibri" w:eastAsia="Times New Roman" w:hAnsi="Calibri" w:cs="Calibri"/>
                <w:sz w:val="20"/>
                <w:szCs w:val="20"/>
                <w:lang w:eastAsia="en-AU"/>
              </w:rPr>
            </w:pPr>
            <w:r w:rsidRPr="006A74F8">
              <w:t xml:space="preserve"> $104,278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4.3 - Alcoholic beverage measures (drinking and portable)</w:t>
            </w:r>
            <w:r w:rsidRPr="006A74F8">
              <w:rPr>
                <w:rStyle w:val="FootnoteReference"/>
                <w:rFonts w:eastAsia="Times New Roman" w:cs="Calibri"/>
                <w:sz w:val="20"/>
                <w:szCs w:val="20"/>
                <w:lang w:eastAsia="en-AU"/>
              </w:rPr>
              <w:footnoteReference w:id="259"/>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8</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1C08A4" w:rsidP="001C08A4">
            <w:pPr>
              <w:spacing w:after="0" w:line="240" w:lineRule="auto"/>
              <w:jc w:val="right"/>
              <w:rPr>
                <w:rFonts w:ascii="Calibri" w:eastAsia="Times New Roman" w:hAnsi="Calibri" w:cs="Calibri"/>
                <w:sz w:val="20"/>
                <w:szCs w:val="20"/>
                <w:lang w:eastAsia="en-AU"/>
              </w:rPr>
            </w:pPr>
            <w:r w:rsidRPr="006A74F8">
              <w:t xml:space="preserve"> $1,360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4.5 - Pharmaceutical dispensing measures graduated measuring cylinders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1C08A4" w:rsidP="001C08A4">
            <w:pPr>
              <w:spacing w:after="0" w:line="240" w:lineRule="auto"/>
              <w:jc w:val="right"/>
              <w:rPr>
                <w:rFonts w:ascii="Calibri" w:eastAsia="Times New Roman" w:hAnsi="Calibri" w:cs="Calibri"/>
                <w:sz w:val="20"/>
                <w:szCs w:val="20"/>
                <w:lang w:eastAsia="en-AU"/>
              </w:rPr>
            </w:pPr>
            <w:r w:rsidRPr="006A74F8">
              <w:t xml:space="preserve"> $170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4.6 - Brim measures for flowable solids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3</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2</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1C08A4" w:rsidP="001C08A4">
            <w:pPr>
              <w:spacing w:after="0" w:line="240" w:lineRule="auto"/>
              <w:jc w:val="right"/>
              <w:rPr>
                <w:rFonts w:ascii="Calibri" w:eastAsia="Times New Roman" w:hAnsi="Calibri" w:cs="Calibri"/>
                <w:sz w:val="20"/>
                <w:szCs w:val="20"/>
                <w:lang w:eastAsia="en-AU"/>
              </w:rPr>
            </w:pPr>
            <w:r w:rsidRPr="006A74F8">
              <w:t xml:space="preserve"> $1,020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4.9 - Grain density measuring instruments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0.4</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193</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rsidP="001C08A4">
            <w:pPr>
              <w:spacing w:after="0" w:line="240" w:lineRule="auto"/>
              <w:jc w:val="right"/>
              <w:rPr>
                <w:rFonts w:ascii="Calibri" w:eastAsia="Times New Roman" w:hAnsi="Calibri" w:cs="Calibri"/>
                <w:sz w:val="20"/>
                <w:szCs w:val="20"/>
                <w:lang w:eastAsia="en-AU"/>
              </w:rPr>
            </w:pPr>
            <w:r w:rsidRPr="006A74F8">
              <w:t xml:space="preserve"> $13,124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5.1 - Liquid measuring instruments of the fuel dispenser type used for petroleum products other than LPG</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0.3</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17,700</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rsidP="001C08A4">
            <w:pPr>
              <w:spacing w:after="0" w:line="240" w:lineRule="auto"/>
              <w:jc w:val="right"/>
              <w:rPr>
                <w:rFonts w:ascii="Calibri" w:eastAsia="Times New Roman" w:hAnsi="Calibri" w:cs="Calibri"/>
                <w:sz w:val="20"/>
                <w:szCs w:val="20"/>
                <w:lang w:eastAsia="en-AU"/>
              </w:rPr>
            </w:pPr>
            <w:r w:rsidRPr="006A74F8">
              <w:t xml:space="preserve"> $902,700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5.2 - Liquid measuring instruments of the flow meter type used for petroleum products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1,368</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rsidP="001C08A4">
            <w:pPr>
              <w:spacing w:after="0" w:line="240" w:lineRule="auto"/>
              <w:jc w:val="right"/>
              <w:rPr>
                <w:rFonts w:ascii="Calibri" w:eastAsia="Times New Roman" w:hAnsi="Calibri" w:cs="Calibri"/>
                <w:sz w:val="20"/>
                <w:szCs w:val="20"/>
                <w:lang w:eastAsia="en-AU"/>
              </w:rPr>
            </w:pPr>
            <w:r w:rsidRPr="006A74F8">
              <w:t xml:space="preserve"> $232,560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5.3 - Liquid measuring instruments of the flow meter type used for other than petroleum products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388</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rsidP="001C08A4">
            <w:pPr>
              <w:spacing w:after="0" w:line="240" w:lineRule="auto"/>
              <w:jc w:val="right"/>
              <w:rPr>
                <w:rFonts w:ascii="Calibri" w:eastAsia="Times New Roman" w:hAnsi="Calibri" w:cs="Calibri"/>
                <w:sz w:val="20"/>
                <w:szCs w:val="20"/>
                <w:lang w:eastAsia="en-AU"/>
              </w:rPr>
            </w:pPr>
            <w:r w:rsidRPr="006A74F8">
              <w:t xml:space="preserve"> $65,960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6.1 - Weighing instruments classes 1 and 2</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0.3</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56</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1C08A4" w:rsidP="001C08A4">
            <w:pPr>
              <w:spacing w:after="0" w:line="240" w:lineRule="auto"/>
              <w:jc w:val="right"/>
              <w:rPr>
                <w:rFonts w:ascii="Calibri" w:eastAsia="Times New Roman" w:hAnsi="Calibri" w:cs="Calibri"/>
                <w:sz w:val="20"/>
                <w:szCs w:val="20"/>
                <w:lang w:eastAsia="en-AU"/>
              </w:rPr>
            </w:pPr>
            <w:r w:rsidRPr="006A74F8">
              <w:t xml:space="preserve"> $2,856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6.2 - Weighing instruments of 30 kg capacity or less classes 3 and 4</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0.3</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38,179</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rsidP="001C08A4">
            <w:pPr>
              <w:spacing w:after="0" w:line="240" w:lineRule="auto"/>
              <w:jc w:val="right"/>
              <w:rPr>
                <w:rFonts w:ascii="Calibri" w:eastAsia="Times New Roman" w:hAnsi="Calibri" w:cs="Calibri"/>
                <w:sz w:val="20"/>
                <w:szCs w:val="20"/>
                <w:lang w:eastAsia="en-AU"/>
              </w:rPr>
            </w:pPr>
            <w:r w:rsidRPr="006A74F8">
              <w:t xml:space="preserve"> $1,947,129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6.3 - Weighing instruments of a capacity exceeding 30 kg but not exceeding 3 tonnes classes 3 and 4</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0.6</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5,015</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rsidP="001C08A4">
            <w:pPr>
              <w:spacing w:after="0" w:line="240" w:lineRule="auto"/>
              <w:jc w:val="right"/>
              <w:rPr>
                <w:rFonts w:ascii="Calibri" w:eastAsia="Times New Roman" w:hAnsi="Calibri" w:cs="Calibri"/>
                <w:sz w:val="20"/>
                <w:szCs w:val="20"/>
                <w:lang w:eastAsia="en-AU"/>
              </w:rPr>
            </w:pPr>
            <w:r w:rsidRPr="006A74F8">
              <w:t xml:space="preserve"> $511,530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6.4 - Weighing instruments of a capacity exceeding 3 tonnes classes 3 and 4</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2.5</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47</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rsidP="001C08A4">
            <w:pPr>
              <w:spacing w:after="0" w:line="240" w:lineRule="auto"/>
              <w:jc w:val="right"/>
              <w:rPr>
                <w:rFonts w:ascii="Calibri" w:eastAsia="Times New Roman" w:hAnsi="Calibri" w:cs="Calibri"/>
                <w:sz w:val="20"/>
                <w:szCs w:val="20"/>
                <w:lang w:eastAsia="en-AU"/>
              </w:rPr>
            </w:pPr>
            <w:r w:rsidRPr="006A74F8">
              <w:t xml:space="preserve"> $19,975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6.4.1 - Weighbridges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2.5</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3,448</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pPr>
              <w:spacing w:after="0" w:line="240" w:lineRule="auto"/>
              <w:jc w:val="right"/>
              <w:rPr>
                <w:rFonts w:ascii="Calibri" w:eastAsia="Times New Roman" w:hAnsi="Calibri" w:cs="Calibri"/>
                <w:sz w:val="20"/>
                <w:szCs w:val="20"/>
                <w:lang w:eastAsia="en-AU"/>
              </w:rPr>
            </w:pPr>
            <w:r w:rsidRPr="006A74F8">
              <w:t xml:space="preserve"> $1,465,400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6.5 - Belt-conveyor weighing instruments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16</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29</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pPr>
              <w:spacing w:after="0" w:line="240" w:lineRule="auto"/>
              <w:jc w:val="right"/>
              <w:rPr>
                <w:rFonts w:ascii="Calibri" w:eastAsia="Times New Roman" w:hAnsi="Calibri" w:cs="Calibri"/>
                <w:sz w:val="20"/>
                <w:szCs w:val="20"/>
                <w:lang w:eastAsia="en-AU"/>
              </w:rPr>
            </w:pPr>
            <w:r w:rsidRPr="006A74F8">
              <w:t xml:space="preserve"> $78,880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6.6 - Automatic rail weighbridges</w:t>
            </w:r>
            <w:r w:rsidRPr="006A74F8">
              <w:rPr>
                <w:rStyle w:val="FootnoteReference"/>
                <w:rFonts w:eastAsia="Times New Roman" w:cs="Calibri"/>
                <w:sz w:val="20"/>
                <w:szCs w:val="20"/>
                <w:lang w:eastAsia="en-AU"/>
              </w:rPr>
              <w:footnoteReference w:id="260"/>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1C08A4"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48</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1C08A4">
            <w:pPr>
              <w:spacing w:after="0" w:line="240" w:lineRule="auto"/>
              <w:jc w:val="right"/>
              <w:rPr>
                <w:rFonts w:ascii="Calibri" w:eastAsia="Times New Roman" w:hAnsi="Calibri" w:cs="Calibri"/>
                <w:sz w:val="20"/>
                <w:szCs w:val="20"/>
                <w:lang w:eastAsia="en-AU"/>
              </w:rPr>
            </w:pPr>
            <w:r w:rsidRPr="006A74F8">
              <w:t xml:space="preserve"> $8,160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6.7 - Automatic packaging conveyor weighers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287</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pPr>
              <w:spacing w:after="0" w:line="240" w:lineRule="auto"/>
              <w:jc w:val="right"/>
              <w:rPr>
                <w:rFonts w:ascii="Calibri" w:eastAsia="Times New Roman" w:hAnsi="Calibri" w:cs="Calibri"/>
                <w:sz w:val="20"/>
                <w:szCs w:val="20"/>
                <w:lang w:eastAsia="en-AU"/>
              </w:rPr>
            </w:pPr>
            <w:r w:rsidRPr="006A74F8">
              <w:t xml:space="preserve"> $48,790 </w:t>
            </w:r>
          </w:p>
        </w:tc>
      </w:tr>
      <w:tr w:rsidR="00DC1726" w:rsidRPr="006A74F8"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6.8 - Wheeled loaders.</w:t>
            </w:r>
          </w:p>
        </w:tc>
        <w:tc>
          <w:tcPr>
            <w:tcW w:w="1287" w:type="dxa"/>
            <w:tcBorders>
              <w:top w:val="nil"/>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1.5</w:t>
            </w:r>
          </w:p>
        </w:tc>
        <w:tc>
          <w:tcPr>
            <w:tcW w:w="1087" w:type="dxa"/>
            <w:tcBorders>
              <w:top w:val="nil"/>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574</w:t>
            </w:r>
          </w:p>
        </w:tc>
        <w:tc>
          <w:tcPr>
            <w:tcW w:w="1602" w:type="dxa"/>
            <w:tcBorders>
              <w:top w:val="nil"/>
              <w:left w:val="nil"/>
              <w:bottom w:val="single" w:sz="4" w:space="0" w:color="auto"/>
              <w:right w:val="single" w:sz="4" w:space="0" w:color="auto"/>
            </w:tcBorders>
            <w:shd w:val="clear" w:color="auto" w:fill="auto"/>
            <w:noWrap/>
            <w:hideMark/>
          </w:tcPr>
          <w:p w:rsidR="00DC1726" w:rsidRPr="006A74F8" w:rsidRDefault="00DC1726">
            <w:pPr>
              <w:spacing w:after="0" w:line="240" w:lineRule="auto"/>
              <w:jc w:val="right"/>
              <w:rPr>
                <w:rFonts w:ascii="Calibri" w:eastAsia="Times New Roman" w:hAnsi="Calibri" w:cs="Calibri"/>
                <w:sz w:val="20"/>
                <w:szCs w:val="20"/>
                <w:lang w:eastAsia="en-AU"/>
              </w:rPr>
            </w:pPr>
            <w:r w:rsidRPr="006A74F8">
              <w:t xml:space="preserve"> $146,370 </w:t>
            </w:r>
          </w:p>
        </w:tc>
      </w:tr>
      <w:tr w:rsidR="00DC1726" w:rsidRPr="006A74F8" w:rsidTr="00DB33B3">
        <w:trPr>
          <w:trHeight w:val="281"/>
        </w:trPr>
        <w:tc>
          <w:tcPr>
            <w:tcW w:w="4438" w:type="dxa"/>
            <w:tcBorders>
              <w:top w:val="single" w:sz="4" w:space="0" w:color="auto"/>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6.9 - Totalising Hopper weighing instruments</w:t>
            </w:r>
          </w:p>
        </w:tc>
        <w:tc>
          <w:tcPr>
            <w:tcW w:w="1287" w:type="dxa"/>
            <w:tcBorders>
              <w:top w:val="single" w:sz="4" w:space="0" w:color="auto"/>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8</w:t>
            </w:r>
          </w:p>
        </w:tc>
        <w:tc>
          <w:tcPr>
            <w:tcW w:w="1087" w:type="dxa"/>
            <w:tcBorders>
              <w:top w:val="single" w:sz="4" w:space="0" w:color="auto"/>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single" w:sz="4" w:space="0" w:color="auto"/>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28</w:t>
            </w:r>
          </w:p>
        </w:tc>
        <w:tc>
          <w:tcPr>
            <w:tcW w:w="1602" w:type="dxa"/>
            <w:tcBorders>
              <w:top w:val="nil"/>
              <w:left w:val="single" w:sz="4" w:space="0" w:color="auto"/>
              <w:bottom w:val="single" w:sz="4" w:space="0" w:color="auto"/>
              <w:right w:val="single" w:sz="4" w:space="0" w:color="auto"/>
            </w:tcBorders>
            <w:shd w:val="clear" w:color="auto" w:fill="auto"/>
            <w:noWrap/>
            <w:hideMark/>
          </w:tcPr>
          <w:p w:rsidR="00DC1726" w:rsidRPr="006A74F8" w:rsidRDefault="00DC1726">
            <w:pPr>
              <w:spacing w:after="0" w:line="240" w:lineRule="auto"/>
              <w:jc w:val="right"/>
              <w:rPr>
                <w:rFonts w:ascii="Calibri" w:eastAsia="Times New Roman" w:hAnsi="Calibri" w:cs="Calibri"/>
                <w:sz w:val="20"/>
                <w:szCs w:val="20"/>
                <w:lang w:eastAsia="en-AU"/>
              </w:rPr>
            </w:pPr>
            <w:r w:rsidRPr="006A74F8">
              <w:t xml:space="preserve"> $38,080 </w:t>
            </w:r>
          </w:p>
        </w:tc>
      </w:tr>
      <w:tr w:rsidR="00DC1726" w:rsidRPr="006A74F8" w:rsidTr="00DB33B3">
        <w:trPr>
          <w:trHeight w:val="294"/>
        </w:trPr>
        <w:tc>
          <w:tcPr>
            <w:tcW w:w="4438" w:type="dxa"/>
            <w:tcBorders>
              <w:top w:val="single" w:sz="4" w:space="0" w:color="auto"/>
              <w:left w:val="single" w:sz="4" w:space="0" w:color="auto"/>
              <w:bottom w:val="single" w:sz="4"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9.1 - Vehicle tanks</w:t>
            </w:r>
            <w:r w:rsidRPr="006A74F8">
              <w:rPr>
                <w:rStyle w:val="FootnoteReference"/>
                <w:rFonts w:eastAsia="Times New Roman" w:cs="Calibri"/>
                <w:sz w:val="20"/>
                <w:szCs w:val="20"/>
                <w:lang w:eastAsia="en-AU"/>
              </w:rPr>
              <w:footnoteReference w:id="261"/>
            </w:r>
          </w:p>
        </w:tc>
        <w:tc>
          <w:tcPr>
            <w:tcW w:w="1287" w:type="dxa"/>
            <w:tcBorders>
              <w:top w:val="single" w:sz="4" w:space="0" w:color="auto"/>
              <w:left w:val="nil"/>
              <w:bottom w:val="single" w:sz="4" w:space="0" w:color="auto"/>
              <w:right w:val="single" w:sz="4" w:space="0" w:color="auto"/>
            </w:tcBorders>
            <w:shd w:val="clear" w:color="auto" w:fill="auto"/>
            <w:noWrap/>
            <w:hideMark/>
          </w:tcPr>
          <w:p w:rsidR="00DC1726" w:rsidRPr="006A74F8" w:rsidRDefault="00DC1726" w:rsidP="00036AC1">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6</w:t>
            </w:r>
          </w:p>
        </w:tc>
        <w:tc>
          <w:tcPr>
            <w:tcW w:w="1087" w:type="dxa"/>
            <w:tcBorders>
              <w:top w:val="single" w:sz="4" w:space="0" w:color="auto"/>
              <w:left w:val="nil"/>
              <w:bottom w:val="single" w:sz="4" w:space="0" w:color="auto"/>
              <w:right w:val="single" w:sz="4" w:space="0" w:color="auto"/>
            </w:tcBorders>
            <w:shd w:val="clear" w:color="auto" w:fill="auto"/>
            <w:noWrap/>
            <w:hideMark/>
          </w:tcPr>
          <w:p w:rsidR="00DC1726" w:rsidRPr="006A74F8" w:rsidRDefault="00AA0E04" w:rsidP="00DC1726">
            <w:pPr>
              <w:spacing w:after="0" w:line="240" w:lineRule="auto"/>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w:t>
            </w:r>
            <w:r w:rsidR="00DC1726" w:rsidRPr="006A74F8">
              <w:rPr>
                <w:rFonts w:ascii="Calibri" w:eastAsia="Times New Roman" w:hAnsi="Calibri" w:cs="Calibri"/>
                <w:sz w:val="20"/>
                <w:szCs w:val="20"/>
                <w:lang w:eastAsia="en-AU"/>
              </w:rPr>
              <w:t>170</w:t>
            </w:r>
          </w:p>
        </w:tc>
        <w:tc>
          <w:tcPr>
            <w:tcW w:w="1220" w:type="dxa"/>
            <w:tcBorders>
              <w:top w:val="single" w:sz="4" w:space="0" w:color="auto"/>
              <w:left w:val="nil"/>
              <w:bottom w:val="single" w:sz="4" w:space="0" w:color="auto"/>
              <w:right w:val="single" w:sz="4" w:space="0" w:color="auto"/>
            </w:tcBorders>
            <w:shd w:val="clear" w:color="auto" w:fill="auto"/>
            <w:noWrap/>
            <w:hideMark/>
          </w:tcPr>
          <w:p w:rsidR="00DC1726" w:rsidRPr="006A74F8" w:rsidRDefault="00AA0E04" w:rsidP="00555EB8">
            <w:pPr>
              <w:spacing w:after="0" w:line="240" w:lineRule="auto"/>
              <w:jc w:val="center"/>
              <w:rPr>
                <w:rFonts w:ascii="Calibri" w:eastAsia="Times New Roman" w:hAnsi="Calibri" w:cs="Calibri"/>
                <w:sz w:val="20"/>
                <w:szCs w:val="20"/>
                <w:lang w:eastAsia="en-AU"/>
              </w:rPr>
            </w:pPr>
            <w:r w:rsidRPr="006A74F8">
              <w:rPr>
                <w:rFonts w:ascii="Calibri" w:eastAsia="Times New Roman" w:hAnsi="Calibri" w:cs="Calibri"/>
                <w:sz w:val="20"/>
                <w:szCs w:val="20"/>
                <w:lang w:eastAsia="en-AU"/>
              </w:rPr>
              <w:t>823</w:t>
            </w:r>
          </w:p>
        </w:tc>
        <w:tc>
          <w:tcPr>
            <w:tcW w:w="1602" w:type="dxa"/>
            <w:tcBorders>
              <w:top w:val="single" w:sz="4" w:space="0" w:color="auto"/>
              <w:left w:val="single" w:sz="4" w:space="0" w:color="auto"/>
              <w:bottom w:val="single" w:sz="4" w:space="0" w:color="auto"/>
              <w:right w:val="single" w:sz="4" w:space="0" w:color="auto"/>
            </w:tcBorders>
            <w:shd w:val="clear" w:color="auto" w:fill="auto"/>
            <w:noWrap/>
            <w:hideMark/>
          </w:tcPr>
          <w:p w:rsidR="00DC1726" w:rsidRPr="006A74F8" w:rsidRDefault="00DC1726">
            <w:pPr>
              <w:spacing w:after="0" w:line="240" w:lineRule="auto"/>
              <w:jc w:val="right"/>
              <w:rPr>
                <w:rFonts w:ascii="Calibri" w:eastAsia="Times New Roman" w:hAnsi="Calibri" w:cs="Calibri"/>
                <w:sz w:val="20"/>
                <w:szCs w:val="20"/>
                <w:lang w:eastAsia="en-AU"/>
              </w:rPr>
            </w:pPr>
            <w:r w:rsidRPr="006A74F8">
              <w:t xml:space="preserve"> $839,460 </w:t>
            </w:r>
          </w:p>
        </w:tc>
      </w:tr>
      <w:tr w:rsidR="00DC1726" w:rsidRPr="006A74F8" w:rsidTr="00DB33B3">
        <w:trPr>
          <w:trHeight w:val="294"/>
        </w:trPr>
        <w:tc>
          <w:tcPr>
            <w:tcW w:w="4438" w:type="dxa"/>
            <w:tcBorders>
              <w:top w:val="single" w:sz="4" w:space="0" w:color="auto"/>
              <w:left w:val="single" w:sz="8" w:space="0" w:color="auto"/>
              <w:bottom w:val="single" w:sz="8"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b/>
                <w:sz w:val="20"/>
                <w:szCs w:val="20"/>
                <w:lang w:eastAsia="en-AU"/>
              </w:rPr>
            </w:pPr>
            <w:r w:rsidRPr="006A74F8">
              <w:rPr>
                <w:rFonts w:ascii="Calibri" w:eastAsia="Times New Roman" w:hAnsi="Calibri" w:cs="Calibri"/>
                <w:b/>
                <w:sz w:val="20"/>
                <w:szCs w:val="20"/>
                <w:lang w:eastAsia="en-AU"/>
              </w:rPr>
              <w:lastRenderedPageBreak/>
              <w:t>Total</w:t>
            </w:r>
          </w:p>
        </w:tc>
        <w:tc>
          <w:tcPr>
            <w:tcW w:w="1287" w:type="dxa"/>
            <w:tcBorders>
              <w:top w:val="single" w:sz="4" w:space="0" w:color="auto"/>
              <w:left w:val="nil"/>
              <w:bottom w:val="single" w:sz="8"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b/>
                <w:sz w:val="20"/>
                <w:szCs w:val="20"/>
                <w:lang w:eastAsia="en-AU"/>
              </w:rPr>
            </w:pPr>
            <w:r w:rsidRPr="006A74F8">
              <w:rPr>
                <w:rFonts w:ascii="Calibri" w:eastAsia="Times New Roman" w:hAnsi="Calibri" w:cs="Calibri"/>
                <w:b/>
                <w:sz w:val="20"/>
                <w:szCs w:val="20"/>
                <w:lang w:eastAsia="en-AU"/>
              </w:rPr>
              <w:t> </w:t>
            </w:r>
          </w:p>
        </w:tc>
        <w:tc>
          <w:tcPr>
            <w:tcW w:w="1087" w:type="dxa"/>
            <w:tcBorders>
              <w:top w:val="single" w:sz="4" w:space="0" w:color="auto"/>
              <w:left w:val="nil"/>
              <w:bottom w:val="single" w:sz="8" w:space="0" w:color="auto"/>
              <w:right w:val="single" w:sz="4" w:space="0" w:color="auto"/>
            </w:tcBorders>
            <w:shd w:val="clear" w:color="auto" w:fill="auto"/>
            <w:noWrap/>
            <w:hideMark/>
          </w:tcPr>
          <w:p w:rsidR="00DC1726" w:rsidRPr="006A74F8" w:rsidRDefault="00DC1726" w:rsidP="00DC1726">
            <w:pPr>
              <w:spacing w:after="0" w:line="240" w:lineRule="auto"/>
              <w:rPr>
                <w:rFonts w:ascii="Calibri" w:eastAsia="Times New Roman" w:hAnsi="Calibri" w:cs="Calibri"/>
                <w:b/>
                <w:sz w:val="20"/>
                <w:szCs w:val="20"/>
                <w:lang w:eastAsia="en-AU"/>
              </w:rPr>
            </w:pPr>
            <w:r w:rsidRPr="006A74F8">
              <w:rPr>
                <w:rFonts w:ascii="Calibri" w:eastAsia="Times New Roman" w:hAnsi="Calibri" w:cs="Calibri"/>
                <w:b/>
                <w:sz w:val="20"/>
                <w:szCs w:val="20"/>
                <w:lang w:eastAsia="en-AU"/>
              </w:rPr>
              <w:t> </w:t>
            </w:r>
          </w:p>
        </w:tc>
        <w:tc>
          <w:tcPr>
            <w:tcW w:w="1220" w:type="dxa"/>
            <w:tcBorders>
              <w:top w:val="single" w:sz="4" w:space="0" w:color="auto"/>
              <w:left w:val="nil"/>
              <w:bottom w:val="single" w:sz="8" w:space="0" w:color="auto"/>
              <w:right w:val="single" w:sz="4" w:space="0" w:color="auto"/>
            </w:tcBorders>
            <w:shd w:val="clear" w:color="auto" w:fill="auto"/>
            <w:noWrap/>
            <w:hideMark/>
          </w:tcPr>
          <w:p w:rsidR="00DC1726" w:rsidRPr="006A74F8" w:rsidRDefault="00DC1726" w:rsidP="00555EB8">
            <w:pPr>
              <w:spacing w:after="0" w:line="240" w:lineRule="auto"/>
              <w:jc w:val="center"/>
              <w:rPr>
                <w:rFonts w:ascii="Calibri" w:eastAsia="Times New Roman" w:hAnsi="Calibri" w:cs="Calibri"/>
                <w:b/>
                <w:sz w:val="20"/>
                <w:szCs w:val="20"/>
                <w:lang w:eastAsia="en-AU"/>
              </w:rPr>
            </w:pPr>
            <w:r w:rsidRPr="006A74F8">
              <w:rPr>
                <w:rFonts w:ascii="Calibri" w:eastAsia="Times New Roman" w:hAnsi="Calibri" w:cs="Calibri"/>
                <w:b/>
                <w:sz w:val="20"/>
                <w:szCs w:val="20"/>
                <w:lang w:eastAsia="en-AU"/>
              </w:rPr>
              <w:t>72,765</w:t>
            </w:r>
          </w:p>
        </w:tc>
        <w:tc>
          <w:tcPr>
            <w:tcW w:w="1602" w:type="dxa"/>
            <w:tcBorders>
              <w:top w:val="single" w:sz="4" w:space="0" w:color="auto"/>
              <w:left w:val="nil"/>
              <w:bottom w:val="single" w:sz="8" w:space="0" w:color="auto"/>
              <w:right w:val="single" w:sz="8" w:space="0" w:color="auto"/>
            </w:tcBorders>
            <w:shd w:val="clear" w:color="auto" w:fill="auto"/>
            <w:noWrap/>
            <w:hideMark/>
          </w:tcPr>
          <w:p w:rsidR="00DC1726" w:rsidRPr="006A74F8" w:rsidRDefault="001C08A4">
            <w:pPr>
              <w:spacing w:after="0" w:line="240" w:lineRule="auto"/>
              <w:jc w:val="right"/>
              <w:rPr>
                <w:rFonts w:ascii="Calibri" w:eastAsia="Times New Roman" w:hAnsi="Calibri" w:cs="Calibri"/>
                <w:b/>
                <w:sz w:val="20"/>
                <w:szCs w:val="20"/>
                <w:lang w:eastAsia="en-AU"/>
              </w:rPr>
            </w:pPr>
            <w:r w:rsidRPr="006A74F8">
              <w:rPr>
                <w:b/>
              </w:rPr>
              <w:t xml:space="preserve"> $7,060,831 </w:t>
            </w:r>
          </w:p>
        </w:tc>
      </w:tr>
    </w:tbl>
    <w:p w:rsidR="003113E5" w:rsidRPr="006A74F8" w:rsidRDefault="003113E5" w:rsidP="005F577F">
      <w:pPr>
        <w:spacing w:after="0" w:line="240" w:lineRule="auto"/>
      </w:pPr>
    </w:p>
    <w:p w:rsidR="00FF5C2B" w:rsidRPr="006A74F8" w:rsidRDefault="008E21D2" w:rsidP="008E21D2">
      <w:pPr>
        <w:spacing w:after="240" w:line="240" w:lineRule="auto"/>
      </w:pPr>
      <w:r w:rsidRPr="006A74F8">
        <w:rPr>
          <w:rFonts w:ascii="Calibri" w:eastAsia="Times New Roman" w:hAnsi="Calibri" w:cs="Calibri"/>
          <w:color w:val="000000"/>
          <w:lang w:eastAsia="en-AU"/>
        </w:rPr>
        <w:t xml:space="preserve">The total regulatory burden for verification of measuring instruments is </w:t>
      </w:r>
      <w:r w:rsidRPr="006A74F8">
        <w:rPr>
          <w:rFonts w:ascii="Calibri" w:eastAsia="Times New Roman" w:hAnsi="Calibri" w:cs="Calibri"/>
          <w:b/>
          <w:bCs/>
          <w:lang w:eastAsia="en-AU"/>
        </w:rPr>
        <w:t>$7,060,831.</w:t>
      </w:r>
    </w:p>
    <w:p w:rsidR="00CD4621" w:rsidRPr="006A74F8" w:rsidRDefault="00B1255E" w:rsidP="00CD4621">
      <w:pPr>
        <w:pStyle w:val="Heading2"/>
      </w:pPr>
      <w:r w:rsidRPr="006A74F8">
        <w:t xml:space="preserve"> </w:t>
      </w:r>
      <w:r w:rsidR="00CD4621" w:rsidRPr="006A74F8">
        <w:t>Changes in regulatory burden</w:t>
      </w:r>
    </w:p>
    <w:p w:rsidR="00CD4621" w:rsidRPr="006A74F8" w:rsidRDefault="00CD4621" w:rsidP="00CD4621">
      <w:r w:rsidRPr="006A74F8">
        <w:t>An increase in legislated flexibility is proposed under the new legislation, and under each reform option the approach for increasing flexibility is slightly different.</w:t>
      </w:r>
    </w:p>
    <w:p w:rsidR="00CD4621" w:rsidRPr="006A74F8" w:rsidRDefault="00CD4621">
      <w:r w:rsidRPr="006A74F8">
        <w:t>Under</w:t>
      </w:r>
      <w:r w:rsidRPr="006A74F8">
        <w:rPr>
          <w:b/>
        </w:rPr>
        <w:t xml:space="preserve"> </w:t>
      </w:r>
      <w:r w:rsidR="009F0892" w:rsidRPr="006A74F8">
        <w:rPr>
          <w:b/>
        </w:rPr>
        <w:t>o</w:t>
      </w:r>
      <w:r w:rsidRPr="006A74F8">
        <w:rPr>
          <w:b/>
        </w:rPr>
        <w:t>ption 1</w:t>
      </w:r>
      <w:r w:rsidRPr="006A74F8">
        <w:t>, increased flexibility would be supported through legislative provisions that would enable</w:t>
      </w:r>
      <w:r w:rsidRPr="006A74F8" w:rsidDel="005A2964">
        <w:t xml:space="preserve"> the NMI to</w:t>
      </w:r>
      <w:r w:rsidR="005A2964" w:rsidRPr="006A74F8">
        <w:t xml:space="preserve"> m</w:t>
      </w:r>
      <w:r w:rsidRPr="006A74F8">
        <w:t xml:space="preserve">ake a determination that instruments of a specific category </w:t>
      </w:r>
      <w:r w:rsidR="00FF3E72" w:rsidRPr="006A74F8">
        <w:t xml:space="preserve">do not need </w:t>
      </w:r>
      <w:r w:rsidR="00016DAC" w:rsidRPr="006A74F8">
        <w:t>to be</w:t>
      </w:r>
      <w:r w:rsidRPr="006A74F8">
        <w:t xml:space="preserve"> verified</w:t>
      </w:r>
      <w:r w:rsidR="005A2964" w:rsidRPr="006A74F8">
        <w:t>.</w:t>
      </w:r>
      <w:r w:rsidR="007F5E0F" w:rsidRPr="006A74F8">
        <w:t xml:space="preserve"> This would reduce verification cost</w:t>
      </w:r>
      <w:r w:rsidR="006E452A" w:rsidRPr="006A74F8">
        <w:t>s</w:t>
      </w:r>
      <w:r w:rsidR="007F5E0F" w:rsidRPr="006A74F8">
        <w:t xml:space="preserve"> </w:t>
      </w:r>
      <w:r w:rsidR="006E452A" w:rsidRPr="006A74F8">
        <w:t>for</w:t>
      </w:r>
      <w:r w:rsidR="007F5E0F" w:rsidRPr="006A74F8">
        <w:t xml:space="preserve"> businesses.</w:t>
      </w:r>
    </w:p>
    <w:p w:rsidR="00CD4621" w:rsidRPr="006A74F8" w:rsidRDefault="00CD4621" w:rsidP="00CD4621">
      <w:r w:rsidRPr="006A74F8">
        <w:t xml:space="preserve">Under </w:t>
      </w:r>
      <w:r w:rsidR="009F0892" w:rsidRPr="006A74F8">
        <w:rPr>
          <w:b/>
        </w:rPr>
        <w:t>o</w:t>
      </w:r>
      <w:r w:rsidRPr="006A74F8">
        <w:rPr>
          <w:b/>
        </w:rPr>
        <w:t>ption 2</w:t>
      </w:r>
      <w:r w:rsidRPr="006A74F8">
        <w:t>, increased flexibility would be supported through legislative provisions that would enable the NMI to:</w:t>
      </w:r>
    </w:p>
    <w:p w:rsidR="006427AF" w:rsidRPr="006A74F8" w:rsidRDefault="006427AF" w:rsidP="00072506">
      <w:pPr>
        <w:pStyle w:val="ListParagraph"/>
        <w:numPr>
          <w:ilvl w:val="0"/>
          <w:numId w:val="119"/>
        </w:numPr>
      </w:pPr>
      <w:r w:rsidRPr="006A74F8">
        <w:t>Retain verification as a default mechanism of control for measuring instruments used for trade, unless determined otherwise by the Chief Metrologist</w:t>
      </w:r>
      <w:r w:rsidR="006E452A" w:rsidRPr="006A74F8">
        <w:t xml:space="preserve"> (as for option 1)</w:t>
      </w:r>
      <w:r w:rsidRPr="006A74F8">
        <w:t>.</w:t>
      </w:r>
    </w:p>
    <w:p w:rsidR="008D34D1" w:rsidRPr="006A74F8" w:rsidRDefault="008D34D1" w:rsidP="00E90ABC">
      <w:pPr>
        <w:pStyle w:val="ListParagraph"/>
        <w:numPr>
          <w:ilvl w:val="0"/>
          <w:numId w:val="119"/>
        </w:numPr>
      </w:pPr>
      <w:r w:rsidRPr="006A74F8">
        <w:rPr>
          <w:rFonts w:ascii="Calibri" w:eastAsia="Calibri" w:hAnsi="Calibri" w:cs="Calibri"/>
        </w:rPr>
        <w:t>Establish alternative instrument controls:</w:t>
      </w:r>
    </w:p>
    <w:p w:rsidR="008D34D1" w:rsidRPr="006A74F8" w:rsidRDefault="008D34D1">
      <w:pPr>
        <w:pStyle w:val="ListParagraph"/>
        <w:numPr>
          <w:ilvl w:val="1"/>
          <w:numId w:val="119"/>
        </w:numPr>
      </w:pPr>
      <w:r w:rsidRPr="006A74F8">
        <w:rPr>
          <w:rFonts w:ascii="Calibri" w:eastAsia="Calibri" w:hAnsi="Calibri" w:cs="Calibri"/>
        </w:rPr>
        <w:t xml:space="preserve">Both </w:t>
      </w:r>
      <w:r w:rsidRPr="006A74F8">
        <w:t>pre market</w:t>
      </w:r>
      <w:r w:rsidRPr="006A74F8">
        <w:rPr>
          <w:rStyle w:val="FootnoteReference"/>
        </w:rPr>
        <w:footnoteReference w:id="262"/>
      </w:r>
      <w:r w:rsidRPr="006A74F8">
        <w:t xml:space="preserve"> and post market</w:t>
      </w:r>
      <w:r w:rsidRPr="006A74F8">
        <w:rPr>
          <w:rStyle w:val="FootnoteReference"/>
        </w:rPr>
        <w:footnoteReference w:id="263"/>
      </w:r>
      <w:r w:rsidRPr="006A74F8">
        <w:t xml:space="preserve"> controls would be available, including requirements </w:t>
      </w:r>
      <w:r w:rsidR="00ED16BF" w:rsidRPr="006A74F8">
        <w:t xml:space="preserve">such as </w:t>
      </w:r>
      <w:r w:rsidRPr="006A74F8">
        <w:t xml:space="preserve">verification. </w:t>
      </w:r>
    </w:p>
    <w:p w:rsidR="008D34D1" w:rsidRPr="006A74F8" w:rsidRDefault="00ED16BF">
      <w:pPr>
        <w:pStyle w:val="ListParagraph"/>
        <w:numPr>
          <w:ilvl w:val="1"/>
          <w:numId w:val="119"/>
        </w:numPr>
      </w:pPr>
      <w:r w:rsidRPr="006A74F8">
        <w:t>C</w:t>
      </w:r>
      <w:r w:rsidR="008D34D1" w:rsidRPr="006A74F8">
        <w:t>ontrol mechanism</w:t>
      </w:r>
      <w:r w:rsidRPr="006A74F8">
        <w:t>s</w:t>
      </w:r>
      <w:r w:rsidR="008D34D1" w:rsidRPr="006A74F8">
        <w:t xml:space="preserve"> would be drafted to be accessible to other regulators who wish to </w:t>
      </w:r>
      <w:r w:rsidRPr="006A74F8">
        <w:t xml:space="preserve">utilise </w:t>
      </w:r>
      <w:r w:rsidR="008D34D1" w:rsidRPr="006A74F8">
        <w:t xml:space="preserve">them, rather than being specifically limited to trade use.  </w:t>
      </w:r>
    </w:p>
    <w:p w:rsidR="008D34D1" w:rsidRPr="006A74F8" w:rsidRDefault="008D34D1">
      <w:pPr>
        <w:pStyle w:val="ListParagraph"/>
        <w:numPr>
          <w:ilvl w:val="1"/>
          <w:numId w:val="119"/>
        </w:numPr>
      </w:pPr>
      <w:r w:rsidRPr="006A74F8">
        <w:t xml:space="preserve">These controls would be established following </w:t>
      </w:r>
      <w:r w:rsidR="00ED16BF" w:rsidRPr="006A74F8">
        <w:t xml:space="preserve">appropriate </w:t>
      </w:r>
      <w:r w:rsidRPr="006A74F8">
        <w:t xml:space="preserve">data collection, risk assessment and consultation. </w:t>
      </w:r>
      <w:r w:rsidR="00D778EE" w:rsidRPr="006A74F8">
        <w:t>Therefore</w:t>
      </w:r>
      <w:r w:rsidRPr="006A74F8">
        <w:t>, it is not possible to quantify the changes in regulatory impact that might result from these instrument control mechanisms for the purposes of this RIS.</w:t>
      </w:r>
    </w:p>
    <w:p w:rsidR="00CD4621" w:rsidRPr="006A74F8" w:rsidRDefault="00CD4621" w:rsidP="006E452A">
      <w:pPr>
        <w:keepNext/>
      </w:pPr>
      <w:r w:rsidRPr="006A74F8">
        <w:t xml:space="preserve">A change in regulatory burden would </w:t>
      </w:r>
      <w:r w:rsidR="005A2964" w:rsidRPr="006A74F8">
        <w:t>occur</w:t>
      </w:r>
      <w:r w:rsidRPr="006A74F8">
        <w:t>:</w:t>
      </w:r>
    </w:p>
    <w:p w:rsidR="006427AF" w:rsidRPr="006A74F8" w:rsidRDefault="006427AF" w:rsidP="00072506">
      <w:pPr>
        <w:pStyle w:val="ListParagraph"/>
        <w:numPr>
          <w:ilvl w:val="0"/>
          <w:numId w:val="83"/>
        </w:numPr>
      </w:pPr>
      <w:r w:rsidRPr="006A74F8">
        <w:t xml:space="preserve">If verification is not required to be applied to a measuring instrument used for trade, savings would include a reduction as for </w:t>
      </w:r>
      <w:r w:rsidR="00C06312" w:rsidRPr="006A74F8">
        <w:t>o</w:t>
      </w:r>
      <w:r w:rsidRPr="006A74F8">
        <w:t xml:space="preserve">ption 1. </w:t>
      </w:r>
    </w:p>
    <w:p w:rsidR="006427AF" w:rsidRPr="006A74F8" w:rsidRDefault="006427AF" w:rsidP="00072506">
      <w:pPr>
        <w:pStyle w:val="ListParagraph"/>
        <w:numPr>
          <w:ilvl w:val="0"/>
          <w:numId w:val="83"/>
        </w:numPr>
      </w:pPr>
      <w:r w:rsidRPr="006A74F8">
        <w:t>If verification is replaced by another mechanism of control or by a set of other controls the change in regulatory burden would be unquantifiable as the change would depend on the alternative mechanism of control and the burden it may impose, which would be determined in subsequent consultations.</w:t>
      </w:r>
    </w:p>
    <w:p w:rsidR="00CD4621" w:rsidRPr="006A74F8" w:rsidRDefault="00CD4621" w:rsidP="00CD4621">
      <w:r w:rsidRPr="006A74F8">
        <w:t>Under</w:t>
      </w:r>
      <w:r w:rsidRPr="006A74F8">
        <w:rPr>
          <w:b/>
        </w:rPr>
        <w:t xml:space="preserve"> </w:t>
      </w:r>
      <w:r w:rsidR="009F0892" w:rsidRPr="006A74F8">
        <w:rPr>
          <w:b/>
        </w:rPr>
        <w:t>o</w:t>
      </w:r>
      <w:r w:rsidRPr="006A74F8">
        <w:rPr>
          <w:b/>
        </w:rPr>
        <w:t>ption 3,</w:t>
      </w:r>
      <w:r w:rsidRPr="006A74F8">
        <w:t xml:space="preserve"> increased flexibility extends the application of a range of mechanisms of control to measuring instruments used for regulatory purposes. This would be supported through legislative </w:t>
      </w:r>
      <w:r w:rsidRPr="006A74F8">
        <w:lastRenderedPageBreak/>
        <w:t xml:space="preserve">provisions (as for </w:t>
      </w:r>
      <w:r w:rsidR="009F0892" w:rsidRPr="006A74F8">
        <w:t>o</w:t>
      </w:r>
      <w:r w:rsidRPr="006A74F8">
        <w:t xml:space="preserve">ption 2) in view of extending NMI’s role with respect </w:t>
      </w:r>
      <w:r w:rsidR="00ED16BF" w:rsidRPr="006A74F8">
        <w:t xml:space="preserve">to </w:t>
      </w:r>
      <w:r w:rsidRPr="006A74F8">
        <w:t xml:space="preserve">measurement used for </w:t>
      </w:r>
      <w:r w:rsidR="00ED16BF" w:rsidRPr="006A74F8">
        <w:t xml:space="preserve">other </w:t>
      </w:r>
      <w:r w:rsidRPr="006A74F8">
        <w:t xml:space="preserve">regulatory purposes. </w:t>
      </w:r>
    </w:p>
    <w:p w:rsidR="00CD4621" w:rsidRPr="006A74F8" w:rsidRDefault="00CD4621" w:rsidP="00CD4621">
      <w:r w:rsidRPr="006A74F8">
        <w:t xml:space="preserve">Industry compliance with measuring instrument requirements stipulated by NMI to </w:t>
      </w:r>
      <w:r w:rsidR="00ED16BF" w:rsidRPr="006A74F8">
        <w:t xml:space="preserve">support </w:t>
      </w:r>
      <w:r w:rsidRPr="006A74F8">
        <w:t xml:space="preserve">other regulators would be considered a regulatory burden. Under </w:t>
      </w:r>
      <w:r w:rsidR="009F0892" w:rsidRPr="006A74F8">
        <w:t>o</w:t>
      </w:r>
      <w:r w:rsidRPr="006A74F8">
        <w:t>ption 3, the nature of the regulatory burden is contingent on whether the NMI exercises additional power</w:t>
      </w:r>
      <w:r w:rsidR="00ED16BF" w:rsidRPr="006A74F8">
        <w:t>s</w:t>
      </w:r>
      <w:r w:rsidRPr="006A74F8">
        <w:t xml:space="preserve"> to compel certain mechanisms of control (to include verification) over measuring instruments used for regulatory purposes. </w:t>
      </w:r>
      <w:r w:rsidR="004379FC" w:rsidRPr="006A74F8">
        <w:t>The NMI may impose additional regulatory burden on other government agencies, businesses and individuals</w:t>
      </w:r>
      <w:r w:rsidR="00ED16BF" w:rsidRPr="006A74F8">
        <w:t>, with the detail of the particular requirement to be determined collaboratively in the future.</w:t>
      </w:r>
    </w:p>
    <w:p w:rsidR="00CD4621" w:rsidRPr="006A74F8" w:rsidRDefault="00CD4621" w:rsidP="00CD4621">
      <w:r w:rsidRPr="006A74F8">
        <w:t>The change in burden may include:</w:t>
      </w:r>
      <w:r w:rsidR="004379FC" w:rsidRPr="006A74F8">
        <w:t xml:space="preserve"> </w:t>
      </w:r>
    </w:p>
    <w:p w:rsidR="006427AF" w:rsidRPr="006A74F8" w:rsidRDefault="006E452A" w:rsidP="0089241E">
      <w:pPr>
        <w:pStyle w:val="ListParagraph"/>
        <w:numPr>
          <w:ilvl w:val="0"/>
          <w:numId w:val="84"/>
        </w:numPr>
      </w:pPr>
      <w:r w:rsidRPr="006A74F8">
        <w:t>An i</w:t>
      </w:r>
      <w:r w:rsidR="006427AF" w:rsidRPr="006A74F8">
        <w:t>ncrease in regulatory burden where measuring instruments used for regulatory purposes require verification.</w:t>
      </w:r>
    </w:p>
    <w:p w:rsidR="00CD4621" w:rsidRPr="006A74F8" w:rsidRDefault="006E452A" w:rsidP="0085094C">
      <w:pPr>
        <w:pStyle w:val="ListParagraph"/>
        <w:numPr>
          <w:ilvl w:val="0"/>
          <w:numId w:val="84"/>
        </w:numPr>
      </w:pPr>
      <w:r w:rsidRPr="006A74F8">
        <w:t>An i</w:t>
      </w:r>
      <w:r w:rsidR="00CD4621" w:rsidRPr="006A74F8">
        <w:t>ncrease in regulatory burden where other appropriate control mechanisms (not being verification specifically) are applied under measurement law</w:t>
      </w:r>
      <w:r w:rsidR="00072506" w:rsidRPr="006A74F8">
        <w:t>,</w:t>
      </w:r>
      <w:r w:rsidR="00CD4621" w:rsidRPr="006A74F8">
        <w:t xml:space="preserve"> which have not previously been used by regulators in their regulations and/or compliance programs.</w:t>
      </w:r>
    </w:p>
    <w:p w:rsidR="00CD4621" w:rsidRPr="006A74F8" w:rsidRDefault="00CD4621" w:rsidP="00CD4621">
      <w:r w:rsidRPr="006A74F8">
        <w:t xml:space="preserve">While it is possible to reduce regulatory burden for trade measuring instruments, there would be an unquantifiable increase in regulatory burden for measuring instruments used for regulatory purposes in </w:t>
      </w:r>
      <w:r w:rsidR="009F0892" w:rsidRPr="006A74F8">
        <w:t>o</w:t>
      </w:r>
      <w:r w:rsidRPr="006A74F8">
        <w:t>ption 3.</w:t>
      </w:r>
    </w:p>
    <w:p w:rsidR="00CD4621" w:rsidRPr="006A74F8" w:rsidRDefault="00B1255E" w:rsidP="00CD4621">
      <w:pPr>
        <w:pStyle w:val="Heading2"/>
      </w:pPr>
      <w:r w:rsidRPr="006A74F8">
        <w:t xml:space="preserve"> </w:t>
      </w:r>
      <w:r w:rsidR="00CD4621" w:rsidRPr="006A74F8">
        <w:t>Potential savings</w:t>
      </w:r>
    </w:p>
    <w:p w:rsidR="00AA0E04" w:rsidRPr="006A74F8" w:rsidRDefault="003E3477" w:rsidP="005B51C0">
      <w:r w:rsidRPr="006A74F8">
        <w:t xml:space="preserve">Verification remains a fundamental mechanism of control for measuring instruments. </w:t>
      </w:r>
      <w:r w:rsidR="005B51C0" w:rsidRPr="006A74F8">
        <w:t xml:space="preserve">The extent of savings is not possible to quantify precisely in this RIS </w:t>
      </w:r>
      <w:r w:rsidR="00072506" w:rsidRPr="006A74F8">
        <w:t>but i</w:t>
      </w:r>
      <w:r w:rsidR="00ED6402" w:rsidRPr="006A74F8">
        <w:t xml:space="preserve">t is anticipated that there will be no change </w:t>
      </w:r>
      <w:r w:rsidR="0085094C" w:rsidRPr="006A74F8">
        <w:t xml:space="preserve">to </w:t>
      </w:r>
      <w:r w:rsidR="006A19A5" w:rsidRPr="006A74F8">
        <w:t xml:space="preserve">regulatory burden </w:t>
      </w:r>
      <w:r w:rsidR="00ED6402" w:rsidRPr="006A74F8">
        <w:t xml:space="preserve">on day one of the new legislation. </w:t>
      </w:r>
    </w:p>
    <w:p w:rsidR="005B51C0" w:rsidRPr="006A74F8" w:rsidRDefault="005B51C0" w:rsidP="005B51C0">
      <w:r w:rsidRPr="006A74F8">
        <w:t xml:space="preserve">Below are scenarios that estimate the reduction in regulatory burden if the requirement for verification were removed </w:t>
      </w:r>
      <w:r w:rsidR="00C90261" w:rsidRPr="006A74F8">
        <w:t>for</w:t>
      </w:r>
      <w:r w:rsidRPr="006A74F8">
        <w:t xml:space="preserve"> a percentage under any of the options. The scenarios </w:t>
      </w:r>
      <w:r w:rsidR="007E582F" w:rsidRPr="006A74F8">
        <w:t>also</w:t>
      </w:r>
      <w:r w:rsidRPr="006A74F8">
        <w:t xml:space="preserve"> show </w:t>
      </w:r>
      <w:r w:rsidR="009F2C4B" w:rsidRPr="006A74F8">
        <w:t>the</w:t>
      </w:r>
      <w:r w:rsidRPr="006A74F8">
        <w:t xml:space="preserve"> potential savings</w:t>
      </w:r>
      <w:r w:rsidR="001851D9" w:rsidRPr="006A74F8">
        <w:t xml:space="preserve"> through changes, for example efficiency gains</w:t>
      </w:r>
      <w:r w:rsidRPr="006A74F8">
        <w:t xml:space="preserve"> </w:t>
      </w:r>
      <w:r w:rsidR="001851D9" w:rsidRPr="006A74F8">
        <w:t>through improved systems</w:t>
      </w:r>
      <w:r w:rsidR="00072506" w:rsidRPr="006A74F8">
        <w:t>,</w:t>
      </w:r>
      <w:r w:rsidR="0032126C" w:rsidRPr="006A74F8">
        <w:rPr>
          <w:rStyle w:val="FootnoteReference"/>
        </w:rPr>
        <w:footnoteReference w:id="264"/>
      </w:r>
      <w:r w:rsidRPr="006A74F8">
        <w:t xml:space="preserve"> with implementation or transition across a 5 to 10 year timeframe per</w:t>
      </w:r>
      <w:r w:rsidR="001851D9" w:rsidRPr="006A74F8">
        <w:t xml:space="preserve"> scenario</w:t>
      </w:r>
      <w:r w:rsidRPr="006A74F8">
        <w:t>.</w:t>
      </w:r>
      <w:r w:rsidR="0032126C" w:rsidRPr="006A74F8">
        <w:t xml:space="preserve"> </w:t>
      </w:r>
    </w:p>
    <w:p w:rsidR="008E21D2" w:rsidRPr="006A74F8" w:rsidRDefault="008E21D2" w:rsidP="008E21D2">
      <w:pPr>
        <w:pStyle w:val="Caption"/>
        <w:keepNext/>
      </w:pPr>
      <w:r w:rsidRPr="006A74F8">
        <w:t xml:space="preserve">Table </w:t>
      </w:r>
      <w:r w:rsidR="00B1255E" w:rsidRPr="006A74F8">
        <w:t>A13</w:t>
      </w:r>
      <w:r w:rsidRPr="006A74F8">
        <w:t xml:space="preserve">- </w:t>
      </w:r>
      <w:r w:rsidR="00A6044A" w:rsidRPr="006A74F8">
        <w:rPr>
          <w:noProof/>
        </w:rPr>
        <w:fldChar w:fldCharType="begin"/>
      </w:r>
      <w:r w:rsidR="00A6044A" w:rsidRPr="006A74F8">
        <w:rPr>
          <w:noProof/>
        </w:rPr>
        <w:instrText xml:space="preserve"> SEQ Table_A14- \* ARABIC </w:instrText>
      </w:r>
      <w:r w:rsidR="00A6044A" w:rsidRPr="006A74F8">
        <w:rPr>
          <w:noProof/>
        </w:rPr>
        <w:fldChar w:fldCharType="separate"/>
      </w:r>
      <w:r w:rsidR="0033017F">
        <w:rPr>
          <w:noProof/>
        </w:rPr>
        <w:t>2</w:t>
      </w:r>
      <w:r w:rsidR="00A6044A" w:rsidRPr="006A74F8">
        <w:rPr>
          <w:noProof/>
        </w:rPr>
        <w:fldChar w:fldCharType="end"/>
      </w:r>
      <w:r w:rsidRPr="006A74F8">
        <w:t>: Scenarios of potential savings</w:t>
      </w: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4- 2: Scenarios of potential savings"/>
        <w:tblDescription w:val="Table describes the scenarios of potential savings under each option"/>
      </w:tblPr>
      <w:tblGrid>
        <w:gridCol w:w="2317"/>
        <w:gridCol w:w="2317"/>
        <w:gridCol w:w="1310"/>
        <w:gridCol w:w="1417"/>
        <w:gridCol w:w="1417"/>
      </w:tblGrid>
      <w:tr w:rsidR="00DC1726" w:rsidRPr="006A74F8" w:rsidTr="0089241E">
        <w:trPr>
          <w:trHeight w:val="315"/>
          <w:tblHeader/>
        </w:trPr>
        <w:tc>
          <w:tcPr>
            <w:tcW w:w="2317" w:type="dxa"/>
            <w:shd w:val="clear" w:color="auto" w:fill="1F3864"/>
            <w:noWrap/>
            <w:vAlign w:val="center"/>
            <w:hideMark/>
          </w:tcPr>
          <w:p w:rsidR="00DC1726" w:rsidRPr="006A74F8" w:rsidRDefault="00DC1726" w:rsidP="00DC1726">
            <w:pPr>
              <w:spacing w:after="0" w:line="240" w:lineRule="auto"/>
              <w:rPr>
                <w:rFonts w:ascii="Calibri" w:eastAsia="Times New Roman" w:hAnsi="Calibri" w:cs="Calibri"/>
                <w:b/>
                <w:color w:val="FFFFFF" w:themeColor="background1"/>
                <w:lang w:eastAsia="en-AU"/>
              </w:rPr>
            </w:pPr>
            <w:r w:rsidRPr="006A74F8">
              <w:rPr>
                <w:rFonts w:ascii="Calibri" w:eastAsia="Times New Roman" w:hAnsi="Calibri" w:cs="Calibri"/>
                <w:b/>
                <w:color w:val="FFFFFF" w:themeColor="background1"/>
                <w:lang w:eastAsia="en-AU"/>
              </w:rPr>
              <w:t xml:space="preserve">Potential savings scenarios </w:t>
            </w:r>
          </w:p>
        </w:tc>
        <w:tc>
          <w:tcPr>
            <w:tcW w:w="2317" w:type="dxa"/>
            <w:shd w:val="clear" w:color="auto" w:fill="1F3864"/>
            <w:noWrap/>
            <w:vAlign w:val="center"/>
            <w:hideMark/>
          </w:tcPr>
          <w:p w:rsidR="00DC1726" w:rsidRPr="006A74F8" w:rsidRDefault="00DC1726" w:rsidP="00DC1726">
            <w:pPr>
              <w:spacing w:after="0" w:line="240" w:lineRule="auto"/>
              <w:jc w:val="center"/>
              <w:rPr>
                <w:rFonts w:ascii="Calibri" w:eastAsia="Times New Roman" w:hAnsi="Calibri" w:cs="Calibri"/>
                <w:b/>
                <w:color w:val="FFFFFF" w:themeColor="background1"/>
                <w:lang w:eastAsia="en-AU"/>
              </w:rPr>
            </w:pPr>
            <w:r w:rsidRPr="006A74F8">
              <w:rPr>
                <w:rFonts w:ascii="Calibri" w:eastAsia="Times New Roman" w:hAnsi="Calibri" w:cs="Calibri"/>
                <w:b/>
                <w:color w:val="FFFFFF" w:themeColor="background1"/>
                <w:lang w:eastAsia="en-AU"/>
              </w:rPr>
              <w:t>Status Quo</w:t>
            </w:r>
          </w:p>
        </w:tc>
        <w:tc>
          <w:tcPr>
            <w:tcW w:w="1310" w:type="dxa"/>
            <w:shd w:val="clear" w:color="auto" w:fill="1F3864"/>
            <w:noWrap/>
            <w:vAlign w:val="center"/>
            <w:hideMark/>
          </w:tcPr>
          <w:p w:rsidR="00DC1726" w:rsidRPr="006A74F8" w:rsidRDefault="00DC1726" w:rsidP="00DC1726">
            <w:pPr>
              <w:spacing w:after="0" w:line="240" w:lineRule="auto"/>
              <w:jc w:val="center"/>
              <w:rPr>
                <w:rFonts w:ascii="Calibri" w:eastAsia="Times New Roman" w:hAnsi="Calibri" w:cs="Calibri"/>
                <w:b/>
                <w:color w:val="FFFFFF" w:themeColor="background1"/>
                <w:lang w:eastAsia="en-AU"/>
              </w:rPr>
            </w:pPr>
            <w:r w:rsidRPr="006A74F8">
              <w:rPr>
                <w:rFonts w:ascii="Calibri" w:eastAsia="Times New Roman" w:hAnsi="Calibri" w:cs="Calibri"/>
                <w:b/>
                <w:color w:val="FFFFFF" w:themeColor="background1"/>
                <w:lang w:eastAsia="en-AU"/>
              </w:rPr>
              <w:t>Option 1</w:t>
            </w:r>
          </w:p>
        </w:tc>
        <w:tc>
          <w:tcPr>
            <w:tcW w:w="1417" w:type="dxa"/>
            <w:shd w:val="clear" w:color="auto" w:fill="1F3864"/>
            <w:noWrap/>
            <w:vAlign w:val="center"/>
            <w:hideMark/>
          </w:tcPr>
          <w:p w:rsidR="00DC1726" w:rsidRPr="006A74F8" w:rsidRDefault="00DC1726" w:rsidP="00DC1726">
            <w:pPr>
              <w:spacing w:after="0" w:line="240" w:lineRule="auto"/>
              <w:jc w:val="center"/>
              <w:rPr>
                <w:rFonts w:ascii="Calibri" w:eastAsia="Times New Roman" w:hAnsi="Calibri" w:cs="Calibri"/>
                <w:b/>
                <w:color w:val="FFFFFF" w:themeColor="background1"/>
                <w:lang w:eastAsia="en-AU"/>
              </w:rPr>
            </w:pPr>
            <w:r w:rsidRPr="006A74F8">
              <w:rPr>
                <w:rFonts w:ascii="Calibri" w:eastAsia="Times New Roman" w:hAnsi="Calibri" w:cs="Calibri"/>
                <w:b/>
                <w:color w:val="FFFFFF" w:themeColor="background1"/>
                <w:lang w:eastAsia="en-AU"/>
              </w:rPr>
              <w:t>Option 2</w:t>
            </w:r>
          </w:p>
        </w:tc>
        <w:tc>
          <w:tcPr>
            <w:tcW w:w="1417" w:type="dxa"/>
            <w:shd w:val="clear" w:color="auto" w:fill="1F3864"/>
            <w:vAlign w:val="center"/>
          </w:tcPr>
          <w:p w:rsidR="009F2C4B" w:rsidRPr="006A74F8" w:rsidRDefault="009F2C4B">
            <w:pPr>
              <w:spacing w:after="0" w:line="240" w:lineRule="auto"/>
              <w:jc w:val="center"/>
              <w:rPr>
                <w:rFonts w:ascii="Calibri" w:eastAsia="Times New Roman" w:hAnsi="Calibri" w:cs="Calibri"/>
                <w:b/>
                <w:color w:val="FFFFFF" w:themeColor="background1"/>
                <w:lang w:eastAsia="en-AU"/>
              </w:rPr>
            </w:pPr>
            <w:r w:rsidRPr="006A74F8">
              <w:rPr>
                <w:rFonts w:ascii="Calibri" w:eastAsia="Times New Roman" w:hAnsi="Calibri" w:cs="Calibri"/>
                <w:b/>
                <w:color w:val="FFFFFF" w:themeColor="background1"/>
                <w:lang w:eastAsia="en-AU"/>
              </w:rPr>
              <w:t>Option 3</w:t>
            </w:r>
          </w:p>
        </w:tc>
      </w:tr>
      <w:tr w:rsidR="00DC1726" w:rsidRPr="006A74F8" w:rsidTr="0089241E">
        <w:trPr>
          <w:trHeight w:val="315"/>
        </w:trPr>
        <w:tc>
          <w:tcPr>
            <w:tcW w:w="2317" w:type="dxa"/>
            <w:shd w:val="clear" w:color="auto" w:fill="auto"/>
            <w:noWrap/>
            <w:vAlign w:val="center"/>
            <w:hideMark/>
          </w:tcPr>
          <w:p w:rsidR="00DC1726" w:rsidRPr="006A74F8" w:rsidRDefault="00DC1726" w:rsidP="00DC1726">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 xml:space="preserve">% </w:t>
            </w:r>
            <w:r w:rsidR="00FC5E8A" w:rsidRPr="006A74F8">
              <w:rPr>
                <w:rFonts w:ascii="Calibri" w:eastAsia="Times New Roman" w:hAnsi="Calibri" w:cs="Calibri"/>
                <w:color w:val="000000"/>
                <w:lang w:eastAsia="en-AU"/>
              </w:rPr>
              <w:t>R</w:t>
            </w:r>
            <w:r w:rsidRPr="006A74F8">
              <w:rPr>
                <w:rFonts w:ascii="Calibri" w:eastAsia="Times New Roman" w:hAnsi="Calibri" w:cs="Calibri"/>
                <w:color w:val="000000"/>
                <w:lang w:eastAsia="en-AU"/>
              </w:rPr>
              <w:t xml:space="preserve">eduction in burden </w:t>
            </w:r>
          </w:p>
        </w:tc>
        <w:tc>
          <w:tcPr>
            <w:tcW w:w="2317" w:type="dxa"/>
            <w:shd w:val="clear" w:color="auto" w:fill="auto"/>
            <w:noWrap/>
            <w:vAlign w:val="bottom"/>
            <w:hideMark/>
          </w:tcPr>
          <w:p w:rsidR="00DC1726" w:rsidRPr="006A74F8" w:rsidRDefault="00DC1726" w:rsidP="00DC1726">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 </w:t>
            </w:r>
          </w:p>
        </w:tc>
        <w:tc>
          <w:tcPr>
            <w:tcW w:w="1310" w:type="dxa"/>
            <w:shd w:val="clear" w:color="auto" w:fill="auto"/>
            <w:noWrap/>
            <w:vAlign w:val="center"/>
            <w:hideMark/>
          </w:tcPr>
          <w:p w:rsidR="00DC1726" w:rsidRPr="006A74F8" w:rsidRDefault="00DC1726" w:rsidP="00FC5E8A">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2%</w:t>
            </w:r>
          </w:p>
        </w:tc>
        <w:tc>
          <w:tcPr>
            <w:tcW w:w="1417" w:type="dxa"/>
            <w:shd w:val="clear" w:color="auto" w:fill="auto"/>
            <w:noWrap/>
            <w:vAlign w:val="center"/>
            <w:hideMark/>
          </w:tcPr>
          <w:p w:rsidR="00DC1726" w:rsidRPr="006A74F8" w:rsidRDefault="00DC1726" w:rsidP="00FC5E8A">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4%</w:t>
            </w:r>
          </w:p>
        </w:tc>
        <w:tc>
          <w:tcPr>
            <w:tcW w:w="1417" w:type="dxa"/>
          </w:tcPr>
          <w:p w:rsidR="008911AF" w:rsidRPr="006A74F8" w:rsidRDefault="008911AF">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Cannot be determined</w:t>
            </w:r>
          </w:p>
        </w:tc>
      </w:tr>
      <w:tr w:rsidR="00DC1726" w:rsidRPr="006A74F8" w:rsidTr="0089241E">
        <w:trPr>
          <w:trHeight w:val="315"/>
        </w:trPr>
        <w:tc>
          <w:tcPr>
            <w:tcW w:w="2317" w:type="dxa"/>
            <w:shd w:val="clear" w:color="auto" w:fill="auto"/>
            <w:noWrap/>
            <w:vAlign w:val="center"/>
            <w:hideMark/>
          </w:tcPr>
          <w:p w:rsidR="00DC1726" w:rsidRPr="006A74F8" w:rsidRDefault="00DC1726" w:rsidP="00DC1726">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Regulatory burden to industry</w:t>
            </w:r>
          </w:p>
        </w:tc>
        <w:tc>
          <w:tcPr>
            <w:tcW w:w="2317" w:type="dxa"/>
            <w:shd w:val="clear" w:color="auto" w:fill="auto"/>
            <w:noWrap/>
            <w:vAlign w:val="bottom"/>
            <w:hideMark/>
          </w:tcPr>
          <w:p w:rsidR="00DC1726" w:rsidRPr="006A74F8" w:rsidRDefault="002B4BD0" w:rsidP="00DC1726">
            <w:pPr>
              <w:spacing w:after="0" w:line="240" w:lineRule="auto"/>
              <w:jc w:val="right"/>
              <w:rPr>
                <w:rFonts w:ascii="Calibri" w:eastAsia="Times New Roman" w:hAnsi="Calibri" w:cs="Calibri"/>
                <w:color w:val="000000"/>
                <w:lang w:eastAsia="en-AU"/>
              </w:rPr>
            </w:pPr>
            <w:r w:rsidRPr="006A74F8">
              <w:t>$7,060,831</w:t>
            </w:r>
          </w:p>
        </w:tc>
        <w:tc>
          <w:tcPr>
            <w:tcW w:w="1310" w:type="dxa"/>
            <w:shd w:val="clear" w:color="auto" w:fill="auto"/>
            <w:noWrap/>
            <w:vAlign w:val="bottom"/>
            <w:hideMark/>
          </w:tcPr>
          <w:p w:rsidR="00DC1726" w:rsidRPr="006A74F8" w:rsidRDefault="002B4BD0" w:rsidP="00DC1726">
            <w:pPr>
              <w:spacing w:after="0" w:line="240" w:lineRule="auto"/>
              <w:jc w:val="right"/>
              <w:rPr>
                <w:rFonts w:ascii="Calibri" w:eastAsia="Times New Roman" w:hAnsi="Calibri" w:cs="Calibri"/>
                <w:color w:val="000000"/>
                <w:lang w:eastAsia="en-AU"/>
              </w:rPr>
            </w:pPr>
            <w:r w:rsidRPr="006A74F8">
              <w:rPr>
                <w:rFonts w:ascii="Calibri" w:hAnsi="Calibri" w:cs="Calibri"/>
                <w:color w:val="000000"/>
              </w:rPr>
              <w:t>$6,919,614</w:t>
            </w:r>
          </w:p>
        </w:tc>
        <w:tc>
          <w:tcPr>
            <w:tcW w:w="1417" w:type="dxa"/>
            <w:shd w:val="clear" w:color="auto" w:fill="auto"/>
            <w:noWrap/>
            <w:vAlign w:val="bottom"/>
            <w:hideMark/>
          </w:tcPr>
          <w:p w:rsidR="00DC1726" w:rsidRPr="006A74F8" w:rsidRDefault="002B4BD0" w:rsidP="00DC1726">
            <w:pPr>
              <w:spacing w:after="0" w:line="240" w:lineRule="auto"/>
              <w:jc w:val="right"/>
              <w:rPr>
                <w:rFonts w:ascii="Calibri" w:eastAsia="Times New Roman" w:hAnsi="Calibri" w:cs="Calibri"/>
                <w:color w:val="000000"/>
                <w:lang w:eastAsia="en-AU"/>
              </w:rPr>
            </w:pPr>
            <w:r w:rsidRPr="006A74F8">
              <w:rPr>
                <w:rFonts w:ascii="Calibri" w:hAnsi="Calibri" w:cs="Calibri"/>
                <w:color w:val="000000"/>
              </w:rPr>
              <w:t>$6,778,398</w:t>
            </w:r>
          </w:p>
        </w:tc>
        <w:tc>
          <w:tcPr>
            <w:tcW w:w="1417" w:type="dxa"/>
            <w:vAlign w:val="center"/>
          </w:tcPr>
          <w:p w:rsidR="009F2C4B" w:rsidRPr="006A74F8" w:rsidRDefault="009F2C4B">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Increase</w:t>
            </w:r>
          </w:p>
        </w:tc>
      </w:tr>
      <w:tr w:rsidR="00DC1726" w:rsidRPr="006A74F8" w:rsidTr="008B7B4C">
        <w:trPr>
          <w:trHeight w:val="315"/>
        </w:trPr>
        <w:tc>
          <w:tcPr>
            <w:tcW w:w="2317" w:type="dxa"/>
            <w:shd w:val="clear" w:color="auto" w:fill="auto"/>
            <w:noWrap/>
            <w:vAlign w:val="center"/>
            <w:hideMark/>
          </w:tcPr>
          <w:p w:rsidR="00DC1726" w:rsidRPr="006A74F8" w:rsidRDefault="00DC1726" w:rsidP="00DC1726">
            <w:pPr>
              <w:spacing w:after="0" w:line="240" w:lineRule="auto"/>
              <w:rPr>
                <w:rFonts w:ascii="Calibri" w:eastAsia="Times New Roman" w:hAnsi="Calibri" w:cs="Calibri"/>
                <w:b/>
                <w:bCs/>
                <w:color w:val="000000"/>
                <w:lang w:eastAsia="en-AU"/>
              </w:rPr>
            </w:pPr>
            <w:r w:rsidRPr="006A74F8">
              <w:rPr>
                <w:rFonts w:ascii="Calibri" w:eastAsia="Times New Roman" w:hAnsi="Calibri" w:cs="Calibri"/>
                <w:b/>
                <w:bCs/>
                <w:color w:val="000000"/>
                <w:lang w:eastAsia="en-AU"/>
              </w:rPr>
              <w:t>Savings from options</w:t>
            </w:r>
          </w:p>
        </w:tc>
        <w:tc>
          <w:tcPr>
            <w:tcW w:w="2317" w:type="dxa"/>
            <w:shd w:val="clear" w:color="auto" w:fill="auto"/>
            <w:noWrap/>
            <w:vAlign w:val="bottom"/>
            <w:hideMark/>
          </w:tcPr>
          <w:p w:rsidR="00DC1726" w:rsidRPr="006A74F8" w:rsidRDefault="00DC1726" w:rsidP="00DC1726">
            <w:pPr>
              <w:spacing w:after="0" w:line="240" w:lineRule="auto"/>
              <w:rPr>
                <w:rFonts w:ascii="Calibri" w:eastAsia="Times New Roman" w:hAnsi="Calibri" w:cs="Calibri"/>
                <w:color w:val="000000"/>
                <w:lang w:eastAsia="en-AU"/>
              </w:rPr>
            </w:pPr>
            <w:r w:rsidRPr="006A74F8">
              <w:rPr>
                <w:rFonts w:ascii="Calibri" w:eastAsia="Times New Roman" w:hAnsi="Calibri" w:cs="Calibri"/>
                <w:color w:val="000000"/>
                <w:lang w:eastAsia="en-AU"/>
              </w:rPr>
              <w:t> </w:t>
            </w:r>
          </w:p>
        </w:tc>
        <w:tc>
          <w:tcPr>
            <w:tcW w:w="1310" w:type="dxa"/>
            <w:shd w:val="clear" w:color="auto" w:fill="auto"/>
            <w:noWrap/>
            <w:vAlign w:val="bottom"/>
            <w:hideMark/>
          </w:tcPr>
          <w:p w:rsidR="00DC1726" w:rsidRPr="006A74F8" w:rsidRDefault="00DC1726" w:rsidP="00DC1726">
            <w:pPr>
              <w:spacing w:after="0" w:line="240" w:lineRule="auto"/>
              <w:jc w:val="right"/>
              <w:rPr>
                <w:rFonts w:ascii="Calibri" w:eastAsia="Times New Roman" w:hAnsi="Calibri" w:cs="Calibri"/>
                <w:color w:val="000000"/>
                <w:lang w:eastAsia="en-AU"/>
              </w:rPr>
            </w:pPr>
            <w:r w:rsidRPr="006A74F8">
              <w:rPr>
                <w:rFonts w:ascii="Calibri" w:eastAsia="Times New Roman" w:hAnsi="Calibri" w:cs="Calibri"/>
                <w:color w:val="000000"/>
                <w:lang w:eastAsia="en-AU"/>
              </w:rPr>
              <w:t>$141,</w:t>
            </w:r>
            <w:r w:rsidR="002B4BD0" w:rsidRPr="006A74F8">
              <w:rPr>
                <w:rFonts w:ascii="Calibri" w:hAnsi="Calibri" w:cs="Calibri"/>
                <w:color w:val="000000"/>
              </w:rPr>
              <w:t>217</w:t>
            </w:r>
          </w:p>
        </w:tc>
        <w:tc>
          <w:tcPr>
            <w:tcW w:w="1417" w:type="dxa"/>
            <w:shd w:val="clear" w:color="auto" w:fill="auto"/>
            <w:noWrap/>
            <w:vAlign w:val="bottom"/>
            <w:hideMark/>
          </w:tcPr>
          <w:p w:rsidR="00DC1726" w:rsidRPr="006A74F8" w:rsidRDefault="00DC1726" w:rsidP="00DC1726">
            <w:pPr>
              <w:spacing w:after="0" w:line="240" w:lineRule="auto"/>
              <w:jc w:val="right"/>
              <w:rPr>
                <w:rFonts w:ascii="Calibri" w:eastAsia="Times New Roman" w:hAnsi="Calibri" w:cs="Calibri"/>
                <w:color w:val="000000"/>
                <w:lang w:eastAsia="en-AU"/>
              </w:rPr>
            </w:pPr>
            <w:r w:rsidRPr="006A74F8">
              <w:rPr>
                <w:rFonts w:ascii="Calibri" w:eastAsia="Times New Roman" w:hAnsi="Calibri" w:cs="Calibri"/>
                <w:color w:val="000000"/>
                <w:lang w:eastAsia="en-AU"/>
              </w:rPr>
              <w:t>$282,</w:t>
            </w:r>
            <w:r w:rsidR="002B4BD0" w:rsidRPr="006A74F8">
              <w:rPr>
                <w:rFonts w:ascii="Calibri" w:hAnsi="Calibri" w:cs="Calibri"/>
                <w:color w:val="000000"/>
              </w:rPr>
              <w:t>433</w:t>
            </w:r>
          </w:p>
        </w:tc>
        <w:tc>
          <w:tcPr>
            <w:tcW w:w="1417" w:type="dxa"/>
          </w:tcPr>
          <w:p w:rsidR="009F2C4B" w:rsidRPr="006A74F8" w:rsidRDefault="009F2C4B">
            <w:pPr>
              <w:spacing w:after="0" w:line="240" w:lineRule="auto"/>
              <w:jc w:val="center"/>
              <w:rPr>
                <w:rFonts w:ascii="Calibri" w:eastAsia="Times New Roman" w:hAnsi="Calibri" w:cs="Calibri"/>
                <w:color w:val="000000"/>
                <w:lang w:eastAsia="en-AU"/>
              </w:rPr>
            </w:pPr>
            <w:r w:rsidRPr="006A74F8">
              <w:rPr>
                <w:rFonts w:ascii="Calibri" w:eastAsia="Times New Roman" w:hAnsi="Calibri" w:cs="Calibri"/>
                <w:color w:val="000000"/>
                <w:lang w:eastAsia="en-AU"/>
              </w:rPr>
              <w:t>-</w:t>
            </w:r>
          </w:p>
        </w:tc>
      </w:tr>
    </w:tbl>
    <w:p w:rsidR="005B51C0" w:rsidRPr="006A74F8" w:rsidRDefault="005B51C0" w:rsidP="006A19A5">
      <w:pPr>
        <w:spacing w:before="160"/>
      </w:pPr>
      <w:r w:rsidRPr="006A74F8">
        <w:t>The table below provides a summary of potential savings for the sector in relation to status quo:</w:t>
      </w:r>
    </w:p>
    <w:p w:rsidR="00582031" w:rsidRPr="006A74F8" w:rsidRDefault="00582031" w:rsidP="008E21D2">
      <w:pPr>
        <w:pStyle w:val="Caption"/>
        <w:keepNext/>
      </w:pPr>
    </w:p>
    <w:p w:rsidR="00582031" w:rsidRPr="006A74F8" w:rsidRDefault="00582031" w:rsidP="00582031"/>
    <w:p w:rsidR="00582031" w:rsidRPr="006A74F8" w:rsidRDefault="00582031" w:rsidP="00582031"/>
    <w:p w:rsidR="008E21D2" w:rsidRPr="006A74F8" w:rsidRDefault="008E21D2" w:rsidP="008E21D2">
      <w:pPr>
        <w:pStyle w:val="Caption"/>
        <w:keepNext/>
      </w:pPr>
      <w:r w:rsidRPr="006A74F8">
        <w:lastRenderedPageBreak/>
        <w:t xml:space="preserve">Table </w:t>
      </w:r>
      <w:r w:rsidR="00B1255E" w:rsidRPr="006A74F8">
        <w:t>A13</w:t>
      </w:r>
      <w:r w:rsidRPr="006A74F8">
        <w:t xml:space="preserve">- </w:t>
      </w:r>
      <w:r w:rsidR="00A6044A" w:rsidRPr="006A74F8">
        <w:rPr>
          <w:noProof/>
        </w:rPr>
        <w:fldChar w:fldCharType="begin"/>
      </w:r>
      <w:r w:rsidR="00A6044A" w:rsidRPr="006A74F8">
        <w:rPr>
          <w:noProof/>
        </w:rPr>
        <w:instrText xml:space="preserve"> SEQ Table_A14- \* ARABIC </w:instrText>
      </w:r>
      <w:r w:rsidR="00A6044A" w:rsidRPr="006A74F8">
        <w:rPr>
          <w:noProof/>
        </w:rPr>
        <w:fldChar w:fldCharType="separate"/>
      </w:r>
      <w:r w:rsidR="0033017F">
        <w:rPr>
          <w:noProof/>
        </w:rPr>
        <w:t>3</w:t>
      </w:r>
      <w:r w:rsidR="00A6044A" w:rsidRPr="006A74F8">
        <w:rPr>
          <w:noProof/>
        </w:rPr>
        <w:fldChar w:fldCharType="end"/>
      </w:r>
      <w:r w:rsidRPr="006A74F8">
        <w:t>: Summary of potential savings</w:t>
      </w: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4- 3: Summary of potential savings"/>
        <w:tblDescription w:val="Table summarises the potential savings under each option"/>
      </w:tblPr>
      <w:tblGrid>
        <w:gridCol w:w="1413"/>
        <w:gridCol w:w="2087"/>
        <w:gridCol w:w="3441"/>
        <w:gridCol w:w="2390"/>
      </w:tblGrid>
      <w:tr w:rsidR="005B51C0" w:rsidRPr="006A74F8" w:rsidTr="00CA15D2">
        <w:trPr>
          <w:trHeight w:val="260"/>
        </w:trPr>
        <w:tc>
          <w:tcPr>
            <w:tcW w:w="1413" w:type="dxa"/>
            <w:shd w:val="clear" w:color="auto" w:fill="1F3864"/>
            <w:vAlign w:val="center"/>
          </w:tcPr>
          <w:p w:rsidR="005B51C0" w:rsidRPr="006A74F8" w:rsidRDefault="005B51C0" w:rsidP="005B51C0">
            <w:pPr>
              <w:rPr>
                <w:b/>
                <w:color w:val="FFFFFF" w:themeColor="background1"/>
              </w:rPr>
            </w:pPr>
            <w:r w:rsidRPr="006A74F8">
              <w:rPr>
                <w:b/>
                <w:color w:val="FFFFFF" w:themeColor="background1"/>
              </w:rPr>
              <w:t xml:space="preserve">Status Quo cost of </w:t>
            </w:r>
            <w:r w:rsidR="00736357" w:rsidRPr="006A74F8">
              <w:rPr>
                <w:b/>
                <w:color w:val="FFFFFF" w:themeColor="background1"/>
              </w:rPr>
              <w:t>verification</w:t>
            </w:r>
          </w:p>
        </w:tc>
        <w:tc>
          <w:tcPr>
            <w:tcW w:w="2087" w:type="dxa"/>
            <w:shd w:val="clear" w:color="auto" w:fill="1F3864"/>
            <w:vAlign w:val="center"/>
          </w:tcPr>
          <w:p w:rsidR="005B51C0" w:rsidRPr="006A74F8" w:rsidRDefault="005B51C0" w:rsidP="00CA15D2">
            <w:pPr>
              <w:jc w:val="center"/>
              <w:rPr>
                <w:b/>
                <w:color w:val="FFFFFF" w:themeColor="background1"/>
              </w:rPr>
            </w:pPr>
            <w:r w:rsidRPr="006A74F8">
              <w:rPr>
                <w:b/>
                <w:color w:val="FFFFFF" w:themeColor="background1"/>
              </w:rPr>
              <w:t>Option 1</w:t>
            </w:r>
          </w:p>
        </w:tc>
        <w:tc>
          <w:tcPr>
            <w:tcW w:w="3441" w:type="dxa"/>
            <w:shd w:val="clear" w:color="auto" w:fill="1F3864"/>
            <w:vAlign w:val="center"/>
          </w:tcPr>
          <w:p w:rsidR="005B51C0" w:rsidRPr="006A74F8" w:rsidRDefault="005B51C0" w:rsidP="00CA15D2">
            <w:pPr>
              <w:jc w:val="center"/>
              <w:rPr>
                <w:b/>
                <w:color w:val="FFFFFF" w:themeColor="background1"/>
              </w:rPr>
            </w:pPr>
            <w:r w:rsidRPr="006A74F8">
              <w:rPr>
                <w:b/>
                <w:color w:val="FFFFFF" w:themeColor="background1"/>
              </w:rPr>
              <w:t>Option 2</w:t>
            </w:r>
          </w:p>
        </w:tc>
        <w:tc>
          <w:tcPr>
            <w:tcW w:w="2390" w:type="dxa"/>
            <w:shd w:val="clear" w:color="auto" w:fill="1F3864"/>
            <w:vAlign w:val="center"/>
          </w:tcPr>
          <w:p w:rsidR="005B51C0" w:rsidRPr="006A74F8" w:rsidRDefault="005B51C0" w:rsidP="00CA15D2">
            <w:pPr>
              <w:jc w:val="center"/>
              <w:rPr>
                <w:b/>
                <w:color w:val="FFFFFF" w:themeColor="background1"/>
              </w:rPr>
            </w:pPr>
            <w:r w:rsidRPr="006A74F8">
              <w:rPr>
                <w:b/>
                <w:color w:val="FFFFFF" w:themeColor="background1"/>
              </w:rPr>
              <w:t>Option 3</w:t>
            </w:r>
          </w:p>
        </w:tc>
      </w:tr>
      <w:tr w:rsidR="005B51C0" w:rsidRPr="006A74F8" w:rsidTr="005B5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7"/>
        </w:trPr>
        <w:tc>
          <w:tcPr>
            <w:tcW w:w="1413" w:type="dxa"/>
            <w:tcBorders>
              <w:top w:val="single" w:sz="4" w:space="0" w:color="auto"/>
              <w:left w:val="single" w:sz="4" w:space="0" w:color="auto"/>
              <w:bottom w:val="single" w:sz="4" w:space="0" w:color="auto"/>
              <w:right w:val="single" w:sz="4" w:space="0" w:color="auto"/>
            </w:tcBorders>
          </w:tcPr>
          <w:p w:rsidR="005B51C0" w:rsidRPr="006A74F8" w:rsidRDefault="005B51C0" w:rsidP="005B51C0">
            <w:pPr>
              <w:rPr>
                <w:b/>
              </w:rPr>
            </w:pPr>
            <w:r w:rsidRPr="006A74F8">
              <w:rPr>
                <w:b/>
              </w:rPr>
              <w:t xml:space="preserve">$ </w:t>
            </w:r>
            <w:r w:rsidR="00AA0E04" w:rsidRPr="006A74F8">
              <w:rPr>
                <w:b/>
              </w:rPr>
              <w:t>7.</w:t>
            </w:r>
            <w:r w:rsidR="000F5240" w:rsidRPr="006A74F8">
              <w:rPr>
                <w:b/>
              </w:rPr>
              <w:t>06</w:t>
            </w:r>
            <w:r w:rsidR="0072134A" w:rsidRPr="006A74F8">
              <w:rPr>
                <w:b/>
              </w:rPr>
              <w:t>m</w:t>
            </w:r>
          </w:p>
          <w:p w:rsidR="005B51C0" w:rsidRPr="006A74F8" w:rsidRDefault="00AA0E04" w:rsidP="005B51C0">
            <w:pPr>
              <w:rPr>
                <w:rStyle w:val="Hyperlink"/>
                <w:b/>
                <w:color w:val="auto"/>
                <w:u w:val="none"/>
              </w:rPr>
            </w:pPr>
            <w:r w:rsidRPr="006A74F8">
              <w:t xml:space="preserve">Estimated </w:t>
            </w:r>
            <w:r w:rsidR="005B51C0" w:rsidRPr="006A74F8">
              <w:t xml:space="preserve">cost for verification </w:t>
            </w:r>
          </w:p>
        </w:tc>
        <w:tc>
          <w:tcPr>
            <w:tcW w:w="2087" w:type="dxa"/>
            <w:tcBorders>
              <w:top w:val="single" w:sz="4" w:space="0" w:color="auto"/>
              <w:left w:val="single" w:sz="4" w:space="0" w:color="auto"/>
              <w:bottom w:val="single" w:sz="4" w:space="0" w:color="auto"/>
              <w:right w:val="single" w:sz="4" w:space="0" w:color="auto"/>
            </w:tcBorders>
          </w:tcPr>
          <w:p w:rsidR="005B51C0" w:rsidRPr="006A74F8" w:rsidRDefault="005B51C0" w:rsidP="005B51C0">
            <w:pPr>
              <w:rPr>
                <w:rStyle w:val="Hyperlink"/>
                <w:color w:val="auto"/>
                <w:u w:val="none"/>
              </w:rPr>
            </w:pPr>
            <w:r w:rsidRPr="006A74F8">
              <w:rPr>
                <w:rFonts w:cstheme="minorHAnsi"/>
                <w:b/>
              </w:rPr>
              <w:t>Potential savings</w:t>
            </w:r>
            <w:r w:rsidRPr="006A74F8">
              <w:rPr>
                <w:rFonts w:cstheme="minorHAnsi"/>
              </w:rPr>
              <w:t xml:space="preserve"> </w:t>
            </w:r>
            <w:r w:rsidR="0072134A" w:rsidRPr="006A74F8">
              <w:rPr>
                <w:rFonts w:cstheme="minorHAnsi"/>
              </w:rPr>
              <w:t xml:space="preserve">approximately </w:t>
            </w:r>
            <w:r w:rsidR="0072134A" w:rsidRPr="006A74F8">
              <w:rPr>
                <w:rFonts w:cstheme="minorHAnsi"/>
                <w:b/>
              </w:rPr>
              <w:t>$0.</w:t>
            </w:r>
            <w:r w:rsidR="006427AF" w:rsidRPr="006A74F8">
              <w:rPr>
                <w:rFonts w:cstheme="minorHAnsi"/>
                <w:b/>
              </w:rPr>
              <w:t>14m</w:t>
            </w:r>
            <w:r w:rsidR="006427AF" w:rsidRPr="006A74F8">
              <w:rPr>
                <w:rFonts w:cstheme="minorHAnsi"/>
              </w:rPr>
              <w:t xml:space="preserve"> for measuring instruments used for trade </w:t>
            </w:r>
          </w:p>
        </w:tc>
        <w:tc>
          <w:tcPr>
            <w:tcW w:w="3441" w:type="dxa"/>
            <w:tcBorders>
              <w:top w:val="single" w:sz="4" w:space="0" w:color="auto"/>
              <w:left w:val="single" w:sz="4" w:space="0" w:color="auto"/>
              <w:bottom w:val="single" w:sz="4" w:space="0" w:color="auto"/>
              <w:right w:val="single" w:sz="4" w:space="0" w:color="auto"/>
            </w:tcBorders>
          </w:tcPr>
          <w:p w:rsidR="005B51C0" w:rsidRPr="006A74F8" w:rsidRDefault="005B51C0" w:rsidP="005B51C0">
            <w:pPr>
              <w:rPr>
                <w:rFonts w:cstheme="minorHAnsi"/>
              </w:rPr>
            </w:pPr>
            <w:r w:rsidRPr="006A74F8">
              <w:rPr>
                <w:rFonts w:cstheme="minorHAnsi"/>
                <w:b/>
              </w:rPr>
              <w:t>Potential savings</w:t>
            </w:r>
            <w:r w:rsidRPr="006A74F8">
              <w:rPr>
                <w:rFonts w:cstheme="minorHAnsi"/>
              </w:rPr>
              <w:t xml:space="preserve"> </w:t>
            </w:r>
            <w:r w:rsidR="0072134A" w:rsidRPr="006A74F8">
              <w:rPr>
                <w:rFonts w:cstheme="minorHAnsi"/>
              </w:rPr>
              <w:t xml:space="preserve">approximately </w:t>
            </w:r>
            <w:r w:rsidR="001851D9" w:rsidRPr="006A74F8">
              <w:rPr>
                <w:rFonts w:cstheme="minorHAnsi"/>
                <w:b/>
              </w:rPr>
              <w:t>$</w:t>
            </w:r>
            <w:r w:rsidR="0072134A" w:rsidRPr="006A74F8">
              <w:rPr>
                <w:rFonts w:cstheme="minorHAnsi"/>
                <w:b/>
              </w:rPr>
              <w:t>0.2</w:t>
            </w:r>
            <w:r w:rsidR="00AA0E04" w:rsidRPr="006A74F8">
              <w:rPr>
                <w:rFonts w:cstheme="minorHAnsi"/>
                <w:b/>
              </w:rPr>
              <w:t>8</w:t>
            </w:r>
            <w:r w:rsidR="0072134A" w:rsidRPr="006A74F8">
              <w:rPr>
                <w:rFonts w:cstheme="minorHAnsi"/>
                <w:b/>
              </w:rPr>
              <w:t>m</w:t>
            </w:r>
            <w:r w:rsidR="006427AF" w:rsidRPr="006A74F8">
              <w:rPr>
                <w:rFonts w:cstheme="minorHAnsi"/>
              </w:rPr>
              <w:t xml:space="preserve"> for measuring instruments used for trade</w:t>
            </w:r>
          </w:p>
          <w:p w:rsidR="005B51C0" w:rsidRPr="006A74F8" w:rsidRDefault="005B51C0" w:rsidP="005B51C0">
            <w:pPr>
              <w:rPr>
                <w:rStyle w:val="Hyperlink"/>
                <w:color w:val="auto"/>
                <w:u w:val="none"/>
              </w:rPr>
            </w:pPr>
            <w:r w:rsidRPr="006A74F8">
              <w:t>Unquantifiable p</w:t>
            </w:r>
            <w:r w:rsidRPr="006A74F8">
              <w:rPr>
                <w:rFonts w:cstheme="minorHAnsi"/>
              </w:rPr>
              <w:t>otential change (</w:t>
            </w:r>
            <w:r w:rsidRPr="006A74F8">
              <w:rPr>
                <w:rFonts w:cstheme="minorHAnsi"/>
                <w:b/>
              </w:rPr>
              <w:t>increase or decrease</w:t>
            </w:r>
            <w:r w:rsidRPr="006A74F8">
              <w:rPr>
                <w:rFonts w:cstheme="minorHAnsi"/>
              </w:rPr>
              <w:t>) in burden from other flexible controls on measuring instruments used for trade</w:t>
            </w:r>
          </w:p>
        </w:tc>
        <w:tc>
          <w:tcPr>
            <w:tcW w:w="2390" w:type="dxa"/>
            <w:tcBorders>
              <w:top w:val="single" w:sz="4" w:space="0" w:color="auto"/>
              <w:left w:val="single" w:sz="4" w:space="0" w:color="auto"/>
              <w:bottom w:val="single" w:sz="4" w:space="0" w:color="auto"/>
              <w:right w:val="single" w:sz="4" w:space="0" w:color="auto"/>
            </w:tcBorders>
          </w:tcPr>
          <w:p w:rsidR="005B51C0" w:rsidRPr="006A74F8" w:rsidRDefault="005B51C0" w:rsidP="005B51C0">
            <w:pPr>
              <w:rPr>
                <w:rFonts w:cstheme="minorHAnsi"/>
              </w:rPr>
            </w:pPr>
            <w:r w:rsidRPr="006A74F8">
              <w:rPr>
                <w:rFonts w:cstheme="minorHAnsi"/>
              </w:rPr>
              <w:t>As for option 2 plus</w:t>
            </w:r>
          </w:p>
          <w:p w:rsidR="005B51C0" w:rsidRPr="006A74F8" w:rsidRDefault="005B51C0" w:rsidP="005B51C0">
            <w:pPr>
              <w:rPr>
                <w:rFonts w:cstheme="minorHAnsi"/>
              </w:rPr>
            </w:pPr>
            <w:r w:rsidRPr="006A74F8">
              <w:rPr>
                <w:rFonts w:cstheme="minorHAnsi"/>
                <w:b/>
              </w:rPr>
              <w:t>Additional regulatory burden</w:t>
            </w:r>
            <w:r w:rsidRPr="006A74F8">
              <w:rPr>
                <w:rFonts w:cstheme="minorHAnsi"/>
              </w:rPr>
              <w:t xml:space="preserve"> for the verification of measuring instruments used for regulatory purposes</w:t>
            </w:r>
          </w:p>
          <w:p w:rsidR="005B51C0" w:rsidRPr="006A74F8" w:rsidRDefault="005B51C0" w:rsidP="005B51C0">
            <w:pPr>
              <w:rPr>
                <w:rStyle w:val="Hyperlink"/>
                <w:color w:val="auto"/>
                <w:u w:val="none"/>
              </w:rPr>
            </w:pPr>
          </w:p>
        </w:tc>
      </w:tr>
    </w:tbl>
    <w:p w:rsidR="005B51C0" w:rsidRPr="006A74F8" w:rsidRDefault="005B51C0" w:rsidP="008139D7"/>
    <w:p w:rsidR="008139D7" w:rsidRPr="006A74F8" w:rsidRDefault="008139D7" w:rsidP="008139D7">
      <w:pPr>
        <w:sectPr w:rsidR="008139D7" w:rsidRPr="006A74F8" w:rsidSect="00EC61D8">
          <w:pgSz w:w="11907" w:h="16840" w:code="9"/>
          <w:pgMar w:top="1440" w:right="1440" w:bottom="1440" w:left="1440" w:header="851" w:footer="0" w:gutter="0"/>
          <w:cols w:space="708"/>
          <w:titlePg/>
          <w:docGrid w:linePitch="360"/>
        </w:sectPr>
      </w:pPr>
    </w:p>
    <w:p w:rsidR="00DA73DA" w:rsidRPr="006A74F8" w:rsidRDefault="00DA73DA" w:rsidP="00E20973">
      <w:pPr>
        <w:jc w:val="center"/>
        <w:rPr>
          <w:b/>
        </w:rPr>
      </w:pPr>
      <w:bookmarkStart w:id="3084" w:name="_Appendix_15:_List"/>
      <w:bookmarkEnd w:id="3084"/>
    </w:p>
    <w:p w:rsidR="00DA73DA" w:rsidRPr="006A74F8" w:rsidRDefault="00DA73DA" w:rsidP="00E20973">
      <w:pPr>
        <w:jc w:val="center"/>
        <w:rPr>
          <w:b/>
        </w:rPr>
      </w:pPr>
    </w:p>
    <w:p w:rsidR="00DA73DA" w:rsidRPr="006A74F8" w:rsidRDefault="00DA73DA" w:rsidP="00E20973">
      <w:pPr>
        <w:jc w:val="center"/>
        <w:rPr>
          <w:b/>
        </w:rPr>
      </w:pPr>
    </w:p>
    <w:p w:rsidR="00DA73DA" w:rsidRPr="006A74F8" w:rsidRDefault="00DA73DA" w:rsidP="00E20973">
      <w:pPr>
        <w:jc w:val="center"/>
        <w:rPr>
          <w:b/>
        </w:rPr>
      </w:pPr>
    </w:p>
    <w:p w:rsidR="00DA73DA" w:rsidRPr="006A74F8" w:rsidRDefault="00DA73DA" w:rsidP="00E20973">
      <w:pPr>
        <w:jc w:val="center"/>
        <w:rPr>
          <w:b/>
        </w:rPr>
      </w:pPr>
    </w:p>
    <w:p w:rsidR="00DA73DA" w:rsidRPr="006A74F8" w:rsidRDefault="00DA73DA" w:rsidP="00E20973">
      <w:pPr>
        <w:jc w:val="center"/>
        <w:rPr>
          <w:b/>
        </w:rPr>
      </w:pPr>
    </w:p>
    <w:p w:rsidR="00DA73DA" w:rsidRPr="006A74F8" w:rsidRDefault="00DA73DA" w:rsidP="00E20973">
      <w:pPr>
        <w:jc w:val="center"/>
        <w:rPr>
          <w:b/>
        </w:rPr>
      </w:pPr>
    </w:p>
    <w:p w:rsidR="00DA73DA" w:rsidRPr="006A74F8" w:rsidRDefault="00DA73DA" w:rsidP="00E20973">
      <w:pPr>
        <w:jc w:val="center"/>
        <w:rPr>
          <w:b/>
        </w:rPr>
      </w:pPr>
    </w:p>
    <w:p w:rsidR="00E20973" w:rsidRPr="006A74F8" w:rsidRDefault="00DA73DA" w:rsidP="00E20973">
      <w:pPr>
        <w:jc w:val="center"/>
        <w:rPr>
          <w:i/>
        </w:rPr>
      </w:pPr>
      <w:r w:rsidRPr="006A74F8" w:rsidDel="00DA73DA">
        <w:rPr>
          <w:b/>
        </w:rPr>
        <w:t xml:space="preserve"> </w:t>
      </w:r>
      <w:r w:rsidR="00E20973" w:rsidRPr="006A74F8">
        <w:rPr>
          <w:i/>
        </w:rPr>
        <w:t>(this page has been intentionally left blank)</w:t>
      </w:r>
    </w:p>
    <w:p w:rsidR="00174327" w:rsidRPr="006A74F8" w:rsidRDefault="00174327" w:rsidP="00A00C10">
      <w:pPr>
        <w:pStyle w:val="Numberingnoindent"/>
        <w:tabs>
          <w:tab w:val="clear" w:pos="1440"/>
        </w:tabs>
        <w:sectPr w:rsidR="00174327" w:rsidRPr="006A74F8" w:rsidSect="00EC61D8">
          <w:pgSz w:w="11907" w:h="16840" w:code="9"/>
          <w:pgMar w:top="1440" w:right="1440" w:bottom="1440" w:left="1440" w:header="851" w:footer="0" w:gutter="0"/>
          <w:cols w:space="708"/>
          <w:titlePg/>
          <w:docGrid w:linePitch="360"/>
        </w:sectPr>
      </w:pPr>
    </w:p>
    <w:p w:rsidR="00736357" w:rsidRDefault="00A00C10" w:rsidP="00A00C10">
      <w:pPr>
        <w:pStyle w:val="Numberingnoindent"/>
        <w:tabs>
          <w:tab w:val="clear" w:pos="1440"/>
        </w:tabs>
      </w:pPr>
      <w:r w:rsidRPr="006A74F8">
        <w:rPr>
          <w:rFonts w:ascii="Calibri" w:hAnsi="Calibri" w:cs="Calibri"/>
          <w:noProof/>
          <w:color w:val="FFFFFF" w:themeColor="background1"/>
          <w:sz w:val="24"/>
          <w:szCs w:val="24"/>
          <w:lang w:eastAsia="en-AU"/>
        </w:rPr>
        <w:lastRenderedPageBreak/>
        <mc:AlternateContent>
          <mc:Choice Requires="wps">
            <w:drawing>
              <wp:anchor distT="0" distB="0" distL="114300" distR="114300" simplePos="0" relativeHeight="251658241" behindDoc="0" locked="0" layoutInCell="1" allowOverlap="1" wp14:anchorId="1BDC630A" wp14:editId="374860DA">
                <wp:simplePos x="0" y="0"/>
                <wp:positionH relativeFrom="margin">
                  <wp:posOffset>3694293</wp:posOffset>
                </wp:positionH>
                <wp:positionV relativeFrom="paragraph">
                  <wp:posOffset>0</wp:posOffset>
                </wp:positionV>
                <wp:extent cx="2125362" cy="2372497"/>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25362" cy="2372497"/>
                        </a:xfrm>
                        <a:prstGeom prst="rect">
                          <a:avLst/>
                        </a:prstGeom>
                        <a:noFill/>
                        <a:ln w="6350">
                          <a:noFill/>
                        </a:ln>
                        <a:effectLst/>
                      </wps:spPr>
                      <wps:txbx>
                        <w:txbxContent>
                          <w:p w:rsidR="006A65A2" w:rsidRPr="00A00C10" w:rsidRDefault="006A65A2" w:rsidP="00DB33B3">
                            <w:pPr>
                              <w:pStyle w:val="Heading5"/>
                              <w:numPr>
                                <w:ilvl w:val="0"/>
                                <w:numId w:val="0"/>
                              </w:numPr>
                              <w:spacing w:before="120" w:after="120"/>
                              <w:rPr>
                                <w:rFonts w:ascii="Gotham Narrow Book" w:hAnsi="Gotham Narrow Book"/>
                                <w:color w:val="FFFFFF" w:themeColor="background1"/>
                                <w:sz w:val="24"/>
                                <w:szCs w:val="24"/>
                              </w:rPr>
                            </w:pPr>
                            <w:r w:rsidRPr="00A00C10">
                              <w:rPr>
                                <w:rFonts w:ascii="Gotham Narrow Book" w:hAnsi="Gotham Narrow Book"/>
                                <w:color w:val="FFFFFF" w:themeColor="background1"/>
                                <w:sz w:val="24"/>
                                <w:szCs w:val="24"/>
                              </w:rPr>
                              <w:t>1300 686 664</w:t>
                            </w:r>
                          </w:p>
                          <w:p w:rsidR="006A65A2" w:rsidRPr="00A00C10" w:rsidRDefault="00480B0E" w:rsidP="00DB33B3">
                            <w:pPr>
                              <w:pStyle w:val="Heading5"/>
                              <w:numPr>
                                <w:ilvl w:val="0"/>
                                <w:numId w:val="0"/>
                              </w:numPr>
                              <w:spacing w:before="120" w:after="120"/>
                              <w:rPr>
                                <w:rFonts w:ascii="Gotham Narrow Book" w:hAnsi="Gotham Narrow Book"/>
                                <w:color w:val="FFFFFF" w:themeColor="background1"/>
                                <w:sz w:val="24"/>
                                <w:szCs w:val="24"/>
                              </w:rPr>
                            </w:pPr>
                            <w:hyperlink r:id="rId41" w:history="1">
                              <w:r w:rsidR="006A65A2" w:rsidRPr="00A00C10">
                                <w:rPr>
                                  <w:rStyle w:val="Hyperlink"/>
                                  <w:rFonts w:ascii="Gotham Narrow Book" w:hAnsi="Gotham Narrow Book"/>
                                  <w:color w:val="FFFFFF" w:themeColor="background1"/>
                                  <w:sz w:val="24"/>
                                </w:rPr>
                                <w:t>measurementlawreview</w:t>
                              </w:r>
                              <w:r w:rsidR="006A65A2" w:rsidRPr="00A00C10">
                                <w:rPr>
                                  <w:rStyle w:val="Hyperlink"/>
                                  <w:rFonts w:ascii="Gotham Narrow Book" w:hAnsi="Gotham Narrow Book"/>
                                  <w:color w:val="FFFFFF" w:themeColor="background1"/>
                                  <w:sz w:val="24"/>
                                </w:rPr>
                                <w:br/>
                                <w:t>@industry.gov.au</w:t>
                              </w:r>
                            </w:hyperlink>
                            <w:r w:rsidR="006A65A2" w:rsidRPr="00A00C10">
                              <w:rPr>
                                <w:rFonts w:ascii="Gotham Narrow Book" w:hAnsi="Gotham Narrow Book"/>
                                <w:color w:val="FFFFFF" w:themeColor="background1"/>
                                <w:sz w:val="24"/>
                                <w:szCs w:val="24"/>
                              </w:rPr>
                              <w:t xml:space="preserve"> </w:t>
                            </w:r>
                          </w:p>
                          <w:p w:rsidR="006A65A2" w:rsidRPr="00A00C10" w:rsidRDefault="00480B0E" w:rsidP="00DB33B3">
                            <w:pPr>
                              <w:pStyle w:val="Heading5"/>
                              <w:numPr>
                                <w:ilvl w:val="0"/>
                                <w:numId w:val="0"/>
                              </w:numPr>
                              <w:spacing w:before="200" w:after="120"/>
                              <w:rPr>
                                <w:rFonts w:ascii="Gotham Narrow Book" w:hAnsi="Gotham Narrow Book"/>
                                <w:color w:val="FFFFFF" w:themeColor="background1"/>
                                <w:sz w:val="24"/>
                                <w:szCs w:val="24"/>
                              </w:rPr>
                            </w:pPr>
                            <w:hyperlink r:id="rId42" w:history="1">
                              <w:r w:rsidR="006A65A2" w:rsidRPr="00A00C10">
                                <w:rPr>
                                  <w:rStyle w:val="Hyperlink"/>
                                  <w:rFonts w:ascii="Gotham Narrow Book" w:hAnsi="Gotham Narrow Book"/>
                                  <w:color w:val="FFFFFF" w:themeColor="background1"/>
                                  <w:sz w:val="24"/>
                                </w:rPr>
                                <w:t>industry.gov.au/</w:t>
                              </w:r>
                              <w:r w:rsidR="006A65A2" w:rsidRPr="00A00C10">
                                <w:rPr>
                                  <w:rStyle w:val="Hyperlink"/>
                                  <w:rFonts w:ascii="Gotham Narrow Book" w:hAnsi="Gotham Narrow Book"/>
                                  <w:color w:val="FFFFFF" w:themeColor="background1"/>
                                  <w:sz w:val="24"/>
                                </w:rPr>
                                <w:br/>
                                <w:t>measurement-law-review</w:t>
                              </w:r>
                            </w:hyperlink>
                          </w:p>
                          <w:p w:rsidR="006A65A2" w:rsidRPr="00EF57DF" w:rsidRDefault="006A65A2" w:rsidP="0079202B">
                            <w:pPr>
                              <w:rPr>
                                <w:rStyle w:val="Hyperlink"/>
                                <w:color w:val="FFFFFF" w:themeColor="background1"/>
                              </w:rPr>
                            </w:pPr>
                            <w:r w:rsidRPr="00F5358B">
                              <w:rPr>
                                <w:rStyle w:val="Hyperlink"/>
                                <w:rFonts w:ascii="Gotham Narrow Book" w:eastAsiaTheme="majorEastAsia" w:hAnsi="Gotham Narrow Book" w:cstheme="majorBidi"/>
                                <w:color w:val="FFFFFF" w:themeColor="background1"/>
                                <w:sz w:val="24"/>
                                <w:szCs w:val="24"/>
                              </w:rPr>
                              <w:t>consult.industry.gov.au/</w:t>
                            </w:r>
                            <w:r w:rsidRPr="00F5358B">
                              <w:rPr>
                                <w:rStyle w:val="Hyperlink"/>
                                <w:rFonts w:ascii="Gotham Narrow Book" w:eastAsiaTheme="majorEastAsia" w:hAnsi="Gotham Narrow Book" w:cstheme="majorBidi"/>
                                <w:color w:val="FFFFFF" w:themeColor="background1"/>
                                <w:sz w:val="24"/>
                                <w:szCs w:val="24"/>
                              </w:rPr>
                              <w:br/>
                              <w:t>measurement-law-review/mlr-consultation-regulation-impact-statement/</w:t>
                            </w:r>
                          </w:p>
                          <w:p w:rsidR="006A65A2" w:rsidRPr="00EF57DF" w:rsidRDefault="006A65A2" w:rsidP="00A00C10">
                            <w:pPr>
                              <w:rPr>
                                <w:rStyle w:val="Hyperlink"/>
                                <w:color w:val="FFFFFF" w:themeColor="background1"/>
                              </w:rPr>
                            </w:pPr>
                          </w:p>
                          <w:p w:rsidR="006A65A2" w:rsidRPr="00EF57DF" w:rsidRDefault="006A65A2" w:rsidP="00A00C10">
                            <w:pPr>
                              <w:rPr>
                                <w:rStyle w:val="Hyperlink"/>
                                <w:rFonts w:ascii="Gotham Narrow Book" w:eastAsiaTheme="majorEastAsia" w:hAnsi="Gotham Narrow Book"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630A" id="Text Box 25" o:spid="_x0000_s1028" type="#_x0000_t202" style="position:absolute;left:0;text-align:left;margin-left:290.9pt;margin-top:0;width:167.35pt;height:186.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" filled="f" stroked="f" strokeweight=".5pt">
                <v:textbox>
                  <w:txbxContent>
                    <w:p w:rsidR="006A65A2" w:rsidRPr="00A00C10" w:rsidRDefault="006A65A2" w:rsidP="00DB33B3">
                      <w:pPr>
                        <w:pStyle w:val="Heading5"/>
                        <w:numPr>
                          <w:ilvl w:val="0"/>
                          <w:numId w:val="0"/>
                        </w:numPr>
                        <w:spacing w:before="120" w:after="120"/>
                        <w:rPr>
                          <w:rFonts w:ascii="Gotham Narrow Book" w:hAnsi="Gotham Narrow Book"/>
                          <w:color w:val="FFFFFF" w:themeColor="background1"/>
                          <w:sz w:val="24"/>
                          <w:szCs w:val="24"/>
                        </w:rPr>
                      </w:pPr>
                      <w:r w:rsidRPr="00A00C10">
                        <w:rPr>
                          <w:rFonts w:ascii="Gotham Narrow Book" w:hAnsi="Gotham Narrow Book"/>
                          <w:color w:val="FFFFFF" w:themeColor="background1"/>
                          <w:sz w:val="24"/>
                          <w:szCs w:val="24"/>
                        </w:rPr>
                        <w:t>1300 686 664</w:t>
                      </w:r>
                    </w:p>
                    <w:p w:rsidR="006A65A2" w:rsidRPr="00A00C10" w:rsidRDefault="00480B0E" w:rsidP="00DB33B3">
                      <w:pPr>
                        <w:pStyle w:val="Heading5"/>
                        <w:numPr>
                          <w:ilvl w:val="0"/>
                          <w:numId w:val="0"/>
                        </w:numPr>
                        <w:spacing w:before="120" w:after="120"/>
                        <w:rPr>
                          <w:rFonts w:ascii="Gotham Narrow Book" w:hAnsi="Gotham Narrow Book"/>
                          <w:color w:val="FFFFFF" w:themeColor="background1"/>
                          <w:sz w:val="24"/>
                          <w:szCs w:val="24"/>
                        </w:rPr>
                      </w:pPr>
                      <w:hyperlink r:id="rId43" w:history="1">
                        <w:r w:rsidR="006A65A2" w:rsidRPr="00A00C10">
                          <w:rPr>
                            <w:rStyle w:val="Hyperlink"/>
                            <w:rFonts w:ascii="Gotham Narrow Book" w:hAnsi="Gotham Narrow Book"/>
                            <w:color w:val="FFFFFF" w:themeColor="background1"/>
                            <w:sz w:val="24"/>
                          </w:rPr>
                          <w:t>measurementlawreview</w:t>
                        </w:r>
                        <w:r w:rsidR="006A65A2" w:rsidRPr="00A00C10">
                          <w:rPr>
                            <w:rStyle w:val="Hyperlink"/>
                            <w:rFonts w:ascii="Gotham Narrow Book" w:hAnsi="Gotham Narrow Book"/>
                            <w:color w:val="FFFFFF" w:themeColor="background1"/>
                            <w:sz w:val="24"/>
                          </w:rPr>
                          <w:br/>
                          <w:t>@industry.gov.au</w:t>
                        </w:r>
                      </w:hyperlink>
                      <w:r w:rsidR="006A65A2" w:rsidRPr="00A00C10">
                        <w:rPr>
                          <w:rFonts w:ascii="Gotham Narrow Book" w:hAnsi="Gotham Narrow Book"/>
                          <w:color w:val="FFFFFF" w:themeColor="background1"/>
                          <w:sz w:val="24"/>
                          <w:szCs w:val="24"/>
                        </w:rPr>
                        <w:t xml:space="preserve"> </w:t>
                      </w:r>
                    </w:p>
                    <w:p w:rsidR="006A65A2" w:rsidRPr="00A00C10" w:rsidRDefault="00480B0E" w:rsidP="00DB33B3">
                      <w:pPr>
                        <w:pStyle w:val="Heading5"/>
                        <w:numPr>
                          <w:ilvl w:val="0"/>
                          <w:numId w:val="0"/>
                        </w:numPr>
                        <w:spacing w:before="200" w:after="120"/>
                        <w:rPr>
                          <w:rFonts w:ascii="Gotham Narrow Book" w:hAnsi="Gotham Narrow Book"/>
                          <w:color w:val="FFFFFF" w:themeColor="background1"/>
                          <w:sz w:val="24"/>
                          <w:szCs w:val="24"/>
                        </w:rPr>
                      </w:pPr>
                      <w:hyperlink r:id="rId44" w:history="1">
                        <w:r w:rsidR="006A65A2" w:rsidRPr="00A00C10">
                          <w:rPr>
                            <w:rStyle w:val="Hyperlink"/>
                            <w:rFonts w:ascii="Gotham Narrow Book" w:hAnsi="Gotham Narrow Book"/>
                            <w:color w:val="FFFFFF" w:themeColor="background1"/>
                            <w:sz w:val="24"/>
                          </w:rPr>
                          <w:t>industry.gov.au/</w:t>
                        </w:r>
                        <w:r w:rsidR="006A65A2" w:rsidRPr="00A00C10">
                          <w:rPr>
                            <w:rStyle w:val="Hyperlink"/>
                            <w:rFonts w:ascii="Gotham Narrow Book" w:hAnsi="Gotham Narrow Book"/>
                            <w:color w:val="FFFFFF" w:themeColor="background1"/>
                            <w:sz w:val="24"/>
                          </w:rPr>
                          <w:br/>
                          <w:t>measurement-law-review</w:t>
                        </w:r>
                      </w:hyperlink>
                    </w:p>
                    <w:p w:rsidR="006A65A2" w:rsidRPr="00EF57DF" w:rsidRDefault="006A65A2" w:rsidP="0079202B">
                      <w:pPr>
                        <w:rPr>
                          <w:rStyle w:val="Hyperlink"/>
                          <w:color w:val="FFFFFF" w:themeColor="background1"/>
                        </w:rPr>
                      </w:pPr>
                      <w:r w:rsidRPr="00F5358B">
                        <w:rPr>
                          <w:rStyle w:val="Hyperlink"/>
                          <w:rFonts w:ascii="Gotham Narrow Book" w:eastAsiaTheme="majorEastAsia" w:hAnsi="Gotham Narrow Book" w:cstheme="majorBidi"/>
                          <w:color w:val="FFFFFF" w:themeColor="background1"/>
                          <w:sz w:val="24"/>
                          <w:szCs w:val="24"/>
                        </w:rPr>
                        <w:t>consult.industry.gov.au/</w:t>
                      </w:r>
                      <w:r w:rsidRPr="00F5358B">
                        <w:rPr>
                          <w:rStyle w:val="Hyperlink"/>
                          <w:rFonts w:ascii="Gotham Narrow Book" w:eastAsiaTheme="majorEastAsia" w:hAnsi="Gotham Narrow Book" w:cstheme="majorBidi"/>
                          <w:color w:val="FFFFFF" w:themeColor="background1"/>
                          <w:sz w:val="24"/>
                          <w:szCs w:val="24"/>
                        </w:rPr>
                        <w:br/>
                        <w:t>measurement-law-review/mlr-consultation-regulation-impact-statement/</w:t>
                      </w:r>
                    </w:p>
                    <w:p w:rsidR="006A65A2" w:rsidRPr="00EF57DF" w:rsidRDefault="006A65A2" w:rsidP="00A00C10">
                      <w:pPr>
                        <w:rPr>
                          <w:rStyle w:val="Hyperlink"/>
                          <w:color w:val="FFFFFF" w:themeColor="background1"/>
                        </w:rPr>
                      </w:pPr>
                    </w:p>
                    <w:p w:rsidR="006A65A2" w:rsidRPr="00EF57DF" w:rsidRDefault="006A65A2" w:rsidP="00A00C10">
                      <w:pPr>
                        <w:rPr>
                          <w:rStyle w:val="Hyperlink"/>
                          <w:rFonts w:ascii="Gotham Narrow Book" w:eastAsiaTheme="majorEastAsia" w:hAnsi="Gotham Narrow Book" w:cstheme="majorBidi"/>
                          <w:color w:val="FFFFFF" w:themeColor="background1"/>
                          <w:sz w:val="24"/>
                          <w:szCs w:val="24"/>
                        </w:rPr>
                      </w:pPr>
                    </w:p>
                  </w:txbxContent>
                </v:textbox>
                <w10:wrap anchorx="margin"/>
              </v:shape>
            </w:pict>
          </mc:Fallback>
        </mc:AlternateContent>
      </w:r>
      <w:r w:rsidRPr="006A74F8">
        <w:rPr>
          <w:noProof/>
          <w:color w:val="FFFFFF" w:themeColor="background1"/>
          <w:lang w:eastAsia="en-AU"/>
        </w:rPr>
        <w:drawing>
          <wp:anchor distT="0" distB="0" distL="114300" distR="114300" simplePos="0" relativeHeight="251658240" behindDoc="1" locked="0" layoutInCell="1" allowOverlap="1" wp14:anchorId="700E50D5" wp14:editId="7624DB93">
            <wp:simplePos x="0" y="0"/>
            <wp:positionH relativeFrom="page">
              <wp:align>right</wp:align>
            </wp:positionH>
            <wp:positionV relativeFrom="paragraph">
              <wp:posOffset>-889686</wp:posOffset>
            </wp:positionV>
            <wp:extent cx="7563600" cy="10695600"/>
            <wp:effectExtent l="0" t="0" r="0" b="0"/>
            <wp:wrapNone/>
            <wp:docPr id="24" name="Picture 24" descr="Blue cicles and beam design" title="end cover 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ack cover icons but no text.png"/>
                    <pic:cNvPicPr/>
                  </pic:nvPicPr>
                  <pic:blipFill>
                    <a:blip r:embed="rId45">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sectPr w:rsidR="00736357" w:rsidSect="00EC61D8">
      <w:pgSz w:w="11907" w:h="16840" w:code="9"/>
      <w:pgMar w:top="1440" w:right="1440" w:bottom="1440" w:left="1440"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FDC" w:rsidRDefault="00D42FDC" w:rsidP="00B251DB">
      <w:pPr>
        <w:spacing w:after="0" w:line="240" w:lineRule="auto"/>
      </w:pPr>
      <w:r>
        <w:separator/>
      </w:r>
    </w:p>
  </w:endnote>
  <w:endnote w:type="continuationSeparator" w:id="0">
    <w:p w:rsidR="00D42FDC" w:rsidRDefault="00D42FDC" w:rsidP="00B251DB">
      <w:pPr>
        <w:spacing w:after="0" w:line="240" w:lineRule="auto"/>
      </w:pPr>
      <w:r>
        <w:continuationSeparator/>
      </w:r>
    </w:p>
  </w:endnote>
  <w:endnote w:type="continuationNotice" w:id="1">
    <w:p w:rsidR="00D42FDC" w:rsidRDefault="00D42F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charset w:val="00"/>
    <w:family w:val="auto"/>
    <w:pitch w:val="variable"/>
    <w:sig w:usb0="00000000" w:usb1="C0007841" w:usb2="00000009" w:usb3="00000000" w:csb0="000001FF" w:csb1="00000000"/>
  </w:font>
  <w:font w:name="EYInterstate">
    <w:altName w:val="EY Interstate"/>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otham Narrow Book">
    <w:altName w:val="Arial"/>
    <w:panose1 w:val="00000000000000000000"/>
    <w:charset w:val="00"/>
    <w:family w:val="modern"/>
    <w:notTrueType/>
    <w:pitch w:val="variable"/>
    <w:sig w:usb0="A00000FF" w:usb1="40000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B0E" w:rsidRDefault="00480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5A2" w:rsidRDefault="006A65A2" w:rsidP="00FE1EE3">
    <w:pPr>
      <w:pStyle w:val="Footer"/>
      <w:jc w:val="right"/>
      <w:rPr>
        <w:noProof/>
      </w:rPr>
    </w:pPr>
    <w:r>
      <w:t>Reforming Australia’s Measurement Legislation - industry.gov.au</w:t>
    </w:r>
    <w:r>
      <w:tab/>
    </w:r>
    <w:sdt>
      <w:sdtPr>
        <w:id w:val="211917548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80B0E">
          <w:rPr>
            <w:noProof/>
          </w:rPr>
          <w:t>227</w:t>
        </w:r>
        <w:r>
          <w:rPr>
            <w:noProof/>
          </w:rPr>
          <w:fldChar w:fldCharType="end"/>
        </w:r>
      </w:sdtContent>
    </w:sdt>
  </w:p>
  <w:p w:rsidR="006A65A2" w:rsidRDefault="006A65A2" w:rsidP="00FE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5A2" w:rsidRDefault="006A65A2" w:rsidP="00116AF3">
    <w:pPr>
      <w:pStyle w:val="Footer"/>
      <w:jc w:val="right"/>
      <w:rPr>
        <w:noProof/>
      </w:rPr>
    </w:pPr>
    <w:r>
      <w:t>Reforming Australia’s Measurement Legislation - industry.gov.au</w:t>
    </w:r>
    <w:r>
      <w:tab/>
    </w:r>
    <w:sdt>
      <w:sdtPr>
        <w:id w:val="9194464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80B0E">
          <w:rPr>
            <w:noProof/>
          </w:rPr>
          <w:t>1</w:t>
        </w:r>
        <w:r>
          <w:rPr>
            <w:noProof/>
          </w:rPr>
          <w:fldChar w:fldCharType="end"/>
        </w:r>
      </w:sdtContent>
    </w:sdt>
  </w:p>
  <w:p w:rsidR="006A65A2" w:rsidRDefault="006A65A2" w:rsidP="00E87B3B">
    <w:pPr>
      <w:pStyle w:val="Footer"/>
      <w:tabs>
        <w:tab w:val="clear" w:pos="4513"/>
        <w:tab w:val="clear" w:pos="9026"/>
        <w:tab w:val="left" w:pos="5229"/>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FDC" w:rsidRDefault="00D42FDC" w:rsidP="00B251DB">
      <w:pPr>
        <w:spacing w:after="0" w:line="240" w:lineRule="auto"/>
      </w:pPr>
      <w:r>
        <w:separator/>
      </w:r>
    </w:p>
  </w:footnote>
  <w:footnote w:type="continuationSeparator" w:id="0">
    <w:p w:rsidR="00D42FDC" w:rsidRDefault="00D42FDC" w:rsidP="00B251DB">
      <w:pPr>
        <w:spacing w:after="0" w:line="240" w:lineRule="auto"/>
      </w:pPr>
      <w:r>
        <w:continuationSeparator/>
      </w:r>
    </w:p>
  </w:footnote>
  <w:footnote w:type="continuationNotice" w:id="1">
    <w:p w:rsidR="00D42FDC" w:rsidRDefault="00D42FDC">
      <w:pPr>
        <w:spacing w:after="0" w:line="240" w:lineRule="auto"/>
      </w:pPr>
    </w:p>
  </w:footnote>
  <w:footnote w:id="2">
    <w:p w:rsidR="006A65A2" w:rsidRPr="003E26E6" w:rsidRDefault="006A65A2" w:rsidP="005C4638">
      <w:pPr>
        <w:pStyle w:val="FootnoteText"/>
        <w:rPr>
          <w:rFonts w:ascii="Calibri" w:hAnsi="Calibri" w:cs="Calibri"/>
        </w:rPr>
      </w:pPr>
      <w:r>
        <w:rPr>
          <w:rStyle w:val="FootnoteReference"/>
        </w:rPr>
        <w:footnoteRef/>
      </w:r>
      <w:r w:rsidRPr="001C55F4">
        <w:rPr>
          <w:rFonts w:ascii="Calibri" w:hAnsi="Calibri" w:cs="Calibri"/>
        </w:rPr>
        <w:t xml:space="preserve"> A glossary covering key ter</w:t>
      </w:r>
      <w:r>
        <w:rPr>
          <w:rFonts w:ascii="Calibri" w:hAnsi="Calibri" w:cs="Calibri"/>
        </w:rPr>
        <w:t xml:space="preserve">ms can be found at Appendix 1. </w:t>
      </w:r>
      <w:r w:rsidRPr="001C55F4">
        <w:rPr>
          <w:rFonts w:ascii="Calibri" w:hAnsi="Calibri" w:cs="Calibri"/>
          <w:b/>
          <w:i/>
        </w:rPr>
        <w:t>Traceability</w:t>
      </w:r>
      <w:r w:rsidRPr="001C55F4">
        <w:rPr>
          <w:rFonts w:ascii="Calibri" w:hAnsi="Calibri" w:cs="Calibri"/>
        </w:rPr>
        <w:t xml:space="preserve"> is defined by the as: the property of a </w:t>
      </w:r>
      <w:r w:rsidRPr="001C55F4">
        <w:rPr>
          <w:rFonts w:ascii="Calibri" w:hAnsi="Calibri" w:cs="Calibri"/>
          <w:b/>
        </w:rPr>
        <w:t xml:space="preserve">measurement result </w:t>
      </w:r>
      <w:r w:rsidRPr="001C55F4">
        <w:rPr>
          <w:rFonts w:ascii="Calibri" w:hAnsi="Calibri" w:cs="Calibri"/>
        </w:rPr>
        <w:t xml:space="preserve">whereby the result can be related to a reference through a documented unbroken chain of </w:t>
      </w:r>
      <w:r w:rsidRPr="001C55F4">
        <w:rPr>
          <w:rFonts w:ascii="Calibri" w:hAnsi="Calibri" w:cs="Calibri"/>
          <w:b/>
        </w:rPr>
        <w:t>calibrations</w:t>
      </w:r>
      <w:r w:rsidRPr="001C55F4">
        <w:rPr>
          <w:rFonts w:ascii="Calibri" w:hAnsi="Calibri" w:cs="Calibri"/>
        </w:rPr>
        <w:t xml:space="preserve">, each contributing to the </w:t>
      </w:r>
      <w:r w:rsidRPr="001C55F4">
        <w:rPr>
          <w:rFonts w:ascii="Calibri" w:hAnsi="Calibri" w:cs="Calibri"/>
          <w:b/>
        </w:rPr>
        <w:t>measurement uncertainty</w:t>
      </w:r>
      <w:r w:rsidRPr="001C55F4">
        <w:rPr>
          <w:rFonts w:ascii="Calibri" w:hAnsi="Calibri" w:cs="Calibri"/>
        </w:rPr>
        <w:t>.</w:t>
      </w:r>
    </w:p>
  </w:footnote>
  <w:footnote w:id="3">
    <w:p w:rsidR="006A65A2" w:rsidRDefault="006A65A2" w:rsidP="00225987">
      <w:pPr>
        <w:pStyle w:val="FootnoteText"/>
      </w:pPr>
      <w:r>
        <w:rPr>
          <w:rStyle w:val="FootnoteReference"/>
        </w:rPr>
        <w:footnoteRef/>
      </w:r>
      <w:r>
        <w:t xml:space="preserve"> </w:t>
      </w:r>
      <w:r w:rsidRPr="001C55F4">
        <w:rPr>
          <w:rFonts w:ascii="Calibri" w:hAnsi="Calibri" w:cs="Calibri"/>
          <w:szCs w:val="16"/>
        </w:rPr>
        <w:t xml:space="preserve">Authorised third parties </w:t>
      </w:r>
      <w:r>
        <w:rPr>
          <w:rFonts w:ascii="Calibri" w:hAnsi="Calibri" w:cs="Calibri"/>
          <w:szCs w:val="16"/>
        </w:rPr>
        <w:t xml:space="preserve">(ATPs) </w:t>
      </w:r>
      <w:r w:rsidRPr="001C55F4">
        <w:rPr>
          <w:rFonts w:ascii="Calibri" w:hAnsi="Calibri" w:cs="Calibri"/>
          <w:szCs w:val="16"/>
        </w:rPr>
        <w:t xml:space="preserve">are businesses which are appointed or licensed under the measurement legislation to perform a particular measurement service. These include servicing licensees, </w:t>
      </w:r>
      <w:r>
        <w:rPr>
          <w:rFonts w:ascii="Calibri" w:hAnsi="Calibri" w:cs="Calibri"/>
          <w:szCs w:val="16"/>
        </w:rPr>
        <w:t>utility meter verifiers</w:t>
      </w:r>
      <w:r w:rsidRPr="001C55F4">
        <w:rPr>
          <w:rFonts w:ascii="Calibri" w:hAnsi="Calibri" w:cs="Calibri"/>
          <w:szCs w:val="16"/>
        </w:rPr>
        <w:t xml:space="preserve">, </w:t>
      </w:r>
      <w:r>
        <w:rPr>
          <w:rFonts w:ascii="Calibri" w:hAnsi="Calibri" w:cs="Calibri"/>
          <w:szCs w:val="16"/>
        </w:rPr>
        <w:t>public weighbridge</w:t>
      </w:r>
      <w:r w:rsidRPr="001C55F4">
        <w:rPr>
          <w:rFonts w:ascii="Calibri" w:hAnsi="Calibri" w:cs="Calibri"/>
          <w:szCs w:val="16"/>
        </w:rPr>
        <w:t xml:space="preserve"> operators and </w:t>
      </w:r>
      <w:r>
        <w:rPr>
          <w:rFonts w:ascii="Calibri" w:hAnsi="Calibri" w:cs="Calibri"/>
          <w:szCs w:val="16"/>
        </w:rPr>
        <w:t>Legal Metrology Authorities.</w:t>
      </w:r>
    </w:p>
  </w:footnote>
  <w:footnote w:id="4">
    <w:p w:rsidR="006A65A2" w:rsidRPr="001C55F4" w:rsidRDefault="006A65A2" w:rsidP="00BA4A4B">
      <w:pPr>
        <w:pStyle w:val="FootnoteText"/>
        <w:rPr>
          <w:rFonts w:ascii="Calibri" w:hAnsi="Calibri" w:cs="Calibri"/>
          <w:szCs w:val="18"/>
        </w:rPr>
      </w:pPr>
      <w:r>
        <w:rPr>
          <w:rStyle w:val="FootnoteReference"/>
        </w:rPr>
        <w:footnoteRef/>
      </w:r>
      <w:r w:rsidRPr="001C55F4">
        <w:rPr>
          <w:rFonts w:ascii="Calibri" w:hAnsi="Calibri" w:cs="Calibri"/>
          <w:szCs w:val="18"/>
        </w:rPr>
        <w:t xml:space="preserve"> Australia’s measurement legislation </w:t>
      </w:r>
      <w:r>
        <w:rPr>
          <w:rFonts w:ascii="Calibri" w:hAnsi="Calibri" w:cs="Calibri"/>
          <w:szCs w:val="18"/>
        </w:rPr>
        <w:t>consists</w:t>
      </w:r>
      <w:r w:rsidRPr="001C55F4">
        <w:rPr>
          <w:rFonts w:ascii="Calibri" w:hAnsi="Calibri" w:cs="Calibri"/>
          <w:szCs w:val="18"/>
        </w:rPr>
        <w:t xml:space="preserve"> of the </w:t>
      </w:r>
      <w:r w:rsidRPr="00335971">
        <w:rPr>
          <w:rFonts w:ascii="Calibri" w:hAnsi="Calibri" w:cs="Calibri"/>
          <w:i/>
          <w:szCs w:val="18"/>
        </w:rPr>
        <w:t>National Measurement Act 1960</w:t>
      </w:r>
      <w:r w:rsidRPr="001C55F4">
        <w:rPr>
          <w:rFonts w:ascii="Calibri" w:hAnsi="Calibri" w:cs="Calibri"/>
          <w:szCs w:val="18"/>
        </w:rPr>
        <w:t xml:space="preserve">, the </w:t>
      </w:r>
      <w:r w:rsidRPr="00335971">
        <w:rPr>
          <w:rFonts w:ascii="Calibri" w:hAnsi="Calibri" w:cs="Calibri"/>
          <w:i/>
          <w:szCs w:val="18"/>
        </w:rPr>
        <w:t>National Measurement Regulations 1999</w:t>
      </w:r>
      <w:r w:rsidRPr="001C55F4">
        <w:rPr>
          <w:rFonts w:ascii="Calibri" w:hAnsi="Calibri" w:cs="Calibri"/>
          <w:szCs w:val="18"/>
        </w:rPr>
        <w:t xml:space="preserve">, the </w:t>
      </w:r>
      <w:r w:rsidRPr="00335971">
        <w:rPr>
          <w:rFonts w:ascii="Calibri" w:hAnsi="Calibri" w:cs="Calibri"/>
          <w:i/>
          <w:szCs w:val="18"/>
        </w:rPr>
        <w:t>National Trade Measurement Regulations 2009</w:t>
      </w:r>
      <w:r w:rsidRPr="001C55F4">
        <w:rPr>
          <w:rFonts w:ascii="Calibri" w:hAnsi="Calibri" w:cs="Calibri"/>
          <w:szCs w:val="18"/>
        </w:rPr>
        <w:t xml:space="preserve"> and the </w:t>
      </w:r>
      <w:r w:rsidRPr="00335971">
        <w:rPr>
          <w:rFonts w:ascii="Calibri" w:hAnsi="Calibri" w:cs="Calibri"/>
          <w:i/>
          <w:szCs w:val="18"/>
        </w:rPr>
        <w:t>National Measurement Guidelines 2016</w:t>
      </w:r>
      <w:r w:rsidRPr="001C55F4">
        <w:rPr>
          <w:rFonts w:ascii="Calibri" w:hAnsi="Calibri" w:cs="Calibri"/>
          <w:szCs w:val="18"/>
        </w:rPr>
        <w:t xml:space="preserve">.  </w:t>
      </w:r>
    </w:p>
  </w:footnote>
  <w:footnote w:id="5">
    <w:p w:rsidR="006A65A2" w:rsidRPr="001C55F4" w:rsidRDefault="006A65A2">
      <w:pPr>
        <w:pStyle w:val="FootnoteText"/>
        <w:rPr>
          <w:rFonts w:ascii="Calibri" w:hAnsi="Calibri" w:cs="Calibri"/>
          <w:szCs w:val="18"/>
        </w:rPr>
      </w:pPr>
      <w:r>
        <w:rPr>
          <w:rStyle w:val="FootnoteReference"/>
        </w:rPr>
        <w:footnoteRef/>
      </w:r>
      <w:r w:rsidRPr="001C55F4">
        <w:rPr>
          <w:rFonts w:ascii="Calibri" w:hAnsi="Calibri" w:cs="Calibri"/>
          <w:szCs w:val="18"/>
        </w:rPr>
        <w:t xml:space="preserve"> Trade measurement refers to buying and selling of goods and services where the value is determined by measurement.</w:t>
      </w:r>
    </w:p>
  </w:footnote>
  <w:footnote w:id="6">
    <w:p w:rsidR="006A65A2" w:rsidRPr="001C55F4" w:rsidRDefault="006A65A2" w:rsidP="006E137F">
      <w:pPr>
        <w:pStyle w:val="FootnoteText"/>
        <w:rPr>
          <w:rFonts w:ascii="Calibri" w:hAnsi="Calibri" w:cs="Calibri"/>
          <w:szCs w:val="18"/>
        </w:rPr>
      </w:pPr>
      <w:r w:rsidRPr="001C55F4">
        <w:rPr>
          <w:rStyle w:val="FootnoteReference"/>
          <w:rFonts w:cs="Calibri"/>
          <w:szCs w:val="18"/>
        </w:rPr>
        <w:footnoteRef/>
      </w:r>
      <w:r w:rsidRPr="001C55F4">
        <w:rPr>
          <w:rFonts w:ascii="Calibri" w:hAnsi="Calibri" w:cs="Calibri"/>
          <w:szCs w:val="18"/>
        </w:rPr>
        <w:t xml:space="preserve"> S</w:t>
      </w:r>
      <w:r w:rsidRPr="001C55F4">
        <w:rPr>
          <w:rStyle w:val="normaltextrun1"/>
          <w:rFonts w:ascii="Calibri" w:hAnsi="Calibri" w:cs="Calibri"/>
          <w:color w:val="000000"/>
          <w:szCs w:val="18"/>
        </w:rPr>
        <w:t>ufficiently close to the true value of the thing being measured.</w:t>
      </w:r>
    </w:p>
  </w:footnote>
  <w:footnote w:id="7">
    <w:p w:rsidR="006A65A2" w:rsidRDefault="006A65A2" w:rsidP="006E137F">
      <w:pPr>
        <w:pStyle w:val="FootnoteText"/>
      </w:pPr>
      <w:r w:rsidRPr="001C55F4">
        <w:rPr>
          <w:rStyle w:val="FootnoteReference"/>
          <w:rFonts w:cs="Calibri"/>
          <w:szCs w:val="18"/>
        </w:rPr>
        <w:footnoteRef/>
      </w:r>
      <w:r w:rsidRPr="001C55F4">
        <w:rPr>
          <w:rFonts w:ascii="Calibri" w:hAnsi="Calibri" w:cs="Calibri"/>
          <w:szCs w:val="18"/>
        </w:rPr>
        <w:t xml:space="preserve"> Having a trusted and consistent level of accuracy for each measurement result.</w:t>
      </w:r>
    </w:p>
  </w:footnote>
  <w:footnote w:id="8">
    <w:p w:rsidR="006A65A2" w:rsidRPr="001C55F4" w:rsidRDefault="006A65A2" w:rsidP="00BE6F5C">
      <w:pPr>
        <w:pStyle w:val="FootnoteText"/>
        <w:rPr>
          <w:rFonts w:ascii="Calibri" w:hAnsi="Calibri" w:cs="Calibri"/>
        </w:rPr>
      </w:pPr>
      <w:r>
        <w:rPr>
          <w:rStyle w:val="FootnoteReference"/>
        </w:rPr>
        <w:footnoteRef/>
      </w:r>
      <w:r w:rsidRPr="001C55F4">
        <w:rPr>
          <w:rFonts w:ascii="Calibri" w:hAnsi="Calibri" w:cs="Calibri"/>
        </w:rPr>
        <w:t xml:space="preserve"> Under the International Organization of Legal Metrology (OIML) Convention and the Metre Treaty</w:t>
      </w:r>
      <w:r>
        <w:rPr>
          <w:rFonts w:ascii="Calibri" w:hAnsi="Calibri" w:cs="Calibri"/>
        </w:rPr>
        <w:t>.</w:t>
      </w:r>
    </w:p>
  </w:footnote>
  <w:footnote w:id="9">
    <w:p w:rsidR="006A65A2" w:rsidRDefault="006A65A2" w:rsidP="00BE6F5C">
      <w:pPr>
        <w:pStyle w:val="FootnoteText"/>
      </w:pPr>
      <w:r>
        <w:rPr>
          <w:rStyle w:val="FootnoteReference"/>
        </w:rPr>
        <w:footnoteRef/>
      </w:r>
      <w:r w:rsidRPr="001C55F4">
        <w:rPr>
          <w:rFonts w:ascii="Calibri" w:hAnsi="Calibri" w:cs="Calibri"/>
        </w:rPr>
        <w:t xml:space="preserve"> The term ‘measurement</w:t>
      </w:r>
      <w:r>
        <w:rPr>
          <w:rFonts w:ascii="Calibri" w:hAnsi="Calibri" w:cs="Calibri"/>
        </w:rPr>
        <w:t xml:space="preserve"> standard</w:t>
      </w:r>
      <w:r w:rsidRPr="001C55F4">
        <w:rPr>
          <w:rFonts w:ascii="Calibri" w:hAnsi="Calibri" w:cs="Calibri"/>
        </w:rPr>
        <w:t>’ includes measuring devices, instruments, systems and formulae</w:t>
      </w:r>
      <w:r>
        <w:rPr>
          <w:rFonts w:ascii="Calibri" w:hAnsi="Calibri" w:cs="Calibri"/>
        </w:rPr>
        <w:t>. Defined as a ‘</w:t>
      </w:r>
      <w:r>
        <w:rPr>
          <w:rFonts w:ascii="Calibri" w:hAnsi="Calibri" w:cs="Calibri"/>
          <w:i/>
        </w:rPr>
        <w:t>standard of measurement</w:t>
      </w:r>
      <w:r>
        <w:rPr>
          <w:rFonts w:ascii="Calibri" w:hAnsi="Calibri" w:cs="Calibri"/>
        </w:rPr>
        <w:t>’ in the current measurement legislation.  . For example, an atomic clock is a standard of measurement which ‘realises’ (makes real, or implements in practice) the international definition of the second as a unit of measurement.</w:t>
      </w:r>
    </w:p>
  </w:footnote>
  <w:footnote w:id="10">
    <w:p w:rsidR="006A65A2" w:rsidRPr="003E26E6" w:rsidRDefault="006A65A2" w:rsidP="008B3C9E">
      <w:pPr>
        <w:pStyle w:val="CommentText"/>
        <w:rPr>
          <w:rFonts w:ascii="Calibri" w:hAnsi="Calibri" w:cs="Calibri"/>
          <w:sz w:val="16"/>
        </w:rPr>
      </w:pPr>
      <w:r w:rsidRPr="008B3C9E">
        <w:rPr>
          <w:rStyle w:val="FootnoteReference"/>
        </w:rPr>
        <w:footnoteRef/>
      </w:r>
      <w:r w:rsidRPr="001C55F4">
        <w:rPr>
          <w:rFonts w:ascii="Calibri" w:hAnsi="Calibri" w:cs="Calibri"/>
        </w:rPr>
        <w:t xml:space="preserve"> </w:t>
      </w:r>
      <w:r w:rsidRPr="001C55F4">
        <w:rPr>
          <w:rFonts w:ascii="Calibri" w:hAnsi="Calibri" w:cs="Calibri"/>
          <w:sz w:val="16"/>
        </w:rPr>
        <w:t>New and innovative measuring instruments may use new technologies, measure new quantities, measure multiple parameters simultaneously, or relate to innovative applications and business models.</w:t>
      </w:r>
    </w:p>
  </w:footnote>
  <w:footnote w:id="11">
    <w:p w:rsidR="006A65A2" w:rsidRPr="001C55F4" w:rsidRDefault="006A65A2">
      <w:pPr>
        <w:pStyle w:val="FootnoteText"/>
        <w:rPr>
          <w:rFonts w:ascii="Calibri" w:hAnsi="Calibri" w:cs="Calibri"/>
          <w:szCs w:val="16"/>
        </w:rPr>
      </w:pPr>
      <w:r>
        <w:rPr>
          <w:rStyle w:val="FootnoteReference"/>
        </w:rPr>
        <w:footnoteRef/>
      </w:r>
      <w:r w:rsidRPr="001C55F4">
        <w:rPr>
          <w:rFonts w:ascii="Calibri" w:hAnsi="Calibri" w:cs="Calibri"/>
          <w:szCs w:val="16"/>
        </w:rPr>
        <w:t xml:space="preserve"> Instruments are considered to be used for trade (and therefore needing to be approved) where the measurement from the instrument is being used to determine the price of a transaction or the amount of a tax or tax credit: s 3 </w:t>
      </w:r>
      <w:r w:rsidRPr="009B28B1">
        <w:rPr>
          <w:rFonts w:ascii="Calibri" w:hAnsi="Calibri" w:cs="Calibri"/>
          <w:i/>
          <w:szCs w:val="16"/>
        </w:rPr>
        <w:t>National Measurement Act 1960</w:t>
      </w:r>
      <w:r>
        <w:rPr>
          <w:rFonts w:ascii="Calibri" w:hAnsi="Calibri" w:cs="Calibri"/>
          <w:i/>
          <w:szCs w:val="16"/>
        </w:rPr>
        <w:t>.</w:t>
      </w:r>
    </w:p>
  </w:footnote>
  <w:footnote w:id="12">
    <w:p w:rsidR="006A65A2" w:rsidRPr="001C55F4" w:rsidRDefault="006A65A2" w:rsidP="006E137F">
      <w:pPr>
        <w:pStyle w:val="FootnoteText"/>
        <w:rPr>
          <w:rFonts w:ascii="Calibri" w:hAnsi="Calibri" w:cs="Calibri"/>
          <w:szCs w:val="16"/>
        </w:rPr>
      </w:pPr>
      <w:r>
        <w:rPr>
          <w:rStyle w:val="FootnoteReference"/>
        </w:rPr>
        <w:footnoteRef/>
      </w:r>
      <w:r w:rsidRPr="001C55F4">
        <w:rPr>
          <w:rFonts w:ascii="Calibri" w:hAnsi="Calibri" w:cs="Calibri"/>
          <w:szCs w:val="16"/>
        </w:rPr>
        <w:t xml:space="preserve"> Pattern approval is where an impartial body examines the design of an instrument prototype against our national or international </w:t>
      </w:r>
      <w:r>
        <w:rPr>
          <w:rFonts w:ascii="Calibri" w:hAnsi="Calibri" w:cs="Calibri"/>
          <w:szCs w:val="16"/>
        </w:rPr>
        <w:t xml:space="preserve">documentary </w:t>
      </w:r>
      <w:r w:rsidRPr="001C55F4">
        <w:rPr>
          <w:rFonts w:ascii="Calibri" w:hAnsi="Calibri" w:cs="Calibri"/>
          <w:szCs w:val="16"/>
        </w:rPr>
        <w:t>standards. This determines the measurement accuracy of the instrument and whether the instrument retains this accuracy under a range of environmental and operating conditions</w:t>
      </w:r>
      <w:r>
        <w:rPr>
          <w:rFonts w:ascii="Calibri" w:hAnsi="Calibri" w:cs="Calibri"/>
          <w:szCs w:val="16"/>
        </w:rPr>
        <w:t>.</w:t>
      </w:r>
    </w:p>
  </w:footnote>
  <w:footnote w:id="13">
    <w:p w:rsidR="006A65A2" w:rsidRPr="001C55F4" w:rsidRDefault="006A65A2" w:rsidP="00FE45E6">
      <w:pPr>
        <w:pStyle w:val="FootnoteText"/>
        <w:rPr>
          <w:rFonts w:ascii="Calibri" w:hAnsi="Calibri" w:cs="Calibri"/>
          <w:szCs w:val="16"/>
        </w:rPr>
      </w:pPr>
      <w:r>
        <w:rPr>
          <w:rStyle w:val="FootnoteReference"/>
        </w:rPr>
        <w:footnoteRef/>
      </w:r>
      <w:r w:rsidRPr="001C55F4">
        <w:rPr>
          <w:rFonts w:ascii="Calibri" w:hAnsi="Calibri" w:cs="Calibri"/>
          <w:szCs w:val="16"/>
        </w:rPr>
        <w:t xml:space="preserve"> The verification process includes testing the accuracy of an instrument and affixing a verification mark if the instrument is operating within appropriate error limits. For more information regarding verification of instruments use</w:t>
      </w:r>
      <w:r>
        <w:rPr>
          <w:rFonts w:ascii="Calibri" w:hAnsi="Calibri" w:cs="Calibri"/>
          <w:szCs w:val="16"/>
        </w:rPr>
        <w:t>d</w:t>
      </w:r>
      <w:r w:rsidRPr="001C55F4">
        <w:rPr>
          <w:rFonts w:ascii="Calibri" w:hAnsi="Calibri" w:cs="Calibri"/>
          <w:szCs w:val="16"/>
        </w:rPr>
        <w:t xml:space="preserve"> for trade, see: </w:t>
      </w:r>
      <w:hyperlink r:id="rId1" w:history="1">
        <w:r w:rsidRPr="001C55F4">
          <w:rPr>
            <w:rStyle w:val="Hyperlink"/>
            <w:rFonts w:ascii="Calibri" w:hAnsi="Calibri" w:cs="Calibri"/>
            <w:szCs w:val="16"/>
          </w:rPr>
          <w:t>https://www.industry.gov.au/regulations-and-standards/servicing-licensees/verifying-measuring-instruments-for-trade</w:t>
        </w:r>
      </w:hyperlink>
    </w:p>
  </w:footnote>
  <w:footnote w:id="14">
    <w:p w:rsidR="006A65A2" w:rsidRDefault="006A65A2">
      <w:pPr>
        <w:pStyle w:val="FootnoteText"/>
      </w:pPr>
      <w:r>
        <w:rPr>
          <w:rStyle w:val="FootnoteReference"/>
        </w:rPr>
        <w:footnoteRef/>
      </w:r>
      <w:r>
        <w:t xml:space="preserve"> </w:t>
      </w:r>
      <w:r w:rsidRPr="006F130E">
        <w:rPr>
          <w:rFonts w:ascii="Calibri" w:hAnsi="Calibri" w:cs="Calibri"/>
        </w:rPr>
        <w:t xml:space="preserve">The Australian ‘primary standards’ refer to standards of measurement of the highest accuracy </w:t>
      </w:r>
      <w:r>
        <w:rPr>
          <w:rFonts w:ascii="Calibri" w:hAnsi="Calibri" w:cs="Calibri"/>
        </w:rPr>
        <w:t xml:space="preserve">that are traceable to the SI and </w:t>
      </w:r>
      <w:r w:rsidRPr="006F130E">
        <w:rPr>
          <w:rFonts w:ascii="Calibri" w:hAnsi="Calibri" w:cs="Calibri"/>
        </w:rPr>
        <w:t xml:space="preserve">have been internationally compared and </w:t>
      </w:r>
      <w:r>
        <w:rPr>
          <w:rFonts w:ascii="Calibri" w:hAnsi="Calibri" w:cs="Calibri"/>
        </w:rPr>
        <w:t>recognised</w:t>
      </w:r>
      <w:r w:rsidRPr="006F130E">
        <w:rPr>
          <w:rFonts w:ascii="Calibri" w:hAnsi="Calibri" w:cs="Calibri"/>
        </w:rPr>
        <w:t xml:space="preserve">. Knowing the accuracy of </w:t>
      </w:r>
      <w:r>
        <w:rPr>
          <w:rFonts w:ascii="Calibri" w:hAnsi="Calibri" w:cs="Calibri"/>
        </w:rPr>
        <w:t>a primary</w:t>
      </w:r>
      <w:r w:rsidRPr="006F130E">
        <w:rPr>
          <w:rFonts w:ascii="Calibri" w:hAnsi="Calibri" w:cs="Calibri"/>
        </w:rPr>
        <w:t xml:space="preserve"> </w:t>
      </w:r>
      <w:r>
        <w:rPr>
          <w:rFonts w:ascii="Calibri" w:hAnsi="Calibri" w:cs="Calibri"/>
        </w:rPr>
        <w:t xml:space="preserve">measurement </w:t>
      </w:r>
      <w:r w:rsidRPr="006F130E">
        <w:rPr>
          <w:rFonts w:ascii="Calibri" w:hAnsi="Calibri" w:cs="Calibri"/>
        </w:rPr>
        <w:t>standard becomes important to ensure that it is accurate enough to calibrate a reference weight used to verify a weighing instrument</w:t>
      </w:r>
      <w:r>
        <w:rPr>
          <w:rFonts w:ascii="Calibri" w:hAnsi="Calibri" w:cs="Calibri"/>
        </w:rPr>
        <w:t>.</w:t>
      </w:r>
    </w:p>
  </w:footnote>
  <w:footnote w:id="15">
    <w:p w:rsidR="006A65A2" w:rsidRPr="00CC2913" w:rsidRDefault="006A65A2" w:rsidP="00236856">
      <w:pPr>
        <w:spacing w:before="60" w:after="60"/>
        <w:rPr>
          <w:sz w:val="16"/>
          <w:szCs w:val="16"/>
        </w:rPr>
      </w:pPr>
      <w:r w:rsidRPr="00CC2913">
        <w:rPr>
          <w:rStyle w:val="FootnoteReference"/>
          <w:sz w:val="16"/>
          <w:szCs w:val="16"/>
        </w:rPr>
        <w:footnoteRef/>
      </w:r>
      <w:r w:rsidRPr="00BC21AD">
        <w:rPr>
          <w:rFonts w:cstheme="minorHAnsi"/>
          <w:sz w:val="16"/>
          <w:szCs w:val="16"/>
        </w:rPr>
        <w:t xml:space="preserve"> </w:t>
      </w:r>
      <w:hyperlink r:id="rId2" w:history="1">
        <w:r w:rsidRPr="00BC21AD">
          <w:rPr>
            <w:rStyle w:val="Hyperlink"/>
            <w:rFonts w:cstheme="minorHAnsi"/>
            <w:sz w:val="16"/>
            <w:szCs w:val="16"/>
          </w:rPr>
          <w:t>https://www.nist.gov/noac</w:t>
        </w:r>
      </w:hyperlink>
      <w:r>
        <w:rPr>
          <w:rFonts w:cstheme="minorHAnsi"/>
          <w:sz w:val="16"/>
          <w:szCs w:val="16"/>
        </w:rPr>
        <w:t xml:space="preserve"> </w:t>
      </w:r>
    </w:p>
  </w:footnote>
  <w:footnote w:id="16">
    <w:p w:rsidR="006A65A2" w:rsidRPr="001C55F4" w:rsidRDefault="006A65A2">
      <w:pPr>
        <w:pStyle w:val="FootnoteText"/>
        <w:rPr>
          <w:rFonts w:ascii="Calibri" w:hAnsi="Calibri" w:cs="Calibri"/>
          <w:szCs w:val="16"/>
        </w:rPr>
      </w:pPr>
      <w:r>
        <w:rPr>
          <w:rStyle w:val="FootnoteReference"/>
        </w:rPr>
        <w:footnoteRef/>
      </w:r>
      <w:r w:rsidRPr="001C55F4">
        <w:rPr>
          <w:rFonts w:ascii="Calibri" w:hAnsi="Calibri" w:cs="Calibri"/>
          <w:szCs w:val="16"/>
        </w:rPr>
        <w:t xml:space="preserve"> Principles-based regulation involves imposing outcome based requirements without specifying exactly how these outcomes must be achieved.</w:t>
      </w:r>
    </w:p>
  </w:footnote>
  <w:footnote w:id="17">
    <w:p w:rsidR="006A65A2" w:rsidRPr="001C55F4" w:rsidRDefault="006A65A2" w:rsidP="00DD4F47">
      <w:pPr>
        <w:pStyle w:val="FootnoteText"/>
        <w:keepNext/>
        <w:spacing w:before="0" w:after="0"/>
        <w:rPr>
          <w:rFonts w:ascii="Calibri" w:hAnsi="Calibri" w:cs="Calibri"/>
          <w:szCs w:val="16"/>
        </w:rPr>
      </w:pPr>
      <w:r>
        <w:rPr>
          <w:rStyle w:val="FootnoteReference"/>
        </w:rPr>
        <w:footnoteRef/>
      </w:r>
      <w:r w:rsidRPr="001C55F4">
        <w:rPr>
          <w:rFonts w:ascii="Calibri" w:hAnsi="Calibri" w:cs="Calibri"/>
          <w:szCs w:val="16"/>
        </w:rPr>
        <w:t xml:space="preserve"> This includes:</w:t>
      </w:r>
    </w:p>
    <w:p w:rsidR="006A65A2" w:rsidRPr="001C55F4" w:rsidRDefault="006A65A2" w:rsidP="00DD4F47">
      <w:pPr>
        <w:pStyle w:val="FootnoteText"/>
        <w:keepNext/>
        <w:numPr>
          <w:ilvl w:val="0"/>
          <w:numId w:val="3"/>
        </w:numPr>
        <w:spacing w:before="0" w:after="0"/>
        <w:ind w:left="714" w:hanging="357"/>
        <w:rPr>
          <w:rFonts w:ascii="Calibri" w:hAnsi="Calibri" w:cs="Calibri"/>
          <w:szCs w:val="16"/>
        </w:rPr>
      </w:pPr>
      <w:r w:rsidRPr="001C55F4">
        <w:rPr>
          <w:rFonts w:ascii="Calibri" w:hAnsi="Calibri" w:cs="Calibri"/>
          <w:szCs w:val="16"/>
        </w:rPr>
        <w:t>The requirement to use trade approved and verified measuring instruments for weighing loose products at the point of sale, but not for packaged goods</w:t>
      </w:r>
      <w:r>
        <w:rPr>
          <w:rFonts w:ascii="Calibri" w:hAnsi="Calibri" w:cs="Calibri"/>
          <w:szCs w:val="16"/>
        </w:rPr>
        <w:t>.</w:t>
      </w:r>
    </w:p>
    <w:p w:rsidR="006A65A2" w:rsidRPr="001C55F4" w:rsidRDefault="006A65A2" w:rsidP="00DD4F47">
      <w:pPr>
        <w:pStyle w:val="FootnoteText"/>
        <w:keepNext/>
        <w:numPr>
          <w:ilvl w:val="0"/>
          <w:numId w:val="3"/>
        </w:numPr>
        <w:spacing w:before="0" w:after="0"/>
        <w:ind w:left="714" w:hanging="357"/>
        <w:contextualSpacing/>
        <w:rPr>
          <w:rFonts w:ascii="Calibri" w:hAnsi="Calibri" w:cs="Calibri"/>
          <w:szCs w:val="16"/>
        </w:rPr>
      </w:pPr>
      <w:r w:rsidRPr="001C55F4">
        <w:rPr>
          <w:rFonts w:ascii="Calibri" w:hAnsi="Calibri" w:cs="Calibri"/>
          <w:szCs w:val="16"/>
        </w:rPr>
        <w:t>The requirement to sell goods by specified units of measure when packaged but not loose (exception: meat, beer and the 5 basic spirits)</w:t>
      </w:r>
      <w:r>
        <w:rPr>
          <w:rFonts w:ascii="Calibri" w:hAnsi="Calibri" w:cs="Calibri"/>
          <w:szCs w:val="16"/>
        </w:rPr>
        <w:t>.</w:t>
      </w:r>
      <w:r w:rsidRPr="001C55F4">
        <w:rPr>
          <w:rFonts w:ascii="Calibri" w:hAnsi="Calibri" w:cs="Calibri"/>
          <w:szCs w:val="16"/>
        </w:rPr>
        <w:t xml:space="preserve"> </w:t>
      </w:r>
    </w:p>
    <w:p w:rsidR="006A65A2" w:rsidRPr="00DD4F47" w:rsidRDefault="006A65A2" w:rsidP="00DD4F47">
      <w:pPr>
        <w:pStyle w:val="FootnoteText"/>
        <w:keepNext/>
        <w:numPr>
          <w:ilvl w:val="0"/>
          <w:numId w:val="3"/>
        </w:numPr>
        <w:spacing w:before="0" w:after="0"/>
        <w:ind w:left="714" w:hanging="357"/>
        <w:contextualSpacing/>
      </w:pPr>
      <w:r w:rsidRPr="00DD4F47">
        <w:rPr>
          <w:rFonts w:ascii="Calibri" w:hAnsi="Calibri" w:cs="Calibri"/>
          <w:szCs w:val="16"/>
        </w:rPr>
        <w:t>The requirement for packaged products to be marked with a measurement statement.</w:t>
      </w:r>
      <w:r>
        <w:rPr>
          <w:rFonts w:ascii="Calibri" w:hAnsi="Calibri" w:cs="Calibri"/>
          <w:szCs w:val="16"/>
        </w:rPr>
        <w:t xml:space="preserve"> </w:t>
      </w:r>
    </w:p>
    <w:p w:rsidR="006A65A2" w:rsidRDefault="006A65A2" w:rsidP="00DD4F47">
      <w:pPr>
        <w:pStyle w:val="FootnoteText"/>
        <w:numPr>
          <w:ilvl w:val="0"/>
          <w:numId w:val="3"/>
        </w:numPr>
        <w:spacing w:before="0" w:after="0"/>
        <w:ind w:left="714" w:hanging="357"/>
        <w:contextualSpacing/>
      </w:pPr>
      <w:r w:rsidRPr="001C55F4">
        <w:rPr>
          <w:rFonts w:ascii="Calibri" w:hAnsi="Calibri" w:cs="Calibri"/>
          <w:szCs w:val="16"/>
        </w:rPr>
        <w:t>The Secretary’s list, which sets out alternative units of measure for specified packaged products, is a mechanism used to try to keep pace with industry practice, however industry consider the list to be onerous and the process confusing</w:t>
      </w:r>
      <w:r>
        <w:rPr>
          <w:rFonts w:ascii="Calibri" w:hAnsi="Calibri" w:cs="Calibri"/>
          <w:szCs w:val="16"/>
        </w:rPr>
        <w:t>.</w:t>
      </w:r>
    </w:p>
  </w:footnote>
  <w:footnote w:id="18">
    <w:p w:rsidR="006A65A2" w:rsidRPr="001C55F4" w:rsidRDefault="006A65A2" w:rsidP="00D82545">
      <w:pPr>
        <w:pStyle w:val="FootnoteText"/>
        <w:rPr>
          <w:rFonts w:ascii="Calibri" w:hAnsi="Calibri" w:cs="Calibri"/>
          <w:szCs w:val="16"/>
        </w:rPr>
      </w:pPr>
      <w:r>
        <w:rPr>
          <w:rStyle w:val="FootnoteReference"/>
        </w:rPr>
        <w:footnoteRef/>
      </w:r>
      <w:r w:rsidRPr="001C55F4">
        <w:rPr>
          <w:rFonts w:ascii="Calibri" w:hAnsi="Calibri" w:cs="Calibri"/>
          <w:szCs w:val="16"/>
        </w:rPr>
        <w:t xml:space="preserve"> Some examples of Commonwealth Acts that contain civil penalty provisions include</w:t>
      </w:r>
      <w:r>
        <w:rPr>
          <w:rFonts w:ascii="Calibri" w:hAnsi="Calibri" w:cs="Calibri"/>
          <w:szCs w:val="16"/>
        </w:rPr>
        <w:t xml:space="preserve"> the</w:t>
      </w:r>
      <w:r w:rsidRPr="001C55F4">
        <w:rPr>
          <w:rFonts w:ascii="Calibri" w:hAnsi="Calibri" w:cs="Calibri"/>
          <w:szCs w:val="16"/>
        </w:rPr>
        <w:t xml:space="preserve"> </w:t>
      </w:r>
      <w:r w:rsidRPr="001C55F4">
        <w:rPr>
          <w:rFonts w:ascii="Calibri" w:hAnsi="Calibri" w:cs="Calibri"/>
          <w:i/>
          <w:szCs w:val="16"/>
        </w:rPr>
        <w:t>Competition and Consumer Act 2001</w:t>
      </w:r>
      <w:r w:rsidRPr="001C55F4">
        <w:rPr>
          <w:rFonts w:ascii="Calibri" w:hAnsi="Calibri" w:cs="Calibri"/>
          <w:szCs w:val="16"/>
        </w:rPr>
        <w:t xml:space="preserve">, </w:t>
      </w:r>
      <w:r w:rsidRPr="001C55F4">
        <w:rPr>
          <w:rFonts w:ascii="Calibri" w:hAnsi="Calibri" w:cs="Calibri"/>
          <w:i/>
          <w:szCs w:val="16"/>
        </w:rPr>
        <w:t>Therapeutic Goods Act 1989</w:t>
      </w:r>
      <w:r w:rsidRPr="001C55F4">
        <w:rPr>
          <w:rFonts w:ascii="Calibri" w:hAnsi="Calibri" w:cs="Calibri"/>
          <w:szCs w:val="16"/>
        </w:rPr>
        <w:t xml:space="preserve">, </w:t>
      </w:r>
      <w:r w:rsidRPr="001C55F4">
        <w:rPr>
          <w:rFonts w:ascii="Calibri" w:hAnsi="Calibri" w:cs="Calibri"/>
          <w:i/>
          <w:szCs w:val="16"/>
        </w:rPr>
        <w:t>Corporations Act 2001</w:t>
      </w:r>
      <w:r w:rsidRPr="001C55F4">
        <w:rPr>
          <w:rFonts w:ascii="Calibri" w:hAnsi="Calibri" w:cs="Calibri"/>
          <w:szCs w:val="16"/>
        </w:rPr>
        <w:t xml:space="preserve">, </w:t>
      </w:r>
      <w:r w:rsidRPr="001C55F4">
        <w:rPr>
          <w:rFonts w:ascii="Calibri" w:hAnsi="Calibri" w:cs="Calibri"/>
          <w:i/>
          <w:szCs w:val="16"/>
        </w:rPr>
        <w:t>National Consumer Credit Protection Act 2009</w:t>
      </w:r>
      <w:r w:rsidRPr="001C55F4">
        <w:rPr>
          <w:rFonts w:ascii="Calibri" w:hAnsi="Calibri" w:cs="Calibri"/>
          <w:szCs w:val="16"/>
        </w:rPr>
        <w:t xml:space="preserve">, </w:t>
      </w:r>
      <w:r w:rsidRPr="001C55F4">
        <w:rPr>
          <w:rFonts w:ascii="Calibri" w:hAnsi="Calibri" w:cs="Calibri"/>
          <w:i/>
          <w:szCs w:val="16"/>
        </w:rPr>
        <w:t>Work Health and Safety Act 2011</w:t>
      </w:r>
      <w:r w:rsidRPr="001C55F4">
        <w:rPr>
          <w:rFonts w:ascii="Calibri" w:hAnsi="Calibri" w:cs="Calibri"/>
          <w:szCs w:val="16"/>
        </w:rPr>
        <w:t xml:space="preserve">, </w:t>
      </w:r>
      <w:r w:rsidRPr="001C55F4">
        <w:rPr>
          <w:rFonts w:ascii="Calibri" w:hAnsi="Calibri" w:cs="Calibri"/>
          <w:i/>
          <w:szCs w:val="16"/>
        </w:rPr>
        <w:t>Environment Protection and Biodiversity Conservation Act 1999</w:t>
      </w:r>
      <w:r w:rsidRPr="001C55F4">
        <w:rPr>
          <w:rFonts w:ascii="Calibri" w:hAnsi="Calibri" w:cs="Calibri"/>
          <w:szCs w:val="16"/>
        </w:rPr>
        <w:t xml:space="preserve"> and </w:t>
      </w:r>
      <w:r w:rsidRPr="001C55F4">
        <w:rPr>
          <w:rFonts w:ascii="Calibri" w:hAnsi="Calibri" w:cs="Calibri"/>
          <w:i/>
          <w:szCs w:val="16"/>
        </w:rPr>
        <w:t>Telecommunications Act 1997</w:t>
      </w:r>
      <w:r w:rsidRPr="001C55F4">
        <w:rPr>
          <w:rFonts w:ascii="Calibri" w:hAnsi="Calibri" w:cs="Calibri"/>
          <w:szCs w:val="16"/>
        </w:rPr>
        <w:t>.</w:t>
      </w:r>
    </w:p>
  </w:footnote>
  <w:footnote w:id="19">
    <w:p w:rsidR="006A65A2" w:rsidRPr="001C55F4" w:rsidRDefault="006A65A2" w:rsidP="00BA4A4B">
      <w:pPr>
        <w:pStyle w:val="FootnoteText"/>
        <w:rPr>
          <w:rFonts w:ascii="Calibri" w:hAnsi="Calibri" w:cs="Calibri"/>
          <w:szCs w:val="16"/>
        </w:rPr>
      </w:pPr>
      <w:r>
        <w:rPr>
          <w:rStyle w:val="FootnoteReference"/>
        </w:rPr>
        <w:footnoteRef/>
      </w:r>
      <w:r w:rsidRPr="001C55F4">
        <w:rPr>
          <w:rFonts w:ascii="Calibri" w:hAnsi="Calibri" w:cs="Calibri"/>
          <w:szCs w:val="16"/>
        </w:rPr>
        <w:t xml:space="preserve"> Part 4 of the </w:t>
      </w:r>
      <w:r w:rsidRPr="001C55F4">
        <w:rPr>
          <w:rFonts w:ascii="Calibri" w:hAnsi="Calibri" w:cs="Calibri"/>
          <w:i/>
          <w:szCs w:val="16"/>
        </w:rPr>
        <w:t>Regulatory Powers (Standard Provisions) Act 2014</w:t>
      </w:r>
      <w:r w:rsidRPr="001C55F4">
        <w:rPr>
          <w:rFonts w:ascii="Calibri" w:hAnsi="Calibri" w:cs="Calibri"/>
          <w:szCs w:val="16"/>
        </w:rPr>
        <w:t xml:space="preserve"> creates a framework for the use of civil penalties to enforce civil penalty provisions.</w:t>
      </w:r>
    </w:p>
  </w:footnote>
  <w:footnote w:id="20">
    <w:p w:rsidR="006A65A2" w:rsidRDefault="006A65A2" w:rsidP="00D82545">
      <w:pPr>
        <w:pStyle w:val="FootnoteText"/>
      </w:pPr>
      <w:r>
        <w:rPr>
          <w:rStyle w:val="FootnoteReference"/>
        </w:rPr>
        <w:footnoteRef/>
      </w:r>
      <w:r w:rsidRPr="001C55F4">
        <w:rPr>
          <w:rFonts w:ascii="Calibri" w:hAnsi="Calibri" w:cs="Calibri"/>
          <w:szCs w:val="16"/>
        </w:rPr>
        <w:t xml:space="preserve"> Explanatory Memorandum, </w:t>
      </w:r>
      <w:r w:rsidRPr="004658E7">
        <w:rPr>
          <w:rFonts w:ascii="Calibri" w:hAnsi="Calibri" w:cs="Calibri"/>
          <w:i/>
          <w:szCs w:val="16"/>
        </w:rPr>
        <w:t>Regulatory Powers (Standard Provisions) Bill 2014</w:t>
      </w:r>
      <w:r w:rsidRPr="001C55F4">
        <w:rPr>
          <w:rFonts w:ascii="Calibri" w:hAnsi="Calibri" w:cs="Calibri"/>
          <w:szCs w:val="16"/>
        </w:rPr>
        <w:t xml:space="preserve"> (Cth).</w:t>
      </w:r>
    </w:p>
  </w:footnote>
  <w:footnote w:id="21">
    <w:p w:rsidR="006A65A2" w:rsidRPr="003E26E6" w:rsidRDefault="006A65A2" w:rsidP="001454D3">
      <w:pPr>
        <w:pStyle w:val="Footnote"/>
        <w:ind w:left="0" w:firstLine="0"/>
        <w:rPr>
          <w:rFonts w:ascii="Calibri" w:hAnsi="Calibri" w:cs="Calibri"/>
        </w:rPr>
      </w:pPr>
      <w:r w:rsidRPr="00A21953">
        <w:rPr>
          <w:rStyle w:val="FootnoteReference"/>
          <w:rFonts w:eastAsiaTheme="minorHAnsi" w:cstheme="minorBidi"/>
          <w:color w:val="auto"/>
        </w:rPr>
        <w:footnoteRef/>
      </w:r>
      <w:r w:rsidRPr="00A21953">
        <w:rPr>
          <w:rStyle w:val="FootnoteReference"/>
          <w:rFonts w:eastAsiaTheme="minorHAnsi" w:cstheme="minorBidi"/>
          <w:color w:val="auto"/>
        </w:rPr>
        <w:t xml:space="preserve"> </w:t>
      </w:r>
      <w:r w:rsidRPr="001C55F4">
        <w:rPr>
          <w:rFonts w:ascii="Calibri" w:eastAsiaTheme="minorHAnsi" w:hAnsi="Calibri" w:cs="Calibri"/>
          <w:color w:val="auto"/>
        </w:rPr>
        <w:t>The free rider problem occurs when a person or organisation benefits from a public good, but neither provides it nor contributes to the cost of collective provision. Thus, they free ride on the efforts of others.</w:t>
      </w:r>
    </w:p>
  </w:footnote>
  <w:footnote w:id="22">
    <w:p w:rsidR="006A65A2" w:rsidRPr="003E26E6" w:rsidRDefault="006A65A2">
      <w:pPr>
        <w:pStyle w:val="FootnoteText"/>
        <w:rPr>
          <w:rFonts w:ascii="Calibri" w:hAnsi="Calibri" w:cs="Calibri"/>
        </w:rPr>
      </w:pPr>
      <w:r>
        <w:rPr>
          <w:rStyle w:val="FootnoteReference"/>
        </w:rPr>
        <w:footnoteRef/>
      </w:r>
      <w:r w:rsidRPr="001C55F4">
        <w:rPr>
          <w:rFonts w:ascii="Calibri" w:hAnsi="Calibri" w:cs="Calibri"/>
        </w:rPr>
        <w:t xml:space="preserve"> </w:t>
      </w:r>
      <w:r>
        <w:rPr>
          <w:rFonts w:ascii="Calibri" w:hAnsi="Calibri" w:cs="Calibri"/>
        </w:rPr>
        <w:t>For example,</w:t>
      </w:r>
      <w:r w:rsidRPr="001C55F4">
        <w:rPr>
          <w:rFonts w:ascii="Calibri" w:hAnsi="Calibri" w:cs="Calibri"/>
        </w:rPr>
        <w:t xml:space="preserve"> developing specialised equipment or unique facilities</w:t>
      </w:r>
      <w:r>
        <w:rPr>
          <w:rFonts w:ascii="Calibri" w:hAnsi="Calibri" w:cs="Calibri"/>
        </w:rPr>
        <w:t>,</w:t>
      </w:r>
      <w:r w:rsidRPr="001C55F4">
        <w:rPr>
          <w:rFonts w:ascii="Calibri" w:hAnsi="Calibri" w:cs="Calibri"/>
        </w:rPr>
        <w:t xml:space="preserve"> </w:t>
      </w:r>
      <w:r>
        <w:rPr>
          <w:rFonts w:ascii="Calibri" w:hAnsi="Calibri" w:cs="Calibri"/>
        </w:rPr>
        <w:t>which</w:t>
      </w:r>
      <w:r w:rsidRPr="001C55F4">
        <w:rPr>
          <w:rFonts w:ascii="Calibri" w:hAnsi="Calibri" w:cs="Calibri"/>
        </w:rPr>
        <w:t xml:space="preserve"> may involve considerable research</w:t>
      </w:r>
      <w:r>
        <w:rPr>
          <w:rFonts w:ascii="Calibri" w:hAnsi="Calibri" w:cs="Calibri"/>
        </w:rPr>
        <w:t>.</w:t>
      </w:r>
    </w:p>
  </w:footnote>
  <w:footnote w:id="23">
    <w:p w:rsidR="006A65A2" w:rsidRDefault="006A65A2">
      <w:pPr>
        <w:pStyle w:val="FootnoteText"/>
      </w:pPr>
      <w:r>
        <w:rPr>
          <w:rStyle w:val="FootnoteReference"/>
        </w:rPr>
        <w:footnoteRef/>
      </w:r>
      <w:r>
        <w:t xml:space="preserve"> </w:t>
      </w:r>
      <w:r w:rsidRPr="00DC6C5B">
        <w:rPr>
          <w:rFonts w:asciiTheme="minorHAnsi" w:hAnsiTheme="minorHAnsi" w:cstheme="minorHAnsi"/>
          <w:b/>
          <w:i/>
        </w:rPr>
        <w:t>Legal Metrology</w:t>
      </w:r>
      <w:r w:rsidRPr="00DC6C5B">
        <w:rPr>
          <w:rFonts w:asciiTheme="minorHAnsi" w:hAnsiTheme="minorHAnsi" w:cstheme="minorHAnsi"/>
        </w:rPr>
        <w:t xml:space="preserve"> refers to measurement used for legal purposes. </w:t>
      </w:r>
      <w:r w:rsidRPr="00DC6C5B">
        <w:rPr>
          <w:rFonts w:asciiTheme="minorHAnsi" w:hAnsiTheme="minorHAnsi" w:cstheme="minorHAnsi"/>
          <w:b/>
          <w:i/>
        </w:rPr>
        <w:t>Metrology</w:t>
      </w:r>
      <w:r w:rsidRPr="00DC6C5B">
        <w:rPr>
          <w:rFonts w:asciiTheme="minorHAnsi" w:hAnsiTheme="minorHAnsi" w:cstheme="minorHAnsi"/>
        </w:rPr>
        <w:t xml:space="preserve"> is the scientific study of measurement.</w:t>
      </w:r>
    </w:p>
  </w:footnote>
  <w:footnote w:id="24">
    <w:p w:rsidR="006A65A2" w:rsidRPr="003E26E6" w:rsidRDefault="006A65A2">
      <w:pPr>
        <w:pStyle w:val="FootnoteText"/>
        <w:rPr>
          <w:rFonts w:ascii="Calibri" w:hAnsi="Calibri" w:cs="Calibri"/>
        </w:rPr>
      </w:pPr>
      <w:r w:rsidRPr="001C55F4">
        <w:rPr>
          <w:rStyle w:val="FootnoteReference"/>
          <w:rFonts w:cs="Calibri"/>
          <w:szCs w:val="16"/>
        </w:rPr>
        <w:footnoteRef/>
      </w:r>
      <w:r w:rsidRPr="001C55F4">
        <w:rPr>
          <w:rFonts w:ascii="Calibri" w:hAnsi="Calibri" w:cs="Calibri"/>
          <w:szCs w:val="16"/>
        </w:rPr>
        <w:t xml:space="preserve"> </w:t>
      </w:r>
      <w:hyperlink r:id="rId3" w:history="1">
        <w:r w:rsidRPr="00965E38">
          <w:rPr>
            <w:rStyle w:val="Hyperlink"/>
            <w:rFonts w:ascii="Calibri" w:hAnsi="Calibri" w:cs="Calibri"/>
            <w:szCs w:val="16"/>
          </w:rPr>
          <w:t>https://www.bipm.org/en/committees/cc/</w:t>
        </w:r>
      </w:hyperlink>
      <w:r w:rsidRPr="00965E38">
        <w:rPr>
          <w:rFonts w:ascii="Calibri" w:hAnsi="Calibri" w:cs="Calibri"/>
          <w:sz w:val="22"/>
          <w:szCs w:val="22"/>
        </w:rPr>
        <w:t xml:space="preserve"> </w:t>
      </w:r>
      <w:r w:rsidRPr="00965E38">
        <w:rPr>
          <w:rFonts w:ascii="Calibri" w:hAnsi="Calibri" w:cs="Calibri"/>
          <w:szCs w:val="16"/>
          <w:lang w:val="en-GB"/>
        </w:rPr>
        <w:t>Acoustics, Ultrasound and Vibration, Electricity and Magnetism, Length, Mass and Related Quantities, Photometry and Radiometry, Amount of Substance: Metrology in Chemistry and Biology, Ionizing Radiation, Thermometry, Time and Frequency</w:t>
      </w:r>
      <w:r>
        <w:rPr>
          <w:rFonts w:ascii="Calibri" w:hAnsi="Calibri" w:cs="Calibri"/>
          <w:szCs w:val="16"/>
          <w:lang w:val="en-GB"/>
        </w:rPr>
        <w:t>.</w:t>
      </w:r>
    </w:p>
  </w:footnote>
  <w:footnote w:id="25">
    <w:p w:rsidR="006A65A2" w:rsidRPr="003E26E6" w:rsidRDefault="006A65A2" w:rsidP="00F37A7E">
      <w:pPr>
        <w:pStyle w:val="FootnoteText"/>
        <w:spacing w:before="0" w:after="0"/>
        <w:rPr>
          <w:rFonts w:ascii="Calibri" w:hAnsi="Calibri" w:cs="Calibri"/>
        </w:rPr>
      </w:pPr>
      <w:r>
        <w:rPr>
          <w:rStyle w:val="FootnoteReference"/>
        </w:rPr>
        <w:footnoteRef/>
      </w:r>
      <w:r w:rsidRPr="001C55F4">
        <w:rPr>
          <w:rFonts w:ascii="Calibri" w:hAnsi="Calibri" w:cs="Calibri"/>
        </w:rPr>
        <w:t xml:space="preserve"> </w:t>
      </w:r>
      <w:r>
        <w:rPr>
          <w:rFonts w:ascii="Calibri" w:hAnsi="Calibri" w:cs="Calibri"/>
        </w:rPr>
        <w:t>ATPs</w:t>
      </w:r>
      <w:r w:rsidRPr="001C55F4">
        <w:rPr>
          <w:rFonts w:ascii="Calibri" w:hAnsi="Calibri" w:cs="Calibri"/>
        </w:rPr>
        <w:t xml:space="preserve"> are organisations appointed under the legislation </w:t>
      </w:r>
      <w:r>
        <w:rPr>
          <w:rFonts w:ascii="Calibri" w:hAnsi="Calibri" w:cs="Calibri"/>
        </w:rPr>
        <w:t>and include</w:t>
      </w:r>
      <w:r w:rsidRPr="001C55F4">
        <w:rPr>
          <w:rFonts w:ascii="Calibri" w:hAnsi="Calibri" w:cs="Calibri"/>
        </w:rPr>
        <w:t xml:space="preserve"> Servicing Licensees, </w:t>
      </w:r>
      <w:r>
        <w:rPr>
          <w:rFonts w:ascii="Calibri" w:hAnsi="Calibri" w:cs="Calibri"/>
        </w:rPr>
        <w:t>Utility Meter Verifiers</w:t>
      </w:r>
      <w:r w:rsidRPr="001C55F4">
        <w:rPr>
          <w:rFonts w:ascii="Calibri" w:hAnsi="Calibri" w:cs="Calibri"/>
        </w:rPr>
        <w:t xml:space="preserve">, </w:t>
      </w:r>
      <w:r w:rsidRPr="00036AC1">
        <w:rPr>
          <w:rFonts w:ascii="Calibri" w:hAnsi="Calibri" w:cs="Calibri"/>
        </w:rPr>
        <w:t>Public Weighbridge Licen</w:t>
      </w:r>
      <w:r>
        <w:rPr>
          <w:rFonts w:ascii="Calibri" w:hAnsi="Calibri" w:cs="Calibri"/>
        </w:rPr>
        <w:t>s</w:t>
      </w:r>
      <w:r w:rsidRPr="00036AC1">
        <w:rPr>
          <w:rFonts w:ascii="Calibri" w:hAnsi="Calibri" w:cs="Calibri"/>
        </w:rPr>
        <w:t>e</w:t>
      </w:r>
      <w:r>
        <w:rPr>
          <w:rFonts w:ascii="Calibri" w:hAnsi="Calibri" w:cs="Calibri"/>
        </w:rPr>
        <w:t>es</w:t>
      </w:r>
      <w:r w:rsidRPr="001C55F4">
        <w:rPr>
          <w:rFonts w:ascii="Calibri" w:hAnsi="Calibri" w:cs="Calibri"/>
        </w:rPr>
        <w:t xml:space="preserve">, and </w:t>
      </w:r>
      <w:r>
        <w:rPr>
          <w:rFonts w:ascii="Calibri" w:hAnsi="Calibri" w:cs="Calibri"/>
        </w:rPr>
        <w:t>Legal Metrology Authorities</w:t>
      </w:r>
      <w:r w:rsidRPr="001C55F4">
        <w:rPr>
          <w:rFonts w:ascii="Calibri" w:hAnsi="Calibri" w:cs="Calibri"/>
        </w:rPr>
        <w:t>.</w:t>
      </w:r>
    </w:p>
  </w:footnote>
  <w:footnote w:id="26">
    <w:p w:rsidR="006A65A2" w:rsidRPr="001C55F4" w:rsidRDefault="006A65A2" w:rsidP="007138AB">
      <w:pPr>
        <w:pStyle w:val="FootnoteText"/>
        <w:rPr>
          <w:rFonts w:ascii="Calibri" w:hAnsi="Calibri" w:cs="Calibri"/>
          <w:szCs w:val="16"/>
        </w:rPr>
      </w:pPr>
      <w:r>
        <w:rPr>
          <w:rStyle w:val="FootnoteReference"/>
        </w:rPr>
        <w:footnoteRef/>
      </w:r>
      <w:r w:rsidRPr="001C55F4">
        <w:rPr>
          <w:rFonts w:ascii="Calibri" w:hAnsi="Calibri" w:cs="Calibri"/>
          <w:szCs w:val="16"/>
        </w:rPr>
        <w:t xml:space="preserve"> Including where measurement forms the basis of regulation.</w:t>
      </w:r>
    </w:p>
  </w:footnote>
  <w:footnote w:id="27">
    <w:p w:rsidR="006A65A2" w:rsidRDefault="006A65A2">
      <w:pPr>
        <w:pStyle w:val="FootnoteText"/>
      </w:pPr>
      <w:r>
        <w:rPr>
          <w:rStyle w:val="FootnoteReference"/>
        </w:rPr>
        <w:footnoteRef/>
      </w:r>
      <w:r>
        <w:t xml:space="preserve"> </w:t>
      </w:r>
      <w:r w:rsidRPr="006F130E">
        <w:rPr>
          <w:rFonts w:ascii="Calibri" w:hAnsi="Calibri" w:cs="Calibri"/>
          <w:szCs w:val="18"/>
        </w:rPr>
        <w:t xml:space="preserve">The </w:t>
      </w:r>
      <w:r w:rsidRPr="006F130E">
        <w:rPr>
          <w:rFonts w:ascii="Calibri" w:hAnsi="Calibri" w:cs="Calibri"/>
          <w:szCs w:val="16"/>
        </w:rPr>
        <w:t xml:space="preserve">legal framework for traceability is enabled by a national hierarchy of realised standards of measurement. In this hierarchy, </w:t>
      </w:r>
      <w:r>
        <w:rPr>
          <w:rFonts w:ascii="Calibri" w:hAnsi="Calibri" w:cs="Calibri"/>
          <w:szCs w:val="16"/>
        </w:rPr>
        <w:t>current</w:t>
      </w:r>
      <w:r w:rsidRPr="006F130E">
        <w:rPr>
          <w:rFonts w:ascii="Calibri" w:hAnsi="Calibri" w:cs="Calibri"/>
          <w:szCs w:val="16"/>
        </w:rPr>
        <w:t xml:space="preserve"> traceability pathways rely on: Australian primary </w:t>
      </w:r>
      <w:r>
        <w:rPr>
          <w:rFonts w:ascii="Calibri" w:hAnsi="Calibri" w:cs="Calibri"/>
          <w:szCs w:val="16"/>
        </w:rPr>
        <w:t xml:space="preserve">measurement </w:t>
      </w:r>
      <w:r w:rsidRPr="006F130E">
        <w:rPr>
          <w:rFonts w:ascii="Calibri" w:hAnsi="Calibri" w:cs="Calibri"/>
          <w:szCs w:val="16"/>
        </w:rPr>
        <w:t xml:space="preserve">standards (e.g. the Australian primary standard for a kilogram), </w:t>
      </w:r>
      <w:r>
        <w:rPr>
          <w:rFonts w:ascii="Calibri" w:hAnsi="Calibri" w:cs="Calibri"/>
          <w:szCs w:val="16"/>
        </w:rPr>
        <w:t>ACRMs</w:t>
      </w:r>
      <w:r w:rsidRPr="006F130E">
        <w:rPr>
          <w:rFonts w:ascii="Calibri" w:hAnsi="Calibri" w:cs="Calibri"/>
          <w:szCs w:val="16"/>
        </w:rPr>
        <w:t>, certified measuring instruments, recognised standard values, reference standards</w:t>
      </w:r>
      <w:r w:rsidRPr="006F130E">
        <w:rPr>
          <w:rFonts w:ascii="Calibri" w:hAnsi="Calibri" w:cs="Calibri"/>
          <w:szCs w:val="18"/>
        </w:rPr>
        <w:t xml:space="preserve"> of measurement and other standards of measurement, or a combination thereof.</w:t>
      </w:r>
    </w:p>
  </w:footnote>
  <w:footnote w:id="28">
    <w:p w:rsidR="006A65A2" w:rsidRPr="004C77D8" w:rsidRDefault="006A65A2" w:rsidP="004C77D8">
      <w:pPr>
        <w:pStyle w:val="FootnoteText"/>
        <w:rPr>
          <w:rFonts w:ascii="Calibri" w:hAnsi="Calibri" w:cs="Calibri"/>
          <w:szCs w:val="16"/>
        </w:rPr>
      </w:pPr>
      <w:r w:rsidRPr="004C77D8">
        <w:rPr>
          <w:rStyle w:val="FootnoteReference"/>
          <w:szCs w:val="16"/>
        </w:rPr>
        <w:footnoteRef/>
      </w:r>
      <w:r w:rsidRPr="004C77D8">
        <w:rPr>
          <w:rFonts w:ascii="Calibri" w:hAnsi="Calibri" w:cs="Calibri"/>
          <w:szCs w:val="16"/>
        </w:rPr>
        <w:t xml:space="preserve"> For example, recognising all </w:t>
      </w:r>
      <w:r>
        <w:rPr>
          <w:rFonts w:ascii="Calibri" w:hAnsi="Calibri" w:cs="Calibri"/>
          <w:szCs w:val="16"/>
        </w:rPr>
        <w:t>“calibration and measurement capabilities” (CMCs) published</w:t>
      </w:r>
      <w:r w:rsidRPr="004C77D8">
        <w:rPr>
          <w:rFonts w:ascii="Calibri" w:hAnsi="Calibri" w:cs="Calibri"/>
          <w:szCs w:val="16"/>
        </w:rPr>
        <w:t xml:space="preserve"> in the </w:t>
      </w:r>
      <w:hyperlink r:id="rId4" w:history="1">
        <w:r w:rsidRPr="004C77D8">
          <w:rPr>
            <w:rStyle w:val="Hyperlink"/>
            <w:rFonts w:ascii="Calibri" w:hAnsi="Calibri" w:cs="Calibri"/>
            <w:szCs w:val="16"/>
          </w:rPr>
          <w:t>Key Comparison Database</w:t>
        </w:r>
      </w:hyperlink>
      <w:r w:rsidRPr="004C77D8">
        <w:rPr>
          <w:rFonts w:ascii="Calibri" w:hAnsi="Calibri" w:cs="Calibri"/>
          <w:szCs w:val="16"/>
        </w:rPr>
        <w:t xml:space="preserve"> </w:t>
      </w:r>
      <w:r>
        <w:rPr>
          <w:rFonts w:ascii="Calibri" w:hAnsi="Calibri" w:cs="Calibri"/>
          <w:szCs w:val="16"/>
        </w:rPr>
        <w:t xml:space="preserve">(KCDB) </w:t>
      </w:r>
      <w:r w:rsidRPr="004C77D8">
        <w:rPr>
          <w:rFonts w:ascii="Calibri" w:hAnsi="Calibri" w:cs="Calibri"/>
          <w:szCs w:val="16"/>
        </w:rPr>
        <w:t>established under the CIPM Mutual Recognition Arrangement, which is the framework through which National Metrology Institutes across the world demonstrate the international equivalence of their measurement standards and the calibration and measurement certificates they issue.</w:t>
      </w:r>
    </w:p>
  </w:footnote>
  <w:footnote w:id="29">
    <w:p w:rsidR="006A65A2" w:rsidRDefault="006A65A2" w:rsidP="004C77D8">
      <w:pPr>
        <w:spacing w:after="0" w:line="240" w:lineRule="auto"/>
      </w:pPr>
      <w:r w:rsidRPr="004C77D8">
        <w:rPr>
          <w:rStyle w:val="FootnoteReference"/>
          <w:sz w:val="16"/>
          <w:szCs w:val="16"/>
        </w:rPr>
        <w:footnoteRef/>
      </w:r>
      <w:r w:rsidRPr="004C77D8">
        <w:rPr>
          <w:rFonts w:ascii="Calibri" w:hAnsi="Calibri" w:cs="Calibri"/>
          <w:sz w:val="16"/>
          <w:szCs w:val="16"/>
        </w:rPr>
        <w:t xml:space="preserve"> For example,</w:t>
      </w:r>
      <w:r w:rsidRPr="004C77D8">
        <w:rPr>
          <w:rFonts w:ascii="Calibri" w:hAnsi="Calibri" w:cs="Calibri"/>
          <w:b/>
          <w:sz w:val="16"/>
          <w:szCs w:val="16"/>
        </w:rPr>
        <w:t xml:space="preserve"> </w:t>
      </w:r>
      <w:r w:rsidRPr="004C77D8">
        <w:rPr>
          <w:rFonts w:ascii="Calibri" w:hAnsi="Calibri" w:cs="Calibri"/>
          <w:sz w:val="16"/>
          <w:szCs w:val="16"/>
        </w:rPr>
        <w:t>the World Health Organisation Biological Reference Materials/guidelines and recommendations, or the CODEX Alimentarius Commission standards.</w:t>
      </w:r>
      <w:r w:rsidRPr="003E26E6">
        <w:rPr>
          <w:sz w:val="18"/>
          <w:szCs w:val="20"/>
        </w:rPr>
        <w:t xml:space="preserve"> </w:t>
      </w:r>
    </w:p>
  </w:footnote>
  <w:footnote w:id="30">
    <w:p w:rsidR="006A65A2" w:rsidRPr="003E26E6" w:rsidRDefault="006A65A2">
      <w:pPr>
        <w:pStyle w:val="FootnoteText"/>
        <w:rPr>
          <w:rFonts w:ascii="Calibri" w:hAnsi="Calibri" w:cs="Calibri"/>
        </w:rPr>
      </w:pPr>
      <w:r>
        <w:rPr>
          <w:rStyle w:val="FootnoteReference"/>
        </w:rPr>
        <w:footnoteRef/>
      </w:r>
      <w:r w:rsidRPr="003E26E6">
        <w:rPr>
          <w:rFonts w:ascii="Calibri" w:hAnsi="Calibri" w:cs="Calibri"/>
        </w:rPr>
        <w:t xml:space="preserve"> For example, </w:t>
      </w:r>
      <w:r>
        <w:rPr>
          <w:rFonts w:ascii="Calibri" w:hAnsi="Calibri" w:cs="Calibri"/>
        </w:rPr>
        <w:t>primary</w:t>
      </w:r>
      <w:r w:rsidRPr="003E26E6">
        <w:rPr>
          <w:rFonts w:ascii="Calibri" w:hAnsi="Calibri" w:cs="Calibri"/>
        </w:rPr>
        <w:t xml:space="preserve"> </w:t>
      </w:r>
      <w:r>
        <w:rPr>
          <w:rFonts w:ascii="Calibri" w:hAnsi="Calibri" w:cs="Calibri"/>
        </w:rPr>
        <w:t xml:space="preserve">measurement </w:t>
      </w:r>
      <w:r w:rsidRPr="003E26E6">
        <w:rPr>
          <w:rFonts w:ascii="Calibri" w:hAnsi="Calibri" w:cs="Calibri"/>
        </w:rPr>
        <w:t>standards disconnected from the Australian national hierarchy of standards may be integrated through a process to be determined by the Chief Metrologist</w:t>
      </w:r>
      <w:r>
        <w:rPr>
          <w:rFonts w:ascii="Calibri" w:hAnsi="Calibri" w:cs="Calibri"/>
        </w:rPr>
        <w:t>.</w:t>
      </w:r>
    </w:p>
  </w:footnote>
  <w:footnote w:id="31">
    <w:p w:rsidR="006A65A2" w:rsidRDefault="006A65A2" w:rsidP="007138AB">
      <w:pPr>
        <w:pStyle w:val="FootnoteText"/>
      </w:pPr>
      <w:r>
        <w:rPr>
          <w:rStyle w:val="FootnoteReference"/>
        </w:rPr>
        <w:footnoteRef/>
      </w:r>
      <w:r w:rsidRPr="003E26E6">
        <w:rPr>
          <w:rFonts w:ascii="Calibri" w:hAnsi="Calibri" w:cs="Calibri"/>
        </w:rPr>
        <w:t xml:space="preserve"> Noting that aside from the nature of the instrument, the method of use and location of use can also impact on the end measurement result.</w:t>
      </w:r>
    </w:p>
  </w:footnote>
  <w:footnote w:id="32">
    <w:p w:rsidR="006A65A2" w:rsidRPr="003E26E6" w:rsidRDefault="006A65A2" w:rsidP="007138AB">
      <w:pPr>
        <w:pStyle w:val="FootnoteText"/>
        <w:rPr>
          <w:rFonts w:ascii="Calibri" w:hAnsi="Calibri" w:cs="Calibri"/>
        </w:rPr>
      </w:pPr>
      <w:r>
        <w:rPr>
          <w:rStyle w:val="FootnoteReference"/>
        </w:rPr>
        <w:footnoteRef/>
      </w:r>
      <w:r w:rsidRPr="003E26E6">
        <w:rPr>
          <w:rFonts w:ascii="Calibri" w:hAnsi="Calibri" w:cs="Calibri"/>
        </w:rPr>
        <w:t xml:space="preserve"> Under regulation 37 of the </w:t>
      </w:r>
      <w:r w:rsidRPr="003E26E6">
        <w:rPr>
          <w:rFonts w:ascii="Calibri" w:hAnsi="Calibri" w:cs="Calibri"/>
          <w:i/>
        </w:rPr>
        <w:t>National Measurement Regulations 1999: Certification of measuring instruments</w:t>
      </w:r>
      <w:r w:rsidRPr="003E26E6">
        <w:rPr>
          <w:rFonts w:ascii="Calibri" w:hAnsi="Calibri" w:cs="Calibri"/>
        </w:rPr>
        <w:t xml:space="preserve">. </w:t>
      </w:r>
    </w:p>
  </w:footnote>
  <w:footnote w:id="33">
    <w:p w:rsidR="006A65A2" w:rsidRPr="003E26E6" w:rsidRDefault="006A65A2" w:rsidP="007138AB">
      <w:pPr>
        <w:pStyle w:val="FootnoteText"/>
        <w:rPr>
          <w:rFonts w:ascii="Calibri" w:hAnsi="Calibri" w:cs="Calibri"/>
        </w:rPr>
      </w:pPr>
      <w:r>
        <w:rPr>
          <w:rStyle w:val="FootnoteReference"/>
        </w:rPr>
        <w:footnoteRef/>
      </w:r>
      <w:r w:rsidRPr="003E26E6">
        <w:rPr>
          <w:rFonts w:ascii="Calibri" w:hAnsi="Calibri" w:cs="Calibri"/>
        </w:rPr>
        <w:t xml:space="preserve"> Rather than the measurement needing to be traced back to some other trusted reference point under s 10 of the </w:t>
      </w:r>
      <w:r w:rsidRPr="003E26E6">
        <w:rPr>
          <w:rFonts w:ascii="Calibri" w:hAnsi="Calibri" w:cs="Calibri"/>
          <w:i/>
        </w:rPr>
        <w:t>National Measurement Act 1960</w:t>
      </w:r>
      <w:r w:rsidRPr="003E26E6">
        <w:rPr>
          <w:rFonts w:ascii="Calibri" w:hAnsi="Calibri" w:cs="Calibri"/>
        </w:rPr>
        <w:t xml:space="preserve"> if the accuracy of an instrument is challenged. </w:t>
      </w:r>
    </w:p>
  </w:footnote>
  <w:footnote w:id="34">
    <w:p w:rsidR="006A65A2" w:rsidRPr="006F396C" w:rsidRDefault="006A65A2">
      <w:pPr>
        <w:pStyle w:val="FootnoteText"/>
        <w:rPr>
          <w:rFonts w:asciiTheme="minorHAnsi" w:hAnsiTheme="minorHAnsi" w:cstheme="minorHAnsi"/>
        </w:rPr>
      </w:pPr>
      <w:r w:rsidRPr="006F396C">
        <w:rPr>
          <w:rStyle w:val="FootnoteReference"/>
          <w:rFonts w:asciiTheme="minorHAnsi" w:hAnsiTheme="minorHAnsi" w:cstheme="minorHAnsi"/>
        </w:rPr>
        <w:footnoteRef/>
      </w:r>
      <w:r w:rsidRPr="006F396C">
        <w:rPr>
          <w:rFonts w:asciiTheme="minorHAnsi" w:hAnsiTheme="minorHAnsi" w:cstheme="minorHAnsi"/>
        </w:rPr>
        <w:t xml:space="preserve"> </w:t>
      </w:r>
      <w:hyperlink r:id="rId5" w:history="1">
        <w:r w:rsidRPr="006F396C">
          <w:rPr>
            <w:rStyle w:val="Hyperlink"/>
            <w:rFonts w:asciiTheme="minorHAnsi" w:hAnsiTheme="minorHAnsi" w:cstheme="minorHAnsi"/>
          </w:rPr>
          <w:t>Electric Vehicle Council submission</w:t>
        </w:r>
      </w:hyperlink>
    </w:p>
  </w:footnote>
  <w:footnote w:id="35">
    <w:p w:rsidR="006A65A2" w:rsidRPr="00B464B0" w:rsidRDefault="006A65A2">
      <w:pPr>
        <w:pStyle w:val="FootnoteText"/>
        <w:rPr>
          <w:rFonts w:ascii="Calibri" w:hAnsi="Calibri" w:cs="Calibri"/>
        </w:rPr>
      </w:pPr>
      <w:r>
        <w:rPr>
          <w:rStyle w:val="FootnoteReference"/>
        </w:rPr>
        <w:footnoteRef/>
      </w:r>
      <w:r w:rsidRPr="00B464B0">
        <w:rPr>
          <w:rFonts w:ascii="Calibri" w:hAnsi="Calibri" w:cs="Calibri"/>
        </w:rPr>
        <w:t xml:space="preserve"> </w:t>
      </w:r>
      <w:hyperlink r:id="rId6" w:history="1">
        <w:r w:rsidRPr="00B464B0">
          <w:rPr>
            <w:rStyle w:val="Hyperlink"/>
            <w:rFonts w:ascii="Calibri" w:hAnsi="Calibri" w:cs="Calibri"/>
          </w:rPr>
          <w:t>Unilever submission</w:t>
        </w:r>
      </w:hyperlink>
    </w:p>
  </w:footnote>
  <w:footnote w:id="36">
    <w:p w:rsidR="006A65A2" w:rsidRDefault="006A65A2" w:rsidP="00D929DF">
      <w:pPr>
        <w:pStyle w:val="FootnoteText"/>
      </w:pPr>
      <w:r>
        <w:rPr>
          <w:rStyle w:val="FootnoteReference"/>
        </w:rPr>
        <w:footnoteRef/>
      </w:r>
      <w:r>
        <w:t xml:space="preserve"> </w:t>
      </w:r>
      <w:r w:rsidRPr="007E1594">
        <w:rPr>
          <w:rFonts w:ascii="Calibri" w:hAnsi="Calibri" w:cs="Calibri"/>
        </w:rPr>
        <w:t>For example, certain types of utility meters are exempt from verification requirements.</w:t>
      </w:r>
    </w:p>
  </w:footnote>
  <w:footnote w:id="37">
    <w:p w:rsidR="006A65A2" w:rsidRDefault="006A65A2" w:rsidP="00D929DF">
      <w:pPr>
        <w:pStyle w:val="FootnoteText"/>
      </w:pPr>
      <w:r>
        <w:rPr>
          <w:rStyle w:val="FootnoteReference"/>
        </w:rPr>
        <w:footnoteRef/>
      </w:r>
      <w:r w:rsidRPr="003E26E6">
        <w:rPr>
          <w:rFonts w:ascii="Calibri" w:hAnsi="Calibri" w:cs="Calibri"/>
        </w:rPr>
        <w:t xml:space="preserve"> For example, </w:t>
      </w:r>
      <w:r>
        <w:rPr>
          <w:rFonts w:ascii="Calibri" w:hAnsi="Calibri" w:cs="Calibri"/>
        </w:rPr>
        <w:t>approval</w:t>
      </w:r>
      <w:r w:rsidRPr="003E26E6">
        <w:rPr>
          <w:rFonts w:ascii="Calibri" w:hAnsi="Calibri" w:cs="Calibri"/>
        </w:rPr>
        <w:t xml:space="preserve"> standards, testing procedures or accreditation</w:t>
      </w:r>
      <w:r>
        <w:rPr>
          <w:rFonts w:ascii="Calibri" w:hAnsi="Calibri" w:cs="Calibri"/>
        </w:rPr>
        <w:t xml:space="preserve"> frameworks</w:t>
      </w:r>
      <w:r w:rsidRPr="003E26E6">
        <w:rPr>
          <w:rFonts w:ascii="Calibri" w:hAnsi="Calibri" w:cs="Calibri"/>
        </w:rPr>
        <w:t>.</w:t>
      </w:r>
    </w:p>
  </w:footnote>
  <w:footnote w:id="38">
    <w:p w:rsidR="006A65A2" w:rsidRPr="00D929DF" w:rsidRDefault="006A65A2" w:rsidP="00B464B0">
      <w:pPr>
        <w:pStyle w:val="ActHead5"/>
        <w:spacing w:before="60" w:after="60"/>
        <w:ind w:left="0" w:firstLine="0"/>
        <w:rPr>
          <w:rFonts w:ascii="Calibri" w:hAnsi="Calibri" w:cs="Calibri"/>
          <w:b w:val="0"/>
          <w:sz w:val="16"/>
          <w:szCs w:val="16"/>
        </w:rPr>
      </w:pPr>
      <w:r w:rsidRPr="00B464B0">
        <w:rPr>
          <w:rStyle w:val="FootnoteReference"/>
          <w:rFonts w:cs="Calibri"/>
          <w:b w:val="0"/>
          <w:sz w:val="16"/>
          <w:szCs w:val="16"/>
        </w:rPr>
        <w:footnoteRef/>
      </w:r>
      <w:r w:rsidRPr="00B464B0">
        <w:rPr>
          <w:rFonts w:ascii="Calibri" w:hAnsi="Calibri" w:cs="Calibri"/>
          <w:b w:val="0"/>
          <w:sz w:val="16"/>
          <w:szCs w:val="16"/>
        </w:rPr>
        <w:t xml:space="preserve"> CTT is a process where a larger number (or sample) of instruments are assessed to see if they have been manufactured in accordance with the approved design (pattern). CTT powers under the current measurement legislation are limited to certai</w:t>
      </w:r>
      <w:r w:rsidRPr="00D929DF">
        <w:rPr>
          <w:rFonts w:ascii="Calibri" w:hAnsi="Calibri" w:cs="Calibri"/>
          <w:b w:val="0"/>
          <w:sz w:val="16"/>
          <w:szCs w:val="16"/>
        </w:rPr>
        <w:t xml:space="preserve">n offence provisions.  Under the </w:t>
      </w:r>
      <w:r w:rsidRPr="00D929DF">
        <w:rPr>
          <w:rFonts w:ascii="Calibri" w:hAnsi="Calibri" w:cs="Calibri"/>
          <w:b w:val="0"/>
          <w:i/>
          <w:sz w:val="16"/>
          <w:szCs w:val="16"/>
        </w:rPr>
        <w:t>National Measurement Act 1960</w:t>
      </w:r>
      <w:r w:rsidRPr="00D929DF">
        <w:rPr>
          <w:rFonts w:ascii="Calibri" w:hAnsi="Calibri" w:cs="Calibri"/>
          <w:b w:val="0"/>
          <w:sz w:val="16"/>
          <w:szCs w:val="16"/>
        </w:rPr>
        <w:t xml:space="preserve">, it is an offence to install (s 18BG), supply (s 18GC) or verify (s 18GK) instruments which are not of an approved pattern. It is also an offence to falsely represent that a particular pattern for an instrument is approved or that a particular instrument is manufactured in accordance with an approved pattern (s </w:t>
      </w:r>
      <w:r w:rsidRPr="00D929DF">
        <w:rPr>
          <w:rStyle w:val="CharSectno"/>
          <w:rFonts w:ascii="Calibri" w:hAnsi="Calibri" w:cs="Calibri"/>
          <w:b w:val="0"/>
          <w:sz w:val="16"/>
          <w:szCs w:val="16"/>
        </w:rPr>
        <w:t>19B(</w:t>
      </w:r>
      <w:r w:rsidRPr="00D929DF">
        <w:rPr>
          <w:rFonts w:ascii="Calibri" w:hAnsi="Calibri" w:cs="Calibri"/>
          <w:b w:val="0"/>
          <w:sz w:val="16"/>
          <w:szCs w:val="16"/>
        </w:rPr>
        <w:t xml:space="preserve">a) and (b)). </w:t>
      </w:r>
    </w:p>
  </w:footnote>
  <w:footnote w:id="39">
    <w:p w:rsidR="006A65A2" w:rsidRPr="003E26E6" w:rsidRDefault="006A65A2" w:rsidP="007138AB">
      <w:pPr>
        <w:pStyle w:val="FootnoteText"/>
        <w:rPr>
          <w:rFonts w:ascii="Calibri" w:hAnsi="Calibri" w:cs="Calibri"/>
        </w:rPr>
      </w:pPr>
      <w:r w:rsidRPr="008F7D32">
        <w:rPr>
          <w:rStyle w:val="FootnoteReference"/>
        </w:rPr>
        <w:footnoteRef/>
      </w:r>
      <w:r w:rsidRPr="003E26E6">
        <w:rPr>
          <w:rFonts w:ascii="Calibri" w:hAnsi="Calibri" w:cs="Calibri"/>
        </w:rPr>
        <w:t xml:space="preserve"> Pre market is defined as before sale of a measuring instrument for trade use (e.g. pattern approval) and before its first use for trade purposes (e.g. initial verification).</w:t>
      </w:r>
    </w:p>
  </w:footnote>
  <w:footnote w:id="40">
    <w:p w:rsidR="006A65A2" w:rsidRPr="003E26E6" w:rsidRDefault="006A65A2" w:rsidP="007138AB">
      <w:pPr>
        <w:pStyle w:val="FootnoteText"/>
        <w:rPr>
          <w:rFonts w:ascii="Calibri" w:hAnsi="Calibri" w:cs="Calibri"/>
        </w:rPr>
      </w:pPr>
      <w:r w:rsidRPr="008F7D32">
        <w:rPr>
          <w:rStyle w:val="FootnoteReference"/>
        </w:rPr>
        <w:footnoteRef/>
      </w:r>
      <w:r w:rsidRPr="003E26E6">
        <w:rPr>
          <w:rFonts w:ascii="Calibri" w:hAnsi="Calibri" w:cs="Calibri"/>
        </w:rPr>
        <w:t xml:space="preserve"> Post market is defined as after first use of a measuring instrument for trade purposes, for example periodic re-verification or in-service inspections.</w:t>
      </w:r>
    </w:p>
  </w:footnote>
  <w:footnote w:id="41">
    <w:p w:rsidR="006A65A2" w:rsidRDefault="006A65A2" w:rsidP="007138AB">
      <w:pPr>
        <w:pStyle w:val="FootnoteText"/>
      </w:pPr>
      <w:r>
        <w:rPr>
          <w:rStyle w:val="FootnoteReference"/>
        </w:rPr>
        <w:footnoteRef/>
      </w:r>
      <w:r w:rsidRPr="003E26E6">
        <w:rPr>
          <w:rFonts w:ascii="Calibri" w:hAnsi="Calibri" w:cs="Calibri"/>
        </w:rPr>
        <w:t xml:space="preserve"> This is also known as conformity to type (CTT).</w:t>
      </w:r>
    </w:p>
  </w:footnote>
  <w:footnote w:id="42">
    <w:p w:rsidR="006A65A2" w:rsidRPr="003E26E6" w:rsidRDefault="006A65A2" w:rsidP="00D52745">
      <w:pPr>
        <w:pStyle w:val="FootnoteText"/>
        <w:rPr>
          <w:rFonts w:ascii="Calibri" w:hAnsi="Calibri" w:cs="Calibri"/>
        </w:rPr>
      </w:pPr>
      <w:r>
        <w:rPr>
          <w:rStyle w:val="FootnoteReference"/>
        </w:rPr>
        <w:footnoteRef/>
      </w:r>
      <w:r w:rsidRPr="003E26E6">
        <w:rPr>
          <w:rFonts w:ascii="Calibri" w:hAnsi="Calibri" w:cs="Calibri"/>
        </w:rPr>
        <w:t xml:space="preserve"> The test method being used to test and verify measuring instruments is typically formalised as a National Instrument Test Procedure (NITP</w:t>
      </w:r>
      <w:r>
        <w:rPr>
          <w:rFonts w:ascii="Calibri" w:hAnsi="Calibri" w:cs="Calibri"/>
        </w:rPr>
        <w:t>).</w:t>
      </w:r>
    </w:p>
  </w:footnote>
  <w:footnote w:id="43">
    <w:p w:rsidR="006A65A2" w:rsidRDefault="006A65A2" w:rsidP="00D52745">
      <w:pPr>
        <w:pStyle w:val="FootnoteText"/>
      </w:pPr>
      <w:r>
        <w:rPr>
          <w:rStyle w:val="FootnoteReference"/>
        </w:rPr>
        <w:footnoteRef/>
      </w:r>
      <w:r>
        <w:t xml:space="preserve"> </w:t>
      </w:r>
      <w:r w:rsidRPr="00B97FB1">
        <w:rPr>
          <w:rFonts w:asciiTheme="minorHAnsi" w:hAnsiTheme="minorHAnsi" w:cstheme="minorHAnsi"/>
        </w:rPr>
        <w:t xml:space="preserve">Schedule 2 of the </w:t>
      </w:r>
      <w:r w:rsidRPr="00B97FB1">
        <w:rPr>
          <w:rFonts w:asciiTheme="minorHAnsi" w:hAnsiTheme="minorHAnsi" w:cstheme="minorHAnsi"/>
          <w:i/>
        </w:rPr>
        <w:t xml:space="preserve">National Trade Measurement </w:t>
      </w:r>
      <w:r>
        <w:rPr>
          <w:rFonts w:asciiTheme="minorHAnsi" w:hAnsiTheme="minorHAnsi" w:cstheme="minorHAnsi"/>
          <w:i/>
        </w:rPr>
        <w:t>Regulations</w:t>
      </w:r>
      <w:r w:rsidRPr="00B97FB1">
        <w:rPr>
          <w:rFonts w:asciiTheme="minorHAnsi" w:hAnsiTheme="minorHAnsi" w:cstheme="minorHAnsi"/>
          <w:i/>
        </w:rPr>
        <w:t xml:space="preserve"> 2009</w:t>
      </w:r>
      <w:r w:rsidRPr="00B97FB1">
        <w:rPr>
          <w:rFonts w:asciiTheme="minorHAnsi" w:hAnsiTheme="minorHAnsi" w:cstheme="minorHAnsi"/>
        </w:rPr>
        <w:t xml:space="preserve"> lists the current classes and subclasses of servicing licences</w:t>
      </w:r>
      <w:r>
        <w:t xml:space="preserve">  </w:t>
      </w:r>
    </w:p>
  </w:footnote>
  <w:footnote w:id="44">
    <w:p w:rsidR="006A65A2" w:rsidRDefault="006A65A2" w:rsidP="00D52745">
      <w:pPr>
        <w:pStyle w:val="FootnoteText"/>
      </w:pPr>
      <w:r>
        <w:rPr>
          <w:rStyle w:val="FootnoteReference"/>
        </w:rPr>
        <w:footnoteRef/>
      </w:r>
      <w:r>
        <w:t xml:space="preserve"> </w:t>
      </w:r>
      <w:r w:rsidRPr="0068206B">
        <w:rPr>
          <w:rFonts w:ascii="Calibri" w:hAnsi="Calibri" w:cs="Calibri"/>
        </w:rPr>
        <w:t xml:space="preserve">Currently, each type of ATP has a separate provision in the </w:t>
      </w:r>
      <w:r w:rsidRPr="0068206B">
        <w:rPr>
          <w:rFonts w:ascii="Calibri" w:hAnsi="Calibri" w:cs="Calibri"/>
          <w:i/>
        </w:rPr>
        <w:t>National Measurement Act 1960</w:t>
      </w:r>
      <w:r>
        <w:rPr>
          <w:rFonts w:ascii="Calibri" w:hAnsi="Calibri" w:cs="Calibri"/>
        </w:rPr>
        <w:t xml:space="preserve"> </w:t>
      </w:r>
      <w:r w:rsidRPr="0068206B">
        <w:rPr>
          <w:rFonts w:ascii="Calibri" w:hAnsi="Calibri" w:cs="Calibri"/>
        </w:rPr>
        <w:t xml:space="preserve">or </w:t>
      </w:r>
      <w:r>
        <w:rPr>
          <w:rFonts w:ascii="Calibri" w:hAnsi="Calibri" w:cs="Calibri"/>
        </w:rPr>
        <w:t xml:space="preserve">the </w:t>
      </w:r>
      <w:r w:rsidRPr="0068206B">
        <w:rPr>
          <w:rFonts w:ascii="Calibri" w:hAnsi="Calibri" w:cs="Calibri"/>
          <w:i/>
        </w:rPr>
        <w:t>National Measurement Regulations 1999</w:t>
      </w:r>
      <w:r>
        <w:rPr>
          <w:rFonts w:ascii="Calibri" w:hAnsi="Calibri" w:cs="Calibri"/>
        </w:rPr>
        <w:t xml:space="preserve"> </w:t>
      </w:r>
      <w:r w:rsidRPr="0068206B">
        <w:rPr>
          <w:rFonts w:ascii="Calibri" w:hAnsi="Calibri" w:cs="Calibri"/>
        </w:rPr>
        <w:t>providing for</w:t>
      </w:r>
      <w:r>
        <w:rPr>
          <w:rFonts w:ascii="Calibri" w:hAnsi="Calibri" w:cs="Calibri"/>
        </w:rPr>
        <w:t xml:space="preserve"> their </w:t>
      </w:r>
      <w:r w:rsidRPr="0068206B">
        <w:rPr>
          <w:rFonts w:ascii="Calibri" w:hAnsi="Calibri" w:cs="Calibri"/>
        </w:rPr>
        <w:t xml:space="preserve">appointment. This </w:t>
      </w:r>
      <w:r>
        <w:rPr>
          <w:rFonts w:ascii="Calibri" w:hAnsi="Calibri" w:cs="Calibri"/>
        </w:rPr>
        <w:t>involves</w:t>
      </w:r>
      <w:r w:rsidRPr="0068206B">
        <w:rPr>
          <w:rFonts w:ascii="Calibri" w:hAnsi="Calibri" w:cs="Calibri"/>
        </w:rPr>
        <w:t xml:space="preserve"> a lot of unnecessary duplication.</w:t>
      </w:r>
    </w:p>
  </w:footnote>
  <w:footnote w:id="45">
    <w:p w:rsidR="006A65A2" w:rsidRPr="003E26E6" w:rsidRDefault="006A65A2" w:rsidP="00D52745">
      <w:pPr>
        <w:pStyle w:val="FootnoteText"/>
        <w:rPr>
          <w:rFonts w:ascii="Calibri" w:hAnsi="Calibri" w:cs="Calibri"/>
        </w:rPr>
      </w:pPr>
      <w:r>
        <w:rPr>
          <w:rStyle w:val="FootnoteReference"/>
        </w:rPr>
        <w:footnoteRef/>
      </w:r>
      <w:r w:rsidRPr="003E26E6">
        <w:rPr>
          <w:rFonts w:ascii="Calibri" w:hAnsi="Calibri" w:cs="Calibri"/>
        </w:rPr>
        <w:t xml:space="preserve"> This may include such things as accreditation through any International Laboratory Accreditation Cooperation (ILAC) accreditation body, peer assessment or an NMI review of capability.</w:t>
      </w:r>
    </w:p>
  </w:footnote>
  <w:footnote w:id="46">
    <w:p w:rsidR="006A65A2" w:rsidRPr="003E26E6" w:rsidRDefault="006A65A2" w:rsidP="00D3740F">
      <w:pPr>
        <w:pStyle w:val="FootnoteText"/>
        <w:rPr>
          <w:rFonts w:ascii="Calibri" w:hAnsi="Calibri" w:cs="Calibri"/>
        </w:rPr>
      </w:pPr>
      <w:r>
        <w:rPr>
          <w:rStyle w:val="FootnoteReference"/>
        </w:rPr>
        <w:footnoteRef/>
      </w:r>
      <w:r w:rsidRPr="003E26E6">
        <w:rPr>
          <w:rFonts w:ascii="Calibri" w:hAnsi="Calibri" w:cs="Calibri"/>
        </w:rPr>
        <w:t xml:space="preserve"> Shortfall is a term in the current measurement legislation used to describe the circumstance where the actual measurement of a product is less than the stated quantity. For example, where a bottle of apple juice marked 1.25 L only contains 1.2 L of juice.</w:t>
      </w:r>
    </w:p>
  </w:footnote>
  <w:footnote w:id="47">
    <w:p w:rsidR="006A65A2" w:rsidRDefault="006A65A2">
      <w:pPr>
        <w:pStyle w:val="FootnoteText"/>
      </w:pPr>
      <w:r>
        <w:rPr>
          <w:rStyle w:val="FootnoteReference"/>
        </w:rPr>
        <w:footnoteRef/>
      </w:r>
      <w:r>
        <w:t xml:space="preserve"> </w:t>
      </w:r>
      <w:r w:rsidRPr="001337AA">
        <w:rPr>
          <w:rFonts w:asciiTheme="minorHAnsi" w:hAnsiTheme="minorHAnsi" w:cstheme="minorHAnsi"/>
        </w:rPr>
        <w:t>The need to require advertising to include a measurement representation, where applicable, may be reviewed in future where a need is identified.</w:t>
      </w:r>
    </w:p>
  </w:footnote>
  <w:footnote w:id="48">
    <w:p w:rsidR="006A65A2" w:rsidRPr="003E26E6" w:rsidRDefault="006A65A2" w:rsidP="00D52745">
      <w:pPr>
        <w:pStyle w:val="FootnoteText"/>
        <w:rPr>
          <w:rFonts w:ascii="Calibri" w:hAnsi="Calibri" w:cs="Calibri"/>
        </w:rPr>
      </w:pPr>
      <w:r>
        <w:rPr>
          <w:rStyle w:val="FootnoteReference"/>
        </w:rPr>
        <w:footnoteRef/>
      </w:r>
      <w:r w:rsidRPr="003E26E6">
        <w:rPr>
          <w:rFonts w:ascii="Calibri" w:hAnsi="Calibri" w:cs="Calibri"/>
        </w:rPr>
        <w:t xml:space="preserve"> </w:t>
      </w:r>
      <w:hyperlink r:id="rId7" w:history="1">
        <w:r w:rsidRPr="00177CFB">
          <w:rPr>
            <w:rStyle w:val="Hyperlink"/>
            <w:rFonts w:ascii="Calibri" w:hAnsi="Calibri" w:cs="Calibri"/>
          </w:rPr>
          <w:t>OIML R79: Labelling requirements for prepackages</w:t>
        </w:r>
      </w:hyperlink>
      <w:r w:rsidRPr="003E26E6">
        <w:rPr>
          <w:rFonts w:ascii="Calibri" w:hAnsi="Calibri" w:cs="Calibri"/>
        </w:rPr>
        <w:t xml:space="preserve"> includes recommendations at 5.5 regarding the method of measurement that should be used for packaged products.</w:t>
      </w:r>
    </w:p>
  </w:footnote>
  <w:footnote w:id="49">
    <w:p w:rsidR="006A65A2" w:rsidRDefault="006A65A2" w:rsidP="007138AB">
      <w:pPr>
        <w:pStyle w:val="FootnoteText"/>
      </w:pPr>
      <w:r>
        <w:rPr>
          <w:rStyle w:val="FootnoteReference"/>
        </w:rPr>
        <w:footnoteRef/>
      </w:r>
      <w:r w:rsidRPr="003E26E6">
        <w:rPr>
          <w:rFonts w:ascii="Calibri" w:hAnsi="Calibri" w:cs="Calibri"/>
        </w:rPr>
        <w:t xml:space="preserve"> </w:t>
      </w:r>
      <w:hyperlink r:id="rId8" w:history="1">
        <w:r w:rsidRPr="00177CFB">
          <w:rPr>
            <w:rStyle w:val="Hyperlink"/>
            <w:rFonts w:ascii="Calibri" w:hAnsi="Calibri" w:cs="Calibri"/>
          </w:rPr>
          <w:t>OIML R79: Labelling requirements for prepackages</w:t>
        </w:r>
      </w:hyperlink>
      <w:r w:rsidRPr="003E26E6">
        <w:rPr>
          <w:rFonts w:ascii="Calibri" w:hAnsi="Calibri" w:cs="Calibri"/>
        </w:rPr>
        <w:t xml:space="preserve"> recommends at 5.1 that “a pre</w:t>
      </w:r>
      <w:r>
        <w:rPr>
          <w:rFonts w:ascii="Calibri" w:hAnsi="Calibri" w:cs="Calibri"/>
        </w:rPr>
        <w:t>-</w:t>
      </w:r>
      <w:r w:rsidRPr="003E26E6">
        <w:rPr>
          <w:rFonts w:ascii="Calibri" w:hAnsi="Calibri" w:cs="Calibri"/>
        </w:rPr>
        <w:t>package shall bear a declaration of the nominal quantity on the principal display panel”.</w:t>
      </w:r>
    </w:p>
  </w:footnote>
  <w:footnote w:id="50">
    <w:p w:rsidR="006A65A2" w:rsidRPr="003E26E6" w:rsidRDefault="006A65A2">
      <w:pPr>
        <w:pStyle w:val="FootnoteText"/>
        <w:rPr>
          <w:rFonts w:ascii="Calibri" w:hAnsi="Calibri" w:cs="Calibri"/>
        </w:rPr>
      </w:pPr>
      <w:r>
        <w:rPr>
          <w:rStyle w:val="FootnoteReference"/>
        </w:rPr>
        <w:footnoteRef/>
      </w:r>
      <w:r w:rsidRPr="003E26E6">
        <w:rPr>
          <w:rFonts w:ascii="Calibri" w:hAnsi="Calibri" w:cs="Calibri"/>
        </w:rPr>
        <w:t xml:space="preserve"> The department reviewed Part 4 of the </w:t>
      </w:r>
      <w:r w:rsidRPr="003E26E6">
        <w:rPr>
          <w:rFonts w:ascii="Calibri" w:hAnsi="Calibri" w:cs="Calibri"/>
          <w:i/>
        </w:rPr>
        <w:t>National Trade Measurement Regulations 2009</w:t>
      </w:r>
      <w:r w:rsidRPr="003E26E6">
        <w:rPr>
          <w:rFonts w:ascii="Calibri" w:hAnsi="Calibri" w:cs="Calibri"/>
        </w:rPr>
        <w:t xml:space="preserve"> from 2015 to 2018. Part 4 defines how the measurements related to packaging are controlled. The purpose of the review was to identify where red tape could be cut without compromising the objectives of the national trade measurement system. Further information on the Packaging Review can be found here: </w:t>
      </w:r>
      <w:hyperlink r:id="rId9" w:history="1">
        <w:r w:rsidRPr="003E26E6">
          <w:rPr>
            <w:rStyle w:val="Hyperlink"/>
            <w:rFonts w:ascii="Calibri" w:hAnsi="Calibri" w:cs="Calibri"/>
          </w:rPr>
          <w:t>https://www.industry.gov.au/regulations-and-standards/measurement-standards/review-of-measurement-markings-on-packaging</w:t>
        </w:r>
      </w:hyperlink>
      <w:r w:rsidRPr="003E26E6">
        <w:rPr>
          <w:rStyle w:val="Hyperlink"/>
          <w:rFonts w:ascii="Calibri" w:hAnsi="Calibri" w:cs="Calibri"/>
        </w:rPr>
        <w:t>,</w:t>
      </w:r>
    </w:p>
  </w:footnote>
  <w:footnote w:id="51">
    <w:p w:rsidR="006A65A2" w:rsidRPr="003E40E5" w:rsidRDefault="006A65A2">
      <w:pPr>
        <w:pStyle w:val="FootnoteText"/>
        <w:rPr>
          <w:rFonts w:asciiTheme="minorHAnsi" w:hAnsiTheme="minorHAnsi" w:cstheme="minorHAnsi"/>
        </w:rPr>
      </w:pPr>
      <w:r w:rsidRPr="003E40E5">
        <w:rPr>
          <w:rStyle w:val="FootnoteReference"/>
          <w:rFonts w:asciiTheme="minorHAnsi" w:hAnsiTheme="minorHAnsi" w:cstheme="minorHAnsi"/>
        </w:rPr>
        <w:footnoteRef/>
      </w:r>
      <w:r w:rsidRPr="003E40E5">
        <w:rPr>
          <w:rFonts w:asciiTheme="minorHAnsi" w:hAnsiTheme="minorHAnsi" w:cstheme="minorHAnsi"/>
        </w:rPr>
        <w:t xml:space="preserve"> Further information on the UPC can be found at: </w:t>
      </w:r>
      <w:hyperlink r:id="rId10" w:history="1">
        <w:r w:rsidRPr="003E40E5">
          <w:rPr>
            <w:rStyle w:val="Hyperlink"/>
            <w:rFonts w:asciiTheme="minorHAnsi" w:hAnsiTheme="minorHAnsi" w:cstheme="minorHAnsi"/>
          </w:rPr>
          <w:t>https://www.accc.gov.au/business/industry-codes/unit-pricing-code</w:t>
        </w:r>
      </w:hyperlink>
      <w:r w:rsidRPr="003E40E5">
        <w:rPr>
          <w:rStyle w:val="Hyperlink"/>
          <w:rFonts w:asciiTheme="minorHAnsi" w:hAnsiTheme="minorHAnsi" w:cstheme="minorHAnsi"/>
        </w:rPr>
        <w:t>.</w:t>
      </w:r>
    </w:p>
  </w:footnote>
  <w:footnote w:id="52">
    <w:p w:rsidR="006A65A2" w:rsidRPr="003E40E5" w:rsidRDefault="006A65A2" w:rsidP="00370027">
      <w:pPr>
        <w:pStyle w:val="FootnoteText"/>
        <w:rPr>
          <w:rFonts w:asciiTheme="minorHAnsi" w:hAnsiTheme="minorHAnsi" w:cstheme="minorHAnsi"/>
        </w:rPr>
      </w:pPr>
      <w:r w:rsidRPr="003E40E5">
        <w:rPr>
          <w:rStyle w:val="FootnoteReference"/>
          <w:rFonts w:asciiTheme="minorHAnsi" w:hAnsiTheme="minorHAnsi" w:cstheme="minorHAnsi"/>
        </w:rPr>
        <w:footnoteRef/>
      </w:r>
      <w:r w:rsidRPr="003E40E5">
        <w:rPr>
          <w:rFonts w:asciiTheme="minorHAnsi" w:hAnsiTheme="minorHAnsi" w:cstheme="minorHAnsi"/>
        </w:rPr>
        <w:t xml:space="preserve"> Paragraph 4.10(3)(a) </w:t>
      </w:r>
      <w:r w:rsidRPr="003E40E5">
        <w:rPr>
          <w:rFonts w:asciiTheme="minorHAnsi" w:hAnsiTheme="minorHAnsi" w:cstheme="minorHAnsi"/>
          <w:i/>
        </w:rPr>
        <w:t>National Trade Measurement Regulations 2009</w:t>
      </w:r>
      <w:r w:rsidRPr="003E40E5">
        <w:rPr>
          <w:rFonts w:asciiTheme="minorHAnsi" w:hAnsiTheme="minorHAnsi" w:cstheme="minorHAnsi"/>
        </w:rPr>
        <w:t>.</w:t>
      </w:r>
    </w:p>
  </w:footnote>
  <w:footnote w:id="53">
    <w:p w:rsidR="006A65A2" w:rsidRPr="003E26E6" w:rsidRDefault="006A65A2" w:rsidP="00370027">
      <w:pPr>
        <w:pStyle w:val="FootnoteText"/>
        <w:rPr>
          <w:rFonts w:ascii="Calibri" w:hAnsi="Calibri" w:cs="Calibri"/>
        </w:rPr>
      </w:pPr>
      <w:r w:rsidRPr="003E40E5">
        <w:rPr>
          <w:rStyle w:val="FootnoteReference"/>
          <w:rFonts w:asciiTheme="minorHAnsi" w:hAnsiTheme="minorHAnsi" w:cstheme="minorHAnsi"/>
        </w:rPr>
        <w:footnoteRef/>
      </w:r>
      <w:r w:rsidRPr="003E26E6">
        <w:rPr>
          <w:rFonts w:ascii="Calibri" w:hAnsi="Calibri" w:cs="Calibri"/>
        </w:rPr>
        <w:t xml:space="preserve"> Paragraph 4.10(3)(b) </w:t>
      </w:r>
      <w:r w:rsidRPr="003E26E6">
        <w:rPr>
          <w:rFonts w:ascii="Calibri" w:hAnsi="Calibri" w:cs="Calibri"/>
          <w:i/>
        </w:rPr>
        <w:t>National Trade Measurement Regulations 2009</w:t>
      </w:r>
      <w:r w:rsidRPr="003E26E6">
        <w:rPr>
          <w:rFonts w:ascii="Calibri" w:hAnsi="Calibri" w:cs="Calibri"/>
        </w:rPr>
        <w:t>.</w:t>
      </w:r>
    </w:p>
  </w:footnote>
  <w:footnote w:id="54">
    <w:p w:rsidR="006A65A2" w:rsidRPr="003E26E6" w:rsidRDefault="006A65A2" w:rsidP="00370027">
      <w:pPr>
        <w:pStyle w:val="FootnoteText"/>
        <w:rPr>
          <w:rFonts w:ascii="Calibri" w:hAnsi="Calibri" w:cs="Calibri"/>
        </w:rPr>
      </w:pPr>
      <w:r>
        <w:rPr>
          <w:rStyle w:val="FootnoteReference"/>
        </w:rPr>
        <w:footnoteRef/>
      </w:r>
      <w:r w:rsidRPr="003E26E6">
        <w:rPr>
          <w:rFonts w:ascii="Calibri" w:hAnsi="Calibri" w:cs="Calibri"/>
        </w:rPr>
        <w:t xml:space="preserve"> Clause 3.1 of Schedule 4 </w:t>
      </w:r>
      <w:r w:rsidRPr="003E26E6">
        <w:rPr>
          <w:rFonts w:ascii="Calibri" w:hAnsi="Calibri" w:cs="Calibri"/>
          <w:i/>
        </w:rPr>
        <w:t>National Trade Measurement Regulations 2009</w:t>
      </w:r>
      <w:r w:rsidRPr="003E26E6">
        <w:rPr>
          <w:rFonts w:ascii="Calibri" w:hAnsi="Calibri" w:cs="Calibri"/>
        </w:rPr>
        <w:t>.</w:t>
      </w:r>
    </w:p>
  </w:footnote>
  <w:footnote w:id="55">
    <w:p w:rsidR="006A65A2" w:rsidRDefault="006A65A2" w:rsidP="00370027">
      <w:pPr>
        <w:pStyle w:val="FootnoteText"/>
      </w:pPr>
      <w:r>
        <w:rPr>
          <w:rStyle w:val="FootnoteReference"/>
        </w:rPr>
        <w:footnoteRef/>
      </w:r>
      <w:r w:rsidRPr="003E26E6">
        <w:rPr>
          <w:rFonts w:ascii="Calibri" w:hAnsi="Calibri" w:cs="Calibri"/>
        </w:rPr>
        <w:t xml:space="preserve"> </w:t>
      </w:r>
      <w:hyperlink r:id="rId11" w:history="1">
        <w:r w:rsidRPr="003E26E6">
          <w:rPr>
            <w:rStyle w:val="Hyperlink"/>
            <w:rFonts w:ascii="Calibri" w:hAnsi="Calibri" w:cs="Calibri"/>
            <w:i/>
          </w:rPr>
          <w:t>Therapeutic Goods Order No. 92 – Standard for labels of non-prescription medicines</w:t>
        </w:r>
      </w:hyperlink>
      <w:r w:rsidRPr="003E26E6">
        <w:rPr>
          <w:rFonts w:ascii="Calibri" w:hAnsi="Calibri" w:cs="Calibri"/>
        </w:rPr>
        <w:t>, particularly order 7.</w:t>
      </w:r>
    </w:p>
  </w:footnote>
  <w:footnote w:id="56">
    <w:p w:rsidR="006A65A2" w:rsidRPr="003E26E6" w:rsidRDefault="006A65A2" w:rsidP="007138AB">
      <w:pPr>
        <w:pStyle w:val="FootnoteText"/>
        <w:rPr>
          <w:rFonts w:ascii="Calibri" w:hAnsi="Calibri" w:cs="Calibri"/>
        </w:rPr>
      </w:pPr>
      <w:r>
        <w:rPr>
          <w:rStyle w:val="FootnoteReference"/>
        </w:rPr>
        <w:footnoteRef/>
      </w:r>
      <w:r w:rsidRPr="003E26E6">
        <w:rPr>
          <w:rFonts w:ascii="Calibri" w:hAnsi="Calibri" w:cs="Calibri"/>
        </w:rPr>
        <w:t xml:space="preserve"> </w:t>
      </w:r>
      <w:hyperlink r:id="rId12" w:history="1">
        <w:r w:rsidRPr="0076683E">
          <w:rPr>
            <w:rStyle w:val="Hyperlink"/>
            <w:rFonts w:ascii="Calibri" w:hAnsi="Calibri" w:cs="Calibri"/>
          </w:rPr>
          <w:t>https://www.legislation.gov.au/Details/F2018C00464</w:t>
        </w:r>
      </w:hyperlink>
      <w:r>
        <w:rPr>
          <w:rFonts w:ascii="Calibri" w:hAnsi="Calibri" w:cs="Calibri"/>
        </w:rPr>
        <w:t>.</w:t>
      </w:r>
    </w:p>
  </w:footnote>
  <w:footnote w:id="57">
    <w:p w:rsidR="006A65A2" w:rsidRPr="003E26E6" w:rsidRDefault="006A65A2" w:rsidP="007138AB">
      <w:pPr>
        <w:pStyle w:val="FootnoteText"/>
        <w:rPr>
          <w:rFonts w:ascii="Calibri" w:hAnsi="Calibri" w:cs="Calibri"/>
        </w:rPr>
      </w:pPr>
      <w:r>
        <w:rPr>
          <w:rStyle w:val="FootnoteReference"/>
        </w:rPr>
        <w:footnoteRef/>
      </w:r>
      <w:r w:rsidRPr="003E26E6">
        <w:rPr>
          <w:rFonts w:ascii="Calibri" w:hAnsi="Calibri" w:cs="Calibri"/>
        </w:rPr>
        <w:t xml:space="preserve"> </w:t>
      </w:r>
      <w:hyperlink r:id="rId13" w:history="1">
        <w:r w:rsidRPr="003E26E6">
          <w:rPr>
            <w:rStyle w:val="Hyperlink"/>
            <w:rFonts w:ascii="Calibri" w:hAnsi="Calibri" w:cs="Calibri"/>
          </w:rPr>
          <w:t>https://www.legislation.gov.au/Details/F2009L02457</w:t>
        </w:r>
      </w:hyperlink>
      <w:r>
        <w:rPr>
          <w:rStyle w:val="Hyperlink"/>
          <w:rFonts w:ascii="Calibri" w:hAnsi="Calibri" w:cs="Calibri"/>
        </w:rPr>
        <w:t>.</w:t>
      </w:r>
    </w:p>
  </w:footnote>
  <w:footnote w:id="58">
    <w:p w:rsidR="006A65A2" w:rsidRPr="003E26E6" w:rsidRDefault="006A65A2" w:rsidP="007138AB">
      <w:pPr>
        <w:pStyle w:val="FootnoteText"/>
        <w:rPr>
          <w:rFonts w:ascii="Calibri" w:hAnsi="Calibri" w:cs="Calibri"/>
        </w:rPr>
      </w:pPr>
      <w:r>
        <w:rPr>
          <w:rStyle w:val="FootnoteReference"/>
        </w:rPr>
        <w:footnoteRef/>
      </w:r>
      <w:r w:rsidRPr="003E26E6">
        <w:rPr>
          <w:rFonts w:ascii="Calibri" w:hAnsi="Calibri" w:cs="Calibri"/>
        </w:rPr>
        <w:t xml:space="preserve"> </w:t>
      </w:r>
      <w:hyperlink r:id="rId14" w:history="1">
        <w:r w:rsidRPr="0076683E">
          <w:rPr>
            <w:rStyle w:val="Hyperlink"/>
            <w:rFonts w:ascii="Calibri" w:hAnsi="Calibri" w:cs="Calibri"/>
          </w:rPr>
          <w:t>https://www.legislation.gov.au/Details/F2009L02457</w:t>
        </w:r>
      </w:hyperlink>
      <w:r>
        <w:rPr>
          <w:rStyle w:val="Hyperlink"/>
          <w:rFonts w:ascii="Calibri" w:hAnsi="Calibri" w:cs="Calibri"/>
        </w:rPr>
        <w:t>.</w:t>
      </w:r>
      <w:r>
        <w:rPr>
          <w:rFonts w:ascii="Calibri" w:hAnsi="Calibri" w:cs="Calibri"/>
        </w:rPr>
        <w:t xml:space="preserve"> </w:t>
      </w:r>
    </w:p>
  </w:footnote>
  <w:footnote w:id="59">
    <w:p w:rsidR="006A65A2" w:rsidRPr="003E26E6" w:rsidRDefault="006A65A2">
      <w:pPr>
        <w:pStyle w:val="FootnoteText"/>
        <w:rPr>
          <w:rFonts w:ascii="Calibri" w:hAnsi="Calibri" w:cs="Calibri"/>
        </w:rPr>
      </w:pPr>
      <w:r>
        <w:rPr>
          <w:rStyle w:val="FootnoteReference"/>
        </w:rPr>
        <w:footnoteRef/>
      </w:r>
      <w:r w:rsidRPr="003E26E6">
        <w:rPr>
          <w:rFonts w:ascii="Calibri" w:hAnsi="Calibri" w:cs="Calibri"/>
        </w:rPr>
        <w:t xml:space="preserve"> </w:t>
      </w:r>
      <w:hyperlink r:id="rId15" w:history="1">
        <w:r w:rsidRPr="003E26E6">
          <w:rPr>
            <w:rStyle w:val="Hyperlink"/>
            <w:rFonts w:ascii="Calibri" w:hAnsi="Calibri" w:cs="Calibri"/>
          </w:rPr>
          <w:t>15 USC Ch 39: Fair Packaging and Labeling Program</w:t>
        </w:r>
      </w:hyperlink>
      <w:r w:rsidRPr="003E26E6">
        <w:rPr>
          <w:rFonts w:ascii="Calibri" w:hAnsi="Calibri" w:cs="Calibri"/>
        </w:rPr>
        <w:t>, paragraph 1453(a)(2)</w:t>
      </w:r>
      <w:r>
        <w:rPr>
          <w:rFonts w:ascii="Calibri" w:hAnsi="Calibri" w:cs="Calibri"/>
        </w:rPr>
        <w:t>.</w:t>
      </w:r>
    </w:p>
  </w:footnote>
  <w:footnote w:id="60">
    <w:p w:rsidR="006A65A2" w:rsidRPr="003E26E6" w:rsidDel="00DF600F" w:rsidRDefault="006A65A2">
      <w:pPr>
        <w:pStyle w:val="FootnoteText"/>
        <w:rPr>
          <w:rFonts w:ascii="Calibri" w:hAnsi="Calibri" w:cs="Calibri"/>
        </w:rPr>
      </w:pPr>
      <w:r w:rsidDel="00DF600F">
        <w:rPr>
          <w:rStyle w:val="FootnoteReference"/>
        </w:rPr>
        <w:footnoteRef/>
      </w:r>
      <w:r w:rsidRPr="003E26E6">
        <w:rPr>
          <w:rFonts w:ascii="Calibri" w:hAnsi="Calibri" w:cs="Calibri"/>
        </w:rPr>
        <w:t xml:space="preserve"> </w:t>
      </w:r>
      <w:hyperlink r:id="rId16" w:history="1">
        <w:r w:rsidRPr="003E26E6">
          <w:rPr>
            <w:rStyle w:val="Hyperlink"/>
            <w:rFonts w:ascii="Calibri" w:hAnsi="Calibri" w:cs="Calibri"/>
          </w:rPr>
          <w:t>Weights and Measures Regulations (C.R.C., c. 1605)</w:t>
        </w:r>
      </w:hyperlink>
      <w:r w:rsidRPr="003E26E6">
        <w:rPr>
          <w:rFonts w:ascii="Calibri" w:hAnsi="Calibri" w:cs="Calibri"/>
        </w:rPr>
        <w:t>, paragraph 47(a)</w:t>
      </w:r>
      <w:r>
        <w:rPr>
          <w:rFonts w:ascii="Calibri" w:hAnsi="Calibri" w:cs="Calibri"/>
        </w:rPr>
        <w:t>.</w:t>
      </w:r>
    </w:p>
  </w:footnote>
  <w:footnote w:id="61">
    <w:p w:rsidR="006A65A2" w:rsidRDefault="006A65A2">
      <w:pPr>
        <w:pStyle w:val="FootnoteText"/>
      </w:pPr>
      <w:r>
        <w:rPr>
          <w:rStyle w:val="FootnoteReference"/>
        </w:rPr>
        <w:footnoteRef/>
      </w:r>
      <w:r w:rsidRPr="003E26E6">
        <w:rPr>
          <w:rFonts w:ascii="Calibri" w:hAnsi="Calibri" w:cs="Calibri"/>
        </w:rPr>
        <w:t xml:space="preserve"> </w:t>
      </w:r>
      <w:hyperlink r:id="rId17" w:history="1">
        <w:r w:rsidRPr="003E26E6">
          <w:rPr>
            <w:rStyle w:val="Hyperlink"/>
            <w:rFonts w:ascii="Calibri" w:hAnsi="Calibri" w:cs="Calibri"/>
            <w:i/>
          </w:rPr>
          <w:t>The Legal Metrology (Packaged Commodities) Rules</w:t>
        </w:r>
      </w:hyperlink>
      <w:r w:rsidRPr="003E26E6">
        <w:rPr>
          <w:rFonts w:ascii="Calibri" w:hAnsi="Calibri" w:cs="Calibri"/>
          <w:i/>
        </w:rPr>
        <w:t xml:space="preserve"> 2011</w:t>
      </w:r>
      <w:r w:rsidRPr="003E26E6">
        <w:rPr>
          <w:rFonts w:ascii="Calibri" w:hAnsi="Calibri" w:cs="Calibri"/>
        </w:rPr>
        <w:t>, regulation 8</w:t>
      </w:r>
      <w:r>
        <w:rPr>
          <w:rFonts w:ascii="Calibri" w:hAnsi="Calibri" w:cs="Calibri"/>
        </w:rPr>
        <w:t>.</w:t>
      </w:r>
    </w:p>
  </w:footnote>
  <w:footnote w:id="62">
    <w:p w:rsidR="006A65A2" w:rsidRPr="003E26E6" w:rsidRDefault="006A65A2" w:rsidP="003E26E6">
      <w:pPr>
        <w:pStyle w:val="FootnoteText"/>
        <w:rPr>
          <w:rFonts w:ascii="Calibri" w:hAnsi="Calibri" w:cs="Calibri"/>
        </w:rPr>
      </w:pPr>
      <w:r>
        <w:rPr>
          <w:rStyle w:val="FootnoteReference"/>
        </w:rPr>
        <w:footnoteRef/>
      </w:r>
      <w:r w:rsidRPr="003E26E6">
        <w:rPr>
          <w:rFonts w:ascii="Calibri" w:hAnsi="Calibri" w:cs="Calibri"/>
        </w:rPr>
        <w:t xml:space="preserve"> </w:t>
      </w:r>
      <w:hyperlink r:id="rId18" w:history="1">
        <w:r w:rsidRPr="003E26E6">
          <w:rPr>
            <w:rStyle w:val="Hyperlink"/>
            <w:rFonts w:ascii="Calibri" w:hAnsi="Calibri" w:cs="Calibri"/>
          </w:rPr>
          <w:t>Council Directive 76/211/EEC of 20 January 1976 on the approximation of the laws of the Member States relating to the making-up by weight or by volume of certain prepackaged products</w:t>
        </w:r>
      </w:hyperlink>
      <w:r w:rsidRPr="003E26E6">
        <w:rPr>
          <w:rFonts w:ascii="Calibri" w:hAnsi="Calibri" w:cs="Calibri"/>
        </w:rPr>
        <w:t>, Clause 3, Annex 1</w:t>
      </w:r>
      <w:r>
        <w:rPr>
          <w:rFonts w:ascii="Calibri" w:hAnsi="Calibri" w:cs="Calibri"/>
        </w:rPr>
        <w:t>.</w:t>
      </w:r>
    </w:p>
  </w:footnote>
  <w:footnote w:id="63">
    <w:p w:rsidR="006A65A2" w:rsidRPr="003E26E6" w:rsidRDefault="006A65A2" w:rsidP="003E26E6">
      <w:pPr>
        <w:pStyle w:val="FootnoteText"/>
        <w:rPr>
          <w:rFonts w:ascii="Calibri" w:hAnsi="Calibri" w:cs="Calibri"/>
        </w:rPr>
      </w:pPr>
      <w:r>
        <w:rPr>
          <w:rStyle w:val="FootnoteReference"/>
        </w:rPr>
        <w:footnoteRef/>
      </w:r>
      <w:r w:rsidRPr="003E26E6">
        <w:rPr>
          <w:rFonts w:ascii="Calibri" w:hAnsi="Calibri" w:cs="Calibri"/>
        </w:rPr>
        <w:t xml:space="preserve"> </w:t>
      </w:r>
      <w:hyperlink r:id="rId19" w:history="1">
        <w:r w:rsidRPr="003E26E6">
          <w:rPr>
            <w:rStyle w:val="Hyperlink"/>
            <w:rFonts w:ascii="Calibri" w:hAnsi="Calibri" w:cs="Calibri"/>
          </w:rPr>
          <w:t>The Weights and Measures (Packaged Goods) Regulations 2006</w:t>
        </w:r>
      </w:hyperlink>
      <w:r w:rsidRPr="003E26E6">
        <w:rPr>
          <w:rFonts w:ascii="Calibri" w:hAnsi="Calibri" w:cs="Calibri"/>
        </w:rPr>
        <w:t>, regulation 5(1)</w:t>
      </w:r>
      <w:r>
        <w:rPr>
          <w:rFonts w:ascii="Calibri" w:hAnsi="Calibri" w:cs="Calibri"/>
        </w:rPr>
        <w:t>.</w:t>
      </w:r>
    </w:p>
  </w:footnote>
  <w:footnote w:id="64">
    <w:p w:rsidR="006A65A2" w:rsidRPr="003E26E6" w:rsidRDefault="006A65A2" w:rsidP="004729E2">
      <w:pPr>
        <w:pStyle w:val="FootnoteText"/>
        <w:rPr>
          <w:rFonts w:ascii="Calibri" w:hAnsi="Calibri" w:cs="Calibri"/>
        </w:rPr>
      </w:pPr>
      <w:r>
        <w:rPr>
          <w:rStyle w:val="FootnoteReference"/>
        </w:rPr>
        <w:footnoteRef/>
      </w:r>
      <w:r w:rsidRPr="003E26E6">
        <w:rPr>
          <w:rFonts w:ascii="Calibri" w:hAnsi="Calibri" w:cs="Calibri"/>
        </w:rPr>
        <w:t xml:space="preserve"> </w:t>
      </w:r>
      <w:hyperlink r:id="rId20" w:history="1">
        <w:r w:rsidRPr="003E26E6">
          <w:rPr>
            <w:rStyle w:val="Hyperlink"/>
            <w:rFonts w:ascii="Calibri" w:hAnsi="Calibri" w:cs="Calibri"/>
            <w:i/>
          </w:rPr>
          <w:t>Weights and Measures Regulations 1999</w:t>
        </w:r>
      </w:hyperlink>
      <w:r w:rsidRPr="003E26E6">
        <w:rPr>
          <w:rFonts w:ascii="Calibri" w:hAnsi="Calibri" w:cs="Calibri"/>
        </w:rPr>
        <w:t>, paragraph 79(a)(a) – general and paragraph 79A(5)(b) – packages of food</w:t>
      </w:r>
    </w:p>
  </w:footnote>
  <w:footnote w:id="65">
    <w:p w:rsidR="006A65A2" w:rsidRPr="003E26E6" w:rsidRDefault="006A65A2" w:rsidP="003E26E6">
      <w:pPr>
        <w:pStyle w:val="FootnoteText"/>
        <w:rPr>
          <w:rFonts w:ascii="Calibri" w:hAnsi="Calibri" w:cs="Calibri"/>
        </w:rPr>
      </w:pPr>
      <w:r>
        <w:rPr>
          <w:rStyle w:val="FootnoteReference"/>
        </w:rPr>
        <w:footnoteRef/>
      </w:r>
      <w:r w:rsidRPr="003E26E6">
        <w:rPr>
          <w:rFonts w:ascii="Calibri" w:hAnsi="Calibri" w:cs="Calibri"/>
        </w:rPr>
        <w:t xml:space="preserve"> </w:t>
      </w:r>
      <w:hyperlink r:id="rId21" w:history="1">
        <w:r w:rsidRPr="003E26E6">
          <w:rPr>
            <w:rStyle w:val="Hyperlink"/>
            <w:rFonts w:ascii="Calibri" w:hAnsi="Calibri" w:cs="Calibri"/>
          </w:rPr>
          <w:t>General Principles for the Labelling of Prepackaged Foods (GB7718-xxxx) (in draft for comment with the WTO, 14 May 2020)</w:t>
        </w:r>
      </w:hyperlink>
      <w:r w:rsidRPr="003E26E6">
        <w:rPr>
          <w:rFonts w:ascii="Calibri" w:hAnsi="Calibri" w:cs="Calibri"/>
        </w:rPr>
        <w:t>, section 4.5.3.</w:t>
      </w:r>
    </w:p>
  </w:footnote>
  <w:footnote w:id="66">
    <w:p w:rsidR="006A65A2" w:rsidRPr="003E26E6" w:rsidRDefault="006A65A2" w:rsidP="003E26E6">
      <w:pPr>
        <w:pStyle w:val="FootnoteText"/>
        <w:rPr>
          <w:rFonts w:ascii="Calibri" w:hAnsi="Calibri" w:cs="Calibri"/>
        </w:rPr>
      </w:pPr>
      <w:r>
        <w:rPr>
          <w:rStyle w:val="FootnoteReference"/>
        </w:rPr>
        <w:footnoteRef/>
      </w:r>
      <w:r w:rsidRPr="003E26E6">
        <w:rPr>
          <w:rFonts w:ascii="Calibri" w:hAnsi="Calibri" w:cs="Calibri"/>
        </w:rPr>
        <w:t xml:space="preserve"> As above, section 4.2.1</w:t>
      </w:r>
      <w:r>
        <w:rPr>
          <w:rFonts w:ascii="Calibri" w:hAnsi="Calibri" w:cs="Calibri"/>
        </w:rPr>
        <w:t>.</w:t>
      </w:r>
    </w:p>
  </w:footnote>
  <w:footnote w:id="67">
    <w:p w:rsidR="006A65A2" w:rsidRPr="003E26E6" w:rsidRDefault="006A65A2" w:rsidP="003E26E6">
      <w:pPr>
        <w:pStyle w:val="FootnoteText"/>
        <w:rPr>
          <w:rFonts w:ascii="Calibri" w:hAnsi="Calibri" w:cs="Calibri"/>
        </w:rPr>
      </w:pPr>
      <w:r>
        <w:rPr>
          <w:rStyle w:val="FootnoteReference"/>
        </w:rPr>
        <w:footnoteRef/>
      </w:r>
      <w:r w:rsidRPr="003E26E6">
        <w:rPr>
          <w:rFonts w:ascii="Calibri" w:hAnsi="Calibri" w:cs="Calibri"/>
        </w:rPr>
        <w:t xml:space="preserve"> </w:t>
      </w:r>
      <w:hyperlink r:id="rId22" w:history="1">
        <w:r w:rsidRPr="003E26E6">
          <w:rPr>
            <w:rStyle w:val="Hyperlink"/>
            <w:rFonts w:ascii="Calibri" w:hAnsi="Calibri" w:cs="Calibri"/>
          </w:rPr>
          <w:t>Regulation (EU) No 1169/2011 of the European Parliament and of the Council of 25 October 2011 on the provision of food information to consumers</w:t>
        </w:r>
      </w:hyperlink>
      <w:r w:rsidRPr="003E26E6">
        <w:rPr>
          <w:rFonts w:ascii="Calibri" w:hAnsi="Calibri" w:cs="Calibri"/>
        </w:rPr>
        <w:t>, Article 13(1).</w:t>
      </w:r>
    </w:p>
  </w:footnote>
  <w:footnote w:id="68">
    <w:p w:rsidR="006A65A2" w:rsidRPr="003E26E6" w:rsidRDefault="006A65A2" w:rsidP="003E26E6">
      <w:pPr>
        <w:pStyle w:val="FootnoteText"/>
        <w:rPr>
          <w:rFonts w:ascii="Calibri" w:hAnsi="Calibri" w:cs="Calibri"/>
        </w:rPr>
      </w:pPr>
      <w:r>
        <w:rPr>
          <w:rStyle w:val="FootnoteReference"/>
        </w:rPr>
        <w:footnoteRef/>
      </w:r>
      <w:r w:rsidRPr="003E26E6">
        <w:rPr>
          <w:rFonts w:ascii="Calibri" w:hAnsi="Calibri" w:cs="Calibri"/>
        </w:rPr>
        <w:t xml:space="preserve"> As above, Article 13(5).</w:t>
      </w:r>
    </w:p>
  </w:footnote>
  <w:footnote w:id="69">
    <w:p w:rsidR="006A65A2" w:rsidRPr="009140F5" w:rsidRDefault="006A65A2" w:rsidP="003E26E6">
      <w:pPr>
        <w:pStyle w:val="FootnoteText"/>
        <w:rPr>
          <w:rFonts w:ascii="Calibri" w:hAnsi="Calibri" w:cs="Calibri"/>
          <w:szCs w:val="16"/>
        </w:rPr>
      </w:pPr>
      <w:r>
        <w:rPr>
          <w:rStyle w:val="FootnoteReference"/>
        </w:rPr>
        <w:footnoteRef/>
      </w:r>
      <w:r w:rsidRPr="003E26E6">
        <w:rPr>
          <w:rFonts w:ascii="Calibri" w:hAnsi="Calibri" w:cs="Calibri"/>
        </w:rPr>
        <w:t xml:space="preserve"> </w:t>
      </w:r>
      <w:hyperlink r:id="rId23" w:history="1">
        <w:r w:rsidRPr="003E26E6">
          <w:rPr>
            <w:rStyle w:val="Hyperlink"/>
            <w:rFonts w:ascii="Calibri" w:hAnsi="Calibri" w:cs="Calibri"/>
          </w:rPr>
          <w:t>Regulation (EC) N 1223/2009 of the European Parliament and of the Council of 30 November 2009 on cosmetic products</w:t>
        </w:r>
      </w:hyperlink>
      <w:r w:rsidRPr="003E26E6">
        <w:rPr>
          <w:rFonts w:ascii="Calibri" w:hAnsi="Calibri" w:cs="Calibri"/>
        </w:rPr>
        <w:t xml:space="preserve">, defines cosmetics in Article 2.1(a): ‘cosmetic product’ means any substance or mixture intended to be placed in contact with the external parts of </w:t>
      </w:r>
      <w:r w:rsidRPr="009140F5">
        <w:rPr>
          <w:rFonts w:ascii="Calibri" w:hAnsi="Calibri" w:cs="Calibri"/>
          <w:szCs w:val="16"/>
        </w:rPr>
        <w:t xml:space="preserve">the human body (epidermis, hair system, nails, lips and external genital organs) or with the teeth and the mucous membranes of the oral cavity with a view exclusively or mainly to cleaning them, perfuming them, changing their appearance, protecting them, keeping them in good condition or correcting body odours. </w:t>
      </w:r>
    </w:p>
  </w:footnote>
  <w:footnote w:id="70">
    <w:p w:rsidR="006A65A2" w:rsidRPr="009140F5" w:rsidRDefault="006A65A2" w:rsidP="003E26E6">
      <w:pPr>
        <w:pStyle w:val="FootnoteText"/>
        <w:rPr>
          <w:rFonts w:ascii="Calibri" w:hAnsi="Calibri" w:cs="Calibri"/>
          <w:szCs w:val="16"/>
        </w:rPr>
      </w:pPr>
      <w:r w:rsidRPr="009140F5">
        <w:rPr>
          <w:rStyle w:val="FootnoteReference"/>
          <w:szCs w:val="16"/>
        </w:rPr>
        <w:footnoteRef/>
      </w:r>
      <w:r w:rsidRPr="009140F5">
        <w:rPr>
          <w:rFonts w:ascii="Calibri" w:hAnsi="Calibri" w:cs="Calibri"/>
          <w:szCs w:val="16"/>
        </w:rPr>
        <w:t xml:space="preserve"> As above, Article 19(1).</w:t>
      </w:r>
    </w:p>
  </w:footnote>
  <w:footnote w:id="71">
    <w:p w:rsidR="006A65A2" w:rsidRDefault="006A65A2" w:rsidP="008F2C40">
      <w:pPr>
        <w:spacing w:before="60" w:after="60" w:line="240" w:lineRule="auto"/>
      </w:pPr>
      <w:r w:rsidRPr="009140F5">
        <w:rPr>
          <w:rStyle w:val="FootnoteReference"/>
          <w:sz w:val="16"/>
          <w:szCs w:val="16"/>
        </w:rPr>
        <w:footnoteRef/>
      </w:r>
      <w:r w:rsidRPr="003E26E6">
        <w:rPr>
          <w:rFonts w:ascii="Calibri" w:hAnsi="Calibri" w:cs="Calibri"/>
          <w:sz w:val="16"/>
          <w:szCs w:val="16"/>
        </w:rPr>
        <w:t xml:space="preserve"> </w:t>
      </w:r>
      <w:hyperlink r:id="rId24" w:history="1">
        <w:r w:rsidRPr="009140F5">
          <w:rPr>
            <w:rStyle w:val="Hyperlink"/>
            <w:rFonts w:ascii="Calibri" w:hAnsi="Calibri" w:cs="Calibri"/>
            <w:sz w:val="16"/>
            <w:szCs w:val="16"/>
          </w:rPr>
          <w:t>https://www.legislation.gov.au/Details/C2020C00304</w:t>
        </w:r>
      </w:hyperlink>
      <w:r w:rsidRPr="009140F5">
        <w:rPr>
          <w:rFonts w:ascii="Calibri" w:hAnsi="Calibri" w:cs="Calibri"/>
          <w:sz w:val="16"/>
          <w:szCs w:val="16"/>
        </w:rPr>
        <w:t>.</w:t>
      </w:r>
      <w:r>
        <w:t xml:space="preserve"> </w:t>
      </w:r>
    </w:p>
  </w:footnote>
  <w:footnote w:id="72">
    <w:p w:rsidR="006A65A2" w:rsidRPr="003E26E6" w:rsidRDefault="006A65A2">
      <w:pPr>
        <w:pStyle w:val="FootnoteText"/>
        <w:rPr>
          <w:rFonts w:ascii="Calibri" w:hAnsi="Calibri" w:cs="Calibri"/>
        </w:rPr>
      </w:pPr>
      <w:r>
        <w:rPr>
          <w:rStyle w:val="FootnoteReference"/>
        </w:rPr>
        <w:footnoteRef/>
      </w:r>
      <w:r w:rsidRPr="003E26E6">
        <w:rPr>
          <w:rFonts w:ascii="Calibri" w:hAnsi="Calibri" w:cs="Calibri"/>
        </w:rPr>
        <w:t xml:space="preserve"> Permits could be issued to temporarily allow the sale of a non-compliant product or the use of a non-compliant measuring instrument for a limited period.</w:t>
      </w:r>
    </w:p>
  </w:footnote>
  <w:footnote w:id="73">
    <w:p w:rsidR="006A65A2" w:rsidRDefault="006A65A2" w:rsidP="00811521">
      <w:pPr>
        <w:pStyle w:val="FootnoteText"/>
      </w:pPr>
      <w:r>
        <w:rPr>
          <w:rStyle w:val="FootnoteReference"/>
        </w:rPr>
        <w:footnoteRef/>
      </w:r>
      <w:r w:rsidRPr="003E26E6">
        <w:rPr>
          <w:rFonts w:ascii="Calibri" w:hAnsi="Calibri" w:cs="Calibri"/>
        </w:rPr>
        <w:t xml:space="preserve"> The Australian Competition and Consumer Commission (ACCC) is an economy-wide regulator responsible for delivering compliance with competition, consumer protection, product safety and infrastructure laws.</w:t>
      </w:r>
      <w:r>
        <w:t xml:space="preserve"> </w:t>
      </w:r>
    </w:p>
  </w:footnote>
  <w:footnote w:id="74">
    <w:p w:rsidR="006A65A2" w:rsidRPr="003E26E6" w:rsidRDefault="006A65A2" w:rsidP="009E3EDF">
      <w:pPr>
        <w:pStyle w:val="FootnoteText"/>
        <w:rPr>
          <w:rFonts w:ascii="Calibri" w:hAnsi="Calibri" w:cs="Calibri"/>
        </w:rPr>
      </w:pPr>
      <w:r>
        <w:rPr>
          <w:rStyle w:val="FootnoteReference"/>
        </w:rPr>
        <w:footnoteRef/>
      </w:r>
      <w:r w:rsidRPr="003E26E6">
        <w:rPr>
          <w:rFonts w:ascii="Calibri" w:hAnsi="Calibri" w:cs="Calibri"/>
        </w:rPr>
        <w:t xml:space="preserve"> Analysis was carried out according to </w:t>
      </w:r>
      <w:r w:rsidRPr="002951EC">
        <w:rPr>
          <w:rFonts w:ascii="Calibri" w:hAnsi="Calibri" w:cs="Calibri"/>
        </w:rPr>
        <w:t>key fundamental elements of the legislation</w:t>
      </w:r>
      <w:r w:rsidRPr="003E26E6">
        <w:rPr>
          <w:rFonts w:ascii="Calibri" w:hAnsi="Calibri" w:cs="Calibri"/>
        </w:rPr>
        <w:t xml:space="preserve">: traceability, measuring instruments, third </w:t>
      </w:r>
      <w:r>
        <w:rPr>
          <w:rFonts w:ascii="Calibri" w:hAnsi="Calibri" w:cs="Calibri"/>
        </w:rPr>
        <w:t>party arrangements, measurement-</w:t>
      </w:r>
      <w:r w:rsidRPr="003E26E6">
        <w:rPr>
          <w:rFonts w:ascii="Calibri" w:hAnsi="Calibri" w:cs="Calibri"/>
        </w:rPr>
        <w:t>based transactions and compliance arrangements.</w:t>
      </w:r>
    </w:p>
  </w:footnote>
  <w:footnote w:id="75">
    <w:p w:rsidR="006A65A2" w:rsidRPr="003E26E6" w:rsidRDefault="006A65A2" w:rsidP="009E3EDF">
      <w:pPr>
        <w:pStyle w:val="FootnoteText"/>
        <w:rPr>
          <w:rFonts w:ascii="Calibri" w:hAnsi="Calibri" w:cs="Calibri"/>
        </w:rPr>
      </w:pPr>
      <w:r>
        <w:rPr>
          <w:rStyle w:val="FootnoteReference"/>
        </w:rPr>
        <w:footnoteRef/>
      </w:r>
      <w:r w:rsidRPr="003E26E6">
        <w:rPr>
          <w:rFonts w:ascii="Calibri" w:hAnsi="Calibri" w:cs="Calibri"/>
        </w:rPr>
        <w:t xml:space="preserve"> OIML-Certification System.</w:t>
      </w:r>
    </w:p>
  </w:footnote>
  <w:footnote w:id="76">
    <w:p w:rsidR="006A65A2" w:rsidRDefault="006A65A2">
      <w:pPr>
        <w:pStyle w:val="FootnoteText"/>
      </w:pPr>
      <w:r>
        <w:rPr>
          <w:rStyle w:val="FootnoteReference"/>
        </w:rPr>
        <w:footnoteRef/>
      </w:r>
      <w:r>
        <w:t xml:space="preserve"> </w:t>
      </w:r>
      <w:r w:rsidRPr="00723B76">
        <w:rPr>
          <w:rFonts w:asciiTheme="minorHAnsi" w:hAnsiTheme="minorHAnsi" w:cstheme="minorHAnsi"/>
          <w:szCs w:val="16"/>
        </w:rPr>
        <w:t>The Australian Government places importance to avoid imposing unnecessary regulatory burden on businesses, individuals and community organisations.</w:t>
      </w:r>
      <w:r w:rsidRPr="00723B76">
        <w:rPr>
          <w:rFonts w:asciiTheme="minorHAnsi" w:hAnsiTheme="minorHAnsi" w:cstheme="minorHAnsi"/>
          <w:color w:val="1E1E1E"/>
          <w:spacing w:val="5"/>
          <w:szCs w:val="16"/>
          <w:bdr w:val="none" w:sz="0" w:space="0" w:color="auto" w:frame="1"/>
          <w:lang w:val="en"/>
        </w:rPr>
        <w:t xml:space="preserve"> All new regulations or changes to existing regulations need to have the increase or decrease in regulatory costs imposed on businesses, community organisations and individuals quantified using the Regulatory Burden Measurement framework. Refer to </w:t>
      </w:r>
      <w:hyperlink r:id="rId25" w:history="1">
        <w:r w:rsidRPr="00723B76">
          <w:rPr>
            <w:rStyle w:val="Hyperlink"/>
            <w:rFonts w:asciiTheme="minorHAnsi" w:hAnsiTheme="minorHAnsi" w:cstheme="minorHAnsi"/>
            <w:spacing w:val="5"/>
            <w:szCs w:val="16"/>
            <w:bdr w:val="none" w:sz="0" w:space="0" w:color="auto" w:frame="1"/>
            <w:lang w:val="en"/>
          </w:rPr>
          <w:t>https://www.pmc.gov.au/regulation/guidance-policymakers/regulatory-burden-measurement</w:t>
        </w:r>
      </w:hyperlink>
      <w:r>
        <w:rPr>
          <w:rStyle w:val="Hyperlink"/>
          <w:rFonts w:asciiTheme="minorHAnsi" w:hAnsiTheme="minorHAnsi" w:cstheme="minorHAnsi"/>
          <w:spacing w:val="5"/>
          <w:szCs w:val="16"/>
          <w:bdr w:val="none" w:sz="0" w:space="0" w:color="auto" w:frame="1"/>
          <w:lang w:val="en"/>
        </w:rPr>
        <w:t>.</w:t>
      </w:r>
    </w:p>
  </w:footnote>
  <w:footnote w:id="77">
    <w:p w:rsidR="006A65A2" w:rsidRPr="003E26E6" w:rsidRDefault="006A65A2">
      <w:pPr>
        <w:pStyle w:val="FootnoteText"/>
        <w:rPr>
          <w:rFonts w:ascii="Calibri" w:hAnsi="Calibri" w:cs="Calibri"/>
        </w:rPr>
      </w:pPr>
      <w:r>
        <w:rPr>
          <w:rStyle w:val="FootnoteReference"/>
        </w:rPr>
        <w:footnoteRef/>
      </w:r>
      <w:r w:rsidRPr="003E26E6">
        <w:rPr>
          <w:rFonts w:ascii="Calibri" w:hAnsi="Calibri" w:cs="Calibri"/>
        </w:rPr>
        <w:t xml:space="preserve"> </w:t>
      </w:r>
      <w:r>
        <w:rPr>
          <w:rFonts w:ascii="Calibri" w:hAnsi="Calibri" w:cs="Calibri"/>
        </w:rPr>
        <w:t>ATPs</w:t>
      </w:r>
      <w:r w:rsidRPr="003E26E6" w:rsidDel="00E25C5E">
        <w:rPr>
          <w:rFonts w:ascii="Calibri" w:hAnsi="Calibri" w:cs="Calibri"/>
        </w:rPr>
        <w:t xml:space="preserve"> </w:t>
      </w:r>
      <w:r w:rsidRPr="003E26E6">
        <w:rPr>
          <w:rFonts w:ascii="Calibri" w:hAnsi="Calibri" w:cs="Calibri"/>
        </w:rPr>
        <w:t xml:space="preserve">are businesses which are appointed or licensed under the measurement legislation to perform a particular measurement service. These include servicing licensees, </w:t>
      </w:r>
      <w:r>
        <w:rPr>
          <w:rFonts w:ascii="Calibri" w:hAnsi="Calibri" w:cs="Calibri"/>
        </w:rPr>
        <w:t>UMVs</w:t>
      </w:r>
      <w:r w:rsidRPr="003E26E6">
        <w:rPr>
          <w:rFonts w:ascii="Calibri" w:hAnsi="Calibri" w:cs="Calibri"/>
        </w:rPr>
        <w:t xml:space="preserve">, </w:t>
      </w:r>
      <w:r w:rsidRPr="00036AC1">
        <w:rPr>
          <w:rFonts w:ascii="Calibri" w:hAnsi="Calibri" w:cs="Calibri"/>
        </w:rPr>
        <w:t>Public Weighbridge Licen</w:t>
      </w:r>
      <w:r>
        <w:rPr>
          <w:rFonts w:ascii="Calibri" w:hAnsi="Calibri" w:cs="Calibri"/>
        </w:rPr>
        <w:t>sees</w:t>
      </w:r>
      <w:r w:rsidRPr="00036AC1">
        <w:rPr>
          <w:rFonts w:ascii="Calibri" w:hAnsi="Calibri" w:cs="Calibri"/>
        </w:rPr>
        <w:t xml:space="preserve"> </w:t>
      </w:r>
      <w:r w:rsidRPr="003E26E6">
        <w:rPr>
          <w:rFonts w:ascii="Calibri" w:hAnsi="Calibri" w:cs="Calibri"/>
        </w:rPr>
        <w:t xml:space="preserve">and </w:t>
      </w:r>
      <w:r>
        <w:rPr>
          <w:rFonts w:ascii="Calibri" w:hAnsi="Calibri" w:cs="Calibri"/>
        </w:rPr>
        <w:t>LMAs</w:t>
      </w:r>
      <w:r w:rsidRPr="003E26E6">
        <w:rPr>
          <w:rFonts w:ascii="Calibri" w:hAnsi="Calibri" w:cs="Calibri"/>
        </w:rPr>
        <w:t>.</w:t>
      </w:r>
    </w:p>
  </w:footnote>
  <w:footnote w:id="78">
    <w:p w:rsidR="006A65A2" w:rsidRPr="00D723F9" w:rsidRDefault="006A65A2">
      <w:pPr>
        <w:pStyle w:val="FootnoteText"/>
        <w:rPr>
          <w:highlight w:val="yellow"/>
        </w:rPr>
      </w:pPr>
      <w:r>
        <w:rPr>
          <w:rStyle w:val="FootnoteReference"/>
        </w:rPr>
        <w:footnoteRef/>
      </w:r>
      <w:r>
        <w:t xml:space="preserve"> </w:t>
      </w:r>
      <w:hyperlink r:id="rId26" w:history="1">
        <w:r w:rsidRPr="006D6633">
          <w:rPr>
            <w:rStyle w:val="Hyperlink"/>
          </w:rPr>
          <w:t>https://consult.industry.gov.au/measurement-law-review-consultation/submissions/list</w:t>
        </w:r>
      </w:hyperlink>
    </w:p>
  </w:footnote>
  <w:footnote w:id="79">
    <w:p w:rsidR="006A65A2" w:rsidRDefault="006A65A2" w:rsidP="0053725A">
      <w:pPr>
        <w:pStyle w:val="FootnoteText"/>
      </w:pPr>
      <w:r>
        <w:rPr>
          <w:rStyle w:val="FootnoteReference"/>
        </w:rPr>
        <w:footnoteRef/>
      </w:r>
      <w:r>
        <w:t xml:space="preserve"> </w:t>
      </w:r>
      <w:hyperlink r:id="rId27" w:history="1">
        <w:r w:rsidRPr="00645399">
          <w:rPr>
            <w:rStyle w:val="Hyperlink"/>
          </w:rPr>
          <w:t>https://www.industry.gov.au/regulations-and-standards/measurement-standards/measurement-law-review</w:t>
        </w:r>
      </w:hyperlink>
    </w:p>
  </w:footnote>
  <w:footnote w:id="80">
    <w:p w:rsidR="006A65A2" w:rsidRDefault="006A65A2">
      <w:pPr>
        <w:pStyle w:val="FootnoteText"/>
      </w:pPr>
      <w:r>
        <w:rPr>
          <w:rStyle w:val="FootnoteReference"/>
        </w:rPr>
        <w:footnoteRef/>
      </w:r>
      <w:r>
        <w:t xml:space="preserve"> </w:t>
      </w:r>
      <w:hyperlink r:id="rId28" w:history="1">
        <w:r w:rsidRPr="003B50A5">
          <w:rPr>
            <w:rStyle w:val="Hyperlink"/>
          </w:rPr>
          <w:t>https://consult.industry.gov.au/measurement-law-review/mlr-consultation-regulation-impact-statement/</w:t>
        </w:r>
      </w:hyperlink>
    </w:p>
  </w:footnote>
  <w:footnote w:id="81">
    <w:p w:rsidR="006A65A2" w:rsidRDefault="006A65A2" w:rsidP="006A520C">
      <w:pPr>
        <w:pStyle w:val="FootnoteText"/>
      </w:pPr>
      <w:r>
        <w:rPr>
          <w:rStyle w:val="FootnoteReference"/>
        </w:rPr>
        <w:footnoteRef/>
      </w:r>
      <w:r>
        <w:t xml:space="preserve"> </w:t>
      </w:r>
      <w:r w:rsidRPr="00761DF5">
        <w:t xml:space="preserve">Includes industry groups, </w:t>
      </w:r>
      <w:r>
        <w:t>C</w:t>
      </w:r>
      <w:r w:rsidRPr="00761DF5">
        <w:t>ommonwealth / state government, consumer groups, authorised third parties, other businesses and private individuals that have subscribed.</w:t>
      </w:r>
    </w:p>
  </w:footnote>
  <w:footnote w:id="82">
    <w:p w:rsidR="006A65A2" w:rsidRDefault="006A65A2">
      <w:pPr>
        <w:pStyle w:val="FootnoteText"/>
      </w:pPr>
      <w:r>
        <w:rPr>
          <w:rStyle w:val="FootnoteReference"/>
        </w:rPr>
        <w:footnoteRef/>
      </w:r>
      <w:r>
        <w:t xml:space="preserve"> </w:t>
      </w:r>
      <w:r w:rsidRPr="00175535">
        <w:t xml:space="preserve">CILC is a forum </w:t>
      </w:r>
      <w:r>
        <w:t>with</w:t>
      </w:r>
      <w:r w:rsidRPr="00175535">
        <w:t xml:space="preserve"> consumer and industry members </w:t>
      </w:r>
      <w:r>
        <w:t>to</w:t>
      </w:r>
      <w:r w:rsidRPr="00175535">
        <w:t xml:space="preserve"> exchange views about trade and regulatory matters related to trade measurement.</w:t>
      </w:r>
    </w:p>
  </w:footnote>
  <w:footnote w:id="83">
    <w:p w:rsidR="006A65A2" w:rsidRDefault="006A65A2" w:rsidP="000B7B71">
      <w:pPr>
        <w:pStyle w:val="FootnoteText"/>
      </w:pPr>
      <w:r>
        <w:rPr>
          <w:rStyle w:val="FootnoteReference"/>
        </w:rPr>
        <w:footnoteRef/>
      </w:r>
      <w:r>
        <w:t xml:space="preserve"> </w:t>
      </w:r>
      <w:hyperlink r:id="rId29" w:history="1">
        <w:r w:rsidRPr="003B50A5">
          <w:rPr>
            <w:rStyle w:val="Hyperlink"/>
          </w:rPr>
          <w:t>https://consult.industry.gov.au/measurement-law-review/mlr-consultation-regulation-impact-statement/</w:t>
        </w:r>
      </w:hyperlink>
    </w:p>
  </w:footnote>
  <w:footnote w:id="84">
    <w:p w:rsidR="006A65A2" w:rsidRDefault="006A65A2" w:rsidP="00900FE2">
      <w:pPr>
        <w:pStyle w:val="FootnoteText"/>
      </w:pPr>
      <w:r>
        <w:rPr>
          <w:rStyle w:val="FootnoteReference"/>
        </w:rPr>
        <w:footnoteRef/>
      </w:r>
      <w:r>
        <w:t xml:space="preserve"> </w:t>
      </w:r>
      <w:r>
        <w:rPr>
          <w:rFonts w:ascii="Calibri" w:hAnsi="Calibri" w:cs="Calibri"/>
        </w:rPr>
        <w:t xml:space="preserve">The department reviewed Part 4 of the </w:t>
      </w:r>
      <w:r>
        <w:rPr>
          <w:rFonts w:ascii="Calibri" w:hAnsi="Calibri" w:cs="Calibri"/>
          <w:i/>
        </w:rPr>
        <w:t>National Trade Measurement Regulations 2009</w:t>
      </w:r>
      <w:r>
        <w:rPr>
          <w:rFonts w:ascii="Calibri" w:hAnsi="Calibri" w:cs="Calibri"/>
        </w:rPr>
        <w:t xml:space="preserve"> from 2015 to 2018. Part 4 defines how the measurements related to packaging are controlled. The purpose of the review was to identify where red tape could be cut without compromising the objectives of the national trade measurement system. Further information on the Packaging Review can be found here: </w:t>
      </w:r>
      <w:hyperlink r:id="rId30" w:history="1">
        <w:r>
          <w:rPr>
            <w:rStyle w:val="Hyperlink"/>
            <w:rFonts w:ascii="Calibri" w:hAnsi="Calibri" w:cs="Calibri"/>
          </w:rPr>
          <w:t>https://www.industry.gov.au/regulations-and-standards/measurement-standards/review-of-measurement-markings-on-packaging</w:t>
        </w:r>
      </w:hyperlink>
      <w:r>
        <w:rPr>
          <w:rStyle w:val="Hyperlink"/>
          <w:rFonts w:ascii="Calibri" w:hAnsi="Calibri" w:cs="Calibri"/>
        </w:rPr>
        <w:t>,</w:t>
      </w:r>
    </w:p>
  </w:footnote>
  <w:footnote w:id="85">
    <w:p w:rsidR="006A65A2" w:rsidRPr="00D778A8" w:rsidRDefault="006A65A2" w:rsidP="00683000">
      <w:pPr>
        <w:pStyle w:val="FootnoteText"/>
        <w:rPr>
          <w:rFonts w:asciiTheme="minorHAnsi" w:hAnsiTheme="minorHAnsi" w:cstheme="minorHAnsi"/>
        </w:rPr>
      </w:pPr>
      <w:r w:rsidRPr="00555A48">
        <w:rPr>
          <w:rStyle w:val="FootnoteReference"/>
          <w:rFonts w:asciiTheme="minorHAnsi" w:hAnsiTheme="minorHAnsi" w:cstheme="minorHAnsi"/>
        </w:rPr>
        <w:footnoteRef/>
      </w:r>
      <w:r w:rsidRPr="00555A48">
        <w:rPr>
          <w:rFonts w:asciiTheme="minorHAnsi" w:hAnsiTheme="minorHAnsi" w:cstheme="minorHAnsi"/>
        </w:rPr>
        <w:t xml:space="preserve"> Requirements referred to here include those in schedule 4 and 5 of the </w:t>
      </w:r>
      <w:r w:rsidRPr="00555A48">
        <w:rPr>
          <w:rFonts w:asciiTheme="minorHAnsi" w:hAnsiTheme="minorHAnsi" w:cstheme="minorHAnsi"/>
          <w:i/>
        </w:rPr>
        <w:t>National Trade Measurement Regulations 2009</w:t>
      </w:r>
      <w:r>
        <w:rPr>
          <w:rFonts w:asciiTheme="minorHAnsi" w:hAnsiTheme="minorHAnsi" w:cstheme="minorHAnsi"/>
        </w:rPr>
        <w:t>.</w:t>
      </w:r>
    </w:p>
  </w:footnote>
  <w:footnote w:id="86">
    <w:p w:rsidR="006A65A2" w:rsidRDefault="006A65A2">
      <w:pPr>
        <w:pStyle w:val="FootnoteText"/>
      </w:pPr>
      <w:r w:rsidRPr="004859A7">
        <w:rPr>
          <w:rStyle w:val="FootnoteReference"/>
          <w:rFonts w:ascii="Arial" w:hAnsi="Arial"/>
        </w:rPr>
        <w:footnoteRef/>
      </w:r>
      <w:r w:rsidRPr="004859A7">
        <w:t xml:space="preserve"> See</w:t>
      </w:r>
      <w:r>
        <w:t xml:space="preserve"> </w:t>
      </w:r>
      <w:hyperlink r:id="rId31" w:history="1">
        <w:r w:rsidRPr="00B8135B">
          <w:rPr>
            <w:rStyle w:val="Hyperlink"/>
          </w:rPr>
          <w:t xml:space="preserve">section 50 of the </w:t>
        </w:r>
        <w:r w:rsidRPr="00B8135B">
          <w:rPr>
            <w:rStyle w:val="Hyperlink"/>
            <w:i/>
          </w:rPr>
          <w:t>Legislation Act 2003</w:t>
        </w:r>
      </w:hyperlink>
      <w:r>
        <w:t xml:space="preserve"> (Cth).</w:t>
      </w:r>
    </w:p>
  </w:footnote>
  <w:footnote w:id="87">
    <w:p w:rsidR="006A65A2" w:rsidRPr="003E26E6" w:rsidRDefault="006A65A2" w:rsidP="006E137F">
      <w:pPr>
        <w:pStyle w:val="FootnoteText"/>
        <w:rPr>
          <w:rFonts w:ascii="Calibri" w:hAnsi="Calibri" w:cs="Calibri"/>
        </w:rPr>
      </w:pPr>
      <w:r>
        <w:rPr>
          <w:rStyle w:val="FootnoteReference"/>
        </w:rPr>
        <w:footnoteRef/>
      </w:r>
      <w:r w:rsidRPr="003E26E6">
        <w:rPr>
          <w:rFonts w:ascii="Calibri" w:hAnsi="Calibri" w:cs="Calibri"/>
        </w:rPr>
        <w:t xml:space="preserve"> Section 4.</w:t>
      </w:r>
    </w:p>
  </w:footnote>
  <w:footnote w:id="88">
    <w:p w:rsidR="006A65A2" w:rsidRPr="00C839CD" w:rsidRDefault="006A65A2">
      <w:pPr>
        <w:pStyle w:val="FootnoteText"/>
        <w:rPr>
          <w:rFonts w:asciiTheme="minorHAnsi" w:hAnsiTheme="minorHAnsi" w:cstheme="minorHAnsi"/>
        </w:rPr>
      </w:pPr>
      <w:r w:rsidRPr="00C839CD">
        <w:rPr>
          <w:rStyle w:val="FootnoteReference"/>
          <w:rFonts w:asciiTheme="minorHAnsi" w:hAnsiTheme="minorHAnsi" w:cstheme="minorHAnsi"/>
        </w:rPr>
        <w:footnoteRef/>
      </w:r>
      <w:r w:rsidRPr="00540F56">
        <w:rPr>
          <w:rFonts w:asciiTheme="minorHAnsi" w:hAnsiTheme="minorHAnsi" w:cstheme="minorHAnsi"/>
        </w:rPr>
        <w:t xml:space="preserve"> </w:t>
      </w:r>
      <w:hyperlink r:id="rId32" w:history="1">
        <w:r w:rsidRPr="00C839CD">
          <w:rPr>
            <w:rStyle w:val="Hyperlink"/>
            <w:rFonts w:asciiTheme="minorHAnsi" w:hAnsiTheme="minorHAnsi" w:cstheme="minorHAnsi"/>
          </w:rPr>
          <w:t>https://www.industry.gov.au/regulations-and-standards/measurement-stand</w:t>
        </w:r>
        <w:r w:rsidRPr="00540F56">
          <w:rPr>
            <w:rStyle w:val="Hyperlink"/>
            <w:rFonts w:asciiTheme="minorHAnsi" w:hAnsiTheme="minorHAnsi" w:cstheme="minorHAnsi"/>
          </w:rPr>
          <w:t>ards/review-of-measurement-markings-on-packaging</w:t>
        </w:r>
      </w:hyperlink>
    </w:p>
  </w:footnote>
  <w:footnote w:id="89">
    <w:p w:rsidR="006A65A2" w:rsidRPr="003E26E6" w:rsidRDefault="006A65A2" w:rsidP="000541A9">
      <w:pPr>
        <w:pStyle w:val="FootnoteText"/>
        <w:rPr>
          <w:rFonts w:ascii="Calibri" w:hAnsi="Calibri" w:cs="Calibri"/>
        </w:rPr>
      </w:pPr>
      <w:r>
        <w:rPr>
          <w:rStyle w:val="FootnoteReference"/>
        </w:rPr>
        <w:footnoteRef/>
      </w:r>
      <w:r w:rsidRPr="003E26E6">
        <w:rPr>
          <w:rFonts w:ascii="Calibri" w:hAnsi="Calibri" w:cs="Calibri"/>
        </w:rPr>
        <w:t xml:space="preserve"> DIIS, </w:t>
      </w:r>
      <w:r w:rsidRPr="003E26E6">
        <w:rPr>
          <w:rFonts w:ascii="Calibri" w:hAnsi="Calibri" w:cs="Calibri"/>
          <w:i/>
        </w:rPr>
        <w:t>Review of Part 4 of the National Trade Measurement Regulations, Options Paper</w:t>
      </w:r>
      <w:r>
        <w:rPr>
          <w:rFonts w:ascii="Calibri" w:hAnsi="Calibri" w:cs="Calibri"/>
        </w:rPr>
        <w:t xml:space="preserve"> - </w:t>
      </w:r>
      <w:r w:rsidRPr="003E26E6">
        <w:rPr>
          <w:rFonts w:ascii="Calibri" w:hAnsi="Calibri" w:cs="Calibri"/>
        </w:rPr>
        <w:t>May 2015</w:t>
      </w:r>
      <w:r>
        <w:rPr>
          <w:rFonts w:ascii="Calibri" w:hAnsi="Calibri" w:cs="Calibri"/>
        </w:rPr>
        <w:t>.</w:t>
      </w:r>
    </w:p>
  </w:footnote>
  <w:footnote w:id="90">
    <w:p w:rsidR="006A65A2" w:rsidRPr="003E26E6" w:rsidRDefault="006A65A2" w:rsidP="000541A9">
      <w:pPr>
        <w:pStyle w:val="FootnoteText"/>
        <w:rPr>
          <w:rFonts w:ascii="Calibri" w:hAnsi="Calibri" w:cs="Calibri"/>
        </w:rPr>
      </w:pPr>
      <w:r>
        <w:rPr>
          <w:rStyle w:val="FootnoteReference"/>
        </w:rPr>
        <w:footnoteRef/>
      </w:r>
      <w:r w:rsidRPr="003E26E6">
        <w:rPr>
          <w:rFonts w:ascii="Calibri" w:hAnsi="Calibri" w:cs="Calibri"/>
        </w:rPr>
        <w:t xml:space="preserve"> ORIMA Research: Understanding Consumer Preferences Towards Measurement Markings On Fast Moving Consumer Goods Product Packages- </w:t>
      </w:r>
      <w:hyperlink r:id="rId33" w:history="1">
        <w:r w:rsidRPr="003E26E6">
          <w:rPr>
            <w:rStyle w:val="Hyperlink"/>
            <w:rFonts w:ascii="Calibri" w:hAnsi="Calibri" w:cs="Calibri"/>
          </w:rPr>
          <w:t>https://consult.industry.gov.au/packaging-review-team/measurement-mark/supporting_documents/ORIMASurveyResults.docx</w:t>
        </w:r>
      </w:hyperlink>
      <w:r>
        <w:rPr>
          <w:rStyle w:val="Hyperlink"/>
          <w:rFonts w:ascii="Calibri" w:hAnsi="Calibri" w:cs="Calibri"/>
        </w:rPr>
        <w:t xml:space="preserve"> </w:t>
      </w:r>
      <w:r w:rsidRPr="003E26E6">
        <w:rPr>
          <w:rFonts w:ascii="Calibri" w:hAnsi="Calibri" w:cs="Calibri"/>
        </w:rPr>
        <w:t xml:space="preserve"> </w:t>
      </w:r>
    </w:p>
  </w:footnote>
  <w:footnote w:id="91">
    <w:p w:rsidR="006A65A2" w:rsidRDefault="006A65A2" w:rsidP="000541A9">
      <w:pPr>
        <w:pStyle w:val="FootnoteText"/>
      </w:pPr>
      <w:r>
        <w:rPr>
          <w:rStyle w:val="FootnoteReference"/>
        </w:rPr>
        <w:footnoteRef/>
      </w:r>
      <w:r w:rsidRPr="003E26E6">
        <w:rPr>
          <w:rFonts w:ascii="Calibri" w:hAnsi="Calibri" w:cs="Calibri"/>
        </w:rPr>
        <w:t xml:space="preserve"> </w:t>
      </w:r>
      <w:hyperlink r:id="rId34" w:history="1">
        <w:r w:rsidRPr="003E26E6">
          <w:rPr>
            <w:rStyle w:val="Hyperlink"/>
            <w:rFonts w:ascii="Calibri" w:hAnsi="Calibri" w:cs="Calibri"/>
          </w:rPr>
          <w:t>https://www.minister.industry.gov.au/ministers/craiglaundy/media-releases/measurement-it-rules</w:t>
        </w:r>
      </w:hyperlink>
      <w:r w:rsidRPr="003E26E6">
        <w:rPr>
          <w:rStyle w:val="Hyperlink"/>
          <w:rFonts w:ascii="Calibri" w:hAnsi="Calibri" w:cs="Calibri"/>
        </w:rPr>
        <w:t>.</w:t>
      </w:r>
    </w:p>
  </w:footnote>
  <w:footnote w:id="92">
    <w:p w:rsidR="006A65A2" w:rsidRPr="003E26E6" w:rsidRDefault="006A65A2" w:rsidP="003E26E6">
      <w:pPr>
        <w:pStyle w:val="paragraph"/>
        <w:spacing w:before="60" w:after="60"/>
        <w:textAlignment w:val="baseline"/>
        <w:rPr>
          <w:rFonts w:ascii="Calibri" w:hAnsi="Calibri" w:cs="Calibri"/>
          <w:sz w:val="16"/>
          <w:szCs w:val="16"/>
        </w:rPr>
      </w:pPr>
      <w:r w:rsidRPr="008D6188">
        <w:rPr>
          <w:rStyle w:val="FootnoteReference"/>
          <w:rFonts w:eastAsiaTheme="minorEastAsia" w:cs="Calibri"/>
          <w:sz w:val="16"/>
          <w:szCs w:val="16"/>
        </w:rPr>
        <w:footnoteRef/>
      </w:r>
      <w:r w:rsidRPr="008D6188">
        <w:rPr>
          <w:rFonts w:ascii="Calibri" w:hAnsi="Calibri" w:cs="Calibri"/>
          <w:sz w:val="16"/>
          <w:szCs w:val="16"/>
        </w:rPr>
        <w:t xml:space="preserve"> Third</w:t>
      </w:r>
      <w:r w:rsidRPr="003E26E6">
        <w:rPr>
          <w:rFonts w:ascii="Calibri" w:hAnsi="Calibri" w:cs="Calibri"/>
          <w:sz w:val="16"/>
          <w:szCs w:val="16"/>
        </w:rPr>
        <w:t xml:space="preserve"> parties are entities licensed or appointed under the measurement legislation to perform a particular domestic function necessary to maintain confidence in the accuracy of a measurement used for trade or legal purposes.</w:t>
      </w:r>
    </w:p>
  </w:footnote>
  <w:footnote w:id="93">
    <w:p w:rsidR="006A65A2" w:rsidRPr="003E26E6" w:rsidRDefault="006A65A2" w:rsidP="000541A9">
      <w:pPr>
        <w:pStyle w:val="FootnoteText"/>
        <w:rPr>
          <w:rFonts w:ascii="Calibri" w:hAnsi="Calibri" w:cs="Calibri"/>
          <w:szCs w:val="16"/>
        </w:rPr>
      </w:pPr>
      <w:r>
        <w:rPr>
          <w:rStyle w:val="FootnoteReference"/>
        </w:rPr>
        <w:footnoteRef/>
      </w:r>
      <w:r w:rsidRPr="003E26E6">
        <w:rPr>
          <w:rFonts w:ascii="Calibri" w:hAnsi="Calibri" w:cs="Calibri"/>
          <w:szCs w:val="16"/>
        </w:rPr>
        <w:t xml:space="preserve"> </w:t>
      </w:r>
      <w:hyperlink r:id="rId35" w:history="1">
        <w:r w:rsidRPr="003E26E6">
          <w:rPr>
            <w:rStyle w:val="Hyperlink"/>
            <w:rFonts w:ascii="Calibri" w:hAnsi="Calibri" w:cs="Calibri"/>
            <w:szCs w:val="16"/>
          </w:rPr>
          <w:t>https://www.industry.gov.au/regulations-and-standards/measurement-standards/measurement-law-review</w:t>
        </w:r>
      </w:hyperlink>
      <w:r w:rsidRPr="003E26E6">
        <w:rPr>
          <w:rStyle w:val="Hyperlink"/>
          <w:rFonts w:ascii="Calibri" w:hAnsi="Calibri" w:cs="Calibri"/>
          <w:szCs w:val="16"/>
        </w:rPr>
        <w:t>.</w:t>
      </w:r>
    </w:p>
  </w:footnote>
  <w:footnote w:id="94">
    <w:p w:rsidR="006A65A2" w:rsidRDefault="006A65A2" w:rsidP="00410D9C">
      <w:pPr>
        <w:pStyle w:val="FootnoteText"/>
      </w:pPr>
      <w:r>
        <w:rPr>
          <w:rStyle w:val="FootnoteReference"/>
        </w:rPr>
        <w:footnoteRef/>
      </w:r>
      <w:r>
        <w:t xml:space="preserve"> </w:t>
      </w:r>
      <w:r w:rsidRPr="003E26E6">
        <w:rPr>
          <w:rFonts w:ascii="Calibri" w:hAnsi="Calibri" w:cs="Calibri"/>
          <w:i/>
          <w:szCs w:val="16"/>
        </w:rPr>
        <w:t>Economic Analysis of the Measurement Framework</w:t>
      </w:r>
      <w:r w:rsidRPr="003E26E6">
        <w:rPr>
          <w:rFonts w:ascii="Calibri" w:hAnsi="Calibri" w:cs="Calibri"/>
          <w:szCs w:val="16"/>
        </w:rPr>
        <w:t xml:space="preserve">, January 2020, Ernst </w:t>
      </w:r>
      <w:r>
        <w:rPr>
          <w:rFonts w:ascii="Calibri" w:hAnsi="Calibri" w:cs="Calibri"/>
          <w:szCs w:val="16"/>
        </w:rPr>
        <w:t>and</w:t>
      </w:r>
      <w:r w:rsidRPr="003E26E6">
        <w:rPr>
          <w:rFonts w:ascii="Calibri" w:hAnsi="Calibri" w:cs="Calibri"/>
          <w:szCs w:val="16"/>
        </w:rPr>
        <w:t xml:space="preserve"> Young Consultancy Report to the </w:t>
      </w:r>
      <w:r w:rsidRPr="003E26E6">
        <w:rPr>
          <w:rFonts w:ascii="Calibri" w:eastAsiaTheme="minorEastAsia" w:hAnsi="Calibri" w:cs="Calibri"/>
          <w:szCs w:val="16"/>
        </w:rPr>
        <w:t>Department of Industry, Science, Energy and Resources.</w:t>
      </w:r>
    </w:p>
  </w:footnote>
  <w:footnote w:id="95">
    <w:p w:rsidR="006A65A2" w:rsidRPr="003E26E6" w:rsidRDefault="006A65A2" w:rsidP="003E26E6">
      <w:pPr>
        <w:pStyle w:val="Keypointsbullet"/>
        <w:spacing w:before="60" w:after="60" w:line="240" w:lineRule="auto"/>
        <w:ind w:left="360" w:right="153"/>
        <w:rPr>
          <w:rFonts w:ascii="Calibri" w:hAnsi="Calibri" w:cs="Calibri"/>
          <w:b w:val="0"/>
          <w:sz w:val="16"/>
          <w:szCs w:val="16"/>
        </w:rPr>
      </w:pPr>
      <w:r w:rsidRPr="0091002F">
        <w:rPr>
          <w:rStyle w:val="FootnoteReference"/>
          <w:rFonts w:eastAsiaTheme="minorEastAsia" w:cstheme="minorHAnsi"/>
          <w:sz w:val="16"/>
          <w:szCs w:val="16"/>
        </w:rPr>
        <w:footnoteRef/>
      </w:r>
      <w:r w:rsidRPr="003E26E6">
        <w:rPr>
          <w:rFonts w:ascii="Calibri" w:hAnsi="Calibri" w:cs="Calibri"/>
          <w:sz w:val="16"/>
          <w:szCs w:val="16"/>
        </w:rPr>
        <w:t xml:space="preserve"> </w:t>
      </w:r>
      <w:r w:rsidRPr="003E26E6">
        <w:rPr>
          <w:rFonts w:ascii="Calibri" w:eastAsiaTheme="minorHAnsi" w:hAnsi="Calibri" w:cs="Calibri"/>
          <w:b w:val="0"/>
          <w:color w:val="auto"/>
          <w:sz w:val="16"/>
          <w:szCs w:val="16"/>
          <w:lang w:val="en-AU"/>
        </w:rPr>
        <w:t>Ibid. Note, this calculation uses a methodology of apportioning the contribution of the measurement system to productivity and implied contribution to economic growth.</w:t>
      </w:r>
    </w:p>
  </w:footnote>
  <w:footnote w:id="96">
    <w:p w:rsidR="006A65A2" w:rsidRPr="00107F0A" w:rsidRDefault="006A65A2" w:rsidP="000541A9">
      <w:pPr>
        <w:pStyle w:val="FootnoteText"/>
        <w:rPr>
          <w:rFonts w:cstheme="minorHAnsi"/>
          <w:szCs w:val="16"/>
        </w:rPr>
      </w:pPr>
      <w:r w:rsidRPr="00107F0A">
        <w:rPr>
          <w:rStyle w:val="FootnoteReference"/>
          <w:rFonts w:cstheme="minorHAnsi"/>
          <w:szCs w:val="16"/>
        </w:rPr>
        <w:footnoteRef/>
      </w:r>
      <w:r w:rsidRPr="003E26E6">
        <w:rPr>
          <w:rFonts w:ascii="Calibri" w:hAnsi="Calibri" w:cs="Calibri"/>
          <w:szCs w:val="16"/>
        </w:rPr>
        <w:t xml:space="preserve"> Ibid.</w:t>
      </w:r>
    </w:p>
  </w:footnote>
  <w:footnote w:id="97">
    <w:p w:rsidR="006A65A2" w:rsidRPr="00B561A9" w:rsidRDefault="006A65A2" w:rsidP="00993F6E">
      <w:pPr>
        <w:pStyle w:val="FootnoteText"/>
        <w:rPr>
          <w:rFonts w:ascii="Calibri" w:hAnsi="Calibri" w:cs="Calibri"/>
        </w:rPr>
      </w:pPr>
      <w:r>
        <w:rPr>
          <w:rStyle w:val="FootnoteReference"/>
        </w:rPr>
        <w:footnoteRef/>
      </w:r>
      <w:r w:rsidRPr="00B561A9">
        <w:rPr>
          <w:rFonts w:ascii="Calibri" w:hAnsi="Calibri" w:cs="Calibri"/>
        </w:rPr>
        <w:t xml:space="preserve"> </w:t>
      </w:r>
      <w:hyperlink r:id="rId36" w:history="1">
        <w:r w:rsidRPr="00B561A9">
          <w:rPr>
            <w:rStyle w:val="Hyperlink"/>
            <w:rFonts w:ascii="Calibri" w:hAnsi="Calibri" w:cs="Calibri"/>
          </w:rPr>
          <w:t>OIML R79</w:t>
        </w:r>
      </w:hyperlink>
      <w:r w:rsidRPr="00B561A9">
        <w:rPr>
          <w:rFonts w:ascii="Calibri" w:hAnsi="Calibri" w:cs="Calibri"/>
        </w:rPr>
        <w:t xml:space="preserve"> includes recommendations at 5.5 regarding the method of measurement that should be used for packaged products.</w:t>
      </w:r>
    </w:p>
  </w:footnote>
  <w:footnote w:id="98">
    <w:p w:rsidR="006A65A2" w:rsidRPr="00B561A9" w:rsidRDefault="006A65A2">
      <w:pPr>
        <w:pStyle w:val="FootnoteText"/>
        <w:rPr>
          <w:rFonts w:ascii="Calibri" w:hAnsi="Calibri" w:cs="Calibri"/>
        </w:rPr>
      </w:pPr>
      <w:r>
        <w:rPr>
          <w:rStyle w:val="FootnoteReference"/>
        </w:rPr>
        <w:footnoteRef/>
      </w:r>
      <w:r w:rsidRPr="00B561A9">
        <w:rPr>
          <w:rFonts w:ascii="Calibri" w:hAnsi="Calibri" w:cs="Calibri"/>
        </w:rPr>
        <w:t xml:space="preserve"> Further information on the UPC can be found at: </w:t>
      </w:r>
      <w:hyperlink r:id="rId37" w:history="1">
        <w:r w:rsidRPr="00B561A9">
          <w:rPr>
            <w:rStyle w:val="Hyperlink"/>
            <w:rFonts w:ascii="Calibri" w:hAnsi="Calibri" w:cs="Calibri"/>
          </w:rPr>
          <w:t>https://www.accc.gov.au/business/industry-codes/unit-pricing-code</w:t>
        </w:r>
      </w:hyperlink>
      <w:r w:rsidRPr="00B561A9">
        <w:rPr>
          <w:rStyle w:val="Hyperlink"/>
          <w:rFonts w:ascii="Calibri" w:hAnsi="Calibri" w:cs="Calibri"/>
        </w:rPr>
        <w:t>.</w:t>
      </w:r>
    </w:p>
  </w:footnote>
  <w:footnote w:id="99">
    <w:p w:rsidR="006A65A2" w:rsidRPr="0097567D" w:rsidRDefault="006A65A2" w:rsidP="00016ADE">
      <w:pPr>
        <w:pStyle w:val="FootnoteText"/>
        <w:rPr>
          <w:rFonts w:ascii="Calibri" w:hAnsi="Calibri" w:cs="Calibri"/>
        </w:rPr>
      </w:pPr>
      <w:r>
        <w:rPr>
          <w:rStyle w:val="FootnoteReference"/>
        </w:rPr>
        <w:footnoteRef/>
      </w:r>
      <w:r w:rsidRPr="0097567D">
        <w:rPr>
          <w:rFonts w:ascii="Calibri" w:hAnsi="Calibri" w:cs="Calibri"/>
        </w:rPr>
        <w:t xml:space="preserve"> Currently exempt under paragraph 4.10(3)(a) of the </w:t>
      </w:r>
      <w:r w:rsidRPr="0097567D">
        <w:rPr>
          <w:rFonts w:ascii="Calibri" w:hAnsi="Calibri" w:cs="Calibri"/>
          <w:i/>
        </w:rPr>
        <w:t>National Trade Measurement Regulations 2009</w:t>
      </w:r>
      <w:r>
        <w:rPr>
          <w:rFonts w:ascii="Calibri" w:hAnsi="Calibri" w:cs="Calibri"/>
          <w:i/>
        </w:rPr>
        <w:t>.</w:t>
      </w:r>
    </w:p>
  </w:footnote>
  <w:footnote w:id="100">
    <w:p w:rsidR="006A65A2" w:rsidRPr="0097567D" w:rsidRDefault="006A65A2" w:rsidP="00016ADE">
      <w:pPr>
        <w:pStyle w:val="FootnoteText"/>
        <w:rPr>
          <w:rFonts w:ascii="Calibri" w:hAnsi="Calibri" w:cs="Calibri"/>
        </w:rPr>
      </w:pPr>
      <w:r>
        <w:rPr>
          <w:rStyle w:val="FootnoteReference"/>
        </w:rPr>
        <w:footnoteRef/>
      </w:r>
      <w:r w:rsidRPr="0097567D">
        <w:rPr>
          <w:rFonts w:ascii="Calibri" w:hAnsi="Calibri" w:cs="Calibri"/>
        </w:rPr>
        <w:t xml:space="preserve"> Currently exempt under paragraph 4.10(3)(b) of the </w:t>
      </w:r>
      <w:r w:rsidRPr="0097567D">
        <w:rPr>
          <w:rFonts w:ascii="Calibri" w:hAnsi="Calibri" w:cs="Calibri"/>
          <w:i/>
        </w:rPr>
        <w:t>National Trade Measurement Regulations 2009</w:t>
      </w:r>
      <w:r>
        <w:rPr>
          <w:rFonts w:ascii="Calibri" w:hAnsi="Calibri" w:cs="Calibri"/>
          <w:i/>
        </w:rPr>
        <w:t>.</w:t>
      </w:r>
    </w:p>
  </w:footnote>
  <w:footnote w:id="101">
    <w:p w:rsidR="006A65A2" w:rsidRPr="0097567D" w:rsidRDefault="006A65A2" w:rsidP="00144F1F">
      <w:pPr>
        <w:pStyle w:val="FootnoteText"/>
        <w:rPr>
          <w:rFonts w:ascii="Calibri" w:hAnsi="Calibri" w:cs="Calibri"/>
        </w:rPr>
      </w:pPr>
      <w:r>
        <w:rPr>
          <w:rStyle w:val="FootnoteReference"/>
        </w:rPr>
        <w:footnoteRef/>
      </w:r>
      <w:r w:rsidRPr="0097567D">
        <w:rPr>
          <w:rFonts w:ascii="Calibri" w:hAnsi="Calibri" w:cs="Calibri"/>
        </w:rPr>
        <w:t xml:space="preserve"> Clause 3.1 of Schedule 4 </w:t>
      </w:r>
      <w:r w:rsidRPr="0097567D">
        <w:rPr>
          <w:rFonts w:ascii="Calibri" w:hAnsi="Calibri" w:cs="Calibri"/>
          <w:i/>
        </w:rPr>
        <w:t>National Trade Measurement Regulations 2009</w:t>
      </w:r>
      <w:r w:rsidRPr="0097567D">
        <w:rPr>
          <w:rFonts w:ascii="Calibri" w:hAnsi="Calibri" w:cs="Calibri"/>
        </w:rPr>
        <w:t>.</w:t>
      </w:r>
    </w:p>
  </w:footnote>
  <w:footnote w:id="102">
    <w:p w:rsidR="006A65A2" w:rsidRPr="0097567D" w:rsidRDefault="006A65A2">
      <w:pPr>
        <w:pStyle w:val="FootnoteText"/>
        <w:rPr>
          <w:rFonts w:ascii="Calibri" w:hAnsi="Calibri" w:cs="Calibri"/>
        </w:rPr>
      </w:pPr>
      <w:r>
        <w:rPr>
          <w:rStyle w:val="FootnoteReference"/>
        </w:rPr>
        <w:footnoteRef/>
      </w:r>
      <w:r w:rsidRPr="0097567D">
        <w:rPr>
          <w:rFonts w:ascii="Calibri" w:hAnsi="Calibri" w:cs="Calibri"/>
        </w:rPr>
        <w:t xml:space="preserve"> Placement of the measurement mark on wine bottles would continue to be subject to regulation 4.</w:t>
      </w:r>
    </w:p>
  </w:footnote>
  <w:footnote w:id="103">
    <w:p w:rsidR="006A65A2" w:rsidRPr="0048292A" w:rsidRDefault="006A65A2">
      <w:pPr>
        <w:pStyle w:val="FootnoteText"/>
      </w:pPr>
      <w:r>
        <w:rPr>
          <w:rStyle w:val="FootnoteReference"/>
        </w:rPr>
        <w:footnoteRef/>
      </w:r>
      <w:r w:rsidRPr="0097567D">
        <w:rPr>
          <w:rFonts w:ascii="Calibri" w:hAnsi="Calibri" w:cs="Calibri"/>
        </w:rPr>
        <w:t xml:space="preserve"> </w:t>
      </w:r>
      <w:hyperlink r:id="rId38" w:history="1">
        <w:r w:rsidRPr="0097567D">
          <w:rPr>
            <w:rStyle w:val="Hyperlink"/>
            <w:rFonts w:ascii="Calibri" w:hAnsi="Calibri" w:cs="Calibri"/>
            <w:i/>
          </w:rPr>
          <w:t>Therapeutic Goods Order No. 92 – Standard for labels of non-prescription medicines</w:t>
        </w:r>
      </w:hyperlink>
      <w:r w:rsidRPr="0097567D">
        <w:rPr>
          <w:rFonts w:ascii="Calibri" w:hAnsi="Calibri" w:cs="Calibri"/>
        </w:rPr>
        <w:t>, particularly order 7.</w:t>
      </w:r>
      <w:r>
        <w:rPr>
          <w:i/>
        </w:rPr>
        <w:t xml:space="preserve"> </w:t>
      </w:r>
    </w:p>
  </w:footnote>
  <w:footnote w:id="104">
    <w:p w:rsidR="006A65A2" w:rsidRPr="003E26E6" w:rsidRDefault="006A65A2" w:rsidP="00405BBE">
      <w:pPr>
        <w:pStyle w:val="FootnoteText"/>
        <w:rPr>
          <w:rFonts w:ascii="Calibri" w:hAnsi="Calibri" w:cs="Calibri"/>
        </w:rPr>
      </w:pPr>
      <w:r>
        <w:rPr>
          <w:rStyle w:val="FootnoteReference"/>
        </w:rPr>
        <w:footnoteRef/>
      </w:r>
      <w:r w:rsidRPr="003E26E6">
        <w:rPr>
          <w:rFonts w:ascii="Calibri" w:hAnsi="Calibri" w:cs="Calibri"/>
        </w:rPr>
        <w:t xml:space="preserve"> </w:t>
      </w:r>
      <w:hyperlink r:id="rId39" w:history="1">
        <w:r w:rsidRPr="003E26E6">
          <w:rPr>
            <w:rStyle w:val="Hyperlink"/>
            <w:rFonts w:ascii="Calibri" w:hAnsi="Calibri" w:cs="Calibri"/>
          </w:rPr>
          <w:t>https://consult.industry.gov.au/packaging-review-team/measurement-mark/supporting_documents/ORIMASurveyResults.docx</w:t>
        </w:r>
      </w:hyperlink>
      <w:r w:rsidRPr="003E26E6">
        <w:rPr>
          <w:rStyle w:val="Hyperlink"/>
          <w:rFonts w:ascii="Calibri" w:hAnsi="Calibri" w:cs="Calibri"/>
        </w:rPr>
        <w:t>,</w:t>
      </w:r>
    </w:p>
  </w:footnote>
  <w:footnote w:id="105">
    <w:p w:rsidR="006A65A2" w:rsidRPr="003E26E6" w:rsidRDefault="006A65A2">
      <w:pPr>
        <w:pStyle w:val="FootnoteText"/>
        <w:rPr>
          <w:rFonts w:ascii="Calibri" w:hAnsi="Calibri" w:cs="Calibri"/>
        </w:rPr>
      </w:pPr>
      <w:r>
        <w:rPr>
          <w:rStyle w:val="FootnoteReference"/>
        </w:rPr>
        <w:footnoteRef/>
      </w:r>
      <w:r w:rsidRPr="003E26E6">
        <w:rPr>
          <w:rFonts w:ascii="Calibri" w:hAnsi="Calibri" w:cs="Calibri"/>
        </w:rPr>
        <w:t xml:space="preserve"> </w:t>
      </w:r>
      <w:hyperlink r:id="rId40" w:history="1">
        <w:r w:rsidRPr="003E26E6">
          <w:rPr>
            <w:rStyle w:val="Hyperlink"/>
            <w:rFonts w:ascii="Calibri" w:hAnsi="Calibri" w:cs="Calibri"/>
          </w:rPr>
          <w:t>https://www.industry.gov.au/regulations-and-standards/measurement-standards/review-of-measurement-markings-on-packaging</w:t>
        </w:r>
      </w:hyperlink>
      <w:r w:rsidRPr="003E26E6">
        <w:rPr>
          <w:rStyle w:val="Hyperlink"/>
          <w:rFonts w:ascii="Calibri" w:hAnsi="Calibri" w:cs="Calibri"/>
        </w:rPr>
        <w:t>,</w:t>
      </w:r>
    </w:p>
  </w:footnote>
  <w:footnote w:id="106">
    <w:p w:rsidR="006A65A2" w:rsidRPr="003E26E6" w:rsidRDefault="006A65A2" w:rsidP="00FD3396">
      <w:pPr>
        <w:pStyle w:val="FootnoteText"/>
        <w:rPr>
          <w:rFonts w:ascii="Calibri" w:hAnsi="Calibri" w:cs="Calibri"/>
        </w:rPr>
      </w:pPr>
      <w:r>
        <w:rPr>
          <w:rStyle w:val="FootnoteReference"/>
        </w:rPr>
        <w:footnoteRef/>
      </w:r>
      <w:r w:rsidRPr="003E26E6">
        <w:rPr>
          <w:rFonts w:ascii="Calibri" w:hAnsi="Calibri" w:cs="Calibri"/>
        </w:rPr>
        <w:t xml:space="preserve"> Information on the Unit Pricing Code (UPC) can be found at: </w:t>
      </w:r>
      <w:hyperlink r:id="rId41" w:history="1">
        <w:r w:rsidRPr="003E26E6">
          <w:rPr>
            <w:rStyle w:val="Hyperlink"/>
            <w:rFonts w:ascii="Calibri" w:hAnsi="Calibri" w:cs="Calibri"/>
          </w:rPr>
          <w:t>https://www.accc.gov.au/business/industry-codes/unit-pricing-code</w:t>
        </w:r>
      </w:hyperlink>
      <w:r w:rsidRPr="003E26E6">
        <w:rPr>
          <w:rStyle w:val="Hyperlink"/>
          <w:rFonts w:ascii="Calibri" w:hAnsi="Calibri" w:cs="Calibri"/>
        </w:rPr>
        <w:t>.</w:t>
      </w:r>
    </w:p>
  </w:footnote>
  <w:footnote w:id="107">
    <w:p w:rsidR="006A65A2" w:rsidRPr="003E26E6" w:rsidRDefault="006A65A2" w:rsidP="00715323">
      <w:pPr>
        <w:pStyle w:val="FootnoteText"/>
        <w:rPr>
          <w:rFonts w:ascii="Calibri" w:hAnsi="Calibri" w:cs="Calibri"/>
        </w:rPr>
      </w:pPr>
      <w:r w:rsidRPr="006D4DC3">
        <w:rPr>
          <w:rStyle w:val="FootnoteReference"/>
        </w:rPr>
        <w:footnoteRef/>
      </w:r>
      <w:r w:rsidRPr="003E26E6">
        <w:rPr>
          <w:rFonts w:ascii="Calibri" w:hAnsi="Calibri" w:cs="Calibri"/>
        </w:rPr>
        <w:t xml:space="preserve"> The Treasury 2012, </w:t>
      </w:r>
      <w:hyperlink r:id="rId42" w:history="1">
        <w:r w:rsidRPr="003E26E6">
          <w:rPr>
            <w:rStyle w:val="Hyperlink"/>
            <w:rFonts w:ascii="Calibri" w:hAnsi="Calibri" w:cs="Calibri"/>
            <w:i/>
          </w:rPr>
          <w:t>Post Implementation Review of the Unit Pricing Code of Conduct</w:t>
        </w:r>
      </w:hyperlink>
      <w:r w:rsidRPr="003E26E6">
        <w:rPr>
          <w:rFonts w:ascii="Calibri" w:hAnsi="Calibri" w:cs="Calibri"/>
        </w:rPr>
        <w:t>, October.</w:t>
      </w:r>
    </w:p>
  </w:footnote>
  <w:footnote w:id="108">
    <w:p w:rsidR="006A65A2" w:rsidRDefault="006A65A2" w:rsidP="00715323">
      <w:pPr>
        <w:pStyle w:val="FootnoteText"/>
      </w:pPr>
      <w:r w:rsidRPr="006D4DC3">
        <w:rPr>
          <w:rStyle w:val="FootnoteReference"/>
        </w:rPr>
        <w:footnoteRef/>
      </w:r>
      <w:r w:rsidRPr="003E26E6">
        <w:rPr>
          <w:rFonts w:ascii="Calibri" w:hAnsi="Calibri" w:cs="Calibri"/>
        </w:rPr>
        <w:t xml:space="preserve"> The Department of Industry, Innovation and Science 2016,</w:t>
      </w:r>
      <w:hyperlink r:id="rId43" w:history="1">
        <w:r w:rsidRPr="003E26E6">
          <w:rPr>
            <w:rStyle w:val="Hyperlink"/>
            <w:rFonts w:ascii="Calibri" w:hAnsi="Calibri" w:cs="Calibri"/>
          </w:rPr>
          <w:t xml:space="preserve"> </w:t>
        </w:r>
        <w:r w:rsidRPr="003E26E6">
          <w:rPr>
            <w:rStyle w:val="Hyperlink"/>
            <w:rFonts w:ascii="Calibri" w:hAnsi="Calibri" w:cs="Calibri"/>
            <w:i/>
          </w:rPr>
          <w:t>Country of Origin Labelling – Decision Regulation Impact Statement Consumer Affairs Australia New Zealand</w:t>
        </w:r>
      </w:hyperlink>
      <w:r w:rsidRPr="003E26E6">
        <w:rPr>
          <w:rFonts w:ascii="Calibri" w:hAnsi="Calibri" w:cs="Calibri"/>
          <w:i/>
        </w:rPr>
        <w:t xml:space="preserve">, </w:t>
      </w:r>
      <w:r w:rsidRPr="003E26E6">
        <w:rPr>
          <w:rFonts w:ascii="Calibri" w:hAnsi="Calibri" w:cs="Calibri"/>
        </w:rPr>
        <w:t>March.</w:t>
      </w:r>
      <w:r w:rsidRPr="006D4DC3">
        <w:rPr>
          <w:i/>
        </w:rPr>
        <w:t xml:space="preserve"> </w:t>
      </w:r>
    </w:p>
  </w:footnote>
  <w:footnote w:id="109">
    <w:p w:rsidR="006A65A2" w:rsidRDefault="006A65A2">
      <w:pPr>
        <w:pStyle w:val="FootnoteText"/>
      </w:pPr>
      <w:r>
        <w:rPr>
          <w:rStyle w:val="FootnoteReference"/>
        </w:rPr>
        <w:footnoteRef/>
      </w:r>
      <w:r>
        <w:t xml:space="preserve"> </w:t>
      </w:r>
      <w:r w:rsidRPr="003E26E6">
        <w:rPr>
          <w:rFonts w:ascii="Calibri" w:hAnsi="Calibri" w:cs="Calibri"/>
          <w:szCs w:val="16"/>
        </w:rPr>
        <w:t>A measuring instrument is a device used to make measurements. Measurement law regulates measuring instruments used for trade purposes and some specific instruments used by law enforcement. Instruments are called ‘trade measuring instruments’ or ‘measuring instruments for trade purposes’ when instruments are used at the point of sale or calculation of the price to be paid or calculation of tax to be collected (e.g. weighing scales used at supermarkets, fuel dispensers).</w:t>
      </w:r>
    </w:p>
  </w:footnote>
  <w:footnote w:id="110">
    <w:p w:rsidR="006A65A2" w:rsidRPr="003E26E6" w:rsidRDefault="006A65A2">
      <w:pPr>
        <w:pStyle w:val="FootnoteText"/>
        <w:rPr>
          <w:rFonts w:ascii="Calibri" w:hAnsi="Calibri" w:cs="Calibri"/>
        </w:rPr>
      </w:pPr>
      <w:r>
        <w:rPr>
          <w:rStyle w:val="FootnoteReference"/>
        </w:rPr>
        <w:footnoteRef/>
      </w:r>
      <w:r w:rsidRPr="003E26E6">
        <w:rPr>
          <w:rFonts w:ascii="Calibri" w:hAnsi="Calibri" w:cs="Calibri"/>
        </w:rPr>
        <w:t xml:space="preserve"> Section 18GC of the National Measurement Act 1960 - Supplying measuring instruments not of an approved pattern. </w:t>
      </w:r>
    </w:p>
  </w:footnote>
  <w:footnote w:id="111">
    <w:p w:rsidR="006A65A2" w:rsidRDefault="006A65A2">
      <w:pPr>
        <w:pStyle w:val="FootnoteText"/>
      </w:pPr>
      <w:r>
        <w:rPr>
          <w:rStyle w:val="FootnoteReference"/>
        </w:rPr>
        <w:footnoteRef/>
      </w:r>
      <w:r w:rsidRPr="003E26E6">
        <w:rPr>
          <w:rFonts w:ascii="Calibri" w:hAnsi="Calibri" w:cs="Calibri"/>
        </w:rPr>
        <w:t xml:space="preserve"> Some of these instruments may be legitimately used for non-trade purposes (where approval is not required), and others may be used in trade (where approval is required and even though not approved).</w:t>
      </w:r>
    </w:p>
  </w:footnote>
  <w:footnote w:id="112">
    <w:p w:rsidR="006A65A2" w:rsidRPr="003E26E6" w:rsidRDefault="006A65A2">
      <w:pPr>
        <w:pStyle w:val="FootnoteText"/>
        <w:rPr>
          <w:rFonts w:ascii="Calibri" w:hAnsi="Calibri" w:cs="Calibri"/>
        </w:rPr>
      </w:pPr>
      <w:r>
        <w:rPr>
          <w:rStyle w:val="FootnoteReference"/>
        </w:rPr>
        <w:footnoteRef/>
      </w:r>
      <w:r w:rsidRPr="003E26E6">
        <w:rPr>
          <w:rFonts w:ascii="Calibri" w:hAnsi="Calibri" w:cs="Calibri"/>
        </w:rPr>
        <w:t xml:space="preserve"> Further detail regarding what these arrangements would look like is outlined above in response to RIS Question 3.</w:t>
      </w:r>
    </w:p>
  </w:footnote>
  <w:footnote w:id="113">
    <w:p w:rsidR="006A65A2" w:rsidRPr="006F130E" w:rsidRDefault="006A65A2" w:rsidP="0067090B">
      <w:pPr>
        <w:pStyle w:val="FootnoteText"/>
        <w:rPr>
          <w:rFonts w:ascii="Calibri" w:hAnsi="Calibri" w:cs="Calibri"/>
        </w:rPr>
      </w:pPr>
      <w:r>
        <w:rPr>
          <w:rStyle w:val="FootnoteReference"/>
        </w:rPr>
        <w:footnoteRef/>
      </w:r>
      <w:r w:rsidRPr="006F130E">
        <w:rPr>
          <w:rFonts w:ascii="Calibri" w:hAnsi="Calibri" w:cs="Calibri"/>
        </w:rPr>
        <w:t xml:space="preserve"> The test method being used to test and verify measuring instruments is typically formalised as a</w:t>
      </w:r>
      <w:r>
        <w:rPr>
          <w:rFonts w:ascii="Calibri" w:hAnsi="Calibri" w:cs="Calibri"/>
        </w:rPr>
        <w:t>n</w:t>
      </w:r>
      <w:r w:rsidRPr="006F130E">
        <w:rPr>
          <w:rFonts w:ascii="Calibri" w:hAnsi="Calibri" w:cs="Calibri"/>
        </w:rPr>
        <w:t xml:space="preserve"> NITP.</w:t>
      </w:r>
    </w:p>
  </w:footnote>
  <w:footnote w:id="114">
    <w:p w:rsidR="006A65A2" w:rsidRPr="006F130E" w:rsidRDefault="006A65A2" w:rsidP="00D3239E">
      <w:pPr>
        <w:pStyle w:val="FootnoteText"/>
        <w:rPr>
          <w:rFonts w:ascii="Calibri" w:hAnsi="Calibri" w:cs="Calibri"/>
        </w:rPr>
      </w:pPr>
      <w:r>
        <w:rPr>
          <w:rStyle w:val="FootnoteReference"/>
        </w:rPr>
        <w:footnoteRef/>
      </w:r>
      <w:r w:rsidRPr="006F130E">
        <w:rPr>
          <w:rFonts w:ascii="Calibri" w:hAnsi="Calibri" w:cs="Calibri"/>
        </w:rPr>
        <w:t xml:space="preserve"> The test method being used to test and verify measuring instruments is typically formalised as a</w:t>
      </w:r>
      <w:r>
        <w:rPr>
          <w:rFonts w:ascii="Calibri" w:hAnsi="Calibri" w:cs="Calibri"/>
        </w:rPr>
        <w:t>n</w:t>
      </w:r>
      <w:r w:rsidRPr="006F130E">
        <w:rPr>
          <w:rFonts w:ascii="Calibri" w:hAnsi="Calibri" w:cs="Calibri"/>
        </w:rPr>
        <w:t xml:space="preserve"> NITP.</w:t>
      </w:r>
    </w:p>
  </w:footnote>
  <w:footnote w:id="115">
    <w:p w:rsidR="006A65A2" w:rsidRPr="003E26E6" w:rsidRDefault="006A65A2" w:rsidP="00A1247A">
      <w:pPr>
        <w:pStyle w:val="FootnoteText"/>
        <w:rPr>
          <w:rFonts w:ascii="Calibri" w:hAnsi="Calibri" w:cs="Calibri"/>
        </w:rPr>
      </w:pPr>
      <w:r>
        <w:rPr>
          <w:rStyle w:val="FootnoteReference"/>
        </w:rPr>
        <w:footnoteRef/>
      </w:r>
      <w:r w:rsidRPr="003E26E6">
        <w:rPr>
          <w:rFonts w:ascii="Calibri" w:hAnsi="Calibri" w:cs="Calibri"/>
        </w:rPr>
        <w:t xml:space="preserve"> This may include such things as accreditation through any International Laboratory Accreditation Cooperation (ILAC) accreditation body, peer assessment or an NMI review of capability.</w:t>
      </w:r>
    </w:p>
  </w:footnote>
  <w:footnote w:id="116">
    <w:p w:rsidR="006A65A2" w:rsidRPr="006F130E" w:rsidRDefault="006A65A2">
      <w:pPr>
        <w:pStyle w:val="FootnoteText"/>
        <w:rPr>
          <w:rFonts w:ascii="Calibri" w:hAnsi="Calibri" w:cs="Calibri"/>
          <w:szCs w:val="16"/>
        </w:rPr>
      </w:pPr>
      <w:r>
        <w:rPr>
          <w:rStyle w:val="FootnoteReference"/>
        </w:rPr>
        <w:footnoteRef/>
      </w:r>
      <w:r w:rsidRPr="006F130E">
        <w:rPr>
          <w:rFonts w:ascii="Calibri" w:hAnsi="Calibri" w:cs="Calibri"/>
          <w:szCs w:val="16"/>
        </w:rPr>
        <w:t xml:space="preserve"> “Bunkering” is a term used to refer to the supplying of </w:t>
      </w:r>
      <w:hyperlink r:id="rId44" w:tooltip="Fuel" w:history="1">
        <w:r w:rsidRPr="006F130E">
          <w:rPr>
            <w:rFonts w:ascii="Calibri" w:hAnsi="Calibri" w:cs="Calibri"/>
            <w:szCs w:val="16"/>
          </w:rPr>
          <w:t>fuel</w:t>
        </w:r>
      </w:hyperlink>
      <w:r w:rsidRPr="006F130E">
        <w:rPr>
          <w:rFonts w:ascii="Calibri" w:hAnsi="Calibri" w:cs="Calibri"/>
          <w:szCs w:val="16"/>
        </w:rPr>
        <w:t> for use by a ship and includes the logistics of loading fuel onto the ship and distributing it among the ship’s available bunker tanks.</w:t>
      </w:r>
    </w:p>
  </w:footnote>
  <w:footnote w:id="117">
    <w:p w:rsidR="006A65A2" w:rsidRDefault="006A65A2">
      <w:pPr>
        <w:pStyle w:val="FootnoteText"/>
      </w:pPr>
      <w:r>
        <w:rPr>
          <w:rStyle w:val="FootnoteReference"/>
        </w:rPr>
        <w:footnoteRef/>
      </w:r>
      <w:r w:rsidRPr="006F130E">
        <w:rPr>
          <w:rFonts w:ascii="Calibri" w:hAnsi="Calibri" w:cs="Calibri"/>
          <w:szCs w:val="16"/>
        </w:rPr>
        <w:t xml:space="preserve"> A “draft survey” refers to a calculation of the weight of cargo loaded onto, or unloaded from a ship based on measurements of changes in the ship’s displacement.</w:t>
      </w:r>
    </w:p>
  </w:footnote>
  <w:footnote w:id="118">
    <w:p w:rsidR="006A65A2" w:rsidRPr="006F130E" w:rsidRDefault="006A65A2">
      <w:pPr>
        <w:pStyle w:val="FootnoteText"/>
        <w:rPr>
          <w:rFonts w:ascii="Calibri" w:hAnsi="Calibri" w:cs="Calibri"/>
        </w:rPr>
      </w:pPr>
      <w:r>
        <w:rPr>
          <w:rStyle w:val="FootnoteReference"/>
        </w:rPr>
        <w:footnoteRef/>
      </w:r>
      <w:r w:rsidRPr="006F130E">
        <w:rPr>
          <w:rFonts w:ascii="Calibri" w:hAnsi="Calibri" w:cs="Calibri"/>
        </w:rPr>
        <w:t xml:space="preserve"> There is an exemption in section 4B of the </w:t>
      </w:r>
      <w:r w:rsidRPr="006F130E">
        <w:rPr>
          <w:rFonts w:ascii="Calibri" w:hAnsi="Calibri" w:cs="Calibri"/>
          <w:i/>
        </w:rPr>
        <w:t>National Measurement Act 1960</w:t>
      </w:r>
      <w:r w:rsidRPr="006F130E">
        <w:rPr>
          <w:rFonts w:ascii="Calibri" w:hAnsi="Calibri" w:cs="Calibri"/>
        </w:rPr>
        <w:t xml:space="preserve"> for automated packing machines. These are defined as “a machine that follows a pre-determined program for automatically measuring articles in pre-determined quantities as part of the packing process”. Currently these instruments (which include OIML R76 “Automatic gravimetric filling instruments”, such as filling heads for filling liquids like milk, beer, oil, etc.) are not subject to pattern approval and verification requirements. These instruments would not be impacted by changes applied to measuring instruments used to pack random weight packaged products.</w:t>
      </w:r>
    </w:p>
  </w:footnote>
  <w:footnote w:id="119">
    <w:p w:rsidR="006A65A2" w:rsidRPr="006F130E" w:rsidRDefault="006A65A2" w:rsidP="00AA501C">
      <w:pPr>
        <w:pStyle w:val="FootnoteText"/>
        <w:rPr>
          <w:rFonts w:ascii="Calibri" w:hAnsi="Calibri" w:cs="Calibri"/>
        </w:rPr>
      </w:pPr>
      <w:r>
        <w:rPr>
          <w:rStyle w:val="FootnoteReference"/>
        </w:rPr>
        <w:footnoteRef/>
      </w:r>
      <w:r w:rsidRPr="006F130E">
        <w:rPr>
          <w:rFonts w:ascii="Calibri" w:hAnsi="Calibri" w:cs="Calibri"/>
        </w:rPr>
        <w:t xml:space="preserve"> </w:t>
      </w:r>
      <w:hyperlink r:id="rId45" w:history="1">
        <w:r w:rsidRPr="006F130E">
          <w:rPr>
            <w:rStyle w:val="Hyperlink"/>
            <w:rFonts w:ascii="Calibri" w:hAnsi="Calibri" w:cs="Calibri"/>
            <w:i/>
          </w:rPr>
          <w:t>Therapeutic Goods Order No. 92 – Standard for labels of non-prescription medicines</w:t>
        </w:r>
      </w:hyperlink>
      <w:r w:rsidRPr="006F130E">
        <w:rPr>
          <w:rFonts w:ascii="Calibri" w:hAnsi="Calibri" w:cs="Calibri"/>
        </w:rPr>
        <w:t>, particularly order 7.</w:t>
      </w:r>
    </w:p>
  </w:footnote>
  <w:footnote w:id="120">
    <w:p w:rsidR="006A65A2" w:rsidRPr="006F130E" w:rsidRDefault="006A65A2" w:rsidP="0031123B">
      <w:pPr>
        <w:pStyle w:val="FootnoteText"/>
        <w:rPr>
          <w:rFonts w:ascii="Calibri" w:hAnsi="Calibri" w:cs="Calibri"/>
        </w:rPr>
      </w:pPr>
      <w:r>
        <w:rPr>
          <w:rStyle w:val="FootnoteReference"/>
        </w:rPr>
        <w:footnoteRef/>
      </w:r>
      <w:r w:rsidRPr="006F130E">
        <w:rPr>
          <w:rFonts w:ascii="Calibri" w:hAnsi="Calibri" w:cs="Calibri"/>
        </w:rPr>
        <w:t xml:space="preserve"> </w:t>
      </w:r>
      <w:hyperlink r:id="rId46" w:history="1">
        <w:r w:rsidRPr="00CB6DF3">
          <w:rPr>
            <w:rStyle w:val="Hyperlink"/>
            <w:rFonts w:ascii="Calibri" w:hAnsi="Calibri" w:cs="Calibri"/>
          </w:rPr>
          <w:t>OIML R79: Labelling requirements for prepackages</w:t>
        </w:r>
      </w:hyperlink>
      <w:r w:rsidRPr="006F130E">
        <w:rPr>
          <w:rFonts w:ascii="Calibri" w:hAnsi="Calibri" w:cs="Calibri"/>
        </w:rPr>
        <w:t xml:space="preserve"> includes recommendations at 5.5 regarding the method of measurement that should be used for packaged products.</w:t>
      </w:r>
    </w:p>
  </w:footnote>
  <w:footnote w:id="121">
    <w:p w:rsidR="006A65A2" w:rsidRPr="006F130E" w:rsidRDefault="006A65A2" w:rsidP="001F7A82">
      <w:pPr>
        <w:pStyle w:val="FootnoteText"/>
        <w:rPr>
          <w:rFonts w:ascii="Calibri" w:hAnsi="Calibri" w:cs="Calibri"/>
        </w:rPr>
      </w:pPr>
      <w:r>
        <w:rPr>
          <w:rStyle w:val="FootnoteReference"/>
        </w:rPr>
        <w:footnoteRef/>
      </w:r>
      <w:r w:rsidRPr="006F130E">
        <w:rPr>
          <w:rFonts w:ascii="Calibri" w:hAnsi="Calibri" w:cs="Calibri"/>
        </w:rPr>
        <w:t xml:space="preserve"> For example, a deemed to comply pathway could set out in guidance material what NMI would consider to be a measurement mark that is “prominent and legible”. Typically it would set out a list of criteria that, if met would ensure the measurement mark is compliant. Failing to meet the criteria would not necessarily mean that the marking is non-compliant but it would not automatically be considered to be compliant.</w:t>
      </w:r>
    </w:p>
  </w:footnote>
  <w:footnote w:id="122">
    <w:p w:rsidR="006A65A2" w:rsidRPr="006F130E" w:rsidRDefault="006A65A2" w:rsidP="00601912">
      <w:pPr>
        <w:pStyle w:val="FootnoteText"/>
        <w:rPr>
          <w:rFonts w:ascii="Calibri" w:hAnsi="Calibri" w:cs="Calibri"/>
        </w:rPr>
      </w:pPr>
      <w:r>
        <w:rPr>
          <w:rStyle w:val="FootnoteReference"/>
        </w:rPr>
        <w:footnoteRef/>
      </w:r>
      <w:r w:rsidRPr="006F130E">
        <w:rPr>
          <w:rFonts w:ascii="Calibri" w:hAnsi="Calibri" w:cs="Calibri"/>
        </w:rPr>
        <w:t xml:space="preserve"> These include Certifying Authorities, Verifying Authorities and Approving Authorities.</w:t>
      </w:r>
    </w:p>
  </w:footnote>
  <w:footnote w:id="123">
    <w:p w:rsidR="006A65A2" w:rsidRPr="006F130E" w:rsidRDefault="006A65A2">
      <w:pPr>
        <w:pStyle w:val="FootnoteText"/>
        <w:rPr>
          <w:rFonts w:ascii="Calibri" w:hAnsi="Calibri" w:cs="Calibri"/>
        </w:rPr>
      </w:pPr>
      <w:r>
        <w:rPr>
          <w:rStyle w:val="FootnoteReference"/>
        </w:rPr>
        <w:footnoteRef/>
      </w:r>
      <w:r w:rsidRPr="006F130E">
        <w:rPr>
          <w:rFonts w:ascii="Calibri" w:hAnsi="Calibri" w:cs="Calibri"/>
          <w:i/>
        </w:rPr>
        <w:t xml:space="preserve"> </w:t>
      </w:r>
      <w:r w:rsidRPr="006F130E">
        <w:rPr>
          <w:rFonts w:ascii="Calibri" w:hAnsi="Calibri" w:cs="Calibri"/>
        </w:rPr>
        <w:t>Protected information is information collected under or for the purposes of the</w:t>
      </w:r>
      <w:r w:rsidRPr="006F130E">
        <w:rPr>
          <w:rFonts w:ascii="Calibri" w:hAnsi="Calibri" w:cs="Calibri"/>
          <w:i/>
        </w:rPr>
        <w:t xml:space="preserve"> National Measurement Act </w:t>
      </w:r>
      <w:r w:rsidRPr="006F130E">
        <w:rPr>
          <w:rFonts w:ascii="Calibri" w:hAnsi="Calibri" w:cs="Calibri"/>
        </w:rPr>
        <w:t>1960 which is either personal information or information that relates to the personal or business affairs (s 19H).</w:t>
      </w:r>
    </w:p>
  </w:footnote>
  <w:footnote w:id="124">
    <w:p w:rsidR="006A65A2" w:rsidRPr="006F130E" w:rsidRDefault="006A65A2" w:rsidP="006F130E">
      <w:pPr>
        <w:spacing w:before="60" w:after="60" w:line="240" w:lineRule="auto"/>
        <w:rPr>
          <w:rFonts w:ascii="Calibri" w:hAnsi="Calibri" w:cs="Calibri"/>
          <w:sz w:val="16"/>
          <w:szCs w:val="16"/>
        </w:rPr>
      </w:pPr>
      <w:r w:rsidRPr="000E5931">
        <w:rPr>
          <w:rStyle w:val="FootnoteReference"/>
          <w:rFonts w:cs="Calibri"/>
          <w:sz w:val="16"/>
          <w:szCs w:val="16"/>
        </w:rPr>
        <w:footnoteRef/>
      </w:r>
      <w:r w:rsidRPr="006F130E">
        <w:rPr>
          <w:rFonts w:ascii="Calibri" w:hAnsi="Calibri" w:cs="Calibri"/>
          <w:sz w:val="16"/>
          <w:szCs w:val="16"/>
        </w:rPr>
        <w:t xml:space="preserve"> Pattern approval involves assessing an instrument’s design and testing of the instrument for performance under Australian conditions.  Under </w:t>
      </w:r>
      <w:r w:rsidRPr="006F130E">
        <w:rPr>
          <w:rFonts w:ascii="Calibri" w:hAnsi="Calibri" w:cs="Calibri"/>
          <w:b/>
          <w:sz w:val="16"/>
          <w:szCs w:val="16"/>
        </w:rPr>
        <w:t>all options</w:t>
      </w:r>
      <w:r w:rsidRPr="006F130E">
        <w:rPr>
          <w:rFonts w:ascii="Calibri" w:hAnsi="Calibri" w:cs="Calibri"/>
          <w:sz w:val="16"/>
          <w:szCs w:val="16"/>
        </w:rPr>
        <w:t xml:space="preserve">, pattern approval will remain a key control mechanism for measuring instruments used in trade to support reliable performance over time (as an ongoing requirement under </w:t>
      </w:r>
      <w:r w:rsidRPr="006F130E">
        <w:rPr>
          <w:rFonts w:ascii="Calibri" w:hAnsi="Calibri" w:cs="Calibri"/>
          <w:b/>
          <w:sz w:val="16"/>
          <w:szCs w:val="16"/>
        </w:rPr>
        <w:t>option 1</w:t>
      </w:r>
      <w:r w:rsidRPr="006F130E">
        <w:rPr>
          <w:rFonts w:ascii="Calibri" w:hAnsi="Calibri" w:cs="Calibri"/>
          <w:sz w:val="16"/>
          <w:szCs w:val="16"/>
        </w:rPr>
        <w:t xml:space="preserve"> and as a default requirement under </w:t>
      </w:r>
      <w:r w:rsidRPr="006F130E">
        <w:rPr>
          <w:rFonts w:ascii="Calibri" w:hAnsi="Calibri" w:cs="Calibri"/>
          <w:b/>
          <w:sz w:val="16"/>
          <w:szCs w:val="16"/>
        </w:rPr>
        <w:t>options 2 and 3</w:t>
      </w:r>
      <w:r w:rsidRPr="006F130E">
        <w:rPr>
          <w:rFonts w:ascii="Calibri" w:hAnsi="Calibri" w:cs="Calibri"/>
          <w:sz w:val="16"/>
          <w:szCs w:val="16"/>
        </w:rPr>
        <w:t>).</w:t>
      </w:r>
    </w:p>
  </w:footnote>
  <w:footnote w:id="125">
    <w:p w:rsidR="006A65A2" w:rsidRPr="006F130E" w:rsidRDefault="006A65A2">
      <w:pPr>
        <w:pStyle w:val="FootnoteText"/>
        <w:rPr>
          <w:rFonts w:ascii="Calibri" w:hAnsi="Calibri" w:cs="Calibri"/>
          <w:szCs w:val="16"/>
        </w:rPr>
      </w:pPr>
      <w:r>
        <w:rPr>
          <w:rStyle w:val="FootnoteReference"/>
        </w:rPr>
        <w:footnoteRef/>
      </w:r>
      <w:r w:rsidRPr="006F130E">
        <w:rPr>
          <w:rFonts w:ascii="Calibri" w:hAnsi="Calibri" w:cs="Calibri"/>
          <w:szCs w:val="16"/>
        </w:rPr>
        <w:t xml:space="preserve"> These are issued under the OIML-Certification System (OIML CS).</w:t>
      </w:r>
    </w:p>
  </w:footnote>
  <w:footnote w:id="126">
    <w:p w:rsidR="006A65A2" w:rsidRDefault="006A65A2">
      <w:pPr>
        <w:pStyle w:val="FootnoteText"/>
      </w:pPr>
      <w:r>
        <w:rPr>
          <w:rStyle w:val="FootnoteReference"/>
        </w:rPr>
        <w:footnoteRef/>
      </w:r>
      <w:r w:rsidRPr="006F130E">
        <w:rPr>
          <w:rFonts w:ascii="Calibri" w:eastAsia="Calibri" w:hAnsi="Calibri" w:cs="Calibri"/>
          <w:szCs w:val="16"/>
        </w:rPr>
        <w:t xml:space="preserve"> The </w:t>
      </w:r>
      <w:r w:rsidRPr="006F130E">
        <w:rPr>
          <w:rStyle w:val="acopre"/>
          <w:rFonts w:ascii="Calibri" w:hAnsi="Calibri" w:cs="Calibri"/>
          <w:szCs w:val="16"/>
        </w:rPr>
        <w:t xml:space="preserve">Measuring Instruments Directive (MID) </w:t>
      </w:r>
      <w:r w:rsidRPr="006F130E">
        <w:rPr>
          <w:rFonts w:ascii="Calibri" w:hAnsi="Calibri" w:cs="Calibri"/>
          <w:color w:val="202124"/>
          <w:szCs w:val="16"/>
        </w:rPr>
        <w:t>by the European Union seeks to harmonise many aspects of legal metrology across all member states of the European Union.</w:t>
      </w:r>
    </w:p>
  </w:footnote>
  <w:footnote w:id="127">
    <w:p w:rsidR="006A65A2" w:rsidRPr="006F130E" w:rsidRDefault="006A65A2" w:rsidP="004E760F">
      <w:pPr>
        <w:pStyle w:val="FootnoteText"/>
        <w:rPr>
          <w:rFonts w:ascii="Calibri" w:hAnsi="Calibri" w:cs="Calibri"/>
        </w:rPr>
      </w:pPr>
      <w:r>
        <w:rPr>
          <w:rStyle w:val="FootnoteReference"/>
        </w:rPr>
        <w:footnoteRef/>
      </w:r>
      <w:r w:rsidRPr="006F130E">
        <w:rPr>
          <w:rFonts w:ascii="Calibri" w:hAnsi="Calibri" w:cs="Calibri"/>
        </w:rPr>
        <w:t xml:space="preserve"> Method-dependent measurements are measurements where the result will depend on the particular testing method used, rather than having an independent true value outside the testing method. </w:t>
      </w:r>
    </w:p>
  </w:footnote>
  <w:footnote w:id="128">
    <w:p w:rsidR="006A65A2" w:rsidRPr="006F130E" w:rsidRDefault="006A65A2" w:rsidP="006F130E">
      <w:pPr>
        <w:autoSpaceDE w:val="0"/>
        <w:autoSpaceDN w:val="0"/>
        <w:adjustRightInd w:val="0"/>
        <w:spacing w:before="60" w:after="60" w:line="240" w:lineRule="auto"/>
        <w:rPr>
          <w:rFonts w:ascii="Calibri" w:hAnsi="Calibri" w:cs="Calibri"/>
          <w:b/>
          <w:i/>
          <w:sz w:val="16"/>
        </w:rPr>
      </w:pPr>
      <w:r w:rsidRPr="00AE4042">
        <w:rPr>
          <w:rStyle w:val="FootnoteReference"/>
          <w:sz w:val="16"/>
          <w:szCs w:val="16"/>
        </w:rPr>
        <w:footnoteRef/>
      </w:r>
      <w:r w:rsidRPr="004537E2">
        <w:rPr>
          <w:rFonts w:ascii="Calibri" w:hAnsi="Calibri" w:cs="Calibri"/>
          <w:sz w:val="16"/>
          <w:szCs w:val="16"/>
        </w:rPr>
        <w:t xml:space="preserve"> </w:t>
      </w:r>
      <w:r w:rsidRPr="006F130E">
        <w:rPr>
          <w:rFonts w:ascii="Calibri" w:hAnsi="Calibri" w:cs="Calibri"/>
          <w:sz w:val="16"/>
        </w:rPr>
        <w:t xml:space="preserve">Measurement traceability is defined in the International Vocabulary of Metrology (VIM) item 2.41 (6.10) as: </w:t>
      </w:r>
      <w:r w:rsidRPr="006F130E">
        <w:rPr>
          <w:rFonts w:ascii="Calibri" w:hAnsi="Calibri" w:cs="Calibri"/>
          <w:i/>
          <w:sz w:val="16"/>
        </w:rPr>
        <w:t xml:space="preserve">property of a </w:t>
      </w:r>
      <w:r w:rsidRPr="006F130E">
        <w:rPr>
          <w:rFonts w:ascii="Calibri" w:hAnsi="Calibri" w:cs="Calibri"/>
          <w:b/>
          <w:i/>
          <w:sz w:val="16"/>
        </w:rPr>
        <w:t xml:space="preserve">measurement result </w:t>
      </w:r>
      <w:r w:rsidRPr="006F130E">
        <w:rPr>
          <w:rFonts w:ascii="Calibri" w:hAnsi="Calibri" w:cs="Calibri"/>
          <w:i/>
          <w:sz w:val="16"/>
        </w:rPr>
        <w:t xml:space="preserve">whereby the result can be related to a reference through a documented unbroken chain of </w:t>
      </w:r>
      <w:r w:rsidRPr="006F130E">
        <w:rPr>
          <w:rFonts w:ascii="Calibri" w:hAnsi="Calibri" w:cs="Calibri"/>
          <w:b/>
          <w:i/>
          <w:sz w:val="16"/>
        </w:rPr>
        <w:t>calibrations</w:t>
      </w:r>
      <w:r w:rsidRPr="006F130E">
        <w:rPr>
          <w:rFonts w:ascii="Calibri" w:hAnsi="Calibri" w:cs="Calibri"/>
          <w:i/>
          <w:sz w:val="16"/>
        </w:rPr>
        <w:t xml:space="preserve">, each contributing to the </w:t>
      </w:r>
      <w:r w:rsidRPr="006F130E">
        <w:rPr>
          <w:rFonts w:ascii="Calibri" w:hAnsi="Calibri" w:cs="Calibri"/>
          <w:b/>
          <w:i/>
          <w:sz w:val="16"/>
        </w:rPr>
        <w:t xml:space="preserve">measurement uncertainty. </w:t>
      </w:r>
    </w:p>
    <w:p w:rsidR="006A65A2" w:rsidRPr="006F130E" w:rsidRDefault="006A65A2" w:rsidP="00AE4042">
      <w:pPr>
        <w:pStyle w:val="ListParagraph"/>
        <w:numPr>
          <w:ilvl w:val="0"/>
          <w:numId w:val="20"/>
        </w:numPr>
        <w:autoSpaceDE w:val="0"/>
        <w:autoSpaceDN w:val="0"/>
        <w:adjustRightInd w:val="0"/>
        <w:spacing w:before="60" w:after="60" w:line="240" w:lineRule="auto"/>
        <w:contextualSpacing w:val="0"/>
        <w:rPr>
          <w:rFonts w:ascii="Calibri" w:hAnsi="Calibri" w:cs="Calibri"/>
          <w:i/>
        </w:rPr>
      </w:pPr>
      <w:r w:rsidRPr="006F130E">
        <w:rPr>
          <w:rFonts w:ascii="Calibri" w:hAnsi="Calibri" w:cs="Calibri"/>
          <w:i/>
          <w:sz w:val="16"/>
        </w:rPr>
        <w:t xml:space="preserve">NOTE 1 For this definition, a ‘reference’ can be a definition of a </w:t>
      </w:r>
      <w:r w:rsidRPr="006F130E">
        <w:rPr>
          <w:rFonts w:ascii="Calibri" w:hAnsi="Calibri" w:cs="Calibri"/>
          <w:b/>
          <w:i/>
          <w:sz w:val="16"/>
        </w:rPr>
        <w:t xml:space="preserve">measurement unit </w:t>
      </w:r>
      <w:r w:rsidRPr="006F130E">
        <w:rPr>
          <w:rFonts w:ascii="Calibri" w:hAnsi="Calibri" w:cs="Calibri"/>
          <w:i/>
          <w:sz w:val="16"/>
        </w:rPr>
        <w:t xml:space="preserve">through its practical realization, or a </w:t>
      </w:r>
      <w:r w:rsidRPr="006F130E">
        <w:rPr>
          <w:rFonts w:ascii="Calibri" w:hAnsi="Calibri" w:cs="Calibri"/>
          <w:b/>
          <w:i/>
          <w:sz w:val="16"/>
        </w:rPr>
        <w:t xml:space="preserve">measurement procedure </w:t>
      </w:r>
      <w:r w:rsidRPr="006F130E">
        <w:rPr>
          <w:rFonts w:ascii="Calibri" w:hAnsi="Calibri" w:cs="Calibri"/>
          <w:i/>
          <w:sz w:val="16"/>
        </w:rPr>
        <w:t xml:space="preserve">including the measurement unit for a </w:t>
      </w:r>
      <w:r w:rsidRPr="00CD4A89">
        <w:rPr>
          <w:rFonts w:ascii="Calibri" w:hAnsi="Calibri" w:cs="Calibri"/>
          <w:b/>
          <w:i/>
          <w:sz w:val="16"/>
        </w:rPr>
        <w:t>non-</w:t>
      </w:r>
      <w:r w:rsidRPr="006F130E">
        <w:rPr>
          <w:rFonts w:ascii="Calibri" w:hAnsi="Calibri" w:cs="Calibri"/>
          <w:b/>
          <w:i/>
          <w:sz w:val="16"/>
        </w:rPr>
        <w:t>ordinal quantity</w:t>
      </w:r>
      <w:r w:rsidRPr="006F130E">
        <w:rPr>
          <w:rFonts w:ascii="Calibri" w:hAnsi="Calibri" w:cs="Calibri"/>
          <w:i/>
          <w:sz w:val="16"/>
        </w:rPr>
        <w:t xml:space="preserve">, or a </w:t>
      </w:r>
      <w:r w:rsidRPr="006F130E">
        <w:rPr>
          <w:rFonts w:ascii="Calibri" w:hAnsi="Calibri" w:cs="Calibri"/>
          <w:b/>
          <w:i/>
          <w:sz w:val="16"/>
        </w:rPr>
        <w:t>measurement standard</w:t>
      </w:r>
      <w:r w:rsidRPr="006F130E">
        <w:rPr>
          <w:rFonts w:ascii="Calibri" w:hAnsi="Calibri" w:cs="Calibri"/>
          <w:i/>
          <w:sz w:val="16"/>
        </w:rPr>
        <w:t>.</w:t>
      </w:r>
      <w:r w:rsidRPr="006F130E">
        <w:rPr>
          <w:rFonts w:ascii="Calibri" w:hAnsi="Calibri" w:cs="Calibri"/>
          <w:i/>
        </w:rPr>
        <w:t xml:space="preserve"> </w:t>
      </w:r>
    </w:p>
    <w:p w:rsidR="006A65A2" w:rsidRDefault="006A65A2" w:rsidP="00F65EDC">
      <w:pPr>
        <w:pStyle w:val="FootnoteText"/>
        <w:numPr>
          <w:ilvl w:val="0"/>
          <w:numId w:val="20"/>
        </w:numPr>
      </w:pPr>
      <w:r w:rsidRPr="006F130E">
        <w:rPr>
          <w:rFonts w:ascii="Calibri" w:hAnsi="Calibri" w:cs="Calibri"/>
          <w:i/>
          <w:szCs w:val="22"/>
        </w:rPr>
        <w:t>NOTE 5 Metrological traceability of a measurement result does not ensure that the measurement uncertainty</w:t>
      </w:r>
      <w:r w:rsidRPr="006F130E">
        <w:rPr>
          <w:rFonts w:ascii="Calibri" w:hAnsi="Calibri" w:cs="Calibri"/>
          <w:i/>
        </w:rPr>
        <w:t xml:space="preserve"> </w:t>
      </w:r>
      <w:r w:rsidRPr="006F130E">
        <w:rPr>
          <w:rFonts w:ascii="Calibri" w:hAnsi="Calibri" w:cs="Calibri"/>
          <w:i/>
          <w:szCs w:val="22"/>
        </w:rPr>
        <w:t>is adequate for a given purpose or that there is an absence of mistakes.</w:t>
      </w:r>
    </w:p>
  </w:footnote>
  <w:footnote w:id="129">
    <w:p w:rsidR="006A65A2" w:rsidRPr="006F130E" w:rsidRDefault="006A65A2" w:rsidP="004E760F">
      <w:pPr>
        <w:pStyle w:val="FootnoteText"/>
        <w:rPr>
          <w:rFonts w:ascii="Calibri" w:hAnsi="Calibri" w:cs="Calibri"/>
        </w:rPr>
      </w:pPr>
      <w:r>
        <w:rPr>
          <w:rStyle w:val="FootnoteReference"/>
        </w:rPr>
        <w:footnoteRef/>
      </w:r>
      <w:r w:rsidRPr="006F130E">
        <w:rPr>
          <w:rFonts w:ascii="Calibri" w:hAnsi="Calibri" w:cs="Calibri"/>
        </w:rPr>
        <w:t xml:space="preserve"> For example traceability back to World Health Organisation standards, or international food standards adopted by the Codex Alimentarius Commission.</w:t>
      </w:r>
    </w:p>
  </w:footnote>
  <w:footnote w:id="130">
    <w:p w:rsidR="0033017F" w:rsidRPr="0033017F" w:rsidRDefault="006A65A2" w:rsidP="0033017F">
      <w:pPr>
        <w:pStyle w:val="FootnoteText"/>
        <w:rPr>
          <w:rFonts w:ascii="Calibri" w:hAnsi="Calibri" w:cs="Calibri"/>
        </w:rPr>
      </w:pPr>
      <w:r>
        <w:rPr>
          <w:rStyle w:val="FootnoteReference"/>
        </w:rPr>
        <w:footnoteRef/>
      </w:r>
      <w:r w:rsidRPr="006F130E">
        <w:rPr>
          <w:rFonts w:ascii="Calibri" w:hAnsi="Calibri" w:cs="Calibri"/>
        </w:rPr>
        <w:t xml:space="preserve"> The </w:t>
      </w:r>
      <w:r w:rsidRPr="006F130E">
        <w:rPr>
          <w:rFonts w:ascii="Calibri" w:hAnsi="Calibri" w:cs="Calibri"/>
          <w:szCs w:val="16"/>
        </w:rPr>
        <w:t xml:space="preserve">controls applied would depend on risks associated with use of the instrument. The controls may include: Accurate operation, appropriate use, Pattern approval, Conformity to Type with respect to the equivalence of pattern and type, Quality System Assessment and Auditing, Verification, Re-verification, In service Inspection, </w:t>
      </w:r>
      <w:r w:rsidRPr="006F130E">
        <w:rPr>
          <w:rFonts w:ascii="Calibri" w:hAnsi="Calibri" w:cs="Calibri"/>
          <w:color w:val="000000"/>
          <w:szCs w:val="16"/>
          <w:lang w:eastAsia="en-AU"/>
        </w:rPr>
        <w:t>Instrument suitability requirements and ranges.</w:t>
      </w:r>
      <w:r w:rsidRPr="006F130E">
        <w:rPr>
          <w:rFonts w:ascii="Calibri" w:hAnsi="Calibri" w:cs="Calibri"/>
          <w:szCs w:val="16"/>
        </w:rPr>
        <w:t xml:space="preserve"> Also cited in Appendix </w:t>
      </w:r>
      <w:r>
        <w:rPr>
          <w:rFonts w:ascii="Calibri" w:hAnsi="Calibri" w:cs="Calibri"/>
          <w:szCs w:val="16"/>
        </w:rPr>
        <w:t>6</w:t>
      </w:r>
      <w:r w:rsidRPr="006F130E">
        <w:rPr>
          <w:rFonts w:ascii="Calibri" w:hAnsi="Calibri" w:cs="Calibri"/>
          <w:szCs w:val="16"/>
        </w:rPr>
        <w:t>: Impacts on measuring instrument manufacturers</w:t>
      </w:r>
      <w:r>
        <w:rPr>
          <w:rFonts w:ascii="Calibri" w:hAnsi="Calibri" w:cs="Calibri"/>
          <w:szCs w:val="16"/>
        </w:rPr>
        <w:t>, importers and distributors</w:t>
      </w:r>
      <w:r w:rsidRPr="006F130E">
        <w:rPr>
          <w:rFonts w:ascii="Calibri" w:hAnsi="Calibri" w:cs="Calibri"/>
          <w:szCs w:val="16"/>
        </w:rPr>
        <w:t>. In</w:t>
      </w:r>
      <w:r w:rsidRPr="006F130E">
        <w:rPr>
          <w:rFonts w:ascii="Calibri" w:hAnsi="Calibri" w:cs="Calibri"/>
        </w:rPr>
        <w:t xml:space="preserve"> determining the appropriate level of controls for innovative measuring instruments</w:t>
      </w:r>
      <w:r w:rsidRPr="006F130E">
        <w:rPr>
          <w:rFonts w:ascii="Calibri" w:hAnsi="Calibri" w:cs="Calibri"/>
          <w:szCs w:val="16"/>
        </w:rPr>
        <w:t>, the following would be considered:</w:t>
      </w:r>
      <w:r w:rsidRPr="006F130E">
        <w:rPr>
          <w:rFonts w:ascii="Calibri" w:hAnsi="Calibri" w:cs="Calibri"/>
        </w:rPr>
        <w:t xml:space="preserve"> the accuracy of the reported value, traceability to Australian Legal Units of Measurements, measurement uncertainties flowing from the references and method used and how the instrument was calibrated. Examples of potential controls are outlined in </w:t>
      </w:r>
      <w:r w:rsidRPr="006F130E">
        <w:rPr>
          <w:rFonts w:ascii="Calibri" w:hAnsi="Calibri" w:cs="Calibri"/>
        </w:rPr>
        <w:fldChar w:fldCharType="begin"/>
      </w:r>
      <w:r w:rsidRPr="006F130E">
        <w:rPr>
          <w:rFonts w:ascii="Calibri" w:hAnsi="Calibri" w:cs="Calibri"/>
        </w:rPr>
        <w:instrText xml:space="preserve"> REF _Ref65439999 \h </w:instrText>
      </w:r>
      <w:r>
        <w:rPr>
          <w:rFonts w:ascii="Calibri" w:hAnsi="Calibri" w:cs="Calibri"/>
        </w:rPr>
        <w:instrText xml:space="preserve"> \* MERGEFORMAT </w:instrText>
      </w:r>
      <w:r w:rsidRPr="006F130E">
        <w:rPr>
          <w:rFonts w:ascii="Calibri" w:hAnsi="Calibri" w:cs="Calibri"/>
        </w:rPr>
      </w:r>
      <w:r w:rsidRPr="006F130E">
        <w:rPr>
          <w:rFonts w:ascii="Calibri" w:hAnsi="Calibri" w:cs="Calibri"/>
        </w:rPr>
        <w:fldChar w:fldCharType="separate"/>
      </w:r>
      <w:r w:rsidR="0033017F" w:rsidRPr="0033017F">
        <w:rPr>
          <w:rFonts w:ascii="Calibri" w:hAnsi="Calibri" w:cs="Calibri"/>
        </w:rPr>
        <w:br w:type="page"/>
      </w:r>
    </w:p>
    <w:p w:rsidR="006A65A2" w:rsidRPr="006F130E" w:rsidRDefault="0033017F" w:rsidP="00601912">
      <w:pPr>
        <w:pStyle w:val="FootnoteText"/>
        <w:rPr>
          <w:rFonts w:ascii="Calibri" w:hAnsi="Calibri" w:cs="Calibri"/>
        </w:rPr>
      </w:pPr>
      <w:r w:rsidRPr="0033017F">
        <w:rPr>
          <w:rFonts w:ascii="Calibri" w:hAnsi="Calibri" w:cs="Calibri"/>
        </w:rPr>
        <w:t>Appendix 5: Impacts on measuring instrument</w:t>
      </w:r>
      <w:r w:rsidRPr="006A74F8">
        <w:t xml:space="preserve"> manufacturers, importers and distributors</w:t>
      </w:r>
      <w:r w:rsidR="006A65A2" w:rsidRPr="006F130E">
        <w:rPr>
          <w:rFonts w:ascii="Calibri" w:hAnsi="Calibri" w:cs="Calibri"/>
        </w:rPr>
        <w:fldChar w:fldCharType="end"/>
      </w:r>
      <w:r w:rsidR="006A65A2">
        <w:rPr>
          <w:rFonts w:ascii="Calibri" w:hAnsi="Calibri" w:cs="Calibri"/>
        </w:rPr>
        <w:t>, importers and distributors</w:t>
      </w:r>
      <w:r w:rsidR="006A65A2" w:rsidRPr="006F130E">
        <w:rPr>
          <w:rFonts w:ascii="Calibri" w:hAnsi="Calibri" w:cs="Calibri"/>
        </w:rPr>
        <w:t>.</w:t>
      </w:r>
    </w:p>
  </w:footnote>
  <w:footnote w:id="131">
    <w:p w:rsidR="006A65A2" w:rsidRPr="006F130E" w:rsidRDefault="006A65A2" w:rsidP="00601912">
      <w:pPr>
        <w:pStyle w:val="FootnoteText"/>
        <w:rPr>
          <w:rFonts w:ascii="Calibri" w:hAnsi="Calibri" w:cs="Calibri"/>
        </w:rPr>
      </w:pPr>
      <w:r>
        <w:rPr>
          <w:rStyle w:val="FootnoteReference"/>
        </w:rPr>
        <w:footnoteRef/>
      </w:r>
      <w:r w:rsidRPr="006F130E">
        <w:rPr>
          <w:rFonts w:ascii="Calibri" w:hAnsi="Calibri" w:cs="Calibri"/>
        </w:rPr>
        <w:t xml:space="preserve"> This would involve </w:t>
      </w:r>
      <w:r>
        <w:rPr>
          <w:rFonts w:ascii="Calibri" w:hAnsi="Calibri" w:cs="Calibri"/>
        </w:rPr>
        <w:t>additional</w:t>
      </w:r>
      <w:r w:rsidRPr="006F130E">
        <w:rPr>
          <w:rFonts w:ascii="Calibri" w:hAnsi="Calibri" w:cs="Calibri"/>
        </w:rPr>
        <w:t xml:space="preserve"> powers for the Chief Metrologist, to be specified under measurement regulations, that would include: </w:t>
      </w:r>
      <w:r w:rsidRPr="006F130E">
        <w:rPr>
          <w:rFonts w:ascii="Calibri" w:hAnsi="Calibri" w:cs="Calibri"/>
          <w:color w:val="000000"/>
          <w:lang w:val="en-US"/>
        </w:rPr>
        <w:t xml:space="preserve">determining additional appropriate traceability </w:t>
      </w:r>
      <w:r>
        <w:rPr>
          <w:rFonts w:ascii="Calibri" w:hAnsi="Calibri" w:cs="Calibri"/>
          <w:color w:val="000000"/>
          <w:lang w:val="en-US"/>
        </w:rPr>
        <w:t>pathways</w:t>
      </w:r>
      <w:r w:rsidRPr="006F130E">
        <w:rPr>
          <w:rFonts w:ascii="Calibri" w:hAnsi="Calibri" w:cs="Calibri"/>
          <w:color w:val="000000"/>
          <w:lang w:val="en-US"/>
        </w:rPr>
        <w:t xml:space="preserve">, </w:t>
      </w:r>
      <w:r>
        <w:rPr>
          <w:rFonts w:ascii="Calibri" w:hAnsi="Calibri" w:cs="Calibri"/>
          <w:color w:val="000000"/>
          <w:lang w:val="en-US"/>
        </w:rPr>
        <w:t xml:space="preserve">primary measurement </w:t>
      </w:r>
      <w:r w:rsidRPr="006F130E">
        <w:rPr>
          <w:rFonts w:ascii="Calibri" w:hAnsi="Calibri" w:cs="Calibri"/>
          <w:color w:val="000000"/>
          <w:lang w:val="en-US"/>
        </w:rPr>
        <w:t xml:space="preserve">standards, methods, systems, instruments; recognising international arrangements, references, outputs from NMIs, databases; revoking recognition of traceability </w:t>
      </w:r>
      <w:r>
        <w:rPr>
          <w:rFonts w:ascii="Calibri" w:hAnsi="Calibri" w:cs="Calibri"/>
          <w:color w:val="000000"/>
          <w:lang w:val="en-US"/>
        </w:rPr>
        <w:t>pathways</w:t>
      </w:r>
      <w:r w:rsidRPr="006F130E">
        <w:rPr>
          <w:rFonts w:ascii="Calibri" w:hAnsi="Calibri" w:cs="Calibri"/>
          <w:color w:val="000000"/>
          <w:lang w:val="en-US"/>
        </w:rPr>
        <w:t xml:space="preserve"> (e.g. to enable superseded methods to be revoked); and revalidating approved traceability </w:t>
      </w:r>
      <w:r>
        <w:rPr>
          <w:rFonts w:ascii="Calibri" w:hAnsi="Calibri" w:cs="Calibri"/>
          <w:color w:val="000000"/>
          <w:lang w:val="en-US"/>
        </w:rPr>
        <w:t>pathways</w:t>
      </w:r>
      <w:r w:rsidRPr="006F130E">
        <w:rPr>
          <w:rFonts w:ascii="Calibri" w:hAnsi="Calibri" w:cs="Calibri"/>
          <w:color w:val="000000"/>
          <w:lang w:val="en-US"/>
        </w:rPr>
        <w:t xml:space="preserve"> to reflect change in algorithms.</w:t>
      </w:r>
    </w:p>
  </w:footnote>
  <w:footnote w:id="132">
    <w:p w:rsidR="006A65A2" w:rsidRPr="006F130E" w:rsidRDefault="006A65A2" w:rsidP="00135E0B">
      <w:pPr>
        <w:pStyle w:val="FootnoteText"/>
        <w:rPr>
          <w:rFonts w:ascii="Calibri" w:hAnsi="Calibri" w:cs="Calibri"/>
        </w:rPr>
      </w:pPr>
      <w:r>
        <w:rPr>
          <w:rStyle w:val="FootnoteReference"/>
        </w:rPr>
        <w:footnoteRef/>
      </w:r>
      <w:r>
        <w:rPr>
          <w:rFonts w:ascii="Calibri" w:hAnsi="Calibri" w:cs="Calibri"/>
        </w:rPr>
        <w:t xml:space="preserve"> </w:t>
      </w:r>
      <w:r>
        <w:rPr>
          <w:rFonts w:ascii="Calibri" w:hAnsi="Calibri" w:cs="Calibri"/>
          <w:i/>
        </w:rPr>
        <w:t>National Measurement Regulations 1999</w:t>
      </w:r>
      <w:r>
        <w:rPr>
          <w:rFonts w:ascii="Calibri" w:hAnsi="Calibri" w:cs="Calibri"/>
        </w:rPr>
        <w:t>,</w:t>
      </w:r>
      <w:r>
        <w:rPr>
          <w:rFonts w:ascii="Calibri" w:hAnsi="Calibri" w:cs="Calibri"/>
          <w:i/>
        </w:rPr>
        <w:t xml:space="preserve"> </w:t>
      </w:r>
      <w:r w:rsidRPr="006F130E">
        <w:rPr>
          <w:rFonts w:ascii="Calibri" w:hAnsi="Calibri" w:cs="Calibri"/>
        </w:rPr>
        <w:t xml:space="preserve">regulation 53, recognition of foreign reference materials. Under this regulation overseas CRMs may be recognised as being </w:t>
      </w:r>
      <w:r>
        <w:rPr>
          <w:rFonts w:ascii="Calibri" w:hAnsi="Calibri" w:cs="Calibri"/>
        </w:rPr>
        <w:t>ACRMs</w:t>
      </w:r>
      <w:r w:rsidRPr="006F130E">
        <w:rPr>
          <w:rFonts w:ascii="Calibri" w:hAnsi="Calibri" w:cs="Calibri"/>
        </w:rPr>
        <w:t>. A written notice is issued and taken to be a certificate issued under regulation 48 Certification of reference materials.</w:t>
      </w:r>
    </w:p>
  </w:footnote>
  <w:footnote w:id="133">
    <w:p w:rsidR="006A65A2" w:rsidRPr="006F130E" w:rsidRDefault="006A65A2">
      <w:pPr>
        <w:pStyle w:val="FootnoteText"/>
        <w:rPr>
          <w:rFonts w:ascii="Calibri" w:hAnsi="Calibri" w:cs="Calibri"/>
        </w:rPr>
      </w:pPr>
      <w:r>
        <w:rPr>
          <w:rStyle w:val="FootnoteReference"/>
        </w:rPr>
        <w:footnoteRef/>
      </w:r>
      <w:r w:rsidRPr="006F130E">
        <w:rPr>
          <w:rFonts w:ascii="Calibri" w:hAnsi="Calibri" w:cs="Calibri"/>
        </w:rPr>
        <w:t xml:space="preserve"> </w:t>
      </w:r>
      <w:r>
        <w:rPr>
          <w:rFonts w:ascii="Calibri" w:hAnsi="Calibri" w:cs="Calibri"/>
          <w:i/>
        </w:rPr>
        <w:t>National Measurement Regulations 1999</w:t>
      </w:r>
      <w:r>
        <w:rPr>
          <w:rFonts w:ascii="Calibri" w:hAnsi="Calibri" w:cs="Calibri"/>
        </w:rPr>
        <w:t>,</w:t>
      </w:r>
      <w:r w:rsidRPr="006F130E">
        <w:rPr>
          <w:rFonts w:ascii="Calibri" w:hAnsi="Calibri" w:cs="Calibri"/>
        </w:rPr>
        <w:t xml:space="preserve"> regulation 21, recognition of foreign reference standards of measurement. Under this regulation an overseas reference measurement </w:t>
      </w:r>
      <w:r>
        <w:rPr>
          <w:rFonts w:ascii="Calibri" w:hAnsi="Calibri" w:cs="Calibri"/>
        </w:rPr>
        <w:t>standard</w:t>
      </w:r>
      <w:r w:rsidRPr="006F130E">
        <w:rPr>
          <w:rFonts w:ascii="Calibri" w:hAnsi="Calibri" w:cs="Calibri"/>
        </w:rPr>
        <w:t xml:space="preserve"> that is verified in a foreign country is issued a written notice equivalent to a regulation 19 certificate of verification of reference standards of measurement</w:t>
      </w:r>
      <w:r>
        <w:rPr>
          <w:rFonts w:ascii="Calibri" w:hAnsi="Calibri" w:cs="Calibri"/>
        </w:rPr>
        <w:t>.</w:t>
      </w:r>
    </w:p>
  </w:footnote>
  <w:footnote w:id="134">
    <w:p w:rsidR="006A65A2" w:rsidRDefault="006A65A2">
      <w:pPr>
        <w:pStyle w:val="FootnoteText"/>
      </w:pPr>
      <w:r>
        <w:rPr>
          <w:rStyle w:val="FootnoteReference"/>
        </w:rPr>
        <w:footnoteRef/>
      </w:r>
      <w:r w:rsidRPr="006F130E">
        <w:rPr>
          <w:rFonts w:ascii="Calibri" w:hAnsi="Calibri" w:cs="Calibri"/>
        </w:rPr>
        <w:t xml:space="preserve"> </w:t>
      </w:r>
      <w:r w:rsidRPr="006F130E">
        <w:rPr>
          <w:rStyle w:val="acopre1"/>
          <w:rFonts w:ascii="Calibri" w:hAnsi="Calibri" w:cs="Calibri"/>
          <w:szCs w:val="18"/>
        </w:rPr>
        <w:t>This database supports the CIPM MRA</w:t>
      </w:r>
      <w:r>
        <w:rPr>
          <w:rStyle w:val="acopre1"/>
          <w:rFonts w:ascii="Calibri" w:hAnsi="Calibri" w:cs="Calibri"/>
          <w:szCs w:val="18"/>
        </w:rPr>
        <w:t>.</w:t>
      </w:r>
    </w:p>
  </w:footnote>
  <w:footnote w:id="135">
    <w:p w:rsidR="006A65A2" w:rsidRPr="006F130E" w:rsidRDefault="006A65A2" w:rsidP="00E52449">
      <w:pPr>
        <w:pStyle w:val="FootnoteText"/>
        <w:rPr>
          <w:rFonts w:ascii="Calibri" w:hAnsi="Calibri" w:cs="Calibri"/>
        </w:rPr>
      </w:pPr>
      <w:r w:rsidRPr="006D4DC3">
        <w:rPr>
          <w:rStyle w:val="FootnoteReference"/>
        </w:rPr>
        <w:footnoteRef/>
      </w:r>
      <w:r w:rsidRPr="006F130E">
        <w:rPr>
          <w:rFonts w:ascii="Calibri" w:hAnsi="Calibri" w:cs="Calibri"/>
        </w:rPr>
        <w:t xml:space="preserve"> The Treasury 2012, </w:t>
      </w:r>
      <w:hyperlink r:id="rId47" w:history="1">
        <w:r w:rsidRPr="006F130E">
          <w:rPr>
            <w:rStyle w:val="Hyperlink"/>
            <w:rFonts w:ascii="Calibri" w:hAnsi="Calibri" w:cs="Calibri"/>
            <w:i/>
          </w:rPr>
          <w:t>Post Implementation Review of the Unit Pricing Code of Conduct</w:t>
        </w:r>
      </w:hyperlink>
      <w:r w:rsidRPr="006F130E">
        <w:rPr>
          <w:rFonts w:ascii="Calibri" w:hAnsi="Calibri" w:cs="Calibri"/>
        </w:rPr>
        <w:t>, October.</w:t>
      </w:r>
    </w:p>
  </w:footnote>
  <w:footnote w:id="136">
    <w:p w:rsidR="006A65A2" w:rsidRPr="006F130E" w:rsidRDefault="006A65A2" w:rsidP="00E52449">
      <w:pPr>
        <w:pStyle w:val="FootnoteText"/>
        <w:rPr>
          <w:rFonts w:ascii="Calibri" w:hAnsi="Calibri" w:cs="Calibri"/>
        </w:rPr>
      </w:pPr>
      <w:r w:rsidRPr="006D4DC3">
        <w:rPr>
          <w:rStyle w:val="FootnoteReference"/>
        </w:rPr>
        <w:footnoteRef/>
      </w:r>
      <w:r w:rsidRPr="006F130E">
        <w:rPr>
          <w:rFonts w:ascii="Calibri" w:hAnsi="Calibri" w:cs="Calibri"/>
        </w:rPr>
        <w:t xml:space="preserve"> The Department of Industry, Innovation and Science 2016,</w:t>
      </w:r>
      <w:hyperlink r:id="rId48" w:history="1">
        <w:r w:rsidRPr="006F130E">
          <w:rPr>
            <w:rStyle w:val="Hyperlink"/>
            <w:rFonts w:ascii="Calibri" w:hAnsi="Calibri" w:cs="Calibri"/>
          </w:rPr>
          <w:t xml:space="preserve"> </w:t>
        </w:r>
        <w:r w:rsidRPr="006F130E">
          <w:rPr>
            <w:rStyle w:val="Hyperlink"/>
            <w:rFonts w:ascii="Calibri" w:hAnsi="Calibri" w:cs="Calibri"/>
            <w:i/>
          </w:rPr>
          <w:t>Country of Origin Labelling – Decision Regulation Impact Statement Consumer Affairs Australia New Zealand</w:t>
        </w:r>
      </w:hyperlink>
      <w:r w:rsidRPr="006F130E">
        <w:rPr>
          <w:rFonts w:ascii="Calibri" w:hAnsi="Calibri" w:cs="Calibri"/>
          <w:i/>
        </w:rPr>
        <w:t xml:space="preserve">, </w:t>
      </w:r>
      <w:r w:rsidRPr="006F130E">
        <w:rPr>
          <w:rFonts w:ascii="Calibri" w:hAnsi="Calibri" w:cs="Calibri"/>
        </w:rPr>
        <w:t>March.</w:t>
      </w:r>
      <w:r w:rsidRPr="006F130E">
        <w:rPr>
          <w:rFonts w:ascii="Calibri" w:hAnsi="Calibri" w:cs="Calibri"/>
          <w:i/>
        </w:rPr>
        <w:t xml:space="preserve"> </w:t>
      </w:r>
    </w:p>
  </w:footnote>
  <w:footnote w:id="137">
    <w:p w:rsidR="006A65A2" w:rsidRPr="00EB7C0D" w:rsidRDefault="006A65A2" w:rsidP="00E52449">
      <w:pPr>
        <w:pStyle w:val="FootnoteText"/>
      </w:pPr>
      <w:r w:rsidRPr="00AA4C1B">
        <w:rPr>
          <w:rStyle w:val="FootnoteReference"/>
        </w:rPr>
        <w:footnoteRef/>
      </w:r>
      <w:r w:rsidRPr="006F130E">
        <w:rPr>
          <w:rFonts w:ascii="Calibri" w:hAnsi="Calibri" w:cs="Calibri"/>
        </w:rPr>
        <w:t xml:space="preserve"> </w:t>
      </w:r>
      <w:hyperlink r:id="rId49" w:history="1">
        <w:r w:rsidRPr="006F130E">
          <w:rPr>
            <w:rStyle w:val="Hyperlink"/>
            <w:rFonts w:ascii="Calibri" w:hAnsi="Calibri" w:cs="Calibri"/>
            <w:color w:val="1F497D"/>
          </w:rPr>
          <w:t>Household and Family Projections, Australia, 2016 to 2041</w:t>
        </w:r>
      </w:hyperlink>
      <w:r w:rsidRPr="006F130E">
        <w:rPr>
          <w:rFonts w:ascii="Calibri" w:hAnsi="Calibri" w:cs="Calibri"/>
          <w:color w:val="1F497D"/>
        </w:rPr>
        <w:t xml:space="preserve"> (cat. no. 3236.0) released 14/03/2019. </w:t>
      </w:r>
      <w:r w:rsidRPr="006F130E">
        <w:rPr>
          <w:rFonts w:ascii="Calibri" w:hAnsi="Calibri" w:cs="Calibri"/>
        </w:rPr>
        <w:t>The survey estimates a total of 9,802,786, projected Australian households in 2020.</w:t>
      </w:r>
    </w:p>
  </w:footnote>
  <w:footnote w:id="138">
    <w:p w:rsidR="006A65A2" w:rsidRPr="006F130E" w:rsidRDefault="006A65A2" w:rsidP="00E52449">
      <w:pPr>
        <w:pStyle w:val="FootnoteText"/>
        <w:rPr>
          <w:rFonts w:ascii="Calibri" w:hAnsi="Calibri" w:cs="Calibri"/>
          <w:szCs w:val="16"/>
        </w:rPr>
      </w:pPr>
      <w:r w:rsidRPr="00C05A04">
        <w:rPr>
          <w:rStyle w:val="FootnoteReference"/>
          <w:szCs w:val="16"/>
        </w:rPr>
        <w:footnoteRef/>
      </w:r>
      <w:r w:rsidRPr="006F130E">
        <w:rPr>
          <w:rFonts w:ascii="Calibri" w:hAnsi="Calibri" w:cs="Calibri"/>
          <w:szCs w:val="16"/>
        </w:rPr>
        <w:t xml:space="preserve"> ORIMA Research 2015, </w:t>
      </w:r>
      <w:hyperlink r:id="rId50" w:history="1">
        <w:r w:rsidRPr="006F130E">
          <w:rPr>
            <w:rStyle w:val="Hyperlink"/>
            <w:rFonts w:ascii="Calibri" w:hAnsi="Calibri" w:cs="Calibri"/>
            <w:i/>
            <w:szCs w:val="16"/>
          </w:rPr>
          <w:t>Understanding Consumer Preferences towards Measurement Markings on Fast Moving Consumer Goods Product Packages</w:t>
        </w:r>
      </w:hyperlink>
      <w:r w:rsidRPr="006F130E">
        <w:rPr>
          <w:rFonts w:ascii="Calibri" w:hAnsi="Calibri" w:cs="Calibri"/>
          <w:szCs w:val="16"/>
        </w:rPr>
        <w:t>, research conducted on behalf of the department, formerly known as the Department of Industry, Innovation and Science.</w:t>
      </w:r>
    </w:p>
  </w:footnote>
  <w:footnote w:id="139">
    <w:p w:rsidR="006A65A2" w:rsidRPr="006F130E" w:rsidRDefault="006A65A2" w:rsidP="00E52449">
      <w:pPr>
        <w:pStyle w:val="FootnoteText"/>
        <w:rPr>
          <w:rFonts w:ascii="Calibri" w:hAnsi="Calibri" w:cs="Calibri"/>
          <w:szCs w:val="16"/>
        </w:rPr>
      </w:pPr>
      <w:r w:rsidRPr="00C05A04">
        <w:rPr>
          <w:rStyle w:val="FootnoteReference"/>
          <w:szCs w:val="16"/>
        </w:rPr>
        <w:footnoteRef/>
      </w:r>
      <w:r w:rsidRPr="006F130E">
        <w:rPr>
          <w:rFonts w:ascii="Calibri" w:hAnsi="Calibri" w:cs="Calibri"/>
          <w:szCs w:val="16"/>
        </w:rPr>
        <w:t xml:space="preserve"> MORI 1997, </w:t>
      </w:r>
      <w:r w:rsidRPr="006F130E">
        <w:rPr>
          <w:rFonts w:ascii="Calibri" w:hAnsi="Calibri" w:cs="Calibri"/>
          <w:i/>
          <w:szCs w:val="16"/>
        </w:rPr>
        <w:t>Indications of Quantity on Pre-packaged Food: Drained Net Weight</w:t>
      </w:r>
      <w:r w:rsidRPr="006F130E">
        <w:rPr>
          <w:rFonts w:ascii="Calibri" w:hAnsi="Calibri" w:cs="Calibri"/>
          <w:szCs w:val="16"/>
        </w:rPr>
        <w:t>, Department of Trade and Industry.</w:t>
      </w:r>
    </w:p>
  </w:footnote>
  <w:footnote w:id="140">
    <w:p w:rsidR="006A65A2" w:rsidRPr="006F130E" w:rsidRDefault="006A65A2" w:rsidP="00E52449">
      <w:pPr>
        <w:pStyle w:val="FootnoteText"/>
        <w:rPr>
          <w:rFonts w:ascii="Calibri" w:hAnsi="Calibri" w:cs="Calibri"/>
          <w:szCs w:val="16"/>
        </w:rPr>
      </w:pPr>
      <w:r w:rsidRPr="00C05A04">
        <w:rPr>
          <w:rStyle w:val="FootnoteReference"/>
          <w:szCs w:val="16"/>
        </w:rPr>
        <w:footnoteRef/>
      </w:r>
      <w:r w:rsidRPr="006F130E">
        <w:rPr>
          <w:rFonts w:ascii="Calibri" w:hAnsi="Calibri" w:cs="Calibri"/>
          <w:szCs w:val="16"/>
        </w:rPr>
        <w:t xml:space="preserve"> https://www.industry.gov.au/regulations-and-standards/measurement-standards/review-of-measurement-markings-on-packaging.</w:t>
      </w:r>
    </w:p>
  </w:footnote>
  <w:footnote w:id="141">
    <w:p w:rsidR="006A65A2" w:rsidRPr="006F130E" w:rsidRDefault="006A65A2" w:rsidP="00E52449">
      <w:pPr>
        <w:pStyle w:val="FootnoteText"/>
        <w:rPr>
          <w:rFonts w:ascii="Calibri" w:hAnsi="Calibri" w:cs="Calibri"/>
        </w:rPr>
      </w:pPr>
      <w:r w:rsidRPr="00C05A04">
        <w:rPr>
          <w:rStyle w:val="FootnoteReference"/>
          <w:szCs w:val="16"/>
        </w:rPr>
        <w:footnoteRef/>
      </w:r>
      <w:r w:rsidRPr="006F130E">
        <w:rPr>
          <w:rFonts w:ascii="Calibri" w:hAnsi="Calibri" w:cs="Calibri"/>
          <w:szCs w:val="16"/>
        </w:rPr>
        <w:t xml:space="preserve"> Choice 2014, Media article: </w:t>
      </w:r>
      <w:hyperlink r:id="rId51" w:history="1">
        <w:r w:rsidRPr="006F130E">
          <w:rPr>
            <w:rStyle w:val="Hyperlink"/>
            <w:rFonts w:ascii="Calibri" w:hAnsi="Calibri" w:cs="Calibri"/>
            <w:i/>
            <w:szCs w:val="16"/>
          </w:rPr>
          <w:t>CHOICE unwraps industry push to hide shrinking packs</w:t>
        </w:r>
      </w:hyperlink>
      <w:r w:rsidRPr="006F130E">
        <w:rPr>
          <w:rFonts w:ascii="Calibri" w:hAnsi="Calibri" w:cs="Calibri"/>
          <w:szCs w:val="16"/>
        </w:rPr>
        <w:t>, September.</w:t>
      </w:r>
    </w:p>
  </w:footnote>
  <w:footnote w:id="142">
    <w:p w:rsidR="006A65A2" w:rsidRPr="00C05A04" w:rsidRDefault="006A65A2" w:rsidP="00E52449">
      <w:pPr>
        <w:pStyle w:val="FootnoteText"/>
      </w:pPr>
      <w:r w:rsidRPr="00C05A04">
        <w:rPr>
          <w:rStyle w:val="FootnoteReference"/>
        </w:rPr>
        <w:footnoteRef/>
      </w:r>
      <w:r w:rsidRPr="006F130E">
        <w:rPr>
          <w:rFonts w:ascii="Calibri" w:hAnsi="Calibri" w:cs="Calibri"/>
        </w:rPr>
        <w:t xml:space="preserve"> Lennard et. al. 2001, </w:t>
      </w:r>
      <w:r w:rsidRPr="006F130E">
        <w:rPr>
          <w:rFonts w:ascii="Calibri" w:hAnsi="Calibri" w:cs="Calibri"/>
          <w:i/>
        </w:rPr>
        <w:t>Why consumers under-use food quantity indicators,</w:t>
      </w:r>
      <w:r w:rsidRPr="006F130E">
        <w:rPr>
          <w:rFonts w:ascii="Calibri" w:hAnsi="Calibri" w:cs="Calibri"/>
        </w:rPr>
        <w:t xml:space="preserve"> The International Review of Retail, Distribution and Consumer Research, 11:2, 177-199.</w:t>
      </w:r>
    </w:p>
  </w:footnote>
  <w:footnote w:id="143">
    <w:p w:rsidR="006A65A2" w:rsidRPr="006F130E" w:rsidRDefault="006A65A2" w:rsidP="00E52449">
      <w:pPr>
        <w:pStyle w:val="FootnoteText"/>
        <w:rPr>
          <w:rFonts w:ascii="Calibri" w:hAnsi="Calibri" w:cs="Calibri"/>
        </w:rPr>
      </w:pPr>
      <w:r w:rsidRPr="00C05A04">
        <w:rPr>
          <w:rStyle w:val="FootnoteReference"/>
        </w:rPr>
        <w:footnoteRef/>
      </w:r>
      <w:r w:rsidRPr="006F130E">
        <w:rPr>
          <w:rFonts w:ascii="Calibri" w:hAnsi="Calibri" w:cs="Calibri"/>
        </w:rPr>
        <w:t xml:space="preserve"> </w:t>
      </w:r>
      <w:r w:rsidRPr="006F130E">
        <w:rPr>
          <w:rFonts w:ascii="Calibri" w:hAnsi="Calibri" w:cs="Calibri"/>
          <w:szCs w:val="16"/>
        </w:rPr>
        <w:t xml:space="preserve">ORIMA Research 2015, </w:t>
      </w:r>
      <w:hyperlink r:id="rId52" w:history="1">
        <w:r w:rsidRPr="006F130E">
          <w:rPr>
            <w:rStyle w:val="Hyperlink"/>
            <w:rFonts w:ascii="Calibri" w:hAnsi="Calibri" w:cs="Calibri"/>
            <w:i/>
            <w:szCs w:val="16"/>
          </w:rPr>
          <w:t>Understanding Consumer Preferences towards Measurement Markings on Fast Moving Consumer Goods Product Packages</w:t>
        </w:r>
      </w:hyperlink>
      <w:r w:rsidRPr="006F130E">
        <w:rPr>
          <w:rFonts w:ascii="Calibri" w:hAnsi="Calibri" w:cs="Calibri"/>
          <w:szCs w:val="16"/>
        </w:rPr>
        <w:t xml:space="preserve">, research conducted on behalf of the </w:t>
      </w:r>
      <w:r>
        <w:rPr>
          <w:rFonts w:ascii="Calibri" w:hAnsi="Calibri" w:cs="Calibri"/>
          <w:szCs w:val="16"/>
        </w:rPr>
        <w:t xml:space="preserve">former </w:t>
      </w:r>
      <w:r w:rsidRPr="006F130E">
        <w:rPr>
          <w:rFonts w:ascii="Calibri" w:hAnsi="Calibri" w:cs="Calibri"/>
          <w:szCs w:val="16"/>
        </w:rPr>
        <w:t xml:space="preserve">Department of Industry, Innovation and Science.  </w:t>
      </w:r>
    </w:p>
  </w:footnote>
  <w:footnote w:id="144">
    <w:p w:rsidR="006A65A2" w:rsidRPr="006F130E" w:rsidRDefault="006A65A2" w:rsidP="00E52449">
      <w:pPr>
        <w:pStyle w:val="FootnoteText"/>
        <w:rPr>
          <w:rFonts w:ascii="Calibri" w:hAnsi="Calibri" w:cs="Calibri"/>
        </w:rPr>
      </w:pPr>
      <w:r w:rsidRPr="00EA3523">
        <w:rPr>
          <w:rStyle w:val="FootnoteReference"/>
        </w:rPr>
        <w:footnoteRef/>
      </w:r>
      <w:r w:rsidRPr="006F130E">
        <w:rPr>
          <w:rFonts w:ascii="Calibri" w:hAnsi="Calibri" w:cs="Calibri"/>
        </w:rPr>
        <w:t xml:space="preserve"> MORI 1997, </w:t>
      </w:r>
      <w:r w:rsidRPr="006F130E">
        <w:rPr>
          <w:rFonts w:ascii="Calibri" w:hAnsi="Calibri" w:cs="Calibri"/>
          <w:i/>
        </w:rPr>
        <w:t>Indications of Quantity on Pre-packaged Food: Drained Net Weight</w:t>
      </w:r>
      <w:r w:rsidRPr="006F130E">
        <w:rPr>
          <w:rFonts w:ascii="Calibri" w:hAnsi="Calibri" w:cs="Calibri"/>
        </w:rPr>
        <w:t>, Department of Trade and Industry.</w:t>
      </w:r>
    </w:p>
  </w:footnote>
  <w:footnote w:id="145">
    <w:p w:rsidR="006A65A2" w:rsidRPr="006F130E" w:rsidRDefault="006A65A2" w:rsidP="00E52449">
      <w:pPr>
        <w:pStyle w:val="FootnoteText"/>
        <w:rPr>
          <w:rFonts w:ascii="Calibri" w:hAnsi="Calibri" w:cs="Calibri"/>
        </w:rPr>
      </w:pPr>
      <w:r w:rsidRPr="00EA3523">
        <w:rPr>
          <w:rStyle w:val="FootnoteReference"/>
        </w:rPr>
        <w:footnoteRef/>
      </w:r>
      <w:r w:rsidRPr="006F130E">
        <w:rPr>
          <w:rFonts w:ascii="Calibri" w:hAnsi="Calibri" w:cs="Calibri"/>
        </w:rPr>
        <w:t xml:space="preserve"> Assumes a household purchases 51 products per week.</w:t>
      </w:r>
    </w:p>
  </w:footnote>
  <w:footnote w:id="146">
    <w:p w:rsidR="006A65A2" w:rsidRDefault="006A65A2" w:rsidP="00E52449">
      <w:pPr>
        <w:pStyle w:val="FootnoteText"/>
      </w:pPr>
      <w:r w:rsidRPr="00EA3523">
        <w:rPr>
          <w:rStyle w:val="FootnoteReference"/>
        </w:rPr>
        <w:footnoteRef/>
      </w:r>
      <w:r w:rsidRPr="006F130E">
        <w:rPr>
          <w:rFonts w:ascii="Calibri" w:hAnsi="Calibri" w:cs="Calibri"/>
        </w:rPr>
        <w:t xml:space="preserve"> </w:t>
      </w:r>
      <w:hyperlink r:id="rId53" w:history="1">
        <w:r w:rsidRPr="006F130E">
          <w:rPr>
            <w:rStyle w:val="Hyperlink"/>
            <w:rFonts w:ascii="Calibri" w:hAnsi="Calibri" w:cs="Calibri"/>
            <w:color w:val="1F497D"/>
          </w:rPr>
          <w:t>Household and Family Projections, Australia, 2016 to 2041</w:t>
        </w:r>
      </w:hyperlink>
      <w:r w:rsidRPr="006F130E">
        <w:rPr>
          <w:rFonts w:ascii="Calibri" w:hAnsi="Calibri" w:cs="Calibri"/>
          <w:color w:val="1F497D"/>
        </w:rPr>
        <w:t xml:space="preserve"> (cat. no. 3236.0) released 14/03/2019. </w:t>
      </w:r>
      <w:r w:rsidRPr="006F130E">
        <w:rPr>
          <w:rFonts w:ascii="Calibri" w:hAnsi="Calibri" w:cs="Calibri"/>
        </w:rPr>
        <w:t>The survey estimates a total of 9,802,786, projected Australian households in 2020.</w:t>
      </w:r>
    </w:p>
  </w:footnote>
  <w:footnote w:id="147">
    <w:p w:rsidR="006A65A2" w:rsidRPr="006F130E" w:rsidRDefault="006A65A2" w:rsidP="006F130E">
      <w:pPr>
        <w:pStyle w:val="CommentText"/>
        <w:spacing w:before="60" w:after="60"/>
        <w:rPr>
          <w:rFonts w:ascii="Calibri" w:hAnsi="Calibri" w:cs="Calibri"/>
          <w:sz w:val="16"/>
          <w:szCs w:val="16"/>
        </w:rPr>
      </w:pPr>
      <w:r w:rsidRPr="000D163D">
        <w:rPr>
          <w:rStyle w:val="FootnoteReference"/>
          <w:rFonts w:cs="Arial"/>
          <w:sz w:val="16"/>
          <w:szCs w:val="16"/>
        </w:rPr>
        <w:footnoteRef/>
      </w:r>
      <w:r w:rsidRPr="000D163D">
        <w:rPr>
          <w:rFonts w:ascii="Calibri" w:hAnsi="Calibri" w:cs="Calibri"/>
          <w:sz w:val="16"/>
          <w:szCs w:val="16"/>
        </w:rPr>
        <w:t xml:space="preserve"> </w:t>
      </w:r>
      <w:r w:rsidRPr="006F130E">
        <w:rPr>
          <w:rFonts w:ascii="Calibri" w:hAnsi="Calibri" w:cs="Calibri"/>
          <w:sz w:val="16"/>
          <w:szCs w:val="16"/>
        </w:rPr>
        <w:t xml:space="preserve">Office of Best Practice Regulation March 2020, </w:t>
      </w:r>
      <w:hyperlink r:id="rId54" w:history="1">
        <w:r w:rsidRPr="006F130E">
          <w:rPr>
            <w:rStyle w:val="Hyperlink"/>
            <w:rFonts w:ascii="Calibri" w:hAnsi="Calibri" w:cs="Calibri"/>
            <w:i/>
            <w:sz w:val="16"/>
            <w:szCs w:val="16"/>
          </w:rPr>
          <w:t xml:space="preserve">Regulatory </w:t>
        </w:r>
        <w:r>
          <w:rPr>
            <w:rStyle w:val="Hyperlink"/>
            <w:rFonts w:ascii="Calibri" w:hAnsi="Calibri" w:cs="Calibri"/>
            <w:i/>
            <w:sz w:val="16"/>
            <w:szCs w:val="16"/>
          </w:rPr>
          <w:t>Burden</w:t>
        </w:r>
      </w:hyperlink>
      <w:r>
        <w:rPr>
          <w:rStyle w:val="Hyperlink"/>
          <w:rFonts w:ascii="Calibri" w:hAnsi="Calibri" w:cs="Calibri"/>
          <w:i/>
          <w:sz w:val="16"/>
          <w:szCs w:val="16"/>
        </w:rPr>
        <w:t xml:space="preserve"> Measurement Framework</w:t>
      </w:r>
      <w:r w:rsidRPr="006F130E">
        <w:rPr>
          <w:rStyle w:val="Hyperlink"/>
          <w:rFonts w:ascii="Calibri" w:hAnsi="Calibri" w:cs="Calibri"/>
          <w:i/>
          <w:sz w:val="16"/>
          <w:szCs w:val="16"/>
        </w:rPr>
        <w:t>.</w:t>
      </w:r>
    </w:p>
  </w:footnote>
  <w:footnote w:id="148">
    <w:p w:rsidR="006A65A2" w:rsidRPr="006F130E" w:rsidRDefault="006A65A2" w:rsidP="00E52449">
      <w:pPr>
        <w:pStyle w:val="FootnoteText"/>
        <w:rPr>
          <w:rFonts w:ascii="Calibri" w:hAnsi="Calibri" w:cs="Calibri"/>
        </w:rPr>
      </w:pPr>
      <w:r w:rsidRPr="00B719F2">
        <w:rPr>
          <w:rStyle w:val="FootnoteReference"/>
        </w:rPr>
        <w:footnoteRef/>
      </w:r>
      <w:r w:rsidRPr="006F130E">
        <w:rPr>
          <w:rFonts w:ascii="Calibri" w:hAnsi="Calibri" w:cs="Calibri"/>
        </w:rPr>
        <w:t xml:space="preserve"> ABS 2011,</w:t>
      </w:r>
      <w:r w:rsidRPr="006F130E">
        <w:rPr>
          <w:rFonts w:ascii="Calibri" w:hAnsi="Calibri" w:cs="Calibri"/>
          <w:i/>
        </w:rPr>
        <w:t xml:space="preserve"> </w:t>
      </w:r>
      <w:hyperlink r:id="rId55" w:history="1">
        <w:r w:rsidRPr="006F130E">
          <w:rPr>
            <w:rStyle w:val="Hyperlink"/>
            <w:rFonts w:ascii="Calibri" w:hAnsi="Calibri" w:cs="Calibri"/>
            <w:i/>
          </w:rPr>
          <w:t>6530.0- 2009-10 Household Expenditure Survey</w:t>
        </w:r>
      </w:hyperlink>
      <w:r w:rsidRPr="006F130E">
        <w:rPr>
          <w:rFonts w:ascii="Calibri" w:hAnsi="Calibri" w:cs="Calibri"/>
        </w:rPr>
        <w:t xml:space="preserve">, September. This was revised from 50 products used in options paper. The calculated average weekly household expenditure (2009) was adjusted to take into consideration inflation to 2016/17. </w:t>
      </w:r>
    </w:p>
  </w:footnote>
  <w:footnote w:id="149">
    <w:p w:rsidR="006A65A2" w:rsidRPr="006F130E" w:rsidRDefault="006A65A2" w:rsidP="00E52449">
      <w:pPr>
        <w:pStyle w:val="FootnoteText"/>
        <w:rPr>
          <w:rFonts w:ascii="Calibri" w:hAnsi="Calibri" w:cs="Calibri"/>
        </w:rPr>
      </w:pPr>
      <w:r w:rsidRPr="00D86A76">
        <w:rPr>
          <w:rStyle w:val="FootnoteReference"/>
        </w:rPr>
        <w:footnoteRef/>
      </w:r>
      <w:r w:rsidRPr="006F130E">
        <w:rPr>
          <w:rFonts w:ascii="Calibri" w:hAnsi="Calibri" w:cs="Calibri"/>
        </w:rPr>
        <w:t xml:space="preserve"> CHOICE 2017, </w:t>
      </w:r>
      <w:hyperlink r:id="rId56" w:history="1">
        <w:r w:rsidRPr="006F130E">
          <w:rPr>
            <w:rStyle w:val="Hyperlink"/>
            <w:rFonts w:ascii="Calibri" w:hAnsi="Calibri" w:cs="Calibri"/>
            <w:i/>
          </w:rPr>
          <w:t>Want to spend less at the checkout?</w:t>
        </w:r>
      </w:hyperlink>
      <w:r w:rsidRPr="006F130E">
        <w:rPr>
          <w:rFonts w:ascii="Calibri" w:hAnsi="Calibri" w:cs="Calibri"/>
        </w:rPr>
        <w:t xml:space="preserve">, Media article, updated 5 June 2017. </w:t>
      </w:r>
    </w:p>
  </w:footnote>
  <w:footnote w:id="150">
    <w:p w:rsidR="006A65A2" w:rsidRPr="006F130E" w:rsidRDefault="006A65A2" w:rsidP="00E52449">
      <w:pPr>
        <w:pStyle w:val="FootnoteText"/>
        <w:rPr>
          <w:rFonts w:ascii="Calibri" w:hAnsi="Calibri" w:cs="Calibri"/>
        </w:rPr>
      </w:pPr>
      <w:r w:rsidRPr="00D86A76">
        <w:rPr>
          <w:rStyle w:val="FootnoteReference"/>
        </w:rPr>
        <w:footnoteRef/>
      </w:r>
      <w:r w:rsidRPr="006F130E">
        <w:rPr>
          <w:rFonts w:ascii="Calibri" w:hAnsi="Calibri" w:cs="Calibri"/>
        </w:rPr>
        <w:t xml:space="preserve"> ABS 2011,</w:t>
      </w:r>
      <w:r w:rsidRPr="006F130E">
        <w:rPr>
          <w:rFonts w:ascii="Calibri" w:hAnsi="Calibri" w:cs="Calibri"/>
          <w:i/>
        </w:rPr>
        <w:t xml:space="preserve"> </w:t>
      </w:r>
      <w:hyperlink r:id="rId57" w:history="1">
        <w:r w:rsidRPr="006F130E">
          <w:rPr>
            <w:rStyle w:val="Hyperlink"/>
            <w:rFonts w:ascii="Calibri" w:hAnsi="Calibri" w:cs="Calibri"/>
            <w:i/>
          </w:rPr>
          <w:t>6530.0- 2009-10 Household Expenditure Survey</w:t>
        </w:r>
      </w:hyperlink>
      <w:r w:rsidRPr="006F130E">
        <w:rPr>
          <w:rFonts w:ascii="Calibri" w:hAnsi="Calibri" w:cs="Calibri"/>
        </w:rPr>
        <w:t>, September. This was revised from 50 products used in options paper. The calculated average weekly household expenditure (2009) was adjusted to take into consideration inflation to 2016/17.</w:t>
      </w:r>
    </w:p>
  </w:footnote>
  <w:footnote w:id="151">
    <w:p w:rsidR="006A65A2" w:rsidRPr="006F130E" w:rsidRDefault="006A65A2" w:rsidP="00E52449">
      <w:pPr>
        <w:pStyle w:val="FootnoteText"/>
        <w:rPr>
          <w:rFonts w:ascii="Calibri" w:hAnsi="Calibri" w:cs="Calibri"/>
        </w:rPr>
      </w:pPr>
      <w:r w:rsidRPr="00095417">
        <w:rPr>
          <w:rStyle w:val="FootnoteReference"/>
        </w:rPr>
        <w:footnoteRef/>
      </w:r>
      <w:r w:rsidRPr="006F130E">
        <w:rPr>
          <w:rFonts w:ascii="Calibri" w:hAnsi="Calibri" w:cs="Calibri"/>
        </w:rPr>
        <w:t xml:space="preserve"> Calculated from CHOICE survey data which determined the average shopping basket contained 33 items and cost $170. CHOICE 2017, </w:t>
      </w:r>
      <w:hyperlink r:id="rId58" w:history="1">
        <w:r w:rsidRPr="006F130E">
          <w:rPr>
            <w:rStyle w:val="Hyperlink"/>
            <w:rFonts w:ascii="Calibri" w:hAnsi="Calibri" w:cs="Calibri"/>
            <w:i/>
          </w:rPr>
          <w:t>Want to spend less at the checkout?</w:t>
        </w:r>
      </w:hyperlink>
      <w:r w:rsidRPr="006F130E">
        <w:rPr>
          <w:rFonts w:ascii="Calibri" w:hAnsi="Calibri" w:cs="Calibri"/>
        </w:rPr>
        <w:t>, Media article, updated 5 June 2017.</w:t>
      </w:r>
    </w:p>
  </w:footnote>
  <w:footnote w:id="152">
    <w:p w:rsidR="006A65A2" w:rsidRPr="00094742" w:rsidRDefault="006A65A2" w:rsidP="00E52449">
      <w:pPr>
        <w:pStyle w:val="FootnoteText"/>
      </w:pPr>
      <w:r w:rsidRPr="00094742">
        <w:rPr>
          <w:rStyle w:val="FootnoteReference"/>
        </w:rPr>
        <w:footnoteRef/>
      </w:r>
      <w:r w:rsidRPr="006F130E">
        <w:rPr>
          <w:rFonts w:ascii="Calibri" w:hAnsi="Calibri" w:cs="Calibri"/>
        </w:rPr>
        <w:t xml:space="preserve"> IBISWorld 2017, </w:t>
      </w:r>
      <w:r w:rsidRPr="006F130E">
        <w:rPr>
          <w:rFonts w:ascii="Calibri" w:hAnsi="Calibri" w:cs="Calibri"/>
          <w:i/>
        </w:rPr>
        <w:t xml:space="preserve">Industry Reports G4111 – Supermarkets and Grocery Stores in Australia, </w:t>
      </w:r>
      <w:r w:rsidRPr="006F130E">
        <w:rPr>
          <w:rFonts w:ascii="Calibri" w:hAnsi="Calibri" w:cs="Calibri"/>
        </w:rPr>
        <w:t>October.</w:t>
      </w:r>
      <w:r w:rsidRPr="00094742">
        <w:t xml:space="preserve"> </w:t>
      </w:r>
    </w:p>
  </w:footnote>
  <w:footnote w:id="153">
    <w:p w:rsidR="006A65A2" w:rsidRPr="006F130E" w:rsidRDefault="006A65A2" w:rsidP="00E52449">
      <w:pPr>
        <w:pStyle w:val="FootnoteText"/>
        <w:rPr>
          <w:rFonts w:ascii="Calibri" w:hAnsi="Calibri" w:cs="Calibri"/>
        </w:rPr>
      </w:pPr>
      <w:r w:rsidRPr="00094742">
        <w:rPr>
          <w:rStyle w:val="FootnoteReference"/>
        </w:rPr>
        <w:footnoteRef/>
      </w:r>
      <w:r w:rsidRPr="006F130E">
        <w:rPr>
          <w:rFonts w:ascii="Calibri" w:hAnsi="Calibri" w:cs="Calibri"/>
        </w:rPr>
        <w:t xml:space="preserve"> IBISWorld 2017, </w:t>
      </w:r>
      <w:r w:rsidRPr="006F130E">
        <w:rPr>
          <w:rFonts w:ascii="Calibri" w:hAnsi="Calibri" w:cs="Calibri"/>
          <w:i/>
        </w:rPr>
        <w:t xml:space="preserve">Industry Reports G4111 – Supermarkets and Grocery Stores in Australia, </w:t>
      </w:r>
      <w:r w:rsidRPr="006F130E">
        <w:rPr>
          <w:rFonts w:ascii="Calibri" w:hAnsi="Calibri" w:cs="Calibri"/>
        </w:rPr>
        <w:t>October.</w:t>
      </w:r>
    </w:p>
  </w:footnote>
  <w:footnote w:id="154">
    <w:p w:rsidR="006A65A2" w:rsidRPr="00C13769" w:rsidRDefault="006A65A2" w:rsidP="006F130E">
      <w:pPr>
        <w:pStyle w:val="CommentText"/>
        <w:spacing w:before="60" w:after="60"/>
        <w:rPr>
          <w:rFonts w:ascii="Calibri" w:hAnsi="Calibri" w:cs="Calibri"/>
          <w:b/>
          <w:color w:val="FF0000"/>
          <w:sz w:val="16"/>
          <w:szCs w:val="16"/>
        </w:rPr>
      </w:pPr>
      <w:r w:rsidRPr="001242A8">
        <w:rPr>
          <w:rStyle w:val="FootnoteReference"/>
          <w:rFonts w:cs="Arial"/>
          <w:sz w:val="16"/>
          <w:szCs w:val="16"/>
        </w:rPr>
        <w:footnoteRef/>
      </w:r>
      <w:r w:rsidRPr="006F130E">
        <w:rPr>
          <w:rFonts w:ascii="Calibri" w:hAnsi="Calibri" w:cs="Calibri"/>
          <w:sz w:val="16"/>
          <w:szCs w:val="16"/>
        </w:rPr>
        <w:t xml:space="preserve"> Office of Best Practice Regulation March 2020, </w:t>
      </w:r>
      <w:hyperlink r:id="rId59" w:history="1">
        <w:r w:rsidRPr="00A277F1">
          <w:rPr>
            <w:rStyle w:val="Hyperlink"/>
            <w:rFonts w:ascii="Calibri" w:hAnsi="Calibri" w:cs="Calibri"/>
            <w:sz w:val="16"/>
            <w:szCs w:val="16"/>
          </w:rPr>
          <w:t>https://obpr.pmc.gov.au/sites/default/files/2021-09/regulatory-burden-measurement-framework.pdf</w:t>
        </w:r>
      </w:hyperlink>
    </w:p>
  </w:footnote>
  <w:footnote w:id="155">
    <w:p w:rsidR="006A65A2" w:rsidRPr="000D21A9" w:rsidRDefault="006A65A2" w:rsidP="00E52449">
      <w:pPr>
        <w:pStyle w:val="FootnoteText"/>
        <w:rPr>
          <w:szCs w:val="16"/>
        </w:rPr>
      </w:pPr>
      <w:r w:rsidRPr="006D2BDE">
        <w:rPr>
          <w:rStyle w:val="FootnoteReference"/>
          <w:szCs w:val="16"/>
        </w:rPr>
        <w:footnoteRef/>
      </w:r>
      <w:r w:rsidRPr="006F130E">
        <w:rPr>
          <w:rFonts w:ascii="Calibri" w:hAnsi="Calibri" w:cs="Calibri"/>
          <w:szCs w:val="16"/>
        </w:rPr>
        <w:t xml:space="preserve"> For example, for </w:t>
      </w:r>
      <w:r>
        <w:rPr>
          <w:rFonts w:ascii="Calibri" w:hAnsi="Calibri" w:cs="Calibri"/>
          <w:szCs w:val="16"/>
        </w:rPr>
        <w:t>o</w:t>
      </w:r>
      <w:r w:rsidRPr="006F130E">
        <w:rPr>
          <w:rFonts w:ascii="Calibri" w:hAnsi="Calibri" w:cs="Calibri"/>
          <w:szCs w:val="16"/>
        </w:rPr>
        <w:t>ptions 2 and 3 when 2% of products are changed the cost is calculated as follows: consumer cost = 122,535 consumers x 40 products per week x 52 weeks per year x 20 seconds x 1/3600 hours / second x $32 / hour x 2% = $906 214. 6 products are used for the option 1 calculations.</w:t>
      </w:r>
    </w:p>
  </w:footnote>
  <w:footnote w:id="156">
    <w:p w:rsidR="006A65A2" w:rsidRPr="008E0A5F" w:rsidRDefault="006A65A2">
      <w:pPr>
        <w:pStyle w:val="FootnoteText"/>
        <w:rPr>
          <w:rFonts w:asciiTheme="majorHAnsi" w:hAnsiTheme="majorHAnsi" w:cstheme="majorHAnsi"/>
        </w:rPr>
      </w:pPr>
      <w:r w:rsidRPr="008E0A5F">
        <w:rPr>
          <w:rStyle w:val="FootnoteReference"/>
          <w:rFonts w:asciiTheme="majorHAnsi" w:hAnsiTheme="majorHAnsi" w:cstheme="majorHAnsi"/>
        </w:rPr>
        <w:footnoteRef/>
      </w:r>
      <w:r w:rsidRPr="008E0A5F">
        <w:rPr>
          <w:rFonts w:asciiTheme="majorHAnsi" w:hAnsiTheme="majorHAnsi" w:cstheme="majorHAnsi"/>
        </w:rPr>
        <w:t xml:space="preserve"> Please note all import data for the EU in the following calculations for industry impact includes the UK.</w:t>
      </w:r>
    </w:p>
  </w:footnote>
  <w:footnote w:id="157">
    <w:p w:rsidR="006A65A2" w:rsidRPr="006F130E" w:rsidRDefault="006A65A2" w:rsidP="006F130E">
      <w:pPr>
        <w:pStyle w:val="FootnoteText"/>
        <w:rPr>
          <w:rFonts w:ascii="Calibri" w:hAnsi="Calibri" w:cs="Calibri"/>
        </w:rPr>
      </w:pPr>
      <w:r w:rsidRPr="00D3642F">
        <w:rPr>
          <w:rStyle w:val="FootnoteReference"/>
        </w:rPr>
        <w:footnoteRef/>
      </w:r>
      <w:r w:rsidRPr="006F130E">
        <w:rPr>
          <w:rFonts w:ascii="Calibri" w:hAnsi="Calibri" w:cs="Calibri"/>
        </w:rPr>
        <w:t xml:space="preserve"> Department of Foreign Affairs and Trade, </w:t>
      </w:r>
      <w:hyperlink r:id="rId60" w:history="1">
        <w:r w:rsidRPr="006F130E">
          <w:rPr>
            <w:rStyle w:val="Hyperlink"/>
            <w:rFonts w:ascii="Calibri" w:hAnsi="Calibri" w:cs="Calibri"/>
            <w:i/>
          </w:rPr>
          <w:t>Composition of Trade Australia 2018-19,</w:t>
        </w:r>
      </w:hyperlink>
      <w:r w:rsidRPr="006F130E">
        <w:rPr>
          <w:rFonts w:ascii="Calibri" w:hAnsi="Calibri" w:cs="Calibri"/>
        </w:rPr>
        <w:t xml:space="preserve"> </w:t>
      </w:r>
      <w:r w:rsidRPr="006F130E">
        <w:rPr>
          <w:rStyle w:val="Hyperlink"/>
          <w:rFonts w:ascii="Calibri" w:hAnsi="Calibri" w:cs="Calibri"/>
          <w:color w:val="auto"/>
          <w:u w:val="none"/>
        </w:rPr>
        <w:t>p 109.</w:t>
      </w:r>
    </w:p>
  </w:footnote>
  <w:footnote w:id="158">
    <w:p w:rsidR="006A65A2" w:rsidRPr="006F130E" w:rsidRDefault="006A65A2" w:rsidP="006F130E">
      <w:pPr>
        <w:pStyle w:val="FootnoteText"/>
        <w:rPr>
          <w:rFonts w:ascii="Calibri" w:hAnsi="Calibri" w:cs="Calibri"/>
        </w:rPr>
      </w:pPr>
      <w:r w:rsidRPr="00D3642F">
        <w:rPr>
          <w:rStyle w:val="FootnoteReference"/>
        </w:rPr>
        <w:footnoteRef/>
      </w:r>
      <w:r w:rsidRPr="006F130E">
        <w:rPr>
          <w:rFonts w:ascii="Calibri" w:hAnsi="Calibri" w:cs="Calibri"/>
        </w:rPr>
        <w:t xml:space="preserve"> Department of Foreign Affairs and Trade, </w:t>
      </w:r>
      <w:hyperlink r:id="rId61" w:history="1">
        <w:r w:rsidRPr="006F130E">
          <w:rPr>
            <w:rStyle w:val="Hyperlink"/>
            <w:rFonts w:ascii="Calibri" w:hAnsi="Calibri" w:cs="Calibri"/>
            <w:i/>
          </w:rPr>
          <w:t>Composition of Trade Australia 2018-19,</w:t>
        </w:r>
      </w:hyperlink>
      <w:r w:rsidRPr="006F130E">
        <w:rPr>
          <w:rFonts w:ascii="Calibri" w:hAnsi="Calibri" w:cs="Calibri"/>
        </w:rPr>
        <w:t xml:space="preserve"> </w:t>
      </w:r>
      <w:r w:rsidRPr="006F130E">
        <w:rPr>
          <w:rStyle w:val="Hyperlink"/>
          <w:rFonts w:ascii="Calibri" w:hAnsi="Calibri" w:cs="Calibri"/>
          <w:color w:val="auto"/>
          <w:u w:val="none"/>
        </w:rPr>
        <w:t>p 109.</w:t>
      </w:r>
    </w:p>
  </w:footnote>
  <w:footnote w:id="159">
    <w:p w:rsidR="006A65A2" w:rsidRPr="006F130E" w:rsidRDefault="006A65A2" w:rsidP="00E52449">
      <w:pPr>
        <w:pStyle w:val="FootnoteText"/>
        <w:rPr>
          <w:rFonts w:ascii="Calibri" w:hAnsi="Calibri" w:cs="Calibri"/>
        </w:rPr>
      </w:pPr>
      <w:r w:rsidRPr="00D3642F">
        <w:rPr>
          <w:rStyle w:val="FootnoteReference"/>
        </w:rPr>
        <w:footnoteRef/>
      </w:r>
      <w:r w:rsidRPr="006F130E">
        <w:rPr>
          <w:rFonts w:ascii="Calibri" w:hAnsi="Calibri" w:cs="Calibri"/>
        </w:rPr>
        <w:t xml:space="preserve"> Data sourced from the Trade Information System (TIS) that collates information on imports and exports of merchandise goods. The data is collected by the Department of Home Affairs, provided by the ABS.</w:t>
      </w:r>
    </w:p>
  </w:footnote>
  <w:footnote w:id="160">
    <w:p w:rsidR="006A65A2" w:rsidRPr="006F130E" w:rsidRDefault="006A65A2" w:rsidP="00E52449">
      <w:pPr>
        <w:pStyle w:val="FootnoteText"/>
        <w:rPr>
          <w:rFonts w:ascii="Calibri" w:hAnsi="Calibri" w:cs="Calibri"/>
        </w:rPr>
      </w:pPr>
      <w:r>
        <w:rPr>
          <w:rStyle w:val="FootnoteReference"/>
        </w:rPr>
        <w:footnoteRef/>
      </w:r>
      <w:r w:rsidRPr="006F130E">
        <w:rPr>
          <w:rFonts w:ascii="Calibri" w:hAnsi="Calibri" w:cs="Calibri"/>
        </w:rPr>
        <w:t xml:space="preserve"> https://www.foreign-trade.com/reference/hscode.htm.</w:t>
      </w:r>
    </w:p>
  </w:footnote>
  <w:footnote w:id="161">
    <w:p w:rsidR="006A65A2" w:rsidRPr="009A5F85" w:rsidRDefault="006A65A2" w:rsidP="00E52449">
      <w:pPr>
        <w:pStyle w:val="FootnoteText"/>
        <w:rPr>
          <w:szCs w:val="16"/>
        </w:rPr>
      </w:pPr>
      <w:r w:rsidRPr="009A5F85">
        <w:rPr>
          <w:rStyle w:val="FootnoteReference"/>
          <w:szCs w:val="16"/>
        </w:rPr>
        <w:footnoteRef/>
      </w:r>
      <w:r w:rsidRPr="006F130E">
        <w:rPr>
          <w:rFonts w:ascii="Calibri" w:hAnsi="Calibri" w:cs="Calibri"/>
          <w:szCs w:val="16"/>
        </w:rPr>
        <w:t xml:space="preserve"> Personal Comm</w:t>
      </w:r>
      <w:r>
        <w:rPr>
          <w:rFonts w:ascii="Calibri" w:hAnsi="Calibri" w:cs="Calibri"/>
          <w:szCs w:val="16"/>
        </w:rPr>
        <w:t>unication</w:t>
      </w:r>
      <w:r w:rsidRPr="006F130E">
        <w:rPr>
          <w:rFonts w:ascii="Calibri" w:hAnsi="Calibri" w:cs="Calibri"/>
          <w:szCs w:val="16"/>
        </w:rPr>
        <w:t xml:space="preserve">s - ACCORD, Op. Cit. during the </w:t>
      </w:r>
      <w:hyperlink r:id="rId62" w:history="1">
        <w:r w:rsidRPr="006F130E">
          <w:rPr>
            <w:rStyle w:val="Hyperlink"/>
            <w:rFonts w:ascii="Calibri" w:hAnsi="Calibri" w:cs="Calibri"/>
            <w:szCs w:val="16"/>
          </w:rPr>
          <w:t>packaging review</w:t>
        </w:r>
      </w:hyperlink>
      <w:r w:rsidRPr="006F130E">
        <w:rPr>
          <w:rFonts w:ascii="Calibri" w:hAnsi="Calibri" w:cs="Calibri"/>
          <w:szCs w:val="16"/>
        </w:rPr>
        <w:t>.</w:t>
      </w:r>
    </w:p>
  </w:footnote>
  <w:footnote w:id="162">
    <w:p w:rsidR="006A65A2" w:rsidRPr="006F130E" w:rsidRDefault="006A65A2" w:rsidP="00E52449">
      <w:pPr>
        <w:pStyle w:val="FootnoteText"/>
        <w:rPr>
          <w:rFonts w:ascii="Calibri" w:hAnsi="Calibri" w:cs="Calibri"/>
        </w:rPr>
      </w:pPr>
      <w:r w:rsidRPr="009A5F85">
        <w:rPr>
          <w:rStyle w:val="FootnoteReference"/>
        </w:rPr>
        <w:footnoteRef/>
      </w:r>
      <w:r w:rsidRPr="006F130E">
        <w:rPr>
          <w:rFonts w:ascii="Calibri" w:hAnsi="Calibri" w:cs="Calibri"/>
        </w:rPr>
        <w:t xml:space="preserve"> The Department of Industry, Innovation and Science 2016,</w:t>
      </w:r>
      <w:r w:rsidRPr="00584CC9">
        <w:rPr>
          <w:rStyle w:val="Hyperlink"/>
          <w:rFonts w:ascii="Calibri" w:hAnsi="Calibri" w:cs="Calibri"/>
        </w:rPr>
        <w:t xml:space="preserve"> </w:t>
      </w:r>
      <w:hyperlink r:id="rId63" w:history="1">
        <w:r w:rsidRPr="00584CC9">
          <w:rPr>
            <w:rStyle w:val="Hyperlink"/>
            <w:rFonts w:ascii="Calibri" w:hAnsi="Calibri" w:cs="Calibri"/>
            <w:i/>
          </w:rPr>
          <w:t>Country of Origin Labelling – Decision Regulation Impact Statement Consumer Affairs Australia New Zealand</w:t>
        </w:r>
      </w:hyperlink>
      <w:r w:rsidRPr="006F130E">
        <w:rPr>
          <w:rFonts w:ascii="Calibri" w:hAnsi="Calibri" w:cs="Calibri"/>
          <w:i/>
        </w:rPr>
        <w:t xml:space="preserve">, </w:t>
      </w:r>
      <w:r w:rsidRPr="006F130E">
        <w:rPr>
          <w:rFonts w:ascii="Calibri" w:hAnsi="Calibri" w:cs="Calibri"/>
        </w:rPr>
        <w:t>March.</w:t>
      </w:r>
    </w:p>
  </w:footnote>
  <w:footnote w:id="163">
    <w:p w:rsidR="006A65A2" w:rsidRPr="00CD4A89" w:rsidRDefault="006A65A2" w:rsidP="00E52449">
      <w:pPr>
        <w:pStyle w:val="FootnoteText"/>
        <w:rPr>
          <w:rFonts w:ascii="Calibri" w:hAnsi="Calibri" w:cs="Calibri"/>
        </w:rPr>
      </w:pPr>
      <w:r w:rsidRPr="00711CFF">
        <w:rPr>
          <w:rStyle w:val="FootnoteReference"/>
        </w:rPr>
        <w:footnoteRef/>
      </w:r>
      <w:r w:rsidRPr="00CD4A89">
        <w:rPr>
          <w:rFonts w:ascii="Calibri" w:hAnsi="Calibri" w:cs="Calibri"/>
        </w:rPr>
        <w:t xml:space="preserve"> HS2204 - Wine of fresh grapes, including fortified wines; grape must other than that of heading no. 2009. </w:t>
      </w:r>
    </w:p>
  </w:footnote>
  <w:footnote w:id="164">
    <w:p w:rsidR="006A65A2" w:rsidRPr="00CD4A89" w:rsidRDefault="006A65A2" w:rsidP="00E52449">
      <w:pPr>
        <w:pStyle w:val="FootnoteText"/>
        <w:rPr>
          <w:rFonts w:ascii="Calibri" w:hAnsi="Calibri" w:cs="Calibri"/>
        </w:rPr>
      </w:pPr>
      <w:r w:rsidRPr="00711CFF">
        <w:rPr>
          <w:rStyle w:val="FootnoteReference"/>
        </w:rPr>
        <w:footnoteRef/>
      </w:r>
      <w:r>
        <w:rPr>
          <w:rFonts w:ascii="Calibri" w:hAnsi="Calibri" w:cs="Calibri"/>
        </w:rPr>
        <w:t xml:space="preserve"> </w:t>
      </w:r>
      <w:r w:rsidRPr="00CD4A89">
        <w:rPr>
          <w:rFonts w:ascii="Calibri" w:hAnsi="Calibri" w:cs="Calibri"/>
        </w:rPr>
        <w:t>HS 2208 - Ethyl alcohol, undenatured; of an alcoholic strength by volume of less than 80% volume; spirits, liqueurs and other spirituous beverages.</w:t>
      </w:r>
    </w:p>
  </w:footnote>
  <w:footnote w:id="165">
    <w:p w:rsidR="006A65A2" w:rsidRPr="00864373" w:rsidRDefault="006A65A2" w:rsidP="00E52449">
      <w:pPr>
        <w:pStyle w:val="FootnoteText"/>
        <w:rPr>
          <w:rFonts w:asciiTheme="minorHAnsi" w:hAnsiTheme="minorHAnsi" w:cstheme="minorHAnsi"/>
        </w:rPr>
      </w:pPr>
      <w:r w:rsidRPr="009A5F85">
        <w:rPr>
          <w:rStyle w:val="FootnoteReference"/>
        </w:rPr>
        <w:footnoteRef/>
      </w:r>
      <w:r w:rsidRPr="009A5F85">
        <w:t xml:space="preserve"> </w:t>
      </w:r>
      <w:r w:rsidRPr="00864373">
        <w:rPr>
          <w:rFonts w:asciiTheme="minorHAnsi" w:hAnsiTheme="minorHAnsi" w:cstheme="minorHAnsi"/>
        </w:rPr>
        <w:t>The Department of Industry, Innovation and Science 2016,</w:t>
      </w:r>
      <w:r w:rsidRPr="00864373">
        <w:rPr>
          <w:rStyle w:val="Hyperlink"/>
          <w:rFonts w:asciiTheme="minorHAnsi" w:hAnsiTheme="minorHAnsi" w:cstheme="minorHAnsi"/>
        </w:rPr>
        <w:t xml:space="preserve"> </w:t>
      </w:r>
      <w:hyperlink r:id="rId64" w:history="1">
        <w:r w:rsidRPr="00864373">
          <w:rPr>
            <w:rStyle w:val="Hyperlink"/>
            <w:rFonts w:asciiTheme="minorHAnsi" w:hAnsiTheme="minorHAnsi" w:cstheme="minorHAnsi"/>
            <w:i/>
          </w:rPr>
          <w:t>Country of Origin Labelling – Decision Regulation Impact Statement Consumer Affairs Australia New Zealand</w:t>
        </w:r>
      </w:hyperlink>
      <w:r w:rsidRPr="00864373">
        <w:rPr>
          <w:rFonts w:asciiTheme="minorHAnsi" w:hAnsiTheme="minorHAnsi" w:cstheme="minorHAnsi"/>
          <w:i/>
        </w:rPr>
        <w:t xml:space="preserve">, </w:t>
      </w:r>
      <w:r w:rsidRPr="00864373">
        <w:rPr>
          <w:rFonts w:asciiTheme="minorHAnsi" w:hAnsiTheme="minorHAnsi" w:cstheme="minorHAnsi"/>
        </w:rPr>
        <w:t>March.</w:t>
      </w:r>
    </w:p>
  </w:footnote>
  <w:footnote w:id="166">
    <w:p w:rsidR="006A65A2" w:rsidRPr="006F130E" w:rsidRDefault="006A65A2" w:rsidP="00E52449">
      <w:pPr>
        <w:pStyle w:val="FootnoteText"/>
        <w:rPr>
          <w:rFonts w:ascii="Calibri" w:hAnsi="Calibri" w:cs="Calibri"/>
        </w:rPr>
      </w:pPr>
      <w:r w:rsidRPr="00F875FC">
        <w:rPr>
          <w:rStyle w:val="FootnoteReference"/>
        </w:rPr>
        <w:footnoteRef/>
      </w:r>
      <w:r w:rsidRPr="006F130E">
        <w:rPr>
          <w:rFonts w:ascii="Calibri" w:hAnsi="Calibri" w:cs="Calibri"/>
        </w:rPr>
        <w:t xml:space="preserve"> </w:t>
      </w:r>
      <w:r w:rsidRPr="00864373">
        <w:rPr>
          <w:rFonts w:asciiTheme="minorHAnsi" w:hAnsiTheme="minorHAnsi" w:cstheme="minorHAnsi"/>
        </w:rPr>
        <w:t xml:space="preserve">Section </w:t>
      </w:r>
      <w:r w:rsidRPr="00864373">
        <w:rPr>
          <w:rFonts w:asciiTheme="minorHAnsi" w:hAnsiTheme="minorHAnsi" w:cstheme="minorHAnsi"/>
        </w:rPr>
        <w:fldChar w:fldCharType="begin"/>
      </w:r>
      <w:r w:rsidRPr="00864373">
        <w:rPr>
          <w:rFonts w:asciiTheme="minorHAnsi" w:hAnsiTheme="minorHAnsi" w:cstheme="minorHAnsi"/>
        </w:rPr>
        <w:instrText xml:space="preserve"> REF _Ref67989957 \r </w:instrText>
      </w:r>
      <w:r>
        <w:rPr>
          <w:rFonts w:asciiTheme="minorHAnsi" w:hAnsiTheme="minorHAnsi" w:cstheme="minorHAnsi"/>
        </w:rPr>
        <w:instrText xml:space="preserve"> \* MERGEFORMAT </w:instrText>
      </w:r>
      <w:r w:rsidRPr="00864373">
        <w:rPr>
          <w:rFonts w:asciiTheme="minorHAnsi" w:hAnsiTheme="minorHAnsi" w:cstheme="minorHAnsi"/>
        </w:rPr>
        <w:fldChar w:fldCharType="separate"/>
      </w:r>
      <w:r w:rsidR="0033017F">
        <w:rPr>
          <w:rFonts w:asciiTheme="minorHAnsi" w:hAnsiTheme="minorHAnsi" w:cstheme="minorHAnsi"/>
        </w:rPr>
        <w:t>18.4.3</w:t>
      </w:r>
      <w:r w:rsidRPr="00864373">
        <w:rPr>
          <w:rFonts w:asciiTheme="minorHAnsi" w:hAnsiTheme="minorHAnsi" w:cstheme="minorHAnsi"/>
        </w:rPr>
        <w:fldChar w:fldCharType="end"/>
      </w:r>
      <w:r w:rsidRPr="00864373">
        <w:rPr>
          <w:rFonts w:asciiTheme="minorHAnsi" w:hAnsiTheme="minorHAnsi" w:cstheme="minorHAnsi"/>
        </w:rPr>
        <w:t xml:space="preserve"> </w:t>
      </w:r>
      <w:r w:rsidRPr="00864373">
        <w:rPr>
          <w:rFonts w:asciiTheme="minorHAnsi" w:hAnsiTheme="minorHAnsi" w:cstheme="minorHAnsi"/>
        </w:rPr>
        <w:fldChar w:fldCharType="begin"/>
      </w:r>
      <w:r w:rsidRPr="00864373">
        <w:rPr>
          <w:rFonts w:asciiTheme="minorHAnsi" w:hAnsiTheme="minorHAnsi" w:cstheme="minorHAnsi"/>
        </w:rPr>
        <w:instrText xml:space="preserve"> REF _Ref67989962 </w:instrText>
      </w:r>
      <w:r>
        <w:rPr>
          <w:rFonts w:asciiTheme="minorHAnsi" w:hAnsiTheme="minorHAnsi" w:cstheme="minorHAnsi"/>
        </w:rPr>
        <w:instrText xml:space="preserve"> \* MERGEFORMAT </w:instrText>
      </w:r>
      <w:r w:rsidRPr="00864373">
        <w:rPr>
          <w:rFonts w:asciiTheme="minorHAnsi" w:hAnsiTheme="minorHAnsi" w:cstheme="minorHAnsi"/>
        </w:rPr>
        <w:fldChar w:fldCharType="separate"/>
      </w:r>
      <w:r w:rsidR="0033017F" w:rsidRPr="0033017F">
        <w:rPr>
          <w:rFonts w:asciiTheme="minorHAnsi" w:eastAsia="Times New Roman" w:hAnsiTheme="minorHAnsi" w:cstheme="minorHAnsi"/>
        </w:rPr>
        <w:t>Sensitivity tables</w:t>
      </w:r>
      <w:r w:rsidRPr="00864373">
        <w:rPr>
          <w:rFonts w:asciiTheme="minorHAnsi" w:hAnsiTheme="minorHAnsi" w:cstheme="minorHAnsi"/>
        </w:rPr>
        <w:fldChar w:fldCharType="end"/>
      </w:r>
      <w:r>
        <w:rPr>
          <w:rFonts w:asciiTheme="minorHAnsi" w:hAnsiTheme="minorHAnsi" w:cstheme="minorHAnsi"/>
        </w:rPr>
        <w:t>.</w:t>
      </w:r>
    </w:p>
  </w:footnote>
  <w:footnote w:id="167">
    <w:p w:rsidR="006A65A2" w:rsidRPr="006F130E" w:rsidRDefault="006A65A2" w:rsidP="00E52449">
      <w:pPr>
        <w:pStyle w:val="FootnoteText"/>
        <w:rPr>
          <w:rFonts w:ascii="Calibri" w:hAnsi="Calibri" w:cs="Calibri"/>
        </w:rPr>
      </w:pPr>
      <w:r>
        <w:rPr>
          <w:rStyle w:val="FootnoteReference"/>
        </w:rPr>
        <w:footnoteRef/>
      </w:r>
      <w:r w:rsidRPr="006F130E">
        <w:rPr>
          <w:rFonts w:ascii="Calibri" w:hAnsi="Calibri" w:cs="Calibri"/>
        </w:rPr>
        <w:t xml:space="preserve"> ABS 2011,</w:t>
      </w:r>
      <w:r w:rsidRPr="006F130E">
        <w:rPr>
          <w:rFonts w:ascii="Calibri" w:hAnsi="Calibri" w:cs="Calibri"/>
          <w:i/>
        </w:rPr>
        <w:t xml:space="preserve"> </w:t>
      </w:r>
      <w:hyperlink r:id="rId65" w:history="1">
        <w:r w:rsidRPr="008A1CFA">
          <w:rPr>
            <w:rStyle w:val="Hyperlink"/>
            <w:rFonts w:ascii="Calibri" w:hAnsi="Calibri" w:cs="Calibri"/>
            <w:i/>
          </w:rPr>
          <w:t>6530.0- 2009-10 Household Expenditure Survey</w:t>
        </w:r>
      </w:hyperlink>
      <w:r w:rsidRPr="006F130E">
        <w:rPr>
          <w:rFonts w:ascii="Calibri" w:hAnsi="Calibri" w:cs="Calibri"/>
        </w:rPr>
        <w:t>, September</w:t>
      </w:r>
      <w:r>
        <w:rPr>
          <w:rFonts w:ascii="Calibri" w:hAnsi="Calibri" w:cs="Calibri"/>
        </w:rPr>
        <w:t>.</w:t>
      </w:r>
    </w:p>
  </w:footnote>
  <w:footnote w:id="168">
    <w:p w:rsidR="006A65A2" w:rsidRPr="006F130E" w:rsidRDefault="006A65A2" w:rsidP="00E52449">
      <w:pPr>
        <w:pStyle w:val="FootnoteText"/>
        <w:rPr>
          <w:rFonts w:ascii="Calibri" w:hAnsi="Calibri" w:cs="Calibri"/>
        </w:rPr>
      </w:pPr>
      <w:r>
        <w:rPr>
          <w:rStyle w:val="FootnoteReference"/>
        </w:rPr>
        <w:footnoteRef/>
      </w:r>
      <w:r w:rsidRPr="006F130E">
        <w:rPr>
          <w:rFonts w:ascii="Calibri" w:hAnsi="Calibri" w:cs="Calibri"/>
        </w:rPr>
        <w:t xml:space="preserve"> Reserve bank of Australia 2018, </w:t>
      </w:r>
      <w:hyperlink r:id="rId66" w:history="1">
        <w:r w:rsidRPr="006F130E">
          <w:rPr>
            <w:rStyle w:val="Hyperlink"/>
            <w:rFonts w:ascii="Calibri" w:hAnsi="Calibri" w:cs="Calibri"/>
            <w:i/>
          </w:rPr>
          <w:t>Inflation Calculator</w:t>
        </w:r>
      </w:hyperlink>
      <w:r w:rsidRPr="006F130E">
        <w:rPr>
          <w:rFonts w:ascii="Calibri" w:hAnsi="Calibri" w:cs="Calibri"/>
          <w:i/>
        </w:rPr>
        <w:t xml:space="preserve">, </w:t>
      </w:r>
      <w:r w:rsidRPr="006F130E">
        <w:rPr>
          <w:rFonts w:ascii="Calibri" w:hAnsi="Calibri" w:cs="Calibri"/>
        </w:rPr>
        <w:t>accessed February 2018.</w:t>
      </w:r>
    </w:p>
  </w:footnote>
  <w:footnote w:id="169">
    <w:p w:rsidR="006A65A2" w:rsidRPr="006F130E" w:rsidRDefault="006A65A2" w:rsidP="00E52449">
      <w:pPr>
        <w:pStyle w:val="FootnoteText"/>
        <w:rPr>
          <w:rFonts w:ascii="Calibri" w:hAnsi="Calibri" w:cs="Calibri"/>
        </w:rPr>
      </w:pPr>
      <w:r>
        <w:rPr>
          <w:rStyle w:val="FootnoteReference"/>
        </w:rPr>
        <w:footnoteRef/>
      </w:r>
      <w:r w:rsidRPr="006F130E">
        <w:rPr>
          <w:rFonts w:ascii="Calibri" w:hAnsi="Calibri" w:cs="Calibri"/>
        </w:rPr>
        <w:t xml:space="preserve"> Household and Family Projections, Australia, 2016 to 2041 (cat. no. 3236.0) released 14/03/2019. The survey estimates a total of 9,802,786, projected Australian households in 2020.</w:t>
      </w:r>
    </w:p>
  </w:footnote>
  <w:footnote w:id="170">
    <w:p w:rsidR="006A65A2" w:rsidRPr="006F130E" w:rsidRDefault="006A65A2" w:rsidP="00E52449">
      <w:pPr>
        <w:pStyle w:val="FootnoteText"/>
        <w:rPr>
          <w:rFonts w:ascii="Calibri" w:hAnsi="Calibri" w:cs="Calibri"/>
        </w:rPr>
      </w:pPr>
      <w:r>
        <w:rPr>
          <w:rStyle w:val="FootnoteReference"/>
        </w:rPr>
        <w:footnoteRef/>
      </w:r>
      <w:r w:rsidRPr="006F130E">
        <w:rPr>
          <w:rFonts w:ascii="Calibri" w:hAnsi="Calibri" w:cs="Calibri"/>
        </w:rPr>
        <w:t xml:space="preserve"> </w:t>
      </w:r>
      <w:r w:rsidRPr="006F130E">
        <w:rPr>
          <w:rFonts w:ascii="Calibri" w:hAnsi="Calibri" w:cs="Calibri"/>
          <w:szCs w:val="16"/>
        </w:rPr>
        <w:t xml:space="preserve">ORIMA Research 2015, </w:t>
      </w:r>
      <w:hyperlink r:id="rId67" w:history="1">
        <w:r w:rsidRPr="006F130E">
          <w:rPr>
            <w:rStyle w:val="Hyperlink"/>
            <w:rFonts w:ascii="Calibri" w:hAnsi="Calibri" w:cs="Calibri"/>
            <w:i/>
            <w:szCs w:val="16"/>
          </w:rPr>
          <w:t>Understanding Consumer Preferences towards Measurement Markings on Fast Moving Consumer Goods Product Packages</w:t>
        </w:r>
      </w:hyperlink>
      <w:r w:rsidRPr="006F130E">
        <w:rPr>
          <w:rFonts w:ascii="Calibri" w:hAnsi="Calibri" w:cs="Calibri"/>
          <w:szCs w:val="16"/>
        </w:rPr>
        <w:t xml:space="preserve">, research conducted on behalf of the Department of Industry, Innovation and Science.  </w:t>
      </w:r>
    </w:p>
  </w:footnote>
  <w:footnote w:id="171">
    <w:p w:rsidR="006A65A2" w:rsidRDefault="006A65A2" w:rsidP="00E52449">
      <w:pPr>
        <w:pStyle w:val="FootnoteText"/>
      </w:pPr>
      <w:r>
        <w:rPr>
          <w:rStyle w:val="FootnoteReference"/>
        </w:rPr>
        <w:footnoteRef/>
      </w:r>
      <w:r w:rsidRPr="006F130E">
        <w:rPr>
          <w:rFonts w:ascii="Calibri" w:hAnsi="Calibri" w:cs="Calibri"/>
        </w:rPr>
        <w:t xml:space="preserve"> MORI 1997, </w:t>
      </w:r>
      <w:r w:rsidRPr="006F130E">
        <w:rPr>
          <w:rFonts w:ascii="Calibri" w:hAnsi="Calibri" w:cs="Calibri"/>
          <w:i/>
        </w:rPr>
        <w:t>Indications of Quantity on Pre-packaged Food: Drained Net Weight</w:t>
      </w:r>
      <w:r w:rsidRPr="006F130E">
        <w:rPr>
          <w:rFonts w:ascii="Calibri" w:hAnsi="Calibri" w:cs="Calibri"/>
        </w:rPr>
        <w:t>, Department of Trade and Industry.</w:t>
      </w:r>
    </w:p>
  </w:footnote>
  <w:footnote w:id="172">
    <w:p w:rsidR="006A65A2" w:rsidRPr="006F130E" w:rsidRDefault="006A65A2" w:rsidP="00E52449">
      <w:pPr>
        <w:pStyle w:val="FootnoteText"/>
        <w:rPr>
          <w:rFonts w:ascii="Calibri" w:hAnsi="Calibri" w:cs="Calibri"/>
        </w:rPr>
      </w:pPr>
      <w:r w:rsidRPr="0053503C">
        <w:rPr>
          <w:rStyle w:val="FootnoteReference"/>
        </w:rPr>
        <w:footnoteRef/>
      </w:r>
      <w:r w:rsidRPr="006F130E">
        <w:rPr>
          <w:rFonts w:ascii="Calibri" w:hAnsi="Calibri" w:cs="Calibri"/>
        </w:rPr>
        <w:t xml:space="preserve"> </w:t>
      </w:r>
      <w:r w:rsidRPr="00A26881">
        <w:rPr>
          <w:rFonts w:ascii="Calibri" w:hAnsi="Calibri" w:cs="Calibri"/>
          <w:szCs w:val="16"/>
        </w:rPr>
        <w:t xml:space="preserve">Office of Best Practice Regulation March 2020, </w:t>
      </w:r>
      <w:hyperlink r:id="rId68" w:history="1">
        <w:r w:rsidRPr="000D163D">
          <w:rPr>
            <w:rStyle w:val="Hyperlink"/>
            <w:rFonts w:ascii="Calibri" w:hAnsi="Calibri" w:cs="Calibri"/>
            <w:i/>
            <w:szCs w:val="16"/>
          </w:rPr>
          <w:t xml:space="preserve">Regulatory </w:t>
        </w:r>
        <w:r>
          <w:rPr>
            <w:rStyle w:val="Hyperlink"/>
            <w:rFonts w:ascii="Calibri" w:hAnsi="Calibri" w:cs="Calibri"/>
            <w:i/>
            <w:szCs w:val="16"/>
          </w:rPr>
          <w:t>Burden Measurement Framework</w:t>
        </w:r>
        <w:r w:rsidRPr="000D163D">
          <w:rPr>
            <w:rStyle w:val="Hyperlink"/>
            <w:rFonts w:ascii="Calibri" w:hAnsi="Calibri" w:cs="Calibri"/>
            <w:i/>
            <w:szCs w:val="16"/>
          </w:rPr>
          <w:t>.</w:t>
        </w:r>
      </w:hyperlink>
    </w:p>
  </w:footnote>
  <w:footnote w:id="173">
    <w:p w:rsidR="006A65A2" w:rsidRPr="006F130E" w:rsidRDefault="006A65A2" w:rsidP="00E52449">
      <w:pPr>
        <w:pStyle w:val="FootnoteText"/>
        <w:rPr>
          <w:rFonts w:ascii="Calibri" w:hAnsi="Calibri" w:cs="Calibri"/>
        </w:rPr>
      </w:pPr>
      <w:r w:rsidRPr="0053503C">
        <w:rPr>
          <w:rStyle w:val="FootnoteReference"/>
        </w:rPr>
        <w:footnoteRef/>
      </w:r>
      <w:r w:rsidRPr="006F130E">
        <w:rPr>
          <w:rFonts w:ascii="Calibri" w:hAnsi="Calibri" w:cs="Calibri"/>
        </w:rPr>
        <w:t xml:space="preserve"> ABS 2011,</w:t>
      </w:r>
      <w:r w:rsidRPr="006F130E">
        <w:rPr>
          <w:rFonts w:ascii="Calibri" w:hAnsi="Calibri" w:cs="Calibri"/>
          <w:i/>
        </w:rPr>
        <w:t xml:space="preserve"> </w:t>
      </w:r>
      <w:hyperlink r:id="rId69" w:history="1">
        <w:r w:rsidRPr="006F130E">
          <w:rPr>
            <w:rStyle w:val="Hyperlink"/>
            <w:rFonts w:ascii="Calibri" w:hAnsi="Calibri" w:cs="Calibri"/>
            <w:i/>
          </w:rPr>
          <w:t>6530.0- 2009-10 Household Expenditure Survey</w:t>
        </w:r>
      </w:hyperlink>
      <w:r w:rsidRPr="006F130E">
        <w:rPr>
          <w:rFonts w:ascii="Calibri" w:hAnsi="Calibri" w:cs="Calibri"/>
        </w:rPr>
        <w:t>, September.</w:t>
      </w:r>
    </w:p>
  </w:footnote>
  <w:footnote w:id="174">
    <w:p w:rsidR="006A65A2" w:rsidRPr="006F130E" w:rsidRDefault="006A65A2" w:rsidP="00E52449">
      <w:pPr>
        <w:pStyle w:val="FootnoteText"/>
        <w:rPr>
          <w:rFonts w:ascii="Calibri" w:hAnsi="Calibri" w:cs="Calibri"/>
        </w:rPr>
      </w:pPr>
      <w:r w:rsidRPr="0091438A">
        <w:rPr>
          <w:rStyle w:val="FootnoteReference"/>
        </w:rPr>
        <w:footnoteRef/>
      </w:r>
      <w:r w:rsidRPr="006F130E">
        <w:rPr>
          <w:rFonts w:ascii="Calibri" w:hAnsi="Calibri" w:cs="Calibri"/>
        </w:rPr>
        <w:t xml:space="preserve"> Reserve bank of Australia 2018, </w:t>
      </w:r>
      <w:hyperlink r:id="rId70" w:history="1">
        <w:r w:rsidRPr="006F130E">
          <w:rPr>
            <w:rStyle w:val="Hyperlink"/>
            <w:rFonts w:ascii="Calibri" w:hAnsi="Calibri" w:cs="Calibri"/>
            <w:i/>
          </w:rPr>
          <w:t>Inflation Calculator</w:t>
        </w:r>
      </w:hyperlink>
      <w:r w:rsidRPr="006F130E">
        <w:rPr>
          <w:rFonts w:ascii="Calibri" w:hAnsi="Calibri" w:cs="Calibri"/>
          <w:i/>
        </w:rPr>
        <w:t xml:space="preserve">, </w:t>
      </w:r>
      <w:r w:rsidRPr="006F130E">
        <w:rPr>
          <w:rFonts w:ascii="Calibri" w:hAnsi="Calibri" w:cs="Calibri"/>
        </w:rPr>
        <w:t xml:space="preserve">accessed February 2018. </w:t>
      </w:r>
    </w:p>
  </w:footnote>
  <w:footnote w:id="175">
    <w:p w:rsidR="006A65A2" w:rsidRDefault="006A65A2" w:rsidP="00E52449">
      <w:pPr>
        <w:pStyle w:val="FootnoteText"/>
      </w:pPr>
      <w:r>
        <w:rPr>
          <w:rStyle w:val="FootnoteReference"/>
        </w:rPr>
        <w:footnoteRef/>
      </w:r>
      <w:r w:rsidRPr="006F130E">
        <w:rPr>
          <w:rFonts w:ascii="Calibri" w:hAnsi="Calibri" w:cs="Calibri"/>
        </w:rPr>
        <w:t xml:space="preserve"> CHOICE 2017, </w:t>
      </w:r>
      <w:hyperlink r:id="rId71" w:history="1">
        <w:r w:rsidRPr="006F130E">
          <w:rPr>
            <w:rStyle w:val="Hyperlink"/>
            <w:rFonts w:ascii="Calibri" w:hAnsi="Calibri" w:cs="Calibri"/>
            <w:i/>
          </w:rPr>
          <w:t>Want to spend less at the checkout?</w:t>
        </w:r>
      </w:hyperlink>
      <w:r w:rsidRPr="006F130E">
        <w:rPr>
          <w:rFonts w:ascii="Calibri" w:hAnsi="Calibri" w:cs="Calibri"/>
        </w:rPr>
        <w:t>, Media article, updated 5 June 2017.</w:t>
      </w:r>
    </w:p>
  </w:footnote>
  <w:footnote w:id="176">
    <w:p w:rsidR="006A65A2" w:rsidRPr="006F130E" w:rsidRDefault="006A65A2" w:rsidP="00E52449">
      <w:pPr>
        <w:pStyle w:val="FootnoteText"/>
        <w:rPr>
          <w:rFonts w:ascii="Calibri" w:hAnsi="Calibri" w:cs="Calibri"/>
        </w:rPr>
      </w:pPr>
      <w:r>
        <w:rPr>
          <w:rStyle w:val="FootnoteReference"/>
        </w:rPr>
        <w:footnoteRef/>
      </w:r>
      <w:r w:rsidRPr="006F130E">
        <w:rPr>
          <w:rFonts w:ascii="Calibri" w:hAnsi="Calibri" w:cs="Calibri"/>
        </w:rPr>
        <w:t xml:space="preserve"> FMCGs are defined using the </w:t>
      </w:r>
      <w:hyperlink r:id="rId72" w:history="1">
        <w:r w:rsidRPr="006F130E">
          <w:rPr>
            <w:rStyle w:val="Hyperlink"/>
            <w:rFonts w:ascii="Calibri" w:hAnsi="Calibri" w:cs="Calibri"/>
          </w:rPr>
          <w:t>Harmonised System (HS) codes</w:t>
        </w:r>
      </w:hyperlink>
      <w:r w:rsidRPr="006F130E">
        <w:rPr>
          <w:rFonts w:ascii="Calibri" w:hAnsi="Calibri" w:cs="Calibri"/>
        </w:rPr>
        <w:t>, and for the purposes of this report include vegetable products (HS06-15), foodstuffs (HS16-24) and cosmetics (HS2712 and HS33-34).</w:t>
      </w:r>
    </w:p>
  </w:footnote>
  <w:footnote w:id="177">
    <w:p w:rsidR="006A65A2" w:rsidRPr="006F130E" w:rsidRDefault="006A65A2" w:rsidP="00E52449">
      <w:pPr>
        <w:pStyle w:val="FootnoteText"/>
        <w:rPr>
          <w:rFonts w:ascii="Calibri" w:hAnsi="Calibri" w:cs="Calibri"/>
        </w:rPr>
      </w:pPr>
      <w:r w:rsidRPr="009A5F85">
        <w:rPr>
          <w:rStyle w:val="FootnoteReference"/>
        </w:rPr>
        <w:footnoteRef/>
      </w:r>
      <w:r w:rsidRPr="006F130E">
        <w:rPr>
          <w:rFonts w:ascii="Calibri" w:hAnsi="Calibri" w:cs="Calibri"/>
        </w:rPr>
        <w:t xml:space="preserve"> The Department of Industry, Innovation and Science 2016,</w:t>
      </w:r>
      <w:hyperlink r:id="rId73" w:history="1">
        <w:r w:rsidRPr="0032504A">
          <w:rPr>
            <w:rStyle w:val="Hyperlink"/>
            <w:rFonts w:ascii="Calibri" w:hAnsi="Calibri" w:cs="Calibri"/>
            <w:u w:val="none"/>
          </w:rPr>
          <w:t xml:space="preserve"> </w:t>
        </w:r>
        <w:r w:rsidRPr="006F130E">
          <w:rPr>
            <w:rStyle w:val="Hyperlink"/>
            <w:rFonts w:ascii="Calibri" w:hAnsi="Calibri" w:cs="Calibri"/>
            <w:i/>
          </w:rPr>
          <w:t>Country of Origin Labelling – Decision Regulation Impact Statement Consumer Affairs Australia New Zealand</w:t>
        </w:r>
      </w:hyperlink>
      <w:r w:rsidRPr="006F130E">
        <w:rPr>
          <w:rFonts w:ascii="Calibri" w:hAnsi="Calibri" w:cs="Calibri"/>
          <w:i/>
        </w:rPr>
        <w:t xml:space="preserve">, </w:t>
      </w:r>
      <w:r w:rsidRPr="006F130E">
        <w:rPr>
          <w:rFonts w:ascii="Calibri" w:hAnsi="Calibri" w:cs="Calibri"/>
        </w:rPr>
        <w:t>March.</w:t>
      </w:r>
    </w:p>
  </w:footnote>
  <w:footnote w:id="178">
    <w:p w:rsidR="006A65A2" w:rsidRPr="001C55F4" w:rsidRDefault="006A65A2" w:rsidP="004E530F">
      <w:pPr>
        <w:pStyle w:val="FootnoteText"/>
        <w:rPr>
          <w:rFonts w:ascii="Calibri" w:hAnsi="Calibri" w:cs="Calibri"/>
        </w:rPr>
      </w:pPr>
      <w:r>
        <w:rPr>
          <w:rStyle w:val="FootnoteReference"/>
        </w:rPr>
        <w:footnoteRef/>
      </w:r>
      <w:r w:rsidRPr="001C55F4">
        <w:rPr>
          <w:rFonts w:ascii="Calibri" w:hAnsi="Calibri" w:cs="Calibri"/>
        </w:rPr>
        <w:t xml:space="preserve"> ABS Cat. 8155.0 Australian Industry, 2018-19 released May 2020</w:t>
      </w:r>
      <w:r>
        <w:rPr>
          <w:rFonts w:ascii="Calibri" w:hAnsi="Calibri" w:cs="Calibri"/>
        </w:rPr>
        <w:t>.</w:t>
      </w:r>
    </w:p>
  </w:footnote>
  <w:footnote w:id="179">
    <w:p w:rsidR="006A65A2" w:rsidRPr="001C55F4" w:rsidRDefault="006A65A2" w:rsidP="004E530F">
      <w:pPr>
        <w:pStyle w:val="FootnoteText"/>
        <w:rPr>
          <w:rFonts w:ascii="Calibri" w:hAnsi="Calibri" w:cs="Calibri"/>
        </w:rPr>
      </w:pPr>
      <w:r>
        <w:rPr>
          <w:rStyle w:val="FootnoteReference"/>
        </w:rPr>
        <w:footnoteRef/>
      </w:r>
      <w:r w:rsidRPr="001C55F4">
        <w:rPr>
          <w:rFonts w:ascii="Calibri" w:hAnsi="Calibri" w:cs="Calibri"/>
        </w:rPr>
        <w:t xml:space="preserve"> Calculated as total number of employees in the affected ANZSIC sectors = 308,072 divided by average number of employees per establishment 8 = 71,391businesses in the selected sectors</w:t>
      </w:r>
      <w:r>
        <w:rPr>
          <w:rFonts w:ascii="Calibri" w:hAnsi="Calibri" w:cs="Calibri"/>
        </w:rPr>
        <w:t>.</w:t>
      </w:r>
    </w:p>
  </w:footnote>
  <w:footnote w:id="180">
    <w:p w:rsidR="006A65A2" w:rsidRDefault="006A65A2" w:rsidP="004E530F">
      <w:pPr>
        <w:pStyle w:val="FootnoteText"/>
      </w:pPr>
      <w:r>
        <w:rPr>
          <w:rStyle w:val="FootnoteReference"/>
        </w:rPr>
        <w:footnoteRef/>
      </w:r>
      <w:r w:rsidRPr="001C55F4">
        <w:rPr>
          <w:rFonts w:ascii="Calibri" w:hAnsi="Calibri" w:cs="Calibri"/>
        </w:rPr>
        <w:t xml:space="preserve"> IBISWorld Industry Report C2419 on Measurement and Other Scientific Equipment Manufacturing, Industry Market Research, Reports, </w:t>
      </w:r>
      <w:r>
        <w:rPr>
          <w:rFonts w:ascii="Calibri" w:hAnsi="Calibri" w:cs="Calibri"/>
        </w:rPr>
        <w:t>and</w:t>
      </w:r>
      <w:r w:rsidRPr="001C55F4">
        <w:rPr>
          <w:rFonts w:ascii="Calibri" w:hAnsi="Calibri" w:cs="Calibri"/>
        </w:rPr>
        <w:t xml:space="preserve"> Statistics, June 2020 pg12 www.ibisworld.com</w:t>
      </w:r>
      <w:r>
        <w:rPr>
          <w:rFonts w:ascii="Calibri" w:hAnsi="Calibri" w:cs="Calibri"/>
        </w:rPr>
        <w:t>.</w:t>
      </w:r>
    </w:p>
  </w:footnote>
  <w:footnote w:id="181">
    <w:p w:rsidR="006A65A2" w:rsidRPr="00864373" w:rsidRDefault="006A65A2">
      <w:pPr>
        <w:pStyle w:val="FootnoteText"/>
        <w:rPr>
          <w:rFonts w:asciiTheme="minorHAnsi" w:hAnsiTheme="minorHAnsi" w:cstheme="minorHAnsi"/>
        </w:rPr>
      </w:pPr>
      <w:r>
        <w:rPr>
          <w:rStyle w:val="FootnoteReference"/>
        </w:rPr>
        <w:footnoteRef/>
      </w:r>
      <w:r>
        <w:t xml:space="preserve"> </w:t>
      </w:r>
      <w:r w:rsidRPr="00864373">
        <w:rPr>
          <w:rFonts w:asciiTheme="minorHAnsi" w:hAnsiTheme="minorHAnsi" w:cstheme="minorHAnsi"/>
        </w:rPr>
        <w:t>There could be businesses that have been included here that may also be manufacturers but difficult to isolate these in the ABS statistics.</w:t>
      </w:r>
    </w:p>
  </w:footnote>
  <w:footnote w:id="182">
    <w:p w:rsidR="006A65A2" w:rsidRPr="001C55F4" w:rsidRDefault="006A65A2" w:rsidP="004E530F">
      <w:pPr>
        <w:pStyle w:val="FootnoteText"/>
        <w:rPr>
          <w:rFonts w:ascii="Calibri" w:hAnsi="Calibri" w:cs="Calibri"/>
        </w:rPr>
      </w:pPr>
      <w:r>
        <w:rPr>
          <w:rStyle w:val="FootnoteReference"/>
        </w:rPr>
        <w:footnoteRef/>
      </w:r>
      <w:r w:rsidRPr="001C55F4">
        <w:rPr>
          <w:rFonts w:ascii="Calibri" w:hAnsi="Calibri" w:cs="Calibri"/>
        </w:rPr>
        <w:t xml:space="preserve"> ABS Cat. 8155.0 Australian Industry, 2018-19 released May 2020</w:t>
      </w:r>
      <w:r>
        <w:rPr>
          <w:rFonts w:ascii="Calibri" w:hAnsi="Calibri" w:cs="Calibri"/>
        </w:rPr>
        <w:t>.</w:t>
      </w:r>
    </w:p>
  </w:footnote>
  <w:footnote w:id="183">
    <w:p w:rsidR="006A65A2" w:rsidRDefault="006A65A2" w:rsidP="004E530F">
      <w:pPr>
        <w:pStyle w:val="FootnoteText"/>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184">
    <w:p w:rsidR="006A65A2" w:rsidRPr="001C55F4" w:rsidRDefault="006A65A2" w:rsidP="004B12D8">
      <w:pPr>
        <w:spacing w:after="0"/>
        <w:rPr>
          <w:rFonts w:ascii="Calibri" w:hAnsi="Calibri" w:cs="Calibri"/>
          <w:sz w:val="16"/>
          <w:szCs w:val="16"/>
        </w:rPr>
      </w:pPr>
      <w:r w:rsidRPr="00D20FAD">
        <w:rPr>
          <w:rStyle w:val="FootnoteReference"/>
          <w:szCs w:val="16"/>
        </w:rPr>
        <w:footnoteRef/>
      </w:r>
      <w:r w:rsidRPr="001C55F4">
        <w:rPr>
          <w:rFonts w:ascii="Calibri" w:hAnsi="Calibri" w:cs="Calibri"/>
          <w:sz w:val="16"/>
          <w:szCs w:val="16"/>
        </w:rPr>
        <w:t xml:space="preserve"> Based on a measuring instrument survey held in 2019, there are around 771 manufacturers of measuring instruments with an estimated combined income of over $800m. The industry survey showed that there are 124 million measuring instruments across all ANZSIC sectors with 54% being of an approved pattern.</w:t>
      </w:r>
    </w:p>
  </w:footnote>
  <w:footnote w:id="185">
    <w:p w:rsidR="006A65A2" w:rsidRDefault="006A65A2" w:rsidP="00825392">
      <w:pPr>
        <w:pStyle w:val="FootnoteText"/>
      </w:pPr>
      <w:r>
        <w:rPr>
          <w:rStyle w:val="FootnoteReference"/>
        </w:rPr>
        <w:footnoteRef/>
      </w:r>
      <w:r w:rsidRPr="001C55F4">
        <w:rPr>
          <w:rFonts w:ascii="Calibri" w:hAnsi="Calibri" w:cs="Calibri"/>
        </w:rPr>
        <w:t xml:space="preserve"> </w:t>
      </w:r>
      <w:r w:rsidRPr="001C55F4">
        <w:rPr>
          <w:rFonts w:ascii="Calibri" w:hAnsi="Calibri" w:cs="Calibri"/>
          <w:szCs w:val="16"/>
        </w:rPr>
        <w:t xml:space="preserve">Under s 18GC of the </w:t>
      </w:r>
      <w:r w:rsidRPr="001C55F4">
        <w:rPr>
          <w:rFonts w:ascii="Calibri" w:hAnsi="Calibri" w:cs="Calibri"/>
          <w:i/>
          <w:szCs w:val="16"/>
        </w:rPr>
        <w:t>National Measurement Act 1960</w:t>
      </w:r>
      <w:r w:rsidRPr="001C55F4">
        <w:rPr>
          <w:rFonts w:ascii="Calibri" w:hAnsi="Calibri" w:cs="Calibri"/>
          <w:szCs w:val="16"/>
        </w:rPr>
        <w:t>, it is an offence to supply instruments for trade use which are not of an approved pattern.</w:t>
      </w:r>
      <w:r>
        <w:rPr>
          <w:szCs w:val="16"/>
        </w:rPr>
        <w:t xml:space="preserve">  </w:t>
      </w:r>
    </w:p>
  </w:footnote>
  <w:footnote w:id="186">
    <w:p w:rsidR="006A65A2" w:rsidRDefault="006A65A2" w:rsidP="00617D96">
      <w:pPr>
        <w:pStyle w:val="FootnoteText"/>
      </w:pPr>
      <w:r>
        <w:rPr>
          <w:rStyle w:val="FootnoteReference"/>
        </w:rPr>
        <w:footnoteRef/>
      </w:r>
      <w:r>
        <w:t xml:space="preserve"> </w:t>
      </w:r>
      <w:r w:rsidRPr="00F06869">
        <w:rPr>
          <w:rFonts w:asciiTheme="minorHAnsi" w:hAnsiTheme="minorHAnsi" w:cstheme="minorHAnsi"/>
        </w:rPr>
        <w:t>Totals may not match calculation tables below due to rounding errors.</w:t>
      </w:r>
    </w:p>
  </w:footnote>
  <w:footnote w:id="187">
    <w:p w:rsidR="006A65A2" w:rsidRPr="001C55F4" w:rsidRDefault="006A65A2" w:rsidP="00FE4C33">
      <w:pPr>
        <w:pStyle w:val="FootnoteText"/>
        <w:rPr>
          <w:rFonts w:ascii="Calibri" w:hAnsi="Calibri" w:cs="Calibri"/>
        </w:rPr>
      </w:pPr>
      <w:r>
        <w:rPr>
          <w:rStyle w:val="FootnoteReference"/>
        </w:rPr>
        <w:footnoteRef/>
      </w:r>
      <w:r w:rsidRPr="001C55F4">
        <w:rPr>
          <w:rFonts w:ascii="Calibri" w:hAnsi="Calibri" w:cs="Calibri"/>
        </w:rPr>
        <w:t xml:space="preserve"> </w:t>
      </w:r>
      <w:r w:rsidRPr="00E85E9F">
        <w:rPr>
          <w:rFonts w:ascii="Calibri" w:hAnsi="Calibri" w:cs="Calibri"/>
          <w:i/>
        </w:rPr>
        <w:t>National Measurement Regulations 1999</w:t>
      </w:r>
      <w:r w:rsidRPr="001C55F4">
        <w:rPr>
          <w:rFonts w:ascii="Calibri" w:hAnsi="Calibri" w:cs="Calibri"/>
        </w:rPr>
        <w:t>, regulation 58 – Application for approval of patterns of measuring instruments; regulation 63 – Certificates of approval</w:t>
      </w:r>
      <w:r>
        <w:rPr>
          <w:rFonts w:ascii="Calibri" w:hAnsi="Calibri" w:cs="Calibri"/>
        </w:rPr>
        <w:t>.</w:t>
      </w:r>
    </w:p>
  </w:footnote>
  <w:footnote w:id="188">
    <w:p w:rsidR="006A65A2" w:rsidRDefault="006A65A2" w:rsidP="00FE4C33">
      <w:pPr>
        <w:autoSpaceDE w:val="0"/>
        <w:autoSpaceDN w:val="0"/>
        <w:adjustRightInd w:val="0"/>
        <w:spacing w:after="0" w:line="240" w:lineRule="auto"/>
      </w:pPr>
      <w:r w:rsidRPr="001C55F4">
        <w:rPr>
          <w:rStyle w:val="FootnoteReference"/>
          <w:rFonts w:cs="Calibri"/>
          <w:szCs w:val="16"/>
        </w:rPr>
        <w:footnoteRef/>
      </w:r>
      <w:r w:rsidRPr="001C55F4">
        <w:rPr>
          <w:rFonts w:ascii="Calibri" w:hAnsi="Calibri" w:cs="Calibri"/>
          <w:sz w:val="16"/>
          <w:szCs w:val="16"/>
        </w:rPr>
        <w:t xml:space="preserve"> NMI M and R documents specify the metrological and technical requirements for the pattern approval of specific measuring instruments. </w:t>
      </w:r>
      <w:r w:rsidRPr="001C55F4">
        <w:rPr>
          <w:rFonts w:ascii="Calibri" w:eastAsia="Times New Roman" w:hAnsi="Calibri" w:cs="Calibri"/>
          <w:color w:val="333333"/>
          <w:sz w:val="16"/>
          <w:szCs w:val="16"/>
          <w:lang w:val="en" w:eastAsia="en-AU"/>
        </w:rPr>
        <w:t xml:space="preserve">NMI R are based on an </w:t>
      </w:r>
      <w:hyperlink r:id="rId74" w:history="1">
        <w:r w:rsidRPr="001C55F4">
          <w:rPr>
            <w:rFonts w:ascii="Calibri" w:eastAsia="Times New Roman" w:hAnsi="Calibri" w:cs="Calibri"/>
            <w:sz w:val="16"/>
            <w:szCs w:val="16"/>
            <w:lang w:val="en" w:eastAsia="en-AU"/>
          </w:rPr>
          <w:t>International Organization of Legal Metrology</w:t>
        </w:r>
      </w:hyperlink>
      <w:r w:rsidRPr="001C55F4">
        <w:rPr>
          <w:rFonts w:ascii="Calibri" w:eastAsia="Times New Roman" w:hAnsi="Calibri" w:cs="Calibri"/>
          <w:sz w:val="16"/>
          <w:szCs w:val="16"/>
          <w:lang w:val="en" w:eastAsia="en-AU"/>
        </w:rPr>
        <w:t xml:space="preserve"> (OIML) recommendation of the same name and number. NMI M have been prepared by the </w:t>
      </w:r>
      <w:hyperlink r:id="rId75" w:history="1"/>
      <w:r w:rsidRPr="001C55F4">
        <w:rPr>
          <w:rFonts w:ascii="Calibri" w:eastAsia="Times New Roman" w:hAnsi="Calibri" w:cs="Calibri"/>
          <w:sz w:val="16"/>
          <w:szCs w:val="16"/>
          <w:lang w:val="en" w:eastAsia="en-AU"/>
        </w:rPr>
        <w:t>NMI.</w:t>
      </w:r>
    </w:p>
  </w:footnote>
  <w:footnote w:id="189">
    <w:p w:rsidR="006A65A2" w:rsidRPr="001C55F4" w:rsidRDefault="006A65A2" w:rsidP="00FE4C33">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  </w:t>
      </w:r>
    </w:p>
  </w:footnote>
  <w:footnote w:id="190">
    <w:p w:rsidR="006A65A2" w:rsidRDefault="006A65A2" w:rsidP="00FE4C33">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76" w:history="1">
        <w:r w:rsidRPr="00A277F1">
          <w:rPr>
            <w:rStyle w:val="Hyperlink"/>
            <w:rFonts w:ascii="Calibri" w:hAnsi="Calibri" w:cs="Calibri"/>
          </w:rPr>
          <w:t>https://obpr.pmc.gov.au/sites/default/files/2021-09/regulatory-burden-measurement-framework.pdf</w:t>
        </w:r>
      </w:hyperlink>
    </w:p>
  </w:footnote>
  <w:footnote w:id="191">
    <w:p w:rsidR="006A65A2" w:rsidRPr="001C55F4" w:rsidRDefault="006A65A2" w:rsidP="00FE4C33">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  </w:t>
      </w:r>
    </w:p>
  </w:footnote>
  <w:footnote w:id="192">
    <w:p w:rsidR="006A65A2" w:rsidRPr="001C55F4" w:rsidRDefault="006A65A2" w:rsidP="00FE4C33">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77" w:history="1">
        <w:r w:rsidRPr="00A277F1">
          <w:rPr>
            <w:rStyle w:val="Hyperlink"/>
            <w:rFonts w:ascii="Calibri" w:hAnsi="Calibri" w:cs="Calibri"/>
          </w:rPr>
          <w:t>https://obpr.pmc.gov.au/sites/default/files/2021-09/regulatory-burden-measurement-framework.pdf</w:t>
        </w:r>
      </w:hyperlink>
    </w:p>
  </w:footnote>
  <w:footnote w:id="193">
    <w:p w:rsidR="006A65A2" w:rsidRDefault="006A65A2" w:rsidP="00FE4C33">
      <w:pPr>
        <w:pStyle w:val="FootnoteText"/>
      </w:pPr>
      <w:r>
        <w:rPr>
          <w:rStyle w:val="FootnoteReference"/>
        </w:rPr>
        <w:footnoteRef/>
      </w:r>
      <w:r w:rsidRPr="001C55F4">
        <w:rPr>
          <w:rFonts w:ascii="Calibri" w:hAnsi="Calibri" w:cs="Calibri"/>
        </w:rPr>
        <w:t xml:space="preserve"> Australian Bureau of Statistics (2018), “Employee Earnings and Hours, Australia, Cat. No. 6306.0.</w:t>
      </w:r>
      <w:r>
        <w:t xml:space="preserve">  </w:t>
      </w:r>
    </w:p>
  </w:footnote>
  <w:footnote w:id="194">
    <w:p w:rsidR="006A65A2" w:rsidRPr="001C55F4" w:rsidRDefault="006A65A2" w:rsidP="00FE4C33">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78" w:history="1">
        <w:r w:rsidRPr="00A277F1">
          <w:rPr>
            <w:rStyle w:val="Hyperlink"/>
            <w:rFonts w:ascii="Calibri" w:hAnsi="Calibri" w:cs="Calibri"/>
          </w:rPr>
          <w:t>https://obpr.pmc.gov.au/sites/default/files/2021-09/regulatory-burden-measurement-framework.pdf</w:t>
        </w:r>
      </w:hyperlink>
    </w:p>
  </w:footnote>
  <w:footnote w:id="195">
    <w:p w:rsidR="006A65A2" w:rsidRPr="001C55F4" w:rsidRDefault="006A65A2" w:rsidP="00681112">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  </w:t>
      </w:r>
    </w:p>
  </w:footnote>
  <w:footnote w:id="196">
    <w:p w:rsidR="006A65A2" w:rsidRDefault="006A65A2" w:rsidP="00681112">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79" w:history="1">
        <w:r w:rsidRPr="00A277F1">
          <w:rPr>
            <w:rStyle w:val="Hyperlink"/>
            <w:rFonts w:ascii="Calibri" w:hAnsi="Calibri" w:cs="Calibri"/>
          </w:rPr>
          <w:t>https://obpr.pmc.gov.au/sites/default/files/2021-09/regulatory-burden-measurement-framework.pdf</w:t>
        </w:r>
      </w:hyperlink>
    </w:p>
  </w:footnote>
  <w:footnote w:id="197">
    <w:p w:rsidR="006A65A2" w:rsidRPr="001C55F4" w:rsidRDefault="006A65A2" w:rsidP="00FE4C33">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  </w:t>
      </w:r>
    </w:p>
  </w:footnote>
  <w:footnote w:id="198">
    <w:p w:rsidR="006A65A2" w:rsidRDefault="006A65A2" w:rsidP="00FE4C33">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80" w:history="1">
        <w:r w:rsidRPr="00A277F1">
          <w:rPr>
            <w:rStyle w:val="Hyperlink"/>
            <w:rFonts w:ascii="Calibri" w:hAnsi="Calibri" w:cs="Calibri"/>
          </w:rPr>
          <w:t>https://obpr.pmc.gov.au/sites/default/files/2021-09/regulatory-burden-measurement-framework.pdf</w:t>
        </w:r>
      </w:hyperlink>
    </w:p>
  </w:footnote>
  <w:footnote w:id="199">
    <w:p w:rsidR="006A65A2" w:rsidRPr="00F06869" w:rsidRDefault="006A65A2" w:rsidP="00BE44CD">
      <w:pPr>
        <w:pStyle w:val="FootnoteText"/>
        <w:rPr>
          <w:rFonts w:asciiTheme="minorHAnsi" w:hAnsiTheme="minorHAnsi" w:cstheme="minorHAnsi"/>
        </w:rPr>
      </w:pPr>
      <w:r w:rsidRPr="00F06869">
        <w:rPr>
          <w:rStyle w:val="FootnoteReference"/>
          <w:rFonts w:asciiTheme="minorHAnsi" w:hAnsiTheme="minorHAnsi" w:cstheme="minorHAnsi"/>
        </w:rPr>
        <w:footnoteRef/>
      </w:r>
      <w:r w:rsidRPr="00F06869">
        <w:rPr>
          <w:rFonts w:asciiTheme="minorHAnsi" w:hAnsiTheme="minorHAnsi" w:cstheme="minorHAnsi"/>
        </w:rPr>
        <w:t xml:space="preserve"> </w:t>
      </w:r>
      <w:r w:rsidRPr="00F06869" w:rsidDel="00AC71CD">
        <w:rPr>
          <w:rFonts w:asciiTheme="minorHAnsi" w:hAnsiTheme="minorHAnsi" w:cstheme="minorHAnsi"/>
        </w:rPr>
        <w:t xml:space="preserve">Totals may not match calculation tables below due to </w:t>
      </w:r>
      <w:r w:rsidRPr="00F06869">
        <w:rPr>
          <w:rFonts w:asciiTheme="minorHAnsi" w:hAnsiTheme="minorHAnsi" w:cstheme="minorHAnsi"/>
        </w:rPr>
        <w:t>rounding errors</w:t>
      </w:r>
      <w:r>
        <w:rPr>
          <w:rFonts w:asciiTheme="minorHAnsi" w:hAnsiTheme="minorHAnsi" w:cstheme="minorHAnsi"/>
        </w:rPr>
        <w:t>.</w:t>
      </w:r>
    </w:p>
  </w:footnote>
  <w:footnote w:id="200">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01">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81" w:history="1">
        <w:r w:rsidRPr="00A277F1">
          <w:rPr>
            <w:rStyle w:val="Hyperlink"/>
            <w:rFonts w:ascii="Calibri" w:hAnsi="Calibri" w:cs="Calibri"/>
          </w:rPr>
          <w:t>https://obpr.pmc.gov.au/sites/default/files/2021-09/regulatory-burden-measurement-framework.pdf</w:t>
        </w:r>
      </w:hyperlink>
    </w:p>
  </w:footnote>
  <w:footnote w:id="202">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03">
    <w:p w:rsidR="006A65A2" w:rsidRDefault="006A65A2"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82" w:history="1">
        <w:r w:rsidRPr="00A277F1">
          <w:rPr>
            <w:rStyle w:val="Hyperlink"/>
            <w:rFonts w:ascii="Calibri" w:hAnsi="Calibri" w:cs="Calibri"/>
          </w:rPr>
          <w:t>https://obpr.pmc.gov.au/sites/default/files/2021-09/regulatory-burden-measurement-framework.pdf</w:t>
        </w:r>
      </w:hyperlink>
    </w:p>
  </w:footnote>
  <w:footnote w:id="204">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05">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83" w:history="1">
        <w:r w:rsidRPr="00A277F1">
          <w:rPr>
            <w:rStyle w:val="Hyperlink"/>
            <w:rFonts w:ascii="Calibri" w:hAnsi="Calibri" w:cs="Calibri"/>
          </w:rPr>
          <w:t>https://obpr.pmc.gov.au/sites/default/files/2021-09/regulatory-burden-measurement-framework.pdf</w:t>
        </w:r>
      </w:hyperlink>
    </w:p>
  </w:footnote>
  <w:footnote w:id="206">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r w:rsidRPr="001C55F4">
        <w:rPr>
          <w:rFonts w:ascii="Calibri" w:hAnsi="Calibri" w:cs="Calibri"/>
        </w:rPr>
        <w:t>.</w:t>
      </w:r>
    </w:p>
  </w:footnote>
  <w:footnote w:id="207">
    <w:p w:rsidR="006A65A2" w:rsidRDefault="006A65A2" w:rsidP="002D7AE8">
      <w:pPr>
        <w:pStyle w:val="FootnoteText"/>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08">
    <w:p w:rsidR="006A65A2" w:rsidRPr="001C55F4" w:rsidRDefault="006A65A2" w:rsidP="002D7AE8">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84" w:history="1">
        <w:r w:rsidRPr="00A277F1">
          <w:rPr>
            <w:rStyle w:val="Hyperlink"/>
            <w:rFonts w:ascii="Calibri" w:hAnsi="Calibri" w:cs="Calibri"/>
          </w:rPr>
          <w:t>https://obpr.pmc.gov.au/sites/default/files/2021-09/regulatory-burden-measurement-framework.pdf</w:t>
        </w:r>
      </w:hyperlink>
    </w:p>
  </w:footnote>
  <w:footnote w:id="209">
    <w:p w:rsidR="006A65A2" w:rsidRDefault="006A65A2" w:rsidP="00392F71">
      <w:pPr>
        <w:pStyle w:val="FootnoteText"/>
      </w:pPr>
      <w:r>
        <w:rPr>
          <w:rStyle w:val="FootnoteReference"/>
        </w:rPr>
        <w:footnoteRef/>
      </w:r>
      <w:r>
        <w:t xml:space="preserve"> </w:t>
      </w:r>
      <w:r w:rsidRPr="009E70B1">
        <w:rPr>
          <w:rFonts w:ascii="Calibri" w:hAnsi="Calibri" w:cs="Calibri"/>
        </w:rPr>
        <w:t>All verifications including instruments verified as part of other Instruments 3-year average (2016/17-2018/19)</w:t>
      </w:r>
      <w:r>
        <w:rPr>
          <w:rFonts w:ascii="Calibri" w:hAnsi="Calibri" w:cs="Calibri"/>
        </w:rPr>
        <w:t>.</w:t>
      </w:r>
    </w:p>
  </w:footnote>
  <w:footnote w:id="210">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11">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85" w:history="1">
        <w:r w:rsidRPr="00A277F1">
          <w:rPr>
            <w:rStyle w:val="Hyperlink"/>
            <w:rFonts w:ascii="Calibri" w:hAnsi="Calibri" w:cs="Calibri"/>
          </w:rPr>
          <w:t>https://obpr.pmc.gov.au/sites/default/files/2021-09/regulatory-burden-measurement-framework.pdf</w:t>
        </w:r>
      </w:hyperlink>
    </w:p>
  </w:footnote>
  <w:footnote w:id="212">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13">
    <w:p w:rsidR="006A65A2" w:rsidRDefault="006A65A2"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86" w:history="1">
        <w:r w:rsidRPr="00A277F1">
          <w:rPr>
            <w:rStyle w:val="Hyperlink"/>
            <w:rFonts w:ascii="Calibri" w:hAnsi="Calibri" w:cs="Calibri"/>
          </w:rPr>
          <w:t>https://obpr.pmc.gov.au/sites/default/files/2021-09/regulatory-burden-measurement-framework.pdf</w:t>
        </w:r>
      </w:hyperlink>
    </w:p>
  </w:footnote>
  <w:footnote w:id="214">
    <w:p w:rsidR="006A65A2" w:rsidRDefault="006A65A2" w:rsidP="00392F71">
      <w:pPr>
        <w:pStyle w:val="FootnoteText"/>
      </w:pPr>
      <w:r>
        <w:rPr>
          <w:rStyle w:val="FootnoteReference"/>
        </w:rPr>
        <w:footnoteRef/>
      </w:r>
      <w:r>
        <w:t xml:space="preserve"> </w:t>
      </w:r>
      <w:r w:rsidRPr="005E0953">
        <w:rPr>
          <w:rFonts w:asciiTheme="minorHAnsi" w:hAnsiTheme="minorHAnsi" w:cstheme="minorHAnsi"/>
        </w:rPr>
        <w:t>All verifications including instruments verified as part of other Instruments 3-year average (2016/17-2018/19)</w:t>
      </w:r>
      <w:r>
        <w:rPr>
          <w:rFonts w:asciiTheme="minorHAnsi" w:hAnsiTheme="minorHAnsi" w:cstheme="minorHAnsi"/>
        </w:rPr>
        <w:t>.</w:t>
      </w:r>
    </w:p>
  </w:footnote>
  <w:footnote w:id="215">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r w:rsidRPr="001C55F4">
        <w:rPr>
          <w:rFonts w:ascii="Calibri" w:hAnsi="Calibri" w:cs="Calibri"/>
        </w:rPr>
        <w:t>.</w:t>
      </w:r>
    </w:p>
  </w:footnote>
  <w:footnote w:id="216">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17">
    <w:p w:rsidR="006A65A2" w:rsidRDefault="006A65A2"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87" w:history="1">
        <w:r w:rsidRPr="00A277F1">
          <w:rPr>
            <w:rStyle w:val="Hyperlink"/>
            <w:rFonts w:ascii="Calibri" w:hAnsi="Calibri" w:cs="Calibri"/>
          </w:rPr>
          <w:t>https://obpr.pmc.gov.au/sites/default/files/2021-09/regulatory-burden-measurement-framework.pdf</w:t>
        </w:r>
      </w:hyperlink>
    </w:p>
  </w:footnote>
  <w:footnote w:id="218">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19">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88" w:history="1">
        <w:r w:rsidRPr="00A277F1">
          <w:rPr>
            <w:rStyle w:val="Hyperlink"/>
            <w:rFonts w:ascii="Calibri" w:hAnsi="Calibri" w:cs="Calibri"/>
          </w:rPr>
          <w:t>https://obpr.pmc.gov.au/sites/default/files/2021-09/regulatory-burden-measurement-framework.pdf</w:t>
        </w:r>
      </w:hyperlink>
    </w:p>
  </w:footnote>
  <w:footnote w:id="220">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r w:rsidRPr="001C55F4">
        <w:rPr>
          <w:rFonts w:ascii="Calibri" w:hAnsi="Calibri" w:cs="Calibri"/>
        </w:rPr>
        <w:t xml:space="preserve">. </w:t>
      </w:r>
    </w:p>
    <w:p w:rsidR="006A65A2" w:rsidRDefault="006A65A2" w:rsidP="000D427A">
      <w:pPr>
        <w:pStyle w:val="FootnoteText"/>
      </w:pPr>
    </w:p>
  </w:footnote>
  <w:footnote w:id="221">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22">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89" w:history="1">
        <w:r w:rsidRPr="00A277F1">
          <w:rPr>
            <w:rStyle w:val="Hyperlink"/>
            <w:rFonts w:ascii="Calibri" w:hAnsi="Calibri" w:cs="Calibri"/>
          </w:rPr>
          <w:t>https://obpr.pmc.gov.au/sites/default/files/2021-09/regulatory-burden-measurement-framework.pdf</w:t>
        </w:r>
      </w:hyperlink>
    </w:p>
  </w:footnote>
  <w:footnote w:id="223">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24">
    <w:p w:rsidR="006A65A2" w:rsidRDefault="006A65A2"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90" w:history="1">
        <w:r w:rsidRPr="00A277F1">
          <w:rPr>
            <w:rStyle w:val="Hyperlink"/>
            <w:rFonts w:ascii="Calibri" w:hAnsi="Calibri" w:cs="Calibri"/>
          </w:rPr>
          <w:t>https://obpr.pmc.gov.au/sites/default/files/2021-09/regulatory-burden-measurement-framework.pdf</w:t>
        </w:r>
      </w:hyperlink>
    </w:p>
  </w:footnote>
  <w:footnote w:id="225">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26">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91" w:history="1">
        <w:r w:rsidRPr="00334CAA">
          <w:rPr>
            <w:rStyle w:val="Hyperlink"/>
            <w:rFonts w:ascii="Calibri" w:hAnsi="Calibri" w:cs="Calibri"/>
          </w:rPr>
          <w:t>https://obpr.pmc.gov.au/sites/default/files/2021-09/regulatory-burden-measurement-framework.pdf</w:t>
        </w:r>
      </w:hyperlink>
    </w:p>
  </w:footnote>
  <w:footnote w:id="227">
    <w:p w:rsidR="006A65A2" w:rsidRDefault="006A65A2" w:rsidP="000D427A">
      <w:pPr>
        <w:pStyle w:val="FootnoteText"/>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28">
    <w:p w:rsidR="006A65A2" w:rsidRPr="001C55F4" w:rsidRDefault="006A65A2" w:rsidP="000D427A">
      <w:pPr>
        <w:pStyle w:val="FootnoteText"/>
        <w:rPr>
          <w:rFonts w:ascii="Calibri" w:hAnsi="Calibri" w:cs="Calibri"/>
        </w:rPr>
      </w:pPr>
      <w:r>
        <w:rPr>
          <w:rStyle w:val="FootnoteReference"/>
        </w:rPr>
        <w:footnoteRef/>
      </w:r>
      <w:r w:rsidRPr="0061668A">
        <w:rPr>
          <w:rFonts w:ascii="Calibri" w:hAnsi="Calibri" w:cs="Calibri"/>
        </w:rPr>
        <w:t xml:space="preserve"> </w:t>
      </w:r>
      <w:r w:rsidRPr="001C55F4">
        <w:rPr>
          <w:rFonts w:ascii="Calibri" w:hAnsi="Calibri" w:cs="Calibri"/>
        </w:rPr>
        <w:t>Ibid.</w:t>
      </w:r>
    </w:p>
  </w:footnote>
  <w:footnote w:id="229">
    <w:p w:rsidR="006A65A2" w:rsidRDefault="006A65A2"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92" w:history="1">
        <w:r w:rsidRPr="00334CAA">
          <w:rPr>
            <w:rStyle w:val="Hyperlink"/>
            <w:rFonts w:ascii="Calibri" w:hAnsi="Calibri" w:cs="Calibri"/>
          </w:rPr>
          <w:t>https://obpr.pmc.gov.au/sites/default/files/2021-09/regulatory-burden-measurement-framework.pdf</w:t>
        </w:r>
      </w:hyperlink>
    </w:p>
  </w:footnote>
  <w:footnote w:id="230">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31">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93" w:history="1">
        <w:r w:rsidRPr="00334CAA">
          <w:rPr>
            <w:rStyle w:val="Hyperlink"/>
            <w:rFonts w:ascii="Calibri" w:hAnsi="Calibri" w:cs="Calibri"/>
          </w:rPr>
          <w:t>https://obpr.pmc.gov.au/sites/default/files/2021-09/regulatory-burden-measurement-framework.pdf</w:t>
        </w:r>
      </w:hyperlink>
    </w:p>
  </w:footnote>
  <w:footnote w:id="232">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33">
    <w:p w:rsidR="006A65A2" w:rsidRDefault="006A65A2"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94" w:history="1">
        <w:r w:rsidRPr="00334CAA">
          <w:rPr>
            <w:rStyle w:val="Hyperlink"/>
            <w:rFonts w:ascii="Calibri" w:hAnsi="Calibri" w:cs="Calibri"/>
          </w:rPr>
          <w:t>https://obpr.pmc.gov.au/sites/default/files/2021-09/regulatory-burden-measurement-framework.pdf</w:t>
        </w:r>
      </w:hyperlink>
    </w:p>
  </w:footnote>
  <w:footnote w:id="234">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35">
    <w:p w:rsidR="006A65A2" w:rsidRDefault="006A65A2"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95" w:history="1">
        <w:r w:rsidRPr="00334CAA">
          <w:rPr>
            <w:rStyle w:val="Hyperlink"/>
            <w:rFonts w:ascii="Calibri" w:hAnsi="Calibri" w:cs="Calibri"/>
          </w:rPr>
          <w:t>https://obpr.pmc.gov.au/sites/default/files/2021-09/regulatory-burden-measurement-framework.pdf</w:t>
        </w:r>
      </w:hyperlink>
    </w:p>
  </w:footnote>
  <w:footnote w:id="236">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37">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96" w:history="1">
        <w:r w:rsidRPr="00334CAA">
          <w:rPr>
            <w:rStyle w:val="Hyperlink"/>
            <w:rFonts w:ascii="Calibri" w:hAnsi="Calibri" w:cs="Calibri"/>
          </w:rPr>
          <w:t>https://obpr.pmc.gov.au/sites/default/files/2021-09/regulatory-burden-measurement-framework.pdf</w:t>
        </w:r>
      </w:hyperlink>
    </w:p>
  </w:footnote>
  <w:footnote w:id="238">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39">
    <w:p w:rsidR="006A65A2" w:rsidRDefault="006A65A2"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97" w:history="1">
        <w:r w:rsidRPr="00334CAA">
          <w:rPr>
            <w:rStyle w:val="Hyperlink"/>
            <w:rFonts w:ascii="Calibri" w:hAnsi="Calibri" w:cs="Calibri"/>
          </w:rPr>
          <w:t>https://obpr.pmc.gov.au/sites/default/files/2021-09/regulatory-burden-measurement-framework.pdf</w:t>
        </w:r>
      </w:hyperlink>
    </w:p>
  </w:footnote>
  <w:footnote w:id="240">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41">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98" w:history="1">
        <w:r w:rsidRPr="00334CAA">
          <w:rPr>
            <w:rStyle w:val="Hyperlink"/>
            <w:rFonts w:ascii="Calibri" w:hAnsi="Calibri" w:cs="Calibri"/>
          </w:rPr>
          <w:t>https://obpr.pmc.gov.au/sites/default/files/2021-09/regulatory-burden-measurement-framework.pdf</w:t>
        </w:r>
      </w:hyperlink>
    </w:p>
  </w:footnote>
  <w:footnote w:id="242">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43">
    <w:p w:rsidR="006A65A2" w:rsidRDefault="006A65A2"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99" w:history="1">
        <w:r w:rsidRPr="00334CAA">
          <w:rPr>
            <w:rStyle w:val="Hyperlink"/>
            <w:rFonts w:ascii="Calibri" w:hAnsi="Calibri" w:cs="Calibri"/>
          </w:rPr>
          <w:t>https://obpr.pmc.gov.au/sites/default/files/2021-09/regulatory-burden-measurement-framework.pdf</w:t>
        </w:r>
      </w:hyperlink>
    </w:p>
  </w:footnote>
  <w:footnote w:id="244">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45">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100" w:history="1">
        <w:r w:rsidRPr="00334CAA">
          <w:rPr>
            <w:rStyle w:val="Hyperlink"/>
            <w:rFonts w:ascii="Calibri" w:hAnsi="Calibri" w:cs="Calibri"/>
          </w:rPr>
          <w:t>https://obpr.pmc.gov.au/sites/default/files/2021-09/regulatory-burden-measurement-framework.pdf</w:t>
        </w:r>
      </w:hyperlink>
    </w:p>
  </w:footnote>
  <w:footnote w:id="246">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47">
    <w:p w:rsidR="006A65A2" w:rsidRDefault="006A65A2"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101" w:history="1">
        <w:r w:rsidRPr="00334CAA">
          <w:rPr>
            <w:rStyle w:val="Hyperlink"/>
            <w:rFonts w:ascii="Calibri" w:hAnsi="Calibri" w:cs="Calibri"/>
          </w:rPr>
          <w:t>https://obpr.pmc.gov.au/sites/default/files/2021-09/regulatory-burden-measurement-framework.pdf</w:t>
        </w:r>
      </w:hyperlink>
    </w:p>
  </w:footnote>
  <w:footnote w:id="248">
    <w:p w:rsidR="006A65A2" w:rsidRDefault="006A65A2" w:rsidP="008C0A0F">
      <w:pPr>
        <w:pStyle w:val="FootnoteText"/>
      </w:pPr>
      <w:r>
        <w:rPr>
          <w:rStyle w:val="FootnoteReference"/>
        </w:rPr>
        <w:footnoteRef/>
      </w:r>
      <w:r w:rsidRPr="008C0A0F">
        <w:t xml:space="preserve"> </w:t>
      </w:r>
      <w:r w:rsidRPr="00F865D2">
        <w:rPr>
          <w:rFonts w:ascii="Calibri" w:hAnsi="Calibri" w:cs="Calibri"/>
        </w:rPr>
        <w:t>A public weighbridge licensee must provide, in writing, the information included in each of the following paragraphs</w:t>
      </w:r>
      <w:r>
        <w:rPr>
          <w:rFonts w:ascii="Calibri" w:hAnsi="Calibri" w:cs="Calibri"/>
        </w:rPr>
        <w:t>:</w:t>
      </w:r>
      <w:r w:rsidRPr="00F865D2">
        <w:rPr>
          <w:rFonts w:ascii="Calibri" w:hAnsi="Calibri" w:cs="Calibri"/>
        </w:rPr>
        <w:t xml:space="preserve"> (a) a change in the address for service of notices on the public weighbridge licensee—within 14 days after the change in address; (b) the full name and residential address of each person employed by the public weighbridge licensee to operate the public weighbridge—within 14 days after the person’s employment commences; (c) if an operator ceases to be employed by the public weighbridge operator, the last day the operator was employed to operate the public weighbridge—within 14 days after the final day of employment; ( d) the full name and residential address of each person contracted by the public weighbridge licensee to operate the public weighbridge—within 14 days after the person’s employment commences; (e) if an operator ceases to be contracted by the public weighbridge operator, the last day the operator was contracted to operate the public weighbridge—within 14 days after the final day of employment.</w:t>
      </w:r>
    </w:p>
  </w:footnote>
  <w:footnote w:id="249">
    <w:p w:rsidR="006A65A2" w:rsidRPr="001C55F4"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50">
    <w:p w:rsidR="006A65A2" w:rsidRPr="00405820" w:rsidRDefault="006A65A2"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w:t>
      </w:r>
      <w:hyperlink r:id="rId102" w:history="1">
        <w:r w:rsidRPr="00334CAA">
          <w:rPr>
            <w:rStyle w:val="Hyperlink"/>
            <w:rFonts w:ascii="Calibri" w:hAnsi="Calibri" w:cs="Calibri"/>
          </w:rPr>
          <w:t>https://obpr.pmc.gov.au/sites/default/files/2021-09/regulatory-burden-measurement-framework.pdf</w:t>
        </w:r>
      </w:hyperlink>
    </w:p>
  </w:footnote>
  <w:footnote w:id="251">
    <w:p w:rsidR="006A65A2" w:rsidRPr="00A147CA" w:rsidRDefault="006A65A2">
      <w:pPr>
        <w:pStyle w:val="FootnoteText"/>
        <w:rPr>
          <w:rFonts w:ascii="Calibri" w:hAnsi="Calibri" w:cs="Calibri"/>
        </w:rPr>
      </w:pPr>
      <w:r w:rsidRPr="00A147CA">
        <w:rPr>
          <w:rStyle w:val="FootnoteReference"/>
          <w:rFonts w:cs="Calibri"/>
        </w:rPr>
        <w:footnoteRef/>
      </w:r>
      <w:r w:rsidRPr="00A147CA">
        <w:rPr>
          <w:rFonts w:ascii="Calibri" w:hAnsi="Calibri" w:cs="Calibri"/>
        </w:rPr>
        <w:t xml:space="preserve"> These functions will be detailed in the regulations and will reflect current </w:t>
      </w:r>
      <w:r>
        <w:rPr>
          <w:rFonts w:ascii="Calibri" w:hAnsi="Calibri" w:cs="Calibri"/>
        </w:rPr>
        <w:t>ATP types (e.g. SL, PWBL, UMV, VA, CA, AA), as well as being able to accommodate new types of ATP functions in the future.</w:t>
      </w:r>
    </w:p>
  </w:footnote>
  <w:footnote w:id="252">
    <w:p w:rsidR="006A65A2" w:rsidRPr="001C55F4" w:rsidRDefault="006A65A2" w:rsidP="00E8388C">
      <w:pPr>
        <w:pStyle w:val="FootnoteText"/>
        <w:rPr>
          <w:rFonts w:ascii="Calibri" w:hAnsi="Calibri" w:cs="Calibri"/>
        </w:rPr>
      </w:pPr>
      <w:r>
        <w:rPr>
          <w:rStyle w:val="FootnoteReference"/>
        </w:rPr>
        <w:footnoteRef/>
      </w:r>
      <w:r w:rsidRPr="001C55F4">
        <w:rPr>
          <w:rFonts w:ascii="Calibri" w:hAnsi="Calibri" w:cs="Calibri"/>
        </w:rPr>
        <w:t xml:space="preserve"> SL are granted a licence on applicatio</w:t>
      </w:r>
      <w:r>
        <w:rPr>
          <w:rFonts w:ascii="Calibri" w:hAnsi="Calibri" w:cs="Calibri"/>
        </w:rPr>
        <w:t xml:space="preserve">n under section 18N of the </w:t>
      </w:r>
      <w:r>
        <w:rPr>
          <w:rFonts w:ascii="Calibri" w:hAnsi="Calibri" w:cs="Calibri"/>
          <w:i/>
        </w:rPr>
        <w:t>National Measurement Act 1960</w:t>
      </w:r>
      <w:r w:rsidRPr="001C55F4">
        <w:rPr>
          <w:rFonts w:ascii="Calibri" w:hAnsi="Calibri" w:cs="Calibri"/>
        </w:rPr>
        <w:t>. Reporting requirements are specified under section 18NH</w:t>
      </w:r>
      <w:r>
        <w:rPr>
          <w:rFonts w:ascii="Calibri" w:hAnsi="Calibri" w:cs="Calibri"/>
        </w:rPr>
        <w:t>(e)</w:t>
      </w:r>
      <w:r w:rsidRPr="001C55F4">
        <w:rPr>
          <w:rFonts w:ascii="Calibri" w:hAnsi="Calibri" w:cs="Calibri"/>
        </w:rPr>
        <w:t xml:space="preserve"> Conditions on all servicing licensees. </w:t>
      </w:r>
    </w:p>
  </w:footnote>
  <w:footnote w:id="253">
    <w:p w:rsidR="006A65A2" w:rsidRPr="001C55F4" w:rsidRDefault="006A65A2" w:rsidP="00E8388C">
      <w:pPr>
        <w:pStyle w:val="FootnoteText"/>
        <w:rPr>
          <w:rFonts w:ascii="Calibri" w:hAnsi="Calibri" w:cs="Calibri"/>
        </w:rPr>
      </w:pPr>
      <w:r>
        <w:rPr>
          <w:rStyle w:val="FootnoteReference"/>
        </w:rPr>
        <w:footnoteRef/>
      </w:r>
      <w:r w:rsidRPr="001C55F4">
        <w:rPr>
          <w:rFonts w:ascii="Calibri" w:hAnsi="Calibri" w:cs="Calibri"/>
        </w:rPr>
        <w:t xml:space="preserve"> PWB</w:t>
      </w:r>
      <w:r>
        <w:rPr>
          <w:rFonts w:ascii="Calibri" w:hAnsi="Calibri" w:cs="Calibri"/>
        </w:rPr>
        <w:t>Ls</w:t>
      </w:r>
      <w:r w:rsidRPr="001C55F4">
        <w:rPr>
          <w:rFonts w:ascii="Calibri" w:hAnsi="Calibri" w:cs="Calibri"/>
        </w:rPr>
        <w:t xml:space="preserve"> are granted a </w:t>
      </w:r>
      <w:r>
        <w:rPr>
          <w:rFonts w:ascii="Calibri" w:hAnsi="Calibri" w:cs="Calibri"/>
        </w:rPr>
        <w:t xml:space="preserve">licence under s 18P of the </w:t>
      </w:r>
      <w:r>
        <w:rPr>
          <w:rFonts w:ascii="Calibri" w:hAnsi="Calibri" w:cs="Calibri"/>
          <w:i/>
        </w:rPr>
        <w:t>National Measurement Act 1960</w:t>
      </w:r>
      <w:r w:rsidRPr="001C55F4">
        <w:rPr>
          <w:rFonts w:ascii="Calibri" w:hAnsi="Calibri" w:cs="Calibri"/>
        </w:rPr>
        <w:t>, with speci</w:t>
      </w:r>
      <w:r>
        <w:rPr>
          <w:rFonts w:ascii="Calibri" w:hAnsi="Calibri" w:cs="Calibri"/>
        </w:rPr>
        <w:t xml:space="preserve">fic requirements made under </w:t>
      </w:r>
      <w:r>
        <w:rPr>
          <w:rFonts w:ascii="Calibri" w:hAnsi="Calibri" w:cs="Calibri"/>
          <w:i/>
        </w:rPr>
        <w:t>National Trade Measurement Regulations 2009</w:t>
      </w:r>
      <w:r>
        <w:rPr>
          <w:rFonts w:ascii="Calibri" w:hAnsi="Calibri" w:cs="Calibri"/>
        </w:rPr>
        <w:t>,</w:t>
      </w:r>
      <w:r w:rsidRPr="001C55F4">
        <w:rPr>
          <w:rFonts w:ascii="Calibri" w:hAnsi="Calibri" w:cs="Calibri"/>
        </w:rPr>
        <w:t xml:space="preserve"> regulations 3.12 to 3.64. For example providing an inspection report to the Secretary under regulation 3.18; providing certain information to the Secretary under regulation 3.37. </w:t>
      </w:r>
    </w:p>
  </w:footnote>
  <w:footnote w:id="254">
    <w:p w:rsidR="006A65A2" w:rsidRPr="001C55F4" w:rsidRDefault="006A65A2" w:rsidP="00AD7805">
      <w:pPr>
        <w:pStyle w:val="FootnoteText"/>
        <w:rPr>
          <w:rFonts w:ascii="Calibri" w:hAnsi="Calibri" w:cs="Calibri"/>
        </w:rPr>
      </w:pPr>
      <w:r w:rsidRPr="000D4AFA">
        <w:rPr>
          <w:rStyle w:val="FootnoteReference"/>
        </w:rPr>
        <w:footnoteRef/>
      </w:r>
      <w:r w:rsidRPr="001C55F4">
        <w:rPr>
          <w:rFonts w:ascii="Calibri" w:hAnsi="Calibri" w:cs="Calibri"/>
        </w:rPr>
        <w:t xml:space="preserve"> UMV appointments are</w:t>
      </w:r>
      <w:r>
        <w:rPr>
          <w:rFonts w:ascii="Calibri" w:hAnsi="Calibri" w:cs="Calibri"/>
        </w:rPr>
        <w:t xml:space="preserve"> granted under section 18R </w:t>
      </w:r>
      <w:r>
        <w:rPr>
          <w:rFonts w:ascii="Calibri" w:hAnsi="Calibri" w:cs="Calibri"/>
          <w:i/>
        </w:rPr>
        <w:t>National Measurement Act 1960</w:t>
      </w:r>
      <w:r w:rsidRPr="001C55F4">
        <w:rPr>
          <w:rFonts w:ascii="Calibri" w:hAnsi="Calibri" w:cs="Calibri"/>
        </w:rPr>
        <w:t xml:space="preserve"> and under s 18RB g Conditions on appointment of </w:t>
      </w:r>
      <w:r>
        <w:rPr>
          <w:rFonts w:ascii="Calibri" w:hAnsi="Calibri" w:cs="Calibri"/>
        </w:rPr>
        <w:t>UMVs</w:t>
      </w:r>
      <w:r w:rsidRPr="001C55F4">
        <w:rPr>
          <w:rFonts w:ascii="Calibri" w:hAnsi="Calibri" w:cs="Calibri"/>
        </w:rPr>
        <w:t>, they report as required in writing by the Secretary</w:t>
      </w:r>
      <w:r>
        <w:rPr>
          <w:rFonts w:ascii="Calibri" w:hAnsi="Calibri" w:cs="Calibri"/>
        </w:rPr>
        <w:t>.</w:t>
      </w:r>
    </w:p>
  </w:footnote>
  <w:footnote w:id="255">
    <w:p w:rsidR="006A65A2" w:rsidRPr="000D4AFA" w:rsidRDefault="006A65A2" w:rsidP="00AD7805">
      <w:pPr>
        <w:pStyle w:val="FootnoteText"/>
      </w:pPr>
      <w:r w:rsidRPr="000D4AFA">
        <w:rPr>
          <w:rStyle w:val="FootnoteReference"/>
        </w:rPr>
        <w:footnoteRef/>
      </w:r>
      <w:r w:rsidRPr="001C55F4">
        <w:rPr>
          <w:rFonts w:ascii="Calibri" w:hAnsi="Calibri" w:cs="Calibri"/>
        </w:rPr>
        <w:t xml:space="preserve"> Aut</w:t>
      </w:r>
      <w:r>
        <w:rPr>
          <w:rFonts w:ascii="Calibri" w:hAnsi="Calibri" w:cs="Calibri"/>
        </w:rPr>
        <w:t xml:space="preserve">horities are appointed under </w:t>
      </w:r>
      <w:r>
        <w:rPr>
          <w:rFonts w:ascii="Calibri" w:hAnsi="Calibri" w:cs="Calibri"/>
          <w:i/>
        </w:rPr>
        <w:t>National Measurement Regulations 1999,</w:t>
      </w:r>
      <w:r w:rsidRPr="001C55F4">
        <w:rPr>
          <w:rFonts w:ascii="Calibri" w:hAnsi="Calibri" w:cs="Calibri"/>
        </w:rPr>
        <w:t xml:space="preserve"> regulation 72 </w:t>
      </w:r>
      <w:r>
        <w:rPr>
          <w:rFonts w:ascii="Calibri" w:hAnsi="Calibri" w:cs="Calibri"/>
        </w:rPr>
        <w:t>“</w:t>
      </w:r>
      <w:r w:rsidRPr="001C55F4">
        <w:rPr>
          <w:rFonts w:ascii="Calibri" w:hAnsi="Calibri" w:cs="Calibri"/>
        </w:rPr>
        <w:t>Application for appointment of verifying or certifying authority</w:t>
      </w:r>
      <w:r>
        <w:rPr>
          <w:rFonts w:ascii="Calibri" w:hAnsi="Calibri" w:cs="Calibri"/>
        </w:rPr>
        <w:t>”</w:t>
      </w:r>
      <w:r w:rsidRPr="001C55F4">
        <w:rPr>
          <w:rFonts w:ascii="Calibri" w:hAnsi="Calibri" w:cs="Calibri"/>
        </w:rPr>
        <w:t xml:space="preserve"> and regulation 76</w:t>
      </w:r>
      <w:r>
        <w:rPr>
          <w:rFonts w:ascii="Calibri" w:hAnsi="Calibri" w:cs="Calibri"/>
        </w:rPr>
        <w:t xml:space="preserve"> “</w:t>
      </w:r>
      <w:r w:rsidRPr="001C55F4">
        <w:rPr>
          <w:rFonts w:ascii="Calibri" w:hAnsi="Calibri" w:cs="Calibri"/>
        </w:rPr>
        <w:t>Approving authorities</w:t>
      </w:r>
      <w:r>
        <w:rPr>
          <w:rFonts w:ascii="Calibri" w:hAnsi="Calibri" w:cs="Calibri"/>
        </w:rPr>
        <w:t>”</w:t>
      </w:r>
      <w:r w:rsidRPr="001C55F4">
        <w:rPr>
          <w:rFonts w:ascii="Calibri" w:hAnsi="Calibri" w:cs="Calibri"/>
        </w:rPr>
        <w:t xml:space="preserve">. Regulation 77 (1)(c) </w:t>
      </w:r>
      <w:r>
        <w:rPr>
          <w:rFonts w:ascii="Calibri" w:hAnsi="Calibri" w:cs="Calibri"/>
        </w:rPr>
        <w:t>“</w:t>
      </w:r>
      <w:r w:rsidRPr="001C55F4">
        <w:rPr>
          <w:rFonts w:ascii="Calibri" w:hAnsi="Calibri" w:cs="Calibri"/>
        </w:rPr>
        <w:t>General conditions of appointment of authorities</w:t>
      </w:r>
      <w:r>
        <w:rPr>
          <w:rFonts w:ascii="Calibri" w:hAnsi="Calibri" w:cs="Calibri"/>
        </w:rPr>
        <w:t>”</w:t>
      </w:r>
      <w:r w:rsidRPr="001C55F4">
        <w:rPr>
          <w:rFonts w:ascii="Calibri" w:hAnsi="Calibri" w:cs="Calibri"/>
        </w:rPr>
        <w:t xml:space="preserve"> includes that the authority report, as required by the Chief Metrologist, about its performance of those duties.</w:t>
      </w:r>
    </w:p>
  </w:footnote>
  <w:footnote w:id="256">
    <w:p w:rsidR="006A65A2" w:rsidRPr="001C55F4" w:rsidRDefault="006A65A2" w:rsidP="00CD4621">
      <w:pPr>
        <w:pStyle w:val="FootnoteText"/>
        <w:rPr>
          <w:rFonts w:ascii="Calibri" w:hAnsi="Calibri" w:cs="Calibri"/>
        </w:rPr>
      </w:pPr>
      <w:r>
        <w:rPr>
          <w:rStyle w:val="FootnoteReference"/>
        </w:rPr>
        <w:footnoteRef/>
      </w:r>
      <w:r w:rsidRPr="001C55F4">
        <w:rPr>
          <w:rFonts w:ascii="Calibri" w:hAnsi="Calibri" w:cs="Calibri"/>
        </w:rPr>
        <w:t xml:space="preserve"> It is an offence for a person to use, loan or let for hire, an unverified measuring instrument for trade purposes. See sections 18GA, and 18GCA </w:t>
      </w:r>
      <w:r>
        <w:rPr>
          <w:rFonts w:ascii="Calibri" w:hAnsi="Calibri" w:cs="Calibri"/>
          <w:i/>
        </w:rPr>
        <w:t>National Measurement Act 1960</w:t>
      </w:r>
      <w:r>
        <w:rPr>
          <w:rFonts w:ascii="Calibri" w:hAnsi="Calibri" w:cs="Calibri"/>
        </w:rPr>
        <w:t>.</w:t>
      </w:r>
    </w:p>
  </w:footnote>
  <w:footnote w:id="257">
    <w:p w:rsidR="006A65A2" w:rsidRDefault="006A65A2" w:rsidP="00CD4621">
      <w:pPr>
        <w:pStyle w:val="FootnoteText"/>
      </w:pPr>
      <w:r>
        <w:rPr>
          <w:rStyle w:val="FootnoteReference"/>
        </w:rPr>
        <w:footnoteRef/>
      </w:r>
      <w:r w:rsidRPr="001C55F4">
        <w:rPr>
          <w:rFonts w:ascii="Calibri" w:hAnsi="Calibri" w:cs="Calibri"/>
        </w:rPr>
        <w:t xml:space="preserve"> Under Section 18GH of </w:t>
      </w:r>
      <w:r>
        <w:rPr>
          <w:rFonts w:ascii="Calibri" w:hAnsi="Calibri" w:cs="Calibri"/>
        </w:rPr>
        <w:t xml:space="preserve">the </w:t>
      </w:r>
      <w:r>
        <w:rPr>
          <w:rFonts w:ascii="Calibri" w:hAnsi="Calibri" w:cs="Calibri"/>
          <w:i/>
        </w:rPr>
        <w:t>National Measurement Act 1960</w:t>
      </w:r>
      <w:r w:rsidRPr="001C55F4" w:rsidDel="002E095D">
        <w:rPr>
          <w:rFonts w:ascii="Calibri" w:hAnsi="Calibri" w:cs="Calibri"/>
        </w:rPr>
        <w:t>,</w:t>
      </w:r>
      <w:r>
        <w:rPr>
          <w:rFonts w:ascii="Calibri" w:hAnsi="Calibri" w:cs="Calibri"/>
        </w:rPr>
        <w:t xml:space="preserve"> </w:t>
      </w:r>
      <w:r w:rsidRPr="001C55F4">
        <w:rPr>
          <w:rFonts w:ascii="Calibri" w:hAnsi="Calibri" w:cs="Calibri"/>
        </w:rPr>
        <w:t xml:space="preserve">Servicing </w:t>
      </w:r>
      <w:r>
        <w:rPr>
          <w:rFonts w:ascii="Calibri" w:hAnsi="Calibri" w:cs="Calibri"/>
        </w:rPr>
        <w:t>L</w:t>
      </w:r>
      <w:r w:rsidRPr="001C55F4">
        <w:rPr>
          <w:rFonts w:ascii="Calibri" w:hAnsi="Calibri" w:cs="Calibri"/>
        </w:rPr>
        <w:t xml:space="preserve">icensees or an employee of a competent </w:t>
      </w:r>
      <w:r>
        <w:rPr>
          <w:rFonts w:ascii="Calibri" w:hAnsi="Calibri" w:cs="Calibri"/>
        </w:rPr>
        <w:t>S</w:t>
      </w:r>
      <w:r w:rsidRPr="001C55F4">
        <w:rPr>
          <w:rFonts w:ascii="Calibri" w:hAnsi="Calibri" w:cs="Calibri"/>
        </w:rPr>
        <w:t xml:space="preserve">ervicing </w:t>
      </w:r>
      <w:r>
        <w:rPr>
          <w:rFonts w:ascii="Calibri" w:hAnsi="Calibri" w:cs="Calibri"/>
        </w:rPr>
        <w:t>L</w:t>
      </w:r>
      <w:r w:rsidRPr="001C55F4">
        <w:rPr>
          <w:rFonts w:ascii="Calibri" w:hAnsi="Calibri" w:cs="Calibri"/>
        </w:rPr>
        <w:t>icensee may verify</w:t>
      </w:r>
      <w:r>
        <w:rPr>
          <w:rFonts w:ascii="Calibri" w:hAnsi="Calibri" w:cs="Calibri"/>
        </w:rPr>
        <w:t>.</w:t>
      </w:r>
      <w:r w:rsidRPr="001C55F4">
        <w:rPr>
          <w:rFonts w:ascii="Calibri" w:hAnsi="Calibri" w:cs="Calibri"/>
        </w:rPr>
        <w:t xml:space="preserve"> Under section 18GI a Utility Meter Verifier may verify a utility meter. </w:t>
      </w:r>
    </w:p>
  </w:footnote>
  <w:footnote w:id="258">
    <w:p w:rsidR="006A65A2" w:rsidRPr="005E0953" w:rsidRDefault="006A65A2">
      <w:pPr>
        <w:pStyle w:val="FootnoteText"/>
        <w:rPr>
          <w:rFonts w:asciiTheme="minorHAnsi" w:hAnsiTheme="minorHAnsi" w:cstheme="minorHAnsi"/>
        </w:rPr>
      </w:pPr>
      <w:r>
        <w:rPr>
          <w:rStyle w:val="FootnoteReference"/>
        </w:rPr>
        <w:footnoteRef/>
      </w:r>
      <w:r>
        <w:t xml:space="preserve"> </w:t>
      </w:r>
      <w:r w:rsidRPr="005E0953">
        <w:rPr>
          <w:rFonts w:asciiTheme="minorHAnsi" w:hAnsiTheme="minorHAnsi" w:cstheme="minorHAnsi"/>
        </w:rPr>
        <w:t>Excluding instruments verified as part of other measuring instruments, 5-year average (2015/16 - 2019/20)</w:t>
      </w:r>
      <w:r>
        <w:rPr>
          <w:rFonts w:asciiTheme="minorHAnsi" w:hAnsiTheme="minorHAnsi" w:cstheme="minorHAnsi"/>
        </w:rPr>
        <w:t>.</w:t>
      </w:r>
    </w:p>
  </w:footnote>
  <w:footnote w:id="259">
    <w:p w:rsidR="006A65A2" w:rsidRPr="005E0953" w:rsidRDefault="006A65A2">
      <w:pPr>
        <w:pStyle w:val="FootnoteText"/>
        <w:rPr>
          <w:rFonts w:asciiTheme="minorHAnsi" w:hAnsiTheme="minorHAnsi" w:cstheme="minorHAnsi"/>
        </w:rPr>
      </w:pPr>
      <w:r w:rsidRPr="005E0953">
        <w:rPr>
          <w:rStyle w:val="FootnoteReference"/>
          <w:rFonts w:asciiTheme="minorHAnsi" w:hAnsiTheme="minorHAnsi" w:cstheme="minorHAnsi"/>
        </w:rPr>
        <w:footnoteRef/>
      </w:r>
      <w:r w:rsidRPr="005E0953">
        <w:rPr>
          <w:rFonts w:asciiTheme="minorHAnsi" w:hAnsiTheme="minorHAnsi" w:cstheme="minorHAnsi"/>
        </w:rPr>
        <w:t xml:space="preserve"> This assumes batch testing of 10,000 measures</w:t>
      </w:r>
      <w:r>
        <w:rPr>
          <w:rFonts w:asciiTheme="minorHAnsi" w:hAnsiTheme="minorHAnsi" w:cstheme="minorHAnsi"/>
        </w:rPr>
        <w:t>.</w:t>
      </w:r>
    </w:p>
  </w:footnote>
  <w:footnote w:id="260">
    <w:p w:rsidR="006A65A2" w:rsidRPr="00723B76" w:rsidRDefault="006A65A2">
      <w:pPr>
        <w:pStyle w:val="FootnoteText"/>
        <w:rPr>
          <w:rFonts w:asciiTheme="minorHAnsi" w:hAnsiTheme="minorHAnsi" w:cstheme="minorHAnsi"/>
          <w:szCs w:val="16"/>
        </w:rPr>
      </w:pPr>
      <w:r w:rsidRPr="005E0953">
        <w:rPr>
          <w:rStyle w:val="FootnoteReference"/>
          <w:rFonts w:asciiTheme="minorHAnsi" w:hAnsiTheme="minorHAnsi" w:cstheme="minorHAnsi"/>
          <w:szCs w:val="16"/>
        </w:rPr>
        <w:footnoteRef/>
      </w:r>
      <w:r w:rsidRPr="005E0953">
        <w:rPr>
          <w:rFonts w:asciiTheme="minorHAnsi" w:hAnsiTheme="minorHAnsi" w:cstheme="minorHAnsi"/>
          <w:szCs w:val="16"/>
        </w:rPr>
        <w:t xml:space="preserve"> This does not include significant</w:t>
      </w:r>
      <w:r w:rsidRPr="005E0953">
        <w:rPr>
          <w:rFonts w:asciiTheme="minorHAnsi" w:hAnsiTheme="minorHAnsi" w:cstheme="minorHAnsi"/>
          <w:b/>
          <w:szCs w:val="16"/>
        </w:rPr>
        <w:t xml:space="preserve"> </w:t>
      </w:r>
      <w:r w:rsidRPr="005E0953">
        <w:rPr>
          <w:rFonts w:asciiTheme="minorHAnsi" w:hAnsiTheme="minorHAnsi" w:cstheme="minorHAnsi"/>
          <w:szCs w:val="16"/>
        </w:rPr>
        <w:t>costs involved to verify an automatic rail weighbridge, such as the rolling stock required, establishing test wagons closing part of the rail network, delays in loading during testing</w:t>
      </w:r>
      <w:r>
        <w:rPr>
          <w:rFonts w:asciiTheme="minorHAnsi" w:hAnsiTheme="minorHAnsi" w:cstheme="minorHAnsi"/>
          <w:szCs w:val="16"/>
        </w:rPr>
        <w:t>,</w:t>
      </w:r>
      <w:r w:rsidRPr="00723B76">
        <w:rPr>
          <w:rFonts w:asciiTheme="minorHAnsi" w:hAnsiTheme="minorHAnsi" w:cstheme="minorHAnsi"/>
          <w:szCs w:val="16"/>
        </w:rPr>
        <w:t xml:space="preserve"> etc. However to ensure correct measurement these things would happen anyway regardless of a regulatory requirement for ve</w:t>
      </w:r>
      <w:r>
        <w:rPr>
          <w:rFonts w:asciiTheme="minorHAnsi" w:hAnsiTheme="minorHAnsi" w:cstheme="minorHAnsi"/>
          <w:szCs w:val="16"/>
        </w:rPr>
        <w:t>rification.</w:t>
      </w:r>
    </w:p>
  </w:footnote>
  <w:footnote w:id="261">
    <w:p w:rsidR="006A65A2" w:rsidRPr="00723B76" w:rsidRDefault="006A65A2" w:rsidP="00231F81">
      <w:pPr>
        <w:spacing w:after="0" w:line="240" w:lineRule="auto"/>
        <w:rPr>
          <w:rFonts w:cstheme="minorHAnsi"/>
          <w:b/>
          <w:szCs w:val="16"/>
        </w:rPr>
      </w:pPr>
      <w:r w:rsidRPr="007D04F0">
        <w:rPr>
          <w:rStyle w:val="FootnoteReference"/>
          <w:rFonts w:asciiTheme="minorHAnsi" w:hAnsiTheme="minorHAnsi" w:cstheme="minorHAnsi"/>
          <w:sz w:val="16"/>
          <w:szCs w:val="16"/>
        </w:rPr>
        <w:footnoteRef/>
      </w:r>
      <w:r w:rsidRPr="007D04F0">
        <w:rPr>
          <w:rFonts w:cstheme="minorHAnsi"/>
          <w:sz w:val="16"/>
          <w:szCs w:val="16"/>
        </w:rPr>
        <w:t xml:space="preserve"> T</w:t>
      </w:r>
      <w:r w:rsidRPr="0041180E">
        <w:rPr>
          <w:rFonts w:cstheme="minorHAnsi"/>
          <w:sz w:val="16"/>
          <w:szCs w:val="16"/>
        </w:rPr>
        <w:t>he</w:t>
      </w:r>
      <w:r w:rsidRPr="00231F81">
        <w:rPr>
          <w:rFonts w:cstheme="minorHAnsi"/>
          <w:b/>
          <w:sz w:val="16"/>
          <w:szCs w:val="16"/>
        </w:rPr>
        <w:t xml:space="preserve"> </w:t>
      </w:r>
      <w:r w:rsidRPr="00723B76">
        <w:rPr>
          <w:rFonts w:cstheme="minorHAnsi"/>
          <w:color w:val="000000"/>
          <w:sz w:val="16"/>
          <w:szCs w:val="16"/>
        </w:rPr>
        <w:t xml:space="preserve">assumption is that each vehicle tank will have 5 compartments each of which are considered to be a measuring instrument and verified at 1.2 hours each.  </w:t>
      </w:r>
    </w:p>
  </w:footnote>
  <w:footnote w:id="262">
    <w:p w:rsidR="006A65A2" w:rsidRPr="001C55F4" w:rsidRDefault="006A65A2" w:rsidP="008D34D1">
      <w:pPr>
        <w:pStyle w:val="FootnoteText"/>
        <w:rPr>
          <w:rFonts w:ascii="Calibri" w:hAnsi="Calibri" w:cs="Calibri"/>
        </w:rPr>
      </w:pPr>
      <w:r w:rsidRPr="008F7D32">
        <w:rPr>
          <w:rStyle w:val="FootnoteReference"/>
        </w:rPr>
        <w:footnoteRef/>
      </w:r>
      <w:r w:rsidRPr="001C55F4">
        <w:rPr>
          <w:rFonts w:ascii="Calibri" w:hAnsi="Calibri" w:cs="Calibri"/>
        </w:rPr>
        <w:t xml:space="preserve"> Pre market is defined as before sale of a measuring instrument for trade use (e.g. pattern approval) and before its first use for trade purposes (e.g. initial verification).</w:t>
      </w:r>
    </w:p>
  </w:footnote>
  <w:footnote w:id="263">
    <w:p w:rsidR="006A65A2" w:rsidRDefault="006A65A2" w:rsidP="008D34D1">
      <w:pPr>
        <w:pStyle w:val="FootnoteText"/>
      </w:pPr>
      <w:r w:rsidRPr="008F7D32">
        <w:rPr>
          <w:rStyle w:val="FootnoteReference"/>
        </w:rPr>
        <w:footnoteRef/>
      </w:r>
      <w:r w:rsidRPr="001C55F4">
        <w:rPr>
          <w:rFonts w:ascii="Calibri" w:hAnsi="Calibri" w:cs="Calibri"/>
        </w:rPr>
        <w:t xml:space="preserve"> Post market is defined as after first use of a measuring instrument for trade purposes, for example periodic re-verification or in-service inspections.</w:t>
      </w:r>
    </w:p>
  </w:footnote>
  <w:footnote w:id="264">
    <w:p w:rsidR="006A65A2" w:rsidRDefault="006A65A2" w:rsidP="00B1255E">
      <w:pPr>
        <w:pStyle w:val="Heading4"/>
        <w:numPr>
          <w:ilvl w:val="0"/>
          <w:numId w:val="0"/>
        </w:numPr>
        <w:ind w:left="864" w:hanging="864"/>
      </w:pPr>
      <w:r w:rsidRPr="007D04F0">
        <w:rPr>
          <w:rStyle w:val="FootnoteReference"/>
          <w:color w:val="auto"/>
          <w:sz w:val="16"/>
          <w:szCs w:val="16"/>
        </w:rPr>
        <w:footnoteRef/>
      </w:r>
      <w:r w:rsidRPr="007D04F0">
        <w:rPr>
          <w:color w:val="auto"/>
          <w:sz w:val="16"/>
          <w:szCs w:val="16"/>
        </w:rPr>
        <w:t xml:space="preserve"> </w:t>
      </w:r>
      <w:r w:rsidRPr="00B31754">
        <w:rPr>
          <w:rFonts w:asciiTheme="minorHAnsi" w:hAnsiTheme="minorHAnsi" w:cstheme="minorHAnsi"/>
          <w:color w:val="auto"/>
          <w:sz w:val="16"/>
          <w:szCs w:val="16"/>
        </w:rPr>
        <w:t xml:space="preserve">Refer to the sub-section on </w:t>
      </w:r>
      <w:hyperlink w:anchor="_Changes_in_relation" w:history="1">
        <w:r w:rsidRPr="00B31754">
          <w:rPr>
            <w:rStyle w:val="Hyperlink"/>
            <w:rFonts w:asciiTheme="minorHAnsi" w:hAnsiTheme="minorHAnsi" w:cstheme="minorHAnsi"/>
            <w:color w:val="auto"/>
            <w:sz w:val="16"/>
            <w:szCs w:val="16"/>
          </w:rPr>
          <w:t>changes in relation to the verification of measuring instruments</w:t>
        </w:r>
      </w:hyperlink>
      <w:r w:rsidRPr="00B31754">
        <w:rPr>
          <w:rFonts w:ascii="Arial" w:hAnsi="Arial" w:cs="Arial"/>
          <w:color w:val="auto"/>
          <w:sz w:val="16"/>
          <w:szCs w:val="16"/>
        </w:rPr>
        <w:t>.</w:t>
      </w:r>
      <w:r w:rsidRPr="00B31754">
        <w:rPr>
          <w:color w:val="aut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B0E" w:rsidRDefault="00480B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B0E" w:rsidRDefault="00480B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5A2" w:rsidRDefault="006A65A2">
    <w:pPr>
      <w:pStyle w:val="Header"/>
    </w:pPr>
    <w:r>
      <w:rPr>
        <w:noProof/>
        <w:lang w:eastAsia="en-AU"/>
      </w:rPr>
      <w:drawing>
        <wp:anchor distT="0" distB="0" distL="114300" distR="114300" simplePos="0" relativeHeight="251658240" behindDoc="1" locked="0" layoutInCell="1" allowOverlap="1" wp14:anchorId="511E1129" wp14:editId="3BE0E8F3">
          <wp:simplePos x="0" y="0"/>
          <wp:positionH relativeFrom="page">
            <wp:align>right</wp:align>
          </wp:positionH>
          <wp:positionV relativeFrom="paragraph">
            <wp:posOffset>-454116</wp:posOffset>
          </wp:positionV>
          <wp:extent cx="7546109" cy="10674093"/>
          <wp:effectExtent l="0" t="0" r="0" b="0"/>
          <wp:wrapNone/>
          <wp:docPr id="11" name="Picture 11" descr="circle and beam design image" title="Background image fo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1013942164-Twitter-1500x50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109" cy="10674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5A2" w:rsidRDefault="006A65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5A2" w:rsidRDefault="006A65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5A2" w:rsidRDefault="006A65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C6A"/>
    <w:multiLevelType w:val="hybridMultilevel"/>
    <w:tmpl w:val="6804EA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E455A2"/>
    <w:multiLevelType w:val="hybridMultilevel"/>
    <w:tmpl w:val="CB9A67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013C29"/>
    <w:multiLevelType w:val="hybridMultilevel"/>
    <w:tmpl w:val="721E58D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2E6159"/>
    <w:multiLevelType w:val="hybridMultilevel"/>
    <w:tmpl w:val="D7DCB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8757A1"/>
    <w:multiLevelType w:val="hybridMultilevel"/>
    <w:tmpl w:val="F98E3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B828AF"/>
    <w:multiLevelType w:val="hybridMultilevel"/>
    <w:tmpl w:val="D1F4096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1DC14C3"/>
    <w:multiLevelType w:val="hybridMultilevel"/>
    <w:tmpl w:val="22383CB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28F668E"/>
    <w:multiLevelType w:val="multilevel"/>
    <w:tmpl w:val="A0B279DE"/>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8" w15:restartNumberingAfterBreak="0">
    <w:nsid w:val="02A060AA"/>
    <w:multiLevelType w:val="hybridMultilevel"/>
    <w:tmpl w:val="4A88C84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E51851"/>
    <w:multiLevelType w:val="hybridMultilevel"/>
    <w:tmpl w:val="181C2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4707F08"/>
    <w:multiLevelType w:val="hybridMultilevel"/>
    <w:tmpl w:val="3A22BDC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05617FC4"/>
    <w:multiLevelType w:val="hybridMultilevel"/>
    <w:tmpl w:val="C1185CB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583197B"/>
    <w:multiLevelType w:val="hybridMultilevel"/>
    <w:tmpl w:val="5DF6F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2D16BD"/>
    <w:multiLevelType w:val="multilevel"/>
    <w:tmpl w:val="53ECF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6910A45"/>
    <w:multiLevelType w:val="hybridMultilevel"/>
    <w:tmpl w:val="2D92B3E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6B3259A"/>
    <w:multiLevelType w:val="hybridMultilevel"/>
    <w:tmpl w:val="8AAA47BC"/>
    <w:lvl w:ilvl="0" w:tplc="0C090019">
      <w:start w:val="1"/>
      <w:numFmt w:val="lowerLetter"/>
      <w:lvlText w:val="%1."/>
      <w:lvlJc w:val="left"/>
      <w:pPr>
        <w:ind w:left="108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6" w15:restartNumberingAfterBreak="0">
    <w:nsid w:val="075C7F4E"/>
    <w:multiLevelType w:val="hybridMultilevel"/>
    <w:tmpl w:val="5212ED5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80A268E"/>
    <w:multiLevelType w:val="hybridMultilevel"/>
    <w:tmpl w:val="635C5C4A"/>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8" w15:restartNumberingAfterBreak="0">
    <w:nsid w:val="08136A8B"/>
    <w:multiLevelType w:val="hybridMultilevel"/>
    <w:tmpl w:val="6062052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89570C9"/>
    <w:multiLevelType w:val="hybridMultilevel"/>
    <w:tmpl w:val="1E2E3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8DC1600"/>
    <w:multiLevelType w:val="hybridMultilevel"/>
    <w:tmpl w:val="5E1A7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A9765AE"/>
    <w:multiLevelType w:val="hybridMultilevel"/>
    <w:tmpl w:val="6E46DF76"/>
    <w:lvl w:ilvl="0" w:tplc="43E4122E">
      <w:start w:val="1"/>
      <w:numFmt w:val="decimal"/>
      <w:lvlText w:val="(%1)"/>
      <w:lvlJc w:val="left"/>
      <w:pPr>
        <w:ind w:left="450" w:hanging="450"/>
      </w:pPr>
      <w:rPr>
        <w:rFonts w:hint="default"/>
      </w:rPr>
    </w:lvl>
    <w:lvl w:ilvl="1" w:tplc="1D00DFDA">
      <w:start w:val="1"/>
      <w:numFmt w:val="lowerLetter"/>
      <w:lvlText w:val="(%2)"/>
      <w:lvlJc w:val="left"/>
      <w:pPr>
        <w:ind w:left="1080" w:hanging="360"/>
      </w:pPr>
      <w:rPr>
        <w:rFonts w:hint="default"/>
      </w:rPr>
    </w:lvl>
    <w:lvl w:ilvl="2" w:tplc="32AA1DE4">
      <w:start w:val="1"/>
      <w:numFmt w:val="lowerLetter"/>
      <w:lvlText w:val="%3."/>
      <w:lvlJc w:val="left"/>
      <w:pPr>
        <w:ind w:left="1980" w:hanging="360"/>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0AE6536A"/>
    <w:multiLevelType w:val="hybridMultilevel"/>
    <w:tmpl w:val="A36C0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B1136C8"/>
    <w:multiLevelType w:val="hybridMultilevel"/>
    <w:tmpl w:val="A9709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B600E62"/>
    <w:multiLevelType w:val="hybridMultilevel"/>
    <w:tmpl w:val="FE047B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BB546CB"/>
    <w:multiLevelType w:val="hybridMultilevel"/>
    <w:tmpl w:val="B56201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0BEC0F5B"/>
    <w:multiLevelType w:val="hybridMultilevel"/>
    <w:tmpl w:val="6CC64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C99017D"/>
    <w:multiLevelType w:val="hybridMultilevel"/>
    <w:tmpl w:val="B1F0E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CEF6B5B"/>
    <w:multiLevelType w:val="multilevel"/>
    <w:tmpl w:val="8066443E"/>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lowerLetter"/>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9" w15:restartNumberingAfterBreak="0">
    <w:nsid w:val="0D1C1E74"/>
    <w:multiLevelType w:val="hybridMultilevel"/>
    <w:tmpl w:val="505400D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D2151F2"/>
    <w:multiLevelType w:val="hybridMultilevel"/>
    <w:tmpl w:val="A5789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DD26C84"/>
    <w:multiLevelType w:val="multilevel"/>
    <w:tmpl w:val="51EADD30"/>
    <w:lvl w:ilvl="0">
      <w:start w:val="1"/>
      <w:numFmt w:val="decimal"/>
      <w:lvlText w:val="%1."/>
      <w:lvlJc w:val="left"/>
      <w:pPr>
        <w:tabs>
          <w:tab w:val="num" w:pos="-698"/>
        </w:tabs>
        <w:ind w:left="-698" w:hanging="360"/>
      </w:pPr>
      <w:rPr>
        <w:rFonts w:hint="default"/>
        <w:sz w:val="20"/>
      </w:rPr>
    </w:lvl>
    <w:lvl w:ilvl="1">
      <w:start w:val="1"/>
      <w:numFmt w:val="bullet"/>
      <w:lvlText w:val="o"/>
      <w:lvlJc w:val="left"/>
      <w:pPr>
        <w:tabs>
          <w:tab w:val="num" w:pos="22"/>
        </w:tabs>
        <w:ind w:left="22" w:hanging="360"/>
      </w:pPr>
      <w:rPr>
        <w:rFonts w:ascii="Courier New" w:hAnsi="Courier New" w:cs="Courier New" w:hint="default"/>
        <w:sz w:val="20"/>
      </w:rPr>
    </w:lvl>
    <w:lvl w:ilvl="2">
      <w:start w:val="1"/>
      <w:numFmt w:val="decimal"/>
      <w:lvlText w:val="%3."/>
      <w:lvlJc w:val="left"/>
      <w:pPr>
        <w:tabs>
          <w:tab w:val="num" w:pos="742"/>
        </w:tabs>
        <w:ind w:left="742" w:hanging="360"/>
      </w:pPr>
      <w:rPr>
        <w:rFonts w:hint="default"/>
        <w:b w:val="0"/>
        <w:sz w:val="20"/>
      </w:rPr>
    </w:lvl>
    <w:lvl w:ilvl="3">
      <w:start w:val="1"/>
      <w:numFmt w:val="bullet"/>
      <w:lvlText w:val=""/>
      <w:lvlJc w:val="left"/>
      <w:pPr>
        <w:tabs>
          <w:tab w:val="num" w:pos="1462"/>
        </w:tabs>
        <w:ind w:left="1462" w:hanging="360"/>
      </w:pPr>
      <w:rPr>
        <w:rFonts w:ascii="Symbol" w:hAnsi="Symbol" w:hint="default"/>
        <w:sz w:val="20"/>
      </w:rPr>
    </w:lvl>
    <w:lvl w:ilvl="4">
      <w:start w:val="1"/>
      <w:numFmt w:val="bullet"/>
      <w:lvlText w:val=""/>
      <w:lvlJc w:val="left"/>
      <w:pPr>
        <w:tabs>
          <w:tab w:val="num" w:pos="2182"/>
        </w:tabs>
        <w:ind w:left="2182" w:hanging="360"/>
      </w:pPr>
      <w:rPr>
        <w:rFonts w:ascii="Symbol" w:hAnsi="Symbol" w:hint="default"/>
        <w:sz w:val="20"/>
      </w:rPr>
    </w:lvl>
    <w:lvl w:ilvl="5">
      <w:start w:val="1"/>
      <w:numFmt w:val="bullet"/>
      <w:lvlText w:val=""/>
      <w:lvlJc w:val="left"/>
      <w:pPr>
        <w:tabs>
          <w:tab w:val="num" w:pos="2902"/>
        </w:tabs>
        <w:ind w:left="2902" w:hanging="360"/>
      </w:pPr>
      <w:rPr>
        <w:rFonts w:ascii="Symbol" w:hAnsi="Symbol" w:hint="default"/>
        <w:sz w:val="20"/>
      </w:rPr>
    </w:lvl>
    <w:lvl w:ilvl="6">
      <w:start w:val="1"/>
      <w:numFmt w:val="bullet"/>
      <w:lvlText w:val=""/>
      <w:lvlJc w:val="left"/>
      <w:pPr>
        <w:tabs>
          <w:tab w:val="num" w:pos="3622"/>
        </w:tabs>
        <w:ind w:left="3622" w:hanging="360"/>
      </w:pPr>
      <w:rPr>
        <w:rFonts w:ascii="Symbol" w:hAnsi="Symbol" w:hint="default"/>
        <w:sz w:val="20"/>
      </w:rPr>
    </w:lvl>
    <w:lvl w:ilvl="7">
      <w:start w:val="1"/>
      <w:numFmt w:val="bullet"/>
      <w:lvlText w:val=""/>
      <w:lvlJc w:val="left"/>
      <w:pPr>
        <w:tabs>
          <w:tab w:val="num" w:pos="4342"/>
        </w:tabs>
        <w:ind w:left="4342" w:hanging="360"/>
      </w:pPr>
      <w:rPr>
        <w:rFonts w:ascii="Symbol" w:hAnsi="Symbol" w:hint="default"/>
        <w:sz w:val="20"/>
      </w:rPr>
    </w:lvl>
    <w:lvl w:ilvl="8">
      <w:start w:val="1"/>
      <w:numFmt w:val="bullet"/>
      <w:lvlText w:val=""/>
      <w:lvlJc w:val="left"/>
      <w:pPr>
        <w:tabs>
          <w:tab w:val="num" w:pos="5062"/>
        </w:tabs>
        <w:ind w:left="5062" w:hanging="360"/>
      </w:pPr>
      <w:rPr>
        <w:rFonts w:ascii="Symbol" w:hAnsi="Symbol" w:hint="default"/>
        <w:sz w:val="20"/>
      </w:rPr>
    </w:lvl>
  </w:abstractNum>
  <w:abstractNum w:abstractNumId="32" w15:restartNumberingAfterBreak="0">
    <w:nsid w:val="0EC85018"/>
    <w:multiLevelType w:val="multilevel"/>
    <w:tmpl w:val="E7BE0ED8"/>
    <w:lvl w:ilvl="0">
      <w:start w:val="14"/>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33" w15:restartNumberingAfterBreak="0">
    <w:nsid w:val="0F670EA1"/>
    <w:multiLevelType w:val="hybridMultilevel"/>
    <w:tmpl w:val="AF361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FCA62EA"/>
    <w:multiLevelType w:val="hybridMultilevel"/>
    <w:tmpl w:val="0E88D87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0DD0EBC"/>
    <w:multiLevelType w:val="hybridMultilevel"/>
    <w:tmpl w:val="097E84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10C3159"/>
    <w:multiLevelType w:val="hybridMultilevel"/>
    <w:tmpl w:val="E530F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1BF7147"/>
    <w:multiLevelType w:val="hybridMultilevel"/>
    <w:tmpl w:val="2206C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29D483C"/>
    <w:multiLevelType w:val="hybridMultilevel"/>
    <w:tmpl w:val="B0124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3CD6290"/>
    <w:multiLevelType w:val="hybridMultilevel"/>
    <w:tmpl w:val="DF2AD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3D57A75"/>
    <w:multiLevelType w:val="hybridMultilevel"/>
    <w:tmpl w:val="7EB460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8031A8"/>
    <w:multiLevelType w:val="hybridMultilevel"/>
    <w:tmpl w:val="86C83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4EF491D"/>
    <w:multiLevelType w:val="hybridMultilevel"/>
    <w:tmpl w:val="47FCDB98"/>
    <w:lvl w:ilvl="0" w:tplc="08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5190BF6"/>
    <w:multiLevelType w:val="hybridMultilevel"/>
    <w:tmpl w:val="FECC9798"/>
    <w:lvl w:ilvl="0" w:tplc="0C090005">
      <w:start w:val="1"/>
      <w:numFmt w:val="bullet"/>
      <w:lvlText w:val=""/>
      <w:lvlJc w:val="left"/>
      <w:pPr>
        <w:ind w:left="775" w:hanging="360"/>
      </w:pPr>
      <w:rPr>
        <w:rFonts w:ascii="Wingdings" w:hAnsi="Wingdings"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4" w15:restartNumberingAfterBreak="0">
    <w:nsid w:val="155504C5"/>
    <w:multiLevelType w:val="hybridMultilevel"/>
    <w:tmpl w:val="45925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74264FE"/>
    <w:multiLevelType w:val="hybridMultilevel"/>
    <w:tmpl w:val="6980E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178D2B05"/>
    <w:multiLevelType w:val="hybridMultilevel"/>
    <w:tmpl w:val="6D049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7E84196"/>
    <w:multiLevelType w:val="hybridMultilevel"/>
    <w:tmpl w:val="C4B84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7E8559C"/>
    <w:multiLevelType w:val="hybridMultilevel"/>
    <w:tmpl w:val="0F267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84F4D5E"/>
    <w:multiLevelType w:val="hybridMultilevel"/>
    <w:tmpl w:val="CD2EE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9FC105E"/>
    <w:multiLevelType w:val="hybridMultilevel"/>
    <w:tmpl w:val="56EC1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B1F1E50"/>
    <w:multiLevelType w:val="hybridMultilevel"/>
    <w:tmpl w:val="3578BF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B4670C9"/>
    <w:multiLevelType w:val="hybridMultilevel"/>
    <w:tmpl w:val="547EC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C7E4586"/>
    <w:multiLevelType w:val="hybridMultilevel"/>
    <w:tmpl w:val="B0009D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D8F1CDF"/>
    <w:multiLevelType w:val="hybridMultilevel"/>
    <w:tmpl w:val="9B28D48E"/>
    <w:lvl w:ilvl="0" w:tplc="08090001">
      <w:start w:val="1"/>
      <w:numFmt w:val="bullet"/>
      <w:lvlText w:val=""/>
      <w:lvlJc w:val="left"/>
      <w:pPr>
        <w:ind w:left="8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DC66A35"/>
    <w:multiLevelType w:val="hybridMultilevel"/>
    <w:tmpl w:val="6E4CE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DCA067B"/>
    <w:multiLevelType w:val="hybridMultilevel"/>
    <w:tmpl w:val="54801AF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E13034D"/>
    <w:multiLevelType w:val="hybridMultilevel"/>
    <w:tmpl w:val="A45E3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E211396"/>
    <w:multiLevelType w:val="hybridMultilevel"/>
    <w:tmpl w:val="4DC841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E3D3FD3"/>
    <w:multiLevelType w:val="hybridMultilevel"/>
    <w:tmpl w:val="9CC24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1F12317A"/>
    <w:multiLevelType w:val="hybridMultilevel"/>
    <w:tmpl w:val="9D1A9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03E310B"/>
    <w:multiLevelType w:val="hybridMultilevel"/>
    <w:tmpl w:val="480ED6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09238A6"/>
    <w:multiLevelType w:val="hybridMultilevel"/>
    <w:tmpl w:val="0366B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0F6361A"/>
    <w:multiLevelType w:val="hybridMultilevel"/>
    <w:tmpl w:val="8E4A5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0F80AEE"/>
    <w:multiLevelType w:val="hybridMultilevel"/>
    <w:tmpl w:val="F2928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1683B35"/>
    <w:multiLevelType w:val="hybridMultilevel"/>
    <w:tmpl w:val="3B709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1ED320F"/>
    <w:multiLevelType w:val="hybridMultilevel"/>
    <w:tmpl w:val="36780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1F56468"/>
    <w:multiLevelType w:val="multilevel"/>
    <w:tmpl w:val="5E64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4186245"/>
    <w:multiLevelType w:val="hybridMultilevel"/>
    <w:tmpl w:val="89D06F9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9" w15:restartNumberingAfterBreak="0">
    <w:nsid w:val="24F5013F"/>
    <w:multiLevelType w:val="hybridMultilevel"/>
    <w:tmpl w:val="FF82D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5026947"/>
    <w:multiLevelType w:val="hybridMultilevel"/>
    <w:tmpl w:val="0B0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5486810"/>
    <w:multiLevelType w:val="hybridMultilevel"/>
    <w:tmpl w:val="FB687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6CB6618"/>
    <w:multiLevelType w:val="hybridMultilevel"/>
    <w:tmpl w:val="C8D66A54"/>
    <w:lvl w:ilvl="0" w:tplc="0C090001">
      <w:start w:val="1"/>
      <w:numFmt w:val="bullet"/>
      <w:lvlText w:val=""/>
      <w:lvlJc w:val="left"/>
      <w:pPr>
        <w:ind w:left="826" w:hanging="360"/>
      </w:pPr>
      <w:rPr>
        <w:rFonts w:ascii="Symbol" w:hAnsi="Symbol" w:hint="default"/>
      </w:rPr>
    </w:lvl>
    <w:lvl w:ilvl="1" w:tplc="0C090003" w:tentative="1">
      <w:start w:val="1"/>
      <w:numFmt w:val="bullet"/>
      <w:lvlText w:val="o"/>
      <w:lvlJc w:val="left"/>
      <w:pPr>
        <w:ind w:left="1546" w:hanging="360"/>
      </w:pPr>
      <w:rPr>
        <w:rFonts w:ascii="Courier New" w:hAnsi="Courier New" w:cs="Courier New" w:hint="default"/>
      </w:rPr>
    </w:lvl>
    <w:lvl w:ilvl="2" w:tplc="0C090005" w:tentative="1">
      <w:start w:val="1"/>
      <w:numFmt w:val="bullet"/>
      <w:lvlText w:val=""/>
      <w:lvlJc w:val="left"/>
      <w:pPr>
        <w:ind w:left="2266" w:hanging="360"/>
      </w:pPr>
      <w:rPr>
        <w:rFonts w:ascii="Wingdings" w:hAnsi="Wingdings" w:hint="default"/>
      </w:rPr>
    </w:lvl>
    <w:lvl w:ilvl="3" w:tplc="0C090001" w:tentative="1">
      <w:start w:val="1"/>
      <w:numFmt w:val="bullet"/>
      <w:lvlText w:val=""/>
      <w:lvlJc w:val="left"/>
      <w:pPr>
        <w:ind w:left="2986" w:hanging="360"/>
      </w:pPr>
      <w:rPr>
        <w:rFonts w:ascii="Symbol" w:hAnsi="Symbol" w:hint="default"/>
      </w:rPr>
    </w:lvl>
    <w:lvl w:ilvl="4" w:tplc="0C090003" w:tentative="1">
      <w:start w:val="1"/>
      <w:numFmt w:val="bullet"/>
      <w:lvlText w:val="o"/>
      <w:lvlJc w:val="left"/>
      <w:pPr>
        <w:ind w:left="3706" w:hanging="360"/>
      </w:pPr>
      <w:rPr>
        <w:rFonts w:ascii="Courier New" w:hAnsi="Courier New" w:cs="Courier New" w:hint="default"/>
      </w:rPr>
    </w:lvl>
    <w:lvl w:ilvl="5" w:tplc="0C090005" w:tentative="1">
      <w:start w:val="1"/>
      <w:numFmt w:val="bullet"/>
      <w:lvlText w:val=""/>
      <w:lvlJc w:val="left"/>
      <w:pPr>
        <w:ind w:left="4426" w:hanging="360"/>
      </w:pPr>
      <w:rPr>
        <w:rFonts w:ascii="Wingdings" w:hAnsi="Wingdings" w:hint="default"/>
      </w:rPr>
    </w:lvl>
    <w:lvl w:ilvl="6" w:tplc="0C090001" w:tentative="1">
      <w:start w:val="1"/>
      <w:numFmt w:val="bullet"/>
      <w:lvlText w:val=""/>
      <w:lvlJc w:val="left"/>
      <w:pPr>
        <w:ind w:left="5146" w:hanging="360"/>
      </w:pPr>
      <w:rPr>
        <w:rFonts w:ascii="Symbol" w:hAnsi="Symbol" w:hint="default"/>
      </w:rPr>
    </w:lvl>
    <w:lvl w:ilvl="7" w:tplc="0C090003" w:tentative="1">
      <w:start w:val="1"/>
      <w:numFmt w:val="bullet"/>
      <w:lvlText w:val="o"/>
      <w:lvlJc w:val="left"/>
      <w:pPr>
        <w:ind w:left="5866" w:hanging="360"/>
      </w:pPr>
      <w:rPr>
        <w:rFonts w:ascii="Courier New" w:hAnsi="Courier New" w:cs="Courier New" w:hint="default"/>
      </w:rPr>
    </w:lvl>
    <w:lvl w:ilvl="8" w:tplc="0C090005" w:tentative="1">
      <w:start w:val="1"/>
      <w:numFmt w:val="bullet"/>
      <w:lvlText w:val=""/>
      <w:lvlJc w:val="left"/>
      <w:pPr>
        <w:ind w:left="6586" w:hanging="360"/>
      </w:pPr>
      <w:rPr>
        <w:rFonts w:ascii="Wingdings" w:hAnsi="Wingdings" w:hint="default"/>
      </w:rPr>
    </w:lvl>
  </w:abstractNum>
  <w:abstractNum w:abstractNumId="73" w15:restartNumberingAfterBreak="0">
    <w:nsid w:val="26E428E2"/>
    <w:multiLevelType w:val="multilevel"/>
    <w:tmpl w:val="8066443E"/>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lowerLetter"/>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74" w15:restartNumberingAfterBreak="0">
    <w:nsid w:val="26F950D5"/>
    <w:multiLevelType w:val="hybridMultilevel"/>
    <w:tmpl w:val="24D8D6B8"/>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71C24F4"/>
    <w:multiLevelType w:val="multilevel"/>
    <w:tmpl w:val="4DFE7A5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6" w15:restartNumberingAfterBreak="0">
    <w:nsid w:val="27E36790"/>
    <w:multiLevelType w:val="hybridMultilevel"/>
    <w:tmpl w:val="A96AD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7F06DD5"/>
    <w:multiLevelType w:val="multilevel"/>
    <w:tmpl w:val="53ECF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8527C55"/>
    <w:multiLevelType w:val="multilevel"/>
    <w:tmpl w:val="53ECF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8742059"/>
    <w:multiLevelType w:val="multilevel"/>
    <w:tmpl w:val="54B2AEF8"/>
    <w:lvl w:ilvl="0">
      <w:start w:val="17"/>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80" w15:restartNumberingAfterBreak="0">
    <w:nsid w:val="29A9639A"/>
    <w:multiLevelType w:val="hybridMultilevel"/>
    <w:tmpl w:val="A2C03C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9FF534A"/>
    <w:multiLevelType w:val="hybridMultilevel"/>
    <w:tmpl w:val="1A3E117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2" w15:restartNumberingAfterBreak="0">
    <w:nsid w:val="2A7F129E"/>
    <w:multiLevelType w:val="hybridMultilevel"/>
    <w:tmpl w:val="DB5CFC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B3D0C58"/>
    <w:multiLevelType w:val="hybridMultilevel"/>
    <w:tmpl w:val="4D4244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2B3E1C90"/>
    <w:multiLevelType w:val="hybridMultilevel"/>
    <w:tmpl w:val="08DE96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B871029"/>
    <w:multiLevelType w:val="hybridMultilevel"/>
    <w:tmpl w:val="B5F050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C3E77DF"/>
    <w:multiLevelType w:val="hybridMultilevel"/>
    <w:tmpl w:val="EAD468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C527C07"/>
    <w:multiLevelType w:val="hybridMultilevel"/>
    <w:tmpl w:val="E68E9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2D0E3055"/>
    <w:multiLevelType w:val="hybridMultilevel"/>
    <w:tmpl w:val="AD0E9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2D7806E0"/>
    <w:multiLevelType w:val="hybridMultilevel"/>
    <w:tmpl w:val="D952B8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ED6757E"/>
    <w:multiLevelType w:val="hybridMultilevel"/>
    <w:tmpl w:val="59267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FB43B07"/>
    <w:multiLevelType w:val="hybridMultilevel"/>
    <w:tmpl w:val="6310F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0986FAC"/>
    <w:multiLevelType w:val="hybridMultilevel"/>
    <w:tmpl w:val="B7A26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19D1A1E"/>
    <w:multiLevelType w:val="hybridMultilevel"/>
    <w:tmpl w:val="283A9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1E02D93"/>
    <w:multiLevelType w:val="multilevel"/>
    <w:tmpl w:val="7234A47C"/>
    <w:lvl w:ilvl="0">
      <w:start w:val="10"/>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95" w15:restartNumberingAfterBreak="0">
    <w:nsid w:val="32034E2D"/>
    <w:multiLevelType w:val="hybridMultilevel"/>
    <w:tmpl w:val="B116491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3239603C"/>
    <w:multiLevelType w:val="multilevel"/>
    <w:tmpl w:val="5ACE03D8"/>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329F2B80"/>
    <w:multiLevelType w:val="hybridMultilevel"/>
    <w:tmpl w:val="1DC2EC9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3212F27"/>
    <w:multiLevelType w:val="hybridMultilevel"/>
    <w:tmpl w:val="46F22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36E3DE4"/>
    <w:multiLevelType w:val="hybridMultilevel"/>
    <w:tmpl w:val="1744F5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340C72F7"/>
    <w:multiLevelType w:val="hybridMultilevel"/>
    <w:tmpl w:val="99B4F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4805E05"/>
    <w:multiLevelType w:val="hybridMultilevel"/>
    <w:tmpl w:val="A2C03C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49626EA"/>
    <w:multiLevelType w:val="hybridMultilevel"/>
    <w:tmpl w:val="FE047B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59012E9"/>
    <w:multiLevelType w:val="hybridMultilevel"/>
    <w:tmpl w:val="902A33EE"/>
    <w:lvl w:ilvl="0" w:tplc="986CF41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364A7581"/>
    <w:multiLevelType w:val="hybridMultilevel"/>
    <w:tmpl w:val="3C784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37643548"/>
    <w:multiLevelType w:val="hybridMultilevel"/>
    <w:tmpl w:val="B79460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392F7889"/>
    <w:multiLevelType w:val="hybridMultilevel"/>
    <w:tmpl w:val="6C72E6DA"/>
    <w:lvl w:ilvl="0" w:tplc="E7A8BA98">
      <w:start w:val="1"/>
      <w:numFmt w:val="bullet"/>
      <w:lvlText w:val=""/>
      <w:lvlJc w:val="left"/>
      <w:pPr>
        <w:ind w:left="360" w:hanging="360"/>
      </w:pPr>
      <w:rPr>
        <w:rFonts w:ascii="Symbol" w:hAnsi="Symbol" w:hint="default"/>
        <w:b w:val="0"/>
        <w:i w:val="0"/>
        <w:color w:val="auto"/>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3BDA565B"/>
    <w:multiLevelType w:val="multilevel"/>
    <w:tmpl w:val="93CC7A2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3CC80058"/>
    <w:multiLevelType w:val="hybridMultilevel"/>
    <w:tmpl w:val="B5F037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E4E712F"/>
    <w:multiLevelType w:val="hybridMultilevel"/>
    <w:tmpl w:val="E81AE7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0" w15:restartNumberingAfterBreak="0">
    <w:nsid w:val="3E6559A8"/>
    <w:multiLevelType w:val="hybridMultilevel"/>
    <w:tmpl w:val="AB5A438E"/>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1" w15:restartNumberingAfterBreak="0">
    <w:nsid w:val="3F904326"/>
    <w:multiLevelType w:val="multilevel"/>
    <w:tmpl w:val="A86A7D12"/>
    <w:lvl w:ilvl="0">
      <w:start w:val="1"/>
      <w:numFmt w:val="decimal"/>
      <w:pStyle w:val="Heading1"/>
      <w:lvlText w:val="%1"/>
      <w:lvlJc w:val="left"/>
      <w:pPr>
        <w:ind w:left="432" w:hanging="432"/>
      </w:pPr>
      <w:rPr>
        <w:rFonts w:asciiTheme="minorHAnsi" w:hAnsiTheme="minorHAnsi" w:cstheme="minorHAnsi" w:hint="default"/>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2" w15:restartNumberingAfterBreak="0">
    <w:nsid w:val="40397FBE"/>
    <w:multiLevelType w:val="hybridMultilevel"/>
    <w:tmpl w:val="A84A97D4"/>
    <w:lvl w:ilvl="0" w:tplc="FCE09FB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0456A26"/>
    <w:multiLevelType w:val="hybridMultilevel"/>
    <w:tmpl w:val="2638B25E"/>
    <w:lvl w:ilvl="0" w:tplc="2BF238A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409312EB"/>
    <w:multiLevelType w:val="multilevel"/>
    <w:tmpl w:val="A0B279DE"/>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15" w15:restartNumberingAfterBreak="0">
    <w:nsid w:val="40943D7B"/>
    <w:multiLevelType w:val="hybridMultilevel"/>
    <w:tmpl w:val="9C6EB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2241D57"/>
    <w:multiLevelType w:val="hybridMultilevel"/>
    <w:tmpl w:val="747885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2433A49"/>
    <w:multiLevelType w:val="hybridMultilevel"/>
    <w:tmpl w:val="89D40C1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8" w15:restartNumberingAfterBreak="0">
    <w:nsid w:val="43084692"/>
    <w:multiLevelType w:val="hybridMultilevel"/>
    <w:tmpl w:val="32D80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32F22A2"/>
    <w:multiLevelType w:val="multilevel"/>
    <w:tmpl w:val="8F063C0A"/>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lowerLetter"/>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20" w15:restartNumberingAfterBreak="0">
    <w:nsid w:val="433D43B4"/>
    <w:multiLevelType w:val="multilevel"/>
    <w:tmpl w:val="30AE11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15:restartNumberingAfterBreak="0">
    <w:nsid w:val="43845E4F"/>
    <w:multiLevelType w:val="hybridMultilevel"/>
    <w:tmpl w:val="8AAA47BC"/>
    <w:lvl w:ilvl="0" w:tplc="0C090019">
      <w:start w:val="1"/>
      <w:numFmt w:val="lowerLetter"/>
      <w:lvlText w:val="%1."/>
      <w:lvlJc w:val="left"/>
      <w:pPr>
        <w:ind w:left="18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438463F5"/>
    <w:multiLevelType w:val="hybridMultilevel"/>
    <w:tmpl w:val="FE908B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3A72F96"/>
    <w:multiLevelType w:val="multilevel"/>
    <w:tmpl w:val="95D0D75E"/>
    <w:lvl w:ilvl="0">
      <w:start w:val="1"/>
      <w:numFmt w:val="decimal"/>
      <w:lvlText w:val="%1."/>
      <w:lvlJc w:val="left"/>
      <w:pPr>
        <w:ind w:left="369" w:hanging="369"/>
      </w:pPr>
      <w:rPr>
        <w:rFonts w:ascii="Times New Roman" w:hAnsi="Times New Roman" w:cs="Times New Roman" w:hint="default"/>
        <w:b w:val="0"/>
        <w:color w:val="auto"/>
        <w:sz w:val="24"/>
        <w:szCs w:val="24"/>
      </w:rPr>
    </w:lvl>
    <w:lvl w:ilvl="1">
      <w:start w:val="1"/>
      <w:numFmt w:val="lowerLetter"/>
      <w:lvlText w:val="%2."/>
      <w:lvlJc w:val="left"/>
      <w:pPr>
        <w:ind w:left="795" w:hanging="369"/>
      </w:pPr>
      <w:rPr>
        <w:rFonts w:ascii="Times New Roman" w:hAnsi="Times New Roman" w:cs="Times New Roman" w:hint="default"/>
        <w:sz w:val="24"/>
        <w:szCs w:val="24"/>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4" w15:restartNumberingAfterBreak="0">
    <w:nsid w:val="45CB32E7"/>
    <w:multiLevelType w:val="hybridMultilevel"/>
    <w:tmpl w:val="199AA5F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6FD1091"/>
    <w:multiLevelType w:val="hybridMultilevel"/>
    <w:tmpl w:val="59185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727711E"/>
    <w:multiLevelType w:val="hybridMultilevel"/>
    <w:tmpl w:val="A9D260B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47C93678"/>
    <w:multiLevelType w:val="hybridMultilevel"/>
    <w:tmpl w:val="C2A02A10"/>
    <w:lvl w:ilvl="0" w:tplc="0C090001">
      <w:start w:val="1"/>
      <w:numFmt w:val="bullet"/>
      <w:lvlText w:val=""/>
      <w:lvlJc w:val="left"/>
      <w:pPr>
        <w:ind w:left="3240" w:hanging="360"/>
      </w:pPr>
      <w:rPr>
        <w:rFonts w:ascii="Symbol" w:hAnsi="Symbol" w:hint="default"/>
      </w:rPr>
    </w:lvl>
    <w:lvl w:ilvl="1" w:tplc="0C090003">
      <w:start w:val="1"/>
      <w:numFmt w:val="bullet"/>
      <w:lvlText w:val="o"/>
      <w:lvlJc w:val="left"/>
      <w:pPr>
        <w:ind w:left="3960" w:hanging="360"/>
      </w:pPr>
      <w:rPr>
        <w:rFonts w:ascii="Courier New" w:hAnsi="Courier New" w:cs="Courier New" w:hint="default"/>
      </w:rPr>
    </w:lvl>
    <w:lvl w:ilvl="2" w:tplc="0C090005">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28" w15:restartNumberingAfterBreak="0">
    <w:nsid w:val="4934162A"/>
    <w:multiLevelType w:val="hybridMultilevel"/>
    <w:tmpl w:val="FB2C8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9533E43"/>
    <w:multiLevelType w:val="hybridMultilevel"/>
    <w:tmpl w:val="C7C800E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49557B5C"/>
    <w:multiLevelType w:val="hybridMultilevel"/>
    <w:tmpl w:val="B4584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49905AFD"/>
    <w:multiLevelType w:val="hybridMultilevel"/>
    <w:tmpl w:val="AEA47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499770EC"/>
    <w:multiLevelType w:val="hybridMultilevel"/>
    <w:tmpl w:val="C3C86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A461B7B"/>
    <w:multiLevelType w:val="hybridMultilevel"/>
    <w:tmpl w:val="FD6EF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AA615AA"/>
    <w:multiLevelType w:val="multilevel"/>
    <w:tmpl w:val="1C4030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4AB30237"/>
    <w:multiLevelType w:val="hybridMultilevel"/>
    <w:tmpl w:val="517EC6E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4B6C2EB1"/>
    <w:multiLevelType w:val="hybridMultilevel"/>
    <w:tmpl w:val="0BAAD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4D2D6CB1"/>
    <w:multiLevelType w:val="hybridMultilevel"/>
    <w:tmpl w:val="7EA0619C"/>
    <w:lvl w:ilvl="0" w:tplc="1CD2FA2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4D8A62F1"/>
    <w:multiLevelType w:val="multilevel"/>
    <w:tmpl w:val="A0B279D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9" w15:restartNumberingAfterBreak="0">
    <w:nsid w:val="4DAA3784"/>
    <w:multiLevelType w:val="hybridMultilevel"/>
    <w:tmpl w:val="0876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DC25B79"/>
    <w:multiLevelType w:val="hybridMultilevel"/>
    <w:tmpl w:val="11D47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E0841A8"/>
    <w:multiLevelType w:val="hybridMultilevel"/>
    <w:tmpl w:val="1C621C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E491557"/>
    <w:multiLevelType w:val="hybridMultilevel"/>
    <w:tmpl w:val="9970D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4EFA216D"/>
    <w:multiLevelType w:val="hybridMultilevel"/>
    <w:tmpl w:val="FAC047D8"/>
    <w:lvl w:ilvl="0" w:tplc="0C090001">
      <w:start w:val="1"/>
      <w:numFmt w:val="bullet"/>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44" w15:restartNumberingAfterBreak="0">
    <w:nsid w:val="4F0A79AE"/>
    <w:multiLevelType w:val="multilevel"/>
    <w:tmpl w:val="A0B279DE"/>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45" w15:restartNumberingAfterBreak="0">
    <w:nsid w:val="4F0E12C9"/>
    <w:multiLevelType w:val="hybridMultilevel"/>
    <w:tmpl w:val="EE34D478"/>
    <w:lvl w:ilvl="0" w:tplc="770C9C26">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51085E19"/>
    <w:multiLevelType w:val="hybridMultilevel"/>
    <w:tmpl w:val="7DD6FC56"/>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47" w15:restartNumberingAfterBreak="0">
    <w:nsid w:val="5137678D"/>
    <w:multiLevelType w:val="hybridMultilevel"/>
    <w:tmpl w:val="8F66A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517B1DB3"/>
    <w:multiLevelType w:val="multilevel"/>
    <w:tmpl w:val="2734411C"/>
    <w:lvl w:ilvl="0">
      <w:start w:val="1"/>
      <w:numFmt w:val="decimal"/>
      <w:pStyle w:val="Appendix"/>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9" w15:restartNumberingAfterBreak="0">
    <w:nsid w:val="5199127A"/>
    <w:multiLevelType w:val="hybridMultilevel"/>
    <w:tmpl w:val="FDCE5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21D59A1"/>
    <w:multiLevelType w:val="hybridMultilevel"/>
    <w:tmpl w:val="7E5AC3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521F37D7"/>
    <w:multiLevelType w:val="hybridMultilevel"/>
    <w:tmpl w:val="ED3EF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527A4F0E"/>
    <w:multiLevelType w:val="multilevel"/>
    <w:tmpl w:val="A51A54C2"/>
    <w:lvl w:ilvl="0">
      <w:start w:val="10"/>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53" w15:restartNumberingAfterBreak="0">
    <w:nsid w:val="52A83F5D"/>
    <w:multiLevelType w:val="hybridMultilevel"/>
    <w:tmpl w:val="24BA7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53756AA0"/>
    <w:multiLevelType w:val="multilevel"/>
    <w:tmpl w:val="8066443E"/>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lowerLetter"/>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55" w15:restartNumberingAfterBreak="0">
    <w:nsid w:val="539126E9"/>
    <w:multiLevelType w:val="hybridMultilevel"/>
    <w:tmpl w:val="CB8C5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5413372A"/>
    <w:multiLevelType w:val="hybridMultilevel"/>
    <w:tmpl w:val="F4D29C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556E3646"/>
    <w:multiLevelType w:val="hybridMultilevel"/>
    <w:tmpl w:val="A12EF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55794BC7"/>
    <w:multiLevelType w:val="hybridMultilevel"/>
    <w:tmpl w:val="CFEE9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55A30DFA"/>
    <w:multiLevelType w:val="hybridMultilevel"/>
    <w:tmpl w:val="EAB854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5611040E"/>
    <w:multiLevelType w:val="hybridMultilevel"/>
    <w:tmpl w:val="5C46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562057FE"/>
    <w:multiLevelType w:val="hybridMultilevel"/>
    <w:tmpl w:val="F2B47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56926BA7"/>
    <w:multiLevelType w:val="hybridMultilevel"/>
    <w:tmpl w:val="4FFE5C80"/>
    <w:lvl w:ilvl="0" w:tplc="F6FA969C">
      <w:start w:val="1"/>
      <w:numFmt w:val="bullet"/>
      <w:lvlText w:val=""/>
      <w:lvlJc w:val="left"/>
      <w:pPr>
        <w:ind w:left="210" w:hanging="360"/>
      </w:pPr>
      <w:rPr>
        <w:rFonts w:ascii="Symbol" w:hAnsi="Symbol" w:hint="default"/>
      </w:rPr>
    </w:lvl>
    <w:lvl w:ilvl="1" w:tplc="8856F1E4">
      <w:start w:val="1"/>
      <w:numFmt w:val="bullet"/>
      <w:lvlText w:val="o"/>
      <w:lvlJc w:val="left"/>
      <w:pPr>
        <w:ind w:left="930" w:hanging="360"/>
      </w:pPr>
      <w:rPr>
        <w:rFonts w:ascii="Courier New" w:hAnsi="Courier New" w:hint="default"/>
      </w:rPr>
    </w:lvl>
    <w:lvl w:ilvl="2" w:tplc="80524D14">
      <w:start w:val="1"/>
      <w:numFmt w:val="bullet"/>
      <w:lvlText w:val=""/>
      <w:lvlJc w:val="left"/>
      <w:pPr>
        <w:ind w:left="1650" w:hanging="360"/>
      </w:pPr>
      <w:rPr>
        <w:rFonts w:ascii="Wingdings" w:hAnsi="Wingdings" w:hint="default"/>
      </w:rPr>
    </w:lvl>
    <w:lvl w:ilvl="3" w:tplc="62442FBA">
      <w:start w:val="1"/>
      <w:numFmt w:val="bullet"/>
      <w:lvlText w:val=""/>
      <w:lvlJc w:val="left"/>
      <w:pPr>
        <w:ind w:left="2370" w:hanging="360"/>
      </w:pPr>
      <w:rPr>
        <w:rFonts w:ascii="Symbol" w:hAnsi="Symbol" w:hint="default"/>
      </w:rPr>
    </w:lvl>
    <w:lvl w:ilvl="4" w:tplc="470268DE">
      <w:start w:val="1"/>
      <w:numFmt w:val="bullet"/>
      <w:lvlText w:val="o"/>
      <w:lvlJc w:val="left"/>
      <w:pPr>
        <w:ind w:left="3090" w:hanging="360"/>
      </w:pPr>
      <w:rPr>
        <w:rFonts w:ascii="Courier New" w:hAnsi="Courier New" w:hint="default"/>
      </w:rPr>
    </w:lvl>
    <w:lvl w:ilvl="5" w:tplc="A986068E">
      <w:start w:val="1"/>
      <w:numFmt w:val="bullet"/>
      <w:lvlText w:val=""/>
      <w:lvlJc w:val="left"/>
      <w:pPr>
        <w:ind w:left="3810" w:hanging="360"/>
      </w:pPr>
      <w:rPr>
        <w:rFonts w:ascii="Wingdings" w:hAnsi="Wingdings" w:hint="default"/>
      </w:rPr>
    </w:lvl>
    <w:lvl w:ilvl="6" w:tplc="C4081E4A">
      <w:start w:val="1"/>
      <w:numFmt w:val="bullet"/>
      <w:lvlText w:val=""/>
      <w:lvlJc w:val="left"/>
      <w:pPr>
        <w:ind w:left="4530" w:hanging="360"/>
      </w:pPr>
      <w:rPr>
        <w:rFonts w:ascii="Symbol" w:hAnsi="Symbol" w:hint="default"/>
      </w:rPr>
    </w:lvl>
    <w:lvl w:ilvl="7" w:tplc="4FFE5B8A">
      <w:start w:val="1"/>
      <w:numFmt w:val="bullet"/>
      <w:lvlText w:val="o"/>
      <w:lvlJc w:val="left"/>
      <w:pPr>
        <w:ind w:left="5250" w:hanging="360"/>
      </w:pPr>
      <w:rPr>
        <w:rFonts w:ascii="Courier New" w:hAnsi="Courier New" w:hint="default"/>
      </w:rPr>
    </w:lvl>
    <w:lvl w:ilvl="8" w:tplc="428EA396">
      <w:start w:val="1"/>
      <w:numFmt w:val="bullet"/>
      <w:lvlText w:val=""/>
      <w:lvlJc w:val="left"/>
      <w:pPr>
        <w:ind w:left="5970" w:hanging="360"/>
      </w:pPr>
      <w:rPr>
        <w:rFonts w:ascii="Wingdings" w:hAnsi="Wingdings" w:hint="default"/>
      </w:rPr>
    </w:lvl>
  </w:abstractNum>
  <w:abstractNum w:abstractNumId="164" w15:restartNumberingAfterBreak="0">
    <w:nsid w:val="56BD4987"/>
    <w:multiLevelType w:val="hybridMultilevel"/>
    <w:tmpl w:val="F3A0D3EE"/>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65" w15:restartNumberingAfterBreak="0">
    <w:nsid w:val="56D5664F"/>
    <w:multiLevelType w:val="hybridMultilevel"/>
    <w:tmpl w:val="61D4826A"/>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66" w15:restartNumberingAfterBreak="0">
    <w:nsid w:val="56EF5143"/>
    <w:multiLevelType w:val="hybridMultilevel"/>
    <w:tmpl w:val="8F4CC6B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57D2541C"/>
    <w:multiLevelType w:val="hybridMultilevel"/>
    <w:tmpl w:val="D5802A86"/>
    <w:lvl w:ilvl="0" w:tplc="76E6BDB2">
      <w:start w:val="1"/>
      <w:numFmt w:val="decimal"/>
      <w:lvlText w:val="%1."/>
      <w:lvlJc w:val="left"/>
      <w:pPr>
        <w:ind w:left="2580" w:hanging="4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7D97983"/>
    <w:multiLevelType w:val="hybridMultilevel"/>
    <w:tmpl w:val="BF162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7F87CAF"/>
    <w:multiLevelType w:val="hybridMultilevel"/>
    <w:tmpl w:val="3F2CED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82F38D7"/>
    <w:multiLevelType w:val="hybridMultilevel"/>
    <w:tmpl w:val="0FA2FB1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58517535"/>
    <w:multiLevelType w:val="hybridMultilevel"/>
    <w:tmpl w:val="7D8AA3C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587D7F96"/>
    <w:multiLevelType w:val="hybridMultilevel"/>
    <w:tmpl w:val="67B4CB52"/>
    <w:lvl w:ilvl="0" w:tplc="8368D41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58E50CC6"/>
    <w:multiLevelType w:val="hybridMultilevel"/>
    <w:tmpl w:val="37A62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598E5685"/>
    <w:multiLevelType w:val="multilevel"/>
    <w:tmpl w:val="D1FE80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5" w15:restartNumberingAfterBreak="0">
    <w:nsid w:val="5A541334"/>
    <w:multiLevelType w:val="hybridMultilevel"/>
    <w:tmpl w:val="AB288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5B4A7FFA"/>
    <w:multiLevelType w:val="hybridMultilevel"/>
    <w:tmpl w:val="6D48F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B4F1C54"/>
    <w:multiLevelType w:val="hybridMultilevel"/>
    <w:tmpl w:val="09462C20"/>
    <w:lvl w:ilvl="0" w:tplc="AB9617CA">
      <w:start w:val="1"/>
      <w:numFmt w:val="lowerLetter"/>
      <w:lvlText w:val="(%1)"/>
      <w:lvlJc w:val="left"/>
      <w:pPr>
        <w:ind w:left="1290" w:hanging="645"/>
      </w:pPr>
      <w:rPr>
        <w:rFonts w:hint="default"/>
      </w:rPr>
    </w:lvl>
    <w:lvl w:ilvl="1" w:tplc="0C090019" w:tentative="1">
      <w:start w:val="1"/>
      <w:numFmt w:val="lowerLetter"/>
      <w:lvlText w:val="%2."/>
      <w:lvlJc w:val="left"/>
      <w:pPr>
        <w:ind w:left="1725" w:hanging="360"/>
      </w:pPr>
    </w:lvl>
    <w:lvl w:ilvl="2" w:tplc="0C09001B" w:tentative="1">
      <w:start w:val="1"/>
      <w:numFmt w:val="lowerRoman"/>
      <w:lvlText w:val="%3."/>
      <w:lvlJc w:val="right"/>
      <w:pPr>
        <w:ind w:left="2445" w:hanging="180"/>
      </w:pPr>
    </w:lvl>
    <w:lvl w:ilvl="3" w:tplc="0C09000F" w:tentative="1">
      <w:start w:val="1"/>
      <w:numFmt w:val="decimal"/>
      <w:lvlText w:val="%4."/>
      <w:lvlJc w:val="left"/>
      <w:pPr>
        <w:ind w:left="3165" w:hanging="360"/>
      </w:pPr>
    </w:lvl>
    <w:lvl w:ilvl="4" w:tplc="0C090019" w:tentative="1">
      <w:start w:val="1"/>
      <w:numFmt w:val="lowerLetter"/>
      <w:lvlText w:val="%5."/>
      <w:lvlJc w:val="left"/>
      <w:pPr>
        <w:ind w:left="3885" w:hanging="360"/>
      </w:pPr>
    </w:lvl>
    <w:lvl w:ilvl="5" w:tplc="0C09001B" w:tentative="1">
      <w:start w:val="1"/>
      <w:numFmt w:val="lowerRoman"/>
      <w:lvlText w:val="%6."/>
      <w:lvlJc w:val="right"/>
      <w:pPr>
        <w:ind w:left="4605" w:hanging="180"/>
      </w:pPr>
    </w:lvl>
    <w:lvl w:ilvl="6" w:tplc="0C09000F" w:tentative="1">
      <w:start w:val="1"/>
      <w:numFmt w:val="decimal"/>
      <w:lvlText w:val="%7."/>
      <w:lvlJc w:val="left"/>
      <w:pPr>
        <w:ind w:left="5325" w:hanging="360"/>
      </w:pPr>
    </w:lvl>
    <w:lvl w:ilvl="7" w:tplc="0C090019" w:tentative="1">
      <w:start w:val="1"/>
      <w:numFmt w:val="lowerLetter"/>
      <w:lvlText w:val="%8."/>
      <w:lvlJc w:val="left"/>
      <w:pPr>
        <w:ind w:left="6045" w:hanging="360"/>
      </w:pPr>
    </w:lvl>
    <w:lvl w:ilvl="8" w:tplc="0C09001B" w:tentative="1">
      <w:start w:val="1"/>
      <w:numFmt w:val="lowerRoman"/>
      <w:lvlText w:val="%9."/>
      <w:lvlJc w:val="right"/>
      <w:pPr>
        <w:ind w:left="6765" w:hanging="180"/>
      </w:pPr>
    </w:lvl>
  </w:abstractNum>
  <w:abstractNum w:abstractNumId="178" w15:restartNumberingAfterBreak="0">
    <w:nsid w:val="5D4275E3"/>
    <w:multiLevelType w:val="hybridMultilevel"/>
    <w:tmpl w:val="BFA0E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5D473680"/>
    <w:multiLevelType w:val="hybridMultilevel"/>
    <w:tmpl w:val="0A969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5D751073"/>
    <w:multiLevelType w:val="hybridMultilevel"/>
    <w:tmpl w:val="623E6F4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5D7F1EC7"/>
    <w:multiLevelType w:val="hybridMultilevel"/>
    <w:tmpl w:val="F9D4B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5E1C30F0"/>
    <w:multiLevelType w:val="multilevel"/>
    <w:tmpl w:val="4B1023F4"/>
    <w:lvl w:ilvl="0">
      <w:start w:val="7"/>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83" w15:restartNumberingAfterBreak="0">
    <w:nsid w:val="5E7611BF"/>
    <w:multiLevelType w:val="hybridMultilevel"/>
    <w:tmpl w:val="1744D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5FCF4EE4"/>
    <w:multiLevelType w:val="hybridMultilevel"/>
    <w:tmpl w:val="A3660C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5" w15:restartNumberingAfterBreak="0">
    <w:nsid w:val="5FEB0005"/>
    <w:multiLevelType w:val="hybridMultilevel"/>
    <w:tmpl w:val="C58E672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6071116C"/>
    <w:multiLevelType w:val="hybridMultilevel"/>
    <w:tmpl w:val="40FED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61177B2E"/>
    <w:multiLevelType w:val="hybridMultilevel"/>
    <w:tmpl w:val="B4EAE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61540E36"/>
    <w:multiLevelType w:val="hybridMultilevel"/>
    <w:tmpl w:val="AD0C1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61997FDD"/>
    <w:multiLevelType w:val="hybridMultilevel"/>
    <w:tmpl w:val="3880DF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621E6E61"/>
    <w:multiLevelType w:val="hybridMultilevel"/>
    <w:tmpl w:val="53DED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634108C0"/>
    <w:multiLevelType w:val="hybridMultilevel"/>
    <w:tmpl w:val="B1F0B8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63AF085F"/>
    <w:multiLevelType w:val="hybridMultilevel"/>
    <w:tmpl w:val="9EF0F0A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3" w15:restartNumberingAfterBreak="0">
    <w:nsid w:val="642402FF"/>
    <w:multiLevelType w:val="hybridMultilevel"/>
    <w:tmpl w:val="3FFE58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65F52D99"/>
    <w:multiLevelType w:val="hybridMultilevel"/>
    <w:tmpl w:val="F6141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65FD5A7F"/>
    <w:multiLevelType w:val="hybridMultilevel"/>
    <w:tmpl w:val="F556A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6884660B"/>
    <w:multiLevelType w:val="hybridMultilevel"/>
    <w:tmpl w:val="21DEA4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68AD0A84"/>
    <w:multiLevelType w:val="hybridMultilevel"/>
    <w:tmpl w:val="500A1C2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8D804CF"/>
    <w:multiLevelType w:val="hybridMultilevel"/>
    <w:tmpl w:val="3712203A"/>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692C06B6"/>
    <w:multiLevelType w:val="hybridMultilevel"/>
    <w:tmpl w:val="42DECA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6AB574BF"/>
    <w:multiLevelType w:val="hybridMultilevel"/>
    <w:tmpl w:val="08C23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6B9F7165"/>
    <w:multiLevelType w:val="multilevel"/>
    <w:tmpl w:val="A34632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2" w15:restartNumberingAfterBreak="0">
    <w:nsid w:val="6C0A043E"/>
    <w:multiLevelType w:val="hybridMultilevel"/>
    <w:tmpl w:val="FDD43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6C6B0830"/>
    <w:multiLevelType w:val="hybridMultilevel"/>
    <w:tmpl w:val="856E3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6D720D6E"/>
    <w:multiLevelType w:val="hybridMultilevel"/>
    <w:tmpl w:val="DD9E96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6D73220D"/>
    <w:multiLevelType w:val="multilevel"/>
    <w:tmpl w:val="A0B279DE"/>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206" w15:restartNumberingAfterBreak="0">
    <w:nsid w:val="6E266648"/>
    <w:multiLevelType w:val="multilevel"/>
    <w:tmpl w:val="F0D26D1C"/>
    <w:lvl w:ilvl="0">
      <w:start w:val="1"/>
      <w:numFmt w:val="decimal"/>
      <w:lvlText w:val="%1"/>
      <w:lvlJc w:val="left"/>
      <w:pPr>
        <w:ind w:left="567" w:hanging="567"/>
      </w:pPr>
      <w:rPr>
        <w:rFonts w:asciiTheme="majorHAnsi" w:hAnsiTheme="majorHAnsi" w:cstheme="majorHAnsi" w:hint="default"/>
        <w:sz w:val="48"/>
        <w:szCs w:val="48"/>
      </w:rPr>
    </w:lvl>
    <w:lvl w:ilvl="1">
      <w:start w:val="1"/>
      <w:numFmt w:val="decimal"/>
      <w:lvlText w:val="%1.%2"/>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91" w:hanging="907"/>
      </w:pPr>
      <w:rPr>
        <w:rFonts w:hint="default"/>
      </w:rPr>
    </w:lvl>
    <w:lvl w:ilvl="3">
      <w:start w:val="1"/>
      <w:numFmt w:val="decimal"/>
      <w:lvlText w:val="%1.%2.%3.%4"/>
      <w:lvlJc w:val="left"/>
      <w:pPr>
        <w:ind w:left="1872" w:hanging="1021"/>
      </w:pPr>
      <w:rPr>
        <w:b w:val="0"/>
        <w:bCs w:val="0"/>
        <w:i w:val="0"/>
        <w:iCs w:val="0"/>
        <w:caps w:val="0"/>
        <w:smallCaps w:val="0"/>
        <w:strike w:val="0"/>
        <w:dstrike w:val="0"/>
        <w:outline w:val="0"/>
        <w:shadow w:val="0"/>
        <w:emboss w:val="0"/>
        <w:imprint w:val="0"/>
        <w:noProof w:val="0"/>
        <w:vanish w:val="0"/>
        <w:color w:val="005677"/>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21" w:hanging="102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7" w15:restartNumberingAfterBreak="0">
    <w:nsid w:val="6EC679F6"/>
    <w:multiLevelType w:val="hybridMultilevel"/>
    <w:tmpl w:val="CC2680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6ECE2870"/>
    <w:multiLevelType w:val="hybridMultilevel"/>
    <w:tmpl w:val="00DEC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6F875C0C"/>
    <w:multiLevelType w:val="hybridMultilevel"/>
    <w:tmpl w:val="DED64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7087420B"/>
    <w:multiLevelType w:val="hybridMultilevel"/>
    <w:tmpl w:val="A45A8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713F4A40"/>
    <w:multiLevelType w:val="hybridMultilevel"/>
    <w:tmpl w:val="982653E4"/>
    <w:lvl w:ilvl="0" w:tplc="D096C36E">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2" w15:restartNumberingAfterBreak="0">
    <w:nsid w:val="720612F4"/>
    <w:multiLevelType w:val="hybridMultilevel"/>
    <w:tmpl w:val="9C76D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72AA4201"/>
    <w:multiLevelType w:val="hybridMultilevel"/>
    <w:tmpl w:val="B12C82F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14" w15:restartNumberingAfterBreak="0">
    <w:nsid w:val="73346265"/>
    <w:multiLevelType w:val="hybridMultilevel"/>
    <w:tmpl w:val="346A2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73BE0DDD"/>
    <w:multiLevelType w:val="hybridMultilevel"/>
    <w:tmpl w:val="12802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747A4E5D"/>
    <w:multiLevelType w:val="hybridMultilevel"/>
    <w:tmpl w:val="1F78A5B6"/>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755217EF"/>
    <w:multiLevelType w:val="hybridMultilevel"/>
    <w:tmpl w:val="C4045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763B1362"/>
    <w:multiLevelType w:val="hybridMultilevel"/>
    <w:tmpl w:val="91561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76BA0C12"/>
    <w:multiLevelType w:val="hybridMultilevel"/>
    <w:tmpl w:val="6BC60B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76CA6C2D"/>
    <w:multiLevelType w:val="hybridMultilevel"/>
    <w:tmpl w:val="3DC2964A"/>
    <w:lvl w:ilvl="0" w:tplc="22C8970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780E7F24"/>
    <w:multiLevelType w:val="hybridMultilevel"/>
    <w:tmpl w:val="BFA6DE04"/>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22" w15:restartNumberingAfterBreak="0">
    <w:nsid w:val="78831DC2"/>
    <w:multiLevelType w:val="hybridMultilevel"/>
    <w:tmpl w:val="898E7F6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3" w15:restartNumberingAfterBreak="0">
    <w:nsid w:val="798833D9"/>
    <w:multiLevelType w:val="hybridMultilevel"/>
    <w:tmpl w:val="B1A6C1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79B032FF"/>
    <w:multiLevelType w:val="hybridMultilevel"/>
    <w:tmpl w:val="9CD417FA"/>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ED76655C">
      <w:start w:val="259"/>
      <w:numFmt w:val="decimal"/>
      <w:lvlText w:val="%3"/>
      <w:lvlJc w:val="left"/>
      <w:pPr>
        <w:ind w:left="2160" w:hanging="360"/>
      </w:pPr>
      <w:rPr>
        <w:rFonts w:hint="default"/>
        <w:b/>
      </w:rPr>
    </w:lvl>
    <w:lvl w:ilvl="3" w:tplc="144AD368">
      <w:start w:val="1"/>
      <w:numFmt w:val="upperLetter"/>
      <w:lvlText w:val="%4."/>
      <w:lvlJc w:val="left"/>
      <w:pPr>
        <w:ind w:left="2880" w:hanging="360"/>
      </w:pPr>
      <w:rPr>
        <w:rFonts w:hint="default"/>
      </w:rPr>
    </w:lvl>
    <w:lvl w:ilvl="4" w:tplc="5ABC75F2">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79B30A36"/>
    <w:multiLevelType w:val="hybridMultilevel"/>
    <w:tmpl w:val="F144482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7A486DD8"/>
    <w:multiLevelType w:val="hybridMultilevel"/>
    <w:tmpl w:val="9DE8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7A696D38"/>
    <w:multiLevelType w:val="hybridMultilevel"/>
    <w:tmpl w:val="7D189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7B0F4EA1"/>
    <w:multiLevelType w:val="hybridMultilevel"/>
    <w:tmpl w:val="2C368696"/>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7B303067"/>
    <w:multiLevelType w:val="hybridMultilevel"/>
    <w:tmpl w:val="20605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7BA422BF"/>
    <w:multiLevelType w:val="hybridMultilevel"/>
    <w:tmpl w:val="43BACC66"/>
    <w:lvl w:ilvl="0" w:tplc="08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7BC62EF2"/>
    <w:multiLevelType w:val="hybridMultilevel"/>
    <w:tmpl w:val="7F02E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7C2E4BE1"/>
    <w:multiLevelType w:val="hybridMultilevel"/>
    <w:tmpl w:val="6E24D9F4"/>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233" w15:restartNumberingAfterBreak="0">
    <w:nsid w:val="7CD25790"/>
    <w:multiLevelType w:val="hybridMultilevel"/>
    <w:tmpl w:val="0988FD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7D075B84"/>
    <w:multiLevelType w:val="hybridMultilevel"/>
    <w:tmpl w:val="572A3D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5" w15:restartNumberingAfterBreak="0">
    <w:nsid w:val="7E3D45F0"/>
    <w:multiLevelType w:val="hybridMultilevel"/>
    <w:tmpl w:val="B91CE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7F455911"/>
    <w:multiLevelType w:val="hybridMultilevel"/>
    <w:tmpl w:val="6AD6F7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7" w15:restartNumberingAfterBreak="0">
    <w:nsid w:val="7FBA4F16"/>
    <w:multiLevelType w:val="hybridMultilevel"/>
    <w:tmpl w:val="69E60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8"/>
  </w:num>
  <w:num w:numId="2">
    <w:abstractNumId w:val="176"/>
  </w:num>
  <w:num w:numId="3">
    <w:abstractNumId w:val="179"/>
  </w:num>
  <w:num w:numId="4">
    <w:abstractNumId w:val="31"/>
  </w:num>
  <w:num w:numId="5">
    <w:abstractNumId w:val="106"/>
  </w:num>
  <w:num w:numId="6">
    <w:abstractNumId w:val="163"/>
  </w:num>
  <w:num w:numId="7">
    <w:abstractNumId w:val="201"/>
  </w:num>
  <w:num w:numId="8">
    <w:abstractNumId w:val="14"/>
  </w:num>
  <w:num w:numId="9">
    <w:abstractNumId w:val="82"/>
  </w:num>
  <w:num w:numId="10">
    <w:abstractNumId w:val="224"/>
  </w:num>
  <w:num w:numId="11">
    <w:abstractNumId w:val="175"/>
  </w:num>
  <w:num w:numId="12">
    <w:abstractNumId w:val="115"/>
  </w:num>
  <w:num w:numId="13">
    <w:abstractNumId w:val="92"/>
  </w:num>
  <w:num w:numId="14">
    <w:abstractNumId w:val="174"/>
  </w:num>
  <w:num w:numId="15">
    <w:abstractNumId w:val="67"/>
  </w:num>
  <w:num w:numId="16">
    <w:abstractNumId w:val="177"/>
  </w:num>
  <w:num w:numId="17">
    <w:abstractNumId w:val="21"/>
  </w:num>
  <w:num w:numId="18">
    <w:abstractNumId w:val="170"/>
  </w:num>
  <w:num w:numId="19">
    <w:abstractNumId w:val="192"/>
  </w:num>
  <w:num w:numId="20">
    <w:abstractNumId w:val="211"/>
  </w:num>
  <w:num w:numId="21">
    <w:abstractNumId w:val="199"/>
  </w:num>
  <w:num w:numId="22">
    <w:abstractNumId w:val="35"/>
  </w:num>
  <w:num w:numId="23">
    <w:abstractNumId w:val="137"/>
  </w:num>
  <w:num w:numId="24">
    <w:abstractNumId w:val="103"/>
  </w:num>
  <w:num w:numId="25">
    <w:abstractNumId w:val="105"/>
  </w:num>
  <w:num w:numId="26">
    <w:abstractNumId w:val="23"/>
  </w:num>
  <w:num w:numId="27">
    <w:abstractNumId w:val="61"/>
  </w:num>
  <w:num w:numId="28">
    <w:abstractNumId w:val="180"/>
  </w:num>
  <w:num w:numId="29">
    <w:abstractNumId w:val="198"/>
  </w:num>
  <w:num w:numId="30">
    <w:abstractNumId w:val="8"/>
  </w:num>
  <w:num w:numId="31">
    <w:abstractNumId w:val="70"/>
  </w:num>
  <w:num w:numId="32">
    <w:abstractNumId w:val="188"/>
  </w:num>
  <w:num w:numId="33">
    <w:abstractNumId w:val="16"/>
  </w:num>
  <w:num w:numId="34">
    <w:abstractNumId w:val="78"/>
  </w:num>
  <w:num w:numId="35">
    <w:abstractNumId w:val="191"/>
  </w:num>
  <w:num w:numId="36">
    <w:abstractNumId w:val="34"/>
  </w:num>
  <w:num w:numId="37">
    <w:abstractNumId w:val="97"/>
  </w:num>
  <w:num w:numId="38">
    <w:abstractNumId w:val="59"/>
  </w:num>
  <w:num w:numId="39">
    <w:abstractNumId w:val="149"/>
  </w:num>
  <w:num w:numId="40">
    <w:abstractNumId w:val="74"/>
  </w:num>
  <w:num w:numId="41">
    <w:abstractNumId w:val="160"/>
  </w:num>
  <w:num w:numId="42">
    <w:abstractNumId w:val="63"/>
  </w:num>
  <w:num w:numId="43">
    <w:abstractNumId w:val="36"/>
  </w:num>
  <w:num w:numId="44">
    <w:abstractNumId w:val="214"/>
  </w:num>
  <w:num w:numId="45">
    <w:abstractNumId w:val="113"/>
  </w:num>
  <w:num w:numId="46">
    <w:abstractNumId w:val="229"/>
  </w:num>
  <w:num w:numId="47">
    <w:abstractNumId w:val="168"/>
  </w:num>
  <w:num w:numId="48">
    <w:abstractNumId w:val="65"/>
  </w:num>
  <w:num w:numId="49">
    <w:abstractNumId w:val="139"/>
  </w:num>
  <w:num w:numId="50">
    <w:abstractNumId w:val="195"/>
  </w:num>
  <w:num w:numId="51">
    <w:abstractNumId w:val="193"/>
  </w:num>
  <w:num w:numId="52">
    <w:abstractNumId w:val="18"/>
  </w:num>
  <w:num w:numId="53">
    <w:abstractNumId w:val="135"/>
  </w:num>
  <w:num w:numId="54">
    <w:abstractNumId w:val="171"/>
  </w:num>
  <w:num w:numId="55">
    <w:abstractNumId w:val="2"/>
  </w:num>
  <w:num w:numId="56">
    <w:abstractNumId w:val="215"/>
  </w:num>
  <w:num w:numId="57">
    <w:abstractNumId w:val="212"/>
  </w:num>
  <w:num w:numId="58">
    <w:abstractNumId w:val="136"/>
  </w:num>
  <w:num w:numId="59">
    <w:abstractNumId w:val="75"/>
  </w:num>
  <w:num w:numId="60">
    <w:abstractNumId w:val="99"/>
  </w:num>
  <w:num w:numId="61">
    <w:abstractNumId w:val="80"/>
  </w:num>
  <w:num w:numId="62">
    <w:abstractNumId w:val="101"/>
  </w:num>
  <w:num w:numId="63">
    <w:abstractNumId w:val="129"/>
  </w:num>
  <w:num w:numId="64">
    <w:abstractNumId w:val="217"/>
  </w:num>
  <w:num w:numId="65">
    <w:abstractNumId w:val="52"/>
  </w:num>
  <w:num w:numId="66">
    <w:abstractNumId w:val="203"/>
  </w:num>
  <w:num w:numId="67">
    <w:abstractNumId w:val="27"/>
  </w:num>
  <w:num w:numId="68">
    <w:abstractNumId w:val="190"/>
  </w:num>
  <w:num w:numId="69">
    <w:abstractNumId w:val="104"/>
  </w:num>
  <w:num w:numId="70">
    <w:abstractNumId w:val="87"/>
  </w:num>
  <w:num w:numId="71">
    <w:abstractNumId w:val="39"/>
  </w:num>
  <w:num w:numId="72">
    <w:abstractNumId w:val="44"/>
  </w:num>
  <w:num w:numId="73">
    <w:abstractNumId w:val="77"/>
  </w:num>
  <w:num w:numId="74">
    <w:abstractNumId w:val="13"/>
  </w:num>
  <w:num w:numId="75">
    <w:abstractNumId w:val="62"/>
  </w:num>
  <w:num w:numId="76">
    <w:abstractNumId w:val="48"/>
  </w:num>
  <w:num w:numId="77">
    <w:abstractNumId w:val="19"/>
  </w:num>
  <w:num w:numId="78">
    <w:abstractNumId w:val="66"/>
  </w:num>
  <w:num w:numId="79">
    <w:abstractNumId w:val="216"/>
  </w:num>
  <w:num w:numId="80">
    <w:abstractNumId w:val="64"/>
  </w:num>
  <w:num w:numId="81">
    <w:abstractNumId w:val="145"/>
  </w:num>
  <w:num w:numId="82">
    <w:abstractNumId w:val="47"/>
  </w:num>
  <w:num w:numId="83">
    <w:abstractNumId w:val="207"/>
  </w:num>
  <w:num w:numId="84">
    <w:abstractNumId w:val="4"/>
  </w:num>
  <w:num w:numId="85">
    <w:abstractNumId w:val="107"/>
  </w:num>
  <w:num w:numId="86">
    <w:abstractNumId w:val="22"/>
  </w:num>
  <w:num w:numId="87">
    <w:abstractNumId w:val="73"/>
  </w:num>
  <w:num w:numId="88">
    <w:abstractNumId w:val="83"/>
  </w:num>
  <w:num w:numId="89">
    <w:abstractNumId w:val="42"/>
  </w:num>
  <w:num w:numId="90">
    <w:abstractNumId w:val="54"/>
  </w:num>
  <w:num w:numId="91">
    <w:abstractNumId w:val="28"/>
  </w:num>
  <w:num w:numId="92">
    <w:abstractNumId w:val="33"/>
  </w:num>
  <w:num w:numId="93">
    <w:abstractNumId w:val="6"/>
  </w:num>
  <w:num w:numId="94">
    <w:abstractNumId w:val="40"/>
  </w:num>
  <w:num w:numId="95">
    <w:abstractNumId w:val="151"/>
  </w:num>
  <w:num w:numId="96">
    <w:abstractNumId w:val="89"/>
  </w:num>
  <w:num w:numId="97">
    <w:abstractNumId w:val="178"/>
  </w:num>
  <w:num w:numId="98">
    <w:abstractNumId w:val="93"/>
  </w:num>
  <w:num w:numId="99">
    <w:abstractNumId w:val="230"/>
  </w:num>
  <w:num w:numId="100">
    <w:abstractNumId w:val="128"/>
  </w:num>
  <w:num w:numId="101">
    <w:abstractNumId w:val="186"/>
  </w:num>
  <w:num w:numId="102">
    <w:abstractNumId w:val="90"/>
  </w:num>
  <w:num w:numId="103">
    <w:abstractNumId w:val="219"/>
  </w:num>
  <w:num w:numId="104">
    <w:abstractNumId w:val="116"/>
  </w:num>
  <w:num w:numId="10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20"/>
  </w:num>
  <w:num w:numId="108">
    <w:abstractNumId w:val="226"/>
  </w:num>
  <w:num w:numId="109">
    <w:abstractNumId w:val="155"/>
  </w:num>
  <w:num w:numId="110">
    <w:abstractNumId w:val="68"/>
  </w:num>
  <w:num w:numId="111">
    <w:abstractNumId w:val="25"/>
  </w:num>
  <w:num w:numId="112">
    <w:abstractNumId w:val="232"/>
  </w:num>
  <w:num w:numId="113">
    <w:abstractNumId w:val="88"/>
  </w:num>
  <w:num w:numId="114">
    <w:abstractNumId w:val="161"/>
  </w:num>
  <w:num w:numId="115">
    <w:abstractNumId w:val="108"/>
  </w:num>
  <w:num w:numId="116">
    <w:abstractNumId w:val="51"/>
  </w:num>
  <w:num w:numId="117">
    <w:abstractNumId w:val="122"/>
  </w:num>
  <w:num w:numId="118">
    <w:abstractNumId w:val="218"/>
  </w:num>
  <w:num w:numId="119">
    <w:abstractNumId w:val="204"/>
  </w:num>
  <w:num w:numId="120">
    <w:abstractNumId w:val="86"/>
  </w:num>
  <w:num w:numId="121">
    <w:abstractNumId w:val="37"/>
  </w:num>
  <w:num w:numId="122">
    <w:abstractNumId w:val="95"/>
  </w:num>
  <w:num w:numId="123">
    <w:abstractNumId w:val="126"/>
  </w:num>
  <w:num w:numId="124">
    <w:abstractNumId w:val="1"/>
  </w:num>
  <w:num w:numId="125">
    <w:abstractNumId w:val="173"/>
  </w:num>
  <w:num w:numId="126">
    <w:abstractNumId w:val="172"/>
  </w:num>
  <w:num w:numId="127">
    <w:abstractNumId w:val="130"/>
  </w:num>
  <w:num w:numId="128">
    <w:abstractNumId w:val="159"/>
  </w:num>
  <w:num w:numId="129">
    <w:abstractNumId w:val="55"/>
  </w:num>
  <w:num w:numId="130">
    <w:abstractNumId w:val="183"/>
  </w:num>
  <w:num w:numId="131">
    <w:abstractNumId w:val="118"/>
  </w:num>
  <w:num w:numId="132">
    <w:abstractNumId w:val="148"/>
  </w:num>
  <w:num w:numId="133">
    <w:abstractNumId w:val="150"/>
  </w:num>
  <w:num w:numId="134">
    <w:abstractNumId w:val="235"/>
  </w:num>
  <w:num w:numId="135">
    <w:abstractNumId w:val="121"/>
  </w:num>
  <w:num w:numId="136">
    <w:abstractNumId w:val="182"/>
  </w:num>
  <w:num w:numId="137">
    <w:abstractNumId w:val="152"/>
  </w:num>
  <w:num w:numId="138">
    <w:abstractNumId w:val="206"/>
  </w:num>
  <w:num w:numId="139">
    <w:abstractNumId w:val="32"/>
  </w:num>
  <w:num w:numId="140">
    <w:abstractNumId w:val="144"/>
  </w:num>
  <w:num w:numId="141">
    <w:abstractNumId w:val="138"/>
  </w:num>
  <w:num w:numId="142">
    <w:abstractNumId w:val="15"/>
  </w:num>
  <w:num w:numId="143">
    <w:abstractNumId w:val="114"/>
  </w:num>
  <w:num w:numId="144">
    <w:abstractNumId w:val="205"/>
  </w:num>
  <w:num w:numId="145">
    <w:abstractNumId w:val="7"/>
  </w:num>
  <w:num w:numId="146">
    <w:abstractNumId w:val="79"/>
  </w:num>
  <w:num w:numId="147">
    <w:abstractNumId w:val="187"/>
  </w:num>
  <w:num w:numId="148">
    <w:abstractNumId w:val="58"/>
  </w:num>
  <w:num w:numId="149">
    <w:abstractNumId w:val="167"/>
  </w:num>
  <w:num w:numId="150">
    <w:abstractNumId w:val="38"/>
  </w:num>
  <w:num w:numId="151">
    <w:abstractNumId w:val="169"/>
  </w:num>
  <w:num w:numId="152">
    <w:abstractNumId w:val="46"/>
  </w:num>
  <w:num w:numId="153">
    <w:abstractNumId w:val="194"/>
  </w:num>
  <w:num w:numId="154">
    <w:abstractNumId w:val="166"/>
  </w:num>
  <w:num w:numId="155">
    <w:abstractNumId w:val="24"/>
  </w:num>
  <w:num w:numId="156">
    <w:abstractNumId w:val="223"/>
  </w:num>
  <w:num w:numId="157">
    <w:abstractNumId w:val="26"/>
  </w:num>
  <w:num w:numId="158">
    <w:abstractNumId w:val="30"/>
  </w:num>
  <w:num w:numId="159">
    <w:abstractNumId w:val="11"/>
  </w:num>
  <w:num w:numId="160">
    <w:abstractNumId w:val="17"/>
  </w:num>
  <w:num w:numId="161">
    <w:abstractNumId w:val="43"/>
  </w:num>
  <w:num w:numId="162">
    <w:abstractNumId w:val="208"/>
  </w:num>
  <w:num w:numId="163">
    <w:abstractNumId w:val="196"/>
  </w:num>
  <w:num w:numId="164">
    <w:abstractNumId w:val="49"/>
  </w:num>
  <w:num w:numId="165">
    <w:abstractNumId w:val="132"/>
  </w:num>
  <w:num w:numId="166">
    <w:abstractNumId w:val="102"/>
  </w:num>
  <w:num w:numId="167">
    <w:abstractNumId w:val="127"/>
  </w:num>
  <w:num w:numId="168">
    <w:abstractNumId w:val="233"/>
  </w:num>
  <w:num w:numId="169">
    <w:abstractNumId w:val="164"/>
  </w:num>
  <w:num w:numId="170">
    <w:abstractNumId w:val="165"/>
  </w:num>
  <w:num w:numId="171">
    <w:abstractNumId w:val="146"/>
  </w:num>
  <w:num w:numId="172">
    <w:abstractNumId w:val="131"/>
  </w:num>
  <w:num w:numId="173">
    <w:abstractNumId w:val="141"/>
  </w:num>
  <w:num w:numId="174">
    <w:abstractNumId w:val="84"/>
  </w:num>
  <w:num w:numId="175">
    <w:abstractNumId w:val="29"/>
  </w:num>
  <w:num w:numId="176">
    <w:abstractNumId w:val="222"/>
  </w:num>
  <w:num w:numId="177">
    <w:abstractNumId w:val="162"/>
  </w:num>
  <w:num w:numId="178">
    <w:abstractNumId w:val="120"/>
  </w:num>
  <w:num w:numId="17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53"/>
  </w:num>
  <w:num w:numId="223">
    <w:abstractNumId w:val="200"/>
  </w:num>
  <w:num w:numId="224">
    <w:abstractNumId w:val="60"/>
  </w:num>
  <w:num w:numId="225">
    <w:abstractNumId w:val="76"/>
  </w:num>
  <w:num w:numId="226">
    <w:abstractNumId w:val="50"/>
  </w:num>
  <w:num w:numId="227">
    <w:abstractNumId w:val="236"/>
  </w:num>
  <w:num w:numId="228">
    <w:abstractNumId w:val="133"/>
  </w:num>
  <w:num w:numId="229">
    <w:abstractNumId w:val="210"/>
  </w:num>
  <w:num w:numId="230">
    <w:abstractNumId w:val="112"/>
  </w:num>
  <w:num w:numId="231">
    <w:abstractNumId w:val="221"/>
  </w:num>
  <w:num w:numId="232">
    <w:abstractNumId w:val="123"/>
  </w:num>
  <w:num w:numId="233">
    <w:abstractNumId w:val="206"/>
  </w:num>
  <w:num w:numId="234">
    <w:abstractNumId w:val="157"/>
  </w:num>
  <w:num w:numId="235">
    <w:abstractNumId w:val="227"/>
  </w:num>
  <w:num w:numId="236">
    <w:abstractNumId w:val="157"/>
  </w:num>
  <w:num w:numId="237">
    <w:abstractNumId w:val="45"/>
  </w:num>
  <w:num w:numId="238">
    <w:abstractNumId w:val="24"/>
  </w:num>
  <w:num w:numId="239">
    <w:abstractNumId w:val="102"/>
  </w:num>
  <w:num w:numId="240">
    <w:abstractNumId w:val="11"/>
  </w:num>
  <w:num w:numId="241">
    <w:abstractNumId w:val="134"/>
  </w:num>
  <w:num w:numId="242">
    <w:abstractNumId w:val="234"/>
  </w:num>
  <w:num w:numId="243">
    <w:abstractNumId w:val="231"/>
  </w:num>
  <w:num w:numId="244">
    <w:abstractNumId w:val="53"/>
  </w:num>
  <w:num w:numId="245">
    <w:abstractNumId w:val="12"/>
  </w:num>
  <w:num w:numId="246">
    <w:abstractNumId w:val="72"/>
  </w:num>
  <w:num w:numId="247">
    <w:abstractNumId w:val="184"/>
  </w:num>
  <w:num w:numId="248">
    <w:abstractNumId w:val="184"/>
  </w:num>
  <w:num w:numId="249">
    <w:abstractNumId w:val="3"/>
  </w:num>
  <w:num w:numId="25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17"/>
  </w:num>
  <w:num w:numId="252">
    <w:abstractNumId w:val="109"/>
  </w:num>
  <w:num w:numId="253">
    <w:abstractNumId w:val="20"/>
  </w:num>
  <w:num w:numId="254">
    <w:abstractNumId w:val="5"/>
  </w:num>
  <w:num w:numId="255">
    <w:abstractNumId w:val="140"/>
  </w:num>
  <w:num w:numId="256">
    <w:abstractNumId w:val="125"/>
  </w:num>
  <w:num w:numId="257">
    <w:abstractNumId w:val="110"/>
  </w:num>
  <w:num w:numId="258">
    <w:abstractNumId w:val="9"/>
  </w:num>
  <w:num w:numId="259">
    <w:abstractNumId w:val="57"/>
  </w:num>
  <w:num w:numId="260">
    <w:abstractNumId w:val="81"/>
  </w:num>
  <w:num w:numId="261">
    <w:abstractNumId w:val="209"/>
  </w:num>
  <w:num w:numId="262">
    <w:abstractNumId w:val="71"/>
  </w:num>
  <w:num w:numId="263">
    <w:abstractNumId w:val="189"/>
  </w:num>
  <w:num w:numId="264">
    <w:abstractNumId w:val="96"/>
  </w:num>
  <w:num w:numId="265">
    <w:abstractNumId w:val="181"/>
  </w:num>
  <w:num w:numId="266">
    <w:abstractNumId w:val="143"/>
  </w:num>
  <w:num w:numId="267">
    <w:abstractNumId w:val="142"/>
  </w:num>
  <w:num w:numId="268">
    <w:abstractNumId w:val="147"/>
  </w:num>
  <w:num w:numId="269">
    <w:abstractNumId w:val="41"/>
  </w:num>
  <w:num w:numId="270">
    <w:abstractNumId w:val="202"/>
  </w:num>
  <w:num w:numId="271">
    <w:abstractNumId w:val="158"/>
  </w:num>
  <w:num w:numId="272">
    <w:abstractNumId w:val="213"/>
  </w:num>
  <w:num w:numId="273">
    <w:abstractNumId w:val="0"/>
  </w:num>
  <w:num w:numId="274">
    <w:abstractNumId w:val="85"/>
  </w:num>
  <w:num w:numId="275">
    <w:abstractNumId w:val="56"/>
  </w:num>
  <w:num w:numId="276">
    <w:abstractNumId w:val="96"/>
  </w:num>
  <w:num w:numId="277">
    <w:abstractNumId w:val="96"/>
  </w:num>
  <w:num w:numId="278">
    <w:abstractNumId w:val="98"/>
  </w:num>
  <w:num w:numId="279">
    <w:abstractNumId w:val="111"/>
  </w:num>
  <w:num w:numId="280">
    <w:abstractNumId w:val="225"/>
  </w:num>
  <w:num w:numId="281">
    <w:abstractNumId w:val="91"/>
  </w:num>
  <w:num w:numId="282">
    <w:abstractNumId w:val="10"/>
  </w:num>
  <w:num w:numId="283">
    <w:abstractNumId w:val="69"/>
  </w:num>
  <w:num w:numId="284">
    <w:abstractNumId w:val="100"/>
  </w:num>
  <w:num w:numId="285">
    <w:abstractNumId w:val="124"/>
  </w:num>
  <w:num w:numId="286">
    <w:abstractNumId w:val="197"/>
  </w:num>
  <w:num w:numId="287">
    <w:abstractNumId w:val="156"/>
  </w:num>
  <w:num w:numId="288">
    <w:abstractNumId w:val="185"/>
  </w:num>
  <w:num w:numId="289">
    <w:abstractNumId w:val="237"/>
  </w:num>
  <w:num w:numId="290">
    <w:abstractNumId w:val="119"/>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45"/>
    <w:rsid w:val="000000F8"/>
    <w:rsid w:val="00000135"/>
    <w:rsid w:val="0000028B"/>
    <w:rsid w:val="000002F7"/>
    <w:rsid w:val="000003F4"/>
    <w:rsid w:val="000003FD"/>
    <w:rsid w:val="0000072D"/>
    <w:rsid w:val="00000970"/>
    <w:rsid w:val="00000A30"/>
    <w:rsid w:val="00000B09"/>
    <w:rsid w:val="00000B19"/>
    <w:rsid w:val="00000DC7"/>
    <w:rsid w:val="00000EAD"/>
    <w:rsid w:val="00001248"/>
    <w:rsid w:val="0000169E"/>
    <w:rsid w:val="000017D4"/>
    <w:rsid w:val="000019EF"/>
    <w:rsid w:val="00001B01"/>
    <w:rsid w:val="00001B45"/>
    <w:rsid w:val="00001BCD"/>
    <w:rsid w:val="00001BD4"/>
    <w:rsid w:val="00001C11"/>
    <w:rsid w:val="00001C2B"/>
    <w:rsid w:val="00001CD5"/>
    <w:rsid w:val="000020F5"/>
    <w:rsid w:val="000021B3"/>
    <w:rsid w:val="0000221F"/>
    <w:rsid w:val="0000281B"/>
    <w:rsid w:val="000028ED"/>
    <w:rsid w:val="00002A60"/>
    <w:rsid w:val="00002CC7"/>
    <w:rsid w:val="00002DAB"/>
    <w:rsid w:val="00003128"/>
    <w:rsid w:val="000031E9"/>
    <w:rsid w:val="0000324F"/>
    <w:rsid w:val="00003309"/>
    <w:rsid w:val="0000342B"/>
    <w:rsid w:val="000036AC"/>
    <w:rsid w:val="0000381E"/>
    <w:rsid w:val="00003902"/>
    <w:rsid w:val="00003B3A"/>
    <w:rsid w:val="00003CFC"/>
    <w:rsid w:val="00003F8C"/>
    <w:rsid w:val="00004022"/>
    <w:rsid w:val="000042C0"/>
    <w:rsid w:val="000044AC"/>
    <w:rsid w:val="00004686"/>
    <w:rsid w:val="00004977"/>
    <w:rsid w:val="00004D4B"/>
    <w:rsid w:val="00004DE4"/>
    <w:rsid w:val="0000511D"/>
    <w:rsid w:val="00005323"/>
    <w:rsid w:val="000054F0"/>
    <w:rsid w:val="000056BE"/>
    <w:rsid w:val="000058B8"/>
    <w:rsid w:val="000058C9"/>
    <w:rsid w:val="000059C4"/>
    <w:rsid w:val="00005C91"/>
    <w:rsid w:val="00005D34"/>
    <w:rsid w:val="00005F20"/>
    <w:rsid w:val="00006183"/>
    <w:rsid w:val="00006200"/>
    <w:rsid w:val="00006626"/>
    <w:rsid w:val="000066F1"/>
    <w:rsid w:val="000068E2"/>
    <w:rsid w:val="00006C00"/>
    <w:rsid w:val="00006DC5"/>
    <w:rsid w:val="00007188"/>
    <w:rsid w:val="000072E3"/>
    <w:rsid w:val="00007317"/>
    <w:rsid w:val="000073A1"/>
    <w:rsid w:val="0000740B"/>
    <w:rsid w:val="000075A3"/>
    <w:rsid w:val="00007758"/>
    <w:rsid w:val="000079B4"/>
    <w:rsid w:val="00007D26"/>
    <w:rsid w:val="00007D3F"/>
    <w:rsid w:val="00007DBF"/>
    <w:rsid w:val="00007E37"/>
    <w:rsid w:val="0001013B"/>
    <w:rsid w:val="000104B4"/>
    <w:rsid w:val="000104BE"/>
    <w:rsid w:val="00010659"/>
    <w:rsid w:val="00010B25"/>
    <w:rsid w:val="00010B73"/>
    <w:rsid w:val="00010C71"/>
    <w:rsid w:val="00010C8A"/>
    <w:rsid w:val="00010DA2"/>
    <w:rsid w:val="00010E8D"/>
    <w:rsid w:val="00011157"/>
    <w:rsid w:val="00011661"/>
    <w:rsid w:val="0001171E"/>
    <w:rsid w:val="00011855"/>
    <w:rsid w:val="00011C6D"/>
    <w:rsid w:val="00011D02"/>
    <w:rsid w:val="00012006"/>
    <w:rsid w:val="0001248F"/>
    <w:rsid w:val="00012602"/>
    <w:rsid w:val="00012A2F"/>
    <w:rsid w:val="00012CDA"/>
    <w:rsid w:val="0001312B"/>
    <w:rsid w:val="00013319"/>
    <w:rsid w:val="00013980"/>
    <w:rsid w:val="00013CCC"/>
    <w:rsid w:val="00013E0F"/>
    <w:rsid w:val="00013E8D"/>
    <w:rsid w:val="000140F3"/>
    <w:rsid w:val="00014136"/>
    <w:rsid w:val="0001445C"/>
    <w:rsid w:val="00014596"/>
    <w:rsid w:val="000145B0"/>
    <w:rsid w:val="0001461E"/>
    <w:rsid w:val="000147C4"/>
    <w:rsid w:val="000148B2"/>
    <w:rsid w:val="0001497F"/>
    <w:rsid w:val="000152E9"/>
    <w:rsid w:val="0001546A"/>
    <w:rsid w:val="000156E6"/>
    <w:rsid w:val="000156FE"/>
    <w:rsid w:val="000158B7"/>
    <w:rsid w:val="000159B0"/>
    <w:rsid w:val="00015BE2"/>
    <w:rsid w:val="0001615E"/>
    <w:rsid w:val="00016254"/>
    <w:rsid w:val="00016299"/>
    <w:rsid w:val="000162F2"/>
    <w:rsid w:val="000162F8"/>
    <w:rsid w:val="0001669F"/>
    <w:rsid w:val="000166D8"/>
    <w:rsid w:val="00016A65"/>
    <w:rsid w:val="00016ADE"/>
    <w:rsid w:val="00016B0D"/>
    <w:rsid w:val="00016C02"/>
    <w:rsid w:val="00016DAC"/>
    <w:rsid w:val="00017364"/>
    <w:rsid w:val="00017696"/>
    <w:rsid w:val="00017942"/>
    <w:rsid w:val="00017965"/>
    <w:rsid w:val="00017994"/>
    <w:rsid w:val="00017C31"/>
    <w:rsid w:val="00017C6D"/>
    <w:rsid w:val="00017D98"/>
    <w:rsid w:val="00017FEE"/>
    <w:rsid w:val="00020061"/>
    <w:rsid w:val="000200EF"/>
    <w:rsid w:val="0002036F"/>
    <w:rsid w:val="00020940"/>
    <w:rsid w:val="00020A40"/>
    <w:rsid w:val="00020A96"/>
    <w:rsid w:val="00020D5D"/>
    <w:rsid w:val="00020FCE"/>
    <w:rsid w:val="00021083"/>
    <w:rsid w:val="000210F1"/>
    <w:rsid w:val="0002113A"/>
    <w:rsid w:val="000212ED"/>
    <w:rsid w:val="0002166D"/>
    <w:rsid w:val="000218E3"/>
    <w:rsid w:val="00021962"/>
    <w:rsid w:val="00021B3D"/>
    <w:rsid w:val="00021C79"/>
    <w:rsid w:val="0002222C"/>
    <w:rsid w:val="0002245E"/>
    <w:rsid w:val="00022593"/>
    <w:rsid w:val="00022827"/>
    <w:rsid w:val="000228E6"/>
    <w:rsid w:val="00022A5A"/>
    <w:rsid w:val="00022BFC"/>
    <w:rsid w:val="00022F73"/>
    <w:rsid w:val="00022FB7"/>
    <w:rsid w:val="00023038"/>
    <w:rsid w:val="00023314"/>
    <w:rsid w:val="00023326"/>
    <w:rsid w:val="000233F1"/>
    <w:rsid w:val="00023886"/>
    <w:rsid w:val="00023CB1"/>
    <w:rsid w:val="00023D32"/>
    <w:rsid w:val="00023D7E"/>
    <w:rsid w:val="0002415A"/>
    <w:rsid w:val="000242E9"/>
    <w:rsid w:val="00024330"/>
    <w:rsid w:val="000245EB"/>
    <w:rsid w:val="00024704"/>
    <w:rsid w:val="00024BB6"/>
    <w:rsid w:val="00024D6F"/>
    <w:rsid w:val="00024DEE"/>
    <w:rsid w:val="00024E6C"/>
    <w:rsid w:val="00024E73"/>
    <w:rsid w:val="00024F2E"/>
    <w:rsid w:val="00024F9D"/>
    <w:rsid w:val="000251E2"/>
    <w:rsid w:val="000255F3"/>
    <w:rsid w:val="000258EC"/>
    <w:rsid w:val="000259BF"/>
    <w:rsid w:val="00026017"/>
    <w:rsid w:val="0002607D"/>
    <w:rsid w:val="00026133"/>
    <w:rsid w:val="0002654B"/>
    <w:rsid w:val="000267E1"/>
    <w:rsid w:val="0002690E"/>
    <w:rsid w:val="00026A83"/>
    <w:rsid w:val="00026F3C"/>
    <w:rsid w:val="00026F6B"/>
    <w:rsid w:val="000272C7"/>
    <w:rsid w:val="00027737"/>
    <w:rsid w:val="00027801"/>
    <w:rsid w:val="00027B89"/>
    <w:rsid w:val="000301C1"/>
    <w:rsid w:val="0003049A"/>
    <w:rsid w:val="00030757"/>
    <w:rsid w:val="0003099A"/>
    <w:rsid w:val="00030E78"/>
    <w:rsid w:val="00031050"/>
    <w:rsid w:val="00031124"/>
    <w:rsid w:val="0003114F"/>
    <w:rsid w:val="0003119F"/>
    <w:rsid w:val="00031409"/>
    <w:rsid w:val="0003160D"/>
    <w:rsid w:val="0003177F"/>
    <w:rsid w:val="00031A53"/>
    <w:rsid w:val="00031A9F"/>
    <w:rsid w:val="00031B65"/>
    <w:rsid w:val="00031BF1"/>
    <w:rsid w:val="00031E5D"/>
    <w:rsid w:val="00031F6B"/>
    <w:rsid w:val="00032541"/>
    <w:rsid w:val="00032988"/>
    <w:rsid w:val="00032995"/>
    <w:rsid w:val="0003299F"/>
    <w:rsid w:val="00032CD3"/>
    <w:rsid w:val="00032E55"/>
    <w:rsid w:val="00032E73"/>
    <w:rsid w:val="00033029"/>
    <w:rsid w:val="000334A8"/>
    <w:rsid w:val="00033CEC"/>
    <w:rsid w:val="00033D10"/>
    <w:rsid w:val="00033E96"/>
    <w:rsid w:val="000340AC"/>
    <w:rsid w:val="0003438C"/>
    <w:rsid w:val="000344F7"/>
    <w:rsid w:val="0003456B"/>
    <w:rsid w:val="0003466B"/>
    <w:rsid w:val="0003478A"/>
    <w:rsid w:val="000347B1"/>
    <w:rsid w:val="00034BBD"/>
    <w:rsid w:val="00034E9A"/>
    <w:rsid w:val="0003534A"/>
    <w:rsid w:val="000353D1"/>
    <w:rsid w:val="00035402"/>
    <w:rsid w:val="00035530"/>
    <w:rsid w:val="0003596C"/>
    <w:rsid w:val="0003599B"/>
    <w:rsid w:val="00035BA7"/>
    <w:rsid w:val="00035CAC"/>
    <w:rsid w:val="00035E7D"/>
    <w:rsid w:val="00035F0F"/>
    <w:rsid w:val="0003616F"/>
    <w:rsid w:val="000362EB"/>
    <w:rsid w:val="00036700"/>
    <w:rsid w:val="000367AE"/>
    <w:rsid w:val="0003689C"/>
    <w:rsid w:val="00036AC1"/>
    <w:rsid w:val="00036B6D"/>
    <w:rsid w:val="00036B85"/>
    <w:rsid w:val="00036C51"/>
    <w:rsid w:val="00036C7E"/>
    <w:rsid w:val="00036CBD"/>
    <w:rsid w:val="00036DF8"/>
    <w:rsid w:val="000372D4"/>
    <w:rsid w:val="000373FA"/>
    <w:rsid w:val="00037569"/>
    <w:rsid w:val="00037589"/>
    <w:rsid w:val="000375DF"/>
    <w:rsid w:val="00037620"/>
    <w:rsid w:val="00037898"/>
    <w:rsid w:val="00037955"/>
    <w:rsid w:val="000379D4"/>
    <w:rsid w:val="00037A73"/>
    <w:rsid w:val="00037E12"/>
    <w:rsid w:val="00037E22"/>
    <w:rsid w:val="00037F1A"/>
    <w:rsid w:val="000408B7"/>
    <w:rsid w:val="0004090B"/>
    <w:rsid w:val="0004093C"/>
    <w:rsid w:val="00040C41"/>
    <w:rsid w:val="00040C99"/>
    <w:rsid w:val="00040DAA"/>
    <w:rsid w:val="00040ED3"/>
    <w:rsid w:val="000410A0"/>
    <w:rsid w:val="000410A2"/>
    <w:rsid w:val="000411FA"/>
    <w:rsid w:val="000416D0"/>
    <w:rsid w:val="0004172E"/>
    <w:rsid w:val="0004193C"/>
    <w:rsid w:val="00041C12"/>
    <w:rsid w:val="00041D45"/>
    <w:rsid w:val="00042064"/>
    <w:rsid w:val="00042151"/>
    <w:rsid w:val="00042290"/>
    <w:rsid w:val="000431E7"/>
    <w:rsid w:val="000435F5"/>
    <w:rsid w:val="00043681"/>
    <w:rsid w:val="00043AF4"/>
    <w:rsid w:val="00043BAD"/>
    <w:rsid w:val="00043DEA"/>
    <w:rsid w:val="00044109"/>
    <w:rsid w:val="000442A6"/>
    <w:rsid w:val="00044442"/>
    <w:rsid w:val="00044667"/>
    <w:rsid w:val="00044888"/>
    <w:rsid w:val="00044B98"/>
    <w:rsid w:val="00044D1D"/>
    <w:rsid w:val="00044EF3"/>
    <w:rsid w:val="00044FA9"/>
    <w:rsid w:val="00045058"/>
    <w:rsid w:val="0004507E"/>
    <w:rsid w:val="00045691"/>
    <w:rsid w:val="00045730"/>
    <w:rsid w:val="00045758"/>
    <w:rsid w:val="0004587C"/>
    <w:rsid w:val="00045B66"/>
    <w:rsid w:val="00045DAB"/>
    <w:rsid w:val="00045E31"/>
    <w:rsid w:val="000462A8"/>
    <w:rsid w:val="000462B3"/>
    <w:rsid w:val="0004670E"/>
    <w:rsid w:val="0004679F"/>
    <w:rsid w:val="000467AC"/>
    <w:rsid w:val="00046816"/>
    <w:rsid w:val="00046BA2"/>
    <w:rsid w:val="00046C20"/>
    <w:rsid w:val="00046EC7"/>
    <w:rsid w:val="00047233"/>
    <w:rsid w:val="000473F8"/>
    <w:rsid w:val="000479D1"/>
    <w:rsid w:val="00047D2B"/>
    <w:rsid w:val="00050148"/>
    <w:rsid w:val="0005040A"/>
    <w:rsid w:val="000504F7"/>
    <w:rsid w:val="00050720"/>
    <w:rsid w:val="00050B15"/>
    <w:rsid w:val="00050B23"/>
    <w:rsid w:val="00050BA8"/>
    <w:rsid w:val="00050C83"/>
    <w:rsid w:val="000510D1"/>
    <w:rsid w:val="0005116D"/>
    <w:rsid w:val="000514C7"/>
    <w:rsid w:val="0005188E"/>
    <w:rsid w:val="00051915"/>
    <w:rsid w:val="00051B88"/>
    <w:rsid w:val="00051BF9"/>
    <w:rsid w:val="00051CED"/>
    <w:rsid w:val="00051CFD"/>
    <w:rsid w:val="00051D91"/>
    <w:rsid w:val="00051ED1"/>
    <w:rsid w:val="000520C4"/>
    <w:rsid w:val="000522F2"/>
    <w:rsid w:val="0005236B"/>
    <w:rsid w:val="00052650"/>
    <w:rsid w:val="0005273E"/>
    <w:rsid w:val="000528D9"/>
    <w:rsid w:val="00052ABA"/>
    <w:rsid w:val="00052AE7"/>
    <w:rsid w:val="00052EC2"/>
    <w:rsid w:val="00052EE5"/>
    <w:rsid w:val="000535F2"/>
    <w:rsid w:val="000538C0"/>
    <w:rsid w:val="00053A4E"/>
    <w:rsid w:val="00053D7E"/>
    <w:rsid w:val="00054193"/>
    <w:rsid w:val="000541A9"/>
    <w:rsid w:val="00054243"/>
    <w:rsid w:val="00054257"/>
    <w:rsid w:val="0005431C"/>
    <w:rsid w:val="000545B7"/>
    <w:rsid w:val="00054691"/>
    <w:rsid w:val="00054734"/>
    <w:rsid w:val="0005495A"/>
    <w:rsid w:val="000549BB"/>
    <w:rsid w:val="00054D3D"/>
    <w:rsid w:val="00054DC4"/>
    <w:rsid w:val="00054E27"/>
    <w:rsid w:val="000552B3"/>
    <w:rsid w:val="000556E9"/>
    <w:rsid w:val="0005578B"/>
    <w:rsid w:val="00055905"/>
    <w:rsid w:val="00055D91"/>
    <w:rsid w:val="00055EA0"/>
    <w:rsid w:val="0005634D"/>
    <w:rsid w:val="00056373"/>
    <w:rsid w:val="00056437"/>
    <w:rsid w:val="00056617"/>
    <w:rsid w:val="000566C4"/>
    <w:rsid w:val="0005671F"/>
    <w:rsid w:val="0005692D"/>
    <w:rsid w:val="00056C6A"/>
    <w:rsid w:val="00056CBD"/>
    <w:rsid w:val="00057113"/>
    <w:rsid w:val="00057A34"/>
    <w:rsid w:val="00057A72"/>
    <w:rsid w:val="00057C67"/>
    <w:rsid w:val="00057F51"/>
    <w:rsid w:val="00057FE1"/>
    <w:rsid w:val="00060224"/>
    <w:rsid w:val="000607D0"/>
    <w:rsid w:val="0006088B"/>
    <w:rsid w:val="000608D4"/>
    <w:rsid w:val="00060C8D"/>
    <w:rsid w:val="00060DB7"/>
    <w:rsid w:val="00060E2F"/>
    <w:rsid w:val="000610CA"/>
    <w:rsid w:val="000614CE"/>
    <w:rsid w:val="000615D4"/>
    <w:rsid w:val="00061606"/>
    <w:rsid w:val="00061621"/>
    <w:rsid w:val="00061688"/>
    <w:rsid w:val="00061CAD"/>
    <w:rsid w:val="00061FF5"/>
    <w:rsid w:val="000624C3"/>
    <w:rsid w:val="00062596"/>
    <w:rsid w:val="000631F7"/>
    <w:rsid w:val="0006343F"/>
    <w:rsid w:val="000634E6"/>
    <w:rsid w:val="0006364B"/>
    <w:rsid w:val="000637AC"/>
    <w:rsid w:val="000637ED"/>
    <w:rsid w:val="00063FD0"/>
    <w:rsid w:val="0006425E"/>
    <w:rsid w:val="000642E9"/>
    <w:rsid w:val="00064729"/>
    <w:rsid w:val="00064827"/>
    <w:rsid w:val="000649D7"/>
    <w:rsid w:val="000649FA"/>
    <w:rsid w:val="00064BC6"/>
    <w:rsid w:val="00064C51"/>
    <w:rsid w:val="00064E73"/>
    <w:rsid w:val="00065007"/>
    <w:rsid w:val="000654B5"/>
    <w:rsid w:val="0006559E"/>
    <w:rsid w:val="00065745"/>
    <w:rsid w:val="00065B12"/>
    <w:rsid w:val="00065EFD"/>
    <w:rsid w:val="00065F91"/>
    <w:rsid w:val="0006670D"/>
    <w:rsid w:val="00066744"/>
    <w:rsid w:val="000667C0"/>
    <w:rsid w:val="0006699B"/>
    <w:rsid w:val="00066AFD"/>
    <w:rsid w:val="00066EDD"/>
    <w:rsid w:val="000671D6"/>
    <w:rsid w:val="00067357"/>
    <w:rsid w:val="000674B2"/>
    <w:rsid w:val="000675FE"/>
    <w:rsid w:val="0006790E"/>
    <w:rsid w:val="000679B6"/>
    <w:rsid w:val="000679BD"/>
    <w:rsid w:val="00067B15"/>
    <w:rsid w:val="00067BA5"/>
    <w:rsid w:val="00067F1E"/>
    <w:rsid w:val="00070345"/>
    <w:rsid w:val="00070583"/>
    <w:rsid w:val="0007067B"/>
    <w:rsid w:val="0007080C"/>
    <w:rsid w:val="00070A20"/>
    <w:rsid w:val="00070CBF"/>
    <w:rsid w:val="00070EF6"/>
    <w:rsid w:val="00070F22"/>
    <w:rsid w:val="0007122E"/>
    <w:rsid w:val="00071432"/>
    <w:rsid w:val="00071483"/>
    <w:rsid w:val="000714C7"/>
    <w:rsid w:val="000719D2"/>
    <w:rsid w:val="00072037"/>
    <w:rsid w:val="00072049"/>
    <w:rsid w:val="0007208B"/>
    <w:rsid w:val="0007208D"/>
    <w:rsid w:val="000720D9"/>
    <w:rsid w:val="000720FD"/>
    <w:rsid w:val="000722AC"/>
    <w:rsid w:val="000722D7"/>
    <w:rsid w:val="0007237F"/>
    <w:rsid w:val="00072506"/>
    <w:rsid w:val="0007252F"/>
    <w:rsid w:val="00072538"/>
    <w:rsid w:val="000725D0"/>
    <w:rsid w:val="00072679"/>
    <w:rsid w:val="00072C59"/>
    <w:rsid w:val="00072CAC"/>
    <w:rsid w:val="00072CFA"/>
    <w:rsid w:val="00072D7A"/>
    <w:rsid w:val="00072EE4"/>
    <w:rsid w:val="00073023"/>
    <w:rsid w:val="0007317B"/>
    <w:rsid w:val="0007317C"/>
    <w:rsid w:val="00073287"/>
    <w:rsid w:val="000732D8"/>
    <w:rsid w:val="00073400"/>
    <w:rsid w:val="0007340E"/>
    <w:rsid w:val="000735EE"/>
    <w:rsid w:val="0007366A"/>
    <w:rsid w:val="000738DC"/>
    <w:rsid w:val="00073ABF"/>
    <w:rsid w:val="00073FEA"/>
    <w:rsid w:val="0007422D"/>
    <w:rsid w:val="000743AE"/>
    <w:rsid w:val="00074609"/>
    <w:rsid w:val="00074809"/>
    <w:rsid w:val="00074864"/>
    <w:rsid w:val="00074B2D"/>
    <w:rsid w:val="00074B50"/>
    <w:rsid w:val="00074B70"/>
    <w:rsid w:val="00074BCE"/>
    <w:rsid w:val="00074C87"/>
    <w:rsid w:val="00074D45"/>
    <w:rsid w:val="00074D93"/>
    <w:rsid w:val="00075087"/>
    <w:rsid w:val="00075221"/>
    <w:rsid w:val="000752C0"/>
    <w:rsid w:val="000755AD"/>
    <w:rsid w:val="00075747"/>
    <w:rsid w:val="00075765"/>
    <w:rsid w:val="00075811"/>
    <w:rsid w:val="00075961"/>
    <w:rsid w:val="00075D5E"/>
    <w:rsid w:val="00075F9D"/>
    <w:rsid w:val="000762FF"/>
    <w:rsid w:val="000764C8"/>
    <w:rsid w:val="0007657E"/>
    <w:rsid w:val="000766C9"/>
    <w:rsid w:val="0007673D"/>
    <w:rsid w:val="00076864"/>
    <w:rsid w:val="000768E2"/>
    <w:rsid w:val="00077057"/>
    <w:rsid w:val="0007725E"/>
    <w:rsid w:val="0007736C"/>
    <w:rsid w:val="000774AD"/>
    <w:rsid w:val="000778A4"/>
    <w:rsid w:val="00077B43"/>
    <w:rsid w:val="00077C38"/>
    <w:rsid w:val="00080173"/>
    <w:rsid w:val="00080558"/>
    <w:rsid w:val="0008057D"/>
    <w:rsid w:val="000806D9"/>
    <w:rsid w:val="0008076D"/>
    <w:rsid w:val="00080A5C"/>
    <w:rsid w:val="00080AB8"/>
    <w:rsid w:val="00080BB5"/>
    <w:rsid w:val="00080C39"/>
    <w:rsid w:val="000810CA"/>
    <w:rsid w:val="00081512"/>
    <w:rsid w:val="00081D07"/>
    <w:rsid w:val="00081D8E"/>
    <w:rsid w:val="00081E36"/>
    <w:rsid w:val="00082037"/>
    <w:rsid w:val="00082309"/>
    <w:rsid w:val="000826D9"/>
    <w:rsid w:val="00082A8A"/>
    <w:rsid w:val="00082BB3"/>
    <w:rsid w:val="00082C15"/>
    <w:rsid w:val="00082C1F"/>
    <w:rsid w:val="00082EDC"/>
    <w:rsid w:val="0008309C"/>
    <w:rsid w:val="000831F6"/>
    <w:rsid w:val="0008330B"/>
    <w:rsid w:val="0008349E"/>
    <w:rsid w:val="00083787"/>
    <w:rsid w:val="00083904"/>
    <w:rsid w:val="00083B67"/>
    <w:rsid w:val="00083B89"/>
    <w:rsid w:val="00083C39"/>
    <w:rsid w:val="00083CAF"/>
    <w:rsid w:val="00083DEB"/>
    <w:rsid w:val="00083F67"/>
    <w:rsid w:val="000844EE"/>
    <w:rsid w:val="00084564"/>
    <w:rsid w:val="000845F5"/>
    <w:rsid w:val="000846DE"/>
    <w:rsid w:val="0008488B"/>
    <w:rsid w:val="00084AE0"/>
    <w:rsid w:val="00084E03"/>
    <w:rsid w:val="000854DA"/>
    <w:rsid w:val="000855BE"/>
    <w:rsid w:val="00085629"/>
    <w:rsid w:val="00085A27"/>
    <w:rsid w:val="00085D78"/>
    <w:rsid w:val="00086351"/>
    <w:rsid w:val="0008639E"/>
    <w:rsid w:val="000863D1"/>
    <w:rsid w:val="0008651E"/>
    <w:rsid w:val="000867C7"/>
    <w:rsid w:val="00086A7C"/>
    <w:rsid w:val="00086C90"/>
    <w:rsid w:val="00086EA2"/>
    <w:rsid w:val="00086EF7"/>
    <w:rsid w:val="00086FB0"/>
    <w:rsid w:val="00087559"/>
    <w:rsid w:val="00087663"/>
    <w:rsid w:val="000877D3"/>
    <w:rsid w:val="0008783D"/>
    <w:rsid w:val="0008793F"/>
    <w:rsid w:val="00087AAF"/>
    <w:rsid w:val="00087B0A"/>
    <w:rsid w:val="00087BE6"/>
    <w:rsid w:val="0009059E"/>
    <w:rsid w:val="00090614"/>
    <w:rsid w:val="00090714"/>
    <w:rsid w:val="00090C76"/>
    <w:rsid w:val="00090E38"/>
    <w:rsid w:val="0009116C"/>
    <w:rsid w:val="000916AA"/>
    <w:rsid w:val="00091B6F"/>
    <w:rsid w:val="00091BC7"/>
    <w:rsid w:val="00092132"/>
    <w:rsid w:val="00092154"/>
    <w:rsid w:val="00092260"/>
    <w:rsid w:val="00092693"/>
    <w:rsid w:val="00092A54"/>
    <w:rsid w:val="00092CA0"/>
    <w:rsid w:val="00092EC7"/>
    <w:rsid w:val="000932B6"/>
    <w:rsid w:val="00093329"/>
    <w:rsid w:val="00093364"/>
    <w:rsid w:val="00093395"/>
    <w:rsid w:val="000933D0"/>
    <w:rsid w:val="000933D4"/>
    <w:rsid w:val="00093492"/>
    <w:rsid w:val="00093571"/>
    <w:rsid w:val="00093920"/>
    <w:rsid w:val="00093975"/>
    <w:rsid w:val="00093B9F"/>
    <w:rsid w:val="00093C8E"/>
    <w:rsid w:val="00093DFA"/>
    <w:rsid w:val="00093E49"/>
    <w:rsid w:val="00093EB7"/>
    <w:rsid w:val="000943B4"/>
    <w:rsid w:val="00094501"/>
    <w:rsid w:val="0009494C"/>
    <w:rsid w:val="00094999"/>
    <w:rsid w:val="000949C8"/>
    <w:rsid w:val="00094A18"/>
    <w:rsid w:val="00094ABD"/>
    <w:rsid w:val="00094F33"/>
    <w:rsid w:val="00095035"/>
    <w:rsid w:val="00095037"/>
    <w:rsid w:val="0009539E"/>
    <w:rsid w:val="00095777"/>
    <w:rsid w:val="00095AB0"/>
    <w:rsid w:val="00095BC8"/>
    <w:rsid w:val="00095CFB"/>
    <w:rsid w:val="00095D78"/>
    <w:rsid w:val="00095F7E"/>
    <w:rsid w:val="000960AD"/>
    <w:rsid w:val="000960EF"/>
    <w:rsid w:val="0009611A"/>
    <w:rsid w:val="000961C0"/>
    <w:rsid w:val="00096A42"/>
    <w:rsid w:val="00096A5A"/>
    <w:rsid w:val="00096F33"/>
    <w:rsid w:val="000970A7"/>
    <w:rsid w:val="000970CF"/>
    <w:rsid w:val="00097148"/>
    <w:rsid w:val="000971FD"/>
    <w:rsid w:val="0009746F"/>
    <w:rsid w:val="000975A7"/>
    <w:rsid w:val="000976AD"/>
    <w:rsid w:val="0009772C"/>
    <w:rsid w:val="00097829"/>
    <w:rsid w:val="00097B62"/>
    <w:rsid w:val="00097DE5"/>
    <w:rsid w:val="000A0099"/>
    <w:rsid w:val="000A01D2"/>
    <w:rsid w:val="000A032E"/>
    <w:rsid w:val="000A03EE"/>
    <w:rsid w:val="000A04A6"/>
    <w:rsid w:val="000A0526"/>
    <w:rsid w:val="000A0754"/>
    <w:rsid w:val="000A079D"/>
    <w:rsid w:val="000A08E2"/>
    <w:rsid w:val="000A0A43"/>
    <w:rsid w:val="000A116A"/>
    <w:rsid w:val="000A1223"/>
    <w:rsid w:val="000A130C"/>
    <w:rsid w:val="000A1548"/>
    <w:rsid w:val="000A17E4"/>
    <w:rsid w:val="000A1A79"/>
    <w:rsid w:val="000A1B40"/>
    <w:rsid w:val="000A1BCD"/>
    <w:rsid w:val="000A1EB0"/>
    <w:rsid w:val="000A22FA"/>
    <w:rsid w:val="000A2A48"/>
    <w:rsid w:val="000A2BEA"/>
    <w:rsid w:val="000A2FBB"/>
    <w:rsid w:val="000A32BD"/>
    <w:rsid w:val="000A3349"/>
    <w:rsid w:val="000A34DA"/>
    <w:rsid w:val="000A37F2"/>
    <w:rsid w:val="000A3907"/>
    <w:rsid w:val="000A3ACD"/>
    <w:rsid w:val="000A3DD2"/>
    <w:rsid w:val="000A407B"/>
    <w:rsid w:val="000A4303"/>
    <w:rsid w:val="000A4610"/>
    <w:rsid w:val="000A4792"/>
    <w:rsid w:val="000A4957"/>
    <w:rsid w:val="000A4B26"/>
    <w:rsid w:val="000A4B69"/>
    <w:rsid w:val="000A4DB3"/>
    <w:rsid w:val="000A5CC6"/>
    <w:rsid w:val="000A62D0"/>
    <w:rsid w:val="000A65E1"/>
    <w:rsid w:val="000A66A7"/>
    <w:rsid w:val="000A66BD"/>
    <w:rsid w:val="000A690E"/>
    <w:rsid w:val="000A6BA3"/>
    <w:rsid w:val="000A6E63"/>
    <w:rsid w:val="000A6EEA"/>
    <w:rsid w:val="000A7146"/>
    <w:rsid w:val="000A726A"/>
    <w:rsid w:val="000A73B9"/>
    <w:rsid w:val="000A76E3"/>
    <w:rsid w:val="000A7897"/>
    <w:rsid w:val="000A7B25"/>
    <w:rsid w:val="000A7CC1"/>
    <w:rsid w:val="000B00C1"/>
    <w:rsid w:val="000B0849"/>
    <w:rsid w:val="000B0903"/>
    <w:rsid w:val="000B0921"/>
    <w:rsid w:val="000B09A4"/>
    <w:rsid w:val="000B10E8"/>
    <w:rsid w:val="000B114A"/>
    <w:rsid w:val="000B128F"/>
    <w:rsid w:val="000B12D4"/>
    <w:rsid w:val="000B1581"/>
    <w:rsid w:val="000B163A"/>
    <w:rsid w:val="000B16D0"/>
    <w:rsid w:val="000B1913"/>
    <w:rsid w:val="000B19AF"/>
    <w:rsid w:val="000B1AF2"/>
    <w:rsid w:val="000B1B9D"/>
    <w:rsid w:val="000B220A"/>
    <w:rsid w:val="000B236D"/>
    <w:rsid w:val="000B26B8"/>
    <w:rsid w:val="000B27F9"/>
    <w:rsid w:val="000B2D85"/>
    <w:rsid w:val="000B2DDC"/>
    <w:rsid w:val="000B30EB"/>
    <w:rsid w:val="000B3222"/>
    <w:rsid w:val="000B3322"/>
    <w:rsid w:val="000B33E5"/>
    <w:rsid w:val="000B3595"/>
    <w:rsid w:val="000B3631"/>
    <w:rsid w:val="000B3724"/>
    <w:rsid w:val="000B3765"/>
    <w:rsid w:val="000B39AE"/>
    <w:rsid w:val="000B3ABE"/>
    <w:rsid w:val="000B3C7A"/>
    <w:rsid w:val="000B3E33"/>
    <w:rsid w:val="000B4017"/>
    <w:rsid w:val="000B45BE"/>
    <w:rsid w:val="000B472E"/>
    <w:rsid w:val="000B4984"/>
    <w:rsid w:val="000B4F92"/>
    <w:rsid w:val="000B518C"/>
    <w:rsid w:val="000B51A6"/>
    <w:rsid w:val="000B51D4"/>
    <w:rsid w:val="000B51E2"/>
    <w:rsid w:val="000B52EF"/>
    <w:rsid w:val="000B5574"/>
    <w:rsid w:val="000B59DD"/>
    <w:rsid w:val="000B5E68"/>
    <w:rsid w:val="000B5FAE"/>
    <w:rsid w:val="000B645E"/>
    <w:rsid w:val="000B6565"/>
    <w:rsid w:val="000B6679"/>
    <w:rsid w:val="000B68BA"/>
    <w:rsid w:val="000B6BD8"/>
    <w:rsid w:val="000B6E4F"/>
    <w:rsid w:val="000B6E65"/>
    <w:rsid w:val="000B6E71"/>
    <w:rsid w:val="000B7103"/>
    <w:rsid w:val="000B724E"/>
    <w:rsid w:val="000B729A"/>
    <w:rsid w:val="000B72E5"/>
    <w:rsid w:val="000B730A"/>
    <w:rsid w:val="000B737D"/>
    <w:rsid w:val="000B743B"/>
    <w:rsid w:val="000B7B71"/>
    <w:rsid w:val="000B7CF6"/>
    <w:rsid w:val="000B7ED2"/>
    <w:rsid w:val="000C00C2"/>
    <w:rsid w:val="000C023A"/>
    <w:rsid w:val="000C07D8"/>
    <w:rsid w:val="000C088B"/>
    <w:rsid w:val="000C0928"/>
    <w:rsid w:val="000C09F8"/>
    <w:rsid w:val="000C0B7A"/>
    <w:rsid w:val="000C0BF1"/>
    <w:rsid w:val="000C0BF4"/>
    <w:rsid w:val="000C0F2B"/>
    <w:rsid w:val="000C1087"/>
    <w:rsid w:val="000C1180"/>
    <w:rsid w:val="000C11E8"/>
    <w:rsid w:val="000C1254"/>
    <w:rsid w:val="000C15EA"/>
    <w:rsid w:val="000C15FE"/>
    <w:rsid w:val="000C1605"/>
    <w:rsid w:val="000C17C0"/>
    <w:rsid w:val="000C17D4"/>
    <w:rsid w:val="000C181B"/>
    <w:rsid w:val="000C1ED4"/>
    <w:rsid w:val="000C1F79"/>
    <w:rsid w:val="000C23E6"/>
    <w:rsid w:val="000C2470"/>
    <w:rsid w:val="000C28A1"/>
    <w:rsid w:val="000C2B56"/>
    <w:rsid w:val="000C2DFC"/>
    <w:rsid w:val="000C2EA6"/>
    <w:rsid w:val="000C2F41"/>
    <w:rsid w:val="000C3179"/>
    <w:rsid w:val="000C32BB"/>
    <w:rsid w:val="000C333D"/>
    <w:rsid w:val="000C346C"/>
    <w:rsid w:val="000C3494"/>
    <w:rsid w:val="000C3D83"/>
    <w:rsid w:val="000C3EB4"/>
    <w:rsid w:val="000C3F7A"/>
    <w:rsid w:val="000C4074"/>
    <w:rsid w:val="000C4913"/>
    <w:rsid w:val="000C493E"/>
    <w:rsid w:val="000C4BB2"/>
    <w:rsid w:val="000C4DE9"/>
    <w:rsid w:val="000C4F1B"/>
    <w:rsid w:val="000C5116"/>
    <w:rsid w:val="000C53A2"/>
    <w:rsid w:val="000C53BD"/>
    <w:rsid w:val="000C53D7"/>
    <w:rsid w:val="000C573D"/>
    <w:rsid w:val="000C5819"/>
    <w:rsid w:val="000C5E8C"/>
    <w:rsid w:val="000C5EB3"/>
    <w:rsid w:val="000C6089"/>
    <w:rsid w:val="000C62C3"/>
    <w:rsid w:val="000C639D"/>
    <w:rsid w:val="000C63CC"/>
    <w:rsid w:val="000C6F01"/>
    <w:rsid w:val="000C7257"/>
    <w:rsid w:val="000C73E7"/>
    <w:rsid w:val="000C782B"/>
    <w:rsid w:val="000C7A56"/>
    <w:rsid w:val="000C7EB2"/>
    <w:rsid w:val="000D007D"/>
    <w:rsid w:val="000D00AB"/>
    <w:rsid w:val="000D0152"/>
    <w:rsid w:val="000D0456"/>
    <w:rsid w:val="000D077A"/>
    <w:rsid w:val="000D080E"/>
    <w:rsid w:val="000D0813"/>
    <w:rsid w:val="000D0B30"/>
    <w:rsid w:val="000D0BD0"/>
    <w:rsid w:val="000D0E26"/>
    <w:rsid w:val="000D0E6B"/>
    <w:rsid w:val="000D0EDD"/>
    <w:rsid w:val="000D1073"/>
    <w:rsid w:val="000D145C"/>
    <w:rsid w:val="000D163D"/>
    <w:rsid w:val="000D18D1"/>
    <w:rsid w:val="000D199E"/>
    <w:rsid w:val="000D1CF3"/>
    <w:rsid w:val="000D1D04"/>
    <w:rsid w:val="000D1DF4"/>
    <w:rsid w:val="000D1F76"/>
    <w:rsid w:val="000D20B9"/>
    <w:rsid w:val="000D23E3"/>
    <w:rsid w:val="000D2A17"/>
    <w:rsid w:val="000D2A67"/>
    <w:rsid w:val="000D2C37"/>
    <w:rsid w:val="000D2EAD"/>
    <w:rsid w:val="000D302F"/>
    <w:rsid w:val="000D3094"/>
    <w:rsid w:val="000D3236"/>
    <w:rsid w:val="000D347D"/>
    <w:rsid w:val="000D34C5"/>
    <w:rsid w:val="000D352C"/>
    <w:rsid w:val="000D371C"/>
    <w:rsid w:val="000D37D8"/>
    <w:rsid w:val="000D3C2B"/>
    <w:rsid w:val="000D3C46"/>
    <w:rsid w:val="000D3E75"/>
    <w:rsid w:val="000D3F3F"/>
    <w:rsid w:val="000D3FD3"/>
    <w:rsid w:val="000D427A"/>
    <w:rsid w:val="000D4503"/>
    <w:rsid w:val="000D4540"/>
    <w:rsid w:val="000D4542"/>
    <w:rsid w:val="000D4807"/>
    <w:rsid w:val="000D48FD"/>
    <w:rsid w:val="000D4AFA"/>
    <w:rsid w:val="000D4BB2"/>
    <w:rsid w:val="000D4BBA"/>
    <w:rsid w:val="000D4DA8"/>
    <w:rsid w:val="000D55DA"/>
    <w:rsid w:val="000D56AC"/>
    <w:rsid w:val="000D5B65"/>
    <w:rsid w:val="000D5C70"/>
    <w:rsid w:val="000D5C8E"/>
    <w:rsid w:val="000D5D23"/>
    <w:rsid w:val="000D5F1A"/>
    <w:rsid w:val="000D5F26"/>
    <w:rsid w:val="000D5F5B"/>
    <w:rsid w:val="000D5FC9"/>
    <w:rsid w:val="000D62E0"/>
    <w:rsid w:val="000D683D"/>
    <w:rsid w:val="000D6947"/>
    <w:rsid w:val="000D6C0F"/>
    <w:rsid w:val="000D6E06"/>
    <w:rsid w:val="000D6E52"/>
    <w:rsid w:val="000D712C"/>
    <w:rsid w:val="000D71AE"/>
    <w:rsid w:val="000D73B2"/>
    <w:rsid w:val="000D7402"/>
    <w:rsid w:val="000D7454"/>
    <w:rsid w:val="000D7504"/>
    <w:rsid w:val="000D7AF9"/>
    <w:rsid w:val="000D7DF5"/>
    <w:rsid w:val="000D7E67"/>
    <w:rsid w:val="000E00CB"/>
    <w:rsid w:val="000E04EF"/>
    <w:rsid w:val="000E05CA"/>
    <w:rsid w:val="000E06F2"/>
    <w:rsid w:val="000E08C5"/>
    <w:rsid w:val="000E0997"/>
    <w:rsid w:val="000E0BBA"/>
    <w:rsid w:val="000E0C10"/>
    <w:rsid w:val="000E0C36"/>
    <w:rsid w:val="000E0D03"/>
    <w:rsid w:val="000E0DAD"/>
    <w:rsid w:val="000E0DD5"/>
    <w:rsid w:val="000E1033"/>
    <w:rsid w:val="000E10EC"/>
    <w:rsid w:val="000E1261"/>
    <w:rsid w:val="000E13AA"/>
    <w:rsid w:val="000E14D8"/>
    <w:rsid w:val="000E17DB"/>
    <w:rsid w:val="000E18F9"/>
    <w:rsid w:val="000E1B0B"/>
    <w:rsid w:val="000E1C54"/>
    <w:rsid w:val="000E1F15"/>
    <w:rsid w:val="000E1FBF"/>
    <w:rsid w:val="000E2335"/>
    <w:rsid w:val="000E258E"/>
    <w:rsid w:val="000E26E0"/>
    <w:rsid w:val="000E28F6"/>
    <w:rsid w:val="000E307A"/>
    <w:rsid w:val="000E3168"/>
    <w:rsid w:val="000E336C"/>
    <w:rsid w:val="000E36F3"/>
    <w:rsid w:val="000E3813"/>
    <w:rsid w:val="000E3946"/>
    <w:rsid w:val="000E3AF1"/>
    <w:rsid w:val="000E3B78"/>
    <w:rsid w:val="000E3F62"/>
    <w:rsid w:val="000E40BF"/>
    <w:rsid w:val="000E421F"/>
    <w:rsid w:val="000E444D"/>
    <w:rsid w:val="000E4473"/>
    <w:rsid w:val="000E47C5"/>
    <w:rsid w:val="000E47F9"/>
    <w:rsid w:val="000E49E7"/>
    <w:rsid w:val="000E4B03"/>
    <w:rsid w:val="000E4B81"/>
    <w:rsid w:val="000E4F3B"/>
    <w:rsid w:val="000E50A1"/>
    <w:rsid w:val="000E50D2"/>
    <w:rsid w:val="000E5120"/>
    <w:rsid w:val="000E5791"/>
    <w:rsid w:val="000E5887"/>
    <w:rsid w:val="000E5896"/>
    <w:rsid w:val="000E5931"/>
    <w:rsid w:val="000E593F"/>
    <w:rsid w:val="000E599A"/>
    <w:rsid w:val="000E5BEF"/>
    <w:rsid w:val="000E6048"/>
    <w:rsid w:val="000E61DE"/>
    <w:rsid w:val="000E6250"/>
    <w:rsid w:val="000E6920"/>
    <w:rsid w:val="000E6922"/>
    <w:rsid w:val="000E6C3B"/>
    <w:rsid w:val="000E715A"/>
    <w:rsid w:val="000E730A"/>
    <w:rsid w:val="000E774D"/>
    <w:rsid w:val="000E777C"/>
    <w:rsid w:val="000E7CAD"/>
    <w:rsid w:val="000E7D37"/>
    <w:rsid w:val="000F004E"/>
    <w:rsid w:val="000F01A0"/>
    <w:rsid w:val="000F0226"/>
    <w:rsid w:val="000F06B6"/>
    <w:rsid w:val="000F0786"/>
    <w:rsid w:val="000F0934"/>
    <w:rsid w:val="000F0A18"/>
    <w:rsid w:val="000F0B75"/>
    <w:rsid w:val="000F0C83"/>
    <w:rsid w:val="000F0FAD"/>
    <w:rsid w:val="000F137D"/>
    <w:rsid w:val="000F1517"/>
    <w:rsid w:val="000F1593"/>
    <w:rsid w:val="000F161E"/>
    <w:rsid w:val="000F1A33"/>
    <w:rsid w:val="000F200F"/>
    <w:rsid w:val="000F2078"/>
    <w:rsid w:val="000F218E"/>
    <w:rsid w:val="000F2320"/>
    <w:rsid w:val="000F24F9"/>
    <w:rsid w:val="000F2564"/>
    <w:rsid w:val="000F2944"/>
    <w:rsid w:val="000F2AF6"/>
    <w:rsid w:val="000F2E88"/>
    <w:rsid w:val="000F311A"/>
    <w:rsid w:val="000F3160"/>
    <w:rsid w:val="000F32D6"/>
    <w:rsid w:val="000F34C5"/>
    <w:rsid w:val="000F3591"/>
    <w:rsid w:val="000F389D"/>
    <w:rsid w:val="000F3914"/>
    <w:rsid w:val="000F3A07"/>
    <w:rsid w:val="000F3AAF"/>
    <w:rsid w:val="000F3B86"/>
    <w:rsid w:val="000F3C6C"/>
    <w:rsid w:val="000F3D69"/>
    <w:rsid w:val="000F40A2"/>
    <w:rsid w:val="000F40A4"/>
    <w:rsid w:val="000F412F"/>
    <w:rsid w:val="000F4142"/>
    <w:rsid w:val="000F4572"/>
    <w:rsid w:val="000F45EC"/>
    <w:rsid w:val="000F47C5"/>
    <w:rsid w:val="000F4920"/>
    <w:rsid w:val="000F4D26"/>
    <w:rsid w:val="000F4D95"/>
    <w:rsid w:val="000F4F14"/>
    <w:rsid w:val="000F50F5"/>
    <w:rsid w:val="000F5240"/>
    <w:rsid w:val="000F55EF"/>
    <w:rsid w:val="000F57EE"/>
    <w:rsid w:val="000F59ED"/>
    <w:rsid w:val="000F5A31"/>
    <w:rsid w:val="000F5C96"/>
    <w:rsid w:val="000F5F26"/>
    <w:rsid w:val="000F6062"/>
    <w:rsid w:val="000F62EA"/>
    <w:rsid w:val="000F65E3"/>
    <w:rsid w:val="000F691C"/>
    <w:rsid w:val="000F6E97"/>
    <w:rsid w:val="000F6E9C"/>
    <w:rsid w:val="000F6F23"/>
    <w:rsid w:val="000F71FA"/>
    <w:rsid w:val="000F7479"/>
    <w:rsid w:val="000F75A6"/>
    <w:rsid w:val="000F7AB4"/>
    <w:rsid w:val="000F7CD2"/>
    <w:rsid w:val="000F7E19"/>
    <w:rsid w:val="000F7E1F"/>
    <w:rsid w:val="000F7E51"/>
    <w:rsid w:val="000F7FB9"/>
    <w:rsid w:val="001001ED"/>
    <w:rsid w:val="0010029C"/>
    <w:rsid w:val="00100423"/>
    <w:rsid w:val="0010042D"/>
    <w:rsid w:val="0010052E"/>
    <w:rsid w:val="0010061C"/>
    <w:rsid w:val="00100671"/>
    <w:rsid w:val="001006C8"/>
    <w:rsid w:val="00100725"/>
    <w:rsid w:val="00100855"/>
    <w:rsid w:val="00100861"/>
    <w:rsid w:val="00100C56"/>
    <w:rsid w:val="00100C85"/>
    <w:rsid w:val="00100CA1"/>
    <w:rsid w:val="00100D07"/>
    <w:rsid w:val="00100E53"/>
    <w:rsid w:val="00100E75"/>
    <w:rsid w:val="001010C3"/>
    <w:rsid w:val="00101170"/>
    <w:rsid w:val="00101636"/>
    <w:rsid w:val="00101769"/>
    <w:rsid w:val="00101AE1"/>
    <w:rsid w:val="00101B98"/>
    <w:rsid w:val="00101C41"/>
    <w:rsid w:val="00101D44"/>
    <w:rsid w:val="00101F06"/>
    <w:rsid w:val="00101F23"/>
    <w:rsid w:val="00102293"/>
    <w:rsid w:val="00102395"/>
    <w:rsid w:val="00102ACB"/>
    <w:rsid w:val="00102AF3"/>
    <w:rsid w:val="00102F3F"/>
    <w:rsid w:val="00103215"/>
    <w:rsid w:val="0010324C"/>
    <w:rsid w:val="00103465"/>
    <w:rsid w:val="00103690"/>
    <w:rsid w:val="00103813"/>
    <w:rsid w:val="00103AF6"/>
    <w:rsid w:val="00103B49"/>
    <w:rsid w:val="00103C28"/>
    <w:rsid w:val="0010408E"/>
    <w:rsid w:val="00104646"/>
    <w:rsid w:val="001046CE"/>
    <w:rsid w:val="00104977"/>
    <w:rsid w:val="00104CD6"/>
    <w:rsid w:val="00104DEF"/>
    <w:rsid w:val="001051A1"/>
    <w:rsid w:val="001051C1"/>
    <w:rsid w:val="0010526F"/>
    <w:rsid w:val="00105399"/>
    <w:rsid w:val="00105530"/>
    <w:rsid w:val="00105676"/>
    <w:rsid w:val="001056CE"/>
    <w:rsid w:val="001057DC"/>
    <w:rsid w:val="00105E29"/>
    <w:rsid w:val="00105E67"/>
    <w:rsid w:val="0010600D"/>
    <w:rsid w:val="0010600F"/>
    <w:rsid w:val="001060EC"/>
    <w:rsid w:val="0010617F"/>
    <w:rsid w:val="001062E0"/>
    <w:rsid w:val="001062E6"/>
    <w:rsid w:val="00106CE2"/>
    <w:rsid w:val="00106FF1"/>
    <w:rsid w:val="001072A3"/>
    <w:rsid w:val="001073D8"/>
    <w:rsid w:val="001074B8"/>
    <w:rsid w:val="00107580"/>
    <w:rsid w:val="001076BF"/>
    <w:rsid w:val="00107954"/>
    <w:rsid w:val="00107983"/>
    <w:rsid w:val="00107BA3"/>
    <w:rsid w:val="00107F0B"/>
    <w:rsid w:val="00110013"/>
    <w:rsid w:val="0011002C"/>
    <w:rsid w:val="00110123"/>
    <w:rsid w:val="001101CF"/>
    <w:rsid w:val="00110434"/>
    <w:rsid w:val="00110833"/>
    <w:rsid w:val="00110984"/>
    <w:rsid w:val="00110A1C"/>
    <w:rsid w:val="00110BCC"/>
    <w:rsid w:val="00110BF8"/>
    <w:rsid w:val="00110CD1"/>
    <w:rsid w:val="0011121D"/>
    <w:rsid w:val="001112B4"/>
    <w:rsid w:val="001114CE"/>
    <w:rsid w:val="00111802"/>
    <w:rsid w:val="0011188D"/>
    <w:rsid w:val="001119E2"/>
    <w:rsid w:val="00111A14"/>
    <w:rsid w:val="00111DE1"/>
    <w:rsid w:val="00111DEC"/>
    <w:rsid w:val="00111FB7"/>
    <w:rsid w:val="001120CD"/>
    <w:rsid w:val="001126A4"/>
    <w:rsid w:val="001127DD"/>
    <w:rsid w:val="0011292E"/>
    <w:rsid w:val="00112A27"/>
    <w:rsid w:val="00112CC3"/>
    <w:rsid w:val="00112CF1"/>
    <w:rsid w:val="0011319C"/>
    <w:rsid w:val="001132E4"/>
    <w:rsid w:val="00113520"/>
    <w:rsid w:val="00113911"/>
    <w:rsid w:val="00113C06"/>
    <w:rsid w:val="00113CA3"/>
    <w:rsid w:val="00113CC6"/>
    <w:rsid w:val="00113F74"/>
    <w:rsid w:val="00114066"/>
    <w:rsid w:val="0011416C"/>
    <w:rsid w:val="0011444F"/>
    <w:rsid w:val="00114A65"/>
    <w:rsid w:val="00114E13"/>
    <w:rsid w:val="0011529F"/>
    <w:rsid w:val="001152BD"/>
    <w:rsid w:val="001153A6"/>
    <w:rsid w:val="00115580"/>
    <w:rsid w:val="0011575A"/>
    <w:rsid w:val="00115A58"/>
    <w:rsid w:val="00115EDA"/>
    <w:rsid w:val="00115FF7"/>
    <w:rsid w:val="0011610B"/>
    <w:rsid w:val="00116355"/>
    <w:rsid w:val="00116532"/>
    <w:rsid w:val="0011657F"/>
    <w:rsid w:val="00116608"/>
    <w:rsid w:val="00116742"/>
    <w:rsid w:val="001168B4"/>
    <w:rsid w:val="00116AAF"/>
    <w:rsid w:val="00116AF3"/>
    <w:rsid w:val="00116BBF"/>
    <w:rsid w:val="00116C8D"/>
    <w:rsid w:val="00116D7E"/>
    <w:rsid w:val="00117126"/>
    <w:rsid w:val="001173C8"/>
    <w:rsid w:val="001175C9"/>
    <w:rsid w:val="00117744"/>
    <w:rsid w:val="0011799D"/>
    <w:rsid w:val="00117F3B"/>
    <w:rsid w:val="0012091B"/>
    <w:rsid w:val="00120DA5"/>
    <w:rsid w:val="00120F9D"/>
    <w:rsid w:val="001210D9"/>
    <w:rsid w:val="00121191"/>
    <w:rsid w:val="00121A00"/>
    <w:rsid w:val="00121A4A"/>
    <w:rsid w:val="00121EC9"/>
    <w:rsid w:val="001220A0"/>
    <w:rsid w:val="001220BF"/>
    <w:rsid w:val="001222EA"/>
    <w:rsid w:val="00122311"/>
    <w:rsid w:val="00122991"/>
    <w:rsid w:val="00122AA4"/>
    <w:rsid w:val="00122B51"/>
    <w:rsid w:val="00122BB9"/>
    <w:rsid w:val="00123062"/>
    <w:rsid w:val="001231E6"/>
    <w:rsid w:val="0012320B"/>
    <w:rsid w:val="00123792"/>
    <w:rsid w:val="00123D7F"/>
    <w:rsid w:val="00123E61"/>
    <w:rsid w:val="00123E83"/>
    <w:rsid w:val="00123EB5"/>
    <w:rsid w:val="00124093"/>
    <w:rsid w:val="00124104"/>
    <w:rsid w:val="0012419E"/>
    <w:rsid w:val="001241F9"/>
    <w:rsid w:val="00124295"/>
    <w:rsid w:val="001242A8"/>
    <w:rsid w:val="0012432C"/>
    <w:rsid w:val="00124554"/>
    <w:rsid w:val="0012473B"/>
    <w:rsid w:val="001249E9"/>
    <w:rsid w:val="00124EC0"/>
    <w:rsid w:val="0012510A"/>
    <w:rsid w:val="00125535"/>
    <w:rsid w:val="00125B13"/>
    <w:rsid w:val="00125C57"/>
    <w:rsid w:val="001262A2"/>
    <w:rsid w:val="00126431"/>
    <w:rsid w:val="00126558"/>
    <w:rsid w:val="001265E4"/>
    <w:rsid w:val="0012668F"/>
    <w:rsid w:val="00126721"/>
    <w:rsid w:val="0012677E"/>
    <w:rsid w:val="001268C0"/>
    <w:rsid w:val="00126D41"/>
    <w:rsid w:val="00126FCA"/>
    <w:rsid w:val="001272F8"/>
    <w:rsid w:val="00127357"/>
    <w:rsid w:val="001273EE"/>
    <w:rsid w:val="001274F5"/>
    <w:rsid w:val="00127590"/>
    <w:rsid w:val="001275CE"/>
    <w:rsid w:val="001279D8"/>
    <w:rsid w:val="00127BFA"/>
    <w:rsid w:val="00127CA6"/>
    <w:rsid w:val="00130217"/>
    <w:rsid w:val="001303EC"/>
    <w:rsid w:val="00130437"/>
    <w:rsid w:val="00130651"/>
    <w:rsid w:val="001308CA"/>
    <w:rsid w:val="00130E1D"/>
    <w:rsid w:val="00130F29"/>
    <w:rsid w:val="0013109D"/>
    <w:rsid w:val="001312B4"/>
    <w:rsid w:val="001313B7"/>
    <w:rsid w:val="001314F9"/>
    <w:rsid w:val="0013161F"/>
    <w:rsid w:val="001316F0"/>
    <w:rsid w:val="00131860"/>
    <w:rsid w:val="00131A23"/>
    <w:rsid w:val="00131C5F"/>
    <w:rsid w:val="00131D69"/>
    <w:rsid w:val="00131E77"/>
    <w:rsid w:val="00132453"/>
    <w:rsid w:val="00132792"/>
    <w:rsid w:val="0013282A"/>
    <w:rsid w:val="00132A8B"/>
    <w:rsid w:val="00132C32"/>
    <w:rsid w:val="00132F20"/>
    <w:rsid w:val="0013309E"/>
    <w:rsid w:val="001333D8"/>
    <w:rsid w:val="00133678"/>
    <w:rsid w:val="0013379C"/>
    <w:rsid w:val="001337AA"/>
    <w:rsid w:val="001338F2"/>
    <w:rsid w:val="00133AAD"/>
    <w:rsid w:val="00133D18"/>
    <w:rsid w:val="00133EED"/>
    <w:rsid w:val="00133F58"/>
    <w:rsid w:val="00134201"/>
    <w:rsid w:val="001342AD"/>
    <w:rsid w:val="001342BB"/>
    <w:rsid w:val="00134399"/>
    <w:rsid w:val="00134807"/>
    <w:rsid w:val="00134A82"/>
    <w:rsid w:val="00134D7C"/>
    <w:rsid w:val="00134DEF"/>
    <w:rsid w:val="00134F93"/>
    <w:rsid w:val="00134FD0"/>
    <w:rsid w:val="0013538E"/>
    <w:rsid w:val="00135420"/>
    <w:rsid w:val="00135450"/>
    <w:rsid w:val="001355EE"/>
    <w:rsid w:val="00135731"/>
    <w:rsid w:val="00135BFD"/>
    <w:rsid w:val="00135E0B"/>
    <w:rsid w:val="00135E1F"/>
    <w:rsid w:val="00135ECA"/>
    <w:rsid w:val="00135FF7"/>
    <w:rsid w:val="00136186"/>
    <w:rsid w:val="00136204"/>
    <w:rsid w:val="0013699D"/>
    <w:rsid w:val="001369D8"/>
    <w:rsid w:val="00136B69"/>
    <w:rsid w:val="00136B76"/>
    <w:rsid w:val="00136D31"/>
    <w:rsid w:val="00136E55"/>
    <w:rsid w:val="00136E84"/>
    <w:rsid w:val="001375F4"/>
    <w:rsid w:val="0013782F"/>
    <w:rsid w:val="00137832"/>
    <w:rsid w:val="00137CC4"/>
    <w:rsid w:val="00137CFC"/>
    <w:rsid w:val="00137D4B"/>
    <w:rsid w:val="00137DA7"/>
    <w:rsid w:val="00137E9E"/>
    <w:rsid w:val="00137F58"/>
    <w:rsid w:val="001402DE"/>
    <w:rsid w:val="001403B2"/>
    <w:rsid w:val="0014048F"/>
    <w:rsid w:val="001406EF"/>
    <w:rsid w:val="0014075F"/>
    <w:rsid w:val="00140978"/>
    <w:rsid w:val="00141163"/>
    <w:rsid w:val="00141168"/>
    <w:rsid w:val="0014118C"/>
    <w:rsid w:val="00141392"/>
    <w:rsid w:val="00141510"/>
    <w:rsid w:val="001416C8"/>
    <w:rsid w:val="00141880"/>
    <w:rsid w:val="00141E23"/>
    <w:rsid w:val="00142728"/>
    <w:rsid w:val="00142849"/>
    <w:rsid w:val="00142997"/>
    <w:rsid w:val="001429D2"/>
    <w:rsid w:val="00142C5D"/>
    <w:rsid w:val="00142CAA"/>
    <w:rsid w:val="00142EDC"/>
    <w:rsid w:val="00143A5D"/>
    <w:rsid w:val="00143D07"/>
    <w:rsid w:val="00143D7E"/>
    <w:rsid w:val="00143F0A"/>
    <w:rsid w:val="001442C4"/>
    <w:rsid w:val="0014434B"/>
    <w:rsid w:val="00144433"/>
    <w:rsid w:val="0014457D"/>
    <w:rsid w:val="0014458D"/>
    <w:rsid w:val="0014496C"/>
    <w:rsid w:val="00144B3D"/>
    <w:rsid w:val="00144B87"/>
    <w:rsid w:val="00144CB5"/>
    <w:rsid w:val="00144DEC"/>
    <w:rsid w:val="00144E6D"/>
    <w:rsid w:val="00144F1F"/>
    <w:rsid w:val="001454D3"/>
    <w:rsid w:val="001454F6"/>
    <w:rsid w:val="00145D87"/>
    <w:rsid w:val="0014607B"/>
    <w:rsid w:val="0014628B"/>
    <w:rsid w:val="00146595"/>
    <w:rsid w:val="001466F2"/>
    <w:rsid w:val="0014678F"/>
    <w:rsid w:val="00146820"/>
    <w:rsid w:val="001468FD"/>
    <w:rsid w:val="00146A3C"/>
    <w:rsid w:val="00146DC0"/>
    <w:rsid w:val="00146F04"/>
    <w:rsid w:val="00147345"/>
    <w:rsid w:val="0014736D"/>
    <w:rsid w:val="00147637"/>
    <w:rsid w:val="0014787C"/>
    <w:rsid w:val="00147B69"/>
    <w:rsid w:val="00147C55"/>
    <w:rsid w:val="00147CB5"/>
    <w:rsid w:val="00147CFB"/>
    <w:rsid w:val="00150001"/>
    <w:rsid w:val="0015010A"/>
    <w:rsid w:val="001501F4"/>
    <w:rsid w:val="00150257"/>
    <w:rsid w:val="0015050C"/>
    <w:rsid w:val="0015052F"/>
    <w:rsid w:val="001505AE"/>
    <w:rsid w:val="0015061C"/>
    <w:rsid w:val="0015082A"/>
    <w:rsid w:val="001509B8"/>
    <w:rsid w:val="00150B42"/>
    <w:rsid w:val="00150D0A"/>
    <w:rsid w:val="00150EAC"/>
    <w:rsid w:val="00150FE0"/>
    <w:rsid w:val="0015114B"/>
    <w:rsid w:val="0015123B"/>
    <w:rsid w:val="00151690"/>
    <w:rsid w:val="00151DB1"/>
    <w:rsid w:val="00151DB9"/>
    <w:rsid w:val="00151F4F"/>
    <w:rsid w:val="00151F73"/>
    <w:rsid w:val="00151FEF"/>
    <w:rsid w:val="001520BE"/>
    <w:rsid w:val="00152601"/>
    <w:rsid w:val="0015293D"/>
    <w:rsid w:val="00152E61"/>
    <w:rsid w:val="00153189"/>
    <w:rsid w:val="00153312"/>
    <w:rsid w:val="001533E7"/>
    <w:rsid w:val="0015340D"/>
    <w:rsid w:val="00153692"/>
    <w:rsid w:val="001537DE"/>
    <w:rsid w:val="00153834"/>
    <w:rsid w:val="00153B26"/>
    <w:rsid w:val="00153B71"/>
    <w:rsid w:val="00153C15"/>
    <w:rsid w:val="00153C89"/>
    <w:rsid w:val="00153F2A"/>
    <w:rsid w:val="0015466C"/>
    <w:rsid w:val="001548A7"/>
    <w:rsid w:val="00154D5E"/>
    <w:rsid w:val="00154E2A"/>
    <w:rsid w:val="00154F55"/>
    <w:rsid w:val="0015509C"/>
    <w:rsid w:val="00155673"/>
    <w:rsid w:val="0015570E"/>
    <w:rsid w:val="00155873"/>
    <w:rsid w:val="00155935"/>
    <w:rsid w:val="00155DFC"/>
    <w:rsid w:val="00155E88"/>
    <w:rsid w:val="0015603E"/>
    <w:rsid w:val="001561DB"/>
    <w:rsid w:val="001562BF"/>
    <w:rsid w:val="001562F4"/>
    <w:rsid w:val="001563DA"/>
    <w:rsid w:val="00156825"/>
    <w:rsid w:val="00156887"/>
    <w:rsid w:val="00156C92"/>
    <w:rsid w:val="00156D07"/>
    <w:rsid w:val="0015782B"/>
    <w:rsid w:val="00157C5E"/>
    <w:rsid w:val="00157CB3"/>
    <w:rsid w:val="00157D21"/>
    <w:rsid w:val="00157DB5"/>
    <w:rsid w:val="00157DF4"/>
    <w:rsid w:val="00157F2B"/>
    <w:rsid w:val="00160014"/>
    <w:rsid w:val="0016009B"/>
    <w:rsid w:val="0016016E"/>
    <w:rsid w:val="0016026E"/>
    <w:rsid w:val="00160575"/>
    <w:rsid w:val="00160687"/>
    <w:rsid w:val="001606C4"/>
    <w:rsid w:val="00160782"/>
    <w:rsid w:val="00160952"/>
    <w:rsid w:val="00160AF6"/>
    <w:rsid w:val="00160B0D"/>
    <w:rsid w:val="00160B28"/>
    <w:rsid w:val="00160B8D"/>
    <w:rsid w:val="00160C40"/>
    <w:rsid w:val="00160FA5"/>
    <w:rsid w:val="0016101A"/>
    <w:rsid w:val="001610F8"/>
    <w:rsid w:val="001611C8"/>
    <w:rsid w:val="00161305"/>
    <w:rsid w:val="0016133F"/>
    <w:rsid w:val="00161525"/>
    <w:rsid w:val="0016174A"/>
    <w:rsid w:val="0016182A"/>
    <w:rsid w:val="00161E13"/>
    <w:rsid w:val="00161ED0"/>
    <w:rsid w:val="00161EEE"/>
    <w:rsid w:val="00161F57"/>
    <w:rsid w:val="0016239F"/>
    <w:rsid w:val="001623CE"/>
    <w:rsid w:val="001624FF"/>
    <w:rsid w:val="001626D8"/>
    <w:rsid w:val="001626FC"/>
    <w:rsid w:val="0016296A"/>
    <w:rsid w:val="00162CA4"/>
    <w:rsid w:val="00162DEE"/>
    <w:rsid w:val="00162EE5"/>
    <w:rsid w:val="00163164"/>
    <w:rsid w:val="001632F9"/>
    <w:rsid w:val="0016358F"/>
    <w:rsid w:val="00163944"/>
    <w:rsid w:val="0016395E"/>
    <w:rsid w:val="00163B09"/>
    <w:rsid w:val="00163B2D"/>
    <w:rsid w:val="00163BEB"/>
    <w:rsid w:val="00163C28"/>
    <w:rsid w:val="00163C99"/>
    <w:rsid w:val="00163FAE"/>
    <w:rsid w:val="00164312"/>
    <w:rsid w:val="00164338"/>
    <w:rsid w:val="0016439D"/>
    <w:rsid w:val="001645BF"/>
    <w:rsid w:val="00164E14"/>
    <w:rsid w:val="00164ED3"/>
    <w:rsid w:val="00165061"/>
    <w:rsid w:val="00165190"/>
    <w:rsid w:val="0016531E"/>
    <w:rsid w:val="00165378"/>
    <w:rsid w:val="0016548A"/>
    <w:rsid w:val="00165577"/>
    <w:rsid w:val="001655B9"/>
    <w:rsid w:val="00165928"/>
    <w:rsid w:val="00165980"/>
    <w:rsid w:val="00165DAB"/>
    <w:rsid w:val="00165F56"/>
    <w:rsid w:val="00165F99"/>
    <w:rsid w:val="001662C9"/>
    <w:rsid w:val="0016661A"/>
    <w:rsid w:val="00166913"/>
    <w:rsid w:val="00166B8E"/>
    <w:rsid w:val="00166FF4"/>
    <w:rsid w:val="0016702F"/>
    <w:rsid w:val="001670F9"/>
    <w:rsid w:val="0016717F"/>
    <w:rsid w:val="00167203"/>
    <w:rsid w:val="00167394"/>
    <w:rsid w:val="001673D1"/>
    <w:rsid w:val="00167555"/>
    <w:rsid w:val="00167599"/>
    <w:rsid w:val="00167747"/>
    <w:rsid w:val="001677AD"/>
    <w:rsid w:val="00167B0F"/>
    <w:rsid w:val="00167D7A"/>
    <w:rsid w:val="00167DB0"/>
    <w:rsid w:val="00167E92"/>
    <w:rsid w:val="00170298"/>
    <w:rsid w:val="001708B4"/>
    <w:rsid w:val="0017094D"/>
    <w:rsid w:val="00170BA9"/>
    <w:rsid w:val="00170C41"/>
    <w:rsid w:val="00170CC7"/>
    <w:rsid w:val="00170D45"/>
    <w:rsid w:val="001711C9"/>
    <w:rsid w:val="00171680"/>
    <w:rsid w:val="0017180B"/>
    <w:rsid w:val="00171871"/>
    <w:rsid w:val="00171893"/>
    <w:rsid w:val="001719A4"/>
    <w:rsid w:val="00171C4C"/>
    <w:rsid w:val="00171C7C"/>
    <w:rsid w:val="00171CE0"/>
    <w:rsid w:val="00171E4B"/>
    <w:rsid w:val="00172217"/>
    <w:rsid w:val="001725E1"/>
    <w:rsid w:val="0017283B"/>
    <w:rsid w:val="0017286A"/>
    <w:rsid w:val="001730D3"/>
    <w:rsid w:val="00173300"/>
    <w:rsid w:val="0017343F"/>
    <w:rsid w:val="00173604"/>
    <w:rsid w:val="001736C7"/>
    <w:rsid w:val="0017401E"/>
    <w:rsid w:val="0017430C"/>
    <w:rsid w:val="00174327"/>
    <w:rsid w:val="00174379"/>
    <w:rsid w:val="0017439E"/>
    <w:rsid w:val="001743A2"/>
    <w:rsid w:val="0017450E"/>
    <w:rsid w:val="001746C3"/>
    <w:rsid w:val="0017471C"/>
    <w:rsid w:val="00174C06"/>
    <w:rsid w:val="00174DBC"/>
    <w:rsid w:val="00174DD5"/>
    <w:rsid w:val="00175159"/>
    <w:rsid w:val="001752CC"/>
    <w:rsid w:val="00175535"/>
    <w:rsid w:val="00175556"/>
    <w:rsid w:val="001755D8"/>
    <w:rsid w:val="001756AA"/>
    <w:rsid w:val="00175717"/>
    <w:rsid w:val="00175AAC"/>
    <w:rsid w:val="00175F25"/>
    <w:rsid w:val="00176415"/>
    <w:rsid w:val="00176707"/>
    <w:rsid w:val="001768EC"/>
    <w:rsid w:val="00176A9A"/>
    <w:rsid w:val="00176D9C"/>
    <w:rsid w:val="00177042"/>
    <w:rsid w:val="00177536"/>
    <w:rsid w:val="00177CFB"/>
    <w:rsid w:val="00177F1F"/>
    <w:rsid w:val="00180387"/>
    <w:rsid w:val="00180446"/>
    <w:rsid w:val="001804FD"/>
    <w:rsid w:val="0018060A"/>
    <w:rsid w:val="0018070E"/>
    <w:rsid w:val="00180A1E"/>
    <w:rsid w:val="00180C93"/>
    <w:rsid w:val="00180CD1"/>
    <w:rsid w:val="00180E55"/>
    <w:rsid w:val="00180EBB"/>
    <w:rsid w:val="00180F8A"/>
    <w:rsid w:val="00180FAA"/>
    <w:rsid w:val="001810BA"/>
    <w:rsid w:val="001811EC"/>
    <w:rsid w:val="001817B3"/>
    <w:rsid w:val="00181AF5"/>
    <w:rsid w:val="00181B08"/>
    <w:rsid w:val="00181C14"/>
    <w:rsid w:val="00181E19"/>
    <w:rsid w:val="00181E38"/>
    <w:rsid w:val="00181F0D"/>
    <w:rsid w:val="0018227A"/>
    <w:rsid w:val="001822A0"/>
    <w:rsid w:val="00182444"/>
    <w:rsid w:val="001825E8"/>
    <w:rsid w:val="00182995"/>
    <w:rsid w:val="00182BCE"/>
    <w:rsid w:val="00182F82"/>
    <w:rsid w:val="0018313C"/>
    <w:rsid w:val="00183366"/>
    <w:rsid w:val="001834DB"/>
    <w:rsid w:val="001835C0"/>
    <w:rsid w:val="00183672"/>
    <w:rsid w:val="0018372A"/>
    <w:rsid w:val="00183A08"/>
    <w:rsid w:val="00183C04"/>
    <w:rsid w:val="00183CA1"/>
    <w:rsid w:val="00183E2E"/>
    <w:rsid w:val="00184051"/>
    <w:rsid w:val="001840D6"/>
    <w:rsid w:val="0018425E"/>
    <w:rsid w:val="00184356"/>
    <w:rsid w:val="001845E4"/>
    <w:rsid w:val="00184799"/>
    <w:rsid w:val="00184975"/>
    <w:rsid w:val="00184B02"/>
    <w:rsid w:val="00184B62"/>
    <w:rsid w:val="00184CDF"/>
    <w:rsid w:val="00184CF4"/>
    <w:rsid w:val="00184DD1"/>
    <w:rsid w:val="00184FDB"/>
    <w:rsid w:val="0018503A"/>
    <w:rsid w:val="001850CD"/>
    <w:rsid w:val="001850D4"/>
    <w:rsid w:val="00185103"/>
    <w:rsid w:val="001851D9"/>
    <w:rsid w:val="00185530"/>
    <w:rsid w:val="001855A9"/>
    <w:rsid w:val="001855B8"/>
    <w:rsid w:val="001856BC"/>
    <w:rsid w:val="001856D1"/>
    <w:rsid w:val="0018595C"/>
    <w:rsid w:val="00185C2B"/>
    <w:rsid w:val="00185D41"/>
    <w:rsid w:val="00185F15"/>
    <w:rsid w:val="00185F55"/>
    <w:rsid w:val="00186280"/>
    <w:rsid w:val="001864A1"/>
    <w:rsid w:val="0018661D"/>
    <w:rsid w:val="00186734"/>
    <w:rsid w:val="00186A08"/>
    <w:rsid w:val="00186B47"/>
    <w:rsid w:val="00186CD7"/>
    <w:rsid w:val="00186F98"/>
    <w:rsid w:val="0018738B"/>
    <w:rsid w:val="001873AB"/>
    <w:rsid w:val="00187753"/>
    <w:rsid w:val="00187B0B"/>
    <w:rsid w:val="0019004C"/>
    <w:rsid w:val="0019031D"/>
    <w:rsid w:val="0019089E"/>
    <w:rsid w:val="00190959"/>
    <w:rsid w:val="00190B06"/>
    <w:rsid w:val="00190B19"/>
    <w:rsid w:val="00190C8C"/>
    <w:rsid w:val="00190D40"/>
    <w:rsid w:val="0019104C"/>
    <w:rsid w:val="0019149D"/>
    <w:rsid w:val="001917A0"/>
    <w:rsid w:val="0019182C"/>
    <w:rsid w:val="00191837"/>
    <w:rsid w:val="00191A50"/>
    <w:rsid w:val="00191A63"/>
    <w:rsid w:val="00191E0A"/>
    <w:rsid w:val="00191E93"/>
    <w:rsid w:val="00191FE9"/>
    <w:rsid w:val="0019203C"/>
    <w:rsid w:val="001921AE"/>
    <w:rsid w:val="0019245D"/>
    <w:rsid w:val="00192524"/>
    <w:rsid w:val="0019285D"/>
    <w:rsid w:val="00192880"/>
    <w:rsid w:val="00192B95"/>
    <w:rsid w:val="00192D39"/>
    <w:rsid w:val="00192D52"/>
    <w:rsid w:val="00192DA1"/>
    <w:rsid w:val="00192F3F"/>
    <w:rsid w:val="00192F86"/>
    <w:rsid w:val="00193173"/>
    <w:rsid w:val="00193245"/>
    <w:rsid w:val="0019330C"/>
    <w:rsid w:val="00193339"/>
    <w:rsid w:val="00193392"/>
    <w:rsid w:val="001933F8"/>
    <w:rsid w:val="0019350A"/>
    <w:rsid w:val="0019353E"/>
    <w:rsid w:val="00193663"/>
    <w:rsid w:val="0019369C"/>
    <w:rsid w:val="00193707"/>
    <w:rsid w:val="0019395E"/>
    <w:rsid w:val="00193ABD"/>
    <w:rsid w:val="00193F54"/>
    <w:rsid w:val="00194260"/>
    <w:rsid w:val="0019426B"/>
    <w:rsid w:val="00194435"/>
    <w:rsid w:val="00194489"/>
    <w:rsid w:val="001944EB"/>
    <w:rsid w:val="001946E7"/>
    <w:rsid w:val="00194A85"/>
    <w:rsid w:val="00194C6A"/>
    <w:rsid w:val="00194FA0"/>
    <w:rsid w:val="00195583"/>
    <w:rsid w:val="00195C3F"/>
    <w:rsid w:val="00195CAD"/>
    <w:rsid w:val="00195D97"/>
    <w:rsid w:val="00195ED7"/>
    <w:rsid w:val="001960D7"/>
    <w:rsid w:val="001962A8"/>
    <w:rsid w:val="00196397"/>
    <w:rsid w:val="0019661D"/>
    <w:rsid w:val="0019662C"/>
    <w:rsid w:val="0019665A"/>
    <w:rsid w:val="0019671B"/>
    <w:rsid w:val="00196773"/>
    <w:rsid w:val="001969C9"/>
    <w:rsid w:val="001969F8"/>
    <w:rsid w:val="00196C79"/>
    <w:rsid w:val="00196DF3"/>
    <w:rsid w:val="00197192"/>
    <w:rsid w:val="0019730E"/>
    <w:rsid w:val="00197537"/>
    <w:rsid w:val="001975EA"/>
    <w:rsid w:val="00197634"/>
    <w:rsid w:val="00197660"/>
    <w:rsid w:val="00197769"/>
    <w:rsid w:val="001977F5"/>
    <w:rsid w:val="0019785D"/>
    <w:rsid w:val="00197945"/>
    <w:rsid w:val="001A0351"/>
    <w:rsid w:val="001A07A5"/>
    <w:rsid w:val="001A0981"/>
    <w:rsid w:val="001A0A85"/>
    <w:rsid w:val="001A0B93"/>
    <w:rsid w:val="001A0BF4"/>
    <w:rsid w:val="001A0C32"/>
    <w:rsid w:val="001A0E6B"/>
    <w:rsid w:val="001A118C"/>
    <w:rsid w:val="001A126D"/>
    <w:rsid w:val="001A1496"/>
    <w:rsid w:val="001A15F1"/>
    <w:rsid w:val="001A16BC"/>
    <w:rsid w:val="001A1AB3"/>
    <w:rsid w:val="001A2061"/>
    <w:rsid w:val="001A2091"/>
    <w:rsid w:val="001A2608"/>
    <w:rsid w:val="001A2759"/>
    <w:rsid w:val="001A2823"/>
    <w:rsid w:val="001A2C05"/>
    <w:rsid w:val="001A2C1D"/>
    <w:rsid w:val="001A301A"/>
    <w:rsid w:val="001A306A"/>
    <w:rsid w:val="001A30B4"/>
    <w:rsid w:val="001A31E8"/>
    <w:rsid w:val="001A31F0"/>
    <w:rsid w:val="001A3261"/>
    <w:rsid w:val="001A3282"/>
    <w:rsid w:val="001A3323"/>
    <w:rsid w:val="001A3425"/>
    <w:rsid w:val="001A35EA"/>
    <w:rsid w:val="001A36F0"/>
    <w:rsid w:val="001A3C44"/>
    <w:rsid w:val="001A3E6D"/>
    <w:rsid w:val="001A3F16"/>
    <w:rsid w:val="001A4040"/>
    <w:rsid w:val="001A4052"/>
    <w:rsid w:val="001A45E9"/>
    <w:rsid w:val="001A462A"/>
    <w:rsid w:val="001A497A"/>
    <w:rsid w:val="001A4C77"/>
    <w:rsid w:val="001A4DF2"/>
    <w:rsid w:val="001A4F0E"/>
    <w:rsid w:val="001A4FE9"/>
    <w:rsid w:val="001A5149"/>
    <w:rsid w:val="001A52B1"/>
    <w:rsid w:val="001A5611"/>
    <w:rsid w:val="001A56B2"/>
    <w:rsid w:val="001A578E"/>
    <w:rsid w:val="001A5C3D"/>
    <w:rsid w:val="001A5CB6"/>
    <w:rsid w:val="001A5D43"/>
    <w:rsid w:val="001A6314"/>
    <w:rsid w:val="001A63FC"/>
    <w:rsid w:val="001A653A"/>
    <w:rsid w:val="001A66D7"/>
    <w:rsid w:val="001A68CC"/>
    <w:rsid w:val="001A6A7D"/>
    <w:rsid w:val="001A6CD6"/>
    <w:rsid w:val="001A6D79"/>
    <w:rsid w:val="001A7049"/>
    <w:rsid w:val="001A70CE"/>
    <w:rsid w:val="001A742B"/>
    <w:rsid w:val="001A7488"/>
    <w:rsid w:val="001A76F2"/>
    <w:rsid w:val="001A7821"/>
    <w:rsid w:val="001A783C"/>
    <w:rsid w:val="001A7856"/>
    <w:rsid w:val="001A7F01"/>
    <w:rsid w:val="001A7F20"/>
    <w:rsid w:val="001B0243"/>
    <w:rsid w:val="001B048F"/>
    <w:rsid w:val="001B0538"/>
    <w:rsid w:val="001B056C"/>
    <w:rsid w:val="001B05AB"/>
    <w:rsid w:val="001B0724"/>
    <w:rsid w:val="001B0BB3"/>
    <w:rsid w:val="001B0C1A"/>
    <w:rsid w:val="001B0C3F"/>
    <w:rsid w:val="001B0CB4"/>
    <w:rsid w:val="001B0E31"/>
    <w:rsid w:val="001B1151"/>
    <w:rsid w:val="001B15FA"/>
    <w:rsid w:val="001B16F9"/>
    <w:rsid w:val="001B1742"/>
    <w:rsid w:val="001B182C"/>
    <w:rsid w:val="001B18FF"/>
    <w:rsid w:val="001B19B3"/>
    <w:rsid w:val="001B1B82"/>
    <w:rsid w:val="001B1D86"/>
    <w:rsid w:val="001B1FD2"/>
    <w:rsid w:val="001B241D"/>
    <w:rsid w:val="001B2583"/>
    <w:rsid w:val="001B279F"/>
    <w:rsid w:val="001B2AEC"/>
    <w:rsid w:val="001B2D7C"/>
    <w:rsid w:val="001B2E91"/>
    <w:rsid w:val="001B2F72"/>
    <w:rsid w:val="001B3165"/>
    <w:rsid w:val="001B32BC"/>
    <w:rsid w:val="001B3354"/>
    <w:rsid w:val="001B34FB"/>
    <w:rsid w:val="001B3520"/>
    <w:rsid w:val="001B367B"/>
    <w:rsid w:val="001B37C3"/>
    <w:rsid w:val="001B37D4"/>
    <w:rsid w:val="001B3927"/>
    <w:rsid w:val="001B3C93"/>
    <w:rsid w:val="001B4095"/>
    <w:rsid w:val="001B4166"/>
    <w:rsid w:val="001B4701"/>
    <w:rsid w:val="001B4740"/>
    <w:rsid w:val="001B4787"/>
    <w:rsid w:val="001B4B52"/>
    <w:rsid w:val="001B4CCD"/>
    <w:rsid w:val="001B505C"/>
    <w:rsid w:val="001B5159"/>
    <w:rsid w:val="001B5225"/>
    <w:rsid w:val="001B53C4"/>
    <w:rsid w:val="001B55E8"/>
    <w:rsid w:val="001B561E"/>
    <w:rsid w:val="001B5672"/>
    <w:rsid w:val="001B572B"/>
    <w:rsid w:val="001B5BD3"/>
    <w:rsid w:val="001B5DB1"/>
    <w:rsid w:val="001B5E4C"/>
    <w:rsid w:val="001B5F24"/>
    <w:rsid w:val="001B61AC"/>
    <w:rsid w:val="001B6496"/>
    <w:rsid w:val="001B64F0"/>
    <w:rsid w:val="001B64F7"/>
    <w:rsid w:val="001B685D"/>
    <w:rsid w:val="001B6BCC"/>
    <w:rsid w:val="001B6EAA"/>
    <w:rsid w:val="001B7215"/>
    <w:rsid w:val="001B74B9"/>
    <w:rsid w:val="001B7528"/>
    <w:rsid w:val="001B7804"/>
    <w:rsid w:val="001B7BC2"/>
    <w:rsid w:val="001C0215"/>
    <w:rsid w:val="001C03E1"/>
    <w:rsid w:val="001C04F7"/>
    <w:rsid w:val="001C065D"/>
    <w:rsid w:val="001C07A9"/>
    <w:rsid w:val="001C07CF"/>
    <w:rsid w:val="001C08A4"/>
    <w:rsid w:val="001C08D7"/>
    <w:rsid w:val="001C08D9"/>
    <w:rsid w:val="001C0F11"/>
    <w:rsid w:val="001C0F61"/>
    <w:rsid w:val="001C147C"/>
    <w:rsid w:val="001C14D1"/>
    <w:rsid w:val="001C1724"/>
    <w:rsid w:val="001C17F7"/>
    <w:rsid w:val="001C186E"/>
    <w:rsid w:val="001C19EE"/>
    <w:rsid w:val="001C1E3B"/>
    <w:rsid w:val="001C1E6C"/>
    <w:rsid w:val="001C1E73"/>
    <w:rsid w:val="001C26F1"/>
    <w:rsid w:val="001C2777"/>
    <w:rsid w:val="001C2ED4"/>
    <w:rsid w:val="001C3289"/>
    <w:rsid w:val="001C345D"/>
    <w:rsid w:val="001C3706"/>
    <w:rsid w:val="001C3784"/>
    <w:rsid w:val="001C3B4F"/>
    <w:rsid w:val="001C3C68"/>
    <w:rsid w:val="001C3E3D"/>
    <w:rsid w:val="001C3F06"/>
    <w:rsid w:val="001C3F7F"/>
    <w:rsid w:val="001C459C"/>
    <w:rsid w:val="001C4691"/>
    <w:rsid w:val="001C472B"/>
    <w:rsid w:val="001C4893"/>
    <w:rsid w:val="001C4CAA"/>
    <w:rsid w:val="001C4EA1"/>
    <w:rsid w:val="001C50E4"/>
    <w:rsid w:val="001C51F6"/>
    <w:rsid w:val="001C528E"/>
    <w:rsid w:val="001C55A7"/>
    <w:rsid w:val="001C55F4"/>
    <w:rsid w:val="001C5654"/>
    <w:rsid w:val="001C5690"/>
    <w:rsid w:val="001C5889"/>
    <w:rsid w:val="001C5AE3"/>
    <w:rsid w:val="001C5B30"/>
    <w:rsid w:val="001C5E59"/>
    <w:rsid w:val="001C5E5F"/>
    <w:rsid w:val="001C6683"/>
    <w:rsid w:val="001C68FE"/>
    <w:rsid w:val="001C6D41"/>
    <w:rsid w:val="001C72E3"/>
    <w:rsid w:val="001C75DD"/>
    <w:rsid w:val="001C7651"/>
    <w:rsid w:val="001C79C7"/>
    <w:rsid w:val="001C7A1E"/>
    <w:rsid w:val="001C7C31"/>
    <w:rsid w:val="001D012D"/>
    <w:rsid w:val="001D02ED"/>
    <w:rsid w:val="001D06EC"/>
    <w:rsid w:val="001D07B8"/>
    <w:rsid w:val="001D0846"/>
    <w:rsid w:val="001D08C4"/>
    <w:rsid w:val="001D08D4"/>
    <w:rsid w:val="001D0902"/>
    <w:rsid w:val="001D0DD9"/>
    <w:rsid w:val="001D0E1E"/>
    <w:rsid w:val="001D0E87"/>
    <w:rsid w:val="001D0F59"/>
    <w:rsid w:val="001D1739"/>
    <w:rsid w:val="001D203E"/>
    <w:rsid w:val="001D20C0"/>
    <w:rsid w:val="001D2132"/>
    <w:rsid w:val="001D216A"/>
    <w:rsid w:val="001D26AC"/>
    <w:rsid w:val="001D293C"/>
    <w:rsid w:val="001D293F"/>
    <w:rsid w:val="001D2A88"/>
    <w:rsid w:val="001D2E82"/>
    <w:rsid w:val="001D31EC"/>
    <w:rsid w:val="001D32C0"/>
    <w:rsid w:val="001D3372"/>
    <w:rsid w:val="001D3626"/>
    <w:rsid w:val="001D3893"/>
    <w:rsid w:val="001D38AE"/>
    <w:rsid w:val="001D3A8C"/>
    <w:rsid w:val="001D3ABE"/>
    <w:rsid w:val="001D3B9F"/>
    <w:rsid w:val="001D3DDB"/>
    <w:rsid w:val="001D3E3C"/>
    <w:rsid w:val="001D3E9B"/>
    <w:rsid w:val="001D3ECE"/>
    <w:rsid w:val="001D408A"/>
    <w:rsid w:val="001D4112"/>
    <w:rsid w:val="001D43D3"/>
    <w:rsid w:val="001D44F9"/>
    <w:rsid w:val="001D4507"/>
    <w:rsid w:val="001D4842"/>
    <w:rsid w:val="001D4845"/>
    <w:rsid w:val="001D4D30"/>
    <w:rsid w:val="001D4F95"/>
    <w:rsid w:val="001D5064"/>
    <w:rsid w:val="001D5689"/>
    <w:rsid w:val="001D5845"/>
    <w:rsid w:val="001D59A9"/>
    <w:rsid w:val="001D5B79"/>
    <w:rsid w:val="001D5CC3"/>
    <w:rsid w:val="001D5CDF"/>
    <w:rsid w:val="001D5D5B"/>
    <w:rsid w:val="001D5D5E"/>
    <w:rsid w:val="001D5DAF"/>
    <w:rsid w:val="001D60D8"/>
    <w:rsid w:val="001D62A8"/>
    <w:rsid w:val="001D64E3"/>
    <w:rsid w:val="001D68C6"/>
    <w:rsid w:val="001D6918"/>
    <w:rsid w:val="001D6A92"/>
    <w:rsid w:val="001D6B9A"/>
    <w:rsid w:val="001D6E57"/>
    <w:rsid w:val="001D6E8B"/>
    <w:rsid w:val="001D7151"/>
    <w:rsid w:val="001D72F3"/>
    <w:rsid w:val="001D74FB"/>
    <w:rsid w:val="001D793D"/>
    <w:rsid w:val="001D7A42"/>
    <w:rsid w:val="001D7C99"/>
    <w:rsid w:val="001E0730"/>
    <w:rsid w:val="001E0737"/>
    <w:rsid w:val="001E0891"/>
    <w:rsid w:val="001E0928"/>
    <w:rsid w:val="001E0EFF"/>
    <w:rsid w:val="001E1065"/>
    <w:rsid w:val="001E12BA"/>
    <w:rsid w:val="001E14F7"/>
    <w:rsid w:val="001E1B4E"/>
    <w:rsid w:val="001E1DD0"/>
    <w:rsid w:val="001E1ED4"/>
    <w:rsid w:val="001E2109"/>
    <w:rsid w:val="001E23B9"/>
    <w:rsid w:val="001E2481"/>
    <w:rsid w:val="001E24E3"/>
    <w:rsid w:val="001E252A"/>
    <w:rsid w:val="001E2A3A"/>
    <w:rsid w:val="001E2CC1"/>
    <w:rsid w:val="001E2FF1"/>
    <w:rsid w:val="001E3063"/>
    <w:rsid w:val="001E30ED"/>
    <w:rsid w:val="001E3276"/>
    <w:rsid w:val="001E3285"/>
    <w:rsid w:val="001E3428"/>
    <w:rsid w:val="001E369B"/>
    <w:rsid w:val="001E37AC"/>
    <w:rsid w:val="001E37BB"/>
    <w:rsid w:val="001E3BFE"/>
    <w:rsid w:val="001E3C02"/>
    <w:rsid w:val="001E3EAA"/>
    <w:rsid w:val="001E41C5"/>
    <w:rsid w:val="001E43AC"/>
    <w:rsid w:val="001E490D"/>
    <w:rsid w:val="001E4EB0"/>
    <w:rsid w:val="001E528C"/>
    <w:rsid w:val="001E5347"/>
    <w:rsid w:val="001E5893"/>
    <w:rsid w:val="001E5906"/>
    <w:rsid w:val="001E590B"/>
    <w:rsid w:val="001E5ABE"/>
    <w:rsid w:val="001E5E13"/>
    <w:rsid w:val="001E5F19"/>
    <w:rsid w:val="001E60E7"/>
    <w:rsid w:val="001E6129"/>
    <w:rsid w:val="001E6163"/>
    <w:rsid w:val="001E657C"/>
    <w:rsid w:val="001E660C"/>
    <w:rsid w:val="001E696F"/>
    <w:rsid w:val="001E6A31"/>
    <w:rsid w:val="001E7023"/>
    <w:rsid w:val="001E7155"/>
    <w:rsid w:val="001E71D3"/>
    <w:rsid w:val="001E7274"/>
    <w:rsid w:val="001E76DC"/>
    <w:rsid w:val="001E79A5"/>
    <w:rsid w:val="001E7A05"/>
    <w:rsid w:val="001E7ABA"/>
    <w:rsid w:val="001F0057"/>
    <w:rsid w:val="001F014F"/>
    <w:rsid w:val="001F0336"/>
    <w:rsid w:val="001F03C5"/>
    <w:rsid w:val="001F068B"/>
    <w:rsid w:val="001F085A"/>
    <w:rsid w:val="001F0A9E"/>
    <w:rsid w:val="001F0C06"/>
    <w:rsid w:val="001F0E2B"/>
    <w:rsid w:val="001F0E3E"/>
    <w:rsid w:val="001F14DF"/>
    <w:rsid w:val="001F15EB"/>
    <w:rsid w:val="001F1642"/>
    <w:rsid w:val="001F188E"/>
    <w:rsid w:val="001F1DCF"/>
    <w:rsid w:val="001F21A6"/>
    <w:rsid w:val="001F21BB"/>
    <w:rsid w:val="001F21EB"/>
    <w:rsid w:val="001F22EA"/>
    <w:rsid w:val="001F2392"/>
    <w:rsid w:val="001F24BC"/>
    <w:rsid w:val="001F24DA"/>
    <w:rsid w:val="001F253A"/>
    <w:rsid w:val="001F2559"/>
    <w:rsid w:val="001F27F5"/>
    <w:rsid w:val="001F29EF"/>
    <w:rsid w:val="001F2A64"/>
    <w:rsid w:val="001F2D47"/>
    <w:rsid w:val="001F3261"/>
    <w:rsid w:val="001F32FE"/>
    <w:rsid w:val="001F3620"/>
    <w:rsid w:val="001F3719"/>
    <w:rsid w:val="001F37F1"/>
    <w:rsid w:val="001F38C7"/>
    <w:rsid w:val="001F398E"/>
    <w:rsid w:val="001F3A87"/>
    <w:rsid w:val="001F3BB3"/>
    <w:rsid w:val="001F3C52"/>
    <w:rsid w:val="001F42C5"/>
    <w:rsid w:val="001F4C2D"/>
    <w:rsid w:val="001F4D23"/>
    <w:rsid w:val="001F4D84"/>
    <w:rsid w:val="001F4D99"/>
    <w:rsid w:val="001F4E57"/>
    <w:rsid w:val="001F564E"/>
    <w:rsid w:val="001F57A7"/>
    <w:rsid w:val="001F5AB1"/>
    <w:rsid w:val="001F5BDF"/>
    <w:rsid w:val="001F5E20"/>
    <w:rsid w:val="001F60F3"/>
    <w:rsid w:val="001F6284"/>
    <w:rsid w:val="001F65B6"/>
    <w:rsid w:val="001F6C30"/>
    <w:rsid w:val="001F6EF2"/>
    <w:rsid w:val="001F7037"/>
    <w:rsid w:val="001F7190"/>
    <w:rsid w:val="001F7413"/>
    <w:rsid w:val="001F7455"/>
    <w:rsid w:val="001F75BC"/>
    <w:rsid w:val="001F7956"/>
    <w:rsid w:val="001F7971"/>
    <w:rsid w:val="001F79E5"/>
    <w:rsid w:val="001F7A82"/>
    <w:rsid w:val="001F7F90"/>
    <w:rsid w:val="001F7FD5"/>
    <w:rsid w:val="002002DA"/>
    <w:rsid w:val="0020048E"/>
    <w:rsid w:val="002004F9"/>
    <w:rsid w:val="00200B8B"/>
    <w:rsid w:val="00200BEC"/>
    <w:rsid w:val="00200D3D"/>
    <w:rsid w:val="00200F77"/>
    <w:rsid w:val="00201053"/>
    <w:rsid w:val="002011D1"/>
    <w:rsid w:val="0020161E"/>
    <w:rsid w:val="0020167A"/>
    <w:rsid w:val="00201C4F"/>
    <w:rsid w:val="00201CBE"/>
    <w:rsid w:val="00201DA9"/>
    <w:rsid w:val="00201DB9"/>
    <w:rsid w:val="00201FB7"/>
    <w:rsid w:val="002020F7"/>
    <w:rsid w:val="0020214D"/>
    <w:rsid w:val="002023A5"/>
    <w:rsid w:val="00202513"/>
    <w:rsid w:val="002026BE"/>
    <w:rsid w:val="00202B05"/>
    <w:rsid w:val="00202BF5"/>
    <w:rsid w:val="00202F49"/>
    <w:rsid w:val="0020314F"/>
    <w:rsid w:val="00203162"/>
    <w:rsid w:val="002031B2"/>
    <w:rsid w:val="002035ED"/>
    <w:rsid w:val="0020361B"/>
    <w:rsid w:val="002036D4"/>
    <w:rsid w:val="002039BF"/>
    <w:rsid w:val="00203D5A"/>
    <w:rsid w:val="00203E0E"/>
    <w:rsid w:val="00203F8F"/>
    <w:rsid w:val="00203FDD"/>
    <w:rsid w:val="0020406B"/>
    <w:rsid w:val="0020433F"/>
    <w:rsid w:val="0020438C"/>
    <w:rsid w:val="002043CD"/>
    <w:rsid w:val="002045E1"/>
    <w:rsid w:val="0020467D"/>
    <w:rsid w:val="002046EF"/>
    <w:rsid w:val="00204709"/>
    <w:rsid w:val="00204820"/>
    <w:rsid w:val="00204C14"/>
    <w:rsid w:val="00204D74"/>
    <w:rsid w:val="002053F0"/>
    <w:rsid w:val="0020558C"/>
    <w:rsid w:val="0020579A"/>
    <w:rsid w:val="00205838"/>
    <w:rsid w:val="00205AAE"/>
    <w:rsid w:val="00205DF3"/>
    <w:rsid w:val="002064CA"/>
    <w:rsid w:val="00206573"/>
    <w:rsid w:val="002066EB"/>
    <w:rsid w:val="0020691B"/>
    <w:rsid w:val="0020696A"/>
    <w:rsid w:val="0020721E"/>
    <w:rsid w:val="00207671"/>
    <w:rsid w:val="002076DA"/>
    <w:rsid w:val="00207767"/>
    <w:rsid w:val="00207AE0"/>
    <w:rsid w:val="00207C78"/>
    <w:rsid w:val="00207E28"/>
    <w:rsid w:val="00207EBE"/>
    <w:rsid w:val="00207F14"/>
    <w:rsid w:val="00210245"/>
    <w:rsid w:val="00210582"/>
    <w:rsid w:val="002108FE"/>
    <w:rsid w:val="00210A20"/>
    <w:rsid w:val="00210C55"/>
    <w:rsid w:val="00210C56"/>
    <w:rsid w:val="002111D5"/>
    <w:rsid w:val="002112E3"/>
    <w:rsid w:val="002113A3"/>
    <w:rsid w:val="0021159A"/>
    <w:rsid w:val="002117F4"/>
    <w:rsid w:val="00211824"/>
    <w:rsid w:val="00211BDC"/>
    <w:rsid w:val="00211C6B"/>
    <w:rsid w:val="0021223D"/>
    <w:rsid w:val="002127A5"/>
    <w:rsid w:val="0021287C"/>
    <w:rsid w:val="00212B75"/>
    <w:rsid w:val="00212C0A"/>
    <w:rsid w:val="00212EF9"/>
    <w:rsid w:val="002130CB"/>
    <w:rsid w:val="0021368E"/>
    <w:rsid w:val="002136AB"/>
    <w:rsid w:val="002139A5"/>
    <w:rsid w:val="002139F9"/>
    <w:rsid w:val="00213E24"/>
    <w:rsid w:val="00213F3D"/>
    <w:rsid w:val="0021430B"/>
    <w:rsid w:val="00214718"/>
    <w:rsid w:val="0021475E"/>
    <w:rsid w:val="002147A4"/>
    <w:rsid w:val="00214805"/>
    <w:rsid w:val="002148E7"/>
    <w:rsid w:val="002148F4"/>
    <w:rsid w:val="002148FD"/>
    <w:rsid w:val="00214ADD"/>
    <w:rsid w:val="00214F20"/>
    <w:rsid w:val="0021544F"/>
    <w:rsid w:val="0021559D"/>
    <w:rsid w:val="00215619"/>
    <w:rsid w:val="0021586C"/>
    <w:rsid w:val="00215C30"/>
    <w:rsid w:val="00215DE1"/>
    <w:rsid w:val="00215F0A"/>
    <w:rsid w:val="00216025"/>
    <w:rsid w:val="002160F8"/>
    <w:rsid w:val="00216318"/>
    <w:rsid w:val="00216454"/>
    <w:rsid w:val="00216727"/>
    <w:rsid w:val="00216809"/>
    <w:rsid w:val="00216A2B"/>
    <w:rsid w:val="00216C7D"/>
    <w:rsid w:val="00216E6C"/>
    <w:rsid w:val="00216EA2"/>
    <w:rsid w:val="00216F46"/>
    <w:rsid w:val="002170A7"/>
    <w:rsid w:val="0021717E"/>
    <w:rsid w:val="002171D4"/>
    <w:rsid w:val="00217200"/>
    <w:rsid w:val="00217239"/>
    <w:rsid w:val="002174A4"/>
    <w:rsid w:val="00217602"/>
    <w:rsid w:val="002176EE"/>
    <w:rsid w:val="00217715"/>
    <w:rsid w:val="0021774F"/>
    <w:rsid w:val="002177CA"/>
    <w:rsid w:val="002178CF"/>
    <w:rsid w:val="002179EE"/>
    <w:rsid w:val="00217DF5"/>
    <w:rsid w:val="00217EDD"/>
    <w:rsid w:val="00217F09"/>
    <w:rsid w:val="00217F6E"/>
    <w:rsid w:val="0022006C"/>
    <w:rsid w:val="002202D9"/>
    <w:rsid w:val="00220464"/>
    <w:rsid w:val="00220519"/>
    <w:rsid w:val="0022056B"/>
    <w:rsid w:val="0022083E"/>
    <w:rsid w:val="002208A1"/>
    <w:rsid w:val="00220DBA"/>
    <w:rsid w:val="00221183"/>
    <w:rsid w:val="00221284"/>
    <w:rsid w:val="00221A90"/>
    <w:rsid w:val="00221B98"/>
    <w:rsid w:val="00222042"/>
    <w:rsid w:val="00222273"/>
    <w:rsid w:val="002222B2"/>
    <w:rsid w:val="0022231C"/>
    <w:rsid w:val="00222404"/>
    <w:rsid w:val="0022249F"/>
    <w:rsid w:val="0022265C"/>
    <w:rsid w:val="002228E4"/>
    <w:rsid w:val="0022296F"/>
    <w:rsid w:val="00222973"/>
    <w:rsid w:val="00222A17"/>
    <w:rsid w:val="00222D0B"/>
    <w:rsid w:val="00222DC1"/>
    <w:rsid w:val="00222F82"/>
    <w:rsid w:val="00222F9E"/>
    <w:rsid w:val="0022362F"/>
    <w:rsid w:val="00223B32"/>
    <w:rsid w:val="00223DA7"/>
    <w:rsid w:val="00223E48"/>
    <w:rsid w:val="0022416B"/>
    <w:rsid w:val="00224689"/>
    <w:rsid w:val="00224783"/>
    <w:rsid w:val="002247C4"/>
    <w:rsid w:val="00224888"/>
    <w:rsid w:val="00224C48"/>
    <w:rsid w:val="00224D93"/>
    <w:rsid w:val="00224DDC"/>
    <w:rsid w:val="002251B1"/>
    <w:rsid w:val="00225558"/>
    <w:rsid w:val="002255B9"/>
    <w:rsid w:val="0022584A"/>
    <w:rsid w:val="002258EE"/>
    <w:rsid w:val="0022596D"/>
    <w:rsid w:val="00225987"/>
    <w:rsid w:val="00226461"/>
    <w:rsid w:val="002264E6"/>
    <w:rsid w:val="002265D9"/>
    <w:rsid w:val="002265EE"/>
    <w:rsid w:val="0022690D"/>
    <w:rsid w:val="00227022"/>
    <w:rsid w:val="00227065"/>
    <w:rsid w:val="00227146"/>
    <w:rsid w:val="00227219"/>
    <w:rsid w:val="00227225"/>
    <w:rsid w:val="00227518"/>
    <w:rsid w:val="0022754B"/>
    <w:rsid w:val="002275D9"/>
    <w:rsid w:val="0022786C"/>
    <w:rsid w:val="00227B68"/>
    <w:rsid w:val="00227BBD"/>
    <w:rsid w:val="00227BCA"/>
    <w:rsid w:val="00227C48"/>
    <w:rsid w:val="00227F88"/>
    <w:rsid w:val="00227FC1"/>
    <w:rsid w:val="0023001C"/>
    <w:rsid w:val="002300AB"/>
    <w:rsid w:val="002300B1"/>
    <w:rsid w:val="002301FC"/>
    <w:rsid w:val="002303F6"/>
    <w:rsid w:val="0023059D"/>
    <w:rsid w:val="002306AD"/>
    <w:rsid w:val="00230865"/>
    <w:rsid w:val="002308C1"/>
    <w:rsid w:val="00230938"/>
    <w:rsid w:val="002309A5"/>
    <w:rsid w:val="00230AF7"/>
    <w:rsid w:val="00230B43"/>
    <w:rsid w:val="00230BCE"/>
    <w:rsid w:val="00230FD3"/>
    <w:rsid w:val="0023112A"/>
    <w:rsid w:val="002311AC"/>
    <w:rsid w:val="00231250"/>
    <w:rsid w:val="002315F7"/>
    <w:rsid w:val="002317C2"/>
    <w:rsid w:val="00231BB9"/>
    <w:rsid w:val="00231DB2"/>
    <w:rsid w:val="00231E80"/>
    <w:rsid w:val="00231F07"/>
    <w:rsid w:val="00231F81"/>
    <w:rsid w:val="00232308"/>
    <w:rsid w:val="00232317"/>
    <w:rsid w:val="0023233E"/>
    <w:rsid w:val="00232398"/>
    <w:rsid w:val="0023243E"/>
    <w:rsid w:val="002325AA"/>
    <w:rsid w:val="002327B9"/>
    <w:rsid w:val="00232A3F"/>
    <w:rsid w:val="00232AA3"/>
    <w:rsid w:val="00232B33"/>
    <w:rsid w:val="00232E16"/>
    <w:rsid w:val="00232F5A"/>
    <w:rsid w:val="002334DC"/>
    <w:rsid w:val="00233B3F"/>
    <w:rsid w:val="00233CD2"/>
    <w:rsid w:val="00233CE1"/>
    <w:rsid w:val="00233E79"/>
    <w:rsid w:val="00234055"/>
    <w:rsid w:val="002345B4"/>
    <w:rsid w:val="002347D7"/>
    <w:rsid w:val="00234BD5"/>
    <w:rsid w:val="00234DCC"/>
    <w:rsid w:val="0023534D"/>
    <w:rsid w:val="00235481"/>
    <w:rsid w:val="00235692"/>
    <w:rsid w:val="0023584B"/>
    <w:rsid w:val="002359F2"/>
    <w:rsid w:val="00235A92"/>
    <w:rsid w:val="00235BA2"/>
    <w:rsid w:val="00235C15"/>
    <w:rsid w:val="0023631D"/>
    <w:rsid w:val="00236438"/>
    <w:rsid w:val="002364EA"/>
    <w:rsid w:val="00236856"/>
    <w:rsid w:val="00236937"/>
    <w:rsid w:val="00236B9F"/>
    <w:rsid w:val="00236C30"/>
    <w:rsid w:val="00236C6B"/>
    <w:rsid w:val="00236E10"/>
    <w:rsid w:val="00236F09"/>
    <w:rsid w:val="00237059"/>
    <w:rsid w:val="002370F5"/>
    <w:rsid w:val="002372D5"/>
    <w:rsid w:val="00237347"/>
    <w:rsid w:val="002374B1"/>
    <w:rsid w:val="00237541"/>
    <w:rsid w:val="0023793C"/>
    <w:rsid w:val="00237D1A"/>
    <w:rsid w:val="00237FE4"/>
    <w:rsid w:val="0024025C"/>
    <w:rsid w:val="00240834"/>
    <w:rsid w:val="00240911"/>
    <w:rsid w:val="002409E0"/>
    <w:rsid w:val="00240B48"/>
    <w:rsid w:val="00240E83"/>
    <w:rsid w:val="00240F0C"/>
    <w:rsid w:val="0024118A"/>
    <w:rsid w:val="00241248"/>
    <w:rsid w:val="0024141F"/>
    <w:rsid w:val="00241539"/>
    <w:rsid w:val="002416EE"/>
    <w:rsid w:val="00241907"/>
    <w:rsid w:val="00241999"/>
    <w:rsid w:val="00241A59"/>
    <w:rsid w:val="00241D3D"/>
    <w:rsid w:val="00241D9B"/>
    <w:rsid w:val="00241E90"/>
    <w:rsid w:val="00241E99"/>
    <w:rsid w:val="002421D9"/>
    <w:rsid w:val="00242548"/>
    <w:rsid w:val="002425E1"/>
    <w:rsid w:val="002429BF"/>
    <w:rsid w:val="00242A92"/>
    <w:rsid w:val="00242B91"/>
    <w:rsid w:val="00242DCF"/>
    <w:rsid w:val="00242E09"/>
    <w:rsid w:val="00242E0A"/>
    <w:rsid w:val="00243253"/>
    <w:rsid w:val="00243277"/>
    <w:rsid w:val="00243679"/>
    <w:rsid w:val="00243769"/>
    <w:rsid w:val="00243783"/>
    <w:rsid w:val="002437E6"/>
    <w:rsid w:val="00243985"/>
    <w:rsid w:val="00243B19"/>
    <w:rsid w:val="00243C31"/>
    <w:rsid w:val="00243CA1"/>
    <w:rsid w:val="00243D15"/>
    <w:rsid w:val="00243F37"/>
    <w:rsid w:val="00244013"/>
    <w:rsid w:val="0024413E"/>
    <w:rsid w:val="002441A5"/>
    <w:rsid w:val="002441C4"/>
    <w:rsid w:val="0024457F"/>
    <w:rsid w:val="00244841"/>
    <w:rsid w:val="002448A6"/>
    <w:rsid w:val="00244935"/>
    <w:rsid w:val="002449BE"/>
    <w:rsid w:val="00244AA1"/>
    <w:rsid w:val="00244FCF"/>
    <w:rsid w:val="002450D4"/>
    <w:rsid w:val="0024541E"/>
    <w:rsid w:val="0024555E"/>
    <w:rsid w:val="002455A6"/>
    <w:rsid w:val="002455D5"/>
    <w:rsid w:val="0024579E"/>
    <w:rsid w:val="0024581E"/>
    <w:rsid w:val="00245994"/>
    <w:rsid w:val="00245C48"/>
    <w:rsid w:val="00245CC9"/>
    <w:rsid w:val="00245CD5"/>
    <w:rsid w:val="00246274"/>
    <w:rsid w:val="00246556"/>
    <w:rsid w:val="00246880"/>
    <w:rsid w:val="00246B18"/>
    <w:rsid w:val="00246CF9"/>
    <w:rsid w:val="00246D6D"/>
    <w:rsid w:val="00246E9D"/>
    <w:rsid w:val="00246F17"/>
    <w:rsid w:val="00247064"/>
    <w:rsid w:val="002473FE"/>
    <w:rsid w:val="002475E4"/>
    <w:rsid w:val="002476F6"/>
    <w:rsid w:val="0024793F"/>
    <w:rsid w:val="00247B99"/>
    <w:rsid w:val="00247E74"/>
    <w:rsid w:val="00247F03"/>
    <w:rsid w:val="00247FDF"/>
    <w:rsid w:val="00250142"/>
    <w:rsid w:val="00250161"/>
    <w:rsid w:val="002501D8"/>
    <w:rsid w:val="0025077C"/>
    <w:rsid w:val="00250B8C"/>
    <w:rsid w:val="00250C91"/>
    <w:rsid w:val="00250CBD"/>
    <w:rsid w:val="0025102A"/>
    <w:rsid w:val="002513B5"/>
    <w:rsid w:val="002514CF"/>
    <w:rsid w:val="002515C8"/>
    <w:rsid w:val="002516EC"/>
    <w:rsid w:val="00251760"/>
    <w:rsid w:val="0025189B"/>
    <w:rsid w:val="002519F3"/>
    <w:rsid w:val="00251E1C"/>
    <w:rsid w:val="00251F44"/>
    <w:rsid w:val="0025218F"/>
    <w:rsid w:val="00252642"/>
    <w:rsid w:val="00252CB5"/>
    <w:rsid w:val="00252D4A"/>
    <w:rsid w:val="00252DDD"/>
    <w:rsid w:val="00253492"/>
    <w:rsid w:val="00253576"/>
    <w:rsid w:val="0025373B"/>
    <w:rsid w:val="002537B2"/>
    <w:rsid w:val="002537CE"/>
    <w:rsid w:val="002537F2"/>
    <w:rsid w:val="002539F5"/>
    <w:rsid w:val="00253BCB"/>
    <w:rsid w:val="002541D5"/>
    <w:rsid w:val="002546C9"/>
    <w:rsid w:val="0025477B"/>
    <w:rsid w:val="00254805"/>
    <w:rsid w:val="00254807"/>
    <w:rsid w:val="00254DA8"/>
    <w:rsid w:val="00255070"/>
    <w:rsid w:val="002550EB"/>
    <w:rsid w:val="002553BE"/>
    <w:rsid w:val="00255630"/>
    <w:rsid w:val="0025569B"/>
    <w:rsid w:val="002557E7"/>
    <w:rsid w:val="00255A71"/>
    <w:rsid w:val="00255C77"/>
    <w:rsid w:val="00255E07"/>
    <w:rsid w:val="00255E36"/>
    <w:rsid w:val="00255FAE"/>
    <w:rsid w:val="00256297"/>
    <w:rsid w:val="002565B7"/>
    <w:rsid w:val="002565C7"/>
    <w:rsid w:val="00256662"/>
    <w:rsid w:val="002566EC"/>
    <w:rsid w:val="00256739"/>
    <w:rsid w:val="00256A04"/>
    <w:rsid w:val="00256B8B"/>
    <w:rsid w:val="00256BB5"/>
    <w:rsid w:val="00256C10"/>
    <w:rsid w:val="00256DDE"/>
    <w:rsid w:val="00256E80"/>
    <w:rsid w:val="00257328"/>
    <w:rsid w:val="0025733D"/>
    <w:rsid w:val="002574FD"/>
    <w:rsid w:val="00257834"/>
    <w:rsid w:val="0025784C"/>
    <w:rsid w:val="00257B15"/>
    <w:rsid w:val="00257CB4"/>
    <w:rsid w:val="00257D1D"/>
    <w:rsid w:val="00257DE2"/>
    <w:rsid w:val="0026042A"/>
    <w:rsid w:val="002606FE"/>
    <w:rsid w:val="0026073F"/>
    <w:rsid w:val="002609B3"/>
    <w:rsid w:val="002609CF"/>
    <w:rsid w:val="00260ABE"/>
    <w:rsid w:val="00260C4B"/>
    <w:rsid w:val="00260EE2"/>
    <w:rsid w:val="002618AB"/>
    <w:rsid w:val="00261A57"/>
    <w:rsid w:val="00261DD0"/>
    <w:rsid w:val="00261F53"/>
    <w:rsid w:val="00261F64"/>
    <w:rsid w:val="00261FC7"/>
    <w:rsid w:val="00262107"/>
    <w:rsid w:val="0026245B"/>
    <w:rsid w:val="00262990"/>
    <w:rsid w:val="00262AB1"/>
    <w:rsid w:val="00262C62"/>
    <w:rsid w:val="00262C86"/>
    <w:rsid w:val="00262CB3"/>
    <w:rsid w:val="00262DFF"/>
    <w:rsid w:val="0026310F"/>
    <w:rsid w:val="0026320E"/>
    <w:rsid w:val="0026387B"/>
    <w:rsid w:val="0026394D"/>
    <w:rsid w:val="00263979"/>
    <w:rsid w:val="0026398B"/>
    <w:rsid w:val="002639E8"/>
    <w:rsid w:val="00263C95"/>
    <w:rsid w:val="00263CC6"/>
    <w:rsid w:val="00263EB7"/>
    <w:rsid w:val="00263F4A"/>
    <w:rsid w:val="00263FDF"/>
    <w:rsid w:val="00264072"/>
    <w:rsid w:val="002640F6"/>
    <w:rsid w:val="0026424F"/>
    <w:rsid w:val="00264687"/>
    <w:rsid w:val="00264B93"/>
    <w:rsid w:val="00264B96"/>
    <w:rsid w:val="00264F71"/>
    <w:rsid w:val="0026547E"/>
    <w:rsid w:val="002655CB"/>
    <w:rsid w:val="002655D4"/>
    <w:rsid w:val="00265717"/>
    <w:rsid w:val="0026578E"/>
    <w:rsid w:val="002657EF"/>
    <w:rsid w:val="00265A64"/>
    <w:rsid w:val="002662D1"/>
    <w:rsid w:val="002663E9"/>
    <w:rsid w:val="0026644D"/>
    <w:rsid w:val="002665E4"/>
    <w:rsid w:val="00266614"/>
    <w:rsid w:val="0026668E"/>
    <w:rsid w:val="00266983"/>
    <w:rsid w:val="00266C76"/>
    <w:rsid w:val="00266CA9"/>
    <w:rsid w:val="00266E45"/>
    <w:rsid w:val="00266F0F"/>
    <w:rsid w:val="00266F21"/>
    <w:rsid w:val="00267492"/>
    <w:rsid w:val="00267761"/>
    <w:rsid w:val="00267BC9"/>
    <w:rsid w:val="00267C00"/>
    <w:rsid w:val="00267F34"/>
    <w:rsid w:val="00267FC9"/>
    <w:rsid w:val="00270397"/>
    <w:rsid w:val="002703BE"/>
    <w:rsid w:val="0027043A"/>
    <w:rsid w:val="0027095D"/>
    <w:rsid w:val="00270BD2"/>
    <w:rsid w:val="00270DD9"/>
    <w:rsid w:val="00270E7E"/>
    <w:rsid w:val="00271061"/>
    <w:rsid w:val="00271081"/>
    <w:rsid w:val="002711E7"/>
    <w:rsid w:val="0027129E"/>
    <w:rsid w:val="002712E8"/>
    <w:rsid w:val="0027157F"/>
    <w:rsid w:val="002716B2"/>
    <w:rsid w:val="00271A2A"/>
    <w:rsid w:val="00271A89"/>
    <w:rsid w:val="00271CE4"/>
    <w:rsid w:val="00271E8F"/>
    <w:rsid w:val="00272090"/>
    <w:rsid w:val="00272300"/>
    <w:rsid w:val="00272554"/>
    <w:rsid w:val="0027261B"/>
    <w:rsid w:val="0027269D"/>
    <w:rsid w:val="00272762"/>
    <w:rsid w:val="00272B04"/>
    <w:rsid w:val="00272F26"/>
    <w:rsid w:val="00273181"/>
    <w:rsid w:val="00273255"/>
    <w:rsid w:val="00273332"/>
    <w:rsid w:val="002734B9"/>
    <w:rsid w:val="00273553"/>
    <w:rsid w:val="0027363E"/>
    <w:rsid w:val="002737B4"/>
    <w:rsid w:val="0027386A"/>
    <w:rsid w:val="00273926"/>
    <w:rsid w:val="00273B05"/>
    <w:rsid w:val="00273C10"/>
    <w:rsid w:val="00273D10"/>
    <w:rsid w:val="00273E6D"/>
    <w:rsid w:val="00273EB2"/>
    <w:rsid w:val="00273FC6"/>
    <w:rsid w:val="00273FFB"/>
    <w:rsid w:val="002740B2"/>
    <w:rsid w:val="00274177"/>
    <w:rsid w:val="0027423D"/>
    <w:rsid w:val="002742EE"/>
    <w:rsid w:val="0027457D"/>
    <w:rsid w:val="00274633"/>
    <w:rsid w:val="002746E9"/>
    <w:rsid w:val="002746F9"/>
    <w:rsid w:val="0027474A"/>
    <w:rsid w:val="00274AFC"/>
    <w:rsid w:val="00274BA9"/>
    <w:rsid w:val="00274D0B"/>
    <w:rsid w:val="00274E56"/>
    <w:rsid w:val="00274FD0"/>
    <w:rsid w:val="00275308"/>
    <w:rsid w:val="002754BE"/>
    <w:rsid w:val="0027587B"/>
    <w:rsid w:val="002758E1"/>
    <w:rsid w:val="00275AC9"/>
    <w:rsid w:val="00275C51"/>
    <w:rsid w:val="00275CDA"/>
    <w:rsid w:val="00275D8C"/>
    <w:rsid w:val="00275DAF"/>
    <w:rsid w:val="0027644D"/>
    <w:rsid w:val="002766E6"/>
    <w:rsid w:val="002767D9"/>
    <w:rsid w:val="00276E36"/>
    <w:rsid w:val="00277016"/>
    <w:rsid w:val="0027709E"/>
    <w:rsid w:val="00277108"/>
    <w:rsid w:val="002771EE"/>
    <w:rsid w:val="00277423"/>
    <w:rsid w:val="002776E2"/>
    <w:rsid w:val="0027782E"/>
    <w:rsid w:val="00277B4A"/>
    <w:rsid w:val="00277E5E"/>
    <w:rsid w:val="00277EF7"/>
    <w:rsid w:val="002806B8"/>
    <w:rsid w:val="002807B2"/>
    <w:rsid w:val="00280873"/>
    <w:rsid w:val="00280A8D"/>
    <w:rsid w:val="00280CFB"/>
    <w:rsid w:val="00280D4F"/>
    <w:rsid w:val="00280DF6"/>
    <w:rsid w:val="00280F81"/>
    <w:rsid w:val="00281205"/>
    <w:rsid w:val="002814B1"/>
    <w:rsid w:val="0028158F"/>
    <w:rsid w:val="0028179D"/>
    <w:rsid w:val="00281970"/>
    <w:rsid w:val="00281989"/>
    <w:rsid w:val="00281D3D"/>
    <w:rsid w:val="00282017"/>
    <w:rsid w:val="00282276"/>
    <w:rsid w:val="00282313"/>
    <w:rsid w:val="002823E5"/>
    <w:rsid w:val="002828DA"/>
    <w:rsid w:val="00282928"/>
    <w:rsid w:val="0028294A"/>
    <w:rsid w:val="00282AD2"/>
    <w:rsid w:val="00282D06"/>
    <w:rsid w:val="00282D59"/>
    <w:rsid w:val="00283090"/>
    <w:rsid w:val="002835DF"/>
    <w:rsid w:val="002837F7"/>
    <w:rsid w:val="00283831"/>
    <w:rsid w:val="0028386F"/>
    <w:rsid w:val="00284362"/>
    <w:rsid w:val="0028442D"/>
    <w:rsid w:val="002847B6"/>
    <w:rsid w:val="002848F5"/>
    <w:rsid w:val="0028495A"/>
    <w:rsid w:val="00284A99"/>
    <w:rsid w:val="00284B0C"/>
    <w:rsid w:val="00284C9D"/>
    <w:rsid w:val="00284CA9"/>
    <w:rsid w:val="00284D06"/>
    <w:rsid w:val="00284DA0"/>
    <w:rsid w:val="0028507F"/>
    <w:rsid w:val="00285706"/>
    <w:rsid w:val="00285EA4"/>
    <w:rsid w:val="00285FB7"/>
    <w:rsid w:val="00286027"/>
    <w:rsid w:val="0028623F"/>
    <w:rsid w:val="002865C9"/>
    <w:rsid w:val="00286600"/>
    <w:rsid w:val="00286B54"/>
    <w:rsid w:val="00286D9D"/>
    <w:rsid w:val="002877B7"/>
    <w:rsid w:val="00287A3D"/>
    <w:rsid w:val="00287AAB"/>
    <w:rsid w:val="00287B0C"/>
    <w:rsid w:val="00287C98"/>
    <w:rsid w:val="0029038E"/>
    <w:rsid w:val="00290425"/>
    <w:rsid w:val="002905DE"/>
    <w:rsid w:val="0029063E"/>
    <w:rsid w:val="002906F5"/>
    <w:rsid w:val="00290725"/>
    <w:rsid w:val="002908CF"/>
    <w:rsid w:val="0029091E"/>
    <w:rsid w:val="002909F8"/>
    <w:rsid w:val="00290A45"/>
    <w:rsid w:val="00290CFC"/>
    <w:rsid w:val="00290DE9"/>
    <w:rsid w:val="0029110B"/>
    <w:rsid w:val="002911AD"/>
    <w:rsid w:val="002913CB"/>
    <w:rsid w:val="00291535"/>
    <w:rsid w:val="002918DE"/>
    <w:rsid w:val="00291C16"/>
    <w:rsid w:val="00291C89"/>
    <w:rsid w:val="00291EC1"/>
    <w:rsid w:val="00292117"/>
    <w:rsid w:val="0029223A"/>
    <w:rsid w:val="002922F4"/>
    <w:rsid w:val="00292459"/>
    <w:rsid w:val="00292533"/>
    <w:rsid w:val="0029260E"/>
    <w:rsid w:val="00292772"/>
    <w:rsid w:val="00292779"/>
    <w:rsid w:val="00292ABA"/>
    <w:rsid w:val="00292BF2"/>
    <w:rsid w:val="00292CCC"/>
    <w:rsid w:val="00292D18"/>
    <w:rsid w:val="00292E5F"/>
    <w:rsid w:val="00293049"/>
    <w:rsid w:val="002937CC"/>
    <w:rsid w:val="00293A1B"/>
    <w:rsid w:val="00293A94"/>
    <w:rsid w:val="00293ED7"/>
    <w:rsid w:val="002941B9"/>
    <w:rsid w:val="00294207"/>
    <w:rsid w:val="00294302"/>
    <w:rsid w:val="00294745"/>
    <w:rsid w:val="00294766"/>
    <w:rsid w:val="00294A64"/>
    <w:rsid w:val="00294B52"/>
    <w:rsid w:val="00294B6D"/>
    <w:rsid w:val="00294DC5"/>
    <w:rsid w:val="00294E9E"/>
    <w:rsid w:val="00294FF9"/>
    <w:rsid w:val="00295025"/>
    <w:rsid w:val="0029506D"/>
    <w:rsid w:val="002951EC"/>
    <w:rsid w:val="0029529E"/>
    <w:rsid w:val="002955FC"/>
    <w:rsid w:val="00295A32"/>
    <w:rsid w:val="00295BBB"/>
    <w:rsid w:val="00295C59"/>
    <w:rsid w:val="00295CF5"/>
    <w:rsid w:val="00295D51"/>
    <w:rsid w:val="00295DC9"/>
    <w:rsid w:val="00295EE9"/>
    <w:rsid w:val="00295FCD"/>
    <w:rsid w:val="00296264"/>
    <w:rsid w:val="002963F2"/>
    <w:rsid w:val="002964B0"/>
    <w:rsid w:val="00296534"/>
    <w:rsid w:val="002966A1"/>
    <w:rsid w:val="00296755"/>
    <w:rsid w:val="002968E6"/>
    <w:rsid w:val="00296C9E"/>
    <w:rsid w:val="00296F2D"/>
    <w:rsid w:val="00297356"/>
    <w:rsid w:val="00297682"/>
    <w:rsid w:val="002976AE"/>
    <w:rsid w:val="002978FF"/>
    <w:rsid w:val="00297966"/>
    <w:rsid w:val="00297B9C"/>
    <w:rsid w:val="00297BB7"/>
    <w:rsid w:val="00297E40"/>
    <w:rsid w:val="00297E69"/>
    <w:rsid w:val="002A0261"/>
    <w:rsid w:val="002A0478"/>
    <w:rsid w:val="002A051A"/>
    <w:rsid w:val="002A0657"/>
    <w:rsid w:val="002A0B9E"/>
    <w:rsid w:val="002A0C29"/>
    <w:rsid w:val="002A0E79"/>
    <w:rsid w:val="002A115E"/>
    <w:rsid w:val="002A1279"/>
    <w:rsid w:val="002A1362"/>
    <w:rsid w:val="002A13C8"/>
    <w:rsid w:val="002A14C4"/>
    <w:rsid w:val="002A15E1"/>
    <w:rsid w:val="002A1887"/>
    <w:rsid w:val="002A18AD"/>
    <w:rsid w:val="002A1908"/>
    <w:rsid w:val="002A1A8D"/>
    <w:rsid w:val="002A1BCD"/>
    <w:rsid w:val="002A1C32"/>
    <w:rsid w:val="002A1DA8"/>
    <w:rsid w:val="002A1F13"/>
    <w:rsid w:val="002A25CD"/>
    <w:rsid w:val="002A267C"/>
    <w:rsid w:val="002A2909"/>
    <w:rsid w:val="002A290E"/>
    <w:rsid w:val="002A2DDD"/>
    <w:rsid w:val="002A3091"/>
    <w:rsid w:val="002A35D0"/>
    <w:rsid w:val="002A3632"/>
    <w:rsid w:val="002A364C"/>
    <w:rsid w:val="002A38D8"/>
    <w:rsid w:val="002A39CF"/>
    <w:rsid w:val="002A3D41"/>
    <w:rsid w:val="002A3E39"/>
    <w:rsid w:val="002A4052"/>
    <w:rsid w:val="002A40DC"/>
    <w:rsid w:val="002A4181"/>
    <w:rsid w:val="002A422C"/>
    <w:rsid w:val="002A4277"/>
    <w:rsid w:val="002A449B"/>
    <w:rsid w:val="002A4BB2"/>
    <w:rsid w:val="002A4DE5"/>
    <w:rsid w:val="002A502A"/>
    <w:rsid w:val="002A5066"/>
    <w:rsid w:val="002A515C"/>
    <w:rsid w:val="002A51A7"/>
    <w:rsid w:val="002A51AF"/>
    <w:rsid w:val="002A5271"/>
    <w:rsid w:val="002A5456"/>
    <w:rsid w:val="002A5648"/>
    <w:rsid w:val="002A5969"/>
    <w:rsid w:val="002A5A29"/>
    <w:rsid w:val="002A5AA1"/>
    <w:rsid w:val="002A5B28"/>
    <w:rsid w:val="002A5D14"/>
    <w:rsid w:val="002A5E9C"/>
    <w:rsid w:val="002A6296"/>
    <w:rsid w:val="002A6424"/>
    <w:rsid w:val="002A69F3"/>
    <w:rsid w:val="002A6B8B"/>
    <w:rsid w:val="002A6D29"/>
    <w:rsid w:val="002A6DFF"/>
    <w:rsid w:val="002A6F13"/>
    <w:rsid w:val="002A6F28"/>
    <w:rsid w:val="002A707F"/>
    <w:rsid w:val="002A7302"/>
    <w:rsid w:val="002A73A9"/>
    <w:rsid w:val="002A73FA"/>
    <w:rsid w:val="002A7501"/>
    <w:rsid w:val="002A750B"/>
    <w:rsid w:val="002A7729"/>
    <w:rsid w:val="002A77B1"/>
    <w:rsid w:val="002A77CA"/>
    <w:rsid w:val="002A78D9"/>
    <w:rsid w:val="002A7A67"/>
    <w:rsid w:val="002A7A73"/>
    <w:rsid w:val="002A7DAA"/>
    <w:rsid w:val="002A7EB5"/>
    <w:rsid w:val="002B064F"/>
    <w:rsid w:val="002B065B"/>
    <w:rsid w:val="002B0B46"/>
    <w:rsid w:val="002B0F51"/>
    <w:rsid w:val="002B0FB8"/>
    <w:rsid w:val="002B10D8"/>
    <w:rsid w:val="002B11B0"/>
    <w:rsid w:val="002B11F4"/>
    <w:rsid w:val="002B14A5"/>
    <w:rsid w:val="002B1635"/>
    <w:rsid w:val="002B17A0"/>
    <w:rsid w:val="002B1BC5"/>
    <w:rsid w:val="002B1BF8"/>
    <w:rsid w:val="002B1F94"/>
    <w:rsid w:val="002B2070"/>
    <w:rsid w:val="002B22EF"/>
    <w:rsid w:val="002B2443"/>
    <w:rsid w:val="002B26A2"/>
    <w:rsid w:val="002B2986"/>
    <w:rsid w:val="002B2B43"/>
    <w:rsid w:val="002B2CC2"/>
    <w:rsid w:val="002B2F07"/>
    <w:rsid w:val="002B3013"/>
    <w:rsid w:val="002B30D5"/>
    <w:rsid w:val="002B3296"/>
    <w:rsid w:val="002B32E3"/>
    <w:rsid w:val="002B331A"/>
    <w:rsid w:val="002B34A1"/>
    <w:rsid w:val="002B34FF"/>
    <w:rsid w:val="002B38C6"/>
    <w:rsid w:val="002B390C"/>
    <w:rsid w:val="002B3A32"/>
    <w:rsid w:val="002B3A34"/>
    <w:rsid w:val="002B3A50"/>
    <w:rsid w:val="002B3C31"/>
    <w:rsid w:val="002B3C69"/>
    <w:rsid w:val="002B4078"/>
    <w:rsid w:val="002B4351"/>
    <w:rsid w:val="002B4547"/>
    <w:rsid w:val="002B45F7"/>
    <w:rsid w:val="002B4806"/>
    <w:rsid w:val="002B4BD0"/>
    <w:rsid w:val="002B4CA8"/>
    <w:rsid w:val="002B4ECA"/>
    <w:rsid w:val="002B4F22"/>
    <w:rsid w:val="002B4F4F"/>
    <w:rsid w:val="002B4F5D"/>
    <w:rsid w:val="002B4FB8"/>
    <w:rsid w:val="002B511E"/>
    <w:rsid w:val="002B52D7"/>
    <w:rsid w:val="002B536C"/>
    <w:rsid w:val="002B54F2"/>
    <w:rsid w:val="002B56F5"/>
    <w:rsid w:val="002B572B"/>
    <w:rsid w:val="002B58CF"/>
    <w:rsid w:val="002B5A15"/>
    <w:rsid w:val="002B5A54"/>
    <w:rsid w:val="002B5B5B"/>
    <w:rsid w:val="002B5B68"/>
    <w:rsid w:val="002B5C69"/>
    <w:rsid w:val="002B5D15"/>
    <w:rsid w:val="002B6042"/>
    <w:rsid w:val="002B6060"/>
    <w:rsid w:val="002B616A"/>
    <w:rsid w:val="002B6417"/>
    <w:rsid w:val="002B6713"/>
    <w:rsid w:val="002B6814"/>
    <w:rsid w:val="002B6D8B"/>
    <w:rsid w:val="002B6DD8"/>
    <w:rsid w:val="002B6E4E"/>
    <w:rsid w:val="002B6F96"/>
    <w:rsid w:val="002B7118"/>
    <w:rsid w:val="002B715F"/>
    <w:rsid w:val="002B7330"/>
    <w:rsid w:val="002B75F0"/>
    <w:rsid w:val="002B78B2"/>
    <w:rsid w:val="002B7D69"/>
    <w:rsid w:val="002B7EE2"/>
    <w:rsid w:val="002B7F74"/>
    <w:rsid w:val="002C021E"/>
    <w:rsid w:val="002C024D"/>
    <w:rsid w:val="002C02C3"/>
    <w:rsid w:val="002C03FA"/>
    <w:rsid w:val="002C0405"/>
    <w:rsid w:val="002C05F5"/>
    <w:rsid w:val="002C06D1"/>
    <w:rsid w:val="002C0A84"/>
    <w:rsid w:val="002C0F14"/>
    <w:rsid w:val="002C11A6"/>
    <w:rsid w:val="002C11E4"/>
    <w:rsid w:val="002C1472"/>
    <w:rsid w:val="002C14CD"/>
    <w:rsid w:val="002C185E"/>
    <w:rsid w:val="002C18C9"/>
    <w:rsid w:val="002C1981"/>
    <w:rsid w:val="002C1C5A"/>
    <w:rsid w:val="002C1C81"/>
    <w:rsid w:val="002C1DEF"/>
    <w:rsid w:val="002C1FED"/>
    <w:rsid w:val="002C20B2"/>
    <w:rsid w:val="002C2183"/>
    <w:rsid w:val="002C23AF"/>
    <w:rsid w:val="002C2578"/>
    <w:rsid w:val="002C29F9"/>
    <w:rsid w:val="002C2A33"/>
    <w:rsid w:val="002C2BCF"/>
    <w:rsid w:val="002C2BDD"/>
    <w:rsid w:val="002C2CEA"/>
    <w:rsid w:val="002C2CF5"/>
    <w:rsid w:val="002C2E06"/>
    <w:rsid w:val="002C2E30"/>
    <w:rsid w:val="002C31A4"/>
    <w:rsid w:val="002C31E4"/>
    <w:rsid w:val="002C3256"/>
    <w:rsid w:val="002C32BF"/>
    <w:rsid w:val="002C32C0"/>
    <w:rsid w:val="002C335C"/>
    <w:rsid w:val="002C38EC"/>
    <w:rsid w:val="002C3989"/>
    <w:rsid w:val="002C3D3B"/>
    <w:rsid w:val="002C3DF2"/>
    <w:rsid w:val="002C400A"/>
    <w:rsid w:val="002C41FD"/>
    <w:rsid w:val="002C47D0"/>
    <w:rsid w:val="002C4800"/>
    <w:rsid w:val="002C481C"/>
    <w:rsid w:val="002C48EC"/>
    <w:rsid w:val="002C498C"/>
    <w:rsid w:val="002C49F5"/>
    <w:rsid w:val="002C4BDF"/>
    <w:rsid w:val="002C4ECC"/>
    <w:rsid w:val="002C5069"/>
    <w:rsid w:val="002C53E2"/>
    <w:rsid w:val="002C5C60"/>
    <w:rsid w:val="002C607F"/>
    <w:rsid w:val="002C62AC"/>
    <w:rsid w:val="002C6699"/>
    <w:rsid w:val="002C678B"/>
    <w:rsid w:val="002C6832"/>
    <w:rsid w:val="002C6900"/>
    <w:rsid w:val="002C6D51"/>
    <w:rsid w:val="002C7072"/>
    <w:rsid w:val="002C76B2"/>
    <w:rsid w:val="002C776B"/>
    <w:rsid w:val="002C77D3"/>
    <w:rsid w:val="002C7880"/>
    <w:rsid w:val="002C7BF9"/>
    <w:rsid w:val="002C7C07"/>
    <w:rsid w:val="002C7CB7"/>
    <w:rsid w:val="002C7DAA"/>
    <w:rsid w:val="002C7F56"/>
    <w:rsid w:val="002D00A0"/>
    <w:rsid w:val="002D00D6"/>
    <w:rsid w:val="002D0121"/>
    <w:rsid w:val="002D03E7"/>
    <w:rsid w:val="002D05D2"/>
    <w:rsid w:val="002D063F"/>
    <w:rsid w:val="002D095B"/>
    <w:rsid w:val="002D0B5F"/>
    <w:rsid w:val="002D0C81"/>
    <w:rsid w:val="002D0CA2"/>
    <w:rsid w:val="002D0E4B"/>
    <w:rsid w:val="002D0E7E"/>
    <w:rsid w:val="002D0EDE"/>
    <w:rsid w:val="002D0FE7"/>
    <w:rsid w:val="002D11CA"/>
    <w:rsid w:val="002D1205"/>
    <w:rsid w:val="002D12C7"/>
    <w:rsid w:val="002D13DD"/>
    <w:rsid w:val="002D1610"/>
    <w:rsid w:val="002D1774"/>
    <w:rsid w:val="002D197A"/>
    <w:rsid w:val="002D1999"/>
    <w:rsid w:val="002D1ADA"/>
    <w:rsid w:val="002D1F6A"/>
    <w:rsid w:val="002D2259"/>
    <w:rsid w:val="002D230B"/>
    <w:rsid w:val="002D25CF"/>
    <w:rsid w:val="002D25E7"/>
    <w:rsid w:val="002D27B1"/>
    <w:rsid w:val="002D28DB"/>
    <w:rsid w:val="002D2D2C"/>
    <w:rsid w:val="002D2D64"/>
    <w:rsid w:val="002D2D9C"/>
    <w:rsid w:val="002D2F05"/>
    <w:rsid w:val="002D30E8"/>
    <w:rsid w:val="002D3159"/>
    <w:rsid w:val="002D34D1"/>
    <w:rsid w:val="002D360E"/>
    <w:rsid w:val="002D366E"/>
    <w:rsid w:val="002D36C6"/>
    <w:rsid w:val="002D38E7"/>
    <w:rsid w:val="002D3AC5"/>
    <w:rsid w:val="002D3D60"/>
    <w:rsid w:val="002D3DBB"/>
    <w:rsid w:val="002D3FFE"/>
    <w:rsid w:val="002D4102"/>
    <w:rsid w:val="002D41CE"/>
    <w:rsid w:val="002D42D8"/>
    <w:rsid w:val="002D4329"/>
    <w:rsid w:val="002D4384"/>
    <w:rsid w:val="002D4388"/>
    <w:rsid w:val="002D48BB"/>
    <w:rsid w:val="002D4A83"/>
    <w:rsid w:val="002D4C69"/>
    <w:rsid w:val="002D4FD6"/>
    <w:rsid w:val="002D50F6"/>
    <w:rsid w:val="002D52BE"/>
    <w:rsid w:val="002D5B0E"/>
    <w:rsid w:val="002D5D21"/>
    <w:rsid w:val="002D5D42"/>
    <w:rsid w:val="002D5DFB"/>
    <w:rsid w:val="002D6089"/>
    <w:rsid w:val="002D62F1"/>
    <w:rsid w:val="002D64C8"/>
    <w:rsid w:val="002D65A4"/>
    <w:rsid w:val="002D6637"/>
    <w:rsid w:val="002D6792"/>
    <w:rsid w:val="002D686E"/>
    <w:rsid w:val="002D688C"/>
    <w:rsid w:val="002D6976"/>
    <w:rsid w:val="002D6999"/>
    <w:rsid w:val="002D6A7F"/>
    <w:rsid w:val="002D6B98"/>
    <w:rsid w:val="002D6DC0"/>
    <w:rsid w:val="002D715F"/>
    <w:rsid w:val="002D717B"/>
    <w:rsid w:val="002D731B"/>
    <w:rsid w:val="002D73EB"/>
    <w:rsid w:val="002D7657"/>
    <w:rsid w:val="002D7804"/>
    <w:rsid w:val="002D79AC"/>
    <w:rsid w:val="002D7AE8"/>
    <w:rsid w:val="002D7B38"/>
    <w:rsid w:val="002D7C69"/>
    <w:rsid w:val="002D7F1E"/>
    <w:rsid w:val="002E0102"/>
    <w:rsid w:val="002E01C2"/>
    <w:rsid w:val="002E0212"/>
    <w:rsid w:val="002E04A1"/>
    <w:rsid w:val="002E05EF"/>
    <w:rsid w:val="002E0736"/>
    <w:rsid w:val="002E07FC"/>
    <w:rsid w:val="002E095D"/>
    <w:rsid w:val="002E0AAA"/>
    <w:rsid w:val="002E0AD4"/>
    <w:rsid w:val="002E0D9A"/>
    <w:rsid w:val="002E0EFB"/>
    <w:rsid w:val="002E119B"/>
    <w:rsid w:val="002E1298"/>
    <w:rsid w:val="002E13C1"/>
    <w:rsid w:val="002E152A"/>
    <w:rsid w:val="002E1EFA"/>
    <w:rsid w:val="002E1F1F"/>
    <w:rsid w:val="002E26E5"/>
    <w:rsid w:val="002E282A"/>
    <w:rsid w:val="002E2A84"/>
    <w:rsid w:val="002E3122"/>
    <w:rsid w:val="002E3176"/>
    <w:rsid w:val="002E33AF"/>
    <w:rsid w:val="002E366A"/>
    <w:rsid w:val="002E38FE"/>
    <w:rsid w:val="002E39EC"/>
    <w:rsid w:val="002E3ADC"/>
    <w:rsid w:val="002E3BF0"/>
    <w:rsid w:val="002E3C36"/>
    <w:rsid w:val="002E3E8D"/>
    <w:rsid w:val="002E3FE8"/>
    <w:rsid w:val="002E4100"/>
    <w:rsid w:val="002E42A0"/>
    <w:rsid w:val="002E457C"/>
    <w:rsid w:val="002E48EB"/>
    <w:rsid w:val="002E496A"/>
    <w:rsid w:val="002E4C3B"/>
    <w:rsid w:val="002E4C41"/>
    <w:rsid w:val="002E4EDB"/>
    <w:rsid w:val="002E54F7"/>
    <w:rsid w:val="002E5931"/>
    <w:rsid w:val="002E595C"/>
    <w:rsid w:val="002E5A25"/>
    <w:rsid w:val="002E5BBE"/>
    <w:rsid w:val="002E5CAB"/>
    <w:rsid w:val="002E5DE2"/>
    <w:rsid w:val="002E6309"/>
    <w:rsid w:val="002E64A5"/>
    <w:rsid w:val="002E694C"/>
    <w:rsid w:val="002E69DA"/>
    <w:rsid w:val="002E6CB4"/>
    <w:rsid w:val="002E6EB3"/>
    <w:rsid w:val="002E6F52"/>
    <w:rsid w:val="002E73A8"/>
    <w:rsid w:val="002E767C"/>
    <w:rsid w:val="002E7D63"/>
    <w:rsid w:val="002E7E01"/>
    <w:rsid w:val="002F0067"/>
    <w:rsid w:val="002F0083"/>
    <w:rsid w:val="002F0383"/>
    <w:rsid w:val="002F07C3"/>
    <w:rsid w:val="002F1019"/>
    <w:rsid w:val="002F13A9"/>
    <w:rsid w:val="002F1485"/>
    <w:rsid w:val="002F162D"/>
    <w:rsid w:val="002F1685"/>
    <w:rsid w:val="002F192D"/>
    <w:rsid w:val="002F1E7B"/>
    <w:rsid w:val="002F1EED"/>
    <w:rsid w:val="002F25DC"/>
    <w:rsid w:val="002F29AA"/>
    <w:rsid w:val="002F2C98"/>
    <w:rsid w:val="002F2DD9"/>
    <w:rsid w:val="002F3021"/>
    <w:rsid w:val="002F3204"/>
    <w:rsid w:val="002F37B1"/>
    <w:rsid w:val="002F3949"/>
    <w:rsid w:val="002F3C57"/>
    <w:rsid w:val="002F3D6A"/>
    <w:rsid w:val="002F408F"/>
    <w:rsid w:val="002F40DC"/>
    <w:rsid w:val="002F4102"/>
    <w:rsid w:val="002F41C3"/>
    <w:rsid w:val="002F42F1"/>
    <w:rsid w:val="002F44EC"/>
    <w:rsid w:val="002F4538"/>
    <w:rsid w:val="002F45F9"/>
    <w:rsid w:val="002F464A"/>
    <w:rsid w:val="002F47B3"/>
    <w:rsid w:val="002F4CC1"/>
    <w:rsid w:val="002F4D24"/>
    <w:rsid w:val="002F4DA9"/>
    <w:rsid w:val="002F4EEE"/>
    <w:rsid w:val="002F52C2"/>
    <w:rsid w:val="002F57FD"/>
    <w:rsid w:val="002F587F"/>
    <w:rsid w:val="002F58D9"/>
    <w:rsid w:val="002F5C4E"/>
    <w:rsid w:val="002F5D91"/>
    <w:rsid w:val="002F5F49"/>
    <w:rsid w:val="002F6318"/>
    <w:rsid w:val="002F6716"/>
    <w:rsid w:val="002F6771"/>
    <w:rsid w:val="002F6810"/>
    <w:rsid w:val="002F6AAD"/>
    <w:rsid w:val="002F6EDB"/>
    <w:rsid w:val="002F6EDD"/>
    <w:rsid w:val="002F73F2"/>
    <w:rsid w:val="002F7513"/>
    <w:rsid w:val="002F7B66"/>
    <w:rsid w:val="003002D6"/>
    <w:rsid w:val="0030031C"/>
    <w:rsid w:val="0030088D"/>
    <w:rsid w:val="0030092A"/>
    <w:rsid w:val="00300A96"/>
    <w:rsid w:val="00300CB2"/>
    <w:rsid w:val="00300F09"/>
    <w:rsid w:val="00300FEC"/>
    <w:rsid w:val="003012ED"/>
    <w:rsid w:val="00301724"/>
    <w:rsid w:val="00301C5B"/>
    <w:rsid w:val="00301C8D"/>
    <w:rsid w:val="00301F6E"/>
    <w:rsid w:val="0030218C"/>
    <w:rsid w:val="00302254"/>
    <w:rsid w:val="00302288"/>
    <w:rsid w:val="00302486"/>
    <w:rsid w:val="003024C9"/>
    <w:rsid w:val="00302AC6"/>
    <w:rsid w:val="00302D4C"/>
    <w:rsid w:val="00302EC9"/>
    <w:rsid w:val="00302F55"/>
    <w:rsid w:val="00302F61"/>
    <w:rsid w:val="00303218"/>
    <w:rsid w:val="00303390"/>
    <w:rsid w:val="0030349A"/>
    <w:rsid w:val="003034E9"/>
    <w:rsid w:val="003038CE"/>
    <w:rsid w:val="003039D9"/>
    <w:rsid w:val="00303D9C"/>
    <w:rsid w:val="00303E8E"/>
    <w:rsid w:val="00303F8C"/>
    <w:rsid w:val="003042A3"/>
    <w:rsid w:val="003043C8"/>
    <w:rsid w:val="00304676"/>
    <w:rsid w:val="003046F9"/>
    <w:rsid w:val="003047E6"/>
    <w:rsid w:val="00304AFE"/>
    <w:rsid w:val="00304C92"/>
    <w:rsid w:val="00304F54"/>
    <w:rsid w:val="00304FA5"/>
    <w:rsid w:val="00305020"/>
    <w:rsid w:val="003050A4"/>
    <w:rsid w:val="003051B8"/>
    <w:rsid w:val="00305208"/>
    <w:rsid w:val="00305219"/>
    <w:rsid w:val="00305221"/>
    <w:rsid w:val="00305326"/>
    <w:rsid w:val="00305562"/>
    <w:rsid w:val="00305949"/>
    <w:rsid w:val="00305B5B"/>
    <w:rsid w:val="00305D06"/>
    <w:rsid w:val="00306246"/>
    <w:rsid w:val="0030628F"/>
    <w:rsid w:val="00306556"/>
    <w:rsid w:val="003067BE"/>
    <w:rsid w:val="003068FB"/>
    <w:rsid w:val="00306A4F"/>
    <w:rsid w:val="00306A9B"/>
    <w:rsid w:val="00306AE5"/>
    <w:rsid w:val="00306C4F"/>
    <w:rsid w:val="00306EFD"/>
    <w:rsid w:val="00307457"/>
    <w:rsid w:val="003076BC"/>
    <w:rsid w:val="00307F93"/>
    <w:rsid w:val="003100DD"/>
    <w:rsid w:val="00310463"/>
    <w:rsid w:val="003106D1"/>
    <w:rsid w:val="003106D5"/>
    <w:rsid w:val="0031075F"/>
    <w:rsid w:val="00310838"/>
    <w:rsid w:val="00310B7D"/>
    <w:rsid w:val="00310D22"/>
    <w:rsid w:val="00310F02"/>
    <w:rsid w:val="0031118F"/>
    <w:rsid w:val="003111F3"/>
    <w:rsid w:val="0031123B"/>
    <w:rsid w:val="003113E5"/>
    <w:rsid w:val="00311554"/>
    <w:rsid w:val="003115EE"/>
    <w:rsid w:val="00311618"/>
    <w:rsid w:val="00311BDA"/>
    <w:rsid w:val="00311BE0"/>
    <w:rsid w:val="0031220D"/>
    <w:rsid w:val="003123F6"/>
    <w:rsid w:val="003125B4"/>
    <w:rsid w:val="003125BE"/>
    <w:rsid w:val="00312764"/>
    <w:rsid w:val="003127C4"/>
    <w:rsid w:val="0031297E"/>
    <w:rsid w:val="003129A0"/>
    <w:rsid w:val="003129BF"/>
    <w:rsid w:val="00312AE3"/>
    <w:rsid w:val="00312CA6"/>
    <w:rsid w:val="003135C8"/>
    <w:rsid w:val="00313624"/>
    <w:rsid w:val="00313EAD"/>
    <w:rsid w:val="00313F58"/>
    <w:rsid w:val="00313F5A"/>
    <w:rsid w:val="003143E3"/>
    <w:rsid w:val="003144CE"/>
    <w:rsid w:val="0031471A"/>
    <w:rsid w:val="00314A05"/>
    <w:rsid w:val="00314ABB"/>
    <w:rsid w:val="00315A46"/>
    <w:rsid w:val="00315E0F"/>
    <w:rsid w:val="00316045"/>
    <w:rsid w:val="00316152"/>
    <w:rsid w:val="0031624F"/>
    <w:rsid w:val="00316295"/>
    <w:rsid w:val="003166BD"/>
    <w:rsid w:val="00316701"/>
    <w:rsid w:val="003169B4"/>
    <w:rsid w:val="00316A3D"/>
    <w:rsid w:val="00316C73"/>
    <w:rsid w:val="00316CDE"/>
    <w:rsid w:val="00316CFA"/>
    <w:rsid w:val="00316EE1"/>
    <w:rsid w:val="003170DF"/>
    <w:rsid w:val="003174D5"/>
    <w:rsid w:val="003179F1"/>
    <w:rsid w:val="00317A11"/>
    <w:rsid w:val="00317A78"/>
    <w:rsid w:val="00317BB3"/>
    <w:rsid w:val="00317CB3"/>
    <w:rsid w:val="00317DBC"/>
    <w:rsid w:val="00317F3A"/>
    <w:rsid w:val="003200E0"/>
    <w:rsid w:val="003201F0"/>
    <w:rsid w:val="00320404"/>
    <w:rsid w:val="0032045A"/>
    <w:rsid w:val="003204D3"/>
    <w:rsid w:val="0032053B"/>
    <w:rsid w:val="00320721"/>
    <w:rsid w:val="00320771"/>
    <w:rsid w:val="0032099D"/>
    <w:rsid w:val="00321246"/>
    <w:rsid w:val="0032126C"/>
    <w:rsid w:val="003213F7"/>
    <w:rsid w:val="00321607"/>
    <w:rsid w:val="00321698"/>
    <w:rsid w:val="0032175F"/>
    <w:rsid w:val="0032177D"/>
    <w:rsid w:val="003219D4"/>
    <w:rsid w:val="003219D5"/>
    <w:rsid w:val="00321B6B"/>
    <w:rsid w:val="00321CF2"/>
    <w:rsid w:val="00321D71"/>
    <w:rsid w:val="00321F2F"/>
    <w:rsid w:val="003220D4"/>
    <w:rsid w:val="003223BC"/>
    <w:rsid w:val="003225E0"/>
    <w:rsid w:val="0032269E"/>
    <w:rsid w:val="00322803"/>
    <w:rsid w:val="00322B2D"/>
    <w:rsid w:val="00322C9A"/>
    <w:rsid w:val="003235C2"/>
    <w:rsid w:val="00323C35"/>
    <w:rsid w:val="00323D10"/>
    <w:rsid w:val="00323D37"/>
    <w:rsid w:val="00323E77"/>
    <w:rsid w:val="00324089"/>
    <w:rsid w:val="00324260"/>
    <w:rsid w:val="003242E7"/>
    <w:rsid w:val="00324387"/>
    <w:rsid w:val="00324751"/>
    <w:rsid w:val="00324B81"/>
    <w:rsid w:val="00324C5B"/>
    <w:rsid w:val="00324E73"/>
    <w:rsid w:val="00324E74"/>
    <w:rsid w:val="0032504A"/>
    <w:rsid w:val="0032529C"/>
    <w:rsid w:val="00325494"/>
    <w:rsid w:val="0032552F"/>
    <w:rsid w:val="0032556F"/>
    <w:rsid w:val="00325808"/>
    <w:rsid w:val="00325813"/>
    <w:rsid w:val="00325819"/>
    <w:rsid w:val="0032584B"/>
    <w:rsid w:val="003259EF"/>
    <w:rsid w:val="00325EE3"/>
    <w:rsid w:val="00325EF3"/>
    <w:rsid w:val="00325F03"/>
    <w:rsid w:val="00325FAF"/>
    <w:rsid w:val="00325FC6"/>
    <w:rsid w:val="003262B1"/>
    <w:rsid w:val="00326400"/>
    <w:rsid w:val="003264E8"/>
    <w:rsid w:val="003268E4"/>
    <w:rsid w:val="003269D3"/>
    <w:rsid w:val="00326FFC"/>
    <w:rsid w:val="0032705F"/>
    <w:rsid w:val="003270A5"/>
    <w:rsid w:val="00327190"/>
    <w:rsid w:val="003272E1"/>
    <w:rsid w:val="0032738D"/>
    <w:rsid w:val="0032758A"/>
    <w:rsid w:val="0032788E"/>
    <w:rsid w:val="00327EF0"/>
    <w:rsid w:val="00327F36"/>
    <w:rsid w:val="0033017F"/>
    <w:rsid w:val="003302D1"/>
    <w:rsid w:val="0033032E"/>
    <w:rsid w:val="00330A6A"/>
    <w:rsid w:val="00330D24"/>
    <w:rsid w:val="00330F3D"/>
    <w:rsid w:val="003312B7"/>
    <w:rsid w:val="003313FE"/>
    <w:rsid w:val="00331681"/>
    <w:rsid w:val="003316C7"/>
    <w:rsid w:val="00331942"/>
    <w:rsid w:val="003319A7"/>
    <w:rsid w:val="003319D7"/>
    <w:rsid w:val="00331A81"/>
    <w:rsid w:val="00331AC4"/>
    <w:rsid w:val="00331D90"/>
    <w:rsid w:val="00331FB0"/>
    <w:rsid w:val="00332095"/>
    <w:rsid w:val="00332149"/>
    <w:rsid w:val="0033215F"/>
    <w:rsid w:val="0033220F"/>
    <w:rsid w:val="003323B2"/>
    <w:rsid w:val="00332428"/>
    <w:rsid w:val="00332922"/>
    <w:rsid w:val="00332982"/>
    <w:rsid w:val="00332E7E"/>
    <w:rsid w:val="00332EFC"/>
    <w:rsid w:val="00333096"/>
    <w:rsid w:val="00333252"/>
    <w:rsid w:val="0033348B"/>
    <w:rsid w:val="00333677"/>
    <w:rsid w:val="003336E5"/>
    <w:rsid w:val="0033381D"/>
    <w:rsid w:val="00333951"/>
    <w:rsid w:val="00333C3D"/>
    <w:rsid w:val="00333D1C"/>
    <w:rsid w:val="00333D70"/>
    <w:rsid w:val="00333D87"/>
    <w:rsid w:val="003340AD"/>
    <w:rsid w:val="00334271"/>
    <w:rsid w:val="0033494D"/>
    <w:rsid w:val="00334CAA"/>
    <w:rsid w:val="00334D2D"/>
    <w:rsid w:val="00334F32"/>
    <w:rsid w:val="00335177"/>
    <w:rsid w:val="00335261"/>
    <w:rsid w:val="0033538D"/>
    <w:rsid w:val="003356EF"/>
    <w:rsid w:val="003358A5"/>
    <w:rsid w:val="00335971"/>
    <w:rsid w:val="003359B3"/>
    <w:rsid w:val="00335D1C"/>
    <w:rsid w:val="00335D1F"/>
    <w:rsid w:val="0033608C"/>
    <w:rsid w:val="0033609E"/>
    <w:rsid w:val="0033695B"/>
    <w:rsid w:val="003369D8"/>
    <w:rsid w:val="00336B66"/>
    <w:rsid w:val="00336F32"/>
    <w:rsid w:val="0033700D"/>
    <w:rsid w:val="003370D5"/>
    <w:rsid w:val="003372F6"/>
    <w:rsid w:val="003373D5"/>
    <w:rsid w:val="0033745F"/>
    <w:rsid w:val="0033764D"/>
    <w:rsid w:val="00337850"/>
    <w:rsid w:val="003378CE"/>
    <w:rsid w:val="00337EC1"/>
    <w:rsid w:val="003400D0"/>
    <w:rsid w:val="00340522"/>
    <w:rsid w:val="003405A1"/>
    <w:rsid w:val="00340699"/>
    <w:rsid w:val="003407F1"/>
    <w:rsid w:val="00340ECC"/>
    <w:rsid w:val="00341283"/>
    <w:rsid w:val="0034134B"/>
    <w:rsid w:val="00341C3E"/>
    <w:rsid w:val="00342097"/>
    <w:rsid w:val="00342321"/>
    <w:rsid w:val="003423EC"/>
    <w:rsid w:val="0034276E"/>
    <w:rsid w:val="003428D6"/>
    <w:rsid w:val="00342B40"/>
    <w:rsid w:val="00342D2B"/>
    <w:rsid w:val="0034300D"/>
    <w:rsid w:val="003433CC"/>
    <w:rsid w:val="003434C8"/>
    <w:rsid w:val="00343515"/>
    <w:rsid w:val="0034355F"/>
    <w:rsid w:val="00343675"/>
    <w:rsid w:val="00343724"/>
    <w:rsid w:val="00343A2A"/>
    <w:rsid w:val="00343C03"/>
    <w:rsid w:val="00344377"/>
    <w:rsid w:val="0034442E"/>
    <w:rsid w:val="003447CE"/>
    <w:rsid w:val="00344A32"/>
    <w:rsid w:val="00344B2B"/>
    <w:rsid w:val="00344BAD"/>
    <w:rsid w:val="00344BB3"/>
    <w:rsid w:val="00344D06"/>
    <w:rsid w:val="00344D60"/>
    <w:rsid w:val="00344DC7"/>
    <w:rsid w:val="00344ED5"/>
    <w:rsid w:val="003450D8"/>
    <w:rsid w:val="00345256"/>
    <w:rsid w:val="0034530C"/>
    <w:rsid w:val="0034558A"/>
    <w:rsid w:val="003459B9"/>
    <w:rsid w:val="00345A32"/>
    <w:rsid w:val="00345B17"/>
    <w:rsid w:val="00345C07"/>
    <w:rsid w:val="00346189"/>
    <w:rsid w:val="00346322"/>
    <w:rsid w:val="0034669F"/>
    <w:rsid w:val="003466A4"/>
    <w:rsid w:val="0034688F"/>
    <w:rsid w:val="00346C05"/>
    <w:rsid w:val="00346F62"/>
    <w:rsid w:val="00346F7A"/>
    <w:rsid w:val="00346FEB"/>
    <w:rsid w:val="00347055"/>
    <w:rsid w:val="00347126"/>
    <w:rsid w:val="00347250"/>
    <w:rsid w:val="00347422"/>
    <w:rsid w:val="0034746F"/>
    <w:rsid w:val="0034748A"/>
    <w:rsid w:val="003475BD"/>
    <w:rsid w:val="00347732"/>
    <w:rsid w:val="00347763"/>
    <w:rsid w:val="00347867"/>
    <w:rsid w:val="003478C7"/>
    <w:rsid w:val="003478E3"/>
    <w:rsid w:val="003479C5"/>
    <w:rsid w:val="00347AAD"/>
    <w:rsid w:val="00347B7B"/>
    <w:rsid w:val="00347BE5"/>
    <w:rsid w:val="00347CE5"/>
    <w:rsid w:val="00347DA9"/>
    <w:rsid w:val="00350342"/>
    <w:rsid w:val="0035038B"/>
    <w:rsid w:val="00350B66"/>
    <w:rsid w:val="00350FE6"/>
    <w:rsid w:val="00351134"/>
    <w:rsid w:val="0035116A"/>
    <w:rsid w:val="00351181"/>
    <w:rsid w:val="0035126B"/>
    <w:rsid w:val="0035172F"/>
    <w:rsid w:val="0035187F"/>
    <w:rsid w:val="00351932"/>
    <w:rsid w:val="00351A21"/>
    <w:rsid w:val="00351B3B"/>
    <w:rsid w:val="003520F0"/>
    <w:rsid w:val="00352290"/>
    <w:rsid w:val="00352864"/>
    <w:rsid w:val="003528EA"/>
    <w:rsid w:val="00352A33"/>
    <w:rsid w:val="00352A8E"/>
    <w:rsid w:val="00352EEE"/>
    <w:rsid w:val="00353151"/>
    <w:rsid w:val="00353249"/>
    <w:rsid w:val="00353349"/>
    <w:rsid w:val="00353509"/>
    <w:rsid w:val="003535ED"/>
    <w:rsid w:val="0035362D"/>
    <w:rsid w:val="00353AC8"/>
    <w:rsid w:val="00353B69"/>
    <w:rsid w:val="00353F3E"/>
    <w:rsid w:val="00353FA6"/>
    <w:rsid w:val="00353FB0"/>
    <w:rsid w:val="0035402C"/>
    <w:rsid w:val="0035445C"/>
    <w:rsid w:val="003546CF"/>
    <w:rsid w:val="00354831"/>
    <w:rsid w:val="003548E4"/>
    <w:rsid w:val="00354A5C"/>
    <w:rsid w:val="00354E41"/>
    <w:rsid w:val="00354E92"/>
    <w:rsid w:val="00354ED6"/>
    <w:rsid w:val="00354F6B"/>
    <w:rsid w:val="00354FD0"/>
    <w:rsid w:val="00354FDE"/>
    <w:rsid w:val="003551F3"/>
    <w:rsid w:val="003553BD"/>
    <w:rsid w:val="003557C3"/>
    <w:rsid w:val="00355893"/>
    <w:rsid w:val="00355CAA"/>
    <w:rsid w:val="00355E1F"/>
    <w:rsid w:val="00355EC4"/>
    <w:rsid w:val="00356193"/>
    <w:rsid w:val="003561CF"/>
    <w:rsid w:val="00356232"/>
    <w:rsid w:val="0035623A"/>
    <w:rsid w:val="003565D5"/>
    <w:rsid w:val="003566B2"/>
    <w:rsid w:val="003569ED"/>
    <w:rsid w:val="003569F1"/>
    <w:rsid w:val="00356E35"/>
    <w:rsid w:val="0035711B"/>
    <w:rsid w:val="0035715F"/>
    <w:rsid w:val="003571F6"/>
    <w:rsid w:val="00357263"/>
    <w:rsid w:val="00357724"/>
    <w:rsid w:val="003578ED"/>
    <w:rsid w:val="00357C5B"/>
    <w:rsid w:val="00357C74"/>
    <w:rsid w:val="00357CCF"/>
    <w:rsid w:val="00360149"/>
    <w:rsid w:val="00360275"/>
    <w:rsid w:val="00360290"/>
    <w:rsid w:val="003606D3"/>
    <w:rsid w:val="003608D6"/>
    <w:rsid w:val="0036099D"/>
    <w:rsid w:val="00360A6D"/>
    <w:rsid w:val="00360C68"/>
    <w:rsid w:val="00360E0E"/>
    <w:rsid w:val="00360FEE"/>
    <w:rsid w:val="00361016"/>
    <w:rsid w:val="0036107E"/>
    <w:rsid w:val="00361436"/>
    <w:rsid w:val="00361905"/>
    <w:rsid w:val="003621F5"/>
    <w:rsid w:val="0036239B"/>
    <w:rsid w:val="003626FC"/>
    <w:rsid w:val="00362729"/>
    <w:rsid w:val="00362916"/>
    <w:rsid w:val="00362A3A"/>
    <w:rsid w:val="00362AB6"/>
    <w:rsid w:val="00362B02"/>
    <w:rsid w:val="00362B8A"/>
    <w:rsid w:val="00362BF4"/>
    <w:rsid w:val="00362CAA"/>
    <w:rsid w:val="00362DF1"/>
    <w:rsid w:val="00362FC1"/>
    <w:rsid w:val="003630A4"/>
    <w:rsid w:val="003638B4"/>
    <w:rsid w:val="00363AA2"/>
    <w:rsid w:val="00363B59"/>
    <w:rsid w:val="00363E09"/>
    <w:rsid w:val="00363EF3"/>
    <w:rsid w:val="003640E2"/>
    <w:rsid w:val="00364160"/>
    <w:rsid w:val="003642A8"/>
    <w:rsid w:val="00364420"/>
    <w:rsid w:val="003644AE"/>
    <w:rsid w:val="003647F6"/>
    <w:rsid w:val="00364B52"/>
    <w:rsid w:val="00364BA3"/>
    <w:rsid w:val="00364BC1"/>
    <w:rsid w:val="00364C98"/>
    <w:rsid w:val="003651AE"/>
    <w:rsid w:val="00365505"/>
    <w:rsid w:val="0036561E"/>
    <w:rsid w:val="00365728"/>
    <w:rsid w:val="00365917"/>
    <w:rsid w:val="00365979"/>
    <w:rsid w:val="00365A22"/>
    <w:rsid w:val="00365A6E"/>
    <w:rsid w:val="00365CFF"/>
    <w:rsid w:val="00365EA3"/>
    <w:rsid w:val="0036618D"/>
    <w:rsid w:val="003661F8"/>
    <w:rsid w:val="003665F5"/>
    <w:rsid w:val="003668C8"/>
    <w:rsid w:val="00366A96"/>
    <w:rsid w:val="00366BD7"/>
    <w:rsid w:val="00366D15"/>
    <w:rsid w:val="00367086"/>
    <w:rsid w:val="00367280"/>
    <w:rsid w:val="003672B2"/>
    <w:rsid w:val="00367318"/>
    <w:rsid w:val="0036735F"/>
    <w:rsid w:val="003675F7"/>
    <w:rsid w:val="00367704"/>
    <w:rsid w:val="00367A1A"/>
    <w:rsid w:val="00367B60"/>
    <w:rsid w:val="00367D29"/>
    <w:rsid w:val="00367D38"/>
    <w:rsid w:val="00367EA3"/>
    <w:rsid w:val="00370027"/>
    <w:rsid w:val="003700BA"/>
    <w:rsid w:val="00370881"/>
    <w:rsid w:val="00370A53"/>
    <w:rsid w:val="00370E4A"/>
    <w:rsid w:val="00370F73"/>
    <w:rsid w:val="00371133"/>
    <w:rsid w:val="003711D0"/>
    <w:rsid w:val="00371364"/>
    <w:rsid w:val="00371CCE"/>
    <w:rsid w:val="00371F23"/>
    <w:rsid w:val="00372777"/>
    <w:rsid w:val="00372A5B"/>
    <w:rsid w:val="00372A8F"/>
    <w:rsid w:val="00372CE0"/>
    <w:rsid w:val="00372D80"/>
    <w:rsid w:val="00372EE4"/>
    <w:rsid w:val="00372EE6"/>
    <w:rsid w:val="00372EFA"/>
    <w:rsid w:val="00372F1F"/>
    <w:rsid w:val="00373362"/>
    <w:rsid w:val="003735CE"/>
    <w:rsid w:val="00373D3D"/>
    <w:rsid w:val="00373D9B"/>
    <w:rsid w:val="00373E1D"/>
    <w:rsid w:val="00374014"/>
    <w:rsid w:val="00374061"/>
    <w:rsid w:val="0037409F"/>
    <w:rsid w:val="003747B1"/>
    <w:rsid w:val="00374958"/>
    <w:rsid w:val="00374AAF"/>
    <w:rsid w:val="00374AD7"/>
    <w:rsid w:val="00374FA0"/>
    <w:rsid w:val="0037510B"/>
    <w:rsid w:val="0037511F"/>
    <w:rsid w:val="00375382"/>
    <w:rsid w:val="00375547"/>
    <w:rsid w:val="0037559A"/>
    <w:rsid w:val="00375BA6"/>
    <w:rsid w:val="00375DE9"/>
    <w:rsid w:val="00375E40"/>
    <w:rsid w:val="00375F36"/>
    <w:rsid w:val="0037633F"/>
    <w:rsid w:val="003763FF"/>
    <w:rsid w:val="00376463"/>
    <w:rsid w:val="003764C2"/>
    <w:rsid w:val="003768CC"/>
    <w:rsid w:val="00376D99"/>
    <w:rsid w:val="00376FD8"/>
    <w:rsid w:val="00377145"/>
    <w:rsid w:val="003773A3"/>
    <w:rsid w:val="00377445"/>
    <w:rsid w:val="003776FA"/>
    <w:rsid w:val="0037781B"/>
    <w:rsid w:val="003778CD"/>
    <w:rsid w:val="00377BF1"/>
    <w:rsid w:val="00380030"/>
    <w:rsid w:val="00380298"/>
    <w:rsid w:val="0038088E"/>
    <w:rsid w:val="00380949"/>
    <w:rsid w:val="00380C2F"/>
    <w:rsid w:val="00380C8B"/>
    <w:rsid w:val="00380D39"/>
    <w:rsid w:val="003812AC"/>
    <w:rsid w:val="00381817"/>
    <w:rsid w:val="00381C5F"/>
    <w:rsid w:val="00381D6E"/>
    <w:rsid w:val="00381E23"/>
    <w:rsid w:val="003820B4"/>
    <w:rsid w:val="00382284"/>
    <w:rsid w:val="0038244C"/>
    <w:rsid w:val="003824FB"/>
    <w:rsid w:val="0038276B"/>
    <w:rsid w:val="0038289B"/>
    <w:rsid w:val="003828C5"/>
    <w:rsid w:val="00382B64"/>
    <w:rsid w:val="00382B83"/>
    <w:rsid w:val="00382C12"/>
    <w:rsid w:val="00382C79"/>
    <w:rsid w:val="00382D1E"/>
    <w:rsid w:val="00382F39"/>
    <w:rsid w:val="00382F59"/>
    <w:rsid w:val="003831BC"/>
    <w:rsid w:val="003832E4"/>
    <w:rsid w:val="00383A07"/>
    <w:rsid w:val="00383AAD"/>
    <w:rsid w:val="00383B78"/>
    <w:rsid w:val="00383B80"/>
    <w:rsid w:val="00383CEE"/>
    <w:rsid w:val="00383F22"/>
    <w:rsid w:val="00384115"/>
    <w:rsid w:val="00384138"/>
    <w:rsid w:val="00384266"/>
    <w:rsid w:val="00384267"/>
    <w:rsid w:val="003845B0"/>
    <w:rsid w:val="003846BA"/>
    <w:rsid w:val="0038473B"/>
    <w:rsid w:val="003847EC"/>
    <w:rsid w:val="00384885"/>
    <w:rsid w:val="003848C6"/>
    <w:rsid w:val="003849AD"/>
    <w:rsid w:val="003849B4"/>
    <w:rsid w:val="00384A32"/>
    <w:rsid w:val="00384C5F"/>
    <w:rsid w:val="00384EBE"/>
    <w:rsid w:val="00385104"/>
    <w:rsid w:val="003851BD"/>
    <w:rsid w:val="00385236"/>
    <w:rsid w:val="00385238"/>
    <w:rsid w:val="003852AE"/>
    <w:rsid w:val="0038535B"/>
    <w:rsid w:val="0038545C"/>
    <w:rsid w:val="0038554B"/>
    <w:rsid w:val="00385757"/>
    <w:rsid w:val="0038575C"/>
    <w:rsid w:val="003857D3"/>
    <w:rsid w:val="0038592A"/>
    <w:rsid w:val="003859B5"/>
    <w:rsid w:val="00385E2B"/>
    <w:rsid w:val="00385EBF"/>
    <w:rsid w:val="0038615C"/>
    <w:rsid w:val="0038643C"/>
    <w:rsid w:val="00386610"/>
    <w:rsid w:val="00386681"/>
    <w:rsid w:val="00386C2F"/>
    <w:rsid w:val="00386CB2"/>
    <w:rsid w:val="00386E5E"/>
    <w:rsid w:val="00386E89"/>
    <w:rsid w:val="00386F51"/>
    <w:rsid w:val="00387075"/>
    <w:rsid w:val="0038712D"/>
    <w:rsid w:val="0038714E"/>
    <w:rsid w:val="0038740E"/>
    <w:rsid w:val="00387679"/>
    <w:rsid w:val="00387683"/>
    <w:rsid w:val="003876AC"/>
    <w:rsid w:val="00387ACA"/>
    <w:rsid w:val="00387AF6"/>
    <w:rsid w:val="00387B5D"/>
    <w:rsid w:val="00387C76"/>
    <w:rsid w:val="00387CA2"/>
    <w:rsid w:val="00387CEC"/>
    <w:rsid w:val="00390074"/>
    <w:rsid w:val="00390238"/>
    <w:rsid w:val="003903B9"/>
    <w:rsid w:val="003907E0"/>
    <w:rsid w:val="00390856"/>
    <w:rsid w:val="00390957"/>
    <w:rsid w:val="00390C6B"/>
    <w:rsid w:val="00390DFD"/>
    <w:rsid w:val="00390FB1"/>
    <w:rsid w:val="00391070"/>
    <w:rsid w:val="0039110D"/>
    <w:rsid w:val="003911B1"/>
    <w:rsid w:val="003912BF"/>
    <w:rsid w:val="003913DC"/>
    <w:rsid w:val="003913FD"/>
    <w:rsid w:val="00391419"/>
    <w:rsid w:val="0039144A"/>
    <w:rsid w:val="0039144D"/>
    <w:rsid w:val="0039149A"/>
    <w:rsid w:val="00391527"/>
    <w:rsid w:val="0039172A"/>
    <w:rsid w:val="00391887"/>
    <w:rsid w:val="0039188E"/>
    <w:rsid w:val="003918DE"/>
    <w:rsid w:val="00391A43"/>
    <w:rsid w:val="00391A78"/>
    <w:rsid w:val="00391BAF"/>
    <w:rsid w:val="00391D53"/>
    <w:rsid w:val="00391DD6"/>
    <w:rsid w:val="00391EC4"/>
    <w:rsid w:val="00391F4F"/>
    <w:rsid w:val="0039202C"/>
    <w:rsid w:val="00392086"/>
    <w:rsid w:val="003921F4"/>
    <w:rsid w:val="003923AF"/>
    <w:rsid w:val="003923E9"/>
    <w:rsid w:val="0039247C"/>
    <w:rsid w:val="003927CD"/>
    <w:rsid w:val="00392834"/>
    <w:rsid w:val="00392A38"/>
    <w:rsid w:val="00392ACE"/>
    <w:rsid w:val="00392C18"/>
    <w:rsid w:val="00392CE3"/>
    <w:rsid w:val="00392CE4"/>
    <w:rsid w:val="00392ED7"/>
    <w:rsid w:val="00392F71"/>
    <w:rsid w:val="003931E5"/>
    <w:rsid w:val="00393659"/>
    <w:rsid w:val="0039366A"/>
    <w:rsid w:val="00393C5A"/>
    <w:rsid w:val="00393CD5"/>
    <w:rsid w:val="00393E89"/>
    <w:rsid w:val="00393EDD"/>
    <w:rsid w:val="003944BC"/>
    <w:rsid w:val="003944C2"/>
    <w:rsid w:val="0039470F"/>
    <w:rsid w:val="003947F1"/>
    <w:rsid w:val="003948BB"/>
    <w:rsid w:val="00394B11"/>
    <w:rsid w:val="00394C1D"/>
    <w:rsid w:val="00394DC2"/>
    <w:rsid w:val="00395019"/>
    <w:rsid w:val="00395A43"/>
    <w:rsid w:val="00395A56"/>
    <w:rsid w:val="00395B6D"/>
    <w:rsid w:val="00395E0A"/>
    <w:rsid w:val="003960BC"/>
    <w:rsid w:val="003962BB"/>
    <w:rsid w:val="00396727"/>
    <w:rsid w:val="00396C59"/>
    <w:rsid w:val="003971B6"/>
    <w:rsid w:val="0039740D"/>
    <w:rsid w:val="00397466"/>
    <w:rsid w:val="0039748D"/>
    <w:rsid w:val="00397575"/>
    <w:rsid w:val="0039781C"/>
    <w:rsid w:val="003979E2"/>
    <w:rsid w:val="00397FA4"/>
    <w:rsid w:val="003A00F8"/>
    <w:rsid w:val="003A0477"/>
    <w:rsid w:val="003A049C"/>
    <w:rsid w:val="003A051E"/>
    <w:rsid w:val="003A0582"/>
    <w:rsid w:val="003A066B"/>
    <w:rsid w:val="003A06A6"/>
    <w:rsid w:val="003A0724"/>
    <w:rsid w:val="003A0BE4"/>
    <w:rsid w:val="003A0D3A"/>
    <w:rsid w:val="003A0EEC"/>
    <w:rsid w:val="003A1060"/>
    <w:rsid w:val="003A11E1"/>
    <w:rsid w:val="003A1247"/>
    <w:rsid w:val="003A1396"/>
    <w:rsid w:val="003A15AF"/>
    <w:rsid w:val="003A15CA"/>
    <w:rsid w:val="003A16C9"/>
    <w:rsid w:val="003A1850"/>
    <w:rsid w:val="003A1CAC"/>
    <w:rsid w:val="003A1E75"/>
    <w:rsid w:val="003A1F9C"/>
    <w:rsid w:val="003A217F"/>
    <w:rsid w:val="003A252A"/>
    <w:rsid w:val="003A2B0E"/>
    <w:rsid w:val="003A2B1D"/>
    <w:rsid w:val="003A322F"/>
    <w:rsid w:val="003A3367"/>
    <w:rsid w:val="003A3690"/>
    <w:rsid w:val="003A3A9E"/>
    <w:rsid w:val="003A3ADE"/>
    <w:rsid w:val="003A3C95"/>
    <w:rsid w:val="003A3CE3"/>
    <w:rsid w:val="003A3D65"/>
    <w:rsid w:val="003A3E12"/>
    <w:rsid w:val="003A3FCB"/>
    <w:rsid w:val="003A4088"/>
    <w:rsid w:val="003A4105"/>
    <w:rsid w:val="003A41C6"/>
    <w:rsid w:val="003A44F5"/>
    <w:rsid w:val="003A46AF"/>
    <w:rsid w:val="003A46EC"/>
    <w:rsid w:val="003A487B"/>
    <w:rsid w:val="003A4AEF"/>
    <w:rsid w:val="003A4B10"/>
    <w:rsid w:val="003A4B60"/>
    <w:rsid w:val="003A4BD2"/>
    <w:rsid w:val="003A4D13"/>
    <w:rsid w:val="003A5007"/>
    <w:rsid w:val="003A513A"/>
    <w:rsid w:val="003A5188"/>
    <w:rsid w:val="003A53A3"/>
    <w:rsid w:val="003A5643"/>
    <w:rsid w:val="003A5728"/>
    <w:rsid w:val="003A58CF"/>
    <w:rsid w:val="003A5941"/>
    <w:rsid w:val="003A5E62"/>
    <w:rsid w:val="003A5FED"/>
    <w:rsid w:val="003A62C6"/>
    <w:rsid w:val="003A67FB"/>
    <w:rsid w:val="003A6899"/>
    <w:rsid w:val="003A68B5"/>
    <w:rsid w:val="003A6B11"/>
    <w:rsid w:val="003A6BE4"/>
    <w:rsid w:val="003A6C02"/>
    <w:rsid w:val="003A6C69"/>
    <w:rsid w:val="003A6CA1"/>
    <w:rsid w:val="003A6E9B"/>
    <w:rsid w:val="003A7283"/>
    <w:rsid w:val="003A7365"/>
    <w:rsid w:val="003A7548"/>
    <w:rsid w:val="003A7686"/>
    <w:rsid w:val="003A79BF"/>
    <w:rsid w:val="003A79E5"/>
    <w:rsid w:val="003A7A09"/>
    <w:rsid w:val="003A7AD5"/>
    <w:rsid w:val="003A7E01"/>
    <w:rsid w:val="003B0165"/>
    <w:rsid w:val="003B0221"/>
    <w:rsid w:val="003B0797"/>
    <w:rsid w:val="003B08F1"/>
    <w:rsid w:val="003B094C"/>
    <w:rsid w:val="003B09C2"/>
    <w:rsid w:val="003B0CF3"/>
    <w:rsid w:val="003B0DF8"/>
    <w:rsid w:val="003B0DF9"/>
    <w:rsid w:val="003B0FAE"/>
    <w:rsid w:val="003B105A"/>
    <w:rsid w:val="003B1385"/>
    <w:rsid w:val="003B138E"/>
    <w:rsid w:val="003B13FC"/>
    <w:rsid w:val="003B1536"/>
    <w:rsid w:val="003B19A0"/>
    <w:rsid w:val="003B1B20"/>
    <w:rsid w:val="003B1D60"/>
    <w:rsid w:val="003B1DCC"/>
    <w:rsid w:val="003B1E94"/>
    <w:rsid w:val="003B20C3"/>
    <w:rsid w:val="003B23CC"/>
    <w:rsid w:val="003B26C7"/>
    <w:rsid w:val="003B2938"/>
    <w:rsid w:val="003B29A7"/>
    <w:rsid w:val="003B2A40"/>
    <w:rsid w:val="003B303F"/>
    <w:rsid w:val="003B3561"/>
    <w:rsid w:val="003B3F84"/>
    <w:rsid w:val="003B3F9A"/>
    <w:rsid w:val="003B4249"/>
    <w:rsid w:val="003B46EF"/>
    <w:rsid w:val="003B4B00"/>
    <w:rsid w:val="003B4C2A"/>
    <w:rsid w:val="003B4E48"/>
    <w:rsid w:val="003B4FA8"/>
    <w:rsid w:val="003B519C"/>
    <w:rsid w:val="003B5322"/>
    <w:rsid w:val="003B53F0"/>
    <w:rsid w:val="003B5442"/>
    <w:rsid w:val="003B5700"/>
    <w:rsid w:val="003B5833"/>
    <w:rsid w:val="003B588D"/>
    <w:rsid w:val="003B5BE3"/>
    <w:rsid w:val="003B604A"/>
    <w:rsid w:val="003B6063"/>
    <w:rsid w:val="003B61F7"/>
    <w:rsid w:val="003B62ED"/>
    <w:rsid w:val="003B652F"/>
    <w:rsid w:val="003B65E9"/>
    <w:rsid w:val="003B6875"/>
    <w:rsid w:val="003B6CB7"/>
    <w:rsid w:val="003B6FE6"/>
    <w:rsid w:val="003B7179"/>
    <w:rsid w:val="003B72F6"/>
    <w:rsid w:val="003B7320"/>
    <w:rsid w:val="003B74CB"/>
    <w:rsid w:val="003B767D"/>
    <w:rsid w:val="003B774D"/>
    <w:rsid w:val="003B77BF"/>
    <w:rsid w:val="003B77DA"/>
    <w:rsid w:val="003B78DC"/>
    <w:rsid w:val="003B7A7D"/>
    <w:rsid w:val="003C0347"/>
    <w:rsid w:val="003C0387"/>
    <w:rsid w:val="003C07BE"/>
    <w:rsid w:val="003C0887"/>
    <w:rsid w:val="003C0AFF"/>
    <w:rsid w:val="003C0E7B"/>
    <w:rsid w:val="003C0EBD"/>
    <w:rsid w:val="003C12DC"/>
    <w:rsid w:val="003C1333"/>
    <w:rsid w:val="003C156E"/>
    <w:rsid w:val="003C1632"/>
    <w:rsid w:val="003C20CE"/>
    <w:rsid w:val="003C20D6"/>
    <w:rsid w:val="003C2226"/>
    <w:rsid w:val="003C2A0F"/>
    <w:rsid w:val="003C2AE0"/>
    <w:rsid w:val="003C2B4C"/>
    <w:rsid w:val="003C2B4F"/>
    <w:rsid w:val="003C3069"/>
    <w:rsid w:val="003C33DC"/>
    <w:rsid w:val="003C344C"/>
    <w:rsid w:val="003C34B1"/>
    <w:rsid w:val="003C3773"/>
    <w:rsid w:val="003C38C8"/>
    <w:rsid w:val="003C3ADE"/>
    <w:rsid w:val="003C3B8C"/>
    <w:rsid w:val="003C3C95"/>
    <w:rsid w:val="003C3C97"/>
    <w:rsid w:val="003C3EA6"/>
    <w:rsid w:val="003C4119"/>
    <w:rsid w:val="003C421A"/>
    <w:rsid w:val="003C424C"/>
    <w:rsid w:val="003C443E"/>
    <w:rsid w:val="003C444D"/>
    <w:rsid w:val="003C449D"/>
    <w:rsid w:val="003C4773"/>
    <w:rsid w:val="003C486A"/>
    <w:rsid w:val="003C4A8A"/>
    <w:rsid w:val="003C4CB5"/>
    <w:rsid w:val="003C4D28"/>
    <w:rsid w:val="003C4D55"/>
    <w:rsid w:val="003C4F98"/>
    <w:rsid w:val="003C4FD8"/>
    <w:rsid w:val="003C50AD"/>
    <w:rsid w:val="003C521D"/>
    <w:rsid w:val="003C538A"/>
    <w:rsid w:val="003C5397"/>
    <w:rsid w:val="003C5437"/>
    <w:rsid w:val="003C5512"/>
    <w:rsid w:val="003C56DD"/>
    <w:rsid w:val="003C5703"/>
    <w:rsid w:val="003C5725"/>
    <w:rsid w:val="003C5ABF"/>
    <w:rsid w:val="003C5DD2"/>
    <w:rsid w:val="003C5F26"/>
    <w:rsid w:val="003C5F3F"/>
    <w:rsid w:val="003C5F47"/>
    <w:rsid w:val="003C61CA"/>
    <w:rsid w:val="003C6324"/>
    <w:rsid w:val="003C6385"/>
    <w:rsid w:val="003C66C1"/>
    <w:rsid w:val="003C670F"/>
    <w:rsid w:val="003C68F6"/>
    <w:rsid w:val="003C6B60"/>
    <w:rsid w:val="003C6C98"/>
    <w:rsid w:val="003C6E1B"/>
    <w:rsid w:val="003C703B"/>
    <w:rsid w:val="003C7173"/>
    <w:rsid w:val="003C72E2"/>
    <w:rsid w:val="003C73B3"/>
    <w:rsid w:val="003C75AC"/>
    <w:rsid w:val="003C7952"/>
    <w:rsid w:val="003C7DA9"/>
    <w:rsid w:val="003C7E46"/>
    <w:rsid w:val="003C7E5D"/>
    <w:rsid w:val="003C7F94"/>
    <w:rsid w:val="003D0006"/>
    <w:rsid w:val="003D0146"/>
    <w:rsid w:val="003D021F"/>
    <w:rsid w:val="003D0222"/>
    <w:rsid w:val="003D0238"/>
    <w:rsid w:val="003D0784"/>
    <w:rsid w:val="003D07D7"/>
    <w:rsid w:val="003D07EC"/>
    <w:rsid w:val="003D08A1"/>
    <w:rsid w:val="003D0A19"/>
    <w:rsid w:val="003D0E64"/>
    <w:rsid w:val="003D0E6D"/>
    <w:rsid w:val="003D0ED7"/>
    <w:rsid w:val="003D10B0"/>
    <w:rsid w:val="003D1112"/>
    <w:rsid w:val="003D127B"/>
    <w:rsid w:val="003D1983"/>
    <w:rsid w:val="003D19CF"/>
    <w:rsid w:val="003D1BBD"/>
    <w:rsid w:val="003D1BE5"/>
    <w:rsid w:val="003D1DDE"/>
    <w:rsid w:val="003D209E"/>
    <w:rsid w:val="003D2164"/>
    <w:rsid w:val="003D21DE"/>
    <w:rsid w:val="003D2201"/>
    <w:rsid w:val="003D26B4"/>
    <w:rsid w:val="003D2776"/>
    <w:rsid w:val="003D28C8"/>
    <w:rsid w:val="003D2993"/>
    <w:rsid w:val="003D29BC"/>
    <w:rsid w:val="003D2AEB"/>
    <w:rsid w:val="003D2B13"/>
    <w:rsid w:val="003D2B16"/>
    <w:rsid w:val="003D2B88"/>
    <w:rsid w:val="003D2D76"/>
    <w:rsid w:val="003D2F6E"/>
    <w:rsid w:val="003D30F0"/>
    <w:rsid w:val="003D30FD"/>
    <w:rsid w:val="003D34C5"/>
    <w:rsid w:val="003D3639"/>
    <w:rsid w:val="003D36B6"/>
    <w:rsid w:val="003D38ED"/>
    <w:rsid w:val="003D39D7"/>
    <w:rsid w:val="003D3CD3"/>
    <w:rsid w:val="003D412D"/>
    <w:rsid w:val="003D4257"/>
    <w:rsid w:val="003D44CE"/>
    <w:rsid w:val="003D455A"/>
    <w:rsid w:val="003D4C0D"/>
    <w:rsid w:val="003D4DF5"/>
    <w:rsid w:val="003D4FB9"/>
    <w:rsid w:val="003D5108"/>
    <w:rsid w:val="003D51B6"/>
    <w:rsid w:val="003D538E"/>
    <w:rsid w:val="003D5470"/>
    <w:rsid w:val="003D55CE"/>
    <w:rsid w:val="003D5700"/>
    <w:rsid w:val="003D5718"/>
    <w:rsid w:val="003D590A"/>
    <w:rsid w:val="003D59B2"/>
    <w:rsid w:val="003D5E16"/>
    <w:rsid w:val="003D5EC5"/>
    <w:rsid w:val="003D6261"/>
    <w:rsid w:val="003D6721"/>
    <w:rsid w:val="003D69B1"/>
    <w:rsid w:val="003D69F2"/>
    <w:rsid w:val="003D6AEB"/>
    <w:rsid w:val="003D6C7E"/>
    <w:rsid w:val="003D6E35"/>
    <w:rsid w:val="003D6EBC"/>
    <w:rsid w:val="003D7090"/>
    <w:rsid w:val="003D7113"/>
    <w:rsid w:val="003D72AC"/>
    <w:rsid w:val="003D7A91"/>
    <w:rsid w:val="003D7B33"/>
    <w:rsid w:val="003D7DF4"/>
    <w:rsid w:val="003D7E7F"/>
    <w:rsid w:val="003E0055"/>
    <w:rsid w:val="003E00DA"/>
    <w:rsid w:val="003E02C1"/>
    <w:rsid w:val="003E032F"/>
    <w:rsid w:val="003E033F"/>
    <w:rsid w:val="003E066C"/>
    <w:rsid w:val="003E0696"/>
    <w:rsid w:val="003E0740"/>
    <w:rsid w:val="003E0C66"/>
    <w:rsid w:val="003E0D01"/>
    <w:rsid w:val="003E11D1"/>
    <w:rsid w:val="003E12EE"/>
    <w:rsid w:val="003E1346"/>
    <w:rsid w:val="003E14BC"/>
    <w:rsid w:val="003E1697"/>
    <w:rsid w:val="003E17A7"/>
    <w:rsid w:val="003E18A9"/>
    <w:rsid w:val="003E18F1"/>
    <w:rsid w:val="003E1973"/>
    <w:rsid w:val="003E1B95"/>
    <w:rsid w:val="003E1FB7"/>
    <w:rsid w:val="003E200D"/>
    <w:rsid w:val="003E2145"/>
    <w:rsid w:val="003E241C"/>
    <w:rsid w:val="003E247B"/>
    <w:rsid w:val="003E259E"/>
    <w:rsid w:val="003E26E6"/>
    <w:rsid w:val="003E2A0B"/>
    <w:rsid w:val="003E2A17"/>
    <w:rsid w:val="003E2D45"/>
    <w:rsid w:val="003E2E3E"/>
    <w:rsid w:val="003E3477"/>
    <w:rsid w:val="003E38FC"/>
    <w:rsid w:val="003E3ADD"/>
    <w:rsid w:val="003E3B1E"/>
    <w:rsid w:val="003E3B3E"/>
    <w:rsid w:val="003E3C65"/>
    <w:rsid w:val="003E3D9F"/>
    <w:rsid w:val="003E3DF5"/>
    <w:rsid w:val="003E3E85"/>
    <w:rsid w:val="003E3FB9"/>
    <w:rsid w:val="003E3FF3"/>
    <w:rsid w:val="003E40E5"/>
    <w:rsid w:val="003E4107"/>
    <w:rsid w:val="003E43BB"/>
    <w:rsid w:val="003E446A"/>
    <w:rsid w:val="003E44D9"/>
    <w:rsid w:val="003E45E2"/>
    <w:rsid w:val="003E4917"/>
    <w:rsid w:val="003E49C0"/>
    <w:rsid w:val="003E4A27"/>
    <w:rsid w:val="003E4C53"/>
    <w:rsid w:val="003E4C54"/>
    <w:rsid w:val="003E5369"/>
    <w:rsid w:val="003E5584"/>
    <w:rsid w:val="003E5ABE"/>
    <w:rsid w:val="003E5AE6"/>
    <w:rsid w:val="003E5B49"/>
    <w:rsid w:val="003E5B7E"/>
    <w:rsid w:val="003E6086"/>
    <w:rsid w:val="003E6087"/>
    <w:rsid w:val="003E63A8"/>
    <w:rsid w:val="003E6401"/>
    <w:rsid w:val="003E6484"/>
    <w:rsid w:val="003E65D3"/>
    <w:rsid w:val="003E6658"/>
    <w:rsid w:val="003E67EC"/>
    <w:rsid w:val="003E68CD"/>
    <w:rsid w:val="003E68EE"/>
    <w:rsid w:val="003E6A8F"/>
    <w:rsid w:val="003E6AE1"/>
    <w:rsid w:val="003E6FFD"/>
    <w:rsid w:val="003E7140"/>
    <w:rsid w:val="003E731E"/>
    <w:rsid w:val="003E73F6"/>
    <w:rsid w:val="003E7451"/>
    <w:rsid w:val="003E7630"/>
    <w:rsid w:val="003E7653"/>
    <w:rsid w:val="003E7AAB"/>
    <w:rsid w:val="003E7ABB"/>
    <w:rsid w:val="003E7C7B"/>
    <w:rsid w:val="003E7FB6"/>
    <w:rsid w:val="003F034F"/>
    <w:rsid w:val="003F0350"/>
    <w:rsid w:val="003F0A39"/>
    <w:rsid w:val="003F0C72"/>
    <w:rsid w:val="003F0C7B"/>
    <w:rsid w:val="003F0CC7"/>
    <w:rsid w:val="003F0D3A"/>
    <w:rsid w:val="003F0D84"/>
    <w:rsid w:val="003F1024"/>
    <w:rsid w:val="003F13D3"/>
    <w:rsid w:val="003F14AD"/>
    <w:rsid w:val="003F14B5"/>
    <w:rsid w:val="003F1733"/>
    <w:rsid w:val="003F1BBA"/>
    <w:rsid w:val="003F1C11"/>
    <w:rsid w:val="003F1C46"/>
    <w:rsid w:val="003F1E63"/>
    <w:rsid w:val="003F1F99"/>
    <w:rsid w:val="003F2087"/>
    <w:rsid w:val="003F20D4"/>
    <w:rsid w:val="003F2380"/>
    <w:rsid w:val="003F2397"/>
    <w:rsid w:val="003F23D8"/>
    <w:rsid w:val="003F2700"/>
    <w:rsid w:val="003F2D94"/>
    <w:rsid w:val="003F2E6C"/>
    <w:rsid w:val="003F2F5E"/>
    <w:rsid w:val="003F319C"/>
    <w:rsid w:val="003F32F7"/>
    <w:rsid w:val="003F34BC"/>
    <w:rsid w:val="003F35A3"/>
    <w:rsid w:val="003F38B6"/>
    <w:rsid w:val="003F3BB9"/>
    <w:rsid w:val="003F3C48"/>
    <w:rsid w:val="003F412F"/>
    <w:rsid w:val="003F42BD"/>
    <w:rsid w:val="003F445C"/>
    <w:rsid w:val="003F46BF"/>
    <w:rsid w:val="003F483E"/>
    <w:rsid w:val="003F4938"/>
    <w:rsid w:val="003F4BCB"/>
    <w:rsid w:val="003F5147"/>
    <w:rsid w:val="003F51E6"/>
    <w:rsid w:val="003F5368"/>
    <w:rsid w:val="003F53A1"/>
    <w:rsid w:val="003F545C"/>
    <w:rsid w:val="003F5573"/>
    <w:rsid w:val="003F5B49"/>
    <w:rsid w:val="003F5B7F"/>
    <w:rsid w:val="003F5B80"/>
    <w:rsid w:val="003F670A"/>
    <w:rsid w:val="003F67E2"/>
    <w:rsid w:val="003F6AC2"/>
    <w:rsid w:val="003F6D99"/>
    <w:rsid w:val="003F6E20"/>
    <w:rsid w:val="003F6F47"/>
    <w:rsid w:val="003F6F64"/>
    <w:rsid w:val="003F76AC"/>
    <w:rsid w:val="003F775C"/>
    <w:rsid w:val="003F77A7"/>
    <w:rsid w:val="003F7895"/>
    <w:rsid w:val="003F7FFE"/>
    <w:rsid w:val="00400459"/>
    <w:rsid w:val="004006B9"/>
    <w:rsid w:val="00400799"/>
    <w:rsid w:val="00400A9B"/>
    <w:rsid w:val="00400AF2"/>
    <w:rsid w:val="00400AFB"/>
    <w:rsid w:val="00400B2A"/>
    <w:rsid w:val="00400EB9"/>
    <w:rsid w:val="00400ED7"/>
    <w:rsid w:val="004010DE"/>
    <w:rsid w:val="00401151"/>
    <w:rsid w:val="00401477"/>
    <w:rsid w:val="00401557"/>
    <w:rsid w:val="0040155E"/>
    <w:rsid w:val="004015A5"/>
    <w:rsid w:val="00401626"/>
    <w:rsid w:val="00401A00"/>
    <w:rsid w:val="00401BD3"/>
    <w:rsid w:val="00401DBA"/>
    <w:rsid w:val="0040218D"/>
    <w:rsid w:val="0040228B"/>
    <w:rsid w:val="004022DF"/>
    <w:rsid w:val="004024CD"/>
    <w:rsid w:val="0040274D"/>
    <w:rsid w:val="00402799"/>
    <w:rsid w:val="00402938"/>
    <w:rsid w:val="00402ABF"/>
    <w:rsid w:val="00402CB8"/>
    <w:rsid w:val="00402D59"/>
    <w:rsid w:val="00402DD4"/>
    <w:rsid w:val="00402E9E"/>
    <w:rsid w:val="00402F1C"/>
    <w:rsid w:val="00403072"/>
    <w:rsid w:val="004032E2"/>
    <w:rsid w:val="00403373"/>
    <w:rsid w:val="00403407"/>
    <w:rsid w:val="0040363A"/>
    <w:rsid w:val="0040384E"/>
    <w:rsid w:val="00403C4A"/>
    <w:rsid w:val="00403D55"/>
    <w:rsid w:val="00403D99"/>
    <w:rsid w:val="00403E29"/>
    <w:rsid w:val="00403FE3"/>
    <w:rsid w:val="0040400A"/>
    <w:rsid w:val="004041F6"/>
    <w:rsid w:val="0040420E"/>
    <w:rsid w:val="00404396"/>
    <w:rsid w:val="00404530"/>
    <w:rsid w:val="00404803"/>
    <w:rsid w:val="00404839"/>
    <w:rsid w:val="004048C5"/>
    <w:rsid w:val="00404A9C"/>
    <w:rsid w:val="00404C14"/>
    <w:rsid w:val="00404DA6"/>
    <w:rsid w:val="00405011"/>
    <w:rsid w:val="004050FB"/>
    <w:rsid w:val="004051AD"/>
    <w:rsid w:val="004053BA"/>
    <w:rsid w:val="0040562A"/>
    <w:rsid w:val="004056EE"/>
    <w:rsid w:val="00405820"/>
    <w:rsid w:val="00405930"/>
    <w:rsid w:val="00405AE5"/>
    <w:rsid w:val="00405BBE"/>
    <w:rsid w:val="00405EEB"/>
    <w:rsid w:val="00406021"/>
    <w:rsid w:val="0040656A"/>
    <w:rsid w:val="00406751"/>
    <w:rsid w:val="004068EB"/>
    <w:rsid w:val="004068F7"/>
    <w:rsid w:val="0040690B"/>
    <w:rsid w:val="00406B46"/>
    <w:rsid w:val="00406D29"/>
    <w:rsid w:val="00406D46"/>
    <w:rsid w:val="00406EC8"/>
    <w:rsid w:val="00407252"/>
    <w:rsid w:val="00407405"/>
    <w:rsid w:val="004078F4"/>
    <w:rsid w:val="00407960"/>
    <w:rsid w:val="00407E28"/>
    <w:rsid w:val="00407F2E"/>
    <w:rsid w:val="00407F64"/>
    <w:rsid w:val="00407FF3"/>
    <w:rsid w:val="0041056D"/>
    <w:rsid w:val="0041098D"/>
    <w:rsid w:val="00410B34"/>
    <w:rsid w:val="00410C02"/>
    <w:rsid w:val="00410C6D"/>
    <w:rsid w:val="00410D9C"/>
    <w:rsid w:val="00410E68"/>
    <w:rsid w:val="004115B3"/>
    <w:rsid w:val="004117A0"/>
    <w:rsid w:val="0041180E"/>
    <w:rsid w:val="00411851"/>
    <w:rsid w:val="00411A98"/>
    <w:rsid w:val="00411AFC"/>
    <w:rsid w:val="00411C0D"/>
    <w:rsid w:val="00411E49"/>
    <w:rsid w:val="0041218D"/>
    <w:rsid w:val="004123C4"/>
    <w:rsid w:val="0041252D"/>
    <w:rsid w:val="0041257D"/>
    <w:rsid w:val="00412700"/>
    <w:rsid w:val="00412C40"/>
    <w:rsid w:val="00412C4B"/>
    <w:rsid w:val="00412C90"/>
    <w:rsid w:val="0041308A"/>
    <w:rsid w:val="00413330"/>
    <w:rsid w:val="004133DF"/>
    <w:rsid w:val="00413624"/>
    <w:rsid w:val="004136C3"/>
    <w:rsid w:val="00413742"/>
    <w:rsid w:val="00413B72"/>
    <w:rsid w:val="00413E2E"/>
    <w:rsid w:val="0041412C"/>
    <w:rsid w:val="0041443E"/>
    <w:rsid w:val="0041465F"/>
    <w:rsid w:val="00414A21"/>
    <w:rsid w:val="00414A63"/>
    <w:rsid w:val="00414BD7"/>
    <w:rsid w:val="00414BEC"/>
    <w:rsid w:val="00414D18"/>
    <w:rsid w:val="00414E34"/>
    <w:rsid w:val="00414EA3"/>
    <w:rsid w:val="00414EEB"/>
    <w:rsid w:val="00415092"/>
    <w:rsid w:val="0041548F"/>
    <w:rsid w:val="0041595A"/>
    <w:rsid w:val="004159F9"/>
    <w:rsid w:val="00415B66"/>
    <w:rsid w:val="00415D73"/>
    <w:rsid w:val="00415EEB"/>
    <w:rsid w:val="00415FC5"/>
    <w:rsid w:val="00416478"/>
    <w:rsid w:val="004164F7"/>
    <w:rsid w:val="00416561"/>
    <w:rsid w:val="004167A1"/>
    <w:rsid w:val="00416A26"/>
    <w:rsid w:val="00416B24"/>
    <w:rsid w:val="00416BD5"/>
    <w:rsid w:val="00416D8B"/>
    <w:rsid w:val="00416F4C"/>
    <w:rsid w:val="00417015"/>
    <w:rsid w:val="0041713C"/>
    <w:rsid w:val="00417286"/>
    <w:rsid w:val="004172FB"/>
    <w:rsid w:val="00417519"/>
    <w:rsid w:val="00417567"/>
    <w:rsid w:val="004175E3"/>
    <w:rsid w:val="004177C8"/>
    <w:rsid w:val="00417CD6"/>
    <w:rsid w:val="00417E0B"/>
    <w:rsid w:val="00417F6C"/>
    <w:rsid w:val="004200CA"/>
    <w:rsid w:val="00420680"/>
    <w:rsid w:val="004207EA"/>
    <w:rsid w:val="004209B3"/>
    <w:rsid w:val="00420CA9"/>
    <w:rsid w:val="00421057"/>
    <w:rsid w:val="0042105B"/>
    <w:rsid w:val="00421161"/>
    <w:rsid w:val="00421316"/>
    <w:rsid w:val="004215AF"/>
    <w:rsid w:val="0042178E"/>
    <w:rsid w:val="004217F8"/>
    <w:rsid w:val="00421A36"/>
    <w:rsid w:val="00421BBE"/>
    <w:rsid w:val="00421C92"/>
    <w:rsid w:val="00421DB7"/>
    <w:rsid w:val="00421EA2"/>
    <w:rsid w:val="00422079"/>
    <w:rsid w:val="0042260F"/>
    <w:rsid w:val="00422711"/>
    <w:rsid w:val="004229F9"/>
    <w:rsid w:val="00422A2A"/>
    <w:rsid w:val="00422C03"/>
    <w:rsid w:val="00422C28"/>
    <w:rsid w:val="00422F3E"/>
    <w:rsid w:val="00423289"/>
    <w:rsid w:val="004232D9"/>
    <w:rsid w:val="00423A0A"/>
    <w:rsid w:val="00423A19"/>
    <w:rsid w:val="00423B04"/>
    <w:rsid w:val="00424304"/>
    <w:rsid w:val="00424316"/>
    <w:rsid w:val="00424334"/>
    <w:rsid w:val="0042476B"/>
    <w:rsid w:val="0042488E"/>
    <w:rsid w:val="00424A91"/>
    <w:rsid w:val="00424B50"/>
    <w:rsid w:val="0042517D"/>
    <w:rsid w:val="004251D1"/>
    <w:rsid w:val="00425411"/>
    <w:rsid w:val="004257B5"/>
    <w:rsid w:val="00425988"/>
    <w:rsid w:val="00425D74"/>
    <w:rsid w:val="004260B9"/>
    <w:rsid w:val="004260ED"/>
    <w:rsid w:val="004261FD"/>
    <w:rsid w:val="0042635E"/>
    <w:rsid w:val="004264EA"/>
    <w:rsid w:val="00426686"/>
    <w:rsid w:val="004266DE"/>
    <w:rsid w:val="004269A2"/>
    <w:rsid w:val="00426A6A"/>
    <w:rsid w:val="00426BA0"/>
    <w:rsid w:val="00426C05"/>
    <w:rsid w:val="00426C91"/>
    <w:rsid w:val="00426DEA"/>
    <w:rsid w:val="00426FE9"/>
    <w:rsid w:val="00427175"/>
    <w:rsid w:val="0042734A"/>
    <w:rsid w:val="0042750F"/>
    <w:rsid w:val="00427543"/>
    <w:rsid w:val="00427608"/>
    <w:rsid w:val="00427653"/>
    <w:rsid w:val="004279F6"/>
    <w:rsid w:val="00427C4A"/>
    <w:rsid w:val="00427D67"/>
    <w:rsid w:val="00427E40"/>
    <w:rsid w:val="00430243"/>
    <w:rsid w:val="0043041A"/>
    <w:rsid w:val="00430A76"/>
    <w:rsid w:val="00430B09"/>
    <w:rsid w:val="00430B2D"/>
    <w:rsid w:val="00430C18"/>
    <w:rsid w:val="00430E0B"/>
    <w:rsid w:val="00430E64"/>
    <w:rsid w:val="00431166"/>
    <w:rsid w:val="00431322"/>
    <w:rsid w:val="0043142B"/>
    <w:rsid w:val="00431948"/>
    <w:rsid w:val="00431A7A"/>
    <w:rsid w:val="00431A83"/>
    <w:rsid w:val="00431FFA"/>
    <w:rsid w:val="00432000"/>
    <w:rsid w:val="00432037"/>
    <w:rsid w:val="00432073"/>
    <w:rsid w:val="004326DC"/>
    <w:rsid w:val="004328F1"/>
    <w:rsid w:val="00432B99"/>
    <w:rsid w:val="00432C17"/>
    <w:rsid w:val="00432C44"/>
    <w:rsid w:val="00432FE4"/>
    <w:rsid w:val="0043318F"/>
    <w:rsid w:val="004331A3"/>
    <w:rsid w:val="004331A9"/>
    <w:rsid w:val="004332F0"/>
    <w:rsid w:val="004337EE"/>
    <w:rsid w:val="004337F6"/>
    <w:rsid w:val="00433819"/>
    <w:rsid w:val="0043387C"/>
    <w:rsid w:val="004338E5"/>
    <w:rsid w:val="00433F10"/>
    <w:rsid w:val="00433F53"/>
    <w:rsid w:val="00434284"/>
    <w:rsid w:val="00434295"/>
    <w:rsid w:val="00434787"/>
    <w:rsid w:val="004347A1"/>
    <w:rsid w:val="004347B4"/>
    <w:rsid w:val="00434955"/>
    <w:rsid w:val="00434DB1"/>
    <w:rsid w:val="00434E77"/>
    <w:rsid w:val="0043507C"/>
    <w:rsid w:val="004350BC"/>
    <w:rsid w:val="0043533E"/>
    <w:rsid w:val="00435508"/>
    <w:rsid w:val="0043577D"/>
    <w:rsid w:val="0043592D"/>
    <w:rsid w:val="00435963"/>
    <w:rsid w:val="00435BDA"/>
    <w:rsid w:val="00436165"/>
    <w:rsid w:val="00436591"/>
    <w:rsid w:val="004367B6"/>
    <w:rsid w:val="004368D9"/>
    <w:rsid w:val="00436E1A"/>
    <w:rsid w:val="00436E62"/>
    <w:rsid w:val="004373FD"/>
    <w:rsid w:val="0043774F"/>
    <w:rsid w:val="004379FC"/>
    <w:rsid w:val="00437AC8"/>
    <w:rsid w:val="00437AD6"/>
    <w:rsid w:val="00437AE6"/>
    <w:rsid w:val="00437C47"/>
    <w:rsid w:val="00437E5D"/>
    <w:rsid w:val="00437E70"/>
    <w:rsid w:val="00440159"/>
    <w:rsid w:val="004407C6"/>
    <w:rsid w:val="00440918"/>
    <w:rsid w:val="0044092E"/>
    <w:rsid w:val="00440C25"/>
    <w:rsid w:val="00440F43"/>
    <w:rsid w:val="004411FC"/>
    <w:rsid w:val="004415A5"/>
    <w:rsid w:val="00441868"/>
    <w:rsid w:val="004419E6"/>
    <w:rsid w:val="00441B2B"/>
    <w:rsid w:val="00441F46"/>
    <w:rsid w:val="00441F4A"/>
    <w:rsid w:val="00441FB2"/>
    <w:rsid w:val="00442028"/>
    <w:rsid w:val="00442106"/>
    <w:rsid w:val="004421B2"/>
    <w:rsid w:val="00442352"/>
    <w:rsid w:val="0044237B"/>
    <w:rsid w:val="00442556"/>
    <w:rsid w:val="00442696"/>
    <w:rsid w:val="00442B88"/>
    <w:rsid w:val="00442DA4"/>
    <w:rsid w:val="00442EF8"/>
    <w:rsid w:val="00442F3F"/>
    <w:rsid w:val="00442FF1"/>
    <w:rsid w:val="00443001"/>
    <w:rsid w:val="0044323F"/>
    <w:rsid w:val="00443472"/>
    <w:rsid w:val="00443578"/>
    <w:rsid w:val="0044388C"/>
    <w:rsid w:val="00443914"/>
    <w:rsid w:val="00443A4B"/>
    <w:rsid w:val="00443E30"/>
    <w:rsid w:val="00443F33"/>
    <w:rsid w:val="004443E7"/>
    <w:rsid w:val="004448AA"/>
    <w:rsid w:val="004448AE"/>
    <w:rsid w:val="00444A05"/>
    <w:rsid w:val="00444A90"/>
    <w:rsid w:val="00444E59"/>
    <w:rsid w:val="004450C4"/>
    <w:rsid w:val="0044527C"/>
    <w:rsid w:val="00445281"/>
    <w:rsid w:val="004456C6"/>
    <w:rsid w:val="004457DB"/>
    <w:rsid w:val="004459A9"/>
    <w:rsid w:val="00445A17"/>
    <w:rsid w:val="00445E87"/>
    <w:rsid w:val="00445F0F"/>
    <w:rsid w:val="00445F32"/>
    <w:rsid w:val="00445F49"/>
    <w:rsid w:val="00445F71"/>
    <w:rsid w:val="004460A7"/>
    <w:rsid w:val="004462BE"/>
    <w:rsid w:val="004462EC"/>
    <w:rsid w:val="00446336"/>
    <w:rsid w:val="00446352"/>
    <w:rsid w:val="00446357"/>
    <w:rsid w:val="004463EF"/>
    <w:rsid w:val="004464C9"/>
    <w:rsid w:val="00446563"/>
    <w:rsid w:val="0044669A"/>
    <w:rsid w:val="00446A3B"/>
    <w:rsid w:val="00446ACB"/>
    <w:rsid w:val="00446D45"/>
    <w:rsid w:val="00446D52"/>
    <w:rsid w:val="00446D54"/>
    <w:rsid w:val="00446EA2"/>
    <w:rsid w:val="004472C4"/>
    <w:rsid w:val="004472DB"/>
    <w:rsid w:val="00447973"/>
    <w:rsid w:val="004479DE"/>
    <w:rsid w:val="00447AB3"/>
    <w:rsid w:val="00447AE2"/>
    <w:rsid w:val="00447B21"/>
    <w:rsid w:val="00447FF4"/>
    <w:rsid w:val="004500ED"/>
    <w:rsid w:val="004502A6"/>
    <w:rsid w:val="004502C8"/>
    <w:rsid w:val="00450628"/>
    <w:rsid w:val="004508BA"/>
    <w:rsid w:val="00450A56"/>
    <w:rsid w:val="00450D14"/>
    <w:rsid w:val="00450D72"/>
    <w:rsid w:val="00450ECF"/>
    <w:rsid w:val="0045102B"/>
    <w:rsid w:val="004510B4"/>
    <w:rsid w:val="00451406"/>
    <w:rsid w:val="0045221C"/>
    <w:rsid w:val="00452383"/>
    <w:rsid w:val="004524A3"/>
    <w:rsid w:val="0045259F"/>
    <w:rsid w:val="00452799"/>
    <w:rsid w:val="0045293F"/>
    <w:rsid w:val="0045298B"/>
    <w:rsid w:val="00452C35"/>
    <w:rsid w:val="00452D3C"/>
    <w:rsid w:val="0045324A"/>
    <w:rsid w:val="0045325E"/>
    <w:rsid w:val="004536BF"/>
    <w:rsid w:val="0045376A"/>
    <w:rsid w:val="004537E2"/>
    <w:rsid w:val="00453AF2"/>
    <w:rsid w:val="00453B0B"/>
    <w:rsid w:val="00453C1D"/>
    <w:rsid w:val="00453CD5"/>
    <w:rsid w:val="00453CDD"/>
    <w:rsid w:val="00453D70"/>
    <w:rsid w:val="00454190"/>
    <w:rsid w:val="0045472A"/>
    <w:rsid w:val="004547D5"/>
    <w:rsid w:val="00454D5B"/>
    <w:rsid w:val="004553E8"/>
    <w:rsid w:val="00455407"/>
    <w:rsid w:val="004556D6"/>
    <w:rsid w:val="00455A83"/>
    <w:rsid w:val="00455E9E"/>
    <w:rsid w:val="00455FA7"/>
    <w:rsid w:val="00456295"/>
    <w:rsid w:val="00456540"/>
    <w:rsid w:val="0045669D"/>
    <w:rsid w:val="00456704"/>
    <w:rsid w:val="004567F2"/>
    <w:rsid w:val="00456925"/>
    <w:rsid w:val="004569A4"/>
    <w:rsid w:val="00456A9B"/>
    <w:rsid w:val="00456CB7"/>
    <w:rsid w:val="00457367"/>
    <w:rsid w:val="00457932"/>
    <w:rsid w:val="00457A9B"/>
    <w:rsid w:val="00457B04"/>
    <w:rsid w:val="00457E7B"/>
    <w:rsid w:val="0046016A"/>
    <w:rsid w:val="004604B2"/>
    <w:rsid w:val="004605B7"/>
    <w:rsid w:val="00460904"/>
    <w:rsid w:val="00460C4A"/>
    <w:rsid w:val="00460CE6"/>
    <w:rsid w:val="00460D17"/>
    <w:rsid w:val="00460DF9"/>
    <w:rsid w:val="00460F4C"/>
    <w:rsid w:val="00461004"/>
    <w:rsid w:val="00461039"/>
    <w:rsid w:val="00461144"/>
    <w:rsid w:val="004617F8"/>
    <w:rsid w:val="004618BE"/>
    <w:rsid w:val="004619C7"/>
    <w:rsid w:val="00461ADD"/>
    <w:rsid w:val="00461C5A"/>
    <w:rsid w:val="00461D36"/>
    <w:rsid w:val="00461DF6"/>
    <w:rsid w:val="0046205C"/>
    <w:rsid w:val="004623ED"/>
    <w:rsid w:val="0046279C"/>
    <w:rsid w:val="0046281E"/>
    <w:rsid w:val="00462C11"/>
    <w:rsid w:val="00463144"/>
    <w:rsid w:val="004632E9"/>
    <w:rsid w:val="0046330F"/>
    <w:rsid w:val="00463B80"/>
    <w:rsid w:val="00463B81"/>
    <w:rsid w:val="00463DB0"/>
    <w:rsid w:val="00463DDE"/>
    <w:rsid w:val="00463F8B"/>
    <w:rsid w:val="00464036"/>
    <w:rsid w:val="004646D5"/>
    <w:rsid w:val="0046481D"/>
    <w:rsid w:val="00464AC7"/>
    <w:rsid w:val="00464E16"/>
    <w:rsid w:val="00464ECB"/>
    <w:rsid w:val="00464EEC"/>
    <w:rsid w:val="00465482"/>
    <w:rsid w:val="004655C7"/>
    <w:rsid w:val="00465633"/>
    <w:rsid w:val="00465742"/>
    <w:rsid w:val="004658C4"/>
    <w:rsid w:val="004658E7"/>
    <w:rsid w:val="00465EC5"/>
    <w:rsid w:val="00465F82"/>
    <w:rsid w:val="00466008"/>
    <w:rsid w:val="004660AF"/>
    <w:rsid w:val="004664E6"/>
    <w:rsid w:val="0046678C"/>
    <w:rsid w:val="004667D4"/>
    <w:rsid w:val="00466ACA"/>
    <w:rsid w:val="00466B8E"/>
    <w:rsid w:val="00466C78"/>
    <w:rsid w:val="00466D7B"/>
    <w:rsid w:val="004670C2"/>
    <w:rsid w:val="004670D8"/>
    <w:rsid w:val="0046713C"/>
    <w:rsid w:val="004672C6"/>
    <w:rsid w:val="0046749D"/>
    <w:rsid w:val="00467580"/>
    <w:rsid w:val="00467617"/>
    <w:rsid w:val="004678A9"/>
    <w:rsid w:val="00467939"/>
    <w:rsid w:val="00467F43"/>
    <w:rsid w:val="00467F9D"/>
    <w:rsid w:val="00470089"/>
    <w:rsid w:val="0047014E"/>
    <w:rsid w:val="00470256"/>
    <w:rsid w:val="00470388"/>
    <w:rsid w:val="00470E1B"/>
    <w:rsid w:val="00470E62"/>
    <w:rsid w:val="00470FF2"/>
    <w:rsid w:val="004710D2"/>
    <w:rsid w:val="00471328"/>
    <w:rsid w:val="00471484"/>
    <w:rsid w:val="004714A7"/>
    <w:rsid w:val="0047183A"/>
    <w:rsid w:val="00471A3B"/>
    <w:rsid w:val="00471B82"/>
    <w:rsid w:val="00471D6E"/>
    <w:rsid w:val="00471EFE"/>
    <w:rsid w:val="00471F64"/>
    <w:rsid w:val="004721B4"/>
    <w:rsid w:val="00472459"/>
    <w:rsid w:val="004724A4"/>
    <w:rsid w:val="00472599"/>
    <w:rsid w:val="004727C8"/>
    <w:rsid w:val="0047288B"/>
    <w:rsid w:val="004729E2"/>
    <w:rsid w:val="00472CEC"/>
    <w:rsid w:val="00472CFA"/>
    <w:rsid w:val="00472EE3"/>
    <w:rsid w:val="00472EF3"/>
    <w:rsid w:val="00473017"/>
    <w:rsid w:val="00473071"/>
    <w:rsid w:val="004733F8"/>
    <w:rsid w:val="00473677"/>
    <w:rsid w:val="004737A5"/>
    <w:rsid w:val="00473937"/>
    <w:rsid w:val="00473AD6"/>
    <w:rsid w:val="00473B9B"/>
    <w:rsid w:val="00473BC2"/>
    <w:rsid w:val="00473F96"/>
    <w:rsid w:val="00473FB9"/>
    <w:rsid w:val="00474171"/>
    <w:rsid w:val="0047417E"/>
    <w:rsid w:val="004741E0"/>
    <w:rsid w:val="004741F6"/>
    <w:rsid w:val="00474718"/>
    <w:rsid w:val="00474AFA"/>
    <w:rsid w:val="00474C6D"/>
    <w:rsid w:val="00474CD0"/>
    <w:rsid w:val="00474EB3"/>
    <w:rsid w:val="00475018"/>
    <w:rsid w:val="004755F0"/>
    <w:rsid w:val="00475675"/>
    <w:rsid w:val="004756CE"/>
    <w:rsid w:val="0047577F"/>
    <w:rsid w:val="00475992"/>
    <w:rsid w:val="00475AED"/>
    <w:rsid w:val="00475B7F"/>
    <w:rsid w:val="00475CB8"/>
    <w:rsid w:val="00476535"/>
    <w:rsid w:val="00476960"/>
    <w:rsid w:val="00476974"/>
    <w:rsid w:val="00476989"/>
    <w:rsid w:val="00476A1C"/>
    <w:rsid w:val="00477396"/>
    <w:rsid w:val="0047766B"/>
    <w:rsid w:val="004779E2"/>
    <w:rsid w:val="00477A00"/>
    <w:rsid w:val="00477A79"/>
    <w:rsid w:val="00477D0A"/>
    <w:rsid w:val="004802D6"/>
    <w:rsid w:val="0048044B"/>
    <w:rsid w:val="004804AC"/>
    <w:rsid w:val="004808F7"/>
    <w:rsid w:val="00480B0E"/>
    <w:rsid w:val="00480C9F"/>
    <w:rsid w:val="00480D8A"/>
    <w:rsid w:val="00480F76"/>
    <w:rsid w:val="00481147"/>
    <w:rsid w:val="00481257"/>
    <w:rsid w:val="0048146C"/>
    <w:rsid w:val="004814C2"/>
    <w:rsid w:val="00481C9C"/>
    <w:rsid w:val="00481DD1"/>
    <w:rsid w:val="00481ECB"/>
    <w:rsid w:val="004826C8"/>
    <w:rsid w:val="004826E2"/>
    <w:rsid w:val="0048275F"/>
    <w:rsid w:val="0048292A"/>
    <w:rsid w:val="00482B5E"/>
    <w:rsid w:val="00482CC5"/>
    <w:rsid w:val="00482D14"/>
    <w:rsid w:val="00482E78"/>
    <w:rsid w:val="00482EAD"/>
    <w:rsid w:val="00483128"/>
    <w:rsid w:val="00483148"/>
    <w:rsid w:val="0048355C"/>
    <w:rsid w:val="00483565"/>
    <w:rsid w:val="004835AA"/>
    <w:rsid w:val="0048362A"/>
    <w:rsid w:val="00483641"/>
    <w:rsid w:val="00483798"/>
    <w:rsid w:val="00483EAD"/>
    <w:rsid w:val="00484020"/>
    <w:rsid w:val="00484027"/>
    <w:rsid w:val="00484069"/>
    <w:rsid w:val="004840AE"/>
    <w:rsid w:val="00484132"/>
    <w:rsid w:val="004842AB"/>
    <w:rsid w:val="00484589"/>
    <w:rsid w:val="004846E1"/>
    <w:rsid w:val="00484711"/>
    <w:rsid w:val="0048492D"/>
    <w:rsid w:val="00484F3C"/>
    <w:rsid w:val="00485016"/>
    <w:rsid w:val="004850D4"/>
    <w:rsid w:val="004851F8"/>
    <w:rsid w:val="004853DB"/>
    <w:rsid w:val="00485776"/>
    <w:rsid w:val="0048579A"/>
    <w:rsid w:val="004859A7"/>
    <w:rsid w:val="00485D1D"/>
    <w:rsid w:val="00485D53"/>
    <w:rsid w:val="00485F4B"/>
    <w:rsid w:val="004861AB"/>
    <w:rsid w:val="00486292"/>
    <w:rsid w:val="00486390"/>
    <w:rsid w:val="00486478"/>
    <w:rsid w:val="0048668E"/>
    <w:rsid w:val="00486796"/>
    <w:rsid w:val="00486956"/>
    <w:rsid w:val="00486B9B"/>
    <w:rsid w:val="00486BF9"/>
    <w:rsid w:val="00486E3E"/>
    <w:rsid w:val="00487169"/>
    <w:rsid w:val="0048728A"/>
    <w:rsid w:val="00487301"/>
    <w:rsid w:val="00487823"/>
    <w:rsid w:val="004878F2"/>
    <w:rsid w:val="00487930"/>
    <w:rsid w:val="00487932"/>
    <w:rsid w:val="00487C3C"/>
    <w:rsid w:val="00487DB1"/>
    <w:rsid w:val="00487F86"/>
    <w:rsid w:val="004900F4"/>
    <w:rsid w:val="004902AC"/>
    <w:rsid w:val="004904EE"/>
    <w:rsid w:val="00490B80"/>
    <w:rsid w:val="00490DAC"/>
    <w:rsid w:val="0049157B"/>
    <w:rsid w:val="00491618"/>
    <w:rsid w:val="0049183A"/>
    <w:rsid w:val="0049186C"/>
    <w:rsid w:val="00491967"/>
    <w:rsid w:val="00491CE4"/>
    <w:rsid w:val="00491E4A"/>
    <w:rsid w:val="00491EEA"/>
    <w:rsid w:val="00491F50"/>
    <w:rsid w:val="00492063"/>
    <w:rsid w:val="004920A2"/>
    <w:rsid w:val="004920E5"/>
    <w:rsid w:val="00492223"/>
    <w:rsid w:val="0049242B"/>
    <w:rsid w:val="00492822"/>
    <w:rsid w:val="0049283C"/>
    <w:rsid w:val="0049298F"/>
    <w:rsid w:val="004929D3"/>
    <w:rsid w:val="00492AFE"/>
    <w:rsid w:val="00492F7C"/>
    <w:rsid w:val="0049301C"/>
    <w:rsid w:val="00493128"/>
    <w:rsid w:val="004931F2"/>
    <w:rsid w:val="00493210"/>
    <w:rsid w:val="004934E0"/>
    <w:rsid w:val="00493649"/>
    <w:rsid w:val="0049368A"/>
    <w:rsid w:val="0049368C"/>
    <w:rsid w:val="00493903"/>
    <w:rsid w:val="00493C54"/>
    <w:rsid w:val="00493C7B"/>
    <w:rsid w:val="00493E09"/>
    <w:rsid w:val="00493F02"/>
    <w:rsid w:val="0049421C"/>
    <w:rsid w:val="00494453"/>
    <w:rsid w:val="00494466"/>
    <w:rsid w:val="004946B3"/>
    <w:rsid w:val="0049482A"/>
    <w:rsid w:val="00494A67"/>
    <w:rsid w:val="00494B12"/>
    <w:rsid w:val="00494F6D"/>
    <w:rsid w:val="00494FD4"/>
    <w:rsid w:val="0049511C"/>
    <w:rsid w:val="00495314"/>
    <w:rsid w:val="00495A82"/>
    <w:rsid w:val="00495B08"/>
    <w:rsid w:val="004960EC"/>
    <w:rsid w:val="0049630A"/>
    <w:rsid w:val="00496743"/>
    <w:rsid w:val="00496845"/>
    <w:rsid w:val="00496D30"/>
    <w:rsid w:val="00496E05"/>
    <w:rsid w:val="00496EB8"/>
    <w:rsid w:val="0049742C"/>
    <w:rsid w:val="004975F4"/>
    <w:rsid w:val="004978A0"/>
    <w:rsid w:val="004978E4"/>
    <w:rsid w:val="004978EE"/>
    <w:rsid w:val="00497B93"/>
    <w:rsid w:val="00497BCE"/>
    <w:rsid w:val="00497BFC"/>
    <w:rsid w:val="00497F3D"/>
    <w:rsid w:val="004A04BB"/>
    <w:rsid w:val="004A07AA"/>
    <w:rsid w:val="004A0814"/>
    <w:rsid w:val="004A083B"/>
    <w:rsid w:val="004A084E"/>
    <w:rsid w:val="004A0867"/>
    <w:rsid w:val="004A08C5"/>
    <w:rsid w:val="004A097C"/>
    <w:rsid w:val="004A0C21"/>
    <w:rsid w:val="004A1594"/>
    <w:rsid w:val="004A1728"/>
    <w:rsid w:val="004A179C"/>
    <w:rsid w:val="004A18D2"/>
    <w:rsid w:val="004A1A35"/>
    <w:rsid w:val="004A2079"/>
    <w:rsid w:val="004A216E"/>
    <w:rsid w:val="004A2492"/>
    <w:rsid w:val="004A2522"/>
    <w:rsid w:val="004A27F9"/>
    <w:rsid w:val="004A2817"/>
    <w:rsid w:val="004A29A8"/>
    <w:rsid w:val="004A2A57"/>
    <w:rsid w:val="004A2D93"/>
    <w:rsid w:val="004A32F7"/>
    <w:rsid w:val="004A336F"/>
    <w:rsid w:val="004A3485"/>
    <w:rsid w:val="004A370A"/>
    <w:rsid w:val="004A38FE"/>
    <w:rsid w:val="004A3B9C"/>
    <w:rsid w:val="004A3F88"/>
    <w:rsid w:val="004A3FE8"/>
    <w:rsid w:val="004A41FB"/>
    <w:rsid w:val="004A42BE"/>
    <w:rsid w:val="004A42D6"/>
    <w:rsid w:val="004A46CB"/>
    <w:rsid w:val="004A47F6"/>
    <w:rsid w:val="004A4887"/>
    <w:rsid w:val="004A488B"/>
    <w:rsid w:val="004A4E69"/>
    <w:rsid w:val="004A4EBA"/>
    <w:rsid w:val="004A4FA1"/>
    <w:rsid w:val="004A51AA"/>
    <w:rsid w:val="004A5456"/>
    <w:rsid w:val="004A54F1"/>
    <w:rsid w:val="004A59D9"/>
    <w:rsid w:val="004A5A75"/>
    <w:rsid w:val="004A5AEA"/>
    <w:rsid w:val="004A5DF2"/>
    <w:rsid w:val="004A605D"/>
    <w:rsid w:val="004A60D5"/>
    <w:rsid w:val="004A61F6"/>
    <w:rsid w:val="004A6230"/>
    <w:rsid w:val="004A624D"/>
    <w:rsid w:val="004A63D7"/>
    <w:rsid w:val="004A64C9"/>
    <w:rsid w:val="004A7040"/>
    <w:rsid w:val="004A70DA"/>
    <w:rsid w:val="004A724B"/>
    <w:rsid w:val="004A72FC"/>
    <w:rsid w:val="004A738B"/>
    <w:rsid w:val="004A76A6"/>
    <w:rsid w:val="004A77F2"/>
    <w:rsid w:val="004A7BCB"/>
    <w:rsid w:val="004A7C33"/>
    <w:rsid w:val="004A7C89"/>
    <w:rsid w:val="004A7CDB"/>
    <w:rsid w:val="004A7E3E"/>
    <w:rsid w:val="004A7E50"/>
    <w:rsid w:val="004A7F25"/>
    <w:rsid w:val="004A7FC7"/>
    <w:rsid w:val="004B00AE"/>
    <w:rsid w:val="004B013B"/>
    <w:rsid w:val="004B0177"/>
    <w:rsid w:val="004B055C"/>
    <w:rsid w:val="004B059B"/>
    <w:rsid w:val="004B0760"/>
    <w:rsid w:val="004B08A3"/>
    <w:rsid w:val="004B0A4F"/>
    <w:rsid w:val="004B0A7D"/>
    <w:rsid w:val="004B0E3C"/>
    <w:rsid w:val="004B10A7"/>
    <w:rsid w:val="004B112F"/>
    <w:rsid w:val="004B113E"/>
    <w:rsid w:val="004B11F4"/>
    <w:rsid w:val="004B12D8"/>
    <w:rsid w:val="004B159E"/>
    <w:rsid w:val="004B15D0"/>
    <w:rsid w:val="004B16B7"/>
    <w:rsid w:val="004B17A9"/>
    <w:rsid w:val="004B17B2"/>
    <w:rsid w:val="004B195E"/>
    <w:rsid w:val="004B19E5"/>
    <w:rsid w:val="004B1B97"/>
    <w:rsid w:val="004B1D75"/>
    <w:rsid w:val="004B1E2D"/>
    <w:rsid w:val="004B1F6E"/>
    <w:rsid w:val="004B1F76"/>
    <w:rsid w:val="004B2283"/>
    <w:rsid w:val="004B2408"/>
    <w:rsid w:val="004B2432"/>
    <w:rsid w:val="004B250A"/>
    <w:rsid w:val="004B253C"/>
    <w:rsid w:val="004B267B"/>
    <w:rsid w:val="004B26CF"/>
    <w:rsid w:val="004B28C1"/>
    <w:rsid w:val="004B2A85"/>
    <w:rsid w:val="004B2F78"/>
    <w:rsid w:val="004B345B"/>
    <w:rsid w:val="004B36D7"/>
    <w:rsid w:val="004B384B"/>
    <w:rsid w:val="004B3884"/>
    <w:rsid w:val="004B3AA1"/>
    <w:rsid w:val="004B3CB0"/>
    <w:rsid w:val="004B3D1F"/>
    <w:rsid w:val="004B3E6F"/>
    <w:rsid w:val="004B3F4B"/>
    <w:rsid w:val="004B3F94"/>
    <w:rsid w:val="004B4208"/>
    <w:rsid w:val="004B4230"/>
    <w:rsid w:val="004B4254"/>
    <w:rsid w:val="004B44A1"/>
    <w:rsid w:val="004B4613"/>
    <w:rsid w:val="004B4737"/>
    <w:rsid w:val="004B4A6A"/>
    <w:rsid w:val="004B4D5D"/>
    <w:rsid w:val="004B515C"/>
    <w:rsid w:val="004B518A"/>
    <w:rsid w:val="004B5204"/>
    <w:rsid w:val="004B544B"/>
    <w:rsid w:val="004B5544"/>
    <w:rsid w:val="004B5586"/>
    <w:rsid w:val="004B574B"/>
    <w:rsid w:val="004B576E"/>
    <w:rsid w:val="004B5B6E"/>
    <w:rsid w:val="004B60DF"/>
    <w:rsid w:val="004B615D"/>
    <w:rsid w:val="004B61F0"/>
    <w:rsid w:val="004B6327"/>
    <w:rsid w:val="004B66B7"/>
    <w:rsid w:val="004B68E7"/>
    <w:rsid w:val="004B6A4C"/>
    <w:rsid w:val="004B6B0C"/>
    <w:rsid w:val="004B6D7F"/>
    <w:rsid w:val="004B74BE"/>
    <w:rsid w:val="004B77F5"/>
    <w:rsid w:val="004B7992"/>
    <w:rsid w:val="004B7A3B"/>
    <w:rsid w:val="004B7B28"/>
    <w:rsid w:val="004B7CC0"/>
    <w:rsid w:val="004B7CD0"/>
    <w:rsid w:val="004B7E17"/>
    <w:rsid w:val="004B7E1C"/>
    <w:rsid w:val="004B7FE2"/>
    <w:rsid w:val="004C0472"/>
    <w:rsid w:val="004C05FA"/>
    <w:rsid w:val="004C088F"/>
    <w:rsid w:val="004C08B1"/>
    <w:rsid w:val="004C0D74"/>
    <w:rsid w:val="004C0DAB"/>
    <w:rsid w:val="004C0E68"/>
    <w:rsid w:val="004C0EB9"/>
    <w:rsid w:val="004C1158"/>
    <w:rsid w:val="004C1268"/>
    <w:rsid w:val="004C1274"/>
    <w:rsid w:val="004C1425"/>
    <w:rsid w:val="004C145E"/>
    <w:rsid w:val="004C14DC"/>
    <w:rsid w:val="004C15A3"/>
    <w:rsid w:val="004C15E2"/>
    <w:rsid w:val="004C1710"/>
    <w:rsid w:val="004C1CE2"/>
    <w:rsid w:val="004C1E6B"/>
    <w:rsid w:val="004C1EFE"/>
    <w:rsid w:val="004C203C"/>
    <w:rsid w:val="004C2045"/>
    <w:rsid w:val="004C2139"/>
    <w:rsid w:val="004C271F"/>
    <w:rsid w:val="004C2763"/>
    <w:rsid w:val="004C2AB6"/>
    <w:rsid w:val="004C2C32"/>
    <w:rsid w:val="004C2C4D"/>
    <w:rsid w:val="004C31EC"/>
    <w:rsid w:val="004C3635"/>
    <w:rsid w:val="004C3A52"/>
    <w:rsid w:val="004C3CEF"/>
    <w:rsid w:val="004C3DDF"/>
    <w:rsid w:val="004C3EEF"/>
    <w:rsid w:val="004C4528"/>
    <w:rsid w:val="004C46A9"/>
    <w:rsid w:val="004C4824"/>
    <w:rsid w:val="004C50B7"/>
    <w:rsid w:val="004C510F"/>
    <w:rsid w:val="004C54D2"/>
    <w:rsid w:val="004C569D"/>
    <w:rsid w:val="004C57FC"/>
    <w:rsid w:val="004C581A"/>
    <w:rsid w:val="004C590D"/>
    <w:rsid w:val="004C596B"/>
    <w:rsid w:val="004C59C6"/>
    <w:rsid w:val="004C5A43"/>
    <w:rsid w:val="004C6124"/>
    <w:rsid w:val="004C61B2"/>
    <w:rsid w:val="004C6456"/>
    <w:rsid w:val="004C6471"/>
    <w:rsid w:val="004C6597"/>
    <w:rsid w:val="004C65BA"/>
    <w:rsid w:val="004C683A"/>
    <w:rsid w:val="004C689E"/>
    <w:rsid w:val="004C68C2"/>
    <w:rsid w:val="004C699A"/>
    <w:rsid w:val="004C6ACC"/>
    <w:rsid w:val="004C6ADF"/>
    <w:rsid w:val="004C6B7E"/>
    <w:rsid w:val="004C6EA2"/>
    <w:rsid w:val="004C6F2A"/>
    <w:rsid w:val="004C7176"/>
    <w:rsid w:val="004C7535"/>
    <w:rsid w:val="004C765B"/>
    <w:rsid w:val="004C77AB"/>
    <w:rsid w:val="004C77D8"/>
    <w:rsid w:val="004C7ADB"/>
    <w:rsid w:val="004C7D7E"/>
    <w:rsid w:val="004D01AE"/>
    <w:rsid w:val="004D021E"/>
    <w:rsid w:val="004D04A3"/>
    <w:rsid w:val="004D0544"/>
    <w:rsid w:val="004D0E54"/>
    <w:rsid w:val="004D0FCD"/>
    <w:rsid w:val="004D1050"/>
    <w:rsid w:val="004D126B"/>
    <w:rsid w:val="004D14E1"/>
    <w:rsid w:val="004D16DD"/>
    <w:rsid w:val="004D19C5"/>
    <w:rsid w:val="004D1BB1"/>
    <w:rsid w:val="004D1CB6"/>
    <w:rsid w:val="004D1D86"/>
    <w:rsid w:val="004D1EDB"/>
    <w:rsid w:val="004D1EFC"/>
    <w:rsid w:val="004D21AB"/>
    <w:rsid w:val="004D220F"/>
    <w:rsid w:val="004D22D8"/>
    <w:rsid w:val="004D269F"/>
    <w:rsid w:val="004D28D1"/>
    <w:rsid w:val="004D28FA"/>
    <w:rsid w:val="004D2A21"/>
    <w:rsid w:val="004D2C40"/>
    <w:rsid w:val="004D300D"/>
    <w:rsid w:val="004D32E3"/>
    <w:rsid w:val="004D3535"/>
    <w:rsid w:val="004D3631"/>
    <w:rsid w:val="004D3717"/>
    <w:rsid w:val="004D39E7"/>
    <w:rsid w:val="004D3B0F"/>
    <w:rsid w:val="004D3CF8"/>
    <w:rsid w:val="004D3D4B"/>
    <w:rsid w:val="004D3DB9"/>
    <w:rsid w:val="004D3E61"/>
    <w:rsid w:val="004D407E"/>
    <w:rsid w:val="004D40F7"/>
    <w:rsid w:val="004D4483"/>
    <w:rsid w:val="004D44A7"/>
    <w:rsid w:val="004D4ACE"/>
    <w:rsid w:val="004D4BB0"/>
    <w:rsid w:val="004D4E98"/>
    <w:rsid w:val="004D4FDE"/>
    <w:rsid w:val="004D5013"/>
    <w:rsid w:val="004D512D"/>
    <w:rsid w:val="004D51B8"/>
    <w:rsid w:val="004D569B"/>
    <w:rsid w:val="004D56D9"/>
    <w:rsid w:val="004D5855"/>
    <w:rsid w:val="004D5A56"/>
    <w:rsid w:val="004D5E68"/>
    <w:rsid w:val="004D60E5"/>
    <w:rsid w:val="004D617D"/>
    <w:rsid w:val="004D61A3"/>
    <w:rsid w:val="004D620A"/>
    <w:rsid w:val="004D62BE"/>
    <w:rsid w:val="004D62CB"/>
    <w:rsid w:val="004D65D2"/>
    <w:rsid w:val="004D6A2F"/>
    <w:rsid w:val="004D6BE2"/>
    <w:rsid w:val="004D6F27"/>
    <w:rsid w:val="004D6F8D"/>
    <w:rsid w:val="004D73C2"/>
    <w:rsid w:val="004D75EA"/>
    <w:rsid w:val="004D7739"/>
    <w:rsid w:val="004D77E1"/>
    <w:rsid w:val="004D7838"/>
    <w:rsid w:val="004D7B42"/>
    <w:rsid w:val="004D7C3B"/>
    <w:rsid w:val="004D7D2A"/>
    <w:rsid w:val="004D7E6C"/>
    <w:rsid w:val="004E02FA"/>
    <w:rsid w:val="004E05F9"/>
    <w:rsid w:val="004E0D48"/>
    <w:rsid w:val="004E0D88"/>
    <w:rsid w:val="004E0DC9"/>
    <w:rsid w:val="004E0EF2"/>
    <w:rsid w:val="004E0F24"/>
    <w:rsid w:val="004E17CE"/>
    <w:rsid w:val="004E1B21"/>
    <w:rsid w:val="004E1BF9"/>
    <w:rsid w:val="004E1C47"/>
    <w:rsid w:val="004E1C59"/>
    <w:rsid w:val="004E1D05"/>
    <w:rsid w:val="004E1D36"/>
    <w:rsid w:val="004E2083"/>
    <w:rsid w:val="004E21F6"/>
    <w:rsid w:val="004E222B"/>
    <w:rsid w:val="004E22B3"/>
    <w:rsid w:val="004E23B0"/>
    <w:rsid w:val="004E23EE"/>
    <w:rsid w:val="004E2FCA"/>
    <w:rsid w:val="004E3058"/>
    <w:rsid w:val="004E3977"/>
    <w:rsid w:val="004E3DBD"/>
    <w:rsid w:val="004E3DC2"/>
    <w:rsid w:val="004E3DF7"/>
    <w:rsid w:val="004E3FA9"/>
    <w:rsid w:val="004E4075"/>
    <w:rsid w:val="004E4274"/>
    <w:rsid w:val="004E4461"/>
    <w:rsid w:val="004E4680"/>
    <w:rsid w:val="004E482C"/>
    <w:rsid w:val="004E4904"/>
    <w:rsid w:val="004E5096"/>
    <w:rsid w:val="004E5182"/>
    <w:rsid w:val="004E51C8"/>
    <w:rsid w:val="004E520D"/>
    <w:rsid w:val="004E530F"/>
    <w:rsid w:val="004E55DA"/>
    <w:rsid w:val="004E5635"/>
    <w:rsid w:val="004E580C"/>
    <w:rsid w:val="004E586F"/>
    <w:rsid w:val="004E58B7"/>
    <w:rsid w:val="004E596C"/>
    <w:rsid w:val="004E5F26"/>
    <w:rsid w:val="004E658E"/>
    <w:rsid w:val="004E69C0"/>
    <w:rsid w:val="004E709F"/>
    <w:rsid w:val="004E70CD"/>
    <w:rsid w:val="004E723F"/>
    <w:rsid w:val="004E72AE"/>
    <w:rsid w:val="004E7307"/>
    <w:rsid w:val="004E760F"/>
    <w:rsid w:val="004E777A"/>
    <w:rsid w:val="004E780B"/>
    <w:rsid w:val="004E7DBC"/>
    <w:rsid w:val="004E7EA3"/>
    <w:rsid w:val="004F03EC"/>
    <w:rsid w:val="004F0674"/>
    <w:rsid w:val="004F0CEE"/>
    <w:rsid w:val="004F0F65"/>
    <w:rsid w:val="004F11BA"/>
    <w:rsid w:val="004F1260"/>
    <w:rsid w:val="004F18B2"/>
    <w:rsid w:val="004F1F51"/>
    <w:rsid w:val="004F1FE2"/>
    <w:rsid w:val="004F2005"/>
    <w:rsid w:val="004F2155"/>
    <w:rsid w:val="004F2233"/>
    <w:rsid w:val="004F255D"/>
    <w:rsid w:val="004F2657"/>
    <w:rsid w:val="004F26FF"/>
    <w:rsid w:val="004F29D5"/>
    <w:rsid w:val="004F2A43"/>
    <w:rsid w:val="004F2CCB"/>
    <w:rsid w:val="004F2ED8"/>
    <w:rsid w:val="004F3716"/>
    <w:rsid w:val="004F3986"/>
    <w:rsid w:val="004F3B21"/>
    <w:rsid w:val="004F3B61"/>
    <w:rsid w:val="004F3DEE"/>
    <w:rsid w:val="004F4166"/>
    <w:rsid w:val="004F42C4"/>
    <w:rsid w:val="004F446E"/>
    <w:rsid w:val="004F47BA"/>
    <w:rsid w:val="004F4C2B"/>
    <w:rsid w:val="004F516A"/>
    <w:rsid w:val="004F51C6"/>
    <w:rsid w:val="004F5563"/>
    <w:rsid w:val="004F558F"/>
    <w:rsid w:val="004F59E1"/>
    <w:rsid w:val="004F5E96"/>
    <w:rsid w:val="004F6172"/>
    <w:rsid w:val="004F621C"/>
    <w:rsid w:val="004F632E"/>
    <w:rsid w:val="004F6403"/>
    <w:rsid w:val="004F699E"/>
    <w:rsid w:val="004F71A8"/>
    <w:rsid w:val="004F74AE"/>
    <w:rsid w:val="004F7769"/>
    <w:rsid w:val="004F7978"/>
    <w:rsid w:val="004F7D14"/>
    <w:rsid w:val="004F7DCF"/>
    <w:rsid w:val="004F7F0A"/>
    <w:rsid w:val="004F7FF1"/>
    <w:rsid w:val="00500127"/>
    <w:rsid w:val="00500303"/>
    <w:rsid w:val="0050046D"/>
    <w:rsid w:val="0050047F"/>
    <w:rsid w:val="00500968"/>
    <w:rsid w:val="00500D87"/>
    <w:rsid w:val="005012FD"/>
    <w:rsid w:val="00501502"/>
    <w:rsid w:val="0050158E"/>
    <w:rsid w:val="005016B3"/>
    <w:rsid w:val="00501702"/>
    <w:rsid w:val="00501828"/>
    <w:rsid w:val="005018E1"/>
    <w:rsid w:val="00501B06"/>
    <w:rsid w:val="00501C76"/>
    <w:rsid w:val="00502239"/>
    <w:rsid w:val="0050275C"/>
    <w:rsid w:val="00502872"/>
    <w:rsid w:val="00502CD1"/>
    <w:rsid w:val="00502D7A"/>
    <w:rsid w:val="00502DAE"/>
    <w:rsid w:val="0050304F"/>
    <w:rsid w:val="0050363D"/>
    <w:rsid w:val="0050365E"/>
    <w:rsid w:val="0050390D"/>
    <w:rsid w:val="0050391B"/>
    <w:rsid w:val="00503BF4"/>
    <w:rsid w:val="00503C72"/>
    <w:rsid w:val="00503F9F"/>
    <w:rsid w:val="005041D0"/>
    <w:rsid w:val="005042C6"/>
    <w:rsid w:val="00504914"/>
    <w:rsid w:val="00504EC4"/>
    <w:rsid w:val="00504FD3"/>
    <w:rsid w:val="00505055"/>
    <w:rsid w:val="00505096"/>
    <w:rsid w:val="00505171"/>
    <w:rsid w:val="00505921"/>
    <w:rsid w:val="00505C26"/>
    <w:rsid w:val="00506026"/>
    <w:rsid w:val="00506064"/>
    <w:rsid w:val="005061AF"/>
    <w:rsid w:val="005062E9"/>
    <w:rsid w:val="00506489"/>
    <w:rsid w:val="00506516"/>
    <w:rsid w:val="0050658B"/>
    <w:rsid w:val="0050660A"/>
    <w:rsid w:val="005068FF"/>
    <w:rsid w:val="00506A12"/>
    <w:rsid w:val="00506A56"/>
    <w:rsid w:val="00506AF2"/>
    <w:rsid w:val="00506B19"/>
    <w:rsid w:val="005071B5"/>
    <w:rsid w:val="00507259"/>
    <w:rsid w:val="0050758F"/>
    <w:rsid w:val="005076AC"/>
    <w:rsid w:val="00507847"/>
    <w:rsid w:val="00507AF0"/>
    <w:rsid w:val="00507CA0"/>
    <w:rsid w:val="00507DE9"/>
    <w:rsid w:val="00510414"/>
    <w:rsid w:val="005105FB"/>
    <w:rsid w:val="00510AF3"/>
    <w:rsid w:val="00510C78"/>
    <w:rsid w:val="00510DDD"/>
    <w:rsid w:val="00510EB1"/>
    <w:rsid w:val="0051108C"/>
    <w:rsid w:val="00511135"/>
    <w:rsid w:val="0051114B"/>
    <w:rsid w:val="0051135C"/>
    <w:rsid w:val="00511396"/>
    <w:rsid w:val="0051158C"/>
    <w:rsid w:val="00511609"/>
    <w:rsid w:val="00511621"/>
    <w:rsid w:val="00511878"/>
    <w:rsid w:val="00511E3C"/>
    <w:rsid w:val="00511E9F"/>
    <w:rsid w:val="00511F18"/>
    <w:rsid w:val="00512432"/>
    <w:rsid w:val="005124BE"/>
    <w:rsid w:val="00512551"/>
    <w:rsid w:val="005126CE"/>
    <w:rsid w:val="00512795"/>
    <w:rsid w:val="00512885"/>
    <w:rsid w:val="005128A1"/>
    <w:rsid w:val="00512A3B"/>
    <w:rsid w:val="00512A82"/>
    <w:rsid w:val="00512D7D"/>
    <w:rsid w:val="00512DBB"/>
    <w:rsid w:val="00513175"/>
    <w:rsid w:val="00513291"/>
    <w:rsid w:val="00513337"/>
    <w:rsid w:val="005133D7"/>
    <w:rsid w:val="0051364C"/>
    <w:rsid w:val="00513A54"/>
    <w:rsid w:val="00513B5F"/>
    <w:rsid w:val="00513E90"/>
    <w:rsid w:val="0051412C"/>
    <w:rsid w:val="00514186"/>
    <w:rsid w:val="005143A2"/>
    <w:rsid w:val="005143EC"/>
    <w:rsid w:val="005144FD"/>
    <w:rsid w:val="00514692"/>
    <w:rsid w:val="0051496E"/>
    <w:rsid w:val="00514A37"/>
    <w:rsid w:val="00515767"/>
    <w:rsid w:val="005157A7"/>
    <w:rsid w:val="005157D6"/>
    <w:rsid w:val="00515BA2"/>
    <w:rsid w:val="00515E6E"/>
    <w:rsid w:val="00515F56"/>
    <w:rsid w:val="0051610B"/>
    <w:rsid w:val="0051638F"/>
    <w:rsid w:val="00516576"/>
    <w:rsid w:val="005166B2"/>
    <w:rsid w:val="0051673F"/>
    <w:rsid w:val="005168FA"/>
    <w:rsid w:val="00516931"/>
    <w:rsid w:val="00516B0E"/>
    <w:rsid w:val="00516D1C"/>
    <w:rsid w:val="00516DDC"/>
    <w:rsid w:val="00516E1E"/>
    <w:rsid w:val="00517022"/>
    <w:rsid w:val="0051703B"/>
    <w:rsid w:val="005171C5"/>
    <w:rsid w:val="0051733E"/>
    <w:rsid w:val="005173D4"/>
    <w:rsid w:val="00517550"/>
    <w:rsid w:val="005178D9"/>
    <w:rsid w:val="00517ABE"/>
    <w:rsid w:val="00517AFF"/>
    <w:rsid w:val="00517CDB"/>
    <w:rsid w:val="00517DF7"/>
    <w:rsid w:val="00520056"/>
    <w:rsid w:val="0052014F"/>
    <w:rsid w:val="00520199"/>
    <w:rsid w:val="00520731"/>
    <w:rsid w:val="005208D1"/>
    <w:rsid w:val="00520B60"/>
    <w:rsid w:val="00520FD9"/>
    <w:rsid w:val="00521904"/>
    <w:rsid w:val="00521C0E"/>
    <w:rsid w:val="00521EE1"/>
    <w:rsid w:val="00521EF3"/>
    <w:rsid w:val="0052216F"/>
    <w:rsid w:val="005221CE"/>
    <w:rsid w:val="005225BE"/>
    <w:rsid w:val="00522896"/>
    <w:rsid w:val="00522CBE"/>
    <w:rsid w:val="00522E24"/>
    <w:rsid w:val="005232EA"/>
    <w:rsid w:val="0052342D"/>
    <w:rsid w:val="0052355D"/>
    <w:rsid w:val="005235B9"/>
    <w:rsid w:val="005235ED"/>
    <w:rsid w:val="00523BE4"/>
    <w:rsid w:val="00523E7C"/>
    <w:rsid w:val="005240D2"/>
    <w:rsid w:val="005240F9"/>
    <w:rsid w:val="005241BE"/>
    <w:rsid w:val="00524339"/>
    <w:rsid w:val="0052433D"/>
    <w:rsid w:val="00524396"/>
    <w:rsid w:val="005244A7"/>
    <w:rsid w:val="00524568"/>
    <w:rsid w:val="005246FA"/>
    <w:rsid w:val="0052472D"/>
    <w:rsid w:val="0052474A"/>
    <w:rsid w:val="00524C3F"/>
    <w:rsid w:val="00524C49"/>
    <w:rsid w:val="00524D32"/>
    <w:rsid w:val="00524D85"/>
    <w:rsid w:val="00524E76"/>
    <w:rsid w:val="00524F1A"/>
    <w:rsid w:val="005251E7"/>
    <w:rsid w:val="005252F6"/>
    <w:rsid w:val="005254AE"/>
    <w:rsid w:val="00525875"/>
    <w:rsid w:val="0052591D"/>
    <w:rsid w:val="005259B7"/>
    <w:rsid w:val="005259CE"/>
    <w:rsid w:val="00525B28"/>
    <w:rsid w:val="00525CA1"/>
    <w:rsid w:val="00525D40"/>
    <w:rsid w:val="00526126"/>
    <w:rsid w:val="005265BD"/>
    <w:rsid w:val="005269ED"/>
    <w:rsid w:val="00526CFA"/>
    <w:rsid w:val="00526D2B"/>
    <w:rsid w:val="00526E27"/>
    <w:rsid w:val="00526EFE"/>
    <w:rsid w:val="005271A1"/>
    <w:rsid w:val="00527258"/>
    <w:rsid w:val="005273B8"/>
    <w:rsid w:val="005274ED"/>
    <w:rsid w:val="00527503"/>
    <w:rsid w:val="00527964"/>
    <w:rsid w:val="005279F8"/>
    <w:rsid w:val="00527A39"/>
    <w:rsid w:val="00527D0A"/>
    <w:rsid w:val="00527D80"/>
    <w:rsid w:val="00527E3A"/>
    <w:rsid w:val="0053003A"/>
    <w:rsid w:val="00530A46"/>
    <w:rsid w:val="00530F5B"/>
    <w:rsid w:val="005310F2"/>
    <w:rsid w:val="00531156"/>
    <w:rsid w:val="00531306"/>
    <w:rsid w:val="00531619"/>
    <w:rsid w:val="005317D6"/>
    <w:rsid w:val="0053192E"/>
    <w:rsid w:val="00531D0F"/>
    <w:rsid w:val="00531DED"/>
    <w:rsid w:val="00531FCA"/>
    <w:rsid w:val="00532010"/>
    <w:rsid w:val="0053233B"/>
    <w:rsid w:val="00532462"/>
    <w:rsid w:val="0053297E"/>
    <w:rsid w:val="00532A63"/>
    <w:rsid w:val="00532A89"/>
    <w:rsid w:val="00532AAB"/>
    <w:rsid w:val="00532B85"/>
    <w:rsid w:val="00532D69"/>
    <w:rsid w:val="0053301F"/>
    <w:rsid w:val="00533099"/>
    <w:rsid w:val="0053325B"/>
    <w:rsid w:val="005333D9"/>
    <w:rsid w:val="00533426"/>
    <w:rsid w:val="005334E1"/>
    <w:rsid w:val="005337EC"/>
    <w:rsid w:val="00533ACC"/>
    <w:rsid w:val="00533B94"/>
    <w:rsid w:val="00533BAC"/>
    <w:rsid w:val="00533D87"/>
    <w:rsid w:val="0053409F"/>
    <w:rsid w:val="005340C9"/>
    <w:rsid w:val="0053411A"/>
    <w:rsid w:val="00534488"/>
    <w:rsid w:val="00534587"/>
    <w:rsid w:val="00534771"/>
    <w:rsid w:val="005348A5"/>
    <w:rsid w:val="005348C7"/>
    <w:rsid w:val="005348CF"/>
    <w:rsid w:val="00534BA8"/>
    <w:rsid w:val="00534D3E"/>
    <w:rsid w:val="00535190"/>
    <w:rsid w:val="00535206"/>
    <w:rsid w:val="00535314"/>
    <w:rsid w:val="005356CE"/>
    <w:rsid w:val="00535784"/>
    <w:rsid w:val="005357E7"/>
    <w:rsid w:val="005358AE"/>
    <w:rsid w:val="005359B5"/>
    <w:rsid w:val="00535ADD"/>
    <w:rsid w:val="00535FE0"/>
    <w:rsid w:val="0053620B"/>
    <w:rsid w:val="00536456"/>
    <w:rsid w:val="00536997"/>
    <w:rsid w:val="00536C30"/>
    <w:rsid w:val="00536DF6"/>
    <w:rsid w:val="00536F24"/>
    <w:rsid w:val="0053725A"/>
    <w:rsid w:val="00537650"/>
    <w:rsid w:val="0053768B"/>
    <w:rsid w:val="005377BD"/>
    <w:rsid w:val="0053788A"/>
    <w:rsid w:val="005378AF"/>
    <w:rsid w:val="005378D1"/>
    <w:rsid w:val="00537977"/>
    <w:rsid w:val="00537BBD"/>
    <w:rsid w:val="00537DC3"/>
    <w:rsid w:val="00537DD1"/>
    <w:rsid w:val="00537FC7"/>
    <w:rsid w:val="0054009F"/>
    <w:rsid w:val="005404AD"/>
    <w:rsid w:val="0054052F"/>
    <w:rsid w:val="005406BC"/>
    <w:rsid w:val="00540A7D"/>
    <w:rsid w:val="00540CDB"/>
    <w:rsid w:val="00540DCB"/>
    <w:rsid w:val="00540E13"/>
    <w:rsid w:val="00540E85"/>
    <w:rsid w:val="00540F56"/>
    <w:rsid w:val="00541344"/>
    <w:rsid w:val="00541559"/>
    <w:rsid w:val="0054176A"/>
    <w:rsid w:val="00541947"/>
    <w:rsid w:val="0054194D"/>
    <w:rsid w:val="005419CC"/>
    <w:rsid w:val="00541A0B"/>
    <w:rsid w:val="00541BC3"/>
    <w:rsid w:val="00541D4C"/>
    <w:rsid w:val="00541E38"/>
    <w:rsid w:val="00541EAB"/>
    <w:rsid w:val="00541FB6"/>
    <w:rsid w:val="0054207B"/>
    <w:rsid w:val="0054210D"/>
    <w:rsid w:val="0054221C"/>
    <w:rsid w:val="00542589"/>
    <w:rsid w:val="0054265A"/>
    <w:rsid w:val="005426A7"/>
    <w:rsid w:val="0054271C"/>
    <w:rsid w:val="00542723"/>
    <w:rsid w:val="00542879"/>
    <w:rsid w:val="00542E63"/>
    <w:rsid w:val="00542E92"/>
    <w:rsid w:val="005434A6"/>
    <w:rsid w:val="00543943"/>
    <w:rsid w:val="00543AA1"/>
    <w:rsid w:val="00543B09"/>
    <w:rsid w:val="00543B9C"/>
    <w:rsid w:val="00543BBC"/>
    <w:rsid w:val="00543E52"/>
    <w:rsid w:val="0054409F"/>
    <w:rsid w:val="00544120"/>
    <w:rsid w:val="00544166"/>
    <w:rsid w:val="005443D3"/>
    <w:rsid w:val="00544493"/>
    <w:rsid w:val="00544515"/>
    <w:rsid w:val="005447CD"/>
    <w:rsid w:val="00544897"/>
    <w:rsid w:val="005448E4"/>
    <w:rsid w:val="00544A5D"/>
    <w:rsid w:val="00544AD9"/>
    <w:rsid w:val="00544F00"/>
    <w:rsid w:val="005451A5"/>
    <w:rsid w:val="005452DF"/>
    <w:rsid w:val="00545307"/>
    <w:rsid w:val="005453E7"/>
    <w:rsid w:val="00545533"/>
    <w:rsid w:val="005457DB"/>
    <w:rsid w:val="00545A73"/>
    <w:rsid w:val="00545B90"/>
    <w:rsid w:val="00545F7F"/>
    <w:rsid w:val="0054603E"/>
    <w:rsid w:val="0054669E"/>
    <w:rsid w:val="005467A3"/>
    <w:rsid w:val="00546A54"/>
    <w:rsid w:val="00546A8E"/>
    <w:rsid w:val="00546B04"/>
    <w:rsid w:val="00546C04"/>
    <w:rsid w:val="00546DD3"/>
    <w:rsid w:val="00546F59"/>
    <w:rsid w:val="00546F5D"/>
    <w:rsid w:val="00546F5F"/>
    <w:rsid w:val="00546FBC"/>
    <w:rsid w:val="00547182"/>
    <w:rsid w:val="00547315"/>
    <w:rsid w:val="0054748C"/>
    <w:rsid w:val="0054763D"/>
    <w:rsid w:val="0054779D"/>
    <w:rsid w:val="00547970"/>
    <w:rsid w:val="005479E2"/>
    <w:rsid w:val="00547BF2"/>
    <w:rsid w:val="00547E4F"/>
    <w:rsid w:val="005500AF"/>
    <w:rsid w:val="00550164"/>
    <w:rsid w:val="00550241"/>
    <w:rsid w:val="005503CC"/>
    <w:rsid w:val="00550413"/>
    <w:rsid w:val="00550982"/>
    <w:rsid w:val="005510C0"/>
    <w:rsid w:val="00551121"/>
    <w:rsid w:val="0055138F"/>
    <w:rsid w:val="0055154B"/>
    <w:rsid w:val="0055161C"/>
    <w:rsid w:val="0055176F"/>
    <w:rsid w:val="00551770"/>
    <w:rsid w:val="00551F0A"/>
    <w:rsid w:val="00551F30"/>
    <w:rsid w:val="00551FDE"/>
    <w:rsid w:val="00552122"/>
    <w:rsid w:val="00552496"/>
    <w:rsid w:val="005527BC"/>
    <w:rsid w:val="005528AF"/>
    <w:rsid w:val="00552D51"/>
    <w:rsid w:val="00553A2E"/>
    <w:rsid w:val="00553B83"/>
    <w:rsid w:val="00553DBF"/>
    <w:rsid w:val="00553E3A"/>
    <w:rsid w:val="005543D3"/>
    <w:rsid w:val="005543F7"/>
    <w:rsid w:val="0055445D"/>
    <w:rsid w:val="005544C7"/>
    <w:rsid w:val="005544EE"/>
    <w:rsid w:val="00554592"/>
    <w:rsid w:val="005545E6"/>
    <w:rsid w:val="0055463C"/>
    <w:rsid w:val="005546E1"/>
    <w:rsid w:val="005547E9"/>
    <w:rsid w:val="0055480E"/>
    <w:rsid w:val="00554A57"/>
    <w:rsid w:val="00554BAC"/>
    <w:rsid w:val="00554BBA"/>
    <w:rsid w:val="00554FD6"/>
    <w:rsid w:val="005554A0"/>
    <w:rsid w:val="005554E1"/>
    <w:rsid w:val="005555A5"/>
    <w:rsid w:val="005556F4"/>
    <w:rsid w:val="0055582E"/>
    <w:rsid w:val="00555839"/>
    <w:rsid w:val="00555881"/>
    <w:rsid w:val="0055589B"/>
    <w:rsid w:val="005559E7"/>
    <w:rsid w:val="00555A48"/>
    <w:rsid w:val="00555C10"/>
    <w:rsid w:val="00555CE4"/>
    <w:rsid w:val="00555EB8"/>
    <w:rsid w:val="00556026"/>
    <w:rsid w:val="00556131"/>
    <w:rsid w:val="00556376"/>
    <w:rsid w:val="005563C2"/>
    <w:rsid w:val="005565C8"/>
    <w:rsid w:val="005569B7"/>
    <w:rsid w:val="00556A42"/>
    <w:rsid w:val="00556B85"/>
    <w:rsid w:val="00556BB3"/>
    <w:rsid w:val="0055702B"/>
    <w:rsid w:val="005570E6"/>
    <w:rsid w:val="005573DE"/>
    <w:rsid w:val="0055748D"/>
    <w:rsid w:val="005575EE"/>
    <w:rsid w:val="0055763D"/>
    <w:rsid w:val="005578D3"/>
    <w:rsid w:val="005579FD"/>
    <w:rsid w:val="00557C3E"/>
    <w:rsid w:val="00557F0B"/>
    <w:rsid w:val="00560193"/>
    <w:rsid w:val="005601FE"/>
    <w:rsid w:val="00560763"/>
    <w:rsid w:val="00560888"/>
    <w:rsid w:val="00560A75"/>
    <w:rsid w:val="00560C2D"/>
    <w:rsid w:val="00560CBA"/>
    <w:rsid w:val="00561218"/>
    <w:rsid w:val="0056122D"/>
    <w:rsid w:val="00561322"/>
    <w:rsid w:val="00561392"/>
    <w:rsid w:val="005617E4"/>
    <w:rsid w:val="0056194E"/>
    <w:rsid w:val="00561961"/>
    <w:rsid w:val="005619ED"/>
    <w:rsid w:val="0056217F"/>
    <w:rsid w:val="00562790"/>
    <w:rsid w:val="005628E8"/>
    <w:rsid w:val="00562BFE"/>
    <w:rsid w:val="00562F39"/>
    <w:rsid w:val="00562F7B"/>
    <w:rsid w:val="00563117"/>
    <w:rsid w:val="005631AE"/>
    <w:rsid w:val="0056346A"/>
    <w:rsid w:val="00563752"/>
    <w:rsid w:val="00563781"/>
    <w:rsid w:val="00563806"/>
    <w:rsid w:val="00563C78"/>
    <w:rsid w:val="00563CBB"/>
    <w:rsid w:val="00563D52"/>
    <w:rsid w:val="00563E79"/>
    <w:rsid w:val="00563E86"/>
    <w:rsid w:val="00563F98"/>
    <w:rsid w:val="0056411D"/>
    <w:rsid w:val="00564525"/>
    <w:rsid w:val="005645BE"/>
    <w:rsid w:val="0056466E"/>
    <w:rsid w:val="00564698"/>
    <w:rsid w:val="005646FB"/>
    <w:rsid w:val="00564729"/>
    <w:rsid w:val="00564858"/>
    <w:rsid w:val="00564D05"/>
    <w:rsid w:val="00564D5F"/>
    <w:rsid w:val="00564E84"/>
    <w:rsid w:val="005652BE"/>
    <w:rsid w:val="00565456"/>
    <w:rsid w:val="005654DD"/>
    <w:rsid w:val="005655B5"/>
    <w:rsid w:val="0056563E"/>
    <w:rsid w:val="005658F4"/>
    <w:rsid w:val="00565993"/>
    <w:rsid w:val="00565A8C"/>
    <w:rsid w:val="00565EC7"/>
    <w:rsid w:val="00565ED5"/>
    <w:rsid w:val="0056622F"/>
    <w:rsid w:val="0056684E"/>
    <w:rsid w:val="00566B17"/>
    <w:rsid w:val="00566DC0"/>
    <w:rsid w:val="00566EF5"/>
    <w:rsid w:val="00566FD0"/>
    <w:rsid w:val="0056721A"/>
    <w:rsid w:val="00567346"/>
    <w:rsid w:val="0056788F"/>
    <w:rsid w:val="005679D5"/>
    <w:rsid w:val="00567A74"/>
    <w:rsid w:val="00567C74"/>
    <w:rsid w:val="00567D94"/>
    <w:rsid w:val="00567DA6"/>
    <w:rsid w:val="00567EA7"/>
    <w:rsid w:val="00567F1A"/>
    <w:rsid w:val="00567FD1"/>
    <w:rsid w:val="0057036C"/>
    <w:rsid w:val="005703FD"/>
    <w:rsid w:val="00570472"/>
    <w:rsid w:val="00570624"/>
    <w:rsid w:val="00570AEB"/>
    <w:rsid w:val="00570C35"/>
    <w:rsid w:val="00570F48"/>
    <w:rsid w:val="00570FD8"/>
    <w:rsid w:val="00571081"/>
    <w:rsid w:val="00571139"/>
    <w:rsid w:val="00571160"/>
    <w:rsid w:val="00571BA6"/>
    <w:rsid w:val="00571BBD"/>
    <w:rsid w:val="00571E88"/>
    <w:rsid w:val="00572054"/>
    <w:rsid w:val="005720E2"/>
    <w:rsid w:val="005723B2"/>
    <w:rsid w:val="00572826"/>
    <w:rsid w:val="005728D0"/>
    <w:rsid w:val="005729EB"/>
    <w:rsid w:val="00572ABA"/>
    <w:rsid w:val="00572C28"/>
    <w:rsid w:val="00572C56"/>
    <w:rsid w:val="00572CB0"/>
    <w:rsid w:val="005730FB"/>
    <w:rsid w:val="00573139"/>
    <w:rsid w:val="005731EE"/>
    <w:rsid w:val="0057330E"/>
    <w:rsid w:val="00573330"/>
    <w:rsid w:val="00573455"/>
    <w:rsid w:val="00573605"/>
    <w:rsid w:val="00573632"/>
    <w:rsid w:val="0057383D"/>
    <w:rsid w:val="00573875"/>
    <w:rsid w:val="00573AFA"/>
    <w:rsid w:val="00573B5C"/>
    <w:rsid w:val="00573EAD"/>
    <w:rsid w:val="00573F07"/>
    <w:rsid w:val="00573F0A"/>
    <w:rsid w:val="005740F7"/>
    <w:rsid w:val="0057418C"/>
    <w:rsid w:val="005743C1"/>
    <w:rsid w:val="00574412"/>
    <w:rsid w:val="00574473"/>
    <w:rsid w:val="005744BC"/>
    <w:rsid w:val="00574B0E"/>
    <w:rsid w:val="00574BD7"/>
    <w:rsid w:val="00574C2F"/>
    <w:rsid w:val="00575070"/>
    <w:rsid w:val="005754E2"/>
    <w:rsid w:val="005756D3"/>
    <w:rsid w:val="005757AF"/>
    <w:rsid w:val="005759E7"/>
    <w:rsid w:val="00575AC3"/>
    <w:rsid w:val="00575B02"/>
    <w:rsid w:val="00575C72"/>
    <w:rsid w:val="00575D01"/>
    <w:rsid w:val="00575E80"/>
    <w:rsid w:val="00575F3A"/>
    <w:rsid w:val="00575F3E"/>
    <w:rsid w:val="005760B5"/>
    <w:rsid w:val="005760F5"/>
    <w:rsid w:val="00576152"/>
    <w:rsid w:val="00576465"/>
    <w:rsid w:val="0057665F"/>
    <w:rsid w:val="005767BA"/>
    <w:rsid w:val="0057698F"/>
    <w:rsid w:val="005769E5"/>
    <w:rsid w:val="00576A6B"/>
    <w:rsid w:val="00576B25"/>
    <w:rsid w:val="00576D59"/>
    <w:rsid w:val="00576FE3"/>
    <w:rsid w:val="0057734F"/>
    <w:rsid w:val="0057742C"/>
    <w:rsid w:val="005775A0"/>
    <w:rsid w:val="0057762D"/>
    <w:rsid w:val="005778A8"/>
    <w:rsid w:val="005778B8"/>
    <w:rsid w:val="005778BB"/>
    <w:rsid w:val="00577A81"/>
    <w:rsid w:val="00577AC6"/>
    <w:rsid w:val="00577B76"/>
    <w:rsid w:val="00580376"/>
    <w:rsid w:val="005803D5"/>
    <w:rsid w:val="00580560"/>
    <w:rsid w:val="00580C74"/>
    <w:rsid w:val="00580D5D"/>
    <w:rsid w:val="0058113E"/>
    <w:rsid w:val="00581269"/>
    <w:rsid w:val="00581270"/>
    <w:rsid w:val="00581349"/>
    <w:rsid w:val="00581E33"/>
    <w:rsid w:val="00582031"/>
    <w:rsid w:val="00582043"/>
    <w:rsid w:val="00582075"/>
    <w:rsid w:val="00582179"/>
    <w:rsid w:val="00582374"/>
    <w:rsid w:val="005826B9"/>
    <w:rsid w:val="005826D5"/>
    <w:rsid w:val="005827A9"/>
    <w:rsid w:val="005829A4"/>
    <w:rsid w:val="00582B1D"/>
    <w:rsid w:val="00582B1F"/>
    <w:rsid w:val="00582CF2"/>
    <w:rsid w:val="00582D80"/>
    <w:rsid w:val="00583335"/>
    <w:rsid w:val="00583350"/>
    <w:rsid w:val="005833EF"/>
    <w:rsid w:val="00583552"/>
    <w:rsid w:val="005835CB"/>
    <w:rsid w:val="00583778"/>
    <w:rsid w:val="0058393A"/>
    <w:rsid w:val="00583C5F"/>
    <w:rsid w:val="00583F9E"/>
    <w:rsid w:val="00584044"/>
    <w:rsid w:val="005840AD"/>
    <w:rsid w:val="00584459"/>
    <w:rsid w:val="0058453F"/>
    <w:rsid w:val="005846E9"/>
    <w:rsid w:val="00584717"/>
    <w:rsid w:val="005848BF"/>
    <w:rsid w:val="00584A40"/>
    <w:rsid w:val="00584A41"/>
    <w:rsid w:val="00584B74"/>
    <w:rsid w:val="00584CC9"/>
    <w:rsid w:val="0058507E"/>
    <w:rsid w:val="0058520D"/>
    <w:rsid w:val="00585286"/>
    <w:rsid w:val="005853F9"/>
    <w:rsid w:val="005856A8"/>
    <w:rsid w:val="005856EA"/>
    <w:rsid w:val="00585853"/>
    <w:rsid w:val="00585B9D"/>
    <w:rsid w:val="00585BED"/>
    <w:rsid w:val="00585C8C"/>
    <w:rsid w:val="00585EF6"/>
    <w:rsid w:val="00585FF7"/>
    <w:rsid w:val="00586532"/>
    <w:rsid w:val="00586734"/>
    <w:rsid w:val="0058681D"/>
    <w:rsid w:val="00586A20"/>
    <w:rsid w:val="00586C4A"/>
    <w:rsid w:val="00587283"/>
    <w:rsid w:val="0058754D"/>
    <w:rsid w:val="00587579"/>
    <w:rsid w:val="005876B7"/>
    <w:rsid w:val="005877F8"/>
    <w:rsid w:val="00587808"/>
    <w:rsid w:val="00587838"/>
    <w:rsid w:val="005878A4"/>
    <w:rsid w:val="00587924"/>
    <w:rsid w:val="005879A6"/>
    <w:rsid w:val="0059000E"/>
    <w:rsid w:val="00590478"/>
    <w:rsid w:val="0059047C"/>
    <w:rsid w:val="00590640"/>
    <w:rsid w:val="005907D1"/>
    <w:rsid w:val="0059094C"/>
    <w:rsid w:val="00590A42"/>
    <w:rsid w:val="00590C5C"/>
    <w:rsid w:val="00590D5D"/>
    <w:rsid w:val="005916A4"/>
    <w:rsid w:val="00591802"/>
    <w:rsid w:val="00591C3A"/>
    <w:rsid w:val="00591FDA"/>
    <w:rsid w:val="00592365"/>
    <w:rsid w:val="00592688"/>
    <w:rsid w:val="005926CF"/>
    <w:rsid w:val="0059280C"/>
    <w:rsid w:val="005928CA"/>
    <w:rsid w:val="00592A29"/>
    <w:rsid w:val="00592DD0"/>
    <w:rsid w:val="00592ED1"/>
    <w:rsid w:val="00592F6C"/>
    <w:rsid w:val="00592FB3"/>
    <w:rsid w:val="00593049"/>
    <w:rsid w:val="00593182"/>
    <w:rsid w:val="00593469"/>
    <w:rsid w:val="005934FA"/>
    <w:rsid w:val="00593948"/>
    <w:rsid w:val="00593ECE"/>
    <w:rsid w:val="0059412F"/>
    <w:rsid w:val="00594417"/>
    <w:rsid w:val="005947B2"/>
    <w:rsid w:val="00594876"/>
    <w:rsid w:val="0059497B"/>
    <w:rsid w:val="00594DA4"/>
    <w:rsid w:val="00595038"/>
    <w:rsid w:val="00595207"/>
    <w:rsid w:val="00595325"/>
    <w:rsid w:val="005955A7"/>
    <w:rsid w:val="005956C2"/>
    <w:rsid w:val="0059599C"/>
    <w:rsid w:val="00595A83"/>
    <w:rsid w:val="00595C16"/>
    <w:rsid w:val="00595D01"/>
    <w:rsid w:val="00595ECF"/>
    <w:rsid w:val="00595F61"/>
    <w:rsid w:val="00595FDB"/>
    <w:rsid w:val="00595FFE"/>
    <w:rsid w:val="005962BB"/>
    <w:rsid w:val="0059662A"/>
    <w:rsid w:val="00596885"/>
    <w:rsid w:val="00596DF3"/>
    <w:rsid w:val="00596F25"/>
    <w:rsid w:val="00597344"/>
    <w:rsid w:val="005974C7"/>
    <w:rsid w:val="00597537"/>
    <w:rsid w:val="00597555"/>
    <w:rsid w:val="005975A9"/>
    <w:rsid w:val="005976F0"/>
    <w:rsid w:val="0059779D"/>
    <w:rsid w:val="0059798B"/>
    <w:rsid w:val="005979E5"/>
    <w:rsid w:val="00597A9E"/>
    <w:rsid w:val="00597E4C"/>
    <w:rsid w:val="00597FA1"/>
    <w:rsid w:val="005A0155"/>
    <w:rsid w:val="005A01ED"/>
    <w:rsid w:val="005A0300"/>
    <w:rsid w:val="005A0629"/>
    <w:rsid w:val="005A073D"/>
    <w:rsid w:val="005A0B7B"/>
    <w:rsid w:val="005A0CFD"/>
    <w:rsid w:val="005A0F63"/>
    <w:rsid w:val="005A1166"/>
    <w:rsid w:val="005A1428"/>
    <w:rsid w:val="005A151D"/>
    <w:rsid w:val="005A1722"/>
    <w:rsid w:val="005A1847"/>
    <w:rsid w:val="005A18FB"/>
    <w:rsid w:val="005A1BA3"/>
    <w:rsid w:val="005A1D3D"/>
    <w:rsid w:val="005A2259"/>
    <w:rsid w:val="005A2273"/>
    <w:rsid w:val="005A24BA"/>
    <w:rsid w:val="005A257B"/>
    <w:rsid w:val="005A257F"/>
    <w:rsid w:val="005A2807"/>
    <w:rsid w:val="005A2821"/>
    <w:rsid w:val="005A2964"/>
    <w:rsid w:val="005A2C9E"/>
    <w:rsid w:val="005A2CF6"/>
    <w:rsid w:val="005A2DAA"/>
    <w:rsid w:val="005A2DEE"/>
    <w:rsid w:val="005A316D"/>
    <w:rsid w:val="005A34AF"/>
    <w:rsid w:val="005A3AB4"/>
    <w:rsid w:val="005A3D2E"/>
    <w:rsid w:val="005A3F94"/>
    <w:rsid w:val="005A406E"/>
    <w:rsid w:val="005A427B"/>
    <w:rsid w:val="005A42B8"/>
    <w:rsid w:val="005A48C9"/>
    <w:rsid w:val="005A4C1D"/>
    <w:rsid w:val="005A4F71"/>
    <w:rsid w:val="005A533E"/>
    <w:rsid w:val="005A561C"/>
    <w:rsid w:val="005A5BCE"/>
    <w:rsid w:val="005A5BE8"/>
    <w:rsid w:val="005A5D92"/>
    <w:rsid w:val="005A5DDE"/>
    <w:rsid w:val="005A6782"/>
    <w:rsid w:val="005A6A9B"/>
    <w:rsid w:val="005A6C8B"/>
    <w:rsid w:val="005A6FE4"/>
    <w:rsid w:val="005A716C"/>
    <w:rsid w:val="005A71F0"/>
    <w:rsid w:val="005A74B5"/>
    <w:rsid w:val="005A75A0"/>
    <w:rsid w:val="005A76A4"/>
    <w:rsid w:val="005A7966"/>
    <w:rsid w:val="005A7976"/>
    <w:rsid w:val="005A7CBB"/>
    <w:rsid w:val="005A7DFD"/>
    <w:rsid w:val="005A7FA6"/>
    <w:rsid w:val="005B0050"/>
    <w:rsid w:val="005B02A3"/>
    <w:rsid w:val="005B0592"/>
    <w:rsid w:val="005B0DF9"/>
    <w:rsid w:val="005B130F"/>
    <w:rsid w:val="005B1562"/>
    <w:rsid w:val="005B1597"/>
    <w:rsid w:val="005B1602"/>
    <w:rsid w:val="005B18AF"/>
    <w:rsid w:val="005B18B3"/>
    <w:rsid w:val="005B18B8"/>
    <w:rsid w:val="005B1D00"/>
    <w:rsid w:val="005B2022"/>
    <w:rsid w:val="005B204A"/>
    <w:rsid w:val="005B25DD"/>
    <w:rsid w:val="005B26AE"/>
    <w:rsid w:val="005B2878"/>
    <w:rsid w:val="005B2A88"/>
    <w:rsid w:val="005B2FFF"/>
    <w:rsid w:val="005B332E"/>
    <w:rsid w:val="005B3395"/>
    <w:rsid w:val="005B33FB"/>
    <w:rsid w:val="005B35FA"/>
    <w:rsid w:val="005B365D"/>
    <w:rsid w:val="005B36F5"/>
    <w:rsid w:val="005B3D0D"/>
    <w:rsid w:val="005B3F41"/>
    <w:rsid w:val="005B40C6"/>
    <w:rsid w:val="005B4A4B"/>
    <w:rsid w:val="005B4B51"/>
    <w:rsid w:val="005B4C2F"/>
    <w:rsid w:val="005B50C9"/>
    <w:rsid w:val="005B51C0"/>
    <w:rsid w:val="005B5411"/>
    <w:rsid w:val="005B5439"/>
    <w:rsid w:val="005B55C3"/>
    <w:rsid w:val="005B566B"/>
    <w:rsid w:val="005B576C"/>
    <w:rsid w:val="005B58D9"/>
    <w:rsid w:val="005B5B2B"/>
    <w:rsid w:val="005B5CF1"/>
    <w:rsid w:val="005B6127"/>
    <w:rsid w:val="005B624C"/>
    <w:rsid w:val="005B62D9"/>
    <w:rsid w:val="005B63B1"/>
    <w:rsid w:val="005B65F1"/>
    <w:rsid w:val="005B675D"/>
    <w:rsid w:val="005B6868"/>
    <w:rsid w:val="005B6AA9"/>
    <w:rsid w:val="005B6B0C"/>
    <w:rsid w:val="005B6CDA"/>
    <w:rsid w:val="005B6E86"/>
    <w:rsid w:val="005B6EE4"/>
    <w:rsid w:val="005B7072"/>
    <w:rsid w:val="005B7261"/>
    <w:rsid w:val="005B7563"/>
    <w:rsid w:val="005B77AB"/>
    <w:rsid w:val="005B78B0"/>
    <w:rsid w:val="005B7E22"/>
    <w:rsid w:val="005B7E97"/>
    <w:rsid w:val="005C00BD"/>
    <w:rsid w:val="005C032F"/>
    <w:rsid w:val="005C03D5"/>
    <w:rsid w:val="005C0691"/>
    <w:rsid w:val="005C0A0E"/>
    <w:rsid w:val="005C0A36"/>
    <w:rsid w:val="005C0A48"/>
    <w:rsid w:val="005C0AE4"/>
    <w:rsid w:val="005C0C90"/>
    <w:rsid w:val="005C0DF3"/>
    <w:rsid w:val="005C1497"/>
    <w:rsid w:val="005C150D"/>
    <w:rsid w:val="005C1C60"/>
    <w:rsid w:val="005C1CCE"/>
    <w:rsid w:val="005C1F87"/>
    <w:rsid w:val="005C214D"/>
    <w:rsid w:val="005C21F3"/>
    <w:rsid w:val="005C2861"/>
    <w:rsid w:val="005C2C1D"/>
    <w:rsid w:val="005C2C90"/>
    <w:rsid w:val="005C2D95"/>
    <w:rsid w:val="005C3133"/>
    <w:rsid w:val="005C314D"/>
    <w:rsid w:val="005C3260"/>
    <w:rsid w:val="005C3517"/>
    <w:rsid w:val="005C3AFB"/>
    <w:rsid w:val="005C3E88"/>
    <w:rsid w:val="005C3F7B"/>
    <w:rsid w:val="005C4114"/>
    <w:rsid w:val="005C413E"/>
    <w:rsid w:val="005C41C0"/>
    <w:rsid w:val="005C4638"/>
    <w:rsid w:val="005C46FC"/>
    <w:rsid w:val="005C4720"/>
    <w:rsid w:val="005C4B84"/>
    <w:rsid w:val="005C505C"/>
    <w:rsid w:val="005C50D8"/>
    <w:rsid w:val="005C54A9"/>
    <w:rsid w:val="005C5532"/>
    <w:rsid w:val="005C5630"/>
    <w:rsid w:val="005C56E3"/>
    <w:rsid w:val="005C5A77"/>
    <w:rsid w:val="005C5AF4"/>
    <w:rsid w:val="005C5B96"/>
    <w:rsid w:val="005C5E0A"/>
    <w:rsid w:val="005C5E53"/>
    <w:rsid w:val="005C6334"/>
    <w:rsid w:val="005C63E8"/>
    <w:rsid w:val="005C65DD"/>
    <w:rsid w:val="005C6778"/>
    <w:rsid w:val="005C6927"/>
    <w:rsid w:val="005C6A21"/>
    <w:rsid w:val="005C6B12"/>
    <w:rsid w:val="005C6B28"/>
    <w:rsid w:val="005C6B29"/>
    <w:rsid w:val="005C73CC"/>
    <w:rsid w:val="005C73DB"/>
    <w:rsid w:val="005C74A8"/>
    <w:rsid w:val="005C7A72"/>
    <w:rsid w:val="005C7BA5"/>
    <w:rsid w:val="005C7C95"/>
    <w:rsid w:val="005C7EB5"/>
    <w:rsid w:val="005D01C1"/>
    <w:rsid w:val="005D0328"/>
    <w:rsid w:val="005D03FD"/>
    <w:rsid w:val="005D07D2"/>
    <w:rsid w:val="005D09BF"/>
    <w:rsid w:val="005D0DC3"/>
    <w:rsid w:val="005D0F22"/>
    <w:rsid w:val="005D0F5A"/>
    <w:rsid w:val="005D138D"/>
    <w:rsid w:val="005D13AD"/>
    <w:rsid w:val="005D13F3"/>
    <w:rsid w:val="005D1717"/>
    <w:rsid w:val="005D1961"/>
    <w:rsid w:val="005D1BA7"/>
    <w:rsid w:val="005D21F2"/>
    <w:rsid w:val="005D27D9"/>
    <w:rsid w:val="005D281E"/>
    <w:rsid w:val="005D2E13"/>
    <w:rsid w:val="005D2E19"/>
    <w:rsid w:val="005D2E3F"/>
    <w:rsid w:val="005D3729"/>
    <w:rsid w:val="005D37ED"/>
    <w:rsid w:val="005D3919"/>
    <w:rsid w:val="005D3948"/>
    <w:rsid w:val="005D3CBA"/>
    <w:rsid w:val="005D46B0"/>
    <w:rsid w:val="005D4A8C"/>
    <w:rsid w:val="005D4B16"/>
    <w:rsid w:val="005D4BEA"/>
    <w:rsid w:val="005D5266"/>
    <w:rsid w:val="005D53F9"/>
    <w:rsid w:val="005D5441"/>
    <w:rsid w:val="005D55FB"/>
    <w:rsid w:val="005D57AE"/>
    <w:rsid w:val="005D5DA9"/>
    <w:rsid w:val="005D671A"/>
    <w:rsid w:val="005D682D"/>
    <w:rsid w:val="005D6863"/>
    <w:rsid w:val="005D68E2"/>
    <w:rsid w:val="005D6A60"/>
    <w:rsid w:val="005D6EB1"/>
    <w:rsid w:val="005D703A"/>
    <w:rsid w:val="005D718C"/>
    <w:rsid w:val="005D7437"/>
    <w:rsid w:val="005D7840"/>
    <w:rsid w:val="005D7848"/>
    <w:rsid w:val="005D788F"/>
    <w:rsid w:val="005D79A3"/>
    <w:rsid w:val="005D79ED"/>
    <w:rsid w:val="005D7A22"/>
    <w:rsid w:val="005D7A59"/>
    <w:rsid w:val="005D7A8D"/>
    <w:rsid w:val="005D7B40"/>
    <w:rsid w:val="005D7E33"/>
    <w:rsid w:val="005E0068"/>
    <w:rsid w:val="005E012C"/>
    <w:rsid w:val="005E01AA"/>
    <w:rsid w:val="005E0334"/>
    <w:rsid w:val="005E0359"/>
    <w:rsid w:val="005E0419"/>
    <w:rsid w:val="005E058A"/>
    <w:rsid w:val="005E08C9"/>
    <w:rsid w:val="005E0953"/>
    <w:rsid w:val="005E0A3B"/>
    <w:rsid w:val="005E107B"/>
    <w:rsid w:val="005E1689"/>
    <w:rsid w:val="005E17AF"/>
    <w:rsid w:val="005E1811"/>
    <w:rsid w:val="005E190D"/>
    <w:rsid w:val="005E1B8F"/>
    <w:rsid w:val="005E1D27"/>
    <w:rsid w:val="005E20B9"/>
    <w:rsid w:val="005E20C8"/>
    <w:rsid w:val="005E28C4"/>
    <w:rsid w:val="005E28D7"/>
    <w:rsid w:val="005E28EA"/>
    <w:rsid w:val="005E2AAF"/>
    <w:rsid w:val="005E2CF2"/>
    <w:rsid w:val="005E2D97"/>
    <w:rsid w:val="005E2DCC"/>
    <w:rsid w:val="005E332E"/>
    <w:rsid w:val="005E3438"/>
    <w:rsid w:val="005E3597"/>
    <w:rsid w:val="005E359F"/>
    <w:rsid w:val="005E3682"/>
    <w:rsid w:val="005E3B83"/>
    <w:rsid w:val="005E3F37"/>
    <w:rsid w:val="005E4087"/>
    <w:rsid w:val="005E42BF"/>
    <w:rsid w:val="005E4317"/>
    <w:rsid w:val="005E44AB"/>
    <w:rsid w:val="005E45AE"/>
    <w:rsid w:val="005E4642"/>
    <w:rsid w:val="005E49F2"/>
    <w:rsid w:val="005E4B51"/>
    <w:rsid w:val="005E4C5C"/>
    <w:rsid w:val="005E4D99"/>
    <w:rsid w:val="005E4F60"/>
    <w:rsid w:val="005E503C"/>
    <w:rsid w:val="005E52E7"/>
    <w:rsid w:val="005E5471"/>
    <w:rsid w:val="005E566B"/>
    <w:rsid w:val="005E5780"/>
    <w:rsid w:val="005E5941"/>
    <w:rsid w:val="005E5A8E"/>
    <w:rsid w:val="005E5B6B"/>
    <w:rsid w:val="005E5C62"/>
    <w:rsid w:val="005E5E99"/>
    <w:rsid w:val="005E60BD"/>
    <w:rsid w:val="005E6340"/>
    <w:rsid w:val="005E66CD"/>
    <w:rsid w:val="005E6970"/>
    <w:rsid w:val="005E699F"/>
    <w:rsid w:val="005E6A68"/>
    <w:rsid w:val="005E6AF6"/>
    <w:rsid w:val="005E6BB8"/>
    <w:rsid w:val="005E704C"/>
    <w:rsid w:val="005E7137"/>
    <w:rsid w:val="005E72CC"/>
    <w:rsid w:val="005E750A"/>
    <w:rsid w:val="005E76A6"/>
    <w:rsid w:val="005E77C1"/>
    <w:rsid w:val="005E7B56"/>
    <w:rsid w:val="005E7B5B"/>
    <w:rsid w:val="005E7B5E"/>
    <w:rsid w:val="005E7CEE"/>
    <w:rsid w:val="005E7E9C"/>
    <w:rsid w:val="005F004C"/>
    <w:rsid w:val="005F0454"/>
    <w:rsid w:val="005F08E2"/>
    <w:rsid w:val="005F0A01"/>
    <w:rsid w:val="005F0D30"/>
    <w:rsid w:val="005F0F5C"/>
    <w:rsid w:val="005F10AC"/>
    <w:rsid w:val="005F1514"/>
    <w:rsid w:val="005F1795"/>
    <w:rsid w:val="005F1826"/>
    <w:rsid w:val="005F18F7"/>
    <w:rsid w:val="005F191A"/>
    <w:rsid w:val="005F199A"/>
    <w:rsid w:val="005F1B6F"/>
    <w:rsid w:val="005F1C8E"/>
    <w:rsid w:val="005F1D32"/>
    <w:rsid w:val="005F1ED4"/>
    <w:rsid w:val="005F24BE"/>
    <w:rsid w:val="005F27AC"/>
    <w:rsid w:val="005F2CCF"/>
    <w:rsid w:val="005F2FB1"/>
    <w:rsid w:val="005F2FB2"/>
    <w:rsid w:val="005F3010"/>
    <w:rsid w:val="005F34C9"/>
    <w:rsid w:val="005F34FF"/>
    <w:rsid w:val="005F392E"/>
    <w:rsid w:val="005F3B57"/>
    <w:rsid w:val="005F3CC5"/>
    <w:rsid w:val="005F3D50"/>
    <w:rsid w:val="005F3DF2"/>
    <w:rsid w:val="005F3E1F"/>
    <w:rsid w:val="005F3FAE"/>
    <w:rsid w:val="005F4025"/>
    <w:rsid w:val="005F426E"/>
    <w:rsid w:val="005F4337"/>
    <w:rsid w:val="005F4385"/>
    <w:rsid w:val="005F4575"/>
    <w:rsid w:val="005F4650"/>
    <w:rsid w:val="005F47AF"/>
    <w:rsid w:val="005F480B"/>
    <w:rsid w:val="005F4FF3"/>
    <w:rsid w:val="005F4FFC"/>
    <w:rsid w:val="005F5252"/>
    <w:rsid w:val="005F5355"/>
    <w:rsid w:val="005F53C6"/>
    <w:rsid w:val="005F53F9"/>
    <w:rsid w:val="005F54D1"/>
    <w:rsid w:val="005F5565"/>
    <w:rsid w:val="005F562D"/>
    <w:rsid w:val="005F56A2"/>
    <w:rsid w:val="005F5702"/>
    <w:rsid w:val="005F5709"/>
    <w:rsid w:val="005F577F"/>
    <w:rsid w:val="005F5BCF"/>
    <w:rsid w:val="005F5C1E"/>
    <w:rsid w:val="005F5CAC"/>
    <w:rsid w:val="005F5E9A"/>
    <w:rsid w:val="005F6067"/>
    <w:rsid w:val="005F6413"/>
    <w:rsid w:val="005F6811"/>
    <w:rsid w:val="005F698F"/>
    <w:rsid w:val="005F6C6E"/>
    <w:rsid w:val="005F6E12"/>
    <w:rsid w:val="005F71AF"/>
    <w:rsid w:val="005F73CF"/>
    <w:rsid w:val="005F74A2"/>
    <w:rsid w:val="005F7502"/>
    <w:rsid w:val="005F7713"/>
    <w:rsid w:val="005F787C"/>
    <w:rsid w:val="005F7A4F"/>
    <w:rsid w:val="005F7CD1"/>
    <w:rsid w:val="005F7EE8"/>
    <w:rsid w:val="006001B1"/>
    <w:rsid w:val="006003E0"/>
    <w:rsid w:val="0060051A"/>
    <w:rsid w:val="00600612"/>
    <w:rsid w:val="00600647"/>
    <w:rsid w:val="00600736"/>
    <w:rsid w:val="0060084B"/>
    <w:rsid w:val="006008DA"/>
    <w:rsid w:val="00600A90"/>
    <w:rsid w:val="00600D0D"/>
    <w:rsid w:val="0060113D"/>
    <w:rsid w:val="00601249"/>
    <w:rsid w:val="00601298"/>
    <w:rsid w:val="006012A7"/>
    <w:rsid w:val="00601912"/>
    <w:rsid w:val="00601AB4"/>
    <w:rsid w:val="00601F39"/>
    <w:rsid w:val="00601F62"/>
    <w:rsid w:val="006026F9"/>
    <w:rsid w:val="0060291B"/>
    <w:rsid w:val="00602E4F"/>
    <w:rsid w:val="0060339C"/>
    <w:rsid w:val="00603432"/>
    <w:rsid w:val="00603522"/>
    <w:rsid w:val="006038D3"/>
    <w:rsid w:val="00603DDF"/>
    <w:rsid w:val="00604038"/>
    <w:rsid w:val="00604128"/>
    <w:rsid w:val="00604568"/>
    <w:rsid w:val="0060457F"/>
    <w:rsid w:val="00604723"/>
    <w:rsid w:val="006048D8"/>
    <w:rsid w:val="0060498D"/>
    <w:rsid w:val="006049D5"/>
    <w:rsid w:val="00604AB6"/>
    <w:rsid w:val="00604B4F"/>
    <w:rsid w:val="00604C42"/>
    <w:rsid w:val="00604FAE"/>
    <w:rsid w:val="00605015"/>
    <w:rsid w:val="006053FD"/>
    <w:rsid w:val="006057B1"/>
    <w:rsid w:val="0060580B"/>
    <w:rsid w:val="00605D7D"/>
    <w:rsid w:val="00605F8D"/>
    <w:rsid w:val="00606154"/>
    <w:rsid w:val="0060694F"/>
    <w:rsid w:val="00606A5A"/>
    <w:rsid w:val="00606F12"/>
    <w:rsid w:val="00606FA6"/>
    <w:rsid w:val="00607127"/>
    <w:rsid w:val="00607188"/>
    <w:rsid w:val="00607587"/>
    <w:rsid w:val="00607693"/>
    <w:rsid w:val="006076DB"/>
    <w:rsid w:val="006079D1"/>
    <w:rsid w:val="00607BA0"/>
    <w:rsid w:val="0061004A"/>
    <w:rsid w:val="006102D3"/>
    <w:rsid w:val="0061033A"/>
    <w:rsid w:val="0061039E"/>
    <w:rsid w:val="00610E34"/>
    <w:rsid w:val="00610F9D"/>
    <w:rsid w:val="00611529"/>
    <w:rsid w:val="006117EE"/>
    <w:rsid w:val="00611A58"/>
    <w:rsid w:val="00611AA1"/>
    <w:rsid w:val="00611EA1"/>
    <w:rsid w:val="00611EF2"/>
    <w:rsid w:val="00611F3C"/>
    <w:rsid w:val="00612744"/>
    <w:rsid w:val="0061278A"/>
    <w:rsid w:val="0061291A"/>
    <w:rsid w:val="0061291D"/>
    <w:rsid w:val="00612ACE"/>
    <w:rsid w:val="00612B40"/>
    <w:rsid w:val="00612C33"/>
    <w:rsid w:val="00612CDD"/>
    <w:rsid w:val="00612F9B"/>
    <w:rsid w:val="006135EC"/>
    <w:rsid w:val="006136A7"/>
    <w:rsid w:val="006136CF"/>
    <w:rsid w:val="00613BD3"/>
    <w:rsid w:val="00613CBE"/>
    <w:rsid w:val="006140A3"/>
    <w:rsid w:val="006144FA"/>
    <w:rsid w:val="006146C2"/>
    <w:rsid w:val="006146CF"/>
    <w:rsid w:val="0061492F"/>
    <w:rsid w:val="006149F7"/>
    <w:rsid w:val="00614A02"/>
    <w:rsid w:val="00614B0E"/>
    <w:rsid w:val="006154B8"/>
    <w:rsid w:val="006154D7"/>
    <w:rsid w:val="00615B4B"/>
    <w:rsid w:val="00615C4E"/>
    <w:rsid w:val="00615C9C"/>
    <w:rsid w:val="00615E6F"/>
    <w:rsid w:val="00615FD1"/>
    <w:rsid w:val="006160DC"/>
    <w:rsid w:val="0061637E"/>
    <w:rsid w:val="00616383"/>
    <w:rsid w:val="006163F3"/>
    <w:rsid w:val="0061668A"/>
    <w:rsid w:val="006166FF"/>
    <w:rsid w:val="00616707"/>
    <w:rsid w:val="0061675C"/>
    <w:rsid w:val="00616A06"/>
    <w:rsid w:val="00616C4E"/>
    <w:rsid w:val="00617038"/>
    <w:rsid w:val="00617316"/>
    <w:rsid w:val="00617575"/>
    <w:rsid w:val="006175A3"/>
    <w:rsid w:val="0061782C"/>
    <w:rsid w:val="00617BA8"/>
    <w:rsid w:val="00617BDF"/>
    <w:rsid w:val="00617CDB"/>
    <w:rsid w:val="00617D96"/>
    <w:rsid w:val="00617E70"/>
    <w:rsid w:val="0062022B"/>
    <w:rsid w:val="00620541"/>
    <w:rsid w:val="0062074B"/>
    <w:rsid w:val="0062085F"/>
    <w:rsid w:val="006209E9"/>
    <w:rsid w:val="00620AEE"/>
    <w:rsid w:val="00620AF8"/>
    <w:rsid w:val="00620B04"/>
    <w:rsid w:val="00621164"/>
    <w:rsid w:val="0062123D"/>
    <w:rsid w:val="00621345"/>
    <w:rsid w:val="0062163C"/>
    <w:rsid w:val="006216F1"/>
    <w:rsid w:val="00621765"/>
    <w:rsid w:val="006217FC"/>
    <w:rsid w:val="006219C2"/>
    <w:rsid w:val="00622019"/>
    <w:rsid w:val="006222A9"/>
    <w:rsid w:val="00622393"/>
    <w:rsid w:val="0062247D"/>
    <w:rsid w:val="00622484"/>
    <w:rsid w:val="006227DE"/>
    <w:rsid w:val="0062299A"/>
    <w:rsid w:val="00622E13"/>
    <w:rsid w:val="00622E27"/>
    <w:rsid w:val="00622EF9"/>
    <w:rsid w:val="00623309"/>
    <w:rsid w:val="006237FC"/>
    <w:rsid w:val="00623A2F"/>
    <w:rsid w:val="00623AE6"/>
    <w:rsid w:val="00623AFC"/>
    <w:rsid w:val="00623B1F"/>
    <w:rsid w:val="00623BB3"/>
    <w:rsid w:val="006240AE"/>
    <w:rsid w:val="006241DE"/>
    <w:rsid w:val="00624250"/>
    <w:rsid w:val="00624779"/>
    <w:rsid w:val="00624931"/>
    <w:rsid w:val="00624A15"/>
    <w:rsid w:val="00624D42"/>
    <w:rsid w:val="00624ED8"/>
    <w:rsid w:val="00625263"/>
    <w:rsid w:val="00625899"/>
    <w:rsid w:val="00625A44"/>
    <w:rsid w:val="00625A4F"/>
    <w:rsid w:val="00625ABB"/>
    <w:rsid w:val="00625BBA"/>
    <w:rsid w:val="00625D4F"/>
    <w:rsid w:val="00626114"/>
    <w:rsid w:val="006264B7"/>
    <w:rsid w:val="0062665E"/>
    <w:rsid w:val="0062693F"/>
    <w:rsid w:val="00626B0B"/>
    <w:rsid w:val="00626C00"/>
    <w:rsid w:val="00626C1F"/>
    <w:rsid w:val="00626D91"/>
    <w:rsid w:val="006270B7"/>
    <w:rsid w:val="006270CB"/>
    <w:rsid w:val="006270E3"/>
    <w:rsid w:val="006272D2"/>
    <w:rsid w:val="006274E3"/>
    <w:rsid w:val="006275C4"/>
    <w:rsid w:val="006276C0"/>
    <w:rsid w:val="00627953"/>
    <w:rsid w:val="006279A7"/>
    <w:rsid w:val="00627AD6"/>
    <w:rsid w:val="00627CC3"/>
    <w:rsid w:val="00630051"/>
    <w:rsid w:val="00630168"/>
    <w:rsid w:val="00630363"/>
    <w:rsid w:val="0063036F"/>
    <w:rsid w:val="006305DD"/>
    <w:rsid w:val="00630807"/>
    <w:rsid w:val="00630CDB"/>
    <w:rsid w:val="00631138"/>
    <w:rsid w:val="006312E4"/>
    <w:rsid w:val="006316C0"/>
    <w:rsid w:val="00631808"/>
    <w:rsid w:val="00631A77"/>
    <w:rsid w:val="00631B0D"/>
    <w:rsid w:val="00631C29"/>
    <w:rsid w:val="00632083"/>
    <w:rsid w:val="0063218D"/>
    <w:rsid w:val="00632477"/>
    <w:rsid w:val="006327D0"/>
    <w:rsid w:val="00632994"/>
    <w:rsid w:val="00632BD9"/>
    <w:rsid w:val="006331C0"/>
    <w:rsid w:val="006331D4"/>
    <w:rsid w:val="0063324C"/>
    <w:rsid w:val="0063370A"/>
    <w:rsid w:val="00633873"/>
    <w:rsid w:val="00633A66"/>
    <w:rsid w:val="00633C38"/>
    <w:rsid w:val="00633EFF"/>
    <w:rsid w:val="00633F17"/>
    <w:rsid w:val="0063422F"/>
    <w:rsid w:val="0063424B"/>
    <w:rsid w:val="00634350"/>
    <w:rsid w:val="00634852"/>
    <w:rsid w:val="00634999"/>
    <w:rsid w:val="00634B36"/>
    <w:rsid w:val="00634C15"/>
    <w:rsid w:val="00634C1D"/>
    <w:rsid w:val="00634CFB"/>
    <w:rsid w:val="00634F3C"/>
    <w:rsid w:val="0063515E"/>
    <w:rsid w:val="00635273"/>
    <w:rsid w:val="00635329"/>
    <w:rsid w:val="0063533C"/>
    <w:rsid w:val="0063539C"/>
    <w:rsid w:val="00635500"/>
    <w:rsid w:val="0063559D"/>
    <w:rsid w:val="0063565F"/>
    <w:rsid w:val="006357EA"/>
    <w:rsid w:val="006358BB"/>
    <w:rsid w:val="006358F3"/>
    <w:rsid w:val="00635AD6"/>
    <w:rsid w:val="00635C87"/>
    <w:rsid w:val="00635DD6"/>
    <w:rsid w:val="00636419"/>
    <w:rsid w:val="006365B8"/>
    <w:rsid w:val="00636727"/>
    <w:rsid w:val="006367EF"/>
    <w:rsid w:val="00636BA6"/>
    <w:rsid w:val="00636C88"/>
    <w:rsid w:val="00636D00"/>
    <w:rsid w:val="00637063"/>
    <w:rsid w:val="006372D7"/>
    <w:rsid w:val="00637426"/>
    <w:rsid w:val="006374DC"/>
    <w:rsid w:val="006375C8"/>
    <w:rsid w:val="0063772C"/>
    <w:rsid w:val="00637A73"/>
    <w:rsid w:val="00637C07"/>
    <w:rsid w:val="00637CBC"/>
    <w:rsid w:val="00640162"/>
    <w:rsid w:val="006402B2"/>
    <w:rsid w:val="006403FE"/>
    <w:rsid w:val="00640430"/>
    <w:rsid w:val="00640630"/>
    <w:rsid w:val="0064068F"/>
    <w:rsid w:val="006406FE"/>
    <w:rsid w:val="0064074E"/>
    <w:rsid w:val="0064084B"/>
    <w:rsid w:val="006408AB"/>
    <w:rsid w:val="006409FA"/>
    <w:rsid w:val="00640D93"/>
    <w:rsid w:val="00640EDB"/>
    <w:rsid w:val="00640FC5"/>
    <w:rsid w:val="0064114B"/>
    <w:rsid w:val="006416D6"/>
    <w:rsid w:val="00641B22"/>
    <w:rsid w:val="00641BA3"/>
    <w:rsid w:val="00641C07"/>
    <w:rsid w:val="00641D46"/>
    <w:rsid w:val="00642218"/>
    <w:rsid w:val="00642367"/>
    <w:rsid w:val="0064242D"/>
    <w:rsid w:val="006427AF"/>
    <w:rsid w:val="0064316E"/>
    <w:rsid w:val="00643680"/>
    <w:rsid w:val="006436DA"/>
    <w:rsid w:val="0064390C"/>
    <w:rsid w:val="00643A5B"/>
    <w:rsid w:val="00643A67"/>
    <w:rsid w:val="00643AA5"/>
    <w:rsid w:val="00643ACE"/>
    <w:rsid w:val="00643C1A"/>
    <w:rsid w:val="00643E39"/>
    <w:rsid w:val="006440FD"/>
    <w:rsid w:val="0064437D"/>
    <w:rsid w:val="00644635"/>
    <w:rsid w:val="00644A45"/>
    <w:rsid w:val="00644BD0"/>
    <w:rsid w:val="00644C77"/>
    <w:rsid w:val="006453F8"/>
    <w:rsid w:val="0064552E"/>
    <w:rsid w:val="00645554"/>
    <w:rsid w:val="00645586"/>
    <w:rsid w:val="00645949"/>
    <w:rsid w:val="006459D7"/>
    <w:rsid w:val="00645A4A"/>
    <w:rsid w:val="00645C3C"/>
    <w:rsid w:val="00645C97"/>
    <w:rsid w:val="00645CD0"/>
    <w:rsid w:val="00645F01"/>
    <w:rsid w:val="0064603F"/>
    <w:rsid w:val="006463E2"/>
    <w:rsid w:val="006464F7"/>
    <w:rsid w:val="00646502"/>
    <w:rsid w:val="00646784"/>
    <w:rsid w:val="006469E7"/>
    <w:rsid w:val="00646A4C"/>
    <w:rsid w:val="00646AEA"/>
    <w:rsid w:val="00646D3D"/>
    <w:rsid w:val="006471E0"/>
    <w:rsid w:val="006474E2"/>
    <w:rsid w:val="006475BE"/>
    <w:rsid w:val="00647607"/>
    <w:rsid w:val="00647703"/>
    <w:rsid w:val="006478D9"/>
    <w:rsid w:val="00647918"/>
    <w:rsid w:val="00647DAC"/>
    <w:rsid w:val="00647EC9"/>
    <w:rsid w:val="0065001C"/>
    <w:rsid w:val="0065013C"/>
    <w:rsid w:val="00650257"/>
    <w:rsid w:val="00650273"/>
    <w:rsid w:val="0065038E"/>
    <w:rsid w:val="0065099B"/>
    <w:rsid w:val="00650B0C"/>
    <w:rsid w:val="00650D4F"/>
    <w:rsid w:val="00650E5A"/>
    <w:rsid w:val="00650F64"/>
    <w:rsid w:val="00651109"/>
    <w:rsid w:val="00651314"/>
    <w:rsid w:val="0065152F"/>
    <w:rsid w:val="006515D3"/>
    <w:rsid w:val="00651635"/>
    <w:rsid w:val="0065171F"/>
    <w:rsid w:val="00651726"/>
    <w:rsid w:val="0065178B"/>
    <w:rsid w:val="006525B7"/>
    <w:rsid w:val="00652975"/>
    <w:rsid w:val="0065298D"/>
    <w:rsid w:val="00652F87"/>
    <w:rsid w:val="006532BB"/>
    <w:rsid w:val="006532D9"/>
    <w:rsid w:val="00653385"/>
    <w:rsid w:val="00653451"/>
    <w:rsid w:val="00653572"/>
    <w:rsid w:val="006536D4"/>
    <w:rsid w:val="006537E0"/>
    <w:rsid w:val="006538D9"/>
    <w:rsid w:val="00653CF8"/>
    <w:rsid w:val="00653DE1"/>
    <w:rsid w:val="00653DED"/>
    <w:rsid w:val="00653E3A"/>
    <w:rsid w:val="00653F97"/>
    <w:rsid w:val="006542B2"/>
    <w:rsid w:val="0065446E"/>
    <w:rsid w:val="00654D5A"/>
    <w:rsid w:val="00654E6B"/>
    <w:rsid w:val="006551AD"/>
    <w:rsid w:val="006552FF"/>
    <w:rsid w:val="0065537F"/>
    <w:rsid w:val="006553C4"/>
    <w:rsid w:val="00655412"/>
    <w:rsid w:val="00655443"/>
    <w:rsid w:val="0065552A"/>
    <w:rsid w:val="00655720"/>
    <w:rsid w:val="00655898"/>
    <w:rsid w:val="00655C6A"/>
    <w:rsid w:val="00655ED9"/>
    <w:rsid w:val="00655F28"/>
    <w:rsid w:val="0065603B"/>
    <w:rsid w:val="00656496"/>
    <w:rsid w:val="00656540"/>
    <w:rsid w:val="006565B7"/>
    <w:rsid w:val="006566BE"/>
    <w:rsid w:val="00656A96"/>
    <w:rsid w:val="00656ADD"/>
    <w:rsid w:val="00656CD0"/>
    <w:rsid w:val="00656DEA"/>
    <w:rsid w:val="00656E18"/>
    <w:rsid w:val="00657043"/>
    <w:rsid w:val="0065707C"/>
    <w:rsid w:val="006570BC"/>
    <w:rsid w:val="006570D1"/>
    <w:rsid w:val="00657652"/>
    <w:rsid w:val="00657CE2"/>
    <w:rsid w:val="00657D54"/>
    <w:rsid w:val="00657D87"/>
    <w:rsid w:val="00657E68"/>
    <w:rsid w:val="00660377"/>
    <w:rsid w:val="006608C7"/>
    <w:rsid w:val="00660C4D"/>
    <w:rsid w:val="00660E6E"/>
    <w:rsid w:val="00661316"/>
    <w:rsid w:val="0066137E"/>
    <w:rsid w:val="00661F64"/>
    <w:rsid w:val="006620B0"/>
    <w:rsid w:val="006620BF"/>
    <w:rsid w:val="006620F0"/>
    <w:rsid w:val="006627A4"/>
    <w:rsid w:val="0066280F"/>
    <w:rsid w:val="00662835"/>
    <w:rsid w:val="00662BD4"/>
    <w:rsid w:val="00662E51"/>
    <w:rsid w:val="00662E53"/>
    <w:rsid w:val="0066328A"/>
    <w:rsid w:val="006635BC"/>
    <w:rsid w:val="00663706"/>
    <w:rsid w:val="00663F75"/>
    <w:rsid w:val="006644EC"/>
    <w:rsid w:val="00664505"/>
    <w:rsid w:val="00664512"/>
    <w:rsid w:val="0066476D"/>
    <w:rsid w:val="0066482C"/>
    <w:rsid w:val="00664952"/>
    <w:rsid w:val="00664A0A"/>
    <w:rsid w:val="00664CFA"/>
    <w:rsid w:val="00664D59"/>
    <w:rsid w:val="00664D9C"/>
    <w:rsid w:val="00664E17"/>
    <w:rsid w:val="00665205"/>
    <w:rsid w:val="00665214"/>
    <w:rsid w:val="0066532F"/>
    <w:rsid w:val="0066536D"/>
    <w:rsid w:val="00665763"/>
    <w:rsid w:val="00665B6C"/>
    <w:rsid w:val="00665B7C"/>
    <w:rsid w:val="00665CB8"/>
    <w:rsid w:val="00665F1C"/>
    <w:rsid w:val="00666025"/>
    <w:rsid w:val="00666042"/>
    <w:rsid w:val="00666150"/>
    <w:rsid w:val="006662B4"/>
    <w:rsid w:val="006663A9"/>
    <w:rsid w:val="00666A9E"/>
    <w:rsid w:val="00666AB3"/>
    <w:rsid w:val="00666DF0"/>
    <w:rsid w:val="00666E0C"/>
    <w:rsid w:val="00666ECA"/>
    <w:rsid w:val="00666F41"/>
    <w:rsid w:val="00666FB6"/>
    <w:rsid w:val="006672FE"/>
    <w:rsid w:val="00667419"/>
    <w:rsid w:val="00667732"/>
    <w:rsid w:val="00667859"/>
    <w:rsid w:val="00667902"/>
    <w:rsid w:val="00667A47"/>
    <w:rsid w:val="00667E8E"/>
    <w:rsid w:val="00670127"/>
    <w:rsid w:val="0067031D"/>
    <w:rsid w:val="00670719"/>
    <w:rsid w:val="006707A0"/>
    <w:rsid w:val="0067090B"/>
    <w:rsid w:val="00670A9F"/>
    <w:rsid w:val="00670B9C"/>
    <w:rsid w:val="00670D92"/>
    <w:rsid w:val="00670E93"/>
    <w:rsid w:val="00670EDE"/>
    <w:rsid w:val="00671657"/>
    <w:rsid w:val="006718CE"/>
    <w:rsid w:val="006718E6"/>
    <w:rsid w:val="00671937"/>
    <w:rsid w:val="00671A82"/>
    <w:rsid w:val="00671D1D"/>
    <w:rsid w:val="00671D55"/>
    <w:rsid w:val="00671FA5"/>
    <w:rsid w:val="00672236"/>
    <w:rsid w:val="006726BF"/>
    <w:rsid w:val="00672F46"/>
    <w:rsid w:val="00672FCD"/>
    <w:rsid w:val="0067317E"/>
    <w:rsid w:val="00673203"/>
    <w:rsid w:val="00673299"/>
    <w:rsid w:val="006732D3"/>
    <w:rsid w:val="006733E8"/>
    <w:rsid w:val="00673480"/>
    <w:rsid w:val="006735D1"/>
    <w:rsid w:val="00673743"/>
    <w:rsid w:val="00673AE6"/>
    <w:rsid w:val="00673BB0"/>
    <w:rsid w:val="00674072"/>
    <w:rsid w:val="00674185"/>
    <w:rsid w:val="00674332"/>
    <w:rsid w:val="006744BE"/>
    <w:rsid w:val="006744CF"/>
    <w:rsid w:val="00674BA8"/>
    <w:rsid w:val="00674C33"/>
    <w:rsid w:val="0067515D"/>
    <w:rsid w:val="006753D1"/>
    <w:rsid w:val="0067554C"/>
    <w:rsid w:val="006755B7"/>
    <w:rsid w:val="00675684"/>
    <w:rsid w:val="0067593A"/>
    <w:rsid w:val="00675A85"/>
    <w:rsid w:val="00675AD5"/>
    <w:rsid w:val="00675DAB"/>
    <w:rsid w:val="00675DD2"/>
    <w:rsid w:val="00675F9E"/>
    <w:rsid w:val="006764BF"/>
    <w:rsid w:val="006764C9"/>
    <w:rsid w:val="006764D4"/>
    <w:rsid w:val="006766DD"/>
    <w:rsid w:val="00676B94"/>
    <w:rsid w:val="00676E45"/>
    <w:rsid w:val="00676F6D"/>
    <w:rsid w:val="006771E0"/>
    <w:rsid w:val="00677202"/>
    <w:rsid w:val="00677255"/>
    <w:rsid w:val="00677813"/>
    <w:rsid w:val="006779D9"/>
    <w:rsid w:val="00677F91"/>
    <w:rsid w:val="0068050F"/>
    <w:rsid w:val="0068088C"/>
    <w:rsid w:val="006808CE"/>
    <w:rsid w:val="006809DE"/>
    <w:rsid w:val="00680A5B"/>
    <w:rsid w:val="00680B4C"/>
    <w:rsid w:val="00680DE7"/>
    <w:rsid w:val="00681112"/>
    <w:rsid w:val="006811DD"/>
    <w:rsid w:val="00681550"/>
    <w:rsid w:val="00681573"/>
    <w:rsid w:val="00681604"/>
    <w:rsid w:val="006817D6"/>
    <w:rsid w:val="00681F1C"/>
    <w:rsid w:val="0068206B"/>
    <w:rsid w:val="006822BD"/>
    <w:rsid w:val="00682364"/>
    <w:rsid w:val="00682678"/>
    <w:rsid w:val="006826F4"/>
    <w:rsid w:val="0068286F"/>
    <w:rsid w:val="00682BDE"/>
    <w:rsid w:val="00682CA1"/>
    <w:rsid w:val="00682D1C"/>
    <w:rsid w:val="00683000"/>
    <w:rsid w:val="00683197"/>
    <w:rsid w:val="006831B8"/>
    <w:rsid w:val="006831F3"/>
    <w:rsid w:val="00683403"/>
    <w:rsid w:val="00683475"/>
    <w:rsid w:val="00683531"/>
    <w:rsid w:val="006835CA"/>
    <w:rsid w:val="0068370A"/>
    <w:rsid w:val="00683EC2"/>
    <w:rsid w:val="0068401D"/>
    <w:rsid w:val="00684031"/>
    <w:rsid w:val="00684034"/>
    <w:rsid w:val="00684100"/>
    <w:rsid w:val="00684297"/>
    <w:rsid w:val="006842C2"/>
    <w:rsid w:val="006844C9"/>
    <w:rsid w:val="006848FD"/>
    <w:rsid w:val="00684A8C"/>
    <w:rsid w:val="00684AB2"/>
    <w:rsid w:val="00684B2C"/>
    <w:rsid w:val="00684CAF"/>
    <w:rsid w:val="00684E0D"/>
    <w:rsid w:val="00684F51"/>
    <w:rsid w:val="00685107"/>
    <w:rsid w:val="00685180"/>
    <w:rsid w:val="006851C6"/>
    <w:rsid w:val="006853A9"/>
    <w:rsid w:val="006854D9"/>
    <w:rsid w:val="006855E6"/>
    <w:rsid w:val="00685842"/>
    <w:rsid w:val="00685A46"/>
    <w:rsid w:val="00685A9C"/>
    <w:rsid w:val="00685AD6"/>
    <w:rsid w:val="00685CE5"/>
    <w:rsid w:val="00685DC2"/>
    <w:rsid w:val="00685F19"/>
    <w:rsid w:val="006862B5"/>
    <w:rsid w:val="006864A6"/>
    <w:rsid w:val="006865AA"/>
    <w:rsid w:val="0068660B"/>
    <w:rsid w:val="00686624"/>
    <w:rsid w:val="00686664"/>
    <w:rsid w:val="006866DA"/>
    <w:rsid w:val="00686A28"/>
    <w:rsid w:val="00686C9B"/>
    <w:rsid w:val="00686DCC"/>
    <w:rsid w:val="00686F0E"/>
    <w:rsid w:val="0068709D"/>
    <w:rsid w:val="0068730E"/>
    <w:rsid w:val="00687608"/>
    <w:rsid w:val="006876E1"/>
    <w:rsid w:val="0068782D"/>
    <w:rsid w:val="00687A29"/>
    <w:rsid w:val="00687A4C"/>
    <w:rsid w:val="00687B82"/>
    <w:rsid w:val="00687CFF"/>
    <w:rsid w:val="00687E45"/>
    <w:rsid w:val="00687E50"/>
    <w:rsid w:val="00687E82"/>
    <w:rsid w:val="006903A5"/>
    <w:rsid w:val="006904A7"/>
    <w:rsid w:val="00690878"/>
    <w:rsid w:val="006909C2"/>
    <w:rsid w:val="00690BBA"/>
    <w:rsid w:val="00691356"/>
    <w:rsid w:val="00691357"/>
    <w:rsid w:val="0069135F"/>
    <w:rsid w:val="00691467"/>
    <w:rsid w:val="006914B4"/>
    <w:rsid w:val="006915DE"/>
    <w:rsid w:val="0069167B"/>
    <w:rsid w:val="006917DE"/>
    <w:rsid w:val="00691881"/>
    <w:rsid w:val="00691C96"/>
    <w:rsid w:val="00691E64"/>
    <w:rsid w:val="00692442"/>
    <w:rsid w:val="00692A59"/>
    <w:rsid w:val="00692A89"/>
    <w:rsid w:val="00692ACE"/>
    <w:rsid w:val="00692AEB"/>
    <w:rsid w:val="00692BD0"/>
    <w:rsid w:val="00693052"/>
    <w:rsid w:val="006930B7"/>
    <w:rsid w:val="006930F9"/>
    <w:rsid w:val="00693161"/>
    <w:rsid w:val="006931FB"/>
    <w:rsid w:val="00693214"/>
    <w:rsid w:val="0069324F"/>
    <w:rsid w:val="00693324"/>
    <w:rsid w:val="00693332"/>
    <w:rsid w:val="0069367C"/>
    <w:rsid w:val="0069373B"/>
    <w:rsid w:val="0069381B"/>
    <w:rsid w:val="00693828"/>
    <w:rsid w:val="006938F6"/>
    <w:rsid w:val="00693935"/>
    <w:rsid w:val="00693A5B"/>
    <w:rsid w:val="00693A69"/>
    <w:rsid w:val="00693D62"/>
    <w:rsid w:val="00694090"/>
    <w:rsid w:val="006944FC"/>
    <w:rsid w:val="0069461B"/>
    <w:rsid w:val="0069477C"/>
    <w:rsid w:val="0069485B"/>
    <w:rsid w:val="006948C5"/>
    <w:rsid w:val="006948F8"/>
    <w:rsid w:val="00694978"/>
    <w:rsid w:val="00694982"/>
    <w:rsid w:val="00694EC5"/>
    <w:rsid w:val="00695333"/>
    <w:rsid w:val="00695661"/>
    <w:rsid w:val="00695AEA"/>
    <w:rsid w:val="00696A4E"/>
    <w:rsid w:val="00696B04"/>
    <w:rsid w:val="00697059"/>
    <w:rsid w:val="0069736E"/>
    <w:rsid w:val="00697594"/>
    <w:rsid w:val="0069760F"/>
    <w:rsid w:val="00697812"/>
    <w:rsid w:val="006978A6"/>
    <w:rsid w:val="006A0094"/>
    <w:rsid w:val="006A0223"/>
    <w:rsid w:val="006A0296"/>
    <w:rsid w:val="006A0518"/>
    <w:rsid w:val="006A0A49"/>
    <w:rsid w:val="006A0D78"/>
    <w:rsid w:val="006A102D"/>
    <w:rsid w:val="006A10A8"/>
    <w:rsid w:val="006A10C6"/>
    <w:rsid w:val="006A130F"/>
    <w:rsid w:val="006A17D4"/>
    <w:rsid w:val="006A1893"/>
    <w:rsid w:val="006A19A5"/>
    <w:rsid w:val="006A1C14"/>
    <w:rsid w:val="006A1C4D"/>
    <w:rsid w:val="006A1F8A"/>
    <w:rsid w:val="006A2102"/>
    <w:rsid w:val="006A2233"/>
    <w:rsid w:val="006A2269"/>
    <w:rsid w:val="006A2936"/>
    <w:rsid w:val="006A299D"/>
    <w:rsid w:val="006A29E3"/>
    <w:rsid w:val="006A2BA0"/>
    <w:rsid w:val="006A2DAD"/>
    <w:rsid w:val="006A2F82"/>
    <w:rsid w:val="006A333E"/>
    <w:rsid w:val="006A33C7"/>
    <w:rsid w:val="006A33D8"/>
    <w:rsid w:val="006A3449"/>
    <w:rsid w:val="006A3450"/>
    <w:rsid w:val="006A360B"/>
    <w:rsid w:val="006A3B1C"/>
    <w:rsid w:val="006A3FAA"/>
    <w:rsid w:val="006A419D"/>
    <w:rsid w:val="006A4344"/>
    <w:rsid w:val="006A4457"/>
    <w:rsid w:val="006A44CE"/>
    <w:rsid w:val="006A4678"/>
    <w:rsid w:val="006A4775"/>
    <w:rsid w:val="006A47E3"/>
    <w:rsid w:val="006A4875"/>
    <w:rsid w:val="006A4EB5"/>
    <w:rsid w:val="006A5034"/>
    <w:rsid w:val="006A5095"/>
    <w:rsid w:val="006A515E"/>
    <w:rsid w:val="006A520C"/>
    <w:rsid w:val="006A544C"/>
    <w:rsid w:val="006A54EB"/>
    <w:rsid w:val="006A565F"/>
    <w:rsid w:val="006A572D"/>
    <w:rsid w:val="006A577C"/>
    <w:rsid w:val="006A5959"/>
    <w:rsid w:val="006A599A"/>
    <w:rsid w:val="006A5A1E"/>
    <w:rsid w:val="006A5A73"/>
    <w:rsid w:val="006A5ABA"/>
    <w:rsid w:val="006A610B"/>
    <w:rsid w:val="006A617D"/>
    <w:rsid w:val="006A61A9"/>
    <w:rsid w:val="006A626D"/>
    <w:rsid w:val="006A632B"/>
    <w:rsid w:val="006A65A2"/>
    <w:rsid w:val="006A666A"/>
    <w:rsid w:val="006A669E"/>
    <w:rsid w:val="006A6BBD"/>
    <w:rsid w:val="006A6C62"/>
    <w:rsid w:val="006A6CDB"/>
    <w:rsid w:val="006A6D23"/>
    <w:rsid w:val="006A6DFD"/>
    <w:rsid w:val="006A7052"/>
    <w:rsid w:val="006A72A2"/>
    <w:rsid w:val="006A74F8"/>
    <w:rsid w:val="006A7556"/>
    <w:rsid w:val="006A7726"/>
    <w:rsid w:val="006A77FD"/>
    <w:rsid w:val="006A7A70"/>
    <w:rsid w:val="006A7B43"/>
    <w:rsid w:val="006A7C14"/>
    <w:rsid w:val="006A7EFC"/>
    <w:rsid w:val="006B0197"/>
    <w:rsid w:val="006B0972"/>
    <w:rsid w:val="006B0A38"/>
    <w:rsid w:val="006B0A3D"/>
    <w:rsid w:val="006B0D78"/>
    <w:rsid w:val="006B0DB7"/>
    <w:rsid w:val="006B1503"/>
    <w:rsid w:val="006B150E"/>
    <w:rsid w:val="006B199B"/>
    <w:rsid w:val="006B1E1F"/>
    <w:rsid w:val="006B1EE3"/>
    <w:rsid w:val="006B1F35"/>
    <w:rsid w:val="006B22F1"/>
    <w:rsid w:val="006B26B4"/>
    <w:rsid w:val="006B29D0"/>
    <w:rsid w:val="006B2BA0"/>
    <w:rsid w:val="006B32EE"/>
    <w:rsid w:val="006B37AD"/>
    <w:rsid w:val="006B3899"/>
    <w:rsid w:val="006B3B47"/>
    <w:rsid w:val="006B3BBA"/>
    <w:rsid w:val="006B3DB7"/>
    <w:rsid w:val="006B3EAE"/>
    <w:rsid w:val="006B3F8F"/>
    <w:rsid w:val="006B3FCB"/>
    <w:rsid w:val="006B401C"/>
    <w:rsid w:val="006B4494"/>
    <w:rsid w:val="006B44FC"/>
    <w:rsid w:val="006B457E"/>
    <w:rsid w:val="006B4767"/>
    <w:rsid w:val="006B4891"/>
    <w:rsid w:val="006B4A09"/>
    <w:rsid w:val="006B4A99"/>
    <w:rsid w:val="006B4C31"/>
    <w:rsid w:val="006B4E72"/>
    <w:rsid w:val="006B512B"/>
    <w:rsid w:val="006B5150"/>
    <w:rsid w:val="006B539E"/>
    <w:rsid w:val="006B580C"/>
    <w:rsid w:val="006B5A97"/>
    <w:rsid w:val="006B5ADB"/>
    <w:rsid w:val="006B5CB0"/>
    <w:rsid w:val="006B5DB1"/>
    <w:rsid w:val="006B61D6"/>
    <w:rsid w:val="006B65AA"/>
    <w:rsid w:val="006B6A62"/>
    <w:rsid w:val="006B6B0E"/>
    <w:rsid w:val="006B6D29"/>
    <w:rsid w:val="006B6FBA"/>
    <w:rsid w:val="006B7050"/>
    <w:rsid w:val="006B7ACC"/>
    <w:rsid w:val="006B7B72"/>
    <w:rsid w:val="006B7E1C"/>
    <w:rsid w:val="006C00F2"/>
    <w:rsid w:val="006C020D"/>
    <w:rsid w:val="006C0213"/>
    <w:rsid w:val="006C02AB"/>
    <w:rsid w:val="006C038A"/>
    <w:rsid w:val="006C065F"/>
    <w:rsid w:val="006C0733"/>
    <w:rsid w:val="006C078A"/>
    <w:rsid w:val="006C07BE"/>
    <w:rsid w:val="006C0830"/>
    <w:rsid w:val="006C092E"/>
    <w:rsid w:val="006C1169"/>
    <w:rsid w:val="006C1524"/>
    <w:rsid w:val="006C1603"/>
    <w:rsid w:val="006C162D"/>
    <w:rsid w:val="006C16F4"/>
    <w:rsid w:val="006C17D2"/>
    <w:rsid w:val="006C21BB"/>
    <w:rsid w:val="006C22DD"/>
    <w:rsid w:val="006C2313"/>
    <w:rsid w:val="006C2857"/>
    <w:rsid w:val="006C2939"/>
    <w:rsid w:val="006C293B"/>
    <w:rsid w:val="006C29B1"/>
    <w:rsid w:val="006C2A30"/>
    <w:rsid w:val="006C2A76"/>
    <w:rsid w:val="006C2B13"/>
    <w:rsid w:val="006C2D5E"/>
    <w:rsid w:val="006C2DC4"/>
    <w:rsid w:val="006C2FC3"/>
    <w:rsid w:val="006C30A8"/>
    <w:rsid w:val="006C31EB"/>
    <w:rsid w:val="006C3362"/>
    <w:rsid w:val="006C36B9"/>
    <w:rsid w:val="006C37D1"/>
    <w:rsid w:val="006C3A17"/>
    <w:rsid w:val="006C3AB8"/>
    <w:rsid w:val="006C3AF8"/>
    <w:rsid w:val="006C3DCA"/>
    <w:rsid w:val="006C3DEE"/>
    <w:rsid w:val="006C40B5"/>
    <w:rsid w:val="006C4119"/>
    <w:rsid w:val="006C4834"/>
    <w:rsid w:val="006C4A7E"/>
    <w:rsid w:val="006C4B4C"/>
    <w:rsid w:val="006C4BBA"/>
    <w:rsid w:val="006C4C9C"/>
    <w:rsid w:val="006C4DE7"/>
    <w:rsid w:val="006C4FD3"/>
    <w:rsid w:val="006C50CD"/>
    <w:rsid w:val="006C5235"/>
    <w:rsid w:val="006C5284"/>
    <w:rsid w:val="006C5288"/>
    <w:rsid w:val="006C529F"/>
    <w:rsid w:val="006C5335"/>
    <w:rsid w:val="006C54FC"/>
    <w:rsid w:val="006C55AC"/>
    <w:rsid w:val="006C56CA"/>
    <w:rsid w:val="006C5810"/>
    <w:rsid w:val="006C599E"/>
    <w:rsid w:val="006C5B0F"/>
    <w:rsid w:val="006C5C20"/>
    <w:rsid w:val="006C63F9"/>
    <w:rsid w:val="006C6578"/>
    <w:rsid w:val="006C6725"/>
    <w:rsid w:val="006C6834"/>
    <w:rsid w:val="006C6A82"/>
    <w:rsid w:val="006C6AA9"/>
    <w:rsid w:val="006C6F85"/>
    <w:rsid w:val="006C7234"/>
    <w:rsid w:val="006C737B"/>
    <w:rsid w:val="006C73CA"/>
    <w:rsid w:val="006C7783"/>
    <w:rsid w:val="006C7827"/>
    <w:rsid w:val="006D022E"/>
    <w:rsid w:val="006D02AB"/>
    <w:rsid w:val="006D04FC"/>
    <w:rsid w:val="006D0635"/>
    <w:rsid w:val="006D0643"/>
    <w:rsid w:val="006D0AA6"/>
    <w:rsid w:val="006D0AC2"/>
    <w:rsid w:val="006D0E29"/>
    <w:rsid w:val="006D108E"/>
    <w:rsid w:val="006D12B4"/>
    <w:rsid w:val="006D1332"/>
    <w:rsid w:val="006D1457"/>
    <w:rsid w:val="006D160E"/>
    <w:rsid w:val="006D1733"/>
    <w:rsid w:val="006D1808"/>
    <w:rsid w:val="006D1EB9"/>
    <w:rsid w:val="006D2221"/>
    <w:rsid w:val="006D22DF"/>
    <w:rsid w:val="006D27FF"/>
    <w:rsid w:val="006D2904"/>
    <w:rsid w:val="006D2D20"/>
    <w:rsid w:val="006D2E15"/>
    <w:rsid w:val="006D2E54"/>
    <w:rsid w:val="006D2EBB"/>
    <w:rsid w:val="006D2FBE"/>
    <w:rsid w:val="006D2FCE"/>
    <w:rsid w:val="006D319D"/>
    <w:rsid w:val="006D3211"/>
    <w:rsid w:val="006D333A"/>
    <w:rsid w:val="006D33E8"/>
    <w:rsid w:val="006D3790"/>
    <w:rsid w:val="006D39CF"/>
    <w:rsid w:val="006D3AEF"/>
    <w:rsid w:val="006D3D8A"/>
    <w:rsid w:val="006D3E9C"/>
    <w:rsid w:val="006D3EA8"/>
    <w:rsid w:val="006D40BA"/>
    <w:rsid w:val="006D42F9"/>
    <w:rsid w:val="006D455A"/>
    <w:rsid w:val="006D46A8"/>
    <w:rsid w:val="006D4935"/>
    <w:rsid w:val="006D4B98"/>
    <w:rsid w:val="006D4EF5"/>
    <w:rsid w:val="006D4F3B"/>
    <w:rsid w:val="006D4F4C"/>
    <w:rsid w:val="006D4F7C"/>
    <w:rsid w:val="006D5009"/>
    <w:rsid w:val="006D51C9"/>
    <w:rsid w:val="006D51FC"/>
    <w:rsid w:val="006D5334"/>
    <w:rsid w:val="006D5541"/>
    <w:rsid w:val="006D56A0"/>
    <w:rsid w:val="006D59C0"/>
    <w:rsid w:val="006D5B87"/>
    <w:rsid w:val="006D6296"/>
    <w:rsid w:val="006D6592"/>
    <w:rsid w:val="006D6633"/>
    <w:rsid w:val="006D6646"/>
    <w:rsid w:val="006D669D"/>
    <w:rsid w:val="006D6701"/>
    <w:rsid w:val="006D6753"/>
    <w:rsid w:val="006D6AFE"/>
    <w:rsid w:val="006D6CB0"/>
    <w:rsid w:val="006D7421"/>
    <w:rsid w:val="006D7555"/>
    <w:rsid w:val="006D758D"/>
    <w:rsid w:val="006D7A21"/>
    <w:rsid w:val="006D7B7B"/>
    <w:rsid w:val="006D7FDA"/>
    <w:rsid w:val="006E025F"/>
    <w:rsid w:val="006E030B"/>
    <w:rsid w:val="006E07D0"/>
    <w:rsid w:val="006E0BD1"/>
    <w:rsid w:val="006E0C8D"/>
    <w:rsid w:val="006E0CC0"/>
    <w:rsid w:val="006E0D1D"/>
    <w:rsid w:val="006E0F26"/>
    <w:rsid w:val="006E1062"/>
    <w:rsid w:val="006E1186"/>
    <w:rsid w:val="006E135D"/>
    <w:rsid w:val="006E137F"/>
    <w:rsid w:val="006E18F3"/>
    <w:rsid w:val="006E1914"/>
    <w:rsid w:val="006E1A2D"/>
    <w:rsid w:val="006E1DF0"/>
    <w:rsid w:val="006E1E6A"/>
    <w:rsid w:val="006E20C0"/>
    <w:rsid w:val="006E21E5"/>
    <w:rsid w:val="006E24B0"/>
    <w:rsid w:val="006E24E2"/>
    <w:rsid w:val="006E26CB"/>
    <w:rsid w:val="006E27BF"/>
    <w:rsid w:val="006E2953"/>
    <w:rsid w:val="006E2BA4"/>
    <w:rsid w:val="006E2DA0"/>
    <w:rsid w:val="006E2FFF"/>
    <w:rsid w:val="006E3293"/>
    <w:rsid w:val="006E330E"/>
    <w:rsid w:val="006E3318"/>
    <w:rsid w:val="006E33C1"/>
    <w:rsid w:val="006E35AA"/>
    <w:rsid w:val="006E36B3"/>
    <w:rsid w:val="006E3A9B"/>
    <w:rsid w:val="006E3B81"/>
    <w:rsid w:val="006E3CAC"/>
    <w:rsid w:val="006E3FF0"/>
    <w:rsid w:val="006E3FFD"/>
    <w:rsid w:val="006E4001"/>
    <w:rsid w:val="006E422D"/>
    <w:rsid w:val="006E452A"/>
    <w:rsid w:val="006E4714"/>
    <w:rsid w:val="006E480E"/>
    <w:rsid w:val="006E4FF1"/>
    <w:rsid w:val="006E54EF"/>
    <w:rsid w:val="006E563C"/>
    <w:rsid w:val="006E57C1"/>
    <w:rsid w:val="006E5992"/>
    <w:rsid w:val="006E5A9D"/>
    <w:rsid w:val="006E5E4C"/>
    <w:rsid w:val="006E5FB0"/>
    <w:rsid w:val="006E6115"/>
    <w:rsid w:val="006E6368"/>
    <w:rsid w:val="006E6370"/>
    <w:rsid w:val="006E68E4"/>
    <w:rsid w:val="006E6AE9"/>
    <w:rsid w:val="006E6E53"/>
    <w:rsid w:val="006E6EA0"/>
    <w:rsid w:val="006E71B6"/>
    <w:rsid w:val="006E73A1"/>
    <w:rsid w:val="006E7627"/>
    <w:rsid w:val="006E76D0"/>
    <w:rsid w:val="006E7931"/>
    <w:rsid w:val="006E794C"/>
    <w:rsid w:val="006E7A24"/>
    <w:rsid w:val="006E7A77"/>
    <w:rsid w:val="006E7AF2"/>
    <w:rsid w:val="006E7C6F"/>
    <w:rsid w:val="006F00B9"/>
    <w:rsid w:val="006F022F"/>
    <w:rsid w:val="006F03E1"/>
    <w:rsid w:val="006F05E4"/>
    <w:rsid w:val="006F066B"/>
    <w:rsid w:val="006F0EF8"/>
    <w:rsid w:val="006F0F3D"/>
    <w:rsid w:val="006F11BF"/>
    <w:rsid w:val="006F130E"/>
    <w:rsid w:val="006F139C"/>
    <w:rsid w:val="006F143E"/>
    <w:rsid w:val="006F14E4"/>
    <w:rsid w:val="006F15C7"/>
    <w:rsid w:val="006F176D"/>
    <w:rsid w:val="006F1926"/>
    <w:rsid w:val="006F1B20"/>
    <w:rsid w:val="006F1B5F"/>
    <w:rsid w:val="006F1C3D"/>
    <w:rsid w:val="006F1C5B"/>
    <w:rsid w:val="006F1F7B"/>
    <w:rsid w:val="006F20E3"/>
    <w:rsid w:val="006F2199"/>
    <w:rsid w:val="006F21BA"/>
    <w:rsid w:val="006F2388"/>
    <w:rsid w:val="006F2680"/>
    <w:rsid w:val="006F26F2"/>
    <w:rsid w:val="006F2B25"/>
    <w:rsid w:val="006F2B60"/>
    <w:rsid w:val="006F2BB1"/>
    <w:rsid w:val="006F2C7E"/>
    <w:rsid w:val="006F2F4A"/>
    <w:rsid w:val="006F3059"/>
    <w:rsid w:val="006F3079"/>
    <w:rsid w:val="006F31D0"/>
    <w:rsid w:val="006F323E"/>
    <w:rsid w:val="006F33FD"/>
    <w:rsid w:val="006F342D"/>
    <w:rsid w:val="006F359D"/>
    <w:rsid w:val="006F3625"/>
    <w:rsid w:val="006F37E0"/>
    <w:rsid w:val="006F396C"/>
    <w:rsid w:val="006F3F26"/>
    <w:rsid w:val="006F428D"/>
    <w:rsid w:val="006F4494"/>
    <w:rsid w:val="006F4555"/>
    <w:rsid w:val="006F4A3C"/>
    <w:rsid w:val="006F4E3E"/>
    <w:rsid w:val="006F4EBD"/>
    <w:rsid w:val="006F52F9"/>
    <w:rsid w:val="006F5847"/>
    <w:rsid w:val="006F58A5"/>
    <w:rsid w:val="006F58E0"/>
    <w:rsid w:val="006F5940"/>
    <w:rsid w:val="006F5ABD"/>
    <w:rsid w:val="006F5B79"/>
    <w:rsid w:val="006F5C7B"/>
    <w:rsid w:val="006F5EE9"/>
    <w:rsid w:val="006F6088"/>
    <w:rsid w:val="006F6109"/>
    <w:rsid w:val="006F6172"/>
    <w:rsid w:val="006F6AD7"/>
    <w:rsid w:val="006F6B78"/>
    <w:rsid w:val="006F6BE6"/>
    <w:rsid w:val="006F6CA0"/>
    <w:rsid w:val="006F6E02"/>
    <w:rsid w:val="006F6E69"/>
    <w:rsid w:val="006F6FC2"/>
    <w:rsid w:val="006F72F6"/>
    <w:rsid w:val="006F75DE"/>
    <w:rsid w:val="006F7702"/>
    <w:rsid w:val="006F7CEC"/>
    <w:rsid w:val="006F7CFA"/>
    <w:rsid w:val="006F7EE8"/>
    <w:rsid w:val="007001AC"/>
    <w:rsid w:val="007003FA"/>
    <w:rsid w:val="007004E8"/>
    <w:rsid w:val="007007A9"/>
    <w:rsid w:val="00700849"/>
    <w:rsid w:val="00700859"/>
    <w:rsid w:val="00700A55"/>
    <w:rsid w:val="00700A6D"/>
    <w:rsid w:val="00700B4F"/>
    <w:rsid w:val="00701377"/>
    <w:rsid w:val="00701DE7"/>
    <w:rsid w:val="00701E70"/>
    <w:rsid w:val="00701F65"/>
    <w:rsid w:val="007020F1"/>
    <w:rsid w:val="0070224C"/>
    <w:rsid w:val="007024BF"/>
    <w:rsid w:val="007025B6"/>
    <w:rsid w:val="007026CD"/>
    <w:rsid w:val="00702A62"/>
    <w:rsid w:val="00702CB2"/>
    <w:rsid w:val="00702E89"/>
    <w:rsid w:val="007031EB"/>
    <w:rsid w:val="007031FD"/>
    <w:rsid w:val="007039D4"/>
    <w:rsid w:val="00703BC8"/>
    <w:rsid w:val="00703C7A"/>
    <w:rsid w:val="0070403D"/>
    <w:rsid w:val="007040F4"/>
    <w:rsid w:val="00704262"/>
    <w:rsid w:val="007045C6"/>
    <w:rsid w:val="00704A1D"/>
    <w:rsid w:val="00704A56"/>
    <w:rsid w:val="00704C61"/>
    <w:rsid w:val="00704CDD"/>
    <w:rsid w:val="00704DAC"/>
    <w:rsid w:val="00704E36"/>
    <w:rsid w:val="00704EB4"/>
    <w:rsid w:val="00705165"/>
    <w:rsid w:val="0070525F"/>
    <w:rsid w:val="00705293"/>
    <w:rsid w:val="007052FE"/>
    <w:rsid w:val="00705339"/>
    <w:rsid w:val="007054F2"/>
    <w:rsid w:val="00705556"/>
    <w:rsid w:val="00705694"/>
    <w:rsid w:val="00705C13"/>
    <w:rsid w:val="00705C1B"/>
    <w:rsid w:val="00705C61"/>
    <w:rsid w:val="00705EAE"/>
    <w:rsid w:val="00705EB6"/>
    <w:rsid w:val="00706680"/>
    <w:rsid w:val="0070670B"/>
    <w:rsid w:val="00706839"/>
    <w:rsid w:val="00706878"/>
    <w:rsid w:val="0070697D"/>
    <w:rsid w:val="007069B8"/>
    <w:rsid w:val="007069F6"/>
    <w:rsid w:val="00706A93"/>
    <w:rsid w:val="00706E22"/>
    <w:rsid w:val="00706F1B"/>
    <w:rsid w:val="00707120"/>
    <w:rsid w:val="007072C3"/>
    <w:rsid w:val="00707536"/>
    <w:rsid w:val="007076F0"/>
    <w:rsid w:val="007077E8"/>
    <w:rsid w:val="007078C3"/>
    <w:rsid w:val="00707B67"/>
    <w:rsid w:val="00707DE8"/>
    <w:rsid w:val="007102B5"/>
    <w:rsid w:val="00710462"/>
    <w:rsid w:val="00710578"/>
    <w:rsid w:val="0071078A"/>
    <w:rsid w:val="007108F3"/>
    <w:rsid w:val="00710AB7"/>
    <w:rsid w:val="00710AF9"/>
    <w:rsid w:val="00710E64"/>
    <w:rsid w:val="00711096"/>
    <w:rsid w:val="00711190"/>
    <w:rsid w:val="007112A1"/>
    <w:rsid w:val="00711349"/>
    <w:rsid w:val="00711596"/>
    <w:rsid w:val="00711616"/>
    <w:rsid w:val="00711BD3"/>
    <w:rsid w:val="00711DB8"/>
    <w:rsid w:val="00711EBB"/>
    <w:rsid w:val="00711F3D"/>
    <w:rsid w:val="00712118"/>
    <w:rsid w:val="00712119"/>
    <w:rsid w:val="00712296"/>
    <w:rsid w:val="007125F6"/>
    <w:rsid w:val="00712604"/>
    <w:rsid w:val="00712728"/>
    <w:rsid w:val="00712AC4"/>
    <w:rsid w:val="00713589"/>
    <w:rsid w:val="007136BB"/>
    <w:rsid w:val="00713776"/>
    <w:rsid w:val="007138AB"/>
    <w:rsid w:val="007138C6"/>
    <w:rsid w:val="00713965"/>
    <w:rsid w:val="00713C39"/>
    <w:rsid w:val="00713E62"/>
    <w:rsid w:val="00713FD2"/>
    <w:rsid w:val="0071401A"/>
    <w:rsid w:val="00714047"/>
    <w:rsid w:val="007142D8"/>
    <w:rsid w:val="007142FC"/>
    <w:rsid w:val="00714339"/>
    <w:rsid w:val="007145BC"/>
    <w:rsid w:val="00714804"/>
    <w:rsid w:val="00714A53"/>
    <w:rsid w:val="0071501B"/>
    <w:rsid w:val="00715113"/>
    <w:rsid w:val="007151FA"/>
    <w:rsid w:val="00715323"/>
    <w:rsid w:val="00715373"/>
    <w:rsid w:val="0071539B"/>
    <w:rsid w:val="0071583B"/>
    <w:rsid w:val="007159BB"/>
    <w:rsid w:val="00715BE1"/>
    <w:rsid w:val="00715C8D"/>
    <w:rsid w:val="00715D25"/>
    <w:rsid w:val="00715E27"/>
    <w:rsid w:val="0071613E"/>
    <w:rsid w:val="007161A5"/>
    <w:rsid w:val="00716352"/>
    <w:rsid w:val="0071671B"/>
    <w:rsid w:val="0071677E"/>
    <w:rsid w:val="00716827"/>
    <w:rsid w:val="00716928"/>
    <w:rsid w:val="00716A03"/>
    <w:rsid w:val="00716BAC"/>
    <w:rsid w:val="00716C60"/>
    <w:rsid w:val="00716DBB"/>
    <w:rsid w:val="00717048"/>
    <w:rsid w:val="00717193"/>
    <w:rsid w:val="0071735C"/>
    <w:rsid w:val="0071760B"/>
    <w:rsid w:val="007176A1"/>
    <w:rsid w:val="00717D0F"/>
    <w:rsid w:val="00717DE7"/>
    <w:rsid w:val="00717E90"/>
    <w:rsid w:val="00717FC8"/>
    <w:rsid w:val="00720304"/>
    <w:rsid w:val="00720605"/>
    <w:rsid w:val="00720898"/>
    <w:rsid w:val="00720C93"/>
    <w:rsid w:val="0072104D"/>
    <w:rsid w:val="0072134A"/>
    <w:rsid w:val="007218D2"/>
    <w:rsid w:val="00721D2F"/>
    <w:rsid w:val="00721F33"/>
    <w:rsid w:val="0072202F"/>
    <w:rsid w:val="0072221C"/>
    <w:rsid w:val="00722321"/>
    <w:rsid w:val="0072246F"/>
    <w:rsid w:val="00722531"/>
    <w:rsid w:val="0072259E"/>
    <w:rsid w:val="00722664"/>
    <w:rsid w:val="007226C3"/>
    <w:rsid w:val="007229D6"/>
    <w:rsid w:val="00722CBB"/>
    <w:rsid w:val="007230F3"/>
    <w:rsid w:val="007232CE"/>
    <w:rsid w:val="00723760"/>
    <w:rsid w:val="0072376A"/>
    <w:rsid w:val="00723839"/>
    <w:rsid w:val="00723878"/>
    <w:rsid w:val="0072398C"/>
    <w:rsid w:val="00723A06"/>
    <w:rsid w:val="00723AFE"/>
    <w:rsid w:val="00723B76"/>
    <w:rsid w:val="00723BE7"/>
    <w:rsid w:val="00723C5D"/>
    <w:rsid w:val="0072409C"/>
    <w:rsid w:val="0072416B"/>
    <w:rsid w:val="007242BE"/>
    <w:rsid w:val="0072431C"/>
    <w:rsid w:val="007246A1"/>
    <w:rsid w:val="00724CF6"/>
    <w:rsid w:val="00724EF4"/>
    <w:rsid w:val="00724F8A"/>
    <w:rsid w:val="00724FD7"/>
    <w:rsid w:val="00725091"/>
    <w:rsid w:val="00725289"/>
    <w:rsid w:val="0072586F"/>
    <w:rsid w:val="00725CAC"/>
    <w:rsid w:val="00725D12"/>
    <w:rsid w:val="00726021"/>
    <w:rsid w:val="007260A7"/>
    <w:rsid w:val="0072644F"/>
    <w:rsid w:val="00726593"/>
    <w:rsid w:val="007266B8"/>
    <w:rsid w:val="00726878"/>
    <w:rsid w:val="007268CC"/>
    <w:rsid w:val="007269BB"/>
    <w:rsid w:val="00726CB2"/>
    <w:rsid w:val="00726D0D"/>
    <w:rsid w:val="00726E3C"/>
    <w:rsid w:val="0072720D"/>
    <w:rsid w:val="0072767E"/>
    <w:rsid w:val="0072785A"/>
    <w:rsid w:val="007278FD"/>
    <w:rsid w:val="00727AF4"/>
    <w:rsid w:val="00727BFB"/>
    <w:rsid w:val="00730073"/>
    <w:rsid w:val="007300C2"/>
    <w:rsid w:val="007300EA"/>
    <w:rsid w:val="00730639"/>
    <w:rsid w:val="007306AD"/>
    <w:rsid w:val="007307F3"/>
    <w:rsid w:val="0073089A"/>
    <w:rsid w:val="007308A2"/>
    <w:rsid w:val="00730A5C"/>
    <w:rsid w:val="00730BBE"/>
    <w:rsid w:val="00730CAB"/>
    <w:rsid w:val="00730E9E"/>
    <w:rsid w:val="00731169"/>
    <w:rsid w:val="00731403"/>
    <w:rsid w:val="007319EF"/>
    <w:rsid w:val="00731BAC"/>
    <w:rsid w:val="00731FE3"/>
    <w:rsid w:val="007320F6"/>
    <w:rsid w:val="007321DF"/>
    <w:rsid w:val="007324A7"/>
    <w:rsid w:val="007324F1"/>
    <w:rsid w:val="007327DE"/>
    <w:rsid w:val="00732824"/>
    <w:rsid w:val="00732916"/>
    <w:rsid w:val="00732E7A"/>
    <w:rsid w:val="00733402"/>
    <w:rsid w:val="0073346E"/>
    <w:rsid w:val="00733610"/>
    <w:rsid w:val="007336AA"/>
    <w:rsid w:val="00733736"/>
    <w:rsid w:val="00733A18"/>
    <w:rsid w:val="007344E7"/>
    <w:rsid w:val="00734851"/>
    <w:rsid w:val="007348E5"/>
    <w:rsid w:val="00734A4C"/>
    <w:rsid w:val="00734FB7"/>
    <w:rsid w:val="00735040"/>
    <w:rsid w:val="0073504A"/>
    <w:rsid w:val="0073510B"/>
    <w:rsid w:val="007351AA"/>
    <w:rsid w:val="007352CB"/>
    <w:rsid w:val="0073533F"/>
    <w:rsid w:val="00735738"/>
    <w:rsid w:val="0073588B"/>
    <w:rsid w:val="00735918"/>
    <w:rsid w:val="00735AAA"/>
    <w:rsid w:val="00735BBE"/>
    <w:rsid w:val="00735CC8"/>
    <w:rsid w:val="00735CED"/>
    <w:rsid w:val="00735DDB"/>
    <w:rsid w:val="00735E73"/>
    <w:rsid w:val="00736142"/>
    <w:rsid w:val="0073630F"/>
    <w:rsid w:val="00736357"/>
    <w:rsid w:val="007365F8"/>
    <w:rsid w:val="007368AD"/>
    <w:rsid w:val="007369C7"/>
    <w:rsid w:val="00736AF5"/>
    <w:rsid w:val="00736CB4"/>
    <w:rsid w:val="00736E71"/>
    <w:rsid w:val="00736F2E"/>
    <w:rsid w:val="00737006"/>
    <w:rsid w:val="00737019"/>
    <w:rsid w:val="007373FF"/>
    <w:rsid w:val="00737490"/>
    <w:rsid w:val="00737554"/>
    <w:rsid w:val="0073770C"/>
    <w:rsid w:val="00737E12"/>
    <w:rsid w:val="007402F5"/>
    <w:rsid w:val="0074036B"/>
    <w:rsid w:val="007403D8"/>
    <w:rsid w:val="0074052B"/>
    <w:rsid w:val="00740750"/>
    <w:rsid w:val="00740823"/>
    <w:rsid w:val="00740B7F"/>
    <w:rsid w:val="00740C25"/>
    <w:rsid w:val="00741062"/>
    <w:rsid w:val="007410A7"/>
    <w:rsid w:val="0074126D"/>
    <w:rsid w:val="00741384"/>
    <w:rsid w:val="007414F6"/>
    <w:rsid w:val="0074155E"/>
    <w:rsid w:val="007416BE"/>
    <w:rsid w:val="007418F8"/>
    <w:rsid w:val="00741990"/>
    <w:rsid w:val="007419A1"/>
    <w:rsid w:val="00741A13"/>
    <w:rsid w:val="00741AF8"/>
    <w:rsid w:val="00741DB3"/>
    <w:rsid w:val="00741F00"/>
    <w:rsid w:val="00742015"/>
    <w:rsid w:val="00742064"/>
    <w:rsid w:val="00742277"/>
    <w:rsid w:val="00742367"/>
    <w:rsid w:val="007426B5"/>
    <w:rsid w:val="0074294B"/>
    <w:rsid w:val="00742A0C"/>
    <w:rsid w:val="00742A40"/>
    <w:rsid w:val="00742DC8"/>
    <w:rsid w:val="00742E7E"/>
    <w:rsid w:val="00742ED4"/>
    <w:rsid w:val="007432D4"/>
    <w:rsid w:val="00743364"/>
    <w:rsid w:val="007438CA"/>
    <w:rsid w:val="00743A0B"/>
    <w:rsid w:val="00743A41"/>
    <w:rsid w:val="00743B58"/>
    <w:rsid w:val="00743CBF"/>
    <w:rsid w:val="0074456D"/>
    <w:rsid w:val="00744579"/>
    <w:rsid w:val="00744891"/>
    <w:rsid w:val="00744B1D"/>
    <w:rsid w:val="00744C6C"/>
    <w:rsid w:val="00744CD0"/>
    <w:rsid w:val="0074517B"/>
    <w:rsid w:val="00745511"/>
    <w:rsid w:val="0074555A"/>
    <w:rsid w:val="007455FF"/>
    <w:rsid w:val="00745630"/>
    <w:rsid w:val="00745658"/>
    <w:rsid w:val="007458BB"/>
    <w:rsid w:val="00745C34"/>
    <w:rsid w:val="00745F2E"/>
    <w:rsid w:val="007461A4"/>
    <w:rsid w:val="0074632A"/>
    <w:rsid w:val="0074640F"/>
    <w:rsid w:val="00746554"/>
    <w:rsid w:val="007466E1"/>
    <w:rsid w:val="00746BC7"/>
    <w:rsid w:val="00746FAA"/>
    <w:rsid w:val="0074701D"/>
    <w:rsid w:val="00747192"/>
    <w:rsid w:val="00747506"/>
    <w:rsid w:val="00747BD0"/>
    <w:rsid w:val="00747EA0"/>
    <w:rsid w:val="00750267"/>
    <w:rsid w:val="0075050A"/>
    <w:rsid w:val="0075065C"/>
    <w:rsid w:val="0075087C"/>
    <w:rsid w:val="00750C84"/>
    <w:rsid w:val="00750C97"/>
    <w:rsid w:val="00751049"/>
    <w:rsid w:val="007514D7"/>
    <w:rsid w:val="0075160F"/>
    <w:rsid w:val="00751804"/>
    <w:rsid w:val="00751A24"/>
    <w:rsid w:val="00751C01"/>
    <w:rsid w:val="00751C73"/>
    <w:rsid w:val="00751C8A"/>
    <w:rsid w:val="00751DDD"/>
    <w:rsid w:val="007520F2"/>
    <w:rsid w:val="0075264B"/>
    <w:rsid w:val="00752734"/>
    <w:rsid w:val="0075282F"/>
    <w:rsid w:val="0075285D"/>
    <w:rsid w:val="0075286E"/>
    <w:rsid w:val="007529E5"/>
    <w:rsid w:val="00752A9C"/>
    <w:rsid w:val="00752B14"/>
    <w:rsid w:val="00752B40"/>
    <w:rsid w:val="00752C83"/>
    <w:rsid w:val="007531C7"/>
    <w:rsid w:val="00753A61"/>
    <w:rsid w:val="00753DE9"/>
    <w:rsid w:val="00753ECE"/>
    <w:rsid w:val="00754205"/>
    <w:rsid w:val="007543F6"/>
    <w:rsid w:val="007546B5"/>
    <w:rsid w:val="00754710"/>
    <w:rsid w:val="00754C88"/>
    <w:rsid w:val="00754CBA"/>
    <w:rsid w:val="00754CCE"/>
    <w:rsid w:val="007550C0"/>
    <w:rsid w:val="007551E4"/>
    <w:rsid w:val="007556C4"/>
    <w:rsid w:val="0075595C"/>
    <w:rsid w:val="00755A0A"/>
    <w:rsid w:val="00755A0C"/>
    <w:rsid w:val="00755D1F"/>
    <w:rsid w:val="00755E00"/>
    <w:rsid w:val="007560BF"/>
    <w:rsid w:val="00756328"/>
    <w:rsid w:val="0075649F"/>
    <w:rsid w:val="00756566"/>
    <w:rsid w:val="00756725"/>
    <w:rsid w:val="00756B34"/>
    <w:rsid w:val="00756C6B"/>
    <w:rsid w:val="00757514"/>
    <w:rsid w:val="00757898"/>
    <w:rsid w:val="007578FE"/>
    <w:rsid w:val="00757939"/>
    <w:rsid w:val="00757AF0"/>
    <w:rsid w:val="00757DA6"/>
    <w:rsid w:val="007602F2"/>
    <w:rsid w:val="0076043A"/>
    <w:rsid w:val="0076059C"/>
    <w:rsid w:val="0076072F"/>
    <w:rsid w:val="00760C3C"/>
    <w:rsid w:val="00760CB0"/>
    <w:rsid w:val="00760CCF"/>
    <w:rsid w:val="00760D1F"/>
    <w:rsid w:val="00760F0C"/>
    <w:rsid w:val="007611E4"/>
    <w:rsid w:val="00761317"/>
    <w:rsid w:val="00761800"/>
    <w:rsid w:val="00761D21"/>
    <w:rsid w:val="00761DF5"/>
    <w:rsid w:val="007621A1"/>
    <w:rsid w:val="00762333"/>
    <w:rsid w:val="0076238A"/>
    <w:rsid w:val="00762561"/>
    <w:rsid w:val="00762741"/>
    <w:rsid w:val="00762C9E"/>
    <w:rsid w:val="00762E5F"/>
    <w:rsid w:val="007631EA"/>
    <w:rsid w:val="0076358C"/>
    <w:rsid w:val="00763817"/>
    <w:rsid w:val="0076388A"/>
    <w:rsid w:val="00763969"/>
    <w:rsid w:val="00763B40"/>
    <w:rsid w:val="00763D8F"/>
    <w:rsid w:val="00763E04"/>
    <w:rsid w:val="00763FD4"/>
    <w:rsid w:val="0076413D"/>
    <w:rsid w:val="00764244"/>
    <w:rsid w:val="007644C4"/>
    <w:rsid w:val="0076451E"/>
    <w:rsid w:val="007649E1"/>
    <w:rsid w:val="00764B78"/>
    <w:rsid w:val="00764CB2"/>
    <w:rsid w:val="00764D2A"/>
    <w:rsid w:val="007651F8"/>
    <w:rsid w:val="0076523A"/>
    <w:rsid w:val="007652D3"/>
    <w:rsid w:val="00765913"/>
    <w:rsid w:val="00765BEE"/>
    <w:rsid w:val="00765D5A"/>
    <w:rsid w:val="0076640D"/>
    <w:rsid w:val="0076693C"/>
    <w:rsid w:val="00766940"/>
    <w:rsid w:val="00766A4F"/>
    <w:rsid w:val="00766A70"/>
    <w:rsid w:val="00766D96"/>
    <w:rsid w:val="00766DFC"/>
    <w:rsid w:val="00766F90"/>
    <w:rsid w:val="00766FA9"/>
    <w:rsid w:val="00767020"/>
    <w:rsid w:val="00767512"/>
    <w:rsid w:val="00767514"/>
    <w:rsid w:val="00767576"/>
    <w:rsid w:val="007677AC"/>
    <w:rsid w:val="00767E31"/>
    <w:rsid w:val="00767E81"/>
    <w:rsid w:val="0077048D"/>
    <w:rsid w:val="007707FA"/>
    <w:rsid w:val="007708E8"/>
    <w:rsid w:val="00770C33"/>
    <w:rsid w:val="00770F5F"/>
    <w:rsid w:val="00771339"/>
    <w:rsid w:val="00771528"/>
    <w:rsid w:val="0077153D"/>
    <w:rsid w:val="0077161B"/>
    <w:rsid w:val="00771E13"/>
    <w:rsid w:val="007720D5"/>
    <w:rsid w:val="00772263"/>
    <w:rsid w:val="007722D2"/>
    <w:rsid w:val="00772925"/>
    <w:rsid w:val="00772AE8"/>
    <w:rsid w:val="00772BDA"/>
    <w:rsid w:val="00772D05"/>
    <w:rsid w:val="00772D17"/>
    <w:rsid w:val="007732F5"/>
    <w:rsid w:val="00773A26"/>
    <w:rsid w:val="00773AE7"/>
    <w:rsid w:val="00773CF0"/>
    <w:rsid w:val="00773E03"/>
    <w:rsid w:val="00773E6B"/>
    <w:rsid w:val="00773ECC"/>
    <w:rsid w:val="00773F04"/>
    <w:rsid w:val="00773F89"/>
    <w:rsid w:val="00773FC6"/>
    <w:rsid w:val="007740E9"/>
    <w:rsid w:val="00774326"/>
    <w:rsid w:val="0077434B"/>
    <w:rsid w:val="0077439D"/>
    <w:rsid w:val="0077464E"/>
    <w:rsid w:val="00774726"/>
    <w:rsid w:val="007749B3"/>
    <w:rsid w:val="00774CF8"/>
    <w:rsid w:val="00774F0C"/>
    <w:rsid w:val="007752F7"/>
    <w:rsid w:val="00775326"/>
    <w:rsid w:val="00775407"/>
    <w:rsid w:val="0077569F"/>
    <w:rsid w:val="007758F0"/>
    <w:rsid w:val="007759E2"/>
    <w:rsid w:val="00775A2B"/>
    <w:rsid w:val="00775DE0"/>
    <w:rsid w:val="00775E5D"/>
    <w:rsid w:val="00775EF7"/>
    <w:rsid w:val="00775F50"/>
    <w:rsid w:val="007762A3"/>
    <w:rsid w:val="007762B1"/>
    <w:rsid w:val="00776955"/>
    <w:rsid w:val="00776B5F"/>
    <w:rsid w:val="00776BFF"/>
    <w:rsid w:val="00776D4E"/>
    <w:rsid w:val="00776FA4"/>
    <w:rsid w:val="007772E9"/>
    <w:rsid w:val="0077732B"/>
    <w:rsid w:val="00777474"/>
    <w:rsid w:val="007775B2"/>
    <w:rsid w:val="00777662"/>
    <w:rsid w:val="00777744"/>
    <w:rsid w:val="007777D0"/>
    <w:rsid w:val="00777A16"/>
    <w:rsid w:val="00777F3F"/>
    <w:rsid w:val="0078020B"/>
    <w:rsid w:val="00780634"/>
    <w:rsid w:val="00780D58"/>
    <w:rsid w:val="00781006"/>
    <w:rsid w:val="007810F2"/>
    <w:rsid w:val="0078121B"/>
    <w:rsid w:val="0078128A"/>
    <w:rsid w:val="0078156D"/>
    <w:rsid w:val="007817C5"/>
    <w:rsid w:val="00781E1F"/>
    <w:rsid w:val="00781EA3"/>
    <w:rsid w:val="00781F1F"/>
    <w:rsid w:val="00781F5D"/>
    <w:rsid w:val="00782152"/>
    <w:rsid w:val="00782788"/>
    <w:rsid w:val="00782951"/>
    <w:rsid w:val="00782ADC"/>
    <w:rsid w:val="00783116"/>
    <w:rsid w:val="0078311B"/>
    <w:rsid w:val="0078322B"/>
    <w:rsid w:val="007833EE"/>
    <w:rsid w:val="0078359E"/>
    <w:rsid w:val="0078377F"/>
    <w:rsid w:val="00783A01"/>
    <w:rsid w:val="00783A05"/>
    <w:rsid w:val="00783B41"/>
    <w:rsid w:val="00783D85"/>
    <w:rsid w:val="00784142"/>
    <w:rsid w:val="00784153"/>
    <w:rsid w:val="007843CF"/>
    <w:rsid w:val="00784463"/>
    <w:rsid w:val="00784545"/>
    <w:rsid w:val="0078485A"/>
    <w:rsid w:val="00784B35"/>
    <w:rsid w:val="00784B50"/>
    <w:rsid w:val="00784E3F"/>
    <w:rsid w:val="00785164"/>
    <w:rsid w:val="007851B3"/>
    <w:rsid w:val="0078533A"/>
    <w:rsid w:val="00785A79"/>
    <w:rsid w:val="00785EFF"/>
    <w:rsid w:val="00785F72"/>
    <w:rsid w:val="00785FA4"/>
    <w:rsid w:val="0078603C"/>
    <w:rsid w:val="00786080"/>
    <w:rsid w:val="00786453"/>
    <w:rsid w:val="00786594"/>
    <w:rsid w:val="00786599"/>
    <w:rsid w:val="00786628"/>
    <w:rsid w:val="00786948"/>
    <w:rsid w:val="00786B62"/>
    <w:rsid w:val="00786F7D"/>
    <w:rsid w:val="0078702B"/>
    <w:rsid w:val="007874AC"/>
    <w:rsid w:val="007878BE"/>
    <w:rsid w:val="0078794B"/>
    <w:rsid w:val="00790362"/>
    <w:rsid w:val="00790487"/>
    <w:rsid w:val="00790514"/>
    <w:rsid w:val="007907E7"/>
    <w:rsid w:val="007909A1"/>
    <w:rsid w:val="00790B12"/>
    <w:rsid w:val="00790D70"/>
    <w:rsid w:val="00790D80"/>
    <w:rsid w:val="007913CD"/>
    <w:rsid w:val="007915DB"/>
    <w:rsid w:val="00791724"/>
    <w:rsid w:val="00791822"/>
    <w:rsid w:val="007918C0"/>
    <w:rsid w:val="00791B2A"/>
    <w:rsid w:val="00791BF9"/>
    <w:rsid w:val="00791C08"/>
    <w:rsid w:val="00791F6F"/>
    <w:rsid w:val="00791FCA"/>
    <w:rsid w:val="00791FDC"/>
    <w:rsid w:val="0079202B"/>
    <w:rsid w:val="00792430"/>
    <w:rsid w:val="007924E8"/>
    <w:rsid w:val="007927A2"/>
    <w:rsid w:val="00792CCD"/>
    <w:rsid w:val="00792EA6"/>
    <w:rsid w:val="00792F20"/>
    <w:rsid w:val="007934A4"/>
    <w:rsid w:val="007934B6"/>
    <w:rsid w:val="00793526"/>
    <w:rsid w:val="007936DB"/>
    <w:rsid w:val="0079379B"/>
    <w:rsid w:val="00793A99"/>
    <w:rsid w:val="00793E5A"/>
    <w:rsid w:val="0079403D"/>
    <w:rsid w:val="007941E0"/>
    <w:rsid w:val="007942C1"/>
    <w:rsid w:val="00794767"/>
    <w:rsid w:val="00794811"/>
    <w:rsid w:val="00794AE9"/>
    <w:rsid w:val="00794BAE"/>
    <w:rsid w:val="00794C28"/>
    <w:rsid w:val="00794FFD"/>
    <w:rsid w:val="007950DE"/>
    <w:rsid w:val="0079518B"/>
    <w:rsid w:val="007953A3"/>
    <w:rsid w:val="00795789"/>
    <w:rsid w:val="00795853"/>
    <w:rsid w:val="007958E1"/>
    <w:rsid w:val="00795DDF"/>
    <w:rsid w:val="00796243"/>
    <w:rsid w:val="007962E8"/>
    <w:rsid w:val="007963F2"/>
    <w:rsid w:val="00796525"/>
    <w:rsid w:val="00796541"/>
    <w:rsid w:val="00796876"/>
    <w:rsid w:val="00796BDD"/>
    <w:rsid w:val="00796C2E"/>
    <w:rsid w:val="0079731B"/>
    <w:rsid w:val="007973AA"/>
    <w:rsid w:val="0079748B"/>
    <w:rsid w:val="00797571"/>
    <w:rsid w:val="0079787A"/>
    <w:rsid w:val="0079789C"/>
    <w:rsid w:val="007979AF"/>
    <w:rsid w:val="00797D24"/>
    <w:rsid w:val="00797DEA"/>
    <w:rsid w:val="00797E05"/>
    <w:rsid w:val="007A0176"/>
    <w:rsid w:val="007A02C4"/>
    <w:rsid w:val="007A0415"/>
    <w:rsid w:val="007A04D8"/>
    <w:rsid w:val="007A05BC"/>
    <w:rsid w:val="007A08BF"/>
    <w:rsid w:val="007A09C5"/>
    <w:rsid w:val="007A0F4E"/>
    <w:rsid w:val="007A1540"/>
    <w:rsid w:val="007A1959"/>
    <w:rsid w:val="007A1D24"/>
    <w:rsid w:val="007A1F95"/>
    <w:rsid w:val="007A2357"/>
    <w:rsid w:val="007A243F"/>
    <w:rsid w:val="007A27D2"/>
    <w:rsid w:val="007A2AB1"/>
    <w:rsid w:val="007A2D1C"/>
    <w:rsid w:val="007A3038"/>
    <w:rsid w:val="007A3189"/>
    <w:rsid w:val="007A32A2"/>
    <w:rsid w:val="007A32B4"/>
    <w:rsid w:val="007A3527"/>
    <w:rsid w:val="007A37E0"/>
    <w:rsid w:val="007A3836"/>
    <w:rsid w:val="007A3843"/>
    <w:rsid w:val="007A3CC6"/>
    <w:rsid w:val="007A42B4"/>
    <w:rsid w:val="007A44EC"/>
    <w:rsid w:val="007A465A"/>
    <w:rsid w:val="007A4EA4"/>
    <w:rsid w:val="007A5159"/>
    <w:rsid w:val="007A54E9"/>
    <w:rsid w:val="007A5ACF"/>
    <w:rsid w:val="007A5C07"/>
    <w:rsid w:val="007A5D03"/>
    <w:rsid w:val="007A6052"/>
    <w:rsid w:val="007A65E7"/>
    <w:rsid w:val="007A6639"/>
    <w:rsid w:val="007A66F1"/>
    <w:rsid w:val="007A6765"/>
    <w:rsid w:val="007A69E7"/>
    <w:rsid w:val="007A6AA2"/>
    <w:rsid w:val="007A724A"/>
    <w:rsid w:val="007A7594"/>
    <w:rsid w:val="007A7729"/>
    <w:rsid w:val="007A7C7D"/>
    <w:rsid w:val="007A7F5A"/>
    <w:rsid w:val="007B0023"/>
    <w:rsid w:val="007B0309"/>
    <w:rsid w:val="007B047E"/>
    <w:rsid w:val="007B06B1"/>
    <w:rsid w:val="007B07B9"/>
    <w:rsid w:val="007B08E0"/>
    <w:rsid w:val="007B097B"/>
    <w:rsid w:val="007B0B1A"/>
    <w:rsid w:val="007B0B68"/>
    <w:rsid w:val="007B0CB8"/>
    <w:rsid w:val="007B0DB0"/>
    <w:rsid w:val="007B0F96"/>
    <w:rsid w:val="007B1227"/>
    <w:rsid w:val="007B1266"/>
    <w:rsid w:val="007B13C3"/>
    <w:rsid w:val="007B1579"/>
    <w:rsid w:val="007B18A9"/>
    <w:rsid w:val="007B217E"/>
    <w:rsid w:val="007B21A7"/>
    <w:rsid w:val="007B238B"/>
    <w:rsid w:val="007B2A27"/>
    <w:rsid w:val="007B2C2C"/>
    <w:rsid w:val="007B2D2C"/>
    <w:rsid w:val="007B2E16"/>
    <w:rsid w:val="007B30A0"/>
    <w:rsid w:val="007B30D8"/>
    <w:rsid w:val="007B31F5"/>
    <w:rsid w:val="007B342D"/>
    <w:rsid w:val="007B35FD"/>
    <w:rsid w:val="007B3B54"/>
    <w:rsid w:val="007B3B9E"/>
    <w:rsid w:val="007B3C2A"/>
    <w:rsid w:val="007B3D33"/>
    <w:rsid w:val="007B4030"/>
    <w:rsid w:val="007B47DD"/>
    <w:rsid w:val="007B4928"/>
    <w:rsid w:val="007B4D20"/>
    <w:rsid w:val="007B5044"/>
    <w:rsid w:val="007B53FA"/>
    <w:rsid w:val="007B5410"/>
    <w:rsid w:val="007B553F"/>
    <w:rsid w:val="007B5581"/>
    <w:rsid w:val="007B5677"/>
    <w:rsid w:val="007B5931"/>
    <w:rsid w:val="007B5C24"/>
    <w:rsid w:val="007B5CDD"/>
    <w:rsid w:val="007B5D16"/>
    <w:rsid w:val="007B5DCD"/>
    <w:rsid w:val="007B5DDC"/>
    <w:rsid w:val="007B5DFC"/>
    <w:rsid w:val="007B6283"/>
    <w:rsid w:val="007B6590"/>
    <w:rsid w:val="007B65CF"/>
    <w:rsid w:val="007B6627"/>
    <w:rsid w:val="007B6E19"/>
    <w:rsid w:val="007B6ED2"/>
    <w:rsid w:val="007B6F34"/>
    <w:rsid w:val="007B722F"/>
    <w:rsid w:val="007B75FF"/>
    <w:rsid w:val="007B795B"/>
    <w:rsid w:val="007B7C25"/>
    <w:rsid w:val="007B7E94"/>
    <w:rsid w:val="007C00EC"/>
    <w:rsid w:val="007C0106"/>
    <w:rsid w:val="007C06FD"/>
    <w:rsid w:val="007C07EE"/>
    <w:rsid w:val="007C0A03"/>
    <w:rsid w:val="007C0A24"/>
    <w:rsid w:val="007C0A89"/>
    <w:rsid w:val="007C0C61"/>
    <w:rsid w:val="007C0C80"/>
    <w:rsid w:val="007C12A9"/>
    <w:rsid w:val="007C13B4"/>
    <w:rsid w:val="007C162E"/>
    <w:rsid w:val="007C17AE"/>
    <w:rsid w:val="007C19FA"/>
    <w:rsid w:val="007C1EBF"/>
    <w:rsid w:val="007C1F54"/>
    <w:rsid w:val="007C20F7"/>
    <w:rsid w:val="007C23E5"/>
    <w:rsid w:val="007C2588"/>
    <w:rsid w:val="007C2639"/>
    <w:rsid w:val="007C2845"/>
    <w:rsid w:val="007C2863"/>
    <w:rsid w:val="007C2886"/>
    <w:rsid w:val="007C28FA"/>
    <w:rsid w:val="007C2D78"/>
    <w:rsid w:val="007C2E70"/>
    <w:rsid w:val="007C322D"/>
    <w:rsid w:val="007C357B"/>
    <w:rsid w:val="007C3758"/>
    <w:rsid w:val="007C39BA"/>
    <w:rsid w:val="007C39D6"/>
    <w:rsid w:val="007C4419"/>
    <w:rsid w:val="007C479E"/>
    <w:rsid w:val="007C47DF"/>
    <w:rsid w:val="007C492F"/>
    <w:rsid w:val="007C4B5D"/>
    <w:rsid w:val="007C4CC5"/>
    <w:rsid w:val="007C52E6"/>
    <w:rsid w:val="007C52F8"/>
    <w:rsid w:val="007C56CC"/>
    <w:rsid w:val="007C5BA1"/>
    <w:rsid w:val="007C5C2B"/>
    <w:rsid w:val="007C5FF6"/>
    <w:rsid w:val="007C61B4"/>
    <w:rsid w:val="007C64B2"/>
    <w:rsid w:val="007C6751"/>
    <w:rsid w:val="007C69E0"/>
    <w:rsid w:val="007C6C03"/>
    <w:rsid w:val="007C6C1D"/>
    <w:rsid w:val="007C6D22"/>
    <w:rsid w:val="007C6F12"/>
    <w:rsid w:val="007C706C"/>
    <w:rsid w:val="007C713C"/>
    <w:rsid w:val="007C719F"/>
    <w:rsid w:val="007C74B6"/>
    <w:rsid w:val="007C787D"/>
    <w:rsid w:val="007C792F"/>
    <w:rsid w:val="007C7A88"/>
    <w:rsid w:val="007C7B2D"/>
    <w:rsid w:val="007C7B4C"/>
    <w:rsid w:val="007C7BDC"/>
    <w:rsid w:val="007C7CF3"/>
    <w:rsid w:val="007D011E"/>
    <w:rsid w:val="007D0293"/>
    <w:rsid w:val="007D0351"/>
    <w:rsid w:val="007D04F0"/>
    <w:rsid w:val="007D0624"/>
    <w:rsid w:val="007D090D"/>
    <w:rsid w:val="007D0B3C"/>
    <w:rsid w:val="007D0BA0"/>
    <w:rsid w:val="007D0C33"/>
    <w:rsid w:val="007D0CDB"/>
    <w:rsid w:val="007D0E1D"/>
    <w:rsid w:val="007D0EB3"/>
    <w:rsid w:val="007D0EEC"/>
    <w:rsid w:val="007D0FF3"/>
    <w:rsid w:val="007D104A"/>
    <w:rsid w:val="007D1756"/>
    <w:rsid w:val="007D19FE"/>
    <w:rsid w:val="007D1C33"/>
    <w:rsid w:val="007D1C56"/>
    <w:rsid w:val="007D1D2B"/>
    <w:rsid w:val="007D1D8B"/>
    <w:rsid w:val="007D2268"/>
    <w:rsid w:val="007D27BA"/>
    <w:rsid w:val="007D284A"/>
    <w:rsid w:val="007D2949"/>
    <w:rsid w:val="007D2BC5"/>
    <w:rsid w:val="007D2DB9"/>
    <w:rsid w:val="007D2E06"/>
    <w:rsid w:val="007D3245"/>
    <w:rsid w:val="007D3568"/>
    <w:rsid w:val="007D35ED"/>
    <w:rsid w:val="007D360B"/>
    <w:rsid w:val="007D36CC"/>
    <w:rsid w:val="007D373C"/>
    <w:rsid w:val="007D3A27"/>
    <w:rsid w:val="007D3AA0"/>
    <w:rsid w:val="007D3D1E"/>
    <w:rsid w:val="007D3F4C"/>
    <w:rsid w:val="007D3F78"/>
    <w:rsid w:val="007D40E8"/>
    <w:rsid w:val="007D433C"/>
    <w:rsid w:val="007D4737"/>
    <w:rsid w:val="007D4909"/>
    <w:rsid w:val="007D4B91"/>
    <w:rsid w:val="007D4BDC"/>
    <w:rsid w:val="007D4C64"/>
    <w:rsid w:val="007D5255"/>
    <w:rsid w:val="007D560B"/>
    <w:rsid w:val="007D564B"/>
    <w:rsid w:val="007D5698"/>
    <w:rsid w:val="007D58B4"/>
    <w:rsid w:val="007D5A93"/>
    <w:rsid w:val="007D5BFB"/>
    <w:rsid w:val="007D5CDD"/>
    <w:rsid w:val="007D5D15"/>
    <w:rsid w:val="007D62D7"/>
    <w:rsid w:val="007D6336"/>
    <w:rsid w:val="007D6520"/>
    <w:rsid w:val="007D6591"/>
    <w:rsid w:val="007D6804"/>
    <w:rsid w:val="007D6811"/>
    <w:rsid w:val="007D69AF"/>
    <w:rsid w:val="007D6A0D"/>
    <w:rsid w:val="007D6C3F"/>
    <w:rsid w:val="007D6DC6"/>
    <w:rsid w:val="007D6DEB"/>
    <w:rsid w:val="007D714E"/>
    <w:rsid w:val="007D7279"/>
    <w:rsid w:val="007D763F"/>
    <w:rsid w:val="007D7A6B"/>
    <w:rsid w:val="007D7FF6"/>
    <w:rsid w:val="007E0095"/>
    <w:rsid w:val="007E00EC"/>
    <w:rsid w:val="007E045B"/>
    <w:rsid w:val="007E0914"/>
    <w:rsid w:val="007E0BA3"/>
    <w:rsid w:val="007E0BE8"/>
    <w:rsid w:val="007E0C8C"/>
    <w:rsid w:val="007E10E5"/>
    <w:rsid w:val="007E1494"/>
    <w:rsid w:val="007E14D0"/>
    <w:rsid w:val="007E1594"/>
    <w:rsid w:val="007E15DC"/>
    <w:rsid w:val="007E165E"/>
    <w:rsid w:val="007E16C4"/>
    <w:rsid w:val="007E174A"/>
    <w:rsid w:val="007E1869"/>
    <w:rsid w:val="007E18AF"/>
    <w:rsid w:val="007E1ACD"/>
    <w:rsid w:val="007E1AE2"/>
    <w:rsid w:val="007E1B8B"/>
    <w:rsid w:val="007E20E1"/>
    <w:rsid w:val="007E2236"/>
    <w:rsid w:val="007E274B"/>
    <w:rsid w:val="007E29E4"/>
    <w:rsid w:val="007E2D55"/>
    <w:rsid w:val="007E302A"/>
    <w:rsid w:val="007E31B4"/>
    <w:rsid w:val="007E3512"/>
    <w:rsid w:val="007E372E"/>
    <w:rsid w:val="007E3752"/>
    <w:rsid w:val="007E39DC"/>
    <w:rsid w:val="007E3E46"/>
    <w:rsid w:val="007E3FE2"/>
    <w:rsid w:val="007E4146"/>
    <w:rsid w:val="007E43F8"/>
    <w:rsid w:val="007E495A"/>
    <w:rsid w:val="007E496A"/>
    <w:rsid w:val="007E4AB8"/>
    <w:rsid w:val="007E4AE5"/>
    <w:rsid w:val="007E4DDD"/>
    <w:rsid w:val="007E4F64"/>
    <w:rsid w:val="007E4FB6"/>
    <w:rsid w:val="007E505A"/>
    <w:rsid w:val="007E5202"/>
    <w:rsid w:val="007E5280"/>
    <w:rsid w:val="007E52DD"/>
    <w:rsid w:val="007E5327"/>
    <w:rsid w:val="007E533E"/>
    <w:rsid w:val="007E5600"/>
    <w:rsid w:val="007E582F"/>
    <w:rsid w:val="007E58D4"/>
    <w:rsid w:val="007E5A4C"/>
    <w:rsid w:val="007E5E70"/>
    <w:rsid w:val="007E5ED4"/>
    <w:rsid w:val="007E5F15"/>
    <w:rsid w:val="007E600E"/>
    <w:rsid w:val="007E60C6"/>
    <w:rsid w:val="007E641A"/>
    <w:rsid w:val="007E6461"/>
    <w:rsid w:val="007E6726"/>
    <w:rsid w:val="007E6999"/>
    <w:rsid w:val="007E6A34"/>
    <w:rsid w:val="007E6E8B"/>
    <w:rsid w:val="007E6FFB"/>
    <w:rsid w:val="007E7299"/>
    <w:rsid w:val="007E7357"/>
    <w:rsid w:val="007E7830"/>
    <w:rsid w:val="007E787F"/>
    <w:rsid w:val="007E78A5"/>
    <w:rsid w:val="007E7AE2"/>
    <w:rsid w:val="007E7C70"/>
    <w:rsid w:val="007E7E0F"/>
    <w:rsid w:val="007F007C"/>
    <w:rsid w:val="007F0190"/>
    <w:rsid w:val="007F01B1"/>
    <w:rsid w:val="007F02AA"/>
    <w:rsid w:val="007F02C7"/>
    <w:rsid w:val="007F042F"/>
    <w:rsid w:val="007F0A9E"/>
    <w:rsid w:val="007F0CB6"/>
    <w:rsid w:val="007F13CA"/>
    <w:rsid w:val="007F1587"/>
    <w:rsid w:val="007F168D"/>
    <w:rsid w:val="007F17FC"/>
    <w:rsid w:val="007F1B25"/>
    <w:rsid w:val="007F1D0C"/>
    <w:rsid w:val="007F1D82"/>
    <w:rsid w:val="007F1E1B"/>
    <w:rsid w:val="007F1E84"/>
    <w:rsid w:val="007F1F5B"/>
    <w:rsid w:val="007F21F2"/>
    <w:rsid w:val="007F2258"/>
    <w:rsid w:val="007F22E1"/>
    <w:rsid w:val="007F2477"/>
    <w:rsid w:val="007F250F"/>
    <w:rsid w:val="007F2770"/>
    <w:rsid w:val="007F289E"/>
    <w:rsid w:val="007F2F99"/>
    <w:rsid w:val="007F3029"/>
    <w:rsid w:val="007F320E"/>
    <w:rsid w:val="007F3311"/>
    <w:rsid w:val="007F3510"/>
    <w:rsid w:val="007F3764"/>
    <w:rsid w:val="007F3833"/>
    <w:rsid w:val="007F38C2"/>
    <w:rsid w:val="007F3A3D"/>
    <w:rsid w:val="007F3E1C"/>
    <w:rsid w:val="007F406C"/>
    <w:rsid w:val="007F40C9"/>
    <w:rsid w:val="007F40E4"/>
    <w:rsid w:val="007F4409"/>
    <w:rsid w:val="007F45A1"/>
    <w:rsid w:val="007F461F"/>
    <w:rsid w:val="007F4689"/>
    <w:rsid w:val="007F4DB2"/>
    <w:rsid w:val="007F4FB4"/>
    <w:rsid w:val="007F4FE2"/>
    <w:rsid w:val="007F50AF"/>
    <w:rsid w:val="007F5104"/>
    <w:rsid w:val="007F51C9"/>
    <w:rsid w:val="007F5247"/>
    <w:rsid w:val="007F528A"/>
    <w:rsid w:val="007F55C0"/>
    <w:rsid w:val="007F5BFF"/>
    <w:rsid w:val="007F5E0F"/>
    <w:rsid w:val="007F5FE7"/>
    <w:rsid w:val="007F6109"/>
    <w:rsid w:val="007F6329"/>
    <w:rsid w:val="007F695C"/>
    <w:rsid w:val="007F6963"/>
    <w:rsid w:val="007F69A1"/>
    <w:rsid w:val="007F6A92"/>
    <w:rsid w:val="007F6B91"/>
    <w:rsid w:val="007F6B94"/>
    <w:rsid w:val="007F6CC7"/>
    <w:rsid w:val="007F6DF9"/>
    <w:rsid w:val="007F7061"/>
    <w:rsid w:val="007F715A"/>
    <w:rsid w:val="007F7498"/>
    <w:rsid w:val="007F77C0"/>
    <w:rsid w:val="007F78F0"/>
    <w:rsid w:val="007F7A26"/>
    <w:rsid w:val="007F7C62"/>
    <w:rsid w:val="007F7E82"/>
    <w:rsid w:val="008000CC"/>
    <w:rsid w:val="008001A0"/>
    <w:rsid w:val="00800275"/>
    <w:rsid w:val="00800890"/>
    <w:rsid w:val="00800BCD"/>
    <w:rsid w:val="00800D30"/>
    <w:rsid w:val="00800EF2"/>
    <w:rsid w:val="00801091"/>
    <w:rsid w:val="00801139"/>
    <w:rsid w:val="00801333"/>
    <w:rsid w:val="00801563"/>
    <w:rsid w:val="0080161A"/>
    <w:rsid w:val="008016D6"/>
    <w:rsid w:val="00801852"/>
    <w:rsid w:val="00801982"/>
    <w:rsid w:val="00801E24"/>
    <w:rsid w:val="00801E36"/>
    <w:rsid w:val="00802301"/>
    <w:rsid w:val="00802461"/>
    <w:rsid w:val="008025D5"/>
    <w:rsid w:val="0080264D"/>
    <w:rsid w:val="008026C3"/>
    <w:rsid w:val="008028B2"/>
    <w:rsid w:val="00802A29"/>
    <w:rsid w:val="00802C79"/>
    <w:rsid w:val="00802CEE"/>
    <w:rsid w:val="00802CF9"/>
    <w:rsid w:val="00802DED"/>
    <w:rsid w:val="00802E7B"/>
    <w:rsid w:val="00802E9A"/>
    <w:rsid w:val="00802FD9"/>
    <w:rsid w:val="00803152"/>
    <w:rsid w:val="0080338E"/>
    <w:rsid w:val="00803431"/>
    <w:rsid w:val="00803503"/>
    <w:rsid w:val="00803647"/>
    <w:rsid w:val="0080378C"/>
    <w:rsid w:val="00803C35"/>
    <w:rsid w:val="00803F3B"/>
    <w:rsid w:val="0080428E"/>
    <w:rsid w:val="008043DB"/>
    <w:rsid w:val="00804708"/>
    <w:rsid w:val="00804737"/>
    <w:rsid w:val="00804E9B"/>
    <w:rsid w:val="0080570D"/>
    <w:rsid w:val="00805814"/>
    <w:rsid w:val="00805823"/>
    <w:rsid w:val="008059DC"/>
    <w:rsid w:val="008059FE"/>
    <w:rsid w:val="00805BA6"/>
    <w:rsid w:val="00805E15"/>
    <w:rsid w:val="00805F10"/>
    <w:rsid w:val="0080609A"/>
    <w:rsid w:val="008060BF"/>
    <w:rsid w:val="00806473"/>
    <w:rsid w:val="00806942"/>
    <w:rsid w:val="00806A95"/>
    <w:rsid w:val="00806C93"/>
    <w:rsid w:val="00806EF5"/>
    <w:rsid w:val="00806EF6"/>
    <w:rsid w:val="00806F23"/>
    <w:rsid w:val="00807660"/>
    <w:rsid w:val="008078D7"/>
    <w:rsid w:val="00807AAA"/>
    <w:rsid w:val="00810066"/>
    <w:rsid w:val="0081009B"/>
    <w:rsid w:val="00810199"/>
    <w:rsid w:val="0081037F"/>
    <w:rsid w:val="00810406"/>
    <w:rsid w:val="008104A7"/>
    <w:rsid w:val="008108B5"/>
    <w:rsid w:val="008108E2"/>
    <w:rsid w:val="00810BB0"/>
    <w:rsid w:val="00810F22"/>
    <w:rsid w:val="00810F84"/>
    <w:rsid w:val="00811008"/>
    <w:rsid w:val="00811066"/>
    <w:rsid w:val="0081109F"/>
    <w:rsid w:val="008110E4"/>
    <w:rsid w:val="008111C4"/>
    <w:rsid w:val="008112A4"/>
    <w:rsid w:val="00811521"/>
    <w:rsid w:val="0081158C"/>
    <w:rsid w:val="00811669"/>
    <w:rsid w:val="00811737"/>
    <w:rsid w:val="008117A6"/>
    <w:rsid w:val="00811AB1"/>
    <w:rsid w:val="00811CC5"/>
    <w:rsid w:val="00811D95"/>
    <w:rsid w:val="00811E21"/>
    <w:rsid w:val="00812123"/>
    <w:rsid w:val="008121C5"/>
    <w:rsid w:val="0081220E"/>
    <w:rsid w:val="008125EB"/>
    <w:rsid w:val="00812A04"/>
    <w:rsid w:val="00812BAE"/>
    <w:rsid w:val="00812CB9"/>
    <w:rsid w:val="00812D79"/>
    <w:rsid w:val="00813014"/>
    <w:rsid w:val="008130FB"/>
    <w:rsid w:val="00813126"/>
    <w:rsid w:val="008131AA"/>
    <w:rsid w:val="008131CF"/>
    <w:rsid w:val="00813271"/>
    <w:rsid w:val="008132F2"/>
    <w:rsid w:val="008134F9"/>
    <w:rsid w:val="008135A8"/>
    <w:rsid w:val="0081397E"/>
    <w:rsid w:val="008139D7"/>
    <w:rsid w:val="00813D07"/>
    <w:rsid w:val="00813ECC"/>
    <w:rsid w:val="00813F1E"/>
    <w:rsid w:val="0081455E"/>
    <w:rsid w:val="00814719"/>
    <w:rsid w:val="00814B2B"/>
    <w:rsid w:val="00814F0F"/>
    <w:rsid w:val="00815180"/>
    <w:rsid w:val="008153CE"/>
    <w:rsid w:val="008153D8"/>
    <w:rsid w:val="008153F6"/>
    <w:rsid w:val="00815582"/>
    <w:rsid w:val="00815724"/>
    <w:rsid w:val="00815734"/>
    <w:rsid w:val="00815820"/>
    <w:rsid w:val="00815A05"/>
    <w:rsid w:val="00815CEC"/>
    <w:rsid w:val="00815E05"/>
    <w:rsid w:val="0081600E"/>
    <w:rsid w:val="008162EC"/>
    <w:rsid w:val="00816328"/>
    <w:rsid w:val="00816492"/>
    <w:rsid w:val="00816498"/>
    <w:rsid w:val="008166AE"/>
    <w:rsid w:val="00816AA2"/>
    <w:rsid w:val="00816AB2"/>
    <w:rsid w:val="00816B9F"/>
    <w:rsid w:val="00816C5C"/>
    <w:rsid w:val="00816CD5"/>
    <w:rsid w:val="00816EE4"/>
    <w:rsid w:val="00816F3F"/>
    <w:rsid w:val="00816F4C"/>
    <w:rsid w:val="008175B7"/>
    <w:rsid w:val="00817C9F"/>
    <w:rsid w:val="00817CC8"/>
    <w:rsid w:val="00817CEC"/>
    <w:rsid w:val="00817D46"/>
    <w:rsid w:val="00817D98"/>
    <w:rsid w:val="00817E21"/>
    <w:rsid w:val="00817E92"/>
    <w:rsid w:val="00820DAE"/>
    <w:rsid w:val="00820DE9"/>
    <w:rsid w:val="00820F3F"/>
    <w:rsid w:val="00820F6C"/>
    <w:rsid w:val="00821113"/>
    <w:rsid w:val="008212EC"/>
    <w:rsid w:val="0082168A"/>
    <w:rsid w:val="008216E7"/>
    <w:rsid w:val="008217E0"/>
    <w:rsid w:val="0082186C"/>
    <w:rsid w:val="00821D9C"/>
    <w:rsid w:val="00822170"/>
    <w:rsid w:val="00822DE3"/>
    <w:rsid w:val="00822F1F"/>
    <w:rsid w:val="00822F58"/>
    <w:rsid w:val="008231EB"/>
    <w:rsid w:val="00823209"/>
    <w:rsid w:val="0082332D"/>
    <w:rsid w:val="00823455"/>
    <w:rsid w:val="00823A54"/>
    <w:rsid w:val="00823B59"/>
    <w:rsid w:val="00823F87"/>
    <w:rsid w:val="00824052"/>
    <w:rsid w:val="00824396"/>
    <w:rsid w:val="00824573"/>
    <w:rsid w:val="00824C37"/>
    <w:rsid w:val="00824CBC"/>
    <w:rsid w:val="00824FCA"/>
    <w:rsid w:val="00825392"/>
    <w:rsid w:val="0082563E"/>
    <w:rsid w:val="0082566A"/>
    <w:rsid w:val="0082596F"/>
    <w:rsid w:val="00825974"/>
    <w:rsid w:val="00825B4D"/>
    <w:rsid w:val="00825F1B"/>
    <w:rsid w:val="00825F1E"/>
    <w:rsid w:val="00826449"/>
    <w:rsid w:val="0082663F"/>
    <w:rsid w:val="0082664B"/>
    <w:rsid w:val="00826667"/>
    <w:rsid w:val="00826A12"/>
    <w:rsid w:val="00826A52"/>
    <w:rsid w:val="00826B7D"/>
    <w:rsid w:val="00826B84"/>
    <w:rsid w:val="00826C8D"/>
    <w:rsid w:val="00826E1F"/>
    <w:rsid w:val="00826F55"/>
    <w:rsid w:val="00827457"/>
    <w:rsid w:val="00827535"/>
    <w:rsid w:val="008275F4"/>
    <w:rsid w:val="0082767D"/>
    <w:rsid w:val="00827FB6"/>
    <w:rsid w:val="0083026C"/>
    <w:rsid w:val="008302E2"/>
    <w:rsid w:val="00830567"/>
    <w:rsid w:val="0083074D"/>
    <w:rsid w:val="008307CA"/>
    <w:rsid w:val="00830A59"/>
    <w:rsid w:val="00830BCA"/>
    <w:rsid w:val="00830F4E"/>
    <w:rsid w:val="008311E6"/>
    <w:rsid w:val="008312E2"/>
    <w:rsid w:val="00831571"/>
    <w:rsid w:val="00831818"/>
    <w:rsid w:val="00831A00"/>
    <w:rsid w:val="00831A7D"/>
    <w:rsid w:val="00831D3A"/>
    <w:rsid w:val="00832196"/>
    <w:rsid w:val="008322B6"/>
    <w:rsid w:val="008324EF"/>
    <w:rsid w:val="0083261C"/>
    <w:rsid w:val="00832781"/>
    <w:rsid w:val="00832D10"/>
    <w:rsid w:val="00832E8C"/>
    <w:rsid w:val="008331C8"/>
    <w:rsid w:val="008333CC"/>
    <w:rsid w:val="0083367E"/>
    <w:rsid w:val="008339DC"/>
    <w:rsid w:val="00833B1C"/>
    <w:rsid w:val="00833E1A"/>
    <w:rsid w:val="00833E76"/>
    <w:rsid w:val="00833F1A"/>
    <w:rsid w:val="00834156"/>
    <w:rsid w:val="00834257"/>
    <w:rsid w:val="008342F0"/>
    <w:rsid w:val="0083430A"/>
    <w:rsid w:val="00834454"/>
    <w:rsid w:val="00834487"/>
    <w:rsid w:val="00834607"/>
    <w:rsid w:val="008346AD"/>
    <w:rsid w:val="00834AE4"/>
    <w:rsid w:val="00834B0B"/>
    <w:rsid w:val="00834BC6"/>
    <w:rsid w:val="00834C28"/>
    <w:rsid w:val="00834CAD"/>
    <w:rsid w:val="00834D15"/>
    <w:rsid w:val="008350E2"/>
    <w:rsid w:val="00835147"/>
    <w:rsid w:val="00835198"/>
    <w:rsid w:val="00835252"/>
    <w:rsid w:val="00835356"/>
    <w:rsid w:val="0083536C"/>
    <w:rsid w:val="0083554C"/>
    <w:rsid w:val="00835709"/>
    <w:rsid w:val="00835898"/>
    <w:rsid w:val="00835983"/>
    <w:rsid w:val="00835B00"/>
    <w:rsid w:val="00835B25"/>
    <w:rsid w:val="00835CC7"/>
    <w:rsid w:val="00835DE2"/>
    <w:rsid w:val="0083614D"/>
    <w:rsid w:val="00836221"/>
    <w:rsid w:val="008362B0"/>
    <w:rsid w:val="00836616"/>
    <w:rsid w:val="0083664B"/>
    <w:rsid w:val="00836C3E"/>
    <w:rsid w:val="00836C63"/>
    <w:rsid w:val="00836C99"/>
    <w:rsid w:val="00836E9C"/>
    <w:rsid w:val="00837191"/>
    <w:rsid w:val="008371C0"/>
    <w:rsid w:val="008372A9"/>
    <w:rsid w:val="00837544"/>
    <w:rsid w:val="008375C3"/>
    <w:rsid w:val="008376EF"/>
    <w:rsid w:val="00837744"/>
    <w:rsid w:val="0083785C"/>
    <w:rsid w:val="0083793E"/>
    <w:rsid w:val="0083794C"/>
    <w:rsid w:val="0083797A"/>
    <w:rsid w:val="008379E6"/>
    <w:rsid w:val="00837A21"/>
    <w:rsid w:val="00837A70"/>
    <w:rsid w:val="00840026"/>
    <w:rsid w:val="008405D2"/>
    <w:rsid w:val="0084096F"/>
    <w:rsid w:val="008409AE"/>
    <w:rsid w:val="008409FA"/>
    <w:rsid w:val="00840BD1"/>
    <w:rsid w:val="00840CAD"/>
    <w:rsid w:val="00840D3F"/>
    <w:rsid w:val="00840E91"/>
    <w:rsid w:val="00841296"/>
    <w:rsid w:val="008413F0"/>
    <w:rsid w:val="0084148B"/>
    <w:rsid w:val="008415F7"/>
    <w:rsid w:val="00841829"/>
    <w:rsid w:val="008419D0"/>
    <w:rsid w:val="00841A1D"/>
    <w:rsid w:val="00841C25"/>
    <w:rsid w:val="00841D17"/>
    <w:rsid w:val="00842008"/>
    <w:rsid w:val="00842066"/>
    <w:rsid w:val="008420FF"/>
    <w:rsid w:val="008421A9"/>
    <w:rsid w:val="008423D4"/>
    <w:rsid w:val="0084246E"/>
    <w:rsid w:val="0084253E"/>
    <w:rsid w:val="00842A89"/>
    <w:rsid w:val="00842CBB"/>
    <w:rsid w:val="00842D35"/>
    <w:rsid w:val="00842DB4"/>
    <w:rsid w:val="00842F5B"/>
    <w:rsid w:val="00842F76"/>
    <w:rsid w:val="00842FB3"/>
    <w:rsid w:val="008434B2"/>
    <w:rsid w:val="00843550"/>
    <w:rsid w:val="0084360D"/>
    <w:rsid w:val="00843797"/>
    <w:rsid w:val="00843964"/>
    <w:rsid w:val="008439D4"/>
    <w:rsid w:val="00843B11"/>
    <w:rsid w:val="00843B81"/>
    <w:rsid w:val="008440CD"/>
    <w:rsid w:val="00844104"/>
    <w:rsid w:val="0084419E"/>
    <w:rsid w:val="008441AB"/>
    <w:rsid w:val="0084433B"/>
    <w:rsid w:val="00844432"/>
    <w:rsid w:val="0084452D"/>
    <w:rsid w:val="008447D4"/>
    <w:rsid w:val="00844839"/>
    <w:rsid w:val="0084487D"/>
    <w:rsid w:val="00844A97"/>
    <w:rsid w:val="00844B7D"/>
    <w:rsid w:val="00844BDE"/>
    <w:rsid w:val="00845359"/>
    <w:rsid w:val="00845478"/>
    <w:rsid w:val="008458B2"/>
    <w:rsid w:val="0084595F"/>
    <w:rsid w:val="00845A02"/>
    <w:rsid w:val="00845B9E"/>
    <w:rsid w:val="00845EBB"/>
    <w:rsid w:val="00845EF9"/>
    <w:rsid w:val="00845F91"/>
    <w:rsid w:val="0084637C"/>
    <w:rsid w:val="008463AA"/>
    <w:rsid w:val="0084644D"/>
    <w:rsid w:val="00846622"/>
    <w:rsid w:val="008469F0"/>
    <w:rsid w:val="00846B7D"/>
    <w:rsid w:val="00846D1A"/>
    <w:rsid w:val="00846D80"/>
    <w:rsid w:val="00846D8B"/>
    <w:rsid w:val="00846E0C"/>
    <w:rsid w:val="008472C0"/>
    <w:rsid w:val="00847445"/>
    <w:rsid w:val="008477FE"/>
    <w:rsid w:val="00847A7B"/>
    <w:rsid w:val="00847BFB"/>
    <w:rsid w:val="00847FD7"/>
    <w:rsid w:val="0085004D"/>
    <w:rsid w:val="008503B5"/>
    <w:rsid w:val="0085094C"/>
    <w:rsid w:val="00850989"/>
    <w:rsid w:val="00850B8D"/>
    <w:rsid w:val="00850C3D"/>
    <w:rsid w:val="00850D7F"/>
    <w:rsid w:val="00850DF9"/>
    <w:rsid w:val="00850E30"/>
    <w:rsid w:val="00850F00"/>
    <w:rsid w:val="008512B5"/>
    <w:rsid w:val="00851303"/>
    <w:rsid w:val="0085147D"/>
    <w:rsid w:val="00851491"/>
    <w:rsid w:val="008517EA"/>
    <w:rsid w:val="00851A2C"/>
    <w:rsid w:val="00851BFF"/>
    <w:rsid w:val="00852022"/>
    <w:rsid w:val="00852160"/>
    <w:rsid w:val="00852226"/>
    <w:rsid w:val="008522E4"/>
    <w:rsid w:val="008524CE"/>
    <w:rsid w:val="0085270F"/>
    <w:rsid w:val="00852831"/>
    <w:rsid w:val="008528C5"/>
    <w:rsid w:val="00852A26"/>
    <w:rsid w:val="00852A36"/>
    <w:rsid w:val="00852CEA"/>
    <w:rsid w:val="00852D09"/>
    <w:rsid w:val="00853000"/>
    <w:rsid w:val="00853034"/>
    <w:rsid w:val="00853525"/>
    <w:rsid w:val="008539B9"/>
    <w:rsid w:val="00853A7A"/>
    <w:rsid w:val="00853CE5"/>
    <w:rsid w:val="00853EAE"/>
    <w:rsid w:val="00853EB4"/>
    <w:rsid w:val="0085408F"/>
    <w:rsid w:val="008540C5"/>
    <w:rsid w:val="0085414D"/>
    <w:rsid w:val="0085432A"/>
    <w:rsid w:val="00854379"/>
    <w:rsid w:val="008544A3"/>
    <w:rsid w:val="008544D3"/>
    <w:rsid w:val="00854562"/>
    <w:rsid w:val="008545C5"/>
    <w:rsid w:val="0085460B"/>
    <w:rsid w:val="0085498A"/>
    <w:rsid w:val="00854DA3"/>
    <w:rsid w:val="00854DBC"/>
    <w:rsid w:val="00854F3F"/>
    <w:rsid w:val="00855191"/>
    <w:rsid w:val="008552D6"/>
    <w:rsid w:val="0085530D"/>
    <w:rsid w:val="00855467"/>
    <w:rsid w:val="00855498"/>
    <w:rsid w:val="008554B6"/>
    <w:rsid w:val="008555A3"/>
    <w:rsid w:val="0085592B"/>
    <w:rsid w:val="00855FF4"/>
    <w:rsid w:val="008560C1"/>
    <w:rsid w:val="008560EA"/>
    <w:rsid w:val="00856188"/>
    <w:rsid w:val="008561D6"/>
    <w:rsid w:val="00856370"/>
    <w:rsid w:val="00856401"/>
    <w:rsid w:val="00856617"/>
    <w:rsid w:val="0085672E"/>
    <w:rsid w:val="00856BF3"/>
    <w:rsid w:val="00856E0C"/>
    <w:rsid w:val="00856F42"/>
    <w:rsid w:val="00857083"/>
    <w:rsid w:val="0085730C"/>
    <w:rsid w:val="008573A0"/>
    <w:rsid w:val="00857525"/>
    <w:rsid w:val="00857738"/>
    <w:rsid w:val="00857808"/>
    <w:rsid w:val="00857F57"/>
    <w:rsid w:val="0086016C"/>
    <w:rsid w:val="0086032D"/>
    <w:rsid w:val="0086036C"/>
    <w:rsid w:val="00860388"/>
    <w:rsid w:val="008603CF"/>
    <w:rsid w:val="00860498"/>
    <w:rsid w:val="008604E2"/>
    <w:rsid w:val="00860647"/>
    <w:rsid w:val="008606FF"/>
    <w:rsid w:val="00860EA4"/>
    <w:rsid w:val="00860F51"/>
    <w:rsid w:val="00861054"/>
    <w:rsid w:val="0086117A"/>
    <w:rsid w:val="0086144B"/>
    <w:rsid w:val="00861514"/>
    <w:rsid w:val="008615DA"/>
    <w:rsid w:val="008619FA"/>
    <w:rsid w:val="00861A81"/>
    <w:rsid w:val="008620A7"/>
    <w:rsid w:val="00862117"/>
    <w:rsid w:val="0086219C"/>
    <w:rsid w:val="00862611"/>
    <w:rsid w:val="00862651"/>
    <w:rsid w:val="00862D0B"/>
    <w:rsid w:val="008630B8"/>
    <w:rsid w:val="008630F1"/>
    <w:rsid w:val="00863477"/>
    <w:rsid w:val="0086357B"/>
    <w:rsid w:val="00863591"/>
    <w:rsid w:val="00863593"/>
    <w:rsid w:val="0086373A"/>
    <w:rsid w:val="0086387D"/>
    <w:rsid w:val="00863B76"/>
    <w:rsid w:val="00863BC8"/>
    <w:rsid w:val="00863C1A"/>
    <w:rsid w:val="00863D6A"/>
    <w:rsid w:val="008640DB"/>
    <w:rsid w:val="00864373"/>
    <w:rsid w:val="008644C1"/>
    <w:rsid w:val="008644CD"/>
    <w:rsid w:val="00864502"/>
    <w:rsid w:val="00864633"/>
    <w:rsid w:val="0086463D"/>
    <w:rsid w:val="00864B0B"/>
    <w:rsid w:val="00864B63"/>
    <w:rsid w:val="00864E46"/>
    <w:rsid w:val="008651BA"/>
    <w:rsid w:val="00865237"/>
    <w:rsid w:val="00865311"/>
    <w:rsid w:val="00865720"/>
    <w:rsid w:val="0086599A"/>
    <w:rsid w:val="00865CB7"/>
    <w:rsid w:val="00865E69"/>
    <w:rsid w:val="00865EDF"/>
    <w:rsid w:val="008660EC"/>
    <w:rsid w:val="008660FE"/>
    <w:rsid w:val="00866134"/>
    <w:rsid w:val="008661A0"/>
    <w:rsid w:val="0086630C"/>
    <w:rsid w:val="00866364"/>
    <w:rsid w:val="00866A59"/>
    <w:rsid w:val="00866DB0"/>
    <w:rsid w:val="00866E74"/>
    <w:rsid w:val="00866E93"/>
    <w:rsid w:val="00867022"/>
    <w:rsid w:val="008671A1"/>
    <w:rsid w:val="008673D8"/>
    <w:rsid w:val="008675DD"/>
    <w:rsid w:val="00867629"/>
    <w:rsid w:val="00867662"/>
    <w:rsid w:val="008676C8"/>
    <w:rsid w:val="00867BCD"/>
    <w:rsid w:val="00867D3C"/>
    <w:rsid w:val="00867E1B"/>
    <w:rsid w:val="0087023B"/>
    <w:rsid w:val="0087033A"/>
    <w:rsid w:val="00870D48"/>
    <w:rsid w:val="0087108B"/>
    <w:rsid w:val="0087114C"/>
    <w:rsid w:val="0087178B"/>
    <w:rsid w:val="008718E9"/>
    <w:rsid w:val="00871CE6"/>
    <w:rsid w:val="00871E8F"/>
    <w:rsid w:val="00872122"/>
    <w:rsid w:val="00872204"/>
    <w:rsid w:val="0087239D"/>
    <w:rsid w:val="0087240F"/>
    <w:rsid w:val="00872496"/>
    <w:rsid w:val="0087251C"/>
    <w:rsid w:val="00872607"/>
    <w:rsid w:val="00872885"/>
    <w:rsid w:val="00872A23"/>
    <w:rsid w:val="00872C0B"/>
    <w:rsid w:val="0087321E"/>
    <w:rsid w:val="0087336F"/>
    <w:rsid w:val="008733B8"/>
    <w:rsid w:val="00873969"/>
    <w:rsid w:val="0087399B"/>
    <w:rsid w:val="00873BA2"/>
    <w:rsid w:val="00873D45"/>
    <w:rsid w:val="00873F6D"/>
    <w:rsid w:val="00874033"/>
    <w:rsid w:val="008740CC"/>
    <w:rsid w:val="008740EF"/>
    <w:rsid w:val="00874108"/>
    <w:rsid w:val="00874117"/>
    <w:rsid w:val="00874418"/>
    <w:rsid w:val="00874622"/>
    <w:rsid w:val="008747D8"/>
    <w:rsid w:val="00874880"/>
    <w:rsid w:val="0087496F"/>
    <w:rsid w:val="00874CD5"/>
    <w:rsid w:val="00874E2B"/>
    <w:rsid w:val="00874EBC"/>
    <w:rsid w:val="00875028"/>
    <w:rsid w:val="008750E0"/>
    <w:rsid w:val="0087550C"/>
    <w:rsid w:val="008756F6"/>
    <w:rsid w:val="00875CF4"/>
    <w:rsid w:val="00875D93"/>
    <w:rsid w:val="00876059"/>
    <w:rsid w:val="0087618F"/>
    <w:rsid w:val="008761EE"/>
    <w:rsid w:val="00876509"/>
    <w:rsid w:val="0087677F"/>
    <w:rsid w:val="008768A7"/>
    <w:rsid w:val="008768BE"/>
    <w:rsid w:val="00876B45"/>
    <w:rsid w:val="00876B7F"/>
    <w:rsid w:val="00876C2F"/>
    <w:rsid w:val="00876C8D"/>
    <w:rsid w:val="008773A0"/>
    <w:rsid w:val="0087741A"/>
    <w:rsid w:val="0087745B"/>
    <w:rsid w:val="008774DC"/>
    <w:rsid w:val="00877573"/>
    <w:rsid w:val="0087777D"/>
    <w:rsid w:val="00877837"/>
    <w:rsid w:val="00877E17"/>
    <w:rsid w:val="008800E0"/>
    <w:rsid w:val="0088016C"/>
    <w:rsid w:val="008801A2"/>
    <w:rsid w:val="008801E3"/>
    <w:rsid w:val="008808EF"/>
    <w:rsid w:val="00880D46"/>
    <w:rsid w:val="00880D4F"/>
    <w:rsid w:val="00880F46"/>
    <w:rsid w:val="008813D8"/>
    <w:rsid w:val="008815DB"/>
    <w:rsid w:val="00881A1D"/>
    <w:rsid w:val="00881AC1"/>
    <w:rsid w:val="00881CFA"/>
    <w:rsid w:val="00881E35"/>
    <w:rsid w:val="00881ED7"/>
    <w:rsid w:val="00882602"/>
    <w:rsid w:val="00882681"/>
    <w:rsid w:val="008827F3"/>
    <w:rsid w:val="008828D0"/>
    <w:rsid w:val="00882DEF"/>
    <w:rsid w:val="00882FE4"/>
    <w:rsid w:val="00882FEB"/>
    <w:rsid w:val="008830A7"/>
    <w:rsid w:val="008831C5"/>
    <w:rsid w:val="0088331B"/>
    <w:rsid w:val="008836AD"/>
    <w:rsid w:val="00883770"/>
    <w:rsid w:val="0088378D"/>
    <w:rsid w:val="00883901"/>
    <w:rsid w:val="00883A87"/>
    <w:rsid w:val="00883AD3"/>
    <w:rsid w:val="00883B01"/>
    <w:rsid w:val="00883CBE"/>
    <w:rsid w:val="008841B8"/>
    <w:rsid w:val="0088464C"/>
    <w:rsid w:val="008846F4"/>
    <w:rsid w:val="00884CDB"/>
    <w:rsid w:val="00884F1D"/>
    <w:rsid w:val="0088512F"/>
    <w:rsid w:val="00885176"/>
    <w:rsid w:val="008853B9"/>
    <w:rsid w:val="00885478"/>
    <w:rsid w:val="00885650"/>
    <w:rsid w:val="008857E0"/>
    <w:rsid w:val="00885833"/>
    <w:rsid w:val="00885979"/>
    <w:rsid w:val="00885B17"/>
    <w:rsid w:val="00885BD0"/>
    <w:rsid w:val="00885DC6"/>
    <w:rsid w:val="00885F6D"/>
    <w:rsid w:val="00886056"/>
    <w:rsid w:val="0088618E"/>
    <w:rsid w:val="0088620D"/>
    <w:rsid w:val="008866B5"/>
    <w:rsid w:val="008867B0"/>
    <w:rsid w:val="0088694C"/>
    <w:rsid w:val="008869AB"/>
    <w:rsid w:val="00886EAE"/>
    <w:rsid w:val="00887166"/>
    <w:rsid w:val="008871BB"/>
    <w:rsid w:val="00887A23"/>
    <w:rsid w:val="00887B0E"/>
    <w:rsid w:val="00887DD1"/>
    <w:rsid w:val="00890147"/>
    <w:rsid w:val="0089058B"/>
    <w:rsid w:val="008908D7"/>
    <w:rsid w:val="008908E9"/>
    <w:rsid w:val="008909C1"/>
    <w:rsid w:val="00890C84"/>
    <w:rsid w:val="00890CA4"/>
    <w:rsid w:val="00890CCD"/>
    <w:rsid w:val="00890E93"/>
    <w:rsid w:val="008911AF"/>
    <w:rsid w:val="00891542"/>
    <w:rsid w:val="008915F5"/>
    <w:rsid w:val="00891B34"/>
    <w:rsid w:val="00891B39"/>
    <w:rsid w:val="00891C65"/>
    <w:rsid w:val="008921AD"/>
    <w:rsid w:val="00892305"/>
    <w:rsid w:val="0089232C"/>
    <w:rsid w:val="0089241E"/>
    <w:rsid w:val="008924FA"/>
    <w:rsid w:val="00892B6E"/>
    <w:rsid w:val="00892E7A"/>
    <w:rsid w:val="008936CA"/>
    <w:rsid w:val="0089374A"/>
    <w:rsid w:val="00893A89"/>
    <w:rsid w:val="00893CD3"/>
    <w:rsid w:val="00894383"/>
    <w:rsid w:val="008945B7"/>
    <w:rsid w:val="008946DF"/>
    <w:rsid w:val="0089481D"/>
    <w:rsid w:val="00894943"/>
    <w:rsid w:val="008949E0"/>
    <w:rsid w:val="008954A9"/>
    <w:rsid w:val="00895572"/>
    <w:rsid w:val="0089557A"/>
    <w:rsid w:val="00895842"/>
    <w:rsid w:val="00895B15"/>
    <w:rsid w:val="00895B79"/>
    <w:rsid w:val="00895BEE"/>
    <w:rsid w:val="00895F9C"/>
    <w:rsid w:val="008961F7"/>
    <w:rsid w:val="00896234"/>
    <w:rsid w:val="008963BE"/>
    <w:rsid w:val="00896688"/>
    <w:rsid w:val="0089682B"/>
    <w:rsid w:val="00896C16"/>
    <w:rsid w:val="0089708F"/>
    <w:rsid w:val="008970FA"/>
    <w:rsid w:val="008971DF"/>
    <w:rsid w:val="00897704"/>
    <w:rsid w:val="008978BC"/>
    <w:rsid w:val="00897961"/>
    <w:rsid w:val="008979D7"/>
    <w:rsid w:val="00897A31"/>
    <w:rsid w:val="00897D41"/>
    <w:rsid w:val="00897EBA"/>
    <w:rsid w:val="008A00BB"/>
    <w:rsid w:val="008A01F1"/>
    <w:rsid w:val="008A051D"/>
    <w:rsid w:val="008A067F"/>
    <w:rsid w:val="008A0A02"/>
    <w:rsid w:val="008A0A9D"/>
    <w:rsid w:val="008A0D3F"/>
    <w:rsid w:val="008A0E60"/>
    <w:rsid w:val="008A1478"/>
    <w:rsid w:val="008A1523"/>
    <w:rsid w:val="008A16AE"/>
    <w:rsid w:val="008A1A78"/>
    <w:rsid w:val="008A1C55"/>
    <w:rsid w:val="008A1C6A"/>
    <w:rsid w:val="008A1CFA"/>
    <w:rsid w:val="008A2218"/>
    <w:rsid w:val="008A22CE"/>
    <w:rsid w:val="008A2923"/>
    <w:rsid w:val="008A2A30"/>
    <w:rsid w:val="008A2A80"/>
    <w:rsid w:val="008A2D47"/>
    <w:rsid w:val="008A2FA7"/>
    <w:rsid w:val="008A349A"/>
    <w:rsid w:val="008A3DAF"/>
    <w:rsid w:val="008A3EED"/>
    <w:rsid w:val="008A4025"/>
    <w:rsid w:val="008A414F"/>
    <w:rsid w:val="008A421B"/>
    <w:rsid w:val="008A4353"/>
    <w:rsid w:val="008A43D3"/>
    <w:rsid w:val="008A4416"/>
    <w:rsid w:val="008A4519"/>
    <w:rsid w:val="008A4BAE"/>
    <w:rsid w:val="008A4CA3"/>
    <w:rsid w:val="008A4DC6"/>
    <w:rsid w:val="008A4E31"/>
    <w:rsid w:val="008A4F8D"/>
    <w:rsid w:val="008A528D"/>
    <w:rsid w:val="008A5308"/>
    <w:rsid w:val="008A53DA"/>
    <w:rsid w:val="008A5633"/>
    <w:rsid w:val="008A5870"/>
    <w:rsid w:val="008A5925"/>
    <w:rsid w:val="008A5A5A"/>
    <w:rsid w:val="008A5E93"/>
    <w:rsid w:val="008A606B"/>
    <w:rsid w:val="008A6195"/>
    <w:rsid w:val="008A6229"/>
    <w:rsid w:val="008A6745"/>
    <w:rsid w:val="008A6C81"/>
    <w:rsid w:val="008A6D12"/>
    <w:rsid w:val="008A6D2F"/>
    <w:rsid w:val="008A6E6B"/>
    <w:rsid w:val="008A70C2"/>
    <w:rsid w:val="008A7129"/>
    <w:rsid w:val="008A7134"/>
    <w:rsid w:val="008A7147"/>
    <w:rsid w:val="008A7162"/>
    <w:rsid w:val="008A748E"/>
    <w:rsid w:val="008A773E"/>
    <w:rsid w:val="008A79EC"/>
    <w:rsid w:val="008A7AFA"/>
    <w:rsid w:val="008A7D55"/>
    <w:rsid w:val="008A7D88"/>
    <w:rsid w:val="008A7EBE"/>
    <w:rsid w:val="008B0599"/>
    <w:rsid w:val="008B05A1"/>
    <w:rsid w:val="008B05FA"/>
    <w:rsid w:val="008B06B7"/>
    <w:rsid w:val="008B0BB6"/>
    <w:rsid w:val="008B1113"/>
    <w:rsid w:val="008B122E"/>
    <w:rsid w:val="008B13C2"/>
    <w:rsid w:val="008B13C3"/>
    <w:rsid w:val="008B144E"/>
    <w:rsid w:val="008B184E"/>
    <w:rsid w:val="008B1B98"/>
    <w:rsid w:val="008B1D26"/>
    <w:rsid w:val="008B231F"/>
    <w:rsid w:val="008B2344"/>
    <w:rsid w:val="008B247F"/>
    <w:rsid w:val="008B25BF"/>
    <w:rsid w:val="008B2797"/>
    <w:rsid w:val="008B2982"/>
    <w:rsid w:val="008B298E"/>
    <w:rsid w:val="008B2C39"/>
    <w:rsid w:val="008B2DBC"/>
    <w:rsid w:val="008B3094"/>
    <w:rsid w:val="008B30D5"/>
    <w:rsid w:val="008B3548"/>
    <w:rsid w:val="008B3676"/>
    <w:rsid w:val="008B3805"/>
    <w:rsid w:val="008B3A21"/>
    <w:rsid w:val="008B3C9E"/>
    <w:rsid w:val="008B4205"/>
    <w:rsid w:val="008B4226"/>
    <w:rsid w:val="008B42A4"/>
    <w:rsid w:val="008B42AE"/>
    <w:rsid w:val="008B4607"/>
    <w:rsid w:val="008B464E"/>
    <w:rsid w:val="008B46FB"/>
    <w:rsid w:val="008B4857"/>
    <w:rsid w:val="008B48BA"/>
    <w:rsid w:val="008B4975"/>
    <w:rsid w:val="008B4976"/>
    <w:rsid w:val="008B49B3"/>
    <w:rsid w:val="008B4CE2"/>
    <w:rsid w:val="008B4D4D"/>
    <w:rsid w:val="008B4E60"/>
    <w:rsid w:val="008B4FE5"/>
    <w:rsid w:val="008B52E6"/>
    <w:rsid w:val="008B53EC"/>
    <w:rsid w:val="008B5585"/>
    <w:rsid w:val="008B5776"/>
    <w:rsid w:val="008B5899"/>
    <w:rsid w:val="008B5C9A"/>
    <w:rsid w:val="008B5D66"/>
    <w:rsid w:val="008B5D8D"/>
    <w:rsid w:val="008B5EAE"/>
    <w:rsid w:val="008B5F53"/>
    <w:rsid w:val="008B5FA8"/>
    <w:rsid w:val="008B61BB"/>
    <w:rsid w:val="008B62BF"/>
    <w:rsid w:val="008B6376"/>
    <w:rsid w:val="008B63A2"/>
    <w:rsid w:val="008B67F6"/>
    <w:rsid w:val="008B6AC1"/>
    <w:rsid w:val="008B6DAC"/>
    <w:rsid w:val="008B6E4D"/>
    <w:rsid w:val="008B6F52"/>
    <w:rsid w:val="008B6F63"/>
    <w:rsid w:val="008B7095"/>
    <w:rsid w:val="008B711B"/>
    <w:rsid w:val="008B728A"/>
    <w:rsid w:val="008B7309"/>
    <w:rsid w:val="008B739E"/>
    <w:rsid w:val="008B762F"/>
    <w:rsid w:val="008B7804"/>
    <w:rsid w:val="008B7827"/>
    <w:rsid w:val="008B78BE"/>
    <w:rsid w:val="008B7B4C"/>
    <w:rsid w:val="008B7E83"/>
    <w:rsid w:val="008C0639"/>
    <w:rsid w:val="008C0838"/>
    <w:rsid w:val="008C0A0F"/>
    <w:rsid w:val="008C0BCE"/>
    <w:rsid w:val="008C0DF6"/>
    <w:rsid w:val="008C1159"/>
    <w:rsid w:val="008C119E"/>
    <w:rsid w:val="008C13BA"/>
    <w:rsid w:val="008C14B5"/>
    <w:rsid w:val="008C16B4"/>
    <w:rsid w:val="008C1826"/>
    <w:rsid w:val="008C198D"/>
    <w:rsid w:val="008C224D"/>
    <w:rsid w:val="008C22C6"/>
    <w:rsid w:val="008C2381"/>
    <w:rsid w:val="008C2475"/>
    <w:rsid w:val="008C24B8"/>
    <w:rsid w:val="008C24FF"/>
    <w:rsid w:val="008C2593"/>
    <w:rsid w:val="008C280B"/>
    <w:rsid w:val="008C2A29"/>
    <w:rsid w:val="008C2ADC"/>
    <w:rsid w:val="008C2B2F"/>
    <w:rsid w:val="008C2D8D"/>
    <w:rsid w:val="008C32B6"/>
    <w:rsid w:val="008C343B"/>
    <w:rsid w:val="008C346A"/>
    <w:rsid w:val="008C347A"/>
    <w:rsid w:val="008C34E8"/>
    <w:rsid w:val="008C360A"/>
    <w:rsid w:val="008C384A"/>
    <w:rsid w:val="008C391B"/>
    <w:rsid w:val="008C39D7"/>
    <w:rsid w:val="008C39E3"/>
    <w:rsid w:val="008C39F7"/>
    <w:rsid w:val="008C3C65"/>
    <w:rsid w:val="008C3DDD"/>
    <w:rsid w:val="008C3E61"/>
    <w:rsid w:val="008C4110"/>
    <w:rsid w:val="008C4164"/>
    <w:rsid w:val="008C44BC"/>
    <w:rsid w:val="008C470F"/>
    <w:rsid w:val="008C476E"/>
    <w:rsid w:val="008C4894"/>
    <w:rsid w:val="008C4982"/>
    <w:rsid w:val="008C4995"/>
    <w:rsid w:val="008C4EAB"/>
    <w:rsid w:val="008C5061"/>
    <w:rsid w:val="008C5255"/>
    <w:rsid w:val="008C53E9"/>
    <w:rsid w:val="008C57C1"/>
    <w:rsid w:val="008C5A05"/>
    <w:rsid w:val="008C5BA4"/>
    <w:rsid w:val="008C60AF"/>
    <w:rsid w:val="008C6337"/>
    <w:rsid w:val="008C642B"/>
    <w:rsid w:val="008C6582"/>
    <w:rsid w:val="008C662A"/>
    <w:rsid w:val="008C68B3"/>
    <w:rsid w:val="008C6C91"/>
    <w:rsid w:val="008C6EF5"/>
    <w:rsid w:val="008C716B"/>
    <w:rsid w:val="008C72E3"/>
    <w:rsid w:val="008C74A2"/>
    <w:rsid w:val="008C7732"/>
    <w:rsid w:val="008C7C4C"/>
    <w:rsid w:val="008C7CB8"/>
    <w:rsid w:val="008D01EB"/>
    <w:rsid w:val="008D03A9"/>
    <w:rsid w:val="008D052C"/>
    <w:rsid w:val="008D0AEB"/>
    <w:rsid w:val="008D0C10"/>
    <w:rsid w:val="008D0C27"/>
    <w:rsid w:val="008D0C92"/>
    <w:rsid w:val="008D0E1E"/>
    <w:rsid w:val="008D0E2A"/>
    <w:rsid w:val="008D0E7D"/>
    <w:rsid w:val="008D0EF7"/>
    <w:rsid w:val="008D0F3A"/>
    <w:rsid w:val="008D0F46"/>
    <w:rsid w:val="008D1111"/>
    <w:rsid w:val="008D12D9"/>
    <w:rsid w:val="008D14DF"/>
    <w:rsid w:val="008D160B"/>
    <w:rsid w:val="008D1732"/>
    <w:rsid w:val="008D1A8E"/>
    <w:rsid w:val="008D1DA7"/>
    <w:rsid w:val="008D1E84"/>
    <w:rsid w:val="008D2386"/>
    <w:rsid w:val="008D2919"/>
    <w:rsid w:val="008D2A70"/>
    <w:rsid w:val="008D2D56"/>
    <w:rsid w:val="008D2EF7"/>
    <w:rsid w:val="008D2F38"/>
    <w:rsid w:val="008D31A7"/>
    <w:rsid w:val="008D3425"/>
    <w:rsid w:val="008D3443"/>
    <w:rsid w:val="008D34D1"/>
    <w:rsid w:val="008D3650"/>
    <w:rsid w:val="008D388D"/>
    <w:rsid w:val="008D3E84"/>
    <w:rsid w:val="008D42E0"/>
    <w:rsid w:val="008D43DE"/>
    <w:rsid w:val="008D4451"/>
    <w:rsid w:val="008D44FD"/>
    <w:rsid w:val="008D4961"/>
    <w:rsid w:val="008D4B52"/>
    <w:rsid w:val="008D4E5E"/>
    <w:rsid w:val="008D4F8D"/>
    <w:rsid w:val="008D5604"/>
    <w:rsid w:val="008D569E"/>
    <w:rsid w:val="008D5758"/>
    <w:rsid w:val="008D599F"/>
    <w:rsid w:val="008D5B61"/>
    <w:rsid w:val="008D5B70"/>
    <w:rsid w:val="008D5C6B"/>
    <w:rsid w:val="008D5C71"/>
    <w:rsid w:val="008D5F97"/>
    <w:rsid w:val="008D5FA6"/>
    <w:rsid w:val="008D609F"/>
    <w:rsid w:val="008D6188"/>
    <w:rsid w:val="008D6305"/>
    <w:rsid w:val="008D6458"/>
    <w:rsid w:val="008D6509"/>
    <w:rsid w:val="008D68AA"/>
    <w:rsid w:val="008D6A12"/>
    <w:rsid w:val="008D6AB4"/>
    <w:rsid w:val="008D6CD6"/>
    <w:rsid w:val="008D6D54"/>
    <w:rsid w:val="008D6DCE"/>
    <w:rsid w:val="008D7239"/>
    <w:rsid w:val="008D73FD"/>
    <w:rsid w:val="008D7449"/>
    <w:rsid w:val="008D76A0"/>
    <w:rsid w:val="008D77C2"/>
    <w:rsid w:val="008D7961"/>
    <w:rsid w:val="008D7E5F"/>
    <w:rsid w:val="008E0131"/>
    <w:rsid w:val="008E0147"/>
    <w:rsid w:val="008E0266"/>
    <w:rsid w:val="008E03FB"/>
    <w:rsid w:val="008E0405"/>
    <w:rsid w:val="008E0735"/>
    <w:rsid w:val="008E08EA"/>
    <w:rsid w:val="008E0979"/>
    <w:rsid w:val="008E0A35"/>
    <w:rsid w:val="008E0A5F"/>
    <w:rsid w:val="008E0A81"/>
    <w:rsid w:val="008E0BA5"/>
    <w:rsid w:val="008E0C5D"/>
    <w:rsid w:val="008E0C8E"/>
    <w:rsid w:val="008E0CE1"/>
    <w:rsid w:val="008E1279"/>
    <w:rsid w:val="008E133D"/>
    <w:rsid w:val="008E1477"/>
    <w:rsid w:val="008E150C"/>
    <w:rsid w:val="008E15B9"/>
    <w:rsid w:val="008E17C1"/>
    <w:rsid w:val="008E19EA"/>
    <w:rsid w:val="008E1B71"/>
    <w:rsid w:val="008E1BCF"/>
    <w:rsid w:val="008E1D7B"/>
    <w:rsid w:val="008E1F36"/>
    <w:rsid w:val="008E1FD4"/>
    <w:rsid w:val="008E1FD9"/>
    <w:rsid w:val="008E20F9"/>
    <w:rsid w:val="008E2156"/>
    <w:rsid w:val="008E2193"/>
    <w:rsid w:val="008E21D2"/>
    <w:rsid w:val="008E2768"/>
    <w:rsid w:val="008E281E"/>
    <w:rsid w:val="008E289C"/>
    <w:rsid w:val="008E2967"/>
    <w:rsid w:val="008E2AEE"/>
    <w:rsid w:val="008E2B9F"/>
    <w:rsid w:val="008E2CA4"/>
    <w:rsid w:val="008E2F7F"/>
    <w:rsid w:val="008E30DF"/>
    <w:rsid w:val="008E355B"/>
    <w:rsid w:val="008E3711"/>
    <w:rsid w:val="008E3D06"/>
    <w:rsid w:val="008E3E2C"/>
    <w:rsid w:val="008E46B6"/>
    <w:rsid w:val="008E4739"/>
    <w:rsid w:val="008E4A0B"/>
    <w:rsid w:val="008E4A5D"/>
    <w:rsid w:val="008E4C39"/>
    <w:rsid w:val="008E4E81"/>
    <w:rsid w:val="008E4EE4"/>
    <w:rsid w:val="008E4F06"/>
    <w:rsid w:val="008E526C"/>
    <w:rsid w:val="008E54AF"/>
    <w:rsid w:val="008E5608"/>
    <w:rsid w:val="008E59D3"/>
    <w:rsid w:val="008E5F91"/>
    <w:rsid w:val="008E6136"/>
    <w:rsid w:val="008E632B"/>
    <w:rsid w:val="008E63B9"/>
    <w:rsid w:val="008E63F0"/>
    <w:rsid w:val="008E6DB0"/>
    <w:rsid w:val="008E6E7B"/>
    <w:rsid w:val="008E6E8C"/>
    <w:rsid w:val="008E71BB"/>
    <w:rsid w:val="008E7747"/>
    <w:rsid w:val="008E7C12"/>
    <w:rsid w:val="008E7D29"/>
    <w:rsid w:val="008E7D6A"/>
    <w:rsid w:val="008E7E61"/>
    <w:rsid w:val="008F00CB"/>
    <w:rsid w:val="008F04D8"/>
    <w:rsid w:val="008F051F"/>
    <w:rsid w:val="008F066D"/>
    <w:rsid w:val="008F0B6E"/>
    <w:rsid w:val="008F0DEF"/>
    <w:rsid w:val="008F1076"/>
    <w:rsid w:val="008F10F9"/>
    <w:rsid w:val="008F1463"/>
    <w:rsid w:val="008F17E1"/>
    <w:rsid w:val="008F1834"/>
    <w:rsid w:val="008F19B8"/>
    <w:rsid w:val="008F1C2D"/>
    <w:rsid w:val="008F1D86"/>
    <w:rsid w:val="008F20A0"/>
    <w:rsid w:val="008F2888"/>
    <w:rsid w:val="008F2983"/>
    <w:rsid w:val="008F2C40"/>
    <w:rsid w:val="008F2F71"/>
    <w:rsid w:val="008F33BB"/>
    <w:rsid w:val="008F3465"/>
    <w:rsid w:val="008F3579"/>
    <w:rsid w:val="008F36AD"/>
    <w:rsid w:val="008F37C6"/>
    <w:rsid w:val="008F3A6B"/>
    <w:rsid w:val="008F3D25"/>
    <w:rsid w:val="008F3E16"/>
    <w:rsid w:val="008F421D"/>
    <w:rsid w:val="008F438D"/>
    <w:rsid w:val="008F4A03"/>
    <w:rsid w:val="008F4BC7"/>
    <w:rsid w:val="008F4D7C"/>
    <w:rsid w:val="008F4F22"/>
    <w:rsid w:val="008F536B"/>
    <w:rsid w:val="008F58C4"/>
    <w:rsid w:val="008F5B18"/>
    <w:rsid w:val="008F5B1A"/>
    <w:rsid w:val="008F5DB1"/>
    <w:rsid w:val="008F5DF6"/>
    <w:rsid w:val="008F5EEA"/>
    <w:rsid w:val="008F6549"/>
    <w:rsid w:val="008F6AB8"/>
    <w:rsid w:val="008F6AF0"/>
    <w:rsid w:val="008F6BB4"/>
    <w:rsid w:val="008F6E04"/>
    <w:rsid w:val="008F6EDC"/>
    <w:rsid w:val="008F7009"/>
    <w:rsid w:val="008F705D"/>
    <w:rsid w:val="008F723F"/>
    <w:rsid w:val="008F7464"/>
    <w:rsid w:val="008F7745"/>
    <w:rsid w:val="008F7822"/>
    <w:rsid w:val="008F7A68"/>
    <w:rsid w:val="008F7CE4"/>
    <w:rsid w:val="008F7D32"/>
    <w:rsid w:val="008F7D36"/>
    <w:rsid w:val="00900257"/>
    <w:rsid w:val="009002AF"/>
    <w:rsid w:val="00900F98"/>
    <w:rsid w:val="00900FE2"/>
    <w:rsid w:val="0090107B"/>
    <w:rsid w:val="009010D1"/>
    <w:rsid w:val="009011A2"/>
    <w:rsid w:val="00901646"/>
    <w:rsid w:val="0090187F"/>
    <w:rsid w:val="00901B39"/>
    <w:rsid w:val="00901B88"/>
    <w:rsid w:val="00901CBF"/>
    <w:rsid w:val="00902402"/>
    <w:rsid w:val="00902406"/>
    <w:rsid w:val="0090243F"/>
    <w:rsid w:val="009027CE"/>
    <w:rsid w:val="00902821"/>
    <w:rsid w:val="0090284F"/>
    <w:rsid w:val="0090290F"/>
    <w:rsid w:val="00902A27"/>
    <w:rsid w:val="00902A5D"/>
    <w:rsid w:val="00902BB5"/>
    <w:rsid w:val="00902E69"/>
    <w:rsid w:val="00902F21"/>
    <w:rsid w:val="0090308A"/>
    <w:rsid w:val="00903195"/>
    <w:rsid w:val="0090331D"/>
    <w:rsid w:val="00903861"/>
    <w:rsid w:val="00903A16"/>
    <w:rsid w:val="00903C26"/>
    <w:rsid w:val="00903C9C"/>
    <w:rsid w:val="00903CFD"/>
    <w:rsid w:val="00903FA2"/>
    <w:rsid w:val="00904072"/>
    <w:rsid w:val="0090420B"/>
    <w:rsid w:val="0090443D"/>
    <w:rsid w:val="00904916"/>
    <w:rsid w:val="0090497D"/>
    <w:rsid w:val="00904B52"/>
    <w:rsid w:val="00904C8E"/>
    <w:rsid w:val="00904D9A"/>
    <w:rsid w:val="00904DD9"/>
    <w:rsid w:val="0090524A"/>
    <w:rsid w:val="00905368"/>
    <w:rsid w:val="009053D1"/>
    <w:rsid w:val="009057A0"/>
    <w:rsid w:val="009057BC"/>
    <w:rsid w:val="009057C1"/>
    <w:rsid w:val="00905AA4"/>
    <w:rsid w:val="00905D3E"/>
    <w:rsid w:val="00905EE7"/>
    <w:rsid w:val="00905FF7"/>
    <w:rsid w:val="00906219"/>
    <w:rsid w:val="0090621F"/>
    <w:rsid w:val="0090624D"/>
    <w:rsid w:val="009064ED"/>
    <w:rsid w:val="00906A7A"/>
    <w:rsid w:val="00906E3B"/>
    <w:rsid w:val="00906EA7"/>
    <w:rsid w:val="00906F6F"/>
    <w:rsid w:val="0090739E"/>
    <w:rsid w:val="009074F6"/>
    <w:rsid w:val="0090770C"/>
    <w:rsid w:val="00907A14"/>
    <w:rsid w:val="00907C9D"/>
    <w:rsid w:val="0091002F"/>
    <w:rsid w:val="0091033F"/>
    <w:rsid w:val="00910404"/>
    <w:rsid w:val="0091085E"/>
    <w:rsid w:val="00910B22"/>
    <w:rsid w:val="00911039"/>
    <w:rsid w:val="00911173"/>
    <w:rsid w:val="009111D3"/>
    <w:rsid w:val="009112CE"/>
    <w:rsid w:val="00911D6B"/>
    <w:rsid w:val="0091206E"/>
    <w:rsid w:val="009122B1"/>
    <w:rsid w:val="0091280F"/>
    <w:rsid w:val="009128DB"/>
    <w:rsid w:val="0091291F"/>
    <w:rsid w:val="00912A71"/>
    <w:rsid w:val="009131E3"/>
    <w:rsid w:val="00913259"/>
    <w:rsid w:val="00913297"/>
    <w:rsid w:val="009132EB"/>
    <w:rsid w:val="00913511"/>
    <w:rsid w:val="009139B6"/>
    <w:rsid w:val="00913AC5"/>
    <w:rsid w:val="00913B25"/>
    <w:rsid w:val="00913CB4"/>
    <w:rsid w:val="00913E31"/>
    <w:rsid w:val="009140F5"/>
    <w:rsid w:val="0091430E"/>
    <w:rsid w:val="009146A4"/>
    <w:rsid w:val="009147B7"/>
    <w:rsid w:val="0091548A"/>
    <w:rsid w:val="0091548D"/>
    <w:rsid w:val="0091556E"/>
    <w:rsid w:val="009155CA"/>
    <w:rsid w:val="0091576C"/>
    <w:rsid w:val="0091578B"/>
    <w:rsid w:val="00915A6F"/>
    <w:rsid w:val="00915B07"/>
    <w:rsid w:val="00915CB2"/>
    <w:rsid w:val="00915D10"/>
    <w:rsid w:val="00915EB2"/>
    <w:rsid w:val="00916096"/>
    <w:rsid w:val="0091609B"/>
    <w:rsid w:val="009161B9"/>
    <w:rsid w:val="009169A7"/>
    <w:rsid w:val="00916A79"/>
    <w:rsid w:val="00916B5F"/>
    <w:rsid w:val="00916F3A"/>
    <w:rsid w:val="00916F51"/>
    <w:rsid w:val="00916F70"/>
    <w:rsid w:val="00917274"/>
    <w:rsid w:val="009176A1"/>
    <w:rsid w:val="00917A69"/>
    <w:rsid w:val="00917B2C"/>
    <w:rsid w:val="00917CB3"/>
    <w:rsid w:val="00917E66"/>
    <w:rsid w:val="00920065"/>
    <w:rsid w:val="009203DD"/>
    <w:rsid w:val="00920485"/>
    <w:rsid w:val="009208CA"/>
    <w:rsid w:val="00920BA7"/>
    <w:rsid w:val="00920EDE"/>
    <w:rsid w:val="00920EF1"/>
    <w:rsid w:val="00920F84"/>
    <w:rsid w:val="009210BE"/>
    <w:rsid w:val="00921117"/>
    <w:rsid w:val="00921138"/>
    <w:rsid w:val="009211CC"/>
    <w:rsid w:val="009213E2"/>
    <w:rsid w:val="009213FD"/>
    <w:rsid w:val="00921913"/>
    <w:rsid w:val="00921AE8"/>
    <w:rsid w:val="00921C90"/>
    <w:rsid w:val="00921CBE"/>
    <w:rsid w:val="00921CDE"/>
    <w:rsid w:val="009224A4"/>
    <w:rsid w:val="00922919"/>
    <w:rsid w:val="00922960"/>
    <w:rsid w:val="00922AE6"/>
    <w:rsid w:val="0092305C"/>
    <w:rsid w:val="00923218"/>
    <w:rsid w:val="00923239"/>
    <w:rsid w:val="0092340B"/>
    <w:rsid w:val="0092362D"/>
    <w:rsid w:val="00923AFD"/>
    <w:rsid w:val="00923E5F"/>
    <w:rsid w:val="00923ECC"/>
    <w:rsid w:val="00923F35"/>
    <w:rsid w:val="0092411A"/>
    <w:rsid w:val="009241FB"/>
    <w:rsid w:val="0092439E"/>
    <w:rsid w:val="009243D3"/>
    <w:rsid w:val="00924421"/>
    <w:rsid w:val="00924891"/>
    <w:rsid w:val="00924C05"/>
    <w:rsid w:val="00924E11"/>
    <w:rsid w:val="00925555"/>
    <w:rsid w:val="009255D0"/>
    <w:rsid w:val="00925800"/>
    <w:rsid w:val="00925E01"/>
    <w:rsid w:val="009260B2"/>
    <w:rsid w:val="00926145"/>
    <w:rsid w:val="00926301"/>
    <w:rsid w:val="009267FF"/>
    <w:rsid w:val="00926A5C"/>
    <w:rsid w:val="00926AD8"/>
    <w:rsid w:val="00926AF3"/>
    <w:rsid w:val="00926AF8"/>
    <w:rsid w:val="00926B02"/>
    <w:rsid w:val="00926D4B"/>
    <w:rsid w:val="00926E08"/>
    <w:rsid w:val="00926EC4"/>
    <w:rsid w:val="00927636"/>
    <w:rsid w:val="00927637"/>
    <w:rsid w:val="009277B6"/>
    <w:rsid w:val="00927A69"/>
    <w:rsid w:val="00927E6F"/>
    <w:rsid w:val="009300F0"/>
    <w:rsid w:val="009309C6"/>
    <w:rsid w:val="00930D6C"/>
    <w:rsid w:val="00930E6A"/>
    <w:rsid w:val="0093150B"/>
    <w:rsid w:val="009315C8"/>
    <w:rsid w:val="0093165C"/>
    <w:rsid w:val="00931A7C"/>
    <w:rsid w:val="00931CFB"/>
    <w:rsid w:val="00931D97"/>
    <w:rsid w:val="00931ED0"/>
    <w:rsid w:val="00932199"/>
    <w:rsid w:val="00932230"/>
    <w:rsid w:val="009324B9"/>
    <w:rsid w:val="009325C0"/>
    <w:rsid w:val="009326F3"/>
    <w:rsid w:val="0093286E"/>
    <w:rsid w:val="00932977"/>
    <w:rsid w:val="00932A9F"/>
    <w:rsid w:val="00932C1B"/>
    <w:rsid w:val="00932C4F"/>
    <w:rsid w:val="00932E3B"/>
    <w:rsid w:val="00932F7F"/>
    <w:rsid w:val="00933032"/>
    <w:rsid w:val="00933272"/>
    <w:rsid w:val="0093331F"/>
    <w:rsid w:val="00933367"/>
    <w:rsid w:val="0093354B"/>
    <w:rsid w:val="00933575"/>
    <w:rsid w:val="0093385D"/>
    <w:rsid w:val="009338B8"/>
    <w:rsid w:val="00933954"/>
    <w:rsid w:val="009339B8"/>
    <w:rsid w:val="009339BB"/>
    <w:rsid w:val="00933C2E"/>
    <w:rsid w:val="00933CA7"/>
    <w:rsid w:val="00933D57"/>
    <w:rsid w:val="00933E1C"/>
    <w:rsid w:val="00933F5A"/>
    <w:rsid w:val="00933F6F"/>
    <w:rsid w:val="0093412B"/>
    <w:rsid w:val="00934476"/>
    <w:rsid w:val="009344B6"/>
    <w:rsid w:val="009345D9"/>
    <w:rsid w:val="0093466E"/>
    <w:rsid w:val="0093469B"/>
    <w:rsid w:val="00934AAF"/>
    <w:rsid w:val="00934F80"/>
    <w:rsid w:val="0093525A"/>
    <w:rsid w:val="00935315"/>
    <w:rsid w:val="00935355"/>
    <w:rsid w:val="009354B5"/>
    <w:rsid w:val="009354F4"/>
    <w:rsid w:val="0093578B"/>
    <w:rsid w:val="00935880"/>
    <w:rsid w:val="009359F9"/>
    <w:rsid w:val="00935D8D"/>
    <w:rsid w:val="00935D9F"/>
    <w:rsid w:val="00936173"/>
    <w:rsid w:val="00936302"/>
    <w:rsid w:val="0093637C"/>
    <w:rsid w:val="009363C1"/>
    <w:rsid w:val="00936529"/>
    <w:rsid w:val="0093666A"/>
    <w:rsid w:val="00936998"/>
    <w:rsid w:val="009369A0"/>
    <w:rsid w:val="0093733D"/>
    <w:rsid w:val="0093737B"/>
    <w:rsid w:val="009378B4"/>
    <w:rsid w:val="00937C56"/>
    <w:rsid w:val="0094057F"/>
    <w:rsid w:val="00940BB9"/>
    <w:rsid w:val="00940BC0"/>
    <w:rsid w:val="00940E1A"/>
    <w:rsid w:val="00940F33"/>
    <w:rsid w:val="00940F63"/>
    <w:rsid w:val="009415CA"/>
    <w:rsid w:val="009416BE"/>
    <w:rsid w:val="009418A2"/>
    <w:rsid w:val="00941AC4"/>
    <w:rsid w:val="00941CCB"/>
    <w:rsid w:val="00941EBD"/>
    <w:rsid w:val="00941F81"/>
    <w:rsid w:val="009424BB"/>
    <w:rsid w:val="009425D2"/>
    <w:rsid w:val="009426D1"/>
    <w:rsid w:val="0094286A"/>
    <w:rsid w:val="0094287A"/>
    <w:rsid w:val="009428C4"/>
    <w:rsid w:val="009429F3"/>
    <w:rsid w:val="00942A48"/>
    <w:rsid w:val="00942B4C"/>
    <w:rsid w:val="00942C22"/>
    <w:rsid w:val="00942D72"/>
    <w:rsid w:val="00942E7C"/>
    <w:rsid w:val="009430EB"/>
    <w:rsid w:val="009434F2"/>
    <w:rsid w:val="00943520"/>
    <w:rsid w:val="00943619"/>
    <w:rsid w:val="00943828"/>
    <w:rsid w:val="00943B60"/>
    <w:rsid w:val="00943CF3"/>
    <w:rsid w:val="00943DD8"/>
    <w:rsid w:val="00943DE2"/>
    <w:rsid w:val="00943E79"/>
    <w:rsid w:val="00943FA4"/>
    <w:rsid w:val="00944377"/>
    <w:rsid w:val="009444ED"/>
    <w:rsid w:val="009446E4"/>
    <w:rsid w:val="00944B3C"/>
    <w:rsid w:val="00944F17"/>
    <w:rsid w:val="0094503B"/>
    <w:rsid w:val="00945109"/>
    <w:rsid w:val="00945262"/>
    <w:rsid w:val="0094552B"/>
    <w:rsid w:val="00945578"/>
    <w:rsid w:val="009455AE"/>
    <w:rsid w:val="00945788"/>
    <w:rsid w:val="009459BE"/>
    <w:rsid w:val="00945BFB"/>
    <w:rsid w:val="00945F33"/>
    <w:rsid w:val="009460ED"/>
    <w:rsid w:val="009460FF"/>
    <w:rsid w:val="009463DB"/>
    <w:rsid w:val="0094667B"/>
    <w:rsid w:val="00946817"/>
    <w:rsid w:val="00946840"/>
    <w:rsid w:val="00946AA0"/>
    <w:rsid w:val="00946B40"/>
    <w:rsid w:val="00946B94"/>
    <w:rsid w:val="00946DE1"/>
    <w:rsid w:val="009470D7"/>
    <w:rsid w:val="00947222"/>
    <w:rsid w:val="00947279"/>
    <w:rsid w:val="009472ED"/>
    <w:rsid w:val="009474F9"/>
    <w:rsid w:val="00947529"/>
    <w:rsid w:val="0094773A"/>
    <w:rsid w:val="00947798"/>
    <w:rsid w:val="009478F0"/>
    <w:rsid w:val="0094797C"/>
    <w:rsid w:val="00950039"/>
    <w:rsid w:val="00950513"/>
    <w:rsid w:val="0095067F"/>
    <w:rsid w:val="00950AD5"/>
    <w:rsid w:val="00950AE3"/>
    <w:rsid w:val="00950BD1"/>
    <w:rsid w:val="00950C56"/>
    <w:rsid w:val="00950C82"/>
    <w:rsid w:val="00950EA6"/>
    <w:rsid w:val="0095118D"/>
    <w:rsid w:val="009511FE"/>
    <w:rsid w:val="0095182F"/>
    <w:rsid w:val="00951A0B"/>
    <w:rsid w:val="00952027"/>
    <w:rsid w:val="00952059"/>
    <w:rsid w:val="00952411"/>
    <w:rsid w:val="009526CB"/>
    <w:rsid w:val="0095276B"/>
    <w:rsid w:val="009527C9"/>
    <w:rsid w:val="009528C2"/>
    <w:rsid w:val="00952ADA"/>
    <w:rsid w:val="00953150"/>
    <w:rsid w:val="00953159"/>
    <w:rsid w:val="00953657"/>
    <w:rsid w:val="00953726"/>
    <w:rsid w:val="009538BE"/>
    <w:rsid w:val="009538D1"/>
    <w:rsid w:val="00953D83"/>
    <w:rsid w:val="00953EF0"/>
    <w:rsid w:val="0095421C"/>
    <w:rsid w:val="00954238"/>
    <w:rsid w:val="009542C8"/>
    <w:rsid w:val="009544DB"/>
    <w:rsid w:val="0095456A"/>
    <w:rsid w:val="009548C7"/>
    <w:rsid w:val="00954915"/>
    <w:rsid w:val="00954A61"/>
    <w:rsid w:val="00954A6E"/>
    <w:rsid w:val="00954AB2"/>
    <w:rsid w:val="00954B2B"/>
    <w:rsid w:val="00954DBF"/>
    <w:rsid w:val="00954F3E"/>
    <w:rsid w:val="00954FB2"/>
    <w:rsid w:val="009550AD"/>
    <w:rsid w:val="00955209"/>
    <w:rsid w:val="009552B0"/>
    <w:rsid w:val="009554D8"/>
    <w:rsid w:val="009557F2"/>
    <w:rsid w:val="00955915"/>
    <w:rsid w:val="00955B81"/>
    <w:rsid w:val="00955D9F"/>
    <w:rsid w:val="00955E48"/>
    <w:rsid w:val="0095610D"/>
    <w:rsid w:val="0095612B"/>
    <w:rsid w:val="009567FE"/>
    <w:rsid w:val="009569BF"/>
    <w:rsid w:val="009569D6"/>
    <w:rsid w:val="00956BEF"/>
    <w:rsid w:val="00956C7B"/>
    <w:rsid w:val="00956D1F"/>
    <w:rsid w:val="00956EBD"/>
    <w:rsid w:val="00956FBC"/>
    <w:rsid w:val="00957B9F"/>
    <w:rsid w:val="00957C83"/>
    <w:rsid w:val="00957CA7"/>
    <w:rsid w:val="00957D28"/>
    <w:rsid w:val="00957E80"/>
    <w:rsid w:val="00957F3D"/>
    <w:rsid w:val="00957F9D"/>
    <w:rsid w:val="0096026B"/>
    <w:rsid w:val="00960620"/>
    <w:rsid w:val="00960659"/>
    <w:rsid w:val="009607F2"/>
    <w:rsid w:val="00960896"/>
    <w:rsid w:val="00960C75"/>
    <w:rsid w:val="00960F2D"/>
    <w:rsid w:val="009612F2"/>
    <w:rsid w:val="009613B9"/>
    <w:rsid w:val="009614E5"/>
    <w:rsid w:val="00961581"/>
    <w:rsid w:val="0096175D"/>
    <w:rsid w:val="0096184A"/>
    <w:rsid w:val="0096193B"/>
    <w:rsid w:val="00961DF0"/>
    <w:rsid w:val="00961F38"/>
    <w:rsid w:val="0096204E"/>
    <w:rsid w:val="0096208B"/>
    <w:rsid w:val="009620E3"/>
    <w:rsid w:val="009623AA"/>
    <w:rsid w:val="009624CC"/>
    <w:rsid w:val="00962509"/>
    <w:rsid w:val="00962770"/>
    <w:rsid w:val="009627F8"/>
    <w:rsid w:val="00962A0A"/>
    <w:rsid w:val="00962A31"/>
    <w:rsid w:val="00962C0A"/>
    <w:rsid w:val="00963135"/>
    <w:rsid w:val="0096324F"/>
    <w:rsid w:val="009636C3"/>
    <w:rsid w:val="00963826"/>
    <w:rsid w:val="00963976"/>
    <w:rsid w:val="00963C18"/>
    <w:rsid w:val="009642A6"/>
    <w:rsid w:val="00964320"/>
    <w:rsid w:val="009643D1"/>
    <w:rsid w:val="00964515"/>
    <w:rsid w:val="009646DF"/>
    <w:rsid w:val="0096473C"/>
    <w:rsid w:val="00964900"/>
    <w:rsid w:val="00964A59"/>
    <w:rsid w:val="00964ACB"/>
    <w:rsid w:val="00964B50"/>
    <w:rsid w:val="00964BCE"/>
    <w:rsid w:val="0096505B"/>
    <w:rsid w:val="00965079"/>
    <w:rsid w:val="00965286"/>
    <w:rsid w:val="0096546E"/>
    <w:rsid w:val="009654C4"/>
    <w:rsid w:val="0096571C"/>
    <w:rsid w:val="009659C8"/>
    <w:rsid w:val="00965A1B"/>
    <w:rsid w:val="00965BB9"/>
    <w:rsid w:val="00965CB2"/>
    <w:rsid w:val="00965DBB"/>
    <w:rsid w:val="00965E38"/>
    <w:rsid w:val="0096611C"/>
    <w:rsid w:val="009661B0"/>
    <w:rsid w:val="009663AA"/>
    <w:rsid w:val="009664BA"/>
    <w:rsid w:val="009664ED"/>
    <w:rsid w:val="0096689C"/>
    <w:rsid w:val="00966C78"/>
    <w:rsid w:val="00966D18"/>
    <w:rsid w:val="00966EBF"/>
    <w:rsid w:val="0096707A"/>
    <w:rsid w:val="009675C5"/>
    <w:rsid w:val="009675EF"/>
    <w:rsid w:val="00967AF8"/>
    <w:rsid w:val="00967D9C"/>
    <w:rsid w:val="00967FE4"/>
    <w:rsid w:val="0097014E"/>
    <w:rsid w:val="009705CA"/>
    <w:rsid w:val="0097062C"/>
    <w:rsid w:val="00970877"/>
    <w:rsid w:val="009708C4"/>
    <w:rsid w:val="0097090D"/>
    <w:rsid w:val="00970982"/>
    <w:rsid w:val="009709B1"/>
    <w:rsid w:val="00970A41"/>
    <w:rsid w:val="00970AF1"/>
    <w:rsid w:val="00970B4D"/>
    <w:rsid w:val="00970E1E"/>
    <w:rsid w:val="0097104F"/>
    <w:rsid w:val="00971126"/>
    <w:rsid w:val="00971395"/>
    <w:rsid w:val="00971486"/>
    <w:rsid w:val="00971520"/>
    <w:rsid w:val="00971668"/>
    <w:rsid w:val="009718FC"/>
    <w:rsid w:val="00971A04"/>
    <w:rsid w:val="00971AAA"/>
    <w:rsid w:val="00971BC3"/>
    <w:rsid w:val="00971D09"/>
    <w:rsid w:val="00972081"/>
    <w:rsid w:val="0097223B"/>
    <w:rsid w:val="009724AD"/>
    <w:rsid w:val="0097273E"/>
    <w:rsid w:val="00972B73"/>
    <w:rsid w:val="00972CB3"/>
    <w:rsid w:val="00972CD0"/>
    <w:rsid w:val="00972F8C"/>
    <w:rsid w:val="00973086"/>
    <w:rsid w:val="00973282"/>
    <w:rsid w:val="009735B3"/>
    <w:rsid w:val="00973B44"/>
    <w:rsid w:val="00973D25"/>
    <w:rsid w:val="00973E84"/>
    <w:rsid w:val="00973F24"/>
    <w:rsid w:val="00974377"/>
    <w:rsid w:val="00974411"/>
    <w:rsid w:val="0097449A"/>
    <w:rsid w:val="009744FF"/>
    <w:rsid w:val="00974537"/>
    <w:rsid w:val="0097476B"/>
    <w:rsid w:val="009747E6"/>
    <w:rsid w:val="00974F06"/>
    <w:rsid w:val="00974F4E"/>
    <w:rsid w:val="00975403"/>
    <w:rsid w:val="00975579"/>
    <w:rsid w:val="0097567D"/>
    <w:rsid w:val="009757FC"/>
    <w:rsid w:val="00975B86"/>
    <w:rsid w:val="00975E56"/>
    <w:rsid w:val="009761F1"/>
    <w:rsid w:val="009763E6"/>
    <w:rsid w:val="009764F1"/>
    <w:rsid w:val="009767DC"/>
    <w:rsid w:val="00976881"/>
    <w:rsid w:val="00976887"/>
    <w:rsid w:val="00976930"/>
    <w:rsid w:val="00976BC7"/>
    <w:rsid w:val="00976E0D"/>
    <w:rsid w:val="00976E1A"/>
    <w:rsid w:val="009770BF"/>
    <w:rsid w:val="0097721B"/>
    <w:rsid w:val="00977271"/>
    <w:rsid w:val="00977305"/>
    <w:rsid w:val="0097746C"/>
    <w:rsid w:val="0097752B"/>
    <w:rsid w:val="00977780"/>
    <w:rsid w:val="00977831"/>
    <w:rsid w:val="0097793C"/>
    <w:rsid w:val="009779E9"/>
    <w:rsid w:val="00977A06"/>
    <w:rsid w:val="00977B1D"/>
    <w:rsid w:val="00977BF6"/>
    <w:rsid w:val="00977C80"/>
    <w:rsid w:val="00977F68"/>
    <w:rsid w:val="00977F88"/>
    <w:rsid w:val="00977FEF"/>
    <w:rsid w:val="00980775"/>
    <w:rsid w:val="00980811"/>
    <w:rsid w:val="00980843"/>
    <w:rsid w:val="009809C7"/>
    <w:rsid w:val="00980BF3"/>
    <w:rsid w:val="00980D4A"/>
    <w:rsid w:val="00980EB5"/>
    <w:rsid w:val="0098122C"/>
    <w:rsid w:val="009812D5"/>
    <w:rsid w:val="0098131A"/>
    <w:rsid w:val="00981345"/>
    <w:rsid w:val="009815BA"/>
    <w:rsid w:val="009815CB"/>
    <w:rsid w:val="009817DD"/>
    <w:rsid w:val="009819BE"/>
    <w:rsid w:val="00981CBA"/>
    <w:rsid w:val="00981F9B"/>
    <w:rsid w:val="009821F2"/>
    <w:rsid w:val="00982291"/>
    <w:rsid w:val="00982427"/>
    <w:rsid w:val="0098251D"/>
    <w:rsid w:val="009825F5"/>
    <w:rsid w:val="0098267D"/>
    <w:rsid w:val="00982992"/>
    <w:rsid w:val="00982B6D"/>
    <w:rsid w:val="00982CBE"/>
    <w:rsid w:val="00982DFF"/>
    <w:rsid w:val="00982EC8"/>
    <w:rsid w:val="00982F18"/>
    <w:rsid w:val="00983066"/>
    <w:rsid w:val="00983397"/>
    <w:rsid w:val="009833D3"/>
    <w:rsid w:val="009834C7"/>
    <w:rsid w:val="00983ABD"/>
    <w:rsid w:val="00983BA3"/>
    <w:rsid w:val="00983C23"/>
    <w:rsid w:val="00983DC0"/>
    <w:rsid w:val="009842E7"/>
    <w:rsid w:val="00984384"/>
    <w:rsid w:val="0098465D"/>
    <w:rsid w:val="009846B8"/>
    <w:rsid w:val="00984966"/>
    <w:rsid w:val="00984C0F"/>
    <w:rsid w:val="00984D3C"/>
    <w:rsid w:val="00984D55"/>
    <w:rsid w:val="00984E65"/>
    <w:rsid w:val="00984F38"/>
    <w:rsid w:val="0098531C"/>
    <w:rsid w:val="009853DC"/>
    <w:rsid w:val="009853E6"/>
    <w:rsid w:val="00985579"/>
    <w:rsid w:val="0098563E"/>
    <w:rsid w:val="0098583D"/>
    <w:rsid w:val="00985B2D"/>
    <w:rsid w:val="00985CAC"/>
    <w:rsid w:val="00985CF9"/>
    <w:rsid w:val="00985E7C"/>
    <w:rsid w:val="00985E8A"/>
    <w:rsid w:val="00985FBF"/>
    <w:rsid w:val="00986149"/>
    <w:rsid w:val="009866E2"/>
    <w:rsid w:val="009866F6"/>
    <w:rsid w:val="009868A7"/>
    <w:rsid w:val="00986947"/>
    <w:rsid w:val="00986A44"/>
    <w:rsid w:val="00986C8E"/>
    <w:rsid w:val="00986D2D"/>
    <w:rsid w:val="00986D32"/>
    <w:rsid w:val="00987251"/>
    <w:rsid w:val="00987503"/>
    <w:rsid w:val="009875FD"/>
    <w:rsid w:val="009876E3"/>
    <w:rsid w:val="00987C32"/>
    <w:rsid w:val="00987CAE"/>
    <w:rsid w:val="00987DFC"/>
    <w:rsid w:val="00987FCF"/>
    <w:rsid w:val="009900B8"/>
    <w:rsid w:val="0099014D"/>
    <w:rsid w:val="00990349"/>
    <w:rsid w:val="00990716"/>
    <w:rsid w:val="009909F8"/>
    <w:rsid w:val="00990A95"/>
    <w:rsid w:val="00990CA4"/>
    <w:rsid w:val="00990CC8"/>
    <w:rsid w:val="00990E25"/>
    <w:rsid w:val="00990F47"/>
    <w:rsid w:val="00991336"/>
    <w:rsid w:val="00991372"/>
    <w:rsid w:val="0099155E"/>
    <w:rsid w:val="00991589"/>
    <w:rsid w:val="00991A38"/>
    <w:rsid w:val="00991DF4"/>
    <w:rsid w:val="00991F88"/>
    <w:rsid w:val="0099210A"/>
    <w:rsid w:val="0099218C"/>
    <w:rsid w:val="00992368"/>
    <w:rsid w:val="009923C0"/>
    <w:rsid w:val="00992444"/>
    <w:rsid w:val="00992445"/>
    <w:rsid w:val="00992810"/>
    <w:rsid w:val="00992841"/>
    <w:rsid w:val="00992C5E"/>
    <w:rsid w:val="00992F84"/>
    <w:rsid w:val="00993064"/>
    <w:rsid w:val="009933E8"/>
    <w:rsid w:val="009933FB"/>
    <w:rsid w:val="0099348B"/>
    <w:rsid w:val="00993594"/>
    <w:rsid w:val="009935B4"/>
    <w:rsid w:val="009935E0"/>
    <w:rsid w:val="009935F6"/>
    <w:rsid w:val="00993812"/>
    <w:rsid w:val="00993833"/>
    <w:rsid w:val="00993B11"/>
    <w:rsid w:val="00993DCC"/>
    <w:rsid w:val="00993F6E"/>
    <w:rsid w:val="009940CA"/>
    <w:rsid w:val="009942AE"/>
    <w:rsid w:val="009942D1"/>
    <w:rsid w:val="009943AB"/>
    <w:rsid w:val="0099450E"/>
    <w:rsid w:val="0099468C"/>
    <w:rsid w:val="0099477C"/>
    <w:rsid w:val="00994D2E"/>
    <w:rsid w:val="0099531B"/>
    <w:rsid w:val="0099571E"/>
    <w:rsid w:val="009958E6"/>
    <w:rsid w:val="0099593A"/>
    <w:rsid w:val="00995A92"/>
    <w:rsid w:val="00995C01"/>
    <w:rsid w:val="00995E46"/>
    <w:rsid w:val="00995EF3"/>
    <w:rsid w:val="00995F1E"/>
    <w:rsid w:val="00995F7A"/>
    <w:rsid w:val="009962DF"/>
    <w:rsid w:val="00996466"/>
    <w:rsid w:val="0099666C"/>
    <w:rsid w:val="00996679"/>
    <w:rsid w:val="009966DD"/>
    <w:rsid w:val="00996876"/>
    <w:rsid w:val="00996A32"/>
    <w:rsid w:val="00996B38"/>
    <w:rsid w:val="00996B5E"/>
    <w:rsid w:val="00996B7D"/>
    <w:rsid w:val="00996C41"/>
    <w:rsid w:val="00996D26"/>
    <w:rsid w:val="00996FA5"/>
    <w:rsid w:val="00996FC9"/>
    <w:rsid w:val="009970B5"/>
    <w:rsid w:val="00997104"/>
    <w:rsid w:val="00997232"/>
    <w:rsid w:val="009976D9"/>
    <w:rsid w:val="00997926"/>
    <w:rsid w:val="009979BE"/>
    <w:rsid w:val="009979C2"/>
    <w:rsid w:val="00997D03"/>
    <w:rsid w:val="009A03D4"/>
    <w:rsid w:val="009A0555"/>
    <w:rsid w:val="009A0597"/>
    <w:rsid w:val="009A059D"/>
    <w:rsid w:val="009A05EF"/>
    <w:rsid w:val="009A0791"/>
    <w:rsid w:val="009A0BFC"/>
    <w:rsid w:val="009A0D68"/>
    <w:rsid w:val="009A0ECA"/>
    <w:rsid w:val="009A126D"/>
    <w:rsid w:val="009A165D"/>
    <w:rsid w:val="009A18AA"/>
    <w:rsid w:val="009A1B5A"/>
    <w:rsid w:val="009A1BE7"/>
    <w:rsid w:val="009A1DEE"/>
    <w:rsid w:val="009A20A9"/>
    <w:rsid w:val="009A22D7"/>
    <w:rsid w:val="009A2384"/>
    <w:rsid w:val="009A27A0"/>
    <w:rsid w:val="009A2BA3"/>
    <w:rsid w:val="009A2CC1"/>
    <w:rsid w:val="009A3891"/>
    <w:rsid w:val="009A3FB0"/>
    <w:rsid w:val="009A40BB"/>
    <w:rsid w:val="009A44B5"/>
    <w:rsid w:val="009A45E4"/>
    <w:rsid w:val="009A469F"/>
    <w:rsid w:val="009A47CA"/>
    <w:rsid w:val="009A4A76"/>
    <w:rsid w:val="009A4BFE"/>
    <w:rsid w:val="009A511C"/>
    <w:rsid w:val="009A5287"/>
    <w:rsid w:val="009A53CE"/>
    <w:rsid w:val="009A53E8"/>
    <w:rsid w:val="009A548D"/>
    <w:rsid w:val="009A549D"/>
    <w:rsid w:val="009A5A69"/>
    <w:rsid w:val="009A5A92"/>
    <w:rsid w:val="009A5E37"/>
    <w:rsid w:val="009A5EE3"/>
    <w:rsid w:val="009A5EF3"/>
    <w:rsid w:val="009A5F56"/>
    <w:rsid w:val="009A5FA1"/>
    <w:rsid w:val="009A6225"/>
    <w:rsid w:val="009A625F"/>
    <w:rsid w:val="009A6CD2"/>
    <w:rsid w:val="009A6DA1"/>
    <w:rsid w:val="009A70D1"/>
    <w:rsid w:val="009A7294"/>
    <w:rsid w:val="009A7569"/>
    <w:rsid w:val="009A776F"/>
    <w:rsid w:val="009A7F8A"/>
    <w:rsid w:val="009B0046"/>
    <w:rsid w:val="009B00A0"/>
    <w:rsid w:val="009B0AB4"/>
    <w:rsid w:val="009B0E5A"/>
    <w:rsid w:val="009B13BE"/>
    <w:rsid w:val="009B13D2"/>
    <w:rsid w:val="009B1533"/>
    <w:rsid w:val="009B181D"/>
    <w:rsid w:val="009B18CE"/>
    <w:rsid w:val="009B1FF4"/>
    <w:rsid w:val="009B21D3"/>
    <w:rsid w:val="009B2235"/>
    <w:rsid w:val="009B284E"/>
    <w:rsid w:val="009B28B1"/>
    <w:rsid w:val="009B28F8"/>
    <w:rsid w:val="009B2ADA"/>
    <w:rsid w:val="009B2DCE"/>
    <w:rsid w:val="009B2EC4"/>
    <w:rsid w:val="009B309A"/>
    <w:rsid w:val="009B3379"/>
    <w:rsid w:val="009B34BD"/>
    <w:rsid w:val="009B3556"/>
    <w:rsid w:val="009B356E"/>
    <w:rsid w:val="009B36E6"/>
    <w:rsid w:val="009B372A"/>
    <w:rsid w:val="009B399F"/>
    <w:rsid w:val="009B3C8D"/>
    <w:rsid w:val="009B437D"/>
    <w:rsid w:val="009B43CB"/>
    <w:rsid w:val="009B4789"/>
    <w:rsid w:val="009B47E9"/>
    <w:rsid w:val="009B4C47"/>
    <w:rsid w:val="009B4E8D"/>
    <w:rsid w:val="009B4F2F"/>
    <w:rsid w:val="009B50C8"/>
    <w:rsid w:val="009B532D"/>
    <w:rsid w:val="009B53AE"/>
    <w:rsid w:val="009B5490"/>
    <w:rsid w:val="009B5A43"/>
    <w:rsid w:val="009B5C33"/>
    <w:rsid w:val="009B5CC8"/>
    <w:rsid w:val="009B5E35"/>
    <w:rsid w:val="009B6277"/>
    <w:rsid w:val="009B6407"/>
    <w:rsid w:val="009B6475"/>
    <w:rsid w:val="009B678E"/>
    <w:rsid w:val="009B67A5"/>
    <w:rsid w:val="009B68CE"/>
    <w:rsid w:val="009B6F2B"/>
    <w:rsid w:val="009B6FBF"/>
    <w:rsid w:val="009B7013"/>
    <w:rsid w:val="009B701A"/>
    <w:rsid w:val="009B7228"/>
    <w:rsid w:val="009B7289"/>
    <w:rsid w:val="009B7616"/>
    <w:rsid w:val="009B764C"/>
    <w:rsid w:val="009B778D"/>
    <w:rsid w:val="009B795D"/>
    <w:rsid w:val="009B7C97"/>
    <w:rsid w:val="009B7CB3"/>
    <w:rsid w:val="009B7CE5"/>
    <w:rsid w:val="009C0021"/>
    <w:rsid w:val="009C0073"/>
    <w:rsid w:val="009C011F"/>
    <w:rsid w:val="009C034E"/>
    <w:rsid w:val="009C0468"/>
    <w:rsid w:val="009C04E4"/>
    <w:rsid w:val="009C05CD"/>
    <w:rsid w:val="009C0976"/>
    <w:rsid w:val="009C0A1E"/>
    <w:rsid w:val="009C0C4A"/>
    <w:rsid w:val="009C0C4B"/>
    <w:rsid w:val="009C0CB1"/>
    <w:rsid w:val="009C16F3"/>
    <w:rsid w:val="009C1868"/>
    <w:rsid w:val="009C196A"/>
    <w:rsid w:val="009C1970"/>
    <w:rsid w:val="009C1E0A"/>
    <w:rsid w:val="009C21AC"/>
    <w:rsid w:val="009C2220"/>
    <w:rsid w:val="009C230F"/>
    <w:rsid w:val="009C2445"/>
    <w:rsid w:val="009C25A1"/>
    <w:rsid w:val="009C25F2"/>
    <w:rsid w:val="009C261D"/>
    <w:rsid w:val="009C2D70"/>
    <w:rsid w:val="009C2DCD"/>
    <w:rsid w:val="009C2ED8"/>
    <w:rsid w:val="009C2FCF"/>
    <w:rsid w:val="009C3022"/>
    <w:rsid w:val="009C30D5"/>
    <w:rsid w:val="009C31AD"/>
    <w:rsid w:val="009C31C5"/>
    <w:rsid w:val="009C33AF"/>
    <w:rsid w:val="009C3657"/>
    <w:rsid w:val="009C365B"/>
    <w:rsid w:val="009C3AC6"/>
    <w:rsid w:val="009C3B54"/>
    <w:rsid w:val="009C3C42"/>
    <w:rsid w:val="009C3C60"/>
    <w:rsid w:val="009C3E0B"/>
    <w:rsid w:val="009C44E2"/>
    <w:rsid w:val="009C4775"/>
    <w:rsid w:val="009C4815"/>
    <w:rsid w:val="009C494B"/>
    <w:rsid w:val="009C4A3D"/>
    <w:rsid w:val="009C4AE8"/>
    <w:rsid w:val="009C4D23"/>
    <w:rsid w:val="009C4E64"/>
    <w:rsid w:val="009C4FEA"/>
    <w:rsid w:val="009C56A6"/>
    <w:rsid w:val="009C57E2"/>
    <w:rsid w:val="009C5933"/>
    <w:rsid w:val="009C5AB1"/>
    <w:rsid w:val="009C5BDA"/>
    <w:rsid w:val="009C5E87"/>
    <w:rsid w:val="009C5F66"/>
    <w:rsid w:val="009C6626"/>
    <w:rsid w:val="009C669F"/>
    <w:rsid w:val="009C67C7"/>
    <w:rsid w:val="009C68DC"/>
    <w:rsid w:val="009C699E"/>
    <w:rsid w:val="009C6C7E"/>
    <w:rsid w:val="009C6CC9"/>
    <w:rsid w:val="009C6D70"/>
    <w:rsid w:val="009C6DB9"/>
    <w:rsid w:val="009C70CD"/>
    <w:rsid w:val="009C72BB"/>
    <w:rsid w:val="009C7378"/>
    <w:rsid w:val="009C74A2"/>
    <w:rsid w:val="009C7517"/>
    <w:rsid w:val="009C78A1"/>
    <w:rsid w:val="009C7C9F"/>
    <w:rsid w:val="009D00C1"/>
    <w:rsid w:val="009D00FB"/>
    <w:rsid w:val="009D0126"/>
    <w:rsid w:val="009D01D8"/>
    <w:rsid w:val="009D01EE"/>
    <w:rsid w:val="009D032B"/>
    <w:rsid w:val="009D0430"/>
    <w:rsid w:val="009D0746"/>
    <w:rsid w:val="009D0960"/>
    <w:rsid w:val="009D09AF"/>
    <w:rsid w:val="009D0C07"/>
    <w:rsid w:val="009D0EE4"/>
    <w:rsid w:val="009D11B4"/>
    <w:rsid w:val="009D1418"/>
    <w:rsid w:val="009D1766"/>
    <w:rsid w:val="009D190E"/>
    <w:rsid w:val="009D1AD0"/>
    <w:rsid w:val="009D1EE6"/>
    <w:rsid w:val="009D2057"/>
    <w:rsid w:val="009D209C"/>
    <w:rsid w:val="009D236D"/>
    <w:rsid w:val="009D2474"/>
    <w:rsid w:val="009D2604"/>
    <w:rsid w:val="009D2875"/>
    <w:rsid w:val="009D2C21"/>
    <w:rsid w:val="009D31EA"/>
    <w:rsid w:val="009D3322"/>
    <w:rsid w:val="009D37B7"/>
    <w:rsid w:val="009D3B3F"/>
    <w:rsid w:val="009D3D8B"/>
    <w:rsid w:val="009D3F22"/>
    <w:rsid w:val="009D4068"/>
    <w:rsid w:val="009D42C3"/>
    <w:rsid w:val="009D43F4"/>
    <w:rsid w:val="009D44C4"/>
    <w:rsid w:val="009D477B"/>
    <w:rsid w:val="009D488D"/>
    <w:rsid w:val="009D48A0"/>
    <w:rsid w:val="009D4AD9"/>
    <w:rsid w:val="009D4E94"/>
    <w:rsid w:val="009D5375"/>
    <w:rsid w:val="009D53D9"/>
    <w:rsid w:val="009D540C"/>
    <w:rsid w:val="009D54D1"/>
    <w:rsid w:val="009D578C"/>
    <w:rsid w:val="009D586A"/>
    <w:rsid w:val="009D596E"/>
    <w:rsid w:val="009D5A03"/>
    <w:rsid w:val="009D5BD0"/>
    <w:rsid w:val="009D5BF4"/>
    <w:rsid w:val="009D5D44"/>
    <w:rsid w:val="009D60B7"/>
    <w:rsid w:val="009D6277"/>
    <w:rsid w:val="009D62A3"/>
    <w:rsid w:val="009D632F"/>
    <w:rsid w:val="009D6347"/>
    <w:rsid w:val="009D6519"/>
    <w:rsid w:val="009D662E"/>
    <w:rsid w:val="009D6D33"/>
    <w:rsid w:val="009D6D3E"/>
    <w:rsid w:val="009D6FEC"/>
    <w:rsid w:val="009D7265"/>
    <w:rsid w:val="009D731D"/>
    <w:rsid w:val="009D73F3"/>
    <w:rsid w:val="009D744A"/>
    <w:rsid w:val="009D745B"/>
    <w:rsid w:val="009D75F5"/>
    <w:rsid w:val="009D7985"/>
    <w:rsid w:val="009D7B8F"/>
    <w:rsid w:val="009E0187"/>
    <w:rsid w:val="009E03E1"/>
    <w:rsid w:val="009E0443"/>
    <w:rsid w:val="009E080F"/>
    <w:rsid w:val="009E0B83"/>
    <w:rsid w:val="009E0C7C"/>
    <w:rsid w:val="009E0F3A"/>
    <w:rsid w:val="009E1022"/>
    <w:rsid w:val="009E113E"/>
    <w:rsid w:val="009E114D"/>
    <w:rsid w:val="009E16CF"/>
    <w:rsid w:val="009E18A6"/>
    <w:rsid w:val="009E1AD5"/>
    <w:rsid w:val="009E1B29"/>
    <w:rsid w:val="009E1C65"/>
    <w:rsid w:val="009E1F09"/>
    <w:rsid w:val="009E2144"/>
    <w:rsid w:val="009E2258"/>
    <w:rsid w:val="009E254F"/>
    <w:rsid w:val="009E25E7"/>
    <w:rsid w:val="009E2635"/>
    <w:rsid w:val="009E2757"/>
    <w:rsid w:val="009E27BC"/>
    <w:rsid w:val="009E2843"/>
    <w:rsid w:val="009E2C83"/>
    <w:rsid w:val="009E2F95"/>
    <w:rsid w:val="009E31CB"/>
    <w:rsid w:val="009E3486"/>
    <w:rsid w:val="009E35B7"/>
    <w:rsid w:val="009E36D6"/>
    <w:rsid w:val="009E371E"/>
    <w:rsid w:val="009E3BB8"/>
    <w:rsid w:val="009E3EDF"/>
    <w:rsid w:val="009E459E"/>
    <w:rsid w:val="009E49DD"/>
    <w:rsid w:val="009E4D08"/>
    <w:rsid w:val="009E4DCD"/>
    <w:rsid w:val="009E4F80"/>
    <w:rsid w:val="009E5268"/>
    <w:rsid w:val="009E5643"/>
    <w:rsid w:val="009E5675"/>
    <w:rsid w:val="009E5DB9"/>
    <w:rsid w:val="009E60AE"/>
    <w:rsid w:val="009E60BB"/>
    <w:rsid w:val="009E6243"/>
    <w:rsid w:val="009E62E5"/>
    <w:rsid w:val="009E642E"/>
    <w:rsid w:val="009E66A2"/>
    <w:rsid w:val="009E67DC"/>
    <w:rsid w:val="009E6979"/>
    <w:rsid w:val="009E69B0"/>
    <w:rsid w:val="009E6B24"/>
    <w:rsid w:val="009E70B1"/>
    <w:rsid w:val="009E71DC"/>
    <w:rsid w:val="009E726D"/>
    <w:rsid w:val="009E72B1"/>
    <w:rsid w:val="009E7307"/>
    <w:rsid w:val="009E730E"/>
    <w:rsid w:val="009E782A"/>
    <w:rsid w:val="009E7A7E"/>
    <w:rsid w:val="009E7B9C"/>
    <w:rsid w:val="009E7BCE"/>
    <w:rsid w:val="009F0097"/>
    <w:rsid w:val="009F03C3"/>
    <w:rsid w:val="009F04E0"/>
    <w:rsid w:val="009F0892"/>
    <w:rsid w:val="009F08C6"/>
    <w:rsid w:val="009F09C8"/>
    <w:rsid w:val="009F0A61"/>
    <w:rsid w:val="009F0D6B"/>
    <w:rsid w:val="009F1156"/>
    <w:rsid w:val="009F116B"/>
    <w:rsid w:val="009F1511"/>
    <w:rsid w:val="009F17DA"/>
    <w:rsid w:val="009F1CC7"/>
    <w:rsid w:val="009F1EB1"/>
    <w:rsid w:val="009F2181"/>
    <w:rsid w:val="009F2188"/>
    <w:rsid w:val="009F23E3"/>
    <w:rsid w:val="009F2871"/>
    <w:rsid w:val="009F2C41"/>
    <w:rsid w:val="009F2C4B"/>
    <w:rsid w:val="009F2E2B"/>
    <w:rsid w:val="009F2FE4"/>
    <w:rsid w:val="009F3020"/>
    <w:rsid w:val="009F347F"/>
    <w:rsid w:val="009F34B8"/>
    <w:rsid w:val="009F34BE"/>
    <w:rsid w:val="009F3521"/>
    <w:rsid w:val="009F37F6"/>
    <w:rsid w:val="009F3865"/>
    <w:rsid w:val="009F3A43"/>
    <w:rsid w:val="009F3BFA"/>
    <w:rsid w:val="009F3CDF"/>
    <w:rsid w:val="009F3D51"/>
    <w:rsid w:val="009F3E00"/>
    <w:rsid w:val="009F404E"/>
    <w:rsid w:val="009F4329"/>
    <w:rsid w:val="009F45BA"/>
    <w:rsid w:val="009F45BC"/>
    <w:rsid w:val="009F4AF4"/>
    <w:rsid w:val="009F4BC9"/>
    <w:rsid w:val="009F4CB7"/>
    <w:rsid w:val="009F4D94"/>
    <w:rsid w:val="009F4F39"/>
    <w:rsid w:val="009F4F75"/>
    <w:rsid w:val="009F5104"/>
    <w:rsid w:val="009F51BA"/>
    <w:rsid w:val="009F5350"/>
    <w:rsid w:val="009F540B"/>
    <w:rsid w:val="009F5B54"/>
    <w:rsid w:val="009F5B95"/>
    <w:rsid w:val="009F5DF4"/>
    <w:rsid w:val="009F60E5"/>
    <w:rsid w:val="009F6204"/>
    <w:rsid w:val="009F6314"/>
    <w:rsid w:val="009F6317"/>
    <w:rsid w:val="009F6889"/>
    <w:rsid w:val="009F69F1"/>
    <w:rsid w:val="009F6B97"/>
    <w:rsid w:val="009F6B9C"/>
    <w:rsid w:val="009F6BBF"/>
    <w:rsid w:val="009F70D2"/>
    <w:rsid w:val="009F70F7"/>
    <w:rsid w:val="009F76C8"/>
    <w:rsid w:val="009F777F"/>
    <w:rsid w:val="009F785A"/>
    <w:rsid w:val="009F7C1B"/>
    <w:rsid w:val="009F7D77"/>
    <w:rsid w:val="009F7ED0"/>
    <w:rsid w:val="009F7F48"/>
    <w:rsid w:val="009F7FD4"/>
    <w:rsid w:val="00A00142"/>
    <w:rsid w:val="00A0064E"/>
    <w:rsid w:val="00A007F4"/>
    <w:rsid w:val="00A0082F"/>
    <w:rsid w:val="00A00931"/>
    <w:rsid w:val="00A00971"/>
    <w:rsid w:val="00A00A4D"/>
    <w:rsid w:val="00A00B44"/>
    <w:rsid w:val="00A00C10"/>
    <w:rsid w:val="00A00DAA"/>
    <w:rsid w:val="00A00DE2"/>
    <w:rsid w:val="00A00E1B"/>
    <w:rsid w:val="00A010B6"/>
    <w:rsid w:val="00A01382"/>
    <w:rsid w:val="00A01532"/>
    <w:rsid w:val="00A0167D"/>
    <w:rsid w:val="00A0199D"/>
    <w:rsid w:val="00A019CA"/>
    <w:rsid w:val="00A01A31"/>
    <w:rsid w:val="00A01C13"/>
    <w:rsid w:val="00A02311"/>
    <w:rsid w:val="00A02621"/>
    <w:rsid w:val="00A0286F"/>
    <w:rsid w:val="00A02900"/>
    <w:rsid w:val="00A02CD8"/>
    <w:rsid w:val="00A02CDF"/>
    <w:rsid w:val="00A02D30"/>
    <w:rsid w:val="00A02E31"/>
    <w:rsid w:val="00A03099"/>
    <w:rsid w:val="00A0315A"/>
    <w:rsid w:val="00A03287"/>
    <w:rsid w:val="00A03371"/>
    <w:rsid w:val="00A03420"/>
    <w:rsid w:val="00A03470"/>
    <w:rsid w:val="00A0391E"/>
    <w:rsid w:val="00A03AD2"/>
    <w:rsid w:val="00A03C0A"/>
    <w:rsid w:val="00A0421D"/>
    <w:rsid w:val="00A04334"/>
    <w:rsid w:val="00A049B0"/>
    <w:rsid w:val="00A04A9C"/>
    <w:rsid w:val="00A051A2"/>
    <w:rsid w:val="00A05924"/>
    <w:rsid w:val="00A05B78"/>
    <w:rsid w:val="00A05C4E"/>
    <w:rsid w:val="00A05CC9"/>
    <w:rsid w:val="00A05D72"/>
    <w:rsid w:val="00A06221"/>
    <w:rsid w:val="00A06409"/>
    <w:rsid w:val="00A06875"/>
    <w:rsid w:val="00A068B6"/>
    <w:rsid w:val="00A06A4F"/>
    <w:rsid w:val="00A06A5A"/>
    <w:rsid w:val="00A06AAB"/>
    <w:rsid w:val="00A06C24"/>
    <w:rsid w:val="00A06D97"/>
    <w:rsid w:val="00A06EBE"/>
    <w:rsid w:val="00A07045"/>
    <w:rsid w:val="00A070BA"/>
    <w:rsid w:val="00A071AC"/>
    <w:rsid w:val="00A072F7"/>
    <w:rsid w:val="00A073DB"/>
    <w:rsid w:val="00A07A5D"/>
    <w:rsid w:val="00A07AD9"/>
    <w:rsid w:val="00A07ADE"/>
    <w:rsid w:val="00A07C92"/>
    <w:rsid w:val="00A07E3F"/>
    <w:rsid w:val="00A102AC"/>
    <w:rsid w:val="00A1042A"/>
    <w:rsid w:val="00A10508"/>
    <w:rsid w:val="00A10B41"/>
    <w:rsid w:val="00A10CFB"/>
    <w:rsid w:val="00A110A9"/>
    <w:rsid w:val="00A111DA"/>
    <w:rsid w:val="00A11B55"/>
    <w:rsid w:val="00A11BB1"/>
    <w:rsid w:val="00A11DB1"/>
    <w:rsid w:val="00A11F61"/>
    <w:rsid w:val="00A120D4"/>
    <w:rsid w:val="00A12229"/>
    <w:rsid w:val="00A1247A"/>
    <w:rsid w:val="00A124C5"/>
    <w:rsid w:val="00A1282B"/>
    <w:rsid w:val="00A12991"/>
    <w:rsid w:val="00A12A79"/>
    <w:rsid w:val="00A12ADA"/>
    <w:rsid w:val="00A12D38"/>
    <w:rsid w:val="00A12D3B"/>
    <w:rsid w:val="00A12F1D"/>
    <w:rsid w:val="00A132E5"/>
    <w:rsid w:val="00A13341"/>
    <w:rsid w:val="00A1355F"/>
    <w:rsid w:val="00A137D0"/>
    <w:rsid w:val="00A13978"/>
    <w:rsid w:val="00A13CBB"/>
    <w:rsid w:val="00A1409B"/>
    <w:rsid w:val="00A1419E"/>
    <w:rsid w:val="00A142E5"/>
    <w:rsid w:val="00A145DB"/>
    <w:rsid w:val="00A14704"/>
    <w:rsid w:val="00A147CA"/>
    <w:rsid w:val="00A1487C"/>
    <w:rsid w:val="00A14B4C"/>
    <w:rsid w:val="00A14BCA"/>
    <w:rsid w:val="00A14FF3"/>
    <w:rsid w:val="00A15208"/>
    <w:rsid w:val="00A152C8"/>
    <w:rsid w:val="00A15350"/>
    <w:rsid w:val="00A1591C"/>
    <w:rsid w:val="00A15939"/>
    <w:rsid w:val="00A15CF9"/>
    <w:rsid w:val="00A15D7C"/>
    <w:rsid w:val="00A16240"/>
    <w:rsid w:val="00A163B5"/>
    <w:rsid w:val="00A164A6"/>
    <w:rsid w:val="00A167DB"/>
    <w:rsid w:val="00A16AE4"/>
    <w:rsid w:val="00A16C61"/>
    <w:rsid w:val="00A170C8"/>
    <w:rsid w:val="00A171D3"/>
    <w:rsid w:val="00A17663"/>
    <w:rsid w:val="00A1766F"/>
    <w:rsid w:val="00A17707"/>
    <w:rsid w:val="00A17832"/>
    <w:rsid w:val="00A1783F"/>
    <w:rsid w:val="00A17A0E"/>
    <w:rsid w:val="00A17B23"/>
    <w:rsid w:val="00A17E90"/>
    <w:rsid w:val="00A2013E"/>
    <w:rsid w:val="00A2021F"/>
    <w:rsid w:val="00A2028E"/>
    <w:rsid w:val="00A204EC"/>
    <w:rsid w:val="00A20733"/>
    <w:rsid w:val="00A20A11"/>
    <w:rsid w:val="00A20A24"/>
    <w:rsid w:val="00A20C66"/>
    <w:rsid w:val="00A21059"/>
    <w:rsid w:val="00A21200"/>
    <w:rsid w:val="00A21446"/>
    <w:rsid w:val="00A21559"/>
    <w:rsid w:val="00A2160B"/>
    <w:rsid w:val="00A218A6"/>
    <w:rsid w:val="00A21AF3"/>
    <w:rsid w:val="00A21BDF"/>
    <w:rsid w:val="00A21C71"/>
    <w:rsid w:val="00A21FF8"/>
    <w:rsid w:val="00A22007"/>
    <w:rsid w:val="00A220F5"/>
    <w:rsid w:val="00A2213C"/>
    <w:rsid w:val="00A22380"/>
    <w:rsid w:val="00A223BA"/>
    <w:rsid w:val="00A22676"/>
    <w:rsid w:val="00A22B98"/>
    <w:rsid w:val="00A22CAA"/>
    <w:rsid w:val="00A22F54"/>
    <w:rsid w:val="00A2302E"/>
    <w:rsid w:val="00A2340D"/>
    <w:rsid w:val="00A23445"/>
    <w:rsid w:val="00A235F4"/>
    <w:rsid w:val="00A23875"/>
    <w:rsid w:val="00A23A20"/>
    <w:rsid w:val="00A23C84"/>
    <w:rsid w:val="00A23CE7"/>
    <w:rsid w:val="00A24107"/>
    <w:rsid w:val="00A24110"/>
    <w:rsid w:val="00A2419B"/>
    <w:rsid w:val="00A24210"/>
    <w:rsid w:val="00A24267"/>
    <w:rsid w:val="00A2446A"/>
    <w:rsid w:val="00A246A6"/>
    <w:rsid w:val="00A246F1"/>
    <w:rsid w:val="00A24822"/>
    <w:rsid w:val="00A24867"/>
    <w:rsid w:val="00A248C9"/>
    <w:rsid w:val="00A249F9"/>
    <w:rsid w:val="00A24A16"/>
    <w:rsid w:val="00A24AF5"/>
    <w:rsid w:val="00A24C1E"/>
    <w:rsid w:val="00A24DC5"/>
    <w:rsid w:val="00A24E00"/>
    <w:rsid w:val="00A24EB8"/>
    <w:rsid w:val="00A2562B"/>
    <w:rsid w:val="00A2570D"/>
    <w:rsid w:val="00A25770"/>
    <w:rsid w:val="00A25993"/>
    <w:rsid w:val="00A25997"/>
    <w:rsid w:val="00A259BF"/>
    <w:rsid w:val="00A25AE1"/>
    <w:rsid w:val="00A25C2C"/>
    <w:rsid w:val="00A25DA6"/>
    <w:rsid w:val="00A262AF"/>
    <w:rsid w:val="00A2660A"/>
    <w:rsid w:val="00A266A7"/>
    <w:rsid w:val="00A2680F"/>
    <w:rsid w:val="00A26881"/>
    <w:rsid w:val="00A26B56"/>
    <w:rsid w:val="00A26F82"/>
    <w:rsid w:val="00A26FCF"/>
    <w:rsid w:val="00A2729F"/>
    <w:rsid w:val="00A276D5"/>
    <w:rsid w:val="00A277F1"/>
    <w:rsid w:val="00A27CAE"/>
    <w:rsid w:val="00A27CC6"/>
    <w:rsid w:val="00A27F2B"/>
    <w:rsid w:val="00A300AD"/>
    <w:rsid w:val="00A3013B"/>
    <w:rsid w:val="00A301BE"/>
    <w:rsid w:val="00A302E3"/>
    <w:rsid w:val="00A3055F"/>
    <w:rsid w:val="00A30781"/>
    <w:rsid w:val="00A30884"/>
    <w:rsid w:val="00A30B1A"/>
    <w:rsid w:val="00A30C0B"/>
    <w:rsid w:val="00A30F13"/>
    <w:rsid w:val="00A30F80"/>
    <w:rsid w:val="00A31145"/>
    <w:rsid w:val="00A3173D"/>
    <w:rsid w:val="00A31815"/>
    <w:rsid w:val="00A318CA"/>
    <w:rsid w:val="00A31A00"/>
    <w:rsid w:val="00A31AC7"/>
    <w:rsid w:val="00A31B93"/>
    <w:rsid w:val="00A31D84"/>
    <w:rsid w:val="00A31F4A"/>
    <w:rsid w:val="00A32061"/>
    <w:rsid w:val="00A32133"/>
    <w:rsid w:val="00A3222E"/>
    <w:rsid w:val="00A3224E"/>
    <w:rsid w:val="00A32584"/>
    <w:rsid w:val="00A32786"/>
    <w:rsid w:val="00A3281E"/>
    <w:rsid w:val="00A32A0F"/>
    <w:rsid w:val="00A32CC7"/>
    <w:rsid w:val="00A33055"/>
    <w:rsid w:val="00A333D7"/>
    <w:rsid w:val="00A335F9"/>
    <w:rsid w:val="00A33B7A"/>
    <w:rsid w:val="00A33C15"/>
    <w:rsid w:val="00A33CC9"/>
    <w:rsid w:val="00A33E2A"/>
    <w:rsid w:val="00A33F25"/>
    <w:rsid w:val="00A34D02"/>
    <w:rsid w:val="00A34D0D"/>
    <w:rsid w:val="00A34DD9"/>
    <w:rsid w:val="00A3567D"/>
    <w:rsid w:val="00A35A0B"/>
    <w:rsid w:val="00A35ADD"/>
    <w:rsid w:val="00A35B65"/>
    <w:rsid w:val="00A35F3F"/>
    <w:rsid w:val="00A35FFD"/>
    <w:rsid w:val="00A36596"/>
    <w:rsid w:val="00A36876"/>
    <w:rsid w:val="00A369C4"/>
    <w:rsid w:val="00A36B95"/>
    <w:rsid w:val="00A36D50"/>
    <w:rsid w:val="00A36D6B"/>
    <w:rsid w:val="00A37247"/>
    <w:rsid w:val="00A37308"/>
    <w:rsid w:val="00A37492"/>
    <w:rsid w:val="00A37605"/>
    <w:rsid w:val="00A3771E"/>
    <w:rsid w:val="00A37731"/>
    <w:rsid w:val="00A37E89"/>
    <w:rsid w:val="00A40075"/>
    <w:rsid w:val="00A40103"/>
    <w:rsid w:val="00A40256"/>
    <w:rsid w:val="00A40281"/>
    <w:rsid w:val="00A40433"/>
    <w:rsid w:val="00A40468"/>
    <w:rsid w:val="00A405E9"/>
    <w:rsid w:val="00A40621"/>
    <w:rsid w:val="00A40A11"/>
    <w:rsid w:val="00A40A4F"/>
    <w:rsid w:val="00A40DB3"/>
    <w:rsid w:val="00A40DFC"/>
    <w:rsid w:val="00A40E5A"/>
    <w:rsid w:val="00A411D5"/>
    <w:rsid w:val="00A41300"/>
    <w:rsid w:val="00A41412"/>
    <w:rsid w:val="00A41499"/>
    <w:rsid w:val="00A41526"/>
    <w:rsid w:val="00A419B5"/>
    <w:rsid w:val="00A41C33"/>
    <w:rsid w:val="00A41CA3"/>
    <w:rsid w:val="00A4217F"/>
    <w:rsid w:val="00A42494"/>
    <w:rsid w:val="00A425F1"/>
    <w:rsid w:val="00A42A3B"/>
    <w:rsid w:val="00A42B2E"/>
    <w:rsid w:val="00A42B7F"/>
    <w:rsid w:val="00A42D73"/>
    <w:rsid w:val="00A42E38"/>
    <w:rsid w:val="00A4324B"/>
    <w:rsid w:val="00A432EE"/>
    <w:rsid w:val="00A43643"/>
    <w:rsid w:val="00A436F5"/>
    <w:rsid w:val="00A4381C"/>
    <w:rsid w:val="00A439DF"/>
    <w:rsid w:val="00A43A45"/>
    <w:rsid w:val="00A43BFA"/>
    <w:rsid w:val="00A43D56"/>
    <w:rsid w:val="00A440CF"/>
    <w:rsid w:val="00A44300"/>
    <w:rsid w:val="00A4472F"/>
    <w:rsid w:val="00A44747"/>
    <w:rsid w:val="00A4492D"/>
    <w:rsid w:val="00A44D5D"/>
    <w:rsid w:val="00A45456"/>
    <w:rsid w:val="00A45525"/>
    <w:rsid w:val="00A455AD"/>
    <w:rsid w:val="00A455C3"/>
    <w:rsid w:val="00A456D9"/>
    <w:rsid w:val="00A45725"/>
    <w:rsid w:val="00A457E3"/>
    <w:rsid w:val="00A4582F"/>
    <w:rsid w:val="00A4594E"/>
    <w:rsid w:val="00A45ACB"/>
    <w:rsid w:val="00A45B16"/>
    <w:rsid w:val="00A460D6"/>
    <w:rsid w:val="00A463CA"/>
    <w:rsid w:val="00A46453"/>
    <w:rsid w:val="00A465B2"/>
    <w:rsid w:val="00A465FE"/>
    <w:rsid w:val="00A470BC"/>
    <w:rsid w:val="00A47814"/>
    <w:rsid w:val="00A47BD0"/>
    <w:rsid w:val="00A47C8F"/>
    <w:rsid w:val="00A47F0B"/>
    <w:rsid w:val="00A504EA"/>
    <w:rsid w:val="00A505C0"/>
    <w:rsid w:val="00A507DD"/>
    <w:rsid w:val="00A50926"/>
    <w:rsid w:val="00A50A1B"/>
    <w:rsid w:val="00A50AAB"/>
    <w:rsid w:val="00A50C70"/>
    <w:rsid w:val="00A50E32"/>
    <w:rsid w:val="00A51032"/>
    <w:rsid w:val="00A51185"/>
    <w:rsid w:val="00A511E0"/>
    <w:rsid w:val="00A51257"/>
    <w:rsid w:val="00A51501"/>
    <w:rsid w:val="00A51905"/>
    <w:rsid w:val="00A519C8"/>
    <w:rsid w:val="00A51A6B"/>
    <w:rsid w:val="00A51FE9"/>
    <w:rsid w:val="00A5226D"/>
    <w:rsid w:val="00A523E3"/>
    <w:rsid w:val="00A526F9"/>
    <w:rsid w:val="00A5291C"/>
    <w:rsid w:val="00A5296D"/>
    <w:rsid w:val="00A529F1"/>
    <w:rsid w:val="00A52B69"/>
    <w:rsid w:val="00A52BA0"/>
    <w:rsid w:val="00A52C29"/>
    <w:rsid w:val="00A52E2D"/>
    <w:rsid w:val="00A52F3D"/>
    <w:rsid w:val="00A53718"/>
    <w:rsid w:val="00A53862"/>
    <w:rsid w:val="00A538ED"/>
    <w:rsid w:val="00A5392A"/>
    <w:rsid w:val="00A53B47"/>
    <w:rsid w:val="00A5400E"/>
    <w:rsid w:val="00A54275"/>
    <w:rsid w:val="00A54288"/>
    <w:rsid w:val="00A543A8"/>
    <w:rsid w:val="00A5461D"/>
    <w:rsid w:val="00A547D7"/>
    <w:rsid w:val="00A54A7E"/>
    <w:rsid w:val="00A54A90"/>
    <w:rsid w:val="00A54CFB"/>
    <w:rsid w:val="00A54FB1"/>
    <w:rsid w:val="00A551FB"/>
    <w:rsid w:val="00A55452"/>
    <w:rsid w:val="00A55739"/>
    <w:rsid w:val="00A559AE"/>
    <w:rsid w:val="00A55BB4"/>
    <w:rsid w:val="00A55CA1"/>
    <w:rsid w:val="00A55F53"/>
    <w:rsid w:val="00A55F7A"/>
    <w:rsid w:val="00A56572"/>
    <w:rsid w:val="00A568AE"/>
    <w:rsid w:val="00A56970"/>
    <w:rsid w:val="00A569F4"/>
    <w:rsid w:val="00A56A44"/>
    <w:rsid w:val="00A56B92"/>
    <w:rsid w:val="00A573EE"/>
    <w:rsid w:val="00A5784B"/>
    <w:rsid w:val="00A57A57"/>
    <w:rsid w:val="00A57B71"/>
    <w:rsid w:val="00A57DA7"/>
    <w:rsid w:val="00A57F17"/>
    <w:rsid w:val="00A601F0"/>
    <w:rsid w:val="00A602F8"/>
    <w:rsid w:val="00A60406"/>
    <w:rsid w:val="00A6044A"/>
    <w:rsid w:val="00A60484"/>
    <w:rsid w:val="00A605FD"/>
    <w:rsid w:val="00A60A4B"/>
    <w:rsid w:val="00A60ADB"/>
    <w:rsid w:val="00A60CD0"/>
    <w:rsid w:val="00A60CF2"/>
    <w:rsid w:val="00A60D7C"/>
    <w:rsid w:val="00A60E00"/>
    <w:rsid w:val="00A60FAD"/>
    <w:rsid w:val="00A6165A"/>
    <w:rsid w:val="00A6196C"/>
    <w:rsid w:val="00A61A26"/>
    <w:rsid w:val="00A61B38"/>
    <w:rsid w:val="00A61B88"/>
    <w:rsid w:val="00A61C3A"/>
    <w:rsid w:val="00A61C77"/>
    <w:rsid w:val="00A61C94"/>
    <w:rsid w:val="00A61DCA"/>
    <w:rsid w:val="00A61EAD"/>
    <w:rsid w:val="00A62035"/>
    <w:rsid w:val="00A62053"/>
    <w:rsid w:val="00A6222B"/>
    <w:rsid w:val="00A622A6"/>
    <w:rsid w:val="00A62791"/>
    <w:rsid w:val="00A62B99"/>
    <w:rsid w:val="00A62C28"/>
    <w:rsid w:val="00A62C3D"/>
    <w:rsid w:val="00A62D18"/>
    <w:rsid w:val="00A62FA0"/>
    <w:rsid w:val="00A63474"/>
    <w:rsid w:val="00A63670"/>
    <w:rsid w:val="00A639BB"/>
    <w:rsid w:val="00A63ABD"/>
    <w:rsid w:val="00A63B03"/>
    <w:rsid w:val="00A63C20"/>
    <w:rsid w:val="00A63D8D"/>
    <w:rsid w:val="00A63D97"/>
    <w:rsid w:val="00A63EF9"/>
    <w:rsid w:val="00A64072"/>
    <w:rsid w:val="00A644E0"/>
    <w:rsid w:val="00A6479B"/>
    <w:rsid w:val="00A64CC1"/>
    <w:rsid w:val="00A64E14"/>
    <w:rsid w:val="00A65192"/>
    <w:rsid w:val="00A6553D"/>
    <w:rsid w:val="00A6566A"/>
    <w:rsid w:val="00A65670"/>
    <w:rsid w:val="00A65BBD"/>
    <w:rsid w:val="00A65D80"/>
    <w:rsid w:val="00A662E4"/>
    <w:rsid w:val="00A66493"/>
    <w:rsid w:val="00A666A3"/>
    <w:rsid w:val="00A669C5"/>
    <w:rsid w:val="00A66A2F"/>
    <w:rsid w:val="00A66A7C"/>
    <w:rsid w:val="00A66AF6"/>
    <w:rsid w:val="00A66C0C"/>
    <w:rsid w:val="00A66C6E"/>
    <w:rsid w:val="00A6702A"/>
    <w:rsid w:val="00A675BA"/>
    <w:rsid w:val="00A6780C"/>
    <w:rsid w:val="00A67C07"/>
    <w:rsid w:val="00A67D5B"/>
    <w:rsid w:val="00A67DC7"/>
    <w:rsid w:val="00A67FCD"/>
    <w:rsid w:val="00A70025"/>
    <w:rsid w:val="00A7004E"/>
    <w:rsid w:val="00A7029B"/>
    <w:rsid w:val="00A70439"/>
    <w:rsid w:val="00A704BF"/>
    <w:rsid w:val="00A705CE"/>
    <w:rsid w:val="00A70667"/>
    <w:rsid w:val="00A70713"/>
    <w:rsid w:val="00A70760"/>
    <w:rsid w:val="00A708F1"/>
    <w:rsid w:val="00A709A8"/>
    <w:rsid w:val="00A70A73"/>
    <w:rsid w:val="00A70A8E"/>
    <w:rsid w:val="00A70D29"/>
    <w:rsid w:val="00A70F22"/>
    <w:rsid w:val="00A7123A"/>
    <w:rsid w:val="00A712AA"/>
    <w:rsid w:val="00A712B2"/>
    <w:rsid w:val="00A714C9"/>
    <w:rsid w:val="00A71516"/>
    <w:rsid w:val="00A7159F"/>
    <w:rsid w:val="00A71770"/>
    <w:rsid w:val="00A717A9"/>
    <w:rsid w:val="00A71A28"/>
    <w:rsid w:val="00A71A75"/>
    <w:rsid w:val="00A71AF0"/>
    <w:rsid w:val="00A71BB6"/>
    <w:rsid w:val="00A71BEC"/>
    <w:rsid w:val="00A71BEE"/>
    <w:rsid w:val="00A71C9F"/>
    <w:rsid w:val="00A71D61"/>
    <w:rsid w:val="00A71EF7"/>
    <w:rsid w:val="00A71FE9"/>
    <w:rsid w:val="00A7233D"/>
    <w:rsid w:val="00A7233E"/>
    <w:rsid w:val="00A7287F"/>
    <w:rsid w:val="00A7292E"/>
    <w:rsid w:val="00A72B21"/>
    <w:rsid w:val="00A72B2D"/>
    <w:rsid w:val="00A72B94"/>
    <w:rsid w:val="00A72BC0"/>
    <w:rsid w:val="00A72C03"/>
    <w:rsid w:val="00A72F9E"/>
    <w:rsid w:val="00A7319B"/>
    <w:rsid w:val="00A731BB"/>
    <w:rsid w:val="00A7339E"/>
    <w:rsid w:val="00A73837"/>
    <w:rsid w:val="00A73932"/>
    <w:rsid w:val="00A73C16"/>
    <w:rsid w:val="00A74088"/>
    <w:rsid w:val="00A74235"/>
    <w:rsid w:val="00A742B1"/>
    <w:rsid w:val="00A745B7"/>
    <w:rsid w:val="00A7486D"/>
    <w:rsid w:val="00A75019"/>
    <w:rsid w:val="00A75098"/>
    <w:rsid w:val="00A75731"/>
    <w:rsid w:val="00A75B26"/>
    <w:rsid w:val="00A75B4D"/>
    <w:rsid w:val="00A75E22"/>
    <w:rsid w:val="00A75FBD"/>
    <w:rsid w:val="00A760D1"/>
    <w:rsid w:val="00A760EF"/>
    <w:rsid w:val="00A7618A"/>
    <w:rsid w:val="00A76639"/>
    <w:rsid w:val="00A766E8"/>
    <w:rsid w:val="00A76AC6"/>
    <w:rsid w:val="00A76FD6"/>
    <w:rsid w:val="00A77285"/>
    <w:rsid w:val="00A77295"/>
    <w:rsid w:val="00A772DC"/>
    <w:rsid w:val="00A776A6"/>
    <w:rsid w:val="00A77730"/>
    <w:rsid w:val="00A77818"/>
    <w:rsid w:val="00A77AAE"/>
    <w:rsid w:val="00A77B33"/>
    <w:rsid w:val="00A77C65"/>
    <w:rsid w:val="00A77D24"/>
    <w:rsid w:val="00A77EA5"/>
    <w:rsid w:val="00A80180"/>
    <w:rsid w:val="00A804A1"/>
    <w:rsid w:val="00A804B0"/>
    <w:rsid w:val="00A8054D"/>
    <w:rsid w:val="00A8084E"/>
    <w:rsid w:val="00A809CC"/>
    <w:rsid w:val="00A80A1B"/>
    <w:rsid w:val="00A80BAC"/>
    <w:rsid w:val="00A80BE1"/>
    <w:rsid w:val="00A80DEC"/>
    <w:rsid w:val="00A80E48"/>
    <w:rsid w:val="00A810CC"/>
    <w:rsid w:val="00A81455"/>
    <w:rsid w:val="00A8147F"/>
    <w:rsid w:val="00A8174A"/>
    <w:rsid w:val="00A8178D"/>
    <w:rsid w:val="00A817D7"/>
    <w:rsid w:val="00A817F8"/>
    <w:rsid w:val="00A818AC"/>
    <w:rsid w:val="00A81B8D"/>
    <w:rsid w:val="00A81C5F"/>
    <w:rsid w:val="00A81D56"/>
    <w:rsid w:val="00A82226"/>
    <w:rsid w:val="00A82280"/>
    <w:rsid w:val="00A822CE"/>
    <w:rsid w:val="00A824CB"/>
    <w:rsid w:val="00A824EE"/>
    <w:rsid w:val="00A8264C"/>
    <w:rsid w:val="00A82B81"/>
    <w:rsid w:val="00A82C37"/>
    <w:rsid w:val="00A82C6A"/>
    <w:rsid w:val="00A82D2C"/>
    <w:rsid w:val="00A8303C"/>
    <w:rsid w:val="00A830BC"/>
    <w:rsid w:val="00A83128"/>
    <w:rsid w:val="00A8339F"/>
    <w:rsid w:val="00A83539"/>
    <w:rsid w:val="00A83602"/>
    <w:rsid w:val="00A8365C"/>
    <w:rsid w:val="00A83849"/>
    <w:rsid w:val="00A83A96"/>
    <w:rsid w:val="00A83AED"/>
    <w:rsid w:val="00A83BBF"/>
    <w:rsid w:val="00A83BE4"/>
    <w:rsid w:val="00A83DAF"/>
    <w:rsid w:val="00A83F71"/>
    <w:rsid w:val="00A84037"/>
    <w:rsid w:val="00A845A0"/>
    <w:rsid w:val="00A84785"/>
    <w:rsid w:val="00A84B8E"/>
    <w:rsid w:val="00A84D5E"/>
    <w:rsid w:val="00A84FE4"/>
    <w:rsid w:val="00A85086"/>
    <w:rsid w:val="00A85202"/>
    <w:rsid w:val="00A853E2"/>
    <w:rsid w:val="00A854E4"/>
    <w:rsid w:val="00A8571C"/>
    <w:rsid w:val="00A857EE"/>
    <w:rsid w:val="00A85A08"/>
    <w:rsid w:val="00A85ACE"/>
    <w:rsid w:val="00A85B02"/>
    <w:rsid w:val="00A85EFC"/>
    <w:rsid w:val="00A86253"/>
    <w:rsid w:val="00A864FB"/>
    <w:rsid w:val="00A86639"/>
    <w:rsid w:val="00A867AD"/>
    <w:rsid w:val="00A86866"/>
    <w:rsid w:val="00A86ACB"/>
    <w:rsid w:val="00A86C91"/>
    <w:rsid w:val="00A86CD1"/>
    <w:rsid w:val="00A86FC6"/>
    <w:rsid w:val="00A87190"/>
    <w:rsid w:val="00A8765C"/>
    <w:rsid w:val="00A87878"/>
    <w:rsid w:val="00A87B53"/>
    <w:rsid w:val="00A90098"/>
    <w:rsid w:val="00A909BE"/>
    <w:rsid w:val="00A909E6"/>
    <w:rsid w:val="00A90B4A"/>
    <w:rsid w:val="00A90F48"/>
    <w:rsid w:val="00A9125D"/>
    <w:rsid w:val="00A912F8"/>
    <w:rsid w:val="00A9131D"/>
    <w:rsid w:val="00A91507"/>
    <w:rsid w:val="00A91539"/>
    <w:rsid w:val="00A91668"/>
    <w:rsid w:val="00A91865"/>
    <w:rsid w:val="00A91C98"/>
    <w:rsid w:val="00A91D7E"/>
    <w:rsid w:val="00A920DC"/>
    <w:rsid w:val="00A92372"/>
    <w:rsid w:val="00A924D6"/>
    <w:rsid w:val="00A925DF"/>
    <w:rsid w:val="00A9295E"/>
    <w:rsid w:val="00A92CDD"/>
    <w:rsid w:val="00A92DBD"/>
    <w:rsid w:val="00A92DFE"/>
    <w:rsid w:val="00A933BA"/>
    <w:rsid w:val="00A93482"/>
    <w:rsid w:val="00A93C23"/>
    <w:rsid w:val="00A93CF0"/>
    <w:rsid w:val="00A93F3A"/>
    <w:rsid w:val="00A93F5A"/>
    <w:rsid w:val="00A93FA9"/>
    <w:rsid w:val="00A940B8"/>
    <w:rsid w:val="00A940BF"/>
    <w:rsid w:val="00A944CE"/>
    <w:rsid w:val="00A947EC"/>
    <w:rsid w:val="00A94865"/>
    <w:rsid w:val="00A948CC"/>
    <w:rsid w:val="00A948FE"/>
    <w:rsid w:val="00A949AA"/>
    <w:rsid w:val="00A94B36"/>
    <w:rsid w:val="00A94B6F"/>
    <w:rsid w:val="00A94D08"/>
    <w:rsid w:val="00A95234"/>
    <w:rsid w:val="00A9523E"/>
    <w:rsid w:val="00A9551A"/>
    <w:rsid w:val="00A9566C"/>
    <w:rsid w:val="00A95984"/>
    <w:rsid w:val="00A959FD"/>
    <w:rsid w:val="00A95E8B"/>
    <w:rsid w:val="00A95F37"/>
    <w:rsid w:val="00A95FA2"/>
    <w:rsid w:val="00A96284"/>
    <w:rsid w:val="00A9639C"/>
    <w:rsid w:val="00A96547"/>
    <w:rsid w:val="00A9673D"/>
    <w:rsid w:val="00A96B7D"/>
    <w:rsid w:val="00A96BB4"/>
    <w:rsid w:val="00A96BF7"/>
    <w:rsid w:val="00A96C24"/>
    <w:rsid w:val="00A96F1E"/>
    <w:rsid w:val="00A97029"/>
    <w:rsid w:val="00A972AA"/>
    <w:rsid w:val="00A97C4E"/>
    <w:rsid w:val="00A97CCD"/>
    <w:rsid w:val="00A97D61"/>
    <w:rsid w:val="00A97E59"/>
    <w:rsid w:val="00AA01A7"/>
    <w:rsid w:val="00AA03FF"/>
    <w:rsid w:val="00AA0622"/>
    <w:rsid w:val="00AA0894"/>
    <w:rsid w:val="00AA09DD"/>
    <w:rsid w:val="00AA0CA2"/>
    <w:rsid w:val="00AA0E04"/>
    <w:rsid w:val="00AA0F19"/>
    <w:rsid w:val="00AA16B5"/>
    <w:rsid w:val="00AA1722"/>
    <w:rsid w:val="00AA17DC"/>
    <w:rsid w:val="00AA17DE"/>
    <w:rsid w:val="00AA1A49"/>
    <w:rsid w:val="00AA1BDA"/>
    <w:rsid w:val="00AA1FE4"/>
    <w:rsid w:val="00AA2573"/>
    <w:rsid w:val="00AA270A"/>
    <w:rsid w:val="00AA2778"/>
    <w:rsid w:val="00AA2827"/>
    <w:rsid w:val="00AA2C29"/>
    <w:rsid w:val="00AA2D7E"/>
    <w:rsid w:val="00AA303D"/>
    <w:rsid w:val="00AA304D"/>
    <w:rsid w:val="00AA3207"/>
    <w:rsid w:val="00AA367F"/>
    <w:rsid w:val="00AA375C"/>
    <w:rsid w:val="00AA392B"/>
    <w:rsid w:val="00AA395D"/>
    <w:rsid w:val="00AA3A95"/>
    <w:rsid w:val="00AA3BBD"/>
    <w:rsid w:val="00AA3C76"/>
    <w:rsid w:val="00AA42BD"/>
    <w:rsid w:val="00AA4605"/>
    <w:rsid w:val="00AA49C1"/>
    <w:rsid w:val="00AA4BA9"/>
    <w:rsid w:val="00AA4CAB"/>
    <w:rsid w:val="00AA501C"/>
    <w:rsid w:val="00AA5395"/>
    <w:rsid w:val="00AA5A44"/>
    <w:rsid w:val="00AA5AE8"/>
    <w:rsid w:val="00AA5D2C"/>
    <w:rsid w:val="00AA6099"/>
    <w:rsid w:val="00AA620A"/>
    <w:rsid w:val="00AA63BB"/>
    <w:rsid w:val="00AA63DD"/>
    <w:rsid w:val="00AA64B8"/>
    <w:rsid w:val="00AA6A98"/>
    <w:rsid w:val="00AA6B12"/>
    <w:rsid w:val="00AA6D10"/>
    <w:rsid w:val="00AA6DCA"/>
    <w:rsid w:val="00AA701B"/>
    <w:rsid w:val="00AA7233"/>
    <w:rsid w:val="00AA72EA"/>
    <w:rsid w:val="00AA740C"/>
    <w:rsid w:val="00AA74C7"/>
    <w:rsid w:val="00AA756E"/>
    <w:rsid w:val="00AA7576"/>
    <w:rsid w:val="00AA7A93"/>
    <w:rsid w:val="00AA7C13"/>
    <w:rsid w:val="00AA7C4F"/>
    <w:rsid w:val="00AA7CCE"/>
    <w:rsid w:val="00AA7D13"/>
    <w:rsid w:val="00AB029E"/>
    <w:rsid w:val="00AB0466"/>
    <w:rsid w:val="00AB06F7"/>
    <w:rsid w:val="00AB07D4"/>
    <w:rsid w:val="00AB0815"/>
    <w:rsid w:val="00AB0839"/>
    <w:rsid w:val="00AB097A"/>
    <w:rsid w:val="00AB10CE"/>
    <w:rsid w:val="00AB139F"/>
    <w:rsid w:val="00AB1594"/>
    <w:rsid w:val="00AB16DB"/>
    <w:rsid w:val="00AB172D"/>
    <w:rsid w:val="00AB174C"/>
    <w:rsid w:val="00AB17F6"/>
    <w:rsid w:val="00AB1A93"/>
    <w:rsid w:val="00AB1C80"/>
    <w:rsid w:val="00AB1ECF"/>
    <w:rsid w:val="00AB20B3"/>
    <w:rsid w:val="00AB21BD"/>
    <w:rsid w:val="00AB24B4"/>
    <w:rsid w:val="00AB28DC"/>
    <w:rsid w:val="00AB29E5"/>
    <w:rsid w:val="00AB29F3"/>
    <w:rsid w:val="00AB2BA2"/>
    <w:rsid w:val="00AB2E76"/>
    <w:rsid w:val="00AB2EC1"/>
    <w:rsid w:val="00AB2F54"/>
    <w:rsid w:val="00AB2F87"/>
    <w:rsid w:val="00AB2FE6"/>
    <w:rsid w:val="00AB31FA"/>
    <w:rsid w:val="00AB37AE"/>
    <w:rsid w:val="00AB3B32"/>
    <w:rsid w:val="00AB40E9"/>
    <w:rsid w:val="00AB43F4"/>
    <w:rsid w:val="00AB4439"/>
    <w:rsid w:val="00AB4593"/>
    <w:rsid w:val="00AB4595"/>
    <w:rsid w:val="00AB468E"/>
    <w:rsid w:val="00AB46A4"/>
    <w:rsid w:val="00AB4762"/>
    <w:rsid w:val="00AB48A2"/>
    <w:rsid w:val="00AB4AC5"/>
    <w:rsid w:val="00AB4BD0"/>
    <w:rsid w:val="00AB5046"/>
    <w:rsid w:val="00AB50C4"/>
    <w:rsid w:val="00AB52F2"/>
    <w:rsid w:val="00AB52F5"/>
    <w:rsid w:val="00AB5781"/>
    <w:rsid w:val="00AB57CF"/>
    <w:rsid w:val="00AB5836"/>
    <w:rsid w:val="00AB58DE"/>
    <w:rsid w:val="00AB58E8"/>
    <w:rsid w:val="00AB59F6"/>
    <w:rsid w:val="00AB5AF2"/>
    <w:rsid w:val="00AB5BFF"/>
    <w:rsid w:val="00AB5C90"/>
    <w:rsid w:val="00AB6670"/>
    <w:rsid w:val="00AB6706"/>
    <w:rsid w:val="00AB6818"/>
    <w:rsid w:val="00AB69C1"/>
    <w:rsid w:val="00AB6BFA"/>
    <w:rsid w:val="00AB718F"/>
    <w:rsid w:val="00AB722D"/>
    <w:rsid w:val="00AB77FA"/>
    <w:rsid w:val="00AB799D"/>
    <w:rsid w:val="00AB7A69"/>
    <w:rsid w:val="00AB7C5D"/>
    <w:rsid w:val="00AB7D02"/>
    <w:rsid w:val="00AB7D51"/>
    <w:rsid w:val="00AC015F"/>
    <w:rsid w:val="00AC0316"/>
    <w:rsid w:val="00AC05FD"/>
    <w:rsid w:val="00AC0627"/>
    <w:rsid w:val="00AC06EE"/>
    <w:rsid w:val="00AC0911"/>
    <w:rsid w:val="00AC0A36"/>
    <w:rsid w:val="00AC0B68"/>
    <w:rsid w:val="00AC0B8C"/>
    <w:rsid w:val="00AC0BF4"/>
    <w:rsid w:val="00AC0D13"/>
    <w:rsid w:val="00AC0FBC"/>
    <w:rsid w:val="00AC1072"/>
    <w:rsid w:val="00AC1347"/>
    <w:rsid w:val="00AC134B"/>
    <w:rsid w:val="00AC145E"/>
    <w:rsid w:val="00AC14CF"/>
    <w:rsid w:val="00AC1687"/>
    <w:rsid w:val="00AC1A8A"/>
    <w:rsid w:val="00AC1B46"/>
    <w:rsid w:val="00AC1BCC"/>
    <w:rsid w:val="00AC1CBA"/>
    <w:rsid w:val="00AC1E51"/>
    <w:rsid w:val="00AC1E89"/>
    <w:rsid w:val="00AC2034"/>
    <w:rsid w:val="00AC2876"/>
    <w:rsid w:val="00AC2BA2"/>
    <w:rsid w:val="00AC2F40"/>
    <w:rsid w:val="00AC2FAB"/>
    <w:rsid w:val="00AC311C"/>
    <w:rsid w:val="00AC316C"/>
    <w:rsid w:val="00AC321E"/>
    <w:rsid w:val="00AC33A8"/>
    <w:rsid w:val="00AC3514"/>
    <w:rsid w:val="00AC375A"/>
    <w:rsid w:val="00AC3A8A"/>
    <w:rsid w:val="00AC3A9F"/>
    <w:rsid w:val="00AC3C8E"/>
    <w:rsid w:val="00AC3D3F"/>
    <w:rsid w:val="00AC3D45"/>
    <w:rsid w:val="00AC3DB6"/>
    <w:rsid w:val="00AC4684"/>
    <w:rsid w:val="00AC478D"/>
    <w:rsid w:val="00AC4B93"/>
    <w:rsid w:val="00AC4C3B"/>
    <w:rsid w:val="00AC535F"/>
    <w:rsid w:val="00AC547D"/>
    <w:rsid w:val="00AC54C2"/>
    <w:rsid w:val="00AC54E1"/>
    <w:rsid w:val="00AC5504"/>
    <w:rsid w:val="00AC5533"/>
    <w:rsid w:val="00AC5656"/>
    <w:rsid w:val="00AC566A"/>
    <w:rsid w:val="00AC5689"/>
    <w:rsid w:val="00AC575C"/>
    <w:rsid w:val="00AC585E"/>
    <w:rsid w:val="00AC59DF"/>
    <w:rsid w:val="00AC5B7E"/>
    <w:rsid w:val="00AC5D3C"/>
    <w:rsid w:val="00AC5F5F"/>
    <w:rsid w:val="00AC6661"/>
    <w:rsid w:val="00AC6757"/>
    <w:rsid w:val="00AC6A37"/>
    <w:rsid w:val="00AC7081"/>
    <w:rsid w:val="00AC71CD"/>
    <w:rsid w:val="00AC733B"/>
    <w:rsid w:val="00AC75F1"/>
    <w:rsid w:val="00AC77D6"/>
    <w:rsid w:val="00AC78E6"/>
    <w:rsid w:val="00AC7C0B"/>
    <w:rsid w:val="00AC7D48"/>
    <w:rsid w:val="00AD048A"/>
    <w:rsid w:val="00AD0571"/>
    <w:rsid w:val="00AD079B"/>
    <w:rsid w:val="00AD08D1"/>
    <w:rsid w:val="00AD08D7"/>
    <w:rsid w:val="00AD08DC"/>
    <w:rsid w:val="00AD08DF"/>
    <w:rsid w:val="00AD0A51"/>
    <w:rsid w:val="00AD0A92"/>
    <w:rsid w:val="00AD0D61"/>
    <w:rsid w:val="00AD1117"/>
    <w:rsid w:val="00AD1136"/>
    <w:rsid w:val="00AD14A9"/>
    <w:rsid w:val="00AD177C"/>
    <w:rsid w:val="00AD17B3"/>
    <w:rsid w:val="00AD1A73"/>
    <w:rsid w:val="00AD1AC2"/>
    <w:rsid w:val="00AD2210"/>
    <w:rsid w:val="00AD238F"/>
    <w:rsid w:val="00AD2598"/>
    <w:rsid w:val="00AD287D"/>
    <w:rsid w:val="00AD29D2"/>
    <w:rsid w:val="00AD2A53"/>
    <w:rsid w:val="00AD2A8F"/>
    <w:rsid w:val="00AD2B2B"/>
    <w:rsid w:val="00AD2D62"/>
    <w:rsid w:val="00AD3149"/>
    <w:rsid w:val="00AD32A5"/>
    <w:rsid w:val="00AD3344"/>
    <w:rsid w:val="00AD3355"/>
    <w:rsid w:val="00AD3555"/>
    <w:rsid w:val="00AD3864"/>
    <w:rsid w:val="00AD3A85"/>
    <w:rsid w:val="00AD3AA6"/>
    <w:rsid w:val="00AD3AA9"/>
    <w:rsid w:val="00AD3B1A"/>
    <w:rsid w:val="00AD3C61"/>
    <w:rsid w:val="00AD4236"/>
    <w:rsid w:val="00AD4283"/>
    <w:rsid w:val="00AD4309"/>
    <w:rsid w:val="00AD493E"/>
    <w:rsid w:val="00AD4A01"/>
    <w:rsid w:val="00AD4BD7"/>
    <w:rsid w:val="00AD4E2E"/>
    <w:rsid w:val="00AD4F7F"/>
    <w:rsid w:val="00AD4F9B"/>
    <w:rsid w:val="00AD4FEF"/>
    <w:rsid w:val="00AD4FFA"/>
    <w:rsid w:val="00AD5700"/>
    <w:rsid w:val="00AD572D"/>
    <w:rsid w:val="00AD5C06"/>
    <w:rsid w:val="00AD5F09"/>
    <w:rsid w:val="00AD6420"/>
    <w:rsid w:val="00AD653D"/>
    <w:rsid w:val="00AD67EE"/>
    <w:rsid w:val="00AD6B78"/>
    <w:rsid w:val="00AD6C52"/>
    <w:rsid w:val="00AD6E6E"/>
    <w:rsid w:val="00AD74BF"/>
    <w:rsid w:val="00AD7637"/>
    <w:rsid w:val="00AD770B"/>
    <w:rsid w:val="00AD7798"/>
    <w:rsid w:val="00AD7805"/>
    <w:rsid w:val="00AD7854"/>
    <w:rsid w:val="00AD7928"/>
    <w:rsid w:val="00AD7EB4"/>
    <w:rsid w:val="00AE037D"/>
    <w:rsid w:val="00AE06DC"/>
    <w:rsid w:val="00AE0817"/>
    <w:rsid w:val="00AE08C5"/>
    <w:rsid w:val="00AE09B4"/>
    <w:rsid w:val="00AE09BC"/>
    <w:rsid w:val="00AE09FA"/>
    <w:rsid w:val="00AE0A98"/>
    <w:rsid w:val="00AE0AB5"/>
    <w:rsid w:val="00AE0B3B"/>
    <w:rsid w:val="00AE0CAC"/>
    <w:rsid w:val="00AE0E37"/>
    <w:rsid w:val="00AE11B3"/>
    <w:rsid w:val="00AE1361"/>
    <w:rsid w:val="00AE14F0"/>
    <w:rsid w:val="00AE157D"/>
    <w:rsid w:val="00AE1697"/>
    <w:rsid w:val="00AE1945"/>
    <w:rsid w:val="00AE1B29"/>
    <w:rsid w:val="00AE1BBB"/>
    <w:rsid w:val="00AE1BEA"/>
    <w:rsid w:val="00AE1E42"/>
    <w:rsid w:val="00AE1E49"/>
    <w:rsid w:val="00AE21FD"/>
    <w:rsid w:val="00AE2241"/>
    <w:rsid w:val="00AE258F"/>
    <w:rsid w:val="00AE297B"/>
    <w:rsid w:val="00AE2A9B"/>
    <w:rsid w:val="00AE2A9D"/>
    <w:rsid w:val="00AE2F2D"/>
    <w:rsid w:val="00AE3017"/>
    <w:rsid w:val="00AE3137"/>
    <w:rsid w:val="00AE3260"/>
    <w:rsid w:val="00AE3320"/>
    <w:rsid w:val="00AE3448"/>
    <w:rsid w:val="00AE34B5"/>
    <w:rsid w:val="00AE3D31"/>
    <w:rsid w:val="00AE3E27"/>
    <w:rsid w:val="00AE4042"/>
    <w:rsid w:val="00AE408A"/>
    <w:rsid w:val="00AE40F3"/>
    <w:rsid w:val="00AE411D"/>
    <w:rsid w:val="00AE4154"/>
    <w:rsid w:val="00AE46A0"/>
    <w:rsid w:val="00AE47BD"/>
    <w:rsid w:val="00AE4889"/>
    <w:rsid w:val="00AE4970"/>
    <w:rsid w:val="00AE4982"/>
    <w:rsid w:val="00AE49C3"/>
    <w:rsid w:val="00AE4A07"/>
    <w:rsid w:val="00AE4C5C"/>
    <w:rsid w:val="00AE5045"/>
    <w:rsid w:val="00AE52DE"/>
    <w:rsid w:val="00AE536E"/>
    <w:rsid w:val="00AE5501"/>
    <w:rsid w:val="00AE566C"/>
    <w:rsid w:val="00AE5713"/>
    <w:rsid w:val="00AE574E"/>
    <w:rsid w:val="00AE5754"/>
    <w:rsid w:val="00AE58B9"/>
    <w:rsid w:val="00AE5CF0"/>
    <w:rsid w:val="00AE5D6C"/>
    <w:rsid w:val="00AE5E9C"/>
    <w:rsid w:val="00AE5F2F"/>
    <w:rsid w:val="00AE6073"/>
    <w:rsid w:val="00AE6130"/>
    <w:rsid w:val="00AE6155"/>
    <w:rsid w:val="00AE61F3"/>
    <w:rsid w:val="00AE6492"/>
    <w:rsid w:val="00AE66B9"/>
    <w:rsid w:val="00AE684D"/>
    <w:rsid w:val="00AE687D"/>
    <w:rsid w:val="00AE68C1"/>
    <w:rsid w:val="00AE6B02"/>
    <w:rsid w:val="00AE6C5E"/>
    <w:rsid w:val="00AE6C83"/>
    <w:rsid w:val="00AE6D43"/>
    <w:rsid w:val="00AE73AF"/>
    <w:rsid w:val="00AE7465"/>
    <w:rsid w:val="00AE7491"/>
    <w:rsid w:val="00AE7517"/>
    <w:rsid w:val="00AE78C7"/>
    <w:rsid w:val="00AE7B79"/>
    <w:rsid w:val="00AE7ECF"/>
    <w:rsid w:val="00AE7F11"/>
    <w:rsid w:val="00AE7F1E"/>
    <w:rsid w:val="00AF0062"/>
    <w:rsid w:val="00AF0171"/>
    <w:rsid w:val="00AF028B"/>
    <w:rsid w:val="00AF0754"/>
    <w:rsid w:val="00AF0758"/>
    <w:rsid w:val="00AF08AE"/>
    <w:rsid w:val="00AF0967"/>
    <w:rsid w:val="00AF09CD"/>
    <w:rsid w:val="00AF1297"/>
    <w:rsid w:val="00AF13B3"/>
    <w:rsid w:val="00AF1BBE"/>
    <w:rsid w:val="00AF1E53"/>
    <w:rsid w:val="00AF20A3"/>
    <w:rsid w:val="00AF2109"/>
    <w:rsid w:val="00AF21C3"/>
    <w:rsid w:val="00AF25A1"/>
    <w:rsid w:val="00AF25EC"/>
    <w:rsid w:val="00AF2629"/>
    <w:rsid w:val="00AF2676"/>
    <w:rsid w:val="00AF2713"/>
    <w:rsid w:val="00AF27CD"/>
    <w:rsid w:val="00AF2B67"/>
    <w:rsid w:val="00AF2FC9"/>
    <w:rsid w:val="00AF33A5"/>
    <w:rsid w:val="00AF3523"/>
    <w:rsid w:val="00AF3870"/>
    <w:rsid w:val="00AF38B6"/>
    <w:rsid w:val="00AF3957"/>
    <w:rsid w:val="00AF3B9D"/>
    <w:rsid w:val="00AF3C29"/>
    <w:rsid w:val="00AF3D03"/>
    <w:rsid w:val="00AF3D6C"/>
    <w:rsid w:val="00AF3E38"/>
    <w:rsid w:val="00AF408C"/>
    <w:rsid w:val="00AF4122"/>
    <w:rsid w:val="00AF417A"/>
    <w:rsid w:val="00AF41AB"/>
    <w:rsid w:val="00AF41FE"/>
    <w:rsid w:val="00AF4305"/>
    <w:rsid w:val="00AF4340"/>
    <w:rsid w:val="00AF43E4"/>
    <w:rsid w:val="00AF440F"/>
    <w:rsid w:val="00AF4588"/>
    <w:rsid w:val="00AF48C5"/>
    <w:rsid w:val="00AF4900"/>
    <w:rsid w:val="00AF49A4"/>
    <w:rsid w:val="00AF4B26"/>
    <w:rsid w:val="00AF4F3A"/>
    <w:rsid w:val="00AF50A8"/>
    <w:rsid w:val="00AF5435"/>
    <w:rsid w:val="00AF5833"/>
    <w:rsid w:val="00AF593F"/>
    <w:rsid w:val="00AF5B64"/>
    <w:rsid w:val="00AF5E07"/>
    <w:rsid w:val="00AF61A5"/>
    <w:rsid w:val="00AF61D7"/>
    <w:rsid w:val="00AF6681"/>
    <w:rsid w:val="00AF6742"/>
    <w:rsid w:val="00AF677A"/>
    <w:rsid w:val="00AF6975"/>
    <w:rsid w:val="00AF6A36"/>
    <w:rsid w:val="00AF6D35"/>
    <w:rsid w:val="00AF6DFE"/>
    <w:rsid w:val="00AF6EF5"/>
    <w:rsid w:val="00AF6F33"/>
    <w:rsid w:val="00AF6F44"/>
    <w:rsid w:val="00AF72B0"/>
    <w:rsid w:val="00AF7471"/>
    <w:rsid w:val="00AF74E1"/>
    <w:rsid w:val="00AF74E8"/>
    <w:rsid w:val="00AF74EE"/>
    <w:rsid w:val="00AF792C"/>
    <w:rsid w:val="00AF795A"/>
    <w:rsid w:val="00AF7CDB"/>
    <w:rsid w:val="00AF7E0D"/>
    <w:rsid w:val="00AF7F32"/>
    <w:rsid w:val="00B001FC"/>
    <w:rsid w:val="00B0038E"/>
    <w:rsid w:val="00B0054F"/>
    <w:rsid w:val="00B00556"/>
    <w:rsid w:val="00B0056D"/>
    <w:rsid w:val="00B005F8"/>
    <w:rsid w:val="00B00962"/>
    <w:rsid w:val="00B0098F"/>
    <w:rsid w:val="00B009DD"/>
    <w:rsid w:val="00B00ECB"/>
    <w:rsid w:val="00B01129"/>
    <w:rsid w:val="00B01386"/>
    <w:rsid w:val="00B013BF"/>
    <w:rsid w:val="00B014D8"/>
    <w:rsid w:val="00B01D0C"/>
    <w:rsid w:val="00B01F0A"/>
    <w:rsid w:val="00B01F6F"/>
    <w:rsid w:val="00B01F74"/>
    <w:rsid w:val="00B02209"/>
    <w:rsid w:val="00B023E9"/>
    <w:rsid w:val="00B024A5"/>
    <w:rsid w:val="00B027D3"/>
    <w:rsid w:val="00B0281E"/>
    <w:rsid w:val="00B02843"/>
    <w:rsid w:val="00B02859"/>
    <w:rsid w:val="00B02AC3"/>
    <w:rsid w:val="00B030ED"/>
    <w:rsid w:val="00B03634"/>
    <w:rsid w:val="00B0369B"/>
    <w:rsid w:val="00B04291"/>
    <w:rsid w:val="00B0429E"/>
    <w:rsid w:val="00B043C2"/>
    <w:rsid w:val="00B0453E"/>
    <w:rsid w:val="00B04B9A"/>
    <w:rsid w:val="00B04C2F"/>
    <w:rsid w:val="00B04DCE"/>
    <w:rsid w:val="00B0522D"/>
    <w:rsid w:val="00B054CB"/>
    <w:rsid w:val="00B05838"/>
    <w:rsid w:val="00B05A52"/>
    <w:rsid w:val="00B05E8C"/>
    <w:rsid w:val="00B05F23"/>
    <w:rsid w:val="00B0602C"/>
    <w:rsid w:val="00B06030"/>
    <w:rsid w:val="00B063F9"/>
    <w:rsid w:val="00B06528"/>
    <w:rsid w:val="00B0662B"/>
    <w:rsid w:val="00B0695E"/>
    <w:rsid w:val="00B069E8"/>
    <w:rsid w:val="00B06A8F"/>
    <w:rsid w:val="00B06AB9"/>
    <w:rsid w:val="00B06D4A"/>
    <w:rsid w:val="00B06F58"/>
    <w:rsid w:val="00B07063"/>
    <w:rsid w:val="00B07175"/>
    <w:rsid w:val="00B07424"/>
    <w:rsid w:val="00B074B6"/>
    <w:rsid w:val="00B07676"/>
    <w:rsid w:val="00B07816"/>
    <w:rsid w:val="00B079B3"/>
    <w:rsid w:val="00B07A9C"/>
    <w:rsid w:val="00B1023A"/>
    <w:rsid w:val="00B105DD"/>
    <w:rsid w:val="00B106DC"/>
    <w:rsid w:val="00B10707"/>
    <w:rsid w:val="00B1074A"/>
    <w:rsid w:val="00B1088E"/>
    <w:rsid w:val="00B10893"/>
    <w:rsid w:val="00B10E0B"/>
    <w:rsid w:val="00B10F20"/>
    <w:rsid w:val="00B1125A"/>
    <w:rsid w:val="00B113EF"/>
    <w:rsid w:val="00B114B0"/>
    <w:rsid w:val="00B11711"/>
    <w:rsid w:val="00B11973"/>
    <w:rsid w:val="00B119E7"/>
    <w:rsid w:val="00B11AC7"/>
    <w:rsid w:val="00B11C2E"/>
    <w:rsid w:val="00B1204D"/>
    <w:rsid w:val="00B121D0"/>
    <w:rsid w:val="00B1232F"/>
    <w:rsid w:val="00B12406"/>
    <w:rsid w:val="00B12497"/>
    <w:rsid w:val="00B1255E"/>
    <w:rsid w:val="00B127F1"/>
    <w:rsid w:val="00B129F5"/>
    <w:rsid w:val="00B12B68"/>
    <w:rsid w:val="00B12C42"/>
    <w:rsid w:val="00B12DA8"/>
    <w:rsid w:val="00B12DE4"/>
    <w:rsid w:val="00B132D4"/>
    <w:rsid w:val="00B132E8"/>
    <w:rsid w:val="00B138B5"/>
    <w:rsid w:val="00B139E6"/>
    <w:rsid w:val="00B13A21"/>
    <w:rsid w:val="00B13B24"/>
    <w:rsid w:val="00B13E2C"/>
    <w:rsid w:val="00B13F5E"/>
    <w:rsid w:val="00B141BB"/>
    <w:rsid w:val="00B1432C"/>
    <w:rsid w:val="00B14362"/>
    <w:rsid w:val="00B1439A"/>
    <w:rsid w:val="00B144E3"/>
    <w:rsid w:val="00B14765"/>
    <w:rsid w:val="00B1480D"/>
    <w:rsid w:val="00B14A52"/>
    <w:rsid w:val="00B14B0B"/>
    <w:rsid w:val="00B14C27"/>
    <w:rsid w:val="00B14CF2"/>
    <w:rsid w:val="00B15198"/>
    <w:rsid w:val="00B15471"/>
    <w:rsid w:val="00B156BA"/>
    <w:rsid w:val="00B15790"/>
    <w:rsid w:val="00B159CC"/>
    <w:rsid w:val="00B15B8E"/>
    <w:rsid w:val="00B15CB6"/>
    <w:rsid w:val="00B15D30"/>
    <w:rsid w:val="00B15F8D"/>
    <w:rsid w:val="00B16143"/>
    <w:rsid w:val="00B16472"/>
    <w:rsid w:val="00B164DE"/>
    <w:rsid w:val="00B165B5"/>
    <w:rsid w:val="00B166EE"/>
    <w:rsid w:val="00B167AF"/>
    <w:rsid w:val="00B167C5"/>
    <w:rsid w:val="00B16A6D"/>
    <w:rsid w:val="00B16C48"/>
    <w:rsid w:val="00B174A2"/>
    <w:rsid w:val="00B17699"/>
    <w:rsid w:val="00B177BB"/>
    <w:rsid w:val="00B179B6"/>
    <w:rsid w:val="00B179F4"/>
    <w:rsid w:val="00B17A39"/>
    <w:rsid w:val="00B17E74"/>
    <w:rsid w:val="00B20116"/>
    <w:rsid w:val="00B203BA"/>
    <w:rsid w:val="00B20811"/>
    <w:rsid w:val="00B20A5F"/>
    <w:rsid w:val="00B20B2B"/>
    <w:rsid w:val="00B20BAF"/>
    <w:rsid w:val="00B20C5F"/>
    <w:rsid w:val="00B20D2A"/>
    <w:rsid w:val="00B20DAE"/>
    <w:rsid w:val="00B20EB2"/>
    <w:rsid w:val="00B20F78"/>
    <w:rsid w:val="00B213F9"/>
    <w:rsid w:val="00B2161E"/>
    <w:rsid w:val="00B2170B"/>
    <w:rsid w:val="00B220FD"/>
    <w:rsid w:val="00B22159"/>
    <w:rsid w:val="00B22501"/>
    <w:rsid w:val="00B2255F"/>
    <w:rsid w:val="00B225BE"/>
    <w:rsid w:val="00B2261D"/>
    <w:rsid w:val="00B226FD"/>
    <w:rsid w:val="00B227AA"/>
    <w:rsid w:val="00B229CD"/>
    <w:rsid w:val="00B231BC"/>
    <w:rsid w:val="00B2359A"/>
    <w:rsid w:val="00B23922"/>
    <w:rsid w:val="00B239D3"/>
    <w:rsid w:val="00B23B7A"/>
    <w:rsid w:val="00B23BEF"/>
    <w:rsid w:val="00B23C1D"/>
    <w:rsid w:val="00B23EE9"/>
    <w:rsid w:val="00B23F98"/>
    <w:rsid w:val="00B2410F"/>
    <w:rsid w:val="00B243D9"/>
    <w:rsid w:val="00B24418"/>
    <w:rsid w:val="00B2446A"/>
    <w:rsid w:val="00B24536"/>
    <w:rsid w:val="00B246C8"/>
    <w:rsid w:val="00B2475F"/>
    <w:rsid w:val="00B24873"/>
    <w:rsid w:val="00B2497C"/>
    <w:rsid w:val="00B24A7E"/>
    <w:rsid w:val="00B24D54"/>
    <w:rsid w:val="00B24F01"/>
    <w:rsid w:val="00B251DB"/>
    <w:rsid w:val="00B2529F"/>
    <w:rsid w:val="00B252C2"/>
    <w:rsid w:val="00B25309"/>
    <w:rsid w:val="00B2531E"/>
    <w:rsid w:val="00B25BD4"/>
    <w:rsid w:val="00B25D50"/>
    <w:rsid w:val="00B25D5C"/>
    <w:rsid w:val="00B25EDB"/>
    <w:rsid w:val="00B262BE"/>
    <w:rsid w:val="00B263FD"/>
    <w:rsid w:val="00B26807"/>
    <w:rsid w:val="00B2697D"/>
    <w:rsid w:val="00B26B73"/>
    <w:rsid w:val="00B26C25"/>
    <w:rsid w:val="00B273D5"/>
    <w:rsid w:val="00B274F7"/>
    <w:rsid w:val="00B27542"/>
    <w:rsid w:val="00B27577"/>
    <w:rsid w:val="00B2793E"/>
    <w:rsid w:val="00B27AB2"/>
    <w:rsid w:val="00B27D8C"/>
    <w:rsid w:val="00B27DC9"/>
    <w:rsid w:val="00B27DF7"/>
    <w:rsid w:val="00B27ED7"/>
    <w:rsid w:val="00B30107"/>
    <w:rsid w:val="00B30127"/>
    <w:rsid w:val="00B3021A"/>
    <w:rsid w:val="00B302A7"/>
    <w:rsid w:val="00B30C92"/>
    <w:rsid w:val="00B311CC"/>
    <w:rsid w:val="00B31230"/>
    <w:rsid w:val="00B3134A"/>
    <w:rsid w:val="00B31379"/>
    <w:rsid w:val="00B313AD"/>
    <w:rsid w:val="00B31748"/>
    <w:rsid w:val="00B31754"/>
    <w:rsid w:val="00B31792"/>
    <w:rsid w:val="00B3183C"/>
    <w:rsid w:val="00B31D01"/>
    <w:rsid w:val="00B31DD2"/>
    <w:rsid w:val="00B3226F"/>
    <w:rsid w:val="00B323CF"/>
    <w:rsid w:val="00B324DE"/>
    <w:rsid w:val="00B32576"/>
    <w:rsid w:val="00B327BD"/>
    <w:rsid w:val="00B32834"/>
    <w:rsid w:val="00B3291F"/>
    <w:rsid w:val="00B32EB0"/>
    <w:rsid w:val="00B331BE"/>
    <w:rsid w:val="00B331E4"/>
    <w:rsid w:val="00B331F0"/>
    <w:rsid w:val="00B33217"/>
    <w:rsid w:val="00B332B1"/>
    <w:rsid w:val="00B332B3"/>
    <w:rsid w:val="00B333B9"/>
    <w:rsid w:val="00B335A2"/>
    <w:rsid w:val="00B3362F"/>
    <w:rsid w:val="00B33950"/>
    <w:rsid w:val="00B340B2"/>
    <w:rsid w:val="00B34179"/>
    <w:rsid w:val="00B342E4"/>
    <w:rsid w:val="00B34388"/>
    <w:rsid w:val="00B343ED"/>
    <w:rsid w:val="00B34617"/>
    <w:rsid w:val="00B34741"/>
    <w:rsid w:val="00B347D3"/>
    <w:rsid w:val="00B34BF4"/>
    <w:rsid w:val="00B34DA8"/>
    <w:rsid w:val="00B34E34"/>
    <w:rsid w:val="00B350D1"/>
    <w:rsid w:val="00B350F9"/>
    <w:rsid w:val="00B35104"/>
    <w:rsid w:val="00B35142"/>
    <w:rsid w:val="00B3536A"/>
    <w:rsid w:val="00B356D2"/>
    <w:rsid w:val="00B35C0C"/>
    <w:rsid w:val="00B35CB7"/>
    <w:rsid w:val="00B35D0B"/>
    <w:rsid w:val="00B35D9C"/>
    <w:rsid w:val="00B35EBA"/>
    <w:rsid w:val="00B36033"/>
    <w:rsid w:val="00B36107"/>
    <w:rsid w:val="00B36125"/>
    <w:rsid w:val="00B361DB"/>
    <w:rsid w:val="00B36513"/>
    <w:rsid w:val="00B36854"/>
    <w:rsid w:val="00B36B13"/>
    <w:rsid w:val="00B36C10"/>
    <w:rsid w:val="00B36CDD"/>
    <w:rsid w:val="00B36DC5"/>
    <w:rsid w:val="00B36F58"/>
    <w:rsid w:val="00B36F71"/>
    <w:rsid w:val="00B3701E"/>
    <w:rsid w:val="00B3710A"/>
    <w:rsid w:val="00B3713F"/>
    <w:rsid w:val="00B373F0"/>
    <w:rsid w:val="00B376F0"/>
    <w:rsid w:val="00B37A43"/>
    <w:rsid w:val="00B37D92"/>
    <w:rsid w:val="00B40027"/>
    <w:rsid w:val="00B4003C"/>
    <w:rsid w:val="00B40181"/>
    <w:rsid w:val="00B40345"/>
    <w:rsid w:val="00B40705"/>
    <w:rsid w:val="00B407C5"/>
    <w:rsid w:val="00B40B24"/>
    <w:rsid w:val="00B40D5B"/>
    <w:rsid w:val="00B40D9E"/>
    <w:rsid w:val="00B40DD6"/>
    <w:rsid w:val="00B41346"/>
    <w:rsid w:val="00B416A6"/>
    <w:rsid w:val="00B41B37"/>
    <w:rsid w:val="00B41BD8"/>
    <w:rsid w:val="00B42141"/>
    <w:rsid w:val="00B421D9"/>
    <w:rsid w:val="00B421EC"/>
    <w:rsid w:val="00B4228E"/>
    <w:rsid w:val="00B42592"/>
    <w:rsid w:val="00B42747"/>
    <w:rsid w:val="00B42824"/>
    <w:rsid w:val="00B42DED"/>
    <w:rsid w:val="00B430A5"/>
    <w:rsid w:val="00B430F6"/>
    <w:rsid w:val="00B43221"/>
    <w:rsid w:val="00B433F8"/>
    <w:rsid w:val="00B43799"/>
    <w:rsid w:val="00B4385D"/>
    <w:rsid w:val="00B4392F"/>
    <w:rsid w:val="00B43CA8"/>
    <w:rsid w:val="00B43D08"/>
    <w:rsid w:val="00B43DE3"/>
    <w:rsid w:val="00B43EA3"/>
    <w:rsid w:val="00B43F9D"/>
    <w:rsid w:val="00B441D4"/>
    <w:rsid w:val="00B4438D"/>
    <w:rsid w:val="00B443B5"/>
    <w:rsid w:val="00B44765"/>
    <w:rsid w:val="00B44A2E"/>
    <w:rsid w:val="00B44BBC"/>
    <w:rsid w:val="00B45082"/>
    <w:rsid w:val="00B450AF"/>
    <w:rsid w:val="00B450EE"/>
    <w:rsid w:val="00B45195"/>
    <w:rsid w:val="00B4524F"/>
    <w:rsid w:val="00B453E1"/>
    <w:rsid w:val="00B45427"/>
    <w:rsid w:val="00B454D6"/>
    <w:rsid w:val="00B45D43"/>
    <w:rsid w:val="00B45E08"/>
    <w:rsid w:val="00B4614D"/>
    <w:rsid w:val="00B4614F"/>
    <w:rsid w:val="00B46158"/>
    <w:rsid w:val="00B461D2"/>
    <w:rsid w:val="00B46382"/>
    <w:rsid w:val="00B464B0"/>
    <w:rsid w:val="00B465DA"/>
    <w:rsid w:val="00B4679B"/>
    <w:rsid w:val="00B468DA"/>
    <w:rsid w:val="00B470C1"/>
    <w:rsid w:val="00B471A5"/>
    <w:rsid w:val="00B47425"/>
    <w:rsid w:val="00B47531"/>
    <w:rsid w:val="00B47719"/>
    <w:rsid w:val="00B47767"/>
    <w:rsid w:val="00B4797F"/>
    <w:rsid w:val="00B47B2A"/>
    <w:rsid w:val="00B500CE"/>
    <w:rsid w:val="00B501C0"/>
    <w:rsid w:val="00B50229"/>
    <w:rsid w:val="00B50266"/>
    <w:rsid w:val="00B5040B"/>
    <w:rsid w:val="00B50621"/>
    <w:rsid w:val="00B5063F"/>
    <w:rsid w:val="00B50718"/>
    <w:rsid w:val="00B5073E"/>
    <w:rsid w:val="00B50A10"/>
    <w:rsid w:val="00B50A61"/>
    <w:rsid w:val="00B50D82"/>
    <w:rsid w:val="00B50DF0"/>
    <w:rsid w:val="00B50FE5"/>
    <w:rsid w:val="00B51020"/>
    <w:rsid w:val="00B51446"/>
    <w:rsid w:val="00B51873"/>
    <w:rsid w:val="00B51915"/>
    <w:rsid w:val="00B51A3D"/>
    <w:rsid w:val="00B51AAF"/>
    <w:rsid w:val="00B52663"/>
    <w:rsid w:val="00B526C4"/>
    <w:rsid w:val="00B526C5"/>
    <w:rsid w:val="00B527D3"/>
    <w:rsid w:val="00B527E4"/>
    <w:rsid w:val="00B529D7"/>
    <w:rsid w:val="00B529DD"/>
    <w:rsid w:val="00B52A8F"/>
    <w:rsid w:val="00B52A9F"/>
    <w:rsid w:val="00B52B53"/>
    <w:rsid w:val="00B52BE6"/>
    <w:rsid w:val="00B52C55"/>
    <w:rsid w:val="00B52DFA"/>
    <w:rsid w:val="00B52E93"/>
    <w:rsid w:val="00B52ED7"/>
    <w:rsid w:val="00B52F42"/>
    <w:rsid w:val="00B530EC"/>
    <w:rsid w:val="00B53407"/>
    <w:rsid w:val="00B53AAD"/>
    <w:rsid w:val="00B53C50"/>
    <w:rsid w:val="00B53CA6"/>
    <w:rsid w:val="00B53CFA"/>
    <w:rsid w:val="00B53D6E"/>
    <w:rsid w:val="00B54002"/>
    <w:rsid w:val="00B54330"/>
    <w:rsid w:val="00B543EA"/>
    <w:rsid w:val="00B544D4"/>
    <w:rsid w:val="00B549BA"/>
    <w:rsid w:val="00B54A27"/>
    <w:rsid w:val="00B54CA8"/>
    <w:rsid w:val="00B54CF9"/>
    <w:rsid w:val="00B54E00"/>
    <w:rsid w:val="00B54E13"/>
    <w:rsid w:val="00B54E7A"/>
    <w:rsid w:val="00B55212"/>
    <w:rsid w:val="00B55493"/>
    <w:rsid w:val="00B55653"/>
    <w:rsid w:val="00B558FC"/>
    <w:rsid w:val="00B55A54"/>
    <w:rsid w:val="00B55B3D"/>
    <w:rsid w:val="00B55BCA"/>
    <w:rsid w:val="00B55C14"/>
    <w:rsid w:val="00B55E2F"/>
    <w:rsid w:val="00B5600C"/>
    <w:rsid w:val="00B561A3"/>
    <w:rsid w:val="00B561A9"/>
    <w:rsid w:val="00B5626E"/>
    <w:rsid w:val="00B564BC"/>
    <w:rsid w:val="00B564F8"/>
    <w:rsid w:val="00B56615"/>
    <w:rsid w:val="00B566FF"/>
    <w:rsid w:val="00B56790"/>
    <w:rsid w:val="00B567AB"/>
    <w:rsid w:val="00B56B36"/>
    <w:rsid w:val="00B56CA3"/>
    <w:rsid w:val="00B56EB9"/>
    <w:rsid w:val="00B5710C"/>
    <w:rsid w:val="00B57324"/>
    <w:rsid w:val="00B573BD"/>
    <w:rsid w:val="00B5757C"/>
    <w:rsid w:val="00B57AA6"/>
    <w:rsid w:val="00B57C1A"/>
    <w:rsid w:val="00B60154"/>
    <w:rsid w:val="00B603A7"/>
    <w:rsid w:val="00B60518"/>
    <w:rsid w:val="00B605EC"/>
    <w:rsid w:val="00B609D9"/>
    <w:rsid w:val="00B61064"/>
    <w:rsid w:val="00B61071"/>
    <w:rsid w:val="00B61494"/>
    <w:rsid w:val="00B61A89"/>
    <w:rsid w:val="00B61B12"/>
    <w:rsid w:val="00B61B24"/>
    <w:rsid w:val="00B61C4D"/>
    <w:rsid w:val="00B61E99"/>
    <w:rsid w:val="00B61FD7"/>
    <w:rsid w:val="00B6207D"/>
    <w:rsid w:val="00B62156"/>
    <w:rsid w:val="00B625B2"/>
    <w:rsid w:val="00B625DB"/>
    <w:rsid w:val="00B62A41"/>
    <w:rsid w:val="00B62A77"/>
    <w:rsid w:val="00B62AF5"/>
    <w:rsid w:val="00B62C4F"/>
    <w:rsid w:val="00B63012"/>
    <w:rsid w:val="00B637BE"/>
    <w:rsid w:val="00B6382C"/>
    <w:rsid w:val="00B6391C"/>
    <w:rsid w:val="00B63A60"/>
    <w:rsid w:val="00B63FA2"/>
    <w:rsid w:val="00B63FCB"/>
    <w:rsid w:val="00B64044"/>
    <w:rsid w:val="00B641C8"/>
    <w:rsid w:val="00B643B5"/>
    <w:rsid w:val="00B643C8"/>
    <w:rsid w:val="00B64516"/>
    <w:rsid w:val="00B64523"/>
    <w:rsid w:val="00B6453B"/>
    <w:rsid w:val="00B64815"/>
    <w:rsid w:val="00B64D25"/>
    <w:rsid w:val="00B64D4C"/>
    <w:rsid w:val="00B64E5E"/>
    <w:rsid w:val="00B651CF"/>
    <w:rsid w:val="00B654E3"/>
    <w:rsid w:val="00B6553C"/>
    <w:rsid w:val="00B655D4"/>
    <w:rsid w:val="00B65BD2"/>
    <w:rsid w:val="00B65CD1"/>
    <w:rsid w:val="00B65CE9"/>
    <w:rsid w:val="00B65D2F"/>
    <w:rsid w:val="00B65D54"/>
    <w:rsid w:val="00B66181"/>
    <w:rsid w:val="00B6619D"/>
    <w:rsid w:val="00B66533"/>
    <w:rsid w:val="00B66B01"/>
    <w:rsid w:val="00B66D26"/>
    <w:rsid w:val="00B66E28"/>
    <w:rsid w:val="00B6706B"/>
    <w:rsid w:val="00B67132"/>
    <w:rsid w:val="00B672EE"/>
    <w:rsid w:val="00B67354"/>
    <w:rsid w:val="00B67370"/>
    <w:rsid w:val="00B67400"/>
    <w:rsid w:val="00B6762E"/>
    <w:rsid w:val="00B67903"/>
    <w:rsid w:val="00B679BC"/>
    <w:rsid w:val="00B67BF6"/>
    <w:rsid w:val="00B67D53"/>
    <w:rsid w:val="00B67D76"/>
    <w:rsid w:val="00B67F7A"/>
    <w:rsid w:val="00B67FA9"/>
    <w:rsid w:val="00B70166"/>
    <w:rsid w:val="00B701D5"/>
    <w:rsid w:val="00B7064E"/>
    <w:rsid w:val="00B70877"/>
    <w:rsid w:val="00B70C40"/>
    <w:rsid w:val="00B71109"/>
    <w:rsid w:val="00B713DA"/>
    <w:rsid w:val="00B717AC"/>
    <w:rsid w:val="00B71C4D"/>
    <w:rsid w:val="00B71E4E"/>
    <w:rsid w:val="00B72296"/>
    <w:rsid w:val="00B72334"/>
    <w:rsid w:val="00B7256E"/>
    <w:rsid w:val="00B7269E"/>
    <w:rsid w:val="00B72877"/>
    <w:rsid w:val="00B72928"/>
    <w:rsid w:val="00B72E2F"/>
    <w:rsid w:val="00B72E8D"/>
    <w:rsid w:val="00B72FCF"/>
    <w:rsid w:val="00B7301E"/>
    <w:rsid w:val="00B7308A"/>
    <w:rsid w:val="00B73388"/>
    <w:rsid w:val="00B73511"/>
    <w:rsid w:val="00B7389B"/>
    <w:rsid w:val="00B739AC"/>
    <w:rsid w:val="00B73D61"/>
    <w:rsid w:val="00B73D68"/>
    <w:rsid w:val="00B73DEA"/>
    <w:rsid w:val="00B7402F"/>
    <w:rsid w:val="00B74101"/>
    <w:rsid w:val="00B7484B"/>
    <w:rsid w:val="00B74897"/>
    <w:rsid w:val="00B74CB8"/>
    <w:rsid w:val="00B74D9B"/>
    <w:rsid w:val="00B74DBD"/>
    <w:rsid w:val="00B74E84"/>
    <w:rsid w:val="00B74EDC"/>
    <w:rsid w:val="00B750AA"/>
    <w:rsid w:val="00B7531B"/>
    <w:rsid w:val="00B754E9"/>
    <w:rsid w:val="00B75567"/>
    <w:rsid w:val="00B7563E"/>
    <w:rsid w:val="00B75A1A"/>
    <w:rsid w:val="00B75AF8"/>
    <w:rsid w:val="00B75B1B"/>
    <w:rsid w:val="00B75B43"/>
    <w:rsid w:val="00B75DB8"/>
    <w:rsid w:val="00B761F4"/>
    <w:rsid w:val="00B7627D"/>
    <w:rsid w:val="00B763B0"/>
    <w:rsid w:val="00B763CE"/>
    <w:rsid w:val="00B767ED"/>
    <w:rsid w:val="00B768F0"/>
    <w:rsid w:val="00B76C29"/>
    <w:rsid w:val="00B76D53"/>
    <w:rsid w:val="00B76DE6"/>
    <w:rsid w:val="00B76F8D"/>
    <w:rsid w:val="00B77336"/>
    <w:rsid w:val="00B7740D"/>
    <w:rsid w:val="00B7749B"/>
    <w:rsid w:val="00B776E5"/>
    <w:rsid w:val="00B777AE"/>
    <w:rsid w:val="00B7785D"/>
    <w:rsid w:val="00B77978"/>
    <w:rsid w:val="00B779B6"/>
    <w:rsid w:val="00B779F3"/>
    <w:rsid w:val="00B77CB9"/>
    <w:rsid w:val="00B77E3A"/>
    <w:rsid w:val="00B77EBF"/>
    <w:rsid w:val="00B77F63"/>
    <w:rsid w:val="00B809F0"/>
    <w:rsid w:val="00B80A5C"/>
    <w:rsid w:val="00B80ADE"/>
    <w:rsid w:val="00B80FF4"/>
    <w:rsid w:val="00B810A9"/>
    <w:rsid w:val="00B8135B"/>
    <w:rsid w:val="00B81641"/>
    <w:rsid w:val="00B816DE"/>
    <w:rsid w:val="00B818E9"/>
    <w:rsid w:val="00B81AE0"/>
    <w:rsid w:val="00B82014"/>
    <w:rsid w:val="00B821DD"/>
    <w:rsid w:val="00B8238E"/>
    <w:rsid w:val="00B83069"/>
    <w:rsid w:val="00B831AE"/>
    <w:rsid w:val="00B83229"/>
    <w:rsid w:val="00B83452"/>
    <w:rsid w:val="00B8350E"/>
    <w:rsid w:val="00B83573"/>
    <w:rsid w:val="00B83C9C"/>
    <w:rsid w:val="00B83DE3"/>
    <w:rsid w:val="00B83FA0"/>
    <w:rsid w:val="00B847D9"/>
    <w:rsid w:val="00B848AE"/>
    <w:rsid w:val="00B84961"/>
    <w:rsid w:val="00B84C32"/>
    <w:rsid w:val="00B85076"/>
    <w:rsid w:val="00B850CA"/>
    <w:rsid w:val="00B85402"/>
    <w:rsid w:val="00B854CD"/>
    <w:rsid w:val="00B85590"/>
    <w:rsid w:val="00B85822"/>
    <w:rsid w:val="00B859CD"/>
    <w:rsid w:val="00B85D97"/>
    <w:rsid w:val="00B85F0A"/>
    <w:rsid w:val="00B85F7D"/>
    <w:rsid w:val="00B85FD8"/>
    <w:rsid w:val="00B8628B"/>
    <w:rsid w:val="00B86386"/>
    <w:rsid w:val="00B86668"/>
    <w:rsid w:val="00B867AA"/>
    <w:rsid w:val="00B86B3B"/>
    <w:rsid w:val="00B86BF0"/>
    <w:rsid w:val="00B86BFF"/>
    <w:rsid w:val="00B86C06"/>
    <w:rsid w:val="00B86D3F"/>
    <w:rsid w:val="00B86E72"/>
    <w:rsid w:val="00B872E5"/>
    <w:rsid w:val="00B878CB"/>
    <w:rsid w:val="00B879D9"/>
    <w:rsid w:val="00B87A1E"/>
    <w:rsid w:val="00B87B97"/>
    <w:rsid w:val="00B87C65"/>
    <w:rsid w:val="00B87FD5"/>
    <w:rsid w:val="00B90022"/>
    <w:rsid w:val="00B900FC"/>
    <w:rsid w:val="00B90126"/>
    <w:rsid w:val="00B905D7"/>
    <w:rsid w:val="00B907D2"/>
    <w:rsid w:val="00B90A21"/>
    <w:rsid w:val="00B90B86"/>
    <w:rsid w:val="00B90D9E"/>
    <w:rsid w:val="00B90E35"/>
    <w:rsid w:val="00B90EB1"/>
    <w:rsid w:val="00B91753"/>
    <w:rsid w:val="00B91933"/>
    <w:rsid w:val="00B91CFE"/>
    <w:rsid w:val="00B91F36"/>
    <w:rsid w:val="00B92057"/>
    <w:rsid w:val="00B922DC"/>
    <w:rsid w:val="00B924B3"/>
    <w:rsid w:val="00B924B4"/>
    <w:rsid w:val="00B925AD"/>
    <w:rsid w:val="00B925B0"/>
    <w:rsid w:val="00B926C4"/>
    <w:rsid w:val="00B9282C"/>
    <w:rsid w:val="00B92898"/>
    <w:rsid w:val="00B929C5"/>
    <w:rsid w:val="00B92A2F"/>
    <w:rsid w:val="00B92AC3"/>
    <w:rsid w:val="00B92ACF"/>
    <w:rsid w:val="00B92BB2"/>
    <w:rsid w:val="00B92C19"/>
    <w:rsid w:val="00B92C5A"/>
    <w:rsid w:val="00B92D9B"/>
    <w:rsid w:val="00B92ED4"/>
    <w:rsid w:val="00B92F93"/>
    <w:rsid w:val="00B92FD4"/>
    <w:rsid w:val="00B93037"/>
    <w:rsid w:val="00B93053"/>
    <w:rsid w:val="00B931E0"/>
    <w:rsid w:val="00B938D8"/>
    <w:rsid w:val="00B93D54"/>
    <w:rsid w:val="00B93D63"/>
    <w:rsid w:val="00B93FC1"/>
    <w:rsid w:val="00B9426C"/>
    <w:rsid w:val="00B94403"/>
    <w:rsid w:val="00B9447E"/>
    <w:rsid w:val="00B9450D"/>
    <w:rsid w:val="00B9459E"/>
    <w:rsid w:val="00B945A6"/>
    <w:rsid w:val="00B9460E"/>
    <w:rsid w:val="00B94651"/>
    <w:rsid w:val="00B947B7"/>
    <w:rsid w:val="00B947C8"/>
    <w:rsid w:val="00B949C7"/>
    <w:rsid w:val="00B94A7C"/>
    <w:rsid w:val="00B94B85"/>
    <w:rsid w:val="00B94D51"/>
    <w:rsid w:val="00B94D79"/>
    <w:rsid w:val="00B94D81"/>
    <w:rsid w:val="00B94DDB"/>
    <w:rsid w:val="00B951DB"/>
    <w:rsid w:val="00B9526C"/>
    <w:rsid w:val="00B95318"/>
    <w:rsid w:val="00B95338"/>
    <w:rsid w:val="00B95660"/>
    <w:rsid w:val="00B95661"/>
    <w:rsid w:val="00B958B9"/>
    <w:rsid w:val="00B95A42"/>
    <w:rsid w:val="00B95A47"/>
    <w:rsid w:val="00B95AC5"/>
    <w:rsid w:val="00B95BCC"/>
    <w:rsid w:val="00B95F35"/>
    <w:rsid w:val="00B963BB"/>
    <w:rsid w:val="00B963FA"/>
    <w:rsid w:val="00B96558"/>
    <w:rsid w:val="00B96578"/>
    <w:rsid w:val="00B96975"/>
    <w:rsid w:val="00B96ACD"/>
    <w:rsid w:val="00B96CC3"/>
    <w:rsid w:val="00B96DDF"/>
    <w:rsid w:val="00B96ECD"/>
    <w:rsid w:val="00B96FB8"/>
    <w:rsid w:val="00B970DA"/>
    <w:rsid w:val="00B972C8"/>
    <w:rsid w:val="00B97918"/>
    <w:rsid w:val="00B97ABE"/>
    <w:rsid w:val="00B97C2B"/>
    <w:rsid w:val="00B97FB1"/>
    <w:rsid w:val="00BA02AF"/>
    <w:rsid w:val="00BA0326"/>
    <w:rsid w:val="00BA0492"/>
    <w:rsid w:val="00BA04FA"/>
    <w:rsid w:val="00BA0848"/>
    <w:rsid w:val="00BA096B"/>
    <w:rsid w:val="00BA0A73"/>
    <w:rsid w:val="00BA0F13"/>
    <w:rsid w:val="00BA0F8A"/>
    <w:rsid w:val="00BA0F8B"/>
    <w:rsid w:val="00BA1011"/>
    <w:rsid w:val="00BA14ED"/>
    <w:rsid w:val="00BA1515"/>
    <w:rsid w:val="00BA15F8"/>
    <w:rsid w:val="00BA174F"/>
    <w:rsid w:val="00BA1785"/>
    <w:rsid w:val="00BA1970"/>
    <w:rsid w:val="00BA19E8"/>
    <w:rsid w:val="00BA1A12"/>
    <w:rsid w:val="00BA1B33"/>
    <w:rsid w:val="00BA1B50"/>
    <w:rsid w:val="00BA1BDA"/>
    <w:rsid w:val="00BA1C3D"/>
    <w:rsid w:val="00BA20BA"/>
    <w:rsid w:val="00BA21BE"/>
    <w:rsid w:val="00BA24CE"/>
    <w:rsid w:val="00BA261E"/>
    <w:rsid w:val="00BA286C"/>
    <w:rsid w:val="00BA2AEB"/>
    <w:rsid w:val="00BA2B96"/>
    <w:rsid w:val="00BA2E7E"/>
    <w:rsid w:val="00BA2FCC"/>
    <w:rsid w:val="00BA3790"/>
    <w:rsid w:val="00BA37D8"/>
    <w:rsid w:val="00BA380C"/>
    <w:rsid w:val="00BA38C8"/>
    <w:rsid w:val="00BA3967"/>
    <w:rsid w:val="00BA3A74"/>
    <w:rsid w:val="00BA40DD"/>
    <w:rsid w:val="00BA42CA"/>
    <w:rsid w:val="00BA4A4B"/>
    <w:rsid w:val="00BA4AF7"/>
    <w:rsid w:val="00BA4F7C"/>
    <w:rsid w:val="00BA5001"/>
    <w:rsid w:val="00BA5080"/>
    <w:rsid w:val="00BA5245"/>
    <w:rsid w:val="00BA5263"/>
    <w:rsid w:val="00BA5605"/>
    <w:rsid w:val="00BA574E"/>
    <w:rsid w:val="00BA576B"/>
    <w:rsid w:val="00BA589D"/>
    <w:rsid w:val="00BA623B"/>
    <w:rsid w:val="00BA66AB"/>
    <w:rsid w:val="00BA67B8"/>
    <w:rsid w:val="00BA6969"/>
    <w:rsid w:val="00BA6AF4"/>
    <w:rsid w:val="00BA6B1E"/>
    <w:rsid w:val="00BA6B43"/>
    <w:rsid w:val="00BA6BDB"/>
    <w:rsid w:val="00BA6D45"/>
    <w:rsid w:val="00BA6DB4"/>
    <w:rsid w:val="00BA6F83"/>
    <w:rsid w:val="00BA7043"/>
    <w:rsid w:val="00BA7052"/>
    <w:rsid w:val="00BA7A84"/>
    <w:rsid w:val="00BA7C39"/>
    <w:rsid w:val="00BA7EEB"/>
    <w:rsid w:val="00BB0387"/>
    <w:rsid w:val="00BB04F6"/>
    <w:rsid w:val="00BB05D3"/>
    <w:rsid w:val="00BB05F9"/>
    <w:rsid w:val="00BB06A8"/>
    <w:rsid w:val="00BB0943"/>
    <w:rsid w:val="00BB0BCC"/>
    <w:rsid w:val="00BB0C79"/>
    <w:rsid w:val="00BB0C83"/>
    <w:rsid w:val="00BB0DA5"/>
    <w:rsid w:val="00BB0E7E"/>
    <w:rsid w:val="00BB0FE1"/>
    <w:rsid w:val="00BB1355"/>
    <w:rsid w:val="00BB13DA"/>
    <w:rsid w:val="00BB141D"/>
    <w:rsid w:val="00BB14F7"/>
    <w:rsid w:val="00BB165A"/>
    <w:rsid w:val="00BB16A8"/>
    <w:rsid w:val="00BB1ADD"/>
    <w:rsid w:val="00BB1B89"/>
    <w:rsid w:val="00BB1EC4"/>
    <w:rsid w:val="00BB21C9"/>
    <w:rsid w:val="00BB25BC"/>
    <w:rsid w:val="00BB2781"/>
    <w:rsid w:val="00BB28E4"/>
    <w:rsid w:val="00BB2B32"/>
    <w:rsid w:val="00BB2C25"/>
    <w:rsid w:val="00BB325C"/>
    <w:rsid w:val="00BB32B1"/>
    <w:rsid w:val="00BB3343"/>
    <w:rsid w:val="00BB34AC"/>
    <w:rsid w:val="00BB354F"/>
    <w:rsid w:val="00BB3CA5"/>
    <w:rsid w:val="00BB47D8"/>
    <w:rsid w:val="00BB4963"/>
    <w:rsid w:val="00BB4C0E"/>
    <w:rsid w:val="00BB4C78"/>
    <w:rsid w:val="00BB4D94"/>
    <w:rsid w:val="00BB50B5"/>
    <w:rsid w:val="00BB5127"/>
    <w:rsid w:val="00BB5782"/>
    <w:rsid w:val="00BB57A8"/>
    <w:rsid w:val="00BB57E9"/>
    <w:rsid w:val="00BB59F5"/>
    <w:rsid w:val="00BB5AC4"/>
    <w:rsid w:val="00BB5B33"/>
    <w:rsid w:val="00BB5C7D"/>
    <w:rsid w:val="00BB5D30"/>
    <w:rsid w:val="00BB5E79"/>
    <w:rsid w:val="00BB6096"/>
    <w:rsid w:val="00BB618D"/>
    <w:rsid w:val="00BB64A5"/>
    <w:rsid w:val="00BB6517"/>
    <w:rsid w:val="00BB6625"/>
    <w:rsid w:val="00BB6743"/>
    <w:rsid w:val="00BB6A1D"/>
    <w:rsid w:val="00BB6A6E"/>
    <w:rsid w:val="00BB6EB7"/>
    <w:rsid w:val="00BB7665"/>
    <w:rsid w:val="00BB77AA"/>
    <w:rsid w:val="00BB78AD"/>
    <w:rsid w:val="00BB78FC"/>
    <w:rsid w:val="00BB7BCA"/>
    <w:rsid w:val="00BB7C92"/>
    <w:rsid w:val="00BB7CA2"/>
    <w:rsid w:val="00BB7CC2"/>
    <w:rsid w:val="00BB7EF9"/>
    <w:rsid w:val="00BB7F20"/>
    <w:rsid w:val="00BB7F3B"/>
    <w:rsid w:val="00BB7F7C"/>
    <w:rsid w:val="00BC0029"/>
    <w:rsid w:val="00BC02A4"/>
    <w:rsid w:val="00BC0447"/>
    <w:rsid w:val="00BC0617"/>
    <w:rsid w:val="00BC07B3"/>
    <w:rsid w:val="00BC089C"/>
    <w:rsid w:val="00BC0902"/>
    <w:rsid w:val="00BC0CED"/>
    <w:rsid w:val="00BC10DB"/>
    <w:rsid w:val="00BC113B"/>
    <w:rsid w:val="00BC1492"/>
    <w:rsid w:val="00BC16B8"/>
    <w:rsid w:val="00BC19CE"/>
    <w:rsid w:val="00BC1D79"/>
    <w:rsid w:val="00BC1E32"/>
    <w:rsid w:val="00BC1E7F"/>
    <w:rsid w:val="00BC1F69"/>
    <w:rsid w:val="00BC20F0"/>
    <w:rsid w:val="00BC21AD"/>
    <w:rsid w:val="00BC2282"/>
    <w:rsid w:val="00BC233D"/>
    <w:rsid w:val="00BC252D"/>
    <w:rsid w:val="00BC2884"/>
    <w:rsid w:val="00BC2A29"/>
    <w:rsid w:val="00BC2A9C"/>
    <w:rsid w:val="00BC2D13"/>
    <w:rsid w:val="00BC2E83"/>
    <w:rsid w:val="00BC2FB8"/>
    <w:rsid w:val="00BC344B"/>
    <w:rsid w:val="00BC34C6"/>
    <w:rsid w:val="00BC35DF"/>
    <w:rsid w:val="00BC375E"/>
    <w:rsid w:val="00BC39F2"/>
    <w:rsid w:val="00BC3C7E"/>
    <w:rsid w:val="00BC3E95"/>
    <w:rsid w:val="00BC462B"/>
    <w:rsid w:val="00BC47C8"/>
    <w:rsid w:val="00BC48C5"/>
    <w:rsid w:val="00BC4940"/>
    <w:rsid w:val="00BC4B57"/>
    <w:rsid w:val="00BC4C81"/>
    <w:rsid w:val="00BC4E29"/>
    <w:rsid w:val="00BC4E69"/>
    <w:rsid w:val="00BC5035"/>
    <w:rsid w:val="00BC50AF"/>
    <w:rsid w:val="00BC5458"/>
    <w:rsid w:val="00BC5507"/>
    <w:rsid w:val="00BC565D"/>
    <w:rsid w:val="00BC58A0"/>
    <w:rsid w:val="00BC590F"/>
    <w:rsid w:val="00BC5ADD"/>
    <w:rsid w:val="00BC5AF2"/>
    <w:rsid w:val="00BC5C38"/>
    <w:rsid w:val="00BC5D08"/>
    <w:rsid w:val="00BC5F01"/>
    <w:rsid w:val="00BC607C"/>
    <w:rsid w:val="00BC6093"/>
    <w:rsid w:val="00BC6366"/>
    <w:rsid w:val="00BC65EC"/>
    <w:rsid w:val="00BC691C"/>
    <w:rsid w:val="00BC6965"/>
    <w:rsid w:val="00BC6AD8"/>
    <w:rsid w:val="00BC6D77"/>
    <w:rsid w:val="00BC6DC4"/>
    <w:rsid w:val="00BC6FC0"/>
    <w:rsid w:val="00BC72C3"/>
    <w:rsid w:val="00BC73FA"/>
    <w:rsid w:val="00BC75FC"/>
    <w:rsid w:val="00BC76C1"/>
    <w:rsid w:val="00BC7713"/>
    <w:rsid w:val="00BC79BB"/>
    <w:rsid w:val="00BC7E8C"/>
    <w:rsid w:val="00BD0186"/>
    <w:rsid w:val="00BD01EA"/>
    <w:rsid w:val="00BD01F4"/>
    <w:rsid w:val="00BD066F"/>
    <w:rsid w:val="00BD0919"/>
    <w:rsid w:val="00BD0969"/>
    <w:rsid w:val="00BD0C03"/>
    <w:rsid w:val="00BD0D16"/>
    <w:rsid w:val="00BD0D30"/>
    <w:rsid w:val="00BD0F8A"/>
    <w:rsid w:val="00BD1113"/>
    <w:rsid w:val="00BD1469"/>
    <w:rsid w:val="00BD146D"/>
    <w:rsid w:val="00BD1679"/>
    <w:rsid w:val="00BD18BA"/>
    <w:rsid w:val="00BD18C6"/>
    <w:rsid w:val="00BD1B99"/>
    <w:rsid w:val="00BD1CF9"/>
    <w:rsid w:val="00BD2534"/>
    <w:rsid w:val="00BD25FB"/>
    <w:rsid w:val="00BD2656"/>
    <w:rsid w:val="00BD270A"/>
    <w:rsid w:val="00BD2A37"/>
    <w:rsid w:val="00BD2F57"/>
    <w:rsid w:val="00BD2F82"/>
    <w:rsid w:val="00BD2FC0"/>
    <w:rsid w:val="00BD30CD"/>
    <w:rsid w:val="00BD318A"/>
    <w:rsid w:val="00BD3221"/>
    <w:rsid w:val="00BD3706"/>
    <w:rsid w:val="00BD37FF"/>
    <w:rsid w:val="00BD398C"/>
    <w:rsid w:val="00BD3B41"/>
    <w:rsid w:val="00BD4101"/>
    <w:rsid w:val="00BD4207"/>
    <w:rsid w:val="00BD4322"/>
    <w:rsid w:val="00BD440B"/>
    <w:rsid w:val="00BD448C"/>
    <w:rsid w:val="00BD49C4"/>
    <w:rsid w:val="00BD4E1A"/>
    <w:rsid w:val="00BD512B"/>
    <w:rsid w:val="00BD52E0"/>
    <w:rsid w:val="00BD5311"/>
    <w:rsid w:val="00BD57DF"/>
    <w:rsid w:val="00BD5B70"/>
    <w:rsid w:val="00BD5E27"/>
    <w:rsid w:val="00BD611E"/>
    <w:rsid w:val="00BD6305"/>
    <w:rsid w:val="00BD65A7"/>
    <w:rsid w:val="00BD67AC"/>
    <w:rsid w:val="00BD68F0"/>
    <w:rsid w:val="00BD6A95"/>
    <w:rsid w:val="00BD6E04"/>
    <w:rsid w:val="00BD732C"/>
    <w:rsid w:val="00BD761B"/>
    <w:rsid w:val="00BD7710"/>
    <w:rsid w:val="00BD7729"/>
    <w:rsid w:val="00BD77EA"/>
    <w:rsid w:val="00BD7883"/>
    <w:rsid w:val="00BD7BF9"/>
    <w:rsid w:val="00BE038B"/>
    <w:rsid w:val="00BE0450"/>
    <w:rsid w:val="00BE05B5"/>
    <w:rsid w:val="00BE0763"/>
    <w:rsid w:val="00BE087E"/>
    <w:rsid w:val="00BE0A46"/>
    <w:rsid w:val="00BE0C8B"/>
    <w:rsid w:val="00BE0D70"/>
    <w:rsid w:val="00BE1052"/>
    <w:rsid w:val="00BE14CC"/>
    <w:rsid w:val="00BE14F0"/>
    <w:rsid w:val="00BE17B8"/>
    <w:rsid w:val="00BE1A4A"/>
    <w:rsid w:val="00BE1AA2"/>
    <w:rsid w:val="00BE1C2C"/>
    <w:rsid w:val="00BE1DFB"/>
    <w:rsid w:val="00BE1FDD"/>
    <w:rsid w:val="00BE22AA"/>
    <w:rsid w:val="00BE22C6"/>
    <w:rsid w:val="00BE23ED"/>
    <w:rsid w:val="00BE28B4"/>
    <w:rsid w:val="00BE2BE9"/>
    <w:rsid w:val="00BE2F25"/>
    <w:rsid w:val="00BE314D"/>
    <w:rsid w:val="00BE3203"/>
    <w:rsid w:val="00BE39CE"/>
    <w:rsid w:val="00BE3BCC"/>
    <w:rsid w:val="00BE3F1F"/>
    <w:rsid w:val="00BE4108"/>
    <w:rsid w:val="00BE42FA"/>
    <w:rsid w:val="00BE44CD"/>
    <w:rsid w:val="00BE45DA"/>
    <w:rsid w:val="00BE46CA"/>
    <w:rsid w:val="00BE4BDE"/>
    <w:rsid w:val="00BE4C98"/>
    <w:rsid w:val="00BE5017"/>
    <w:rsid w:val="00BE530E"/>
    <w:rsid w:val="00BE534E"/>
    <w:rsid w:val="00BE545F"/>
    <w:rsid w:val="00BE547E"/>
    <w:rsid w:val="00BE5594"/>
    <w:rsid w:val="00BE5643"/>
    <w:rsid w:val="00BE564C"/>
    <w:rsid w:val="00BE57B6"/>
    <w:rsid w:val="00BE57FD"/>
    <w:rsid w:val="00BE59C3"/>
    <w:rsid w:val="00BE5A90"/>
    <w:rsid w:val="00BE5AD5"/>
    <w:rsid w:val="00BE5B85"/>
    <w:rsid w:val="00BE5CE8"/>
    <w:rsid w:val="00BE5E02"/>
    <w:rsid w:val="00BE5F44"/>
    <w:rsid w:val="00BE6323"/>
    <w:rsid w:val="00BE640E"/>
    <w:rsid w:val="00BE6426"/>
    <w:rsid w:val="00BE6456"/>
    <w:rsid w:val="00BE6489"/>
    <w:rsid w:val="00BE64E6"/>
    <w:rsid w:val="00BE658A"/>
    <w:rsid w:val="00BE6596"/>
    <w:rsid w:val="00BE65B0"/>
    <w:rsid w:val="00BE6721"/>
    <w:rsid w:val="00BE6AEE"/>
    <w:rsid w:val="00BE6EA0"/>
    <w:rsid w:val="00BE6EEA"/>
    <w:rsid w:val="00BE6F5C"/>
    <w:rsid w:val="00BE6FE5"/>
    <w:rsid w:val="00BE7259"/>
    <w:rsid w:val="00BE72A1"/>
    <w:rsid w:val="00BE735E"/>
    <w:rsid w:val="00BE7651"/>
    <w:rsid w:val="00BE7E0E"/>
    <w:rsid w:val="00BF009D"/>
    <w:rsid w:val="00BF00C5"/>
    <w:rsid w:val="00BF017C"/>
    <w:rsid w:val="00BF0284"/>
    <w:rsid w:val="00BF06D3"/>
    <w:rsid w:val="00BF0818"/>
    <w:rsid w:val="00BF09BF"/>
    <w:rsid w:val="00BF0F31"/>
    <w:rsid w:val="00BF1130"/>
    <w:rsid w:val="00BF12EA"/>
    <w:rsid w:val="00BF135D"/>
    <w:rsid w:val="00BF13DE"/>
    <w:rsid w:val="00BF14ED"/>
    <w:rsid w:val="00BF1CCF"/>
    <w:rsid w:val="00BF22BF"/>
    <w:rsid w:val="00BF27AF"/>
    <w:rsid w:val="00BF2863"/>
    <w:rsid w:val="00BF29F9"/>
    <w:rsid w:val="00BF2A33"/>
    <w:rsid w:val="00BF2B92"/>
    <w:rsid w:val="00BF2C71"/>
    <w:rsid w:val="00BF316B"/>
    <w:rsid w:val="00BF326C"/>
    <w:rsid w:val="00BF3270"/>
    <w:rsid w:val="00BF3426"/>
    <w:rsid w:val="00BF3835"/>
    <w:rsid w:val="00BF3C75"/>
    <w:rsid w:val="00BF421F"/>
    <w:rsid w:val="00BF42F1"/>
    <w:rsid w:val="00BF4585"/>
    <w:rsid w:val="00BF4936"/>
    <w:rsid w:val="00BF4975"/>
    <w:rsid w:val="00BF4B09"/>
    <w:rsid w:val="00BF4F23"/>
    <w:rsid w:val="00BF4F55"/>
    <w:rsid w:val="00BF4FE4"/>
    <w:rsid w:val="00BF507E"/>
    <w:rsid w:val="00BF5257"/>
    <w:rsid w:val="00BF5347"/>
    <w:rsid w:val="00BF5446"/>
    <w:rsid w:val="00BF56C6"/>
    <w:rsid w:val="00BF56FB"/>
    <w:rsid w:val="00BF58EC"/>
    <w:rsid w:val="00BF5A9F"/>
    <w:rsid w:val="00BF5B4E"/>
    <w:rsid w:val="00BF6020"/>
    <w:rsid w:val="00BF6023"/>
    <w:rsid w:val="00BF62D6"/>
    <w:rsid w:val="00BF6308"/>
    <w:rsid w:val="00BF648F"/>
    <w:rsid w:val="00BF6494"/>
    <w:rsid w:val="00BF64F3"/>
    <w:rsid w:val="00BF6658"/>
    <w:rsid w:val="00BF6AEA"/>
    <w:rsid w:val="00BF6B09"/>
    <w:rsid w:val="00BF6D1F"/>
    <w:rsid w:val="00BF70E2"/>
    <w:rsid w:val="00BF7118"/>
    <w:rsid w:val="00BF7450"/>
    <w:rsid w:val="00BF759A"/>
    <w:rsid w:val="00BF78C2"/>
    <w:rsid w:val="00BF78D4"/>
    <w:rsid w:val="00BF7DD8"/>
    <w:rsid w:val="00C004A2"/>
    <w:rsid w:val="00C006E2"/>
    <w:rsid w:val="00C006E9"/>
    <w:rsid w:val="00C00CBA"/>
    <w:rsid w:val="00C00CBE"/>
    <w:rsid w:val="00C00E60"/>
    <w:rsid w:val="00C00E65"/>
    <w:rsid w:val="00C00FA4"/>
    <w:rsid w:val="00C0109C"/>
    <w:rsid w:val="00C014FD"/>
    <w:rsid w:val="00C015FC"/>
    <w:rsid w:val="00C01623"/>
    <w:rsid w:val="00C01BB9"/>
    <w:rsid w:val="00C01CD0"/>
    <w:rsid w:val="00C01E47"/>
    <w:rsid w:val="00C01F2C"/>
    <w:rsid w:val="00C0211F"/>
    <w:rsid w:val="00C0216F"/>
    <w:rsid w:val="00C02184"/>
    <w:rsid w:val="00C023F4"/>
    <w:rsid w:val="00C024D3"/>
    <w:rsid w:val="00C028A6"/>
    <w:rsid w:val="00C031E7"/>
    <w:rsid w:val="00C03585"/>
    <w:rsid w:val="00C0364D"/>
    <w:rsid w:val="00C03691"/>
    <w:rsid w:val="00C039FB"/>
    <w:rsid w:val="00C03C40"/>
    <w:rsid w:val="00C03E75"/>
    <w:rsid w:val="00C03F72"/>
    <w:rsid w:val="00C040B3"/>
    <w:rsid w:val="00C0417A"/>
    <w:rsid w:val="00C042CB"/>
    <w:rsid w:val="00C0441D"/>
    <w:rsid w:val="00C04587"/>
    <w:rsid w:val="00C04608"/>
    <w:rsid w:val="00C04D2C"/>
    <w:rsid w:val="00C050E7"/>
    <w:rsid w:val="00C05336"/>
    <w:rsid w:val="00C0536F"/>
    <w:rsid w:val="00C05372"/>
    <w:rsid w:val="00C05447"/>
    <w:rsid w:val="00C0583A"/>
    <w:rsid w:val="00C05D2B"/>
    <w:rsid w:val="00C05E2A"/>
    <w:rsid w:val="00C06251"/>
    <w:rsid w:val="00C06312"/>
    <w:rsid w:val="00C06368"/>
    <w:rsid w:val="00C06817"/>
    <w:rsid w:val="00C0685F"/>
    <w:rsid w:val="00C06C82"/>
    <w:rsid w:val="00C06F0C"/>
    <w:rsid w:val="00C07007"/>
    <w:rsid w:val="00C0702A"/>
    <w:rsid w:val="00C071AE"/>
    <w:rsid w:val="00C07705"/>
    <w:rsid w:val="00C0772D"/>
    <w:rsid w:val="00C0787F"/>
    <w:rsid w:val="00C078C1"/>
    <w:rsid w:val="00C07908"/>
    <w:rsid w:val="00C07925"/>
    <w:rsid w:val="00C07A3B"/>
    <w:rsid w:val="00C07BB9"/>
    <w:rsid w:val="00C07C7F"/>
    <w:rsid w:val="00C07CC0"/>
    <w:rsid w:val="00C07F61"/>
    <w:rsid w:val="00C10246"/>
    <w:rsid w:val="00C104E3"/>
    <w:rsid w:val="00C10554"/>
    <w:rsid w:val="00C10691"/>
    <w:rsid w:val="00C106D2"/>
    <w:rsid w:val="00C1076E"/>
    <w:rsid w:val="00C1097C"/>
    <w:rsid w:val="00C10ADE"/>
    <w:rsid w:val="00C10C6C"/>
    <w:rsid w:val="00C10E6A"/>
    <w:rsid w:val="00C1106A"/>
    <w:rsid w:val="00C1114B"/>
    <w:rsid w:val="00C1128A"/>
    <w:rsid w:val="00C112AD"/>
    <w:rsid w:val="00C11454"/>
    <w:rsid w:val="00C1150D"/>
    <w:rsid w:val="00C115FA"/>
    <w:rsid w:val="00C116B9"/>
    <w:rsid w:val="00C11872"/>
    <w:rsid w:val="00C1190C"/>
    <w:rsid w:val="00C11A8B"/>
    <w:rsid w:val="00C11B00"/>
    <w:rsid w:val="00C11DFC"/>
    <w:rsid w:val="00C11EF4"/>
    <w:rsid w:val="00C121BB"/>
    <w:rsid w:val="00C12249"/>
    <w:rsid w:val="00C12258"/>
    <w:rsid w:val="00C1246D"/>
    <w:rsid w:val="00C12500"/>
    <w:rsid w:val="00C12549"/>
    <w:rsid w:val="00C125C0"/>
    <w:rsid w:val="00C1260E"/>
    <w:rsid w:val="00C1269E"/>
    <w:rsid w:val="00C12CFF"/>
    <w:rsid w:val="00C12DAD"/>
    <w:rsid w:val="00C13388"/>
    <w:rsid w:val="00C1370E"/>
    <w:rsid w:val="00C13769"/>
    <w:rsid w:val="00C1393B"/>
    <w:rsid w:val="00C13B35"/>
    <w:rsid w:val="00C13C20"/>
    <w:rsid w:val="00C13C61"/>
    <w:rsid w:val="00C13C70"/>
    <w:rsid w:val="00C13F9C"/>
    <w:rsid w:val="00C14546"/>
    <w:rsid w:val="00C1483B"/>
    <w:rsid w:val="00C14A65"/>
    <w:rsid w:val="00C14AD7"/>
    <w:rsid w:val="00C14BB1"/>
    <w:rsid w:val="00C14BBD"/>
    <w:rsid w:val="00C14C4C"/>
    <w:rsid w:val="00C1528B"/>
    <w:rsid w:val="00C154AF"/>
    <w:rsid w:val="00C1568B"/>
    <w:rsid w:val="00C15940"/>
    <w:rsid w:val="00C15B56"/>
    <w:rsid w:val="00C15C98"/>
    <w:rsid w:val="00C160EA"/>
    <w:rsid w:val="00C16161"/>
    <w:rsid w:val="00C16252"/>
    <w:rsid w:val="00C16603"/>
    <w:rsid w:val="00C1673E"/>
    <w:rsid w:val="00C16CC1"/>
    <w:rsid w:val="00C16D27"/>
    <w:rsid w:val="00C16E0F"/>
    <w:rsid w:val="00C16F00"/>
    <w:rsid w:val="00C17064"/>
    <w:rsid w:val="00C17164"/>
    <w:rsid w:val="00C171FF"/>
    <w:rsid w:val="00C17212"/>
    <w:rsid w:val="00C17253"/>
    <w:rsid w:val="00C17260"/>
    <w:rsid w:val="00C173DF"/>
    <w:rsid w:val="00C1788A"/>
    <w:rsid w:val="00C205CA"/>
    <w:rsid w:val="00C206D7"/>
    <w:rsid w:val="00C20749"/>
    <w:rsid w:val="00C208F5"/>
    <w:rsid w:val="00C20C99"/>
    <w:rsid w:val="00C20CE0"/>
    <w:rsid w:val="00C20CE8"/>
    <w:rsid w:val="00C20F86"/>
    <w:rsid w:val="00C20FD4"/>
    <w:rsid w:val="00C20FDB"/>
    <w:rsid w:val="00C21CD5"/>
    <w:rsid w:val="00C21D65"/>
    <w:rsid w:val="00C21EA1"/>
    <w:rsid w:val="00C22086"/>
    <w:rsid w:val="00C2209D"/>
    <w:rsid w:val="00C22259"/>
    <w:rsid w:val="00C22269"/>
    <w:rsid w:val="00C22303"/>
    <w:rsid w:val="00C2244C"/>
    <w:rsid w:val="00C2251A"/>
    <w:rsid w:val="00C22588"/>
    <w:rsid w:val="00C2263C"/>
    <w:rsid w:val="00C22893"/>
    <w:rsid w:val="00C22B36"/>
    <w:rsid w:val="00C22EA5"/>
    <w:rsid w:val="00C22EE8"/>
    <w:rsid w:val="00C23001"/>
    <w:rsid w:val="00C231FC"/>
    <w:rsid w:val="00C23374"/>
    <w:rsid w:val="00C234D2"/>
    <w:rsid w:val="00C23B93"/>
    <w:rsid w:val="00C24056"/>
    <w:rsid w:val="00C24113"/>
    <w:rsid w:val="00C24217"/>
    <w:rsid w:val="00C24229"/>
    <w:rsid w:val="00C2446B"/>
    <w:rsid w:val="00C2455D"/>
    <w:rsid w:val="00C2455E"/>
    <w:rsid w:val="00C24685"/>
    <w:rsid w:val="00C248D4"/>
    <w:rsid w:val="00C24F4D"/>
    <w:rsid w:val="00C25523"/>
    <w:rsid w:val="00C25532"/>
    <w:rsid w:val="00C25619"/>
    <w:rsid w:val="00C25B6E"/>
    <w:rsid w:val="00C25E0B"/>
    <w:rsid w:val="00C25E74"/>
    <w:rsid w:val="00C26025"/>
    <w:rsid w:val="00C26486"/>
    <w:rsid w:val="00C264D2"/>
    <w:rsid w:val="00C26894"/>
    <w:rsid w:val="00C26BD6"/>
    <w:rsid w:val="00C26C65"/>
    <w:rsid w:val="00C26FB5"/>
    <w:rsid w:val="00C2732C"/>
    <w:rsid w:val="00C275F8"/>
    <w:rsid w:val="00C27743"/>
    <w:rsid w:val="00C27CAA"/>
    <w:rsid w:val="00C27DCC"/>
    <w:rsid w:val="00C27E25"/>
    <w:rsid w:val="00C27FB0"/>
    <w:rsid w:val="00C30167"/>
    <w:rsid w:val="00C3039D"/>
    <w:rsid w:val="00C30539"/>
    <w:rsid w:val="00C3060B"/>
    <w:rsid w:val="00C307D3"/>
    <w:rsid w:val="00C30C7A"/>
    <w:rsid w:val="00C30D48"/>
    <w:rsid w:val="00C30D72"/>
    <w:rsid w:val="00C310AF"/>
    <w:rsid w:val="00C311F3"/>
    <w:rsid w:val="00C31228"/>
    <w:rsid w:val="00C31738"/>
    <w:rsid w:val="00C317C7"/>
    <w:rsid w:val="00C3190B"/>
    <w:rsid w:val="00C31ECE"/>
    <w:rsid w:val="00C31FD5"/>
    <w:rsid w:val="00C3202A"/>
    <w:rsid w:val="00C326D9"/>
    <w:rsid w:val="00C3291B"/>
    <w:rsid w:val="00C32DBA"/>
    <w:rsid w:val="00C33057"/>
    <w:rsid w:val="00C333EB"/>
    <w:rsid w:val="00C3341B"/>
    <w:rsid w:val="00C33BC6"/>
    <w:rsid w:val="00C33C72"/>
    <w:rsid w:val="00C33DC4"/>
    <w:rsid w:val="00C34476"/>
    <w:rsid w:val="00C3478C"/>
    <w:rsid w:val="00C3485F"/>
    <w:rsid w:val="00C34961"/>
    <w:rsid w:val="00C34A51"/>
    <w:rsid w:val="00C34C8E"/>
    <w:rsid w:val="00C34D02"/>
    <w:rsid w:val="00C3500B"/>
    <w:rsid w:val="00C35190"/>
    <w:rsid w:val="00C3526F"/>
    <w:rsid w:val="00C353C4"/>
    <w:rsid w:val="00C3544B"/>
    <w:rsid w:val="00C35562"/>
    <w:rsid w:val="00C35B39"/>
    <w:rsid w:val="00C3652E"/>
    <w:rsid w:val="00C36627"/>
    <w:rsid w:val="00C366E2"/>
    <w:rsid w:val="00C36739"/>
    <w:rsid w:val="00C36806"/>
    <w:rsid w:val="00C36C59"/>
    <w:rsid w:val="00C36EB8"/>
    <w:rsid w:val="00C3703D"/>
    <w:rsid w:val="00C3707B"/>
    <w:rsid w:val="00C374CA"/>
    <w:rsid w:val="00C3750F"/>
    <w:rsid w:val="00C379E9"/>
    <w:rsid w:val="00C40340"/>
    <w:rsid w:val="00C404E7"/>
    <w:rsid w:val="00C40535"/>
    <w:rsid w:val="00C405E3"/>
    <w:rsid w:val="00C407D5"/>
    <w:rsid w:val="00C40CE2"/>
    <w:rsid w:val="00C40F2C"/>
    <w:rsid w:val="00C410CA"/>
    <w:rsid w:val="00C41245"/>
    <w:rsid w:val="00C415AF"/>
    <w:rsid w:val="00C41802"/>
    <w:rsid w:val="00C418D5"/>
    <w:rsid w:val="00C41A32"/>
    <w:rsid w:val="00C41CB8"/>
    <w:rsid w:val="00C42175"/>
    <w:rsid w:val="00C42474"/>
    <w:rsid w:val="00C42838"/>
    <w:rsid w:val="00C42DE2"/>
    <w:rsid w:val="00C43216"/>
    <w:rsid w:val="00C43224"/>
    <w:rsid w:val="00C43364"/>
    <w:rsid w:val="00C43394"/>
    <w:rsid w:val="00C43451"/>
    <w:rsid w:val="00C435E4"/>
    <w:rsid w:val="00C436E5"/>
    <w:rsid w:val="00C4374F"/>
    <w:rsid w:val="00C43751"/>
    <w:rsid w:val="00C437E4"/>
    <w:rsid w:val="00C43931"/>
    <w:rsid w:val="00C439A7"/>
    <w:rsid w:val="00C43A26"/>
    <w:rsid w:val="00C43BAE"/>
    <w:rsid w:val="00C44128"/>
    <w:rsid w:val="00C44190"/>
    <w:rsid w:val="00C444AE"/>
    <w:rsid w:val="00C44617"/>
    <w:rsid w:val="00C448F3"/>
    <w:rsid w:val="00C44A0C"/>
    <w:rsid w:val="00C44B05"/>
    <w:rsid w:val="00C44B8B"/>
    <w:rsid w:val="00C44BC7"/>
    <w:rsid w:val="00C44D6D"/>
    <w:rsid w:val="00C44EC8"/>
    <w:rsid w:val="00C44EE2"/>
    <w:rsid w:val="00C45727"/>
    <w:rsid w:val="00C45803"/>
    <w:rsid w:val="00C45889"/>
    <w:rsid w:val="00C458A9"/>
    <w:rsid w:val="00C4597B"/>
    <w:rsid w:val="00C459E1"/>
    <w:rsid w:val="00C45D70"/>
    <w:rsid w:val="00C46027"/>
    <w:rsid w:val="00C46307"/>
    <w:rsid w:val="00C4635A"/>
    <w:rsid w:val="00C46674"/>
    <w:rsid w:val="00C46765"/>
    <w:rsid w:val="00C467FA"/>
    <w:rsid w:val="00C4686C"/>
    <w:rsid w:val="00C46976"/>
    <w:rsid w:val="00C470DF"/>
    <w:rsid w:val="00C472B2"/>
    <w:rsid w:val="00C473AE"/>
    <w:rsid w:val="00C47487"/>
    <w:rsid w:val="00C47BF2"/>
    <w:rsid w:val="00C47DD2"/>
    <w:rsid w:val="00C50032"/>
    <w:rsid w:val="00C503BE"/>
    <w:rsid w:val="00C50465"/>
    <w:rsid w:val="00C504BB"/>
    <w:rsid w:val="00C505B8"/>
    <w:rsid w:val="00C5066B"/>
    <w:rsid w:val="00C506E8"/>
    <w:rsid w:val="00C509D2"/>
    <w:rsid w:val="00C50A0E"/>
    <w:rsid w:val="00C50BAF"/>
    <w:rsid w:val="00C50C6B"/>
    <w:rsid w:val="00C51434"/>
    <w:rsid w:val="00C5200D"/>
    <w:rsid w:val="00C521E7"/>
    <w:rsid w:val="00C523E9"/>
    <w:rsid w:val="00C528CE"/>
    <w:rsid w:val="00C52CF9"/>
    <w:rsid w:val="00C52EA4"/>
    <w:rsid w:val="00C52F9D"/>
    <w:rsid w:val="00C52FF4"/>
    <w:rsid w:val="00C53143"/>
    <w:rsid w:val="00C53189"/>
    <w:rsid w:val="00C5367D"/>
    <w:rsid w:val="00C536F3"/>
    <w:rsid w:val="00C538B3"/>
    <w:rsid w:val="00C53A22"/>
    <w:rsid w:val="00C53CC8"/>
    <w:rsid w:val="00C53E45"/>
    <w:rsid w:val="00C53E73"/>
    <w:rsid w:val="00C53EE2"/>
    <w:rsid w:val="00C5400B"/>
    <w:rsid w:val="00C544D4"/>
    <w:rsid w:val="00C5455E"/>
    <w:rsid w:val="00C54637"/>
    <w:rsid w:val="00C549E4"/>
    <w:rsid w:val="00C54CC7"/>
    <w:rsid w:val="00C54CD1"/>
    <w:rsid w:val="00C54FF1"/>
    <w:rsid w:val="00C550FC"/>
    <w:rsid w:val="00C55230"/>
    <w:rsid w:val="00C55515"/>
    <w:rsid w:val="00C5583A"/>
    <w:rsid w:val="00C55989"/>
    <w:rsid w:val="00C55A32"/>
    <w:rsid w:val="00C55BA0"/>
    <w:rsid w:val="00C55C7B"/>
    <w:rsid w:val="00C55CFA"/>
    <w:rsid w:val="00C55DB6"/>
    <w:rsid w:val="00C56D71"/>
    <w:rsid w:val="00C56D8B"/>
    <w:rsid w:val="00C56EC9"/>
    <w:rsid w:val="00C57369"/>
    <w:rsid w:val="00C5769A"/>
    <w:rsid w:val="00C5774D"/>
    <w:rsid w:val="00C60560"/>
    <w:rsid w:val="00C606FF"/>
    <w:rsid w:val="00C608F0"/>
    <w:rsid w:val="00C60932"/>
    <w:rsid w:val="00C60937"/>
    <w:rsid w:val="00C60A02"/>
    <w:rsid w:val="00C60B66"/>
    <w:rsid w:val="00C60BFE"/>
    <w:rsid w:val="00C60EA4"/>
    <w:rsid w:val="00C60F5A"/>
    <w:rsid w:val="00C60FFD"/>
    <w:rsid w:val="00C61065"/>
    <w:rsid w:val="00C61318"/>
    <w:rsid w:val="00C617D4"/>
    <w:rsid w:val="00C619A0"/>
    <w:rsid w:val="00C61E94"/>
    <w:rsid w:val="00C61FBC"/>
    <w:rsid w:val="00C62040"/>
    <w:rsid w:val="00C62116"/>
    <w:rsid w:val="00C624F7"/>
    <w:rsid w:val="00C62A46"/>
    <w:rsid w:val="00C62A67"/>
    <w:rsid w:val="00C62BE3"/>
    <w:rsid w:val="00C62D33"/>
    <w:rsid w:val="00C62FEC"/>
    <w:rsid w:val="00C631ED"/>
    <w:rsid w:val="00C633D9"/>
    <w:rsid w:val="00C6369D"/>
    <w:rsid w:val="00C63960"/>
    <w:rsid w:val="00C63ADA"/>
    <w:rsid w:val="00C63AE2"/>
    <w:rsid w:val="00C63CA3"/>
    <w:rsid w:val="00C63CC7"/>
    <w:rsid w:val="00C64286"/>
    <w:rsid w:val="00C64325"/>
    <w:rsid w:val="00C6438C"/>
    <w:rsid w:val="00C6445E"/>
    <w:rsid w:val="00C645D8"/>
    <w:rsid w:val="00C6472D"/>
    <w:rsid w:val="00C648C7"/>
    <w:rsid w:val="00C64911"/>
    <w:rsid w:val="00C64AB7"/>
    <w:rsid w:val="00C64ABC"/>
    <w:rsid w:val="00C64BC4"/>
    <w:rsid w:val="00C64C66"/>
    <w:rsid w:val="00C64DC0"/>
    <w:rsid w:val="00C64E02"/>
    <w:rsid w:val="00C64E46"/>
    <w:rsid w:val="00C64F5B"/>
    <w:rsid w:val="00C6510E"/>
    <w:rsid w:val="00C65148"/>
    <w:rsid w:val="00C65169"/>
    <w:rsid w:val="00C6533A"/>
    <w:rsid w:val="00C6587B"/>
    <w:rsid w:val="00C65908"/>
    <w:rsid w:val="00C65992"/>
    <w:rsid w:val="00C659D7"/>
    <w:rsid w:val="00C65A26"/>
    <w:rsid w:val="00C65BB9"/>
    <w:rsid w:val="00C65C91"/>
    <w:rsid w:val="00C65F68"/>
    <w:rsid w:val="00C66043"/>
    <w:rsid w:val="00C660B6"/>
    <w:rsid w:val="00C6631A"/>
    <w:rsid w:val="00C666FD"/>
    <w:rsid w:val="00C66BB1"/>
    <w:rsid w:val="00C66E7A"/>
    <w:rsid w:val="00C66F66"/>
    <w:rsid w:val="00C67021"/>
    <w:rsid w:val="00C6724D"/>
    <w:rsid w:val="00C6745B"/>
    <w:rsid w:val="00C67E53"/>
    <w:rsid w:val="00C67E5C"/>
    <w:rsid w:val="00C703CB"/>
    <w:rsid w:val="00C70463"/>
    <w:rsid w:val="00C704D8"/>
    <w:rsid w:val="00C7078A"/>
    <w:rsid w:val="00C70859"/>
    <w:rsid w:val="00C70A7A"/>
    <w:rsid w:val="00C70F73"/>
    <w:rsid w:val="00C71047"/>
    <w:rsid w:val="00C71297"/>
    <w:rsid w:val="00C71678"/>
    <w:rsid w:val="00C717C9"/>
    <w:rsid w:val="00C717E5"/>
    <w:rsid w:val="00C71CD2"/>
    <w:rsid w:val="00C71D87"/>
    <w:rsid w:val="00C71DCE"/>
    <w:rsid w:val="00C71ED9"/>
    <w:rsid w:val="00C71F40"/>
    <w:rsid w:val="00C72050"/>
    <w:rsid w:val="00C7215F"/>
    <w:rsid w:val="00C7237B"/>
    <w:rsid w:val="00C72733"/>
    <w:rsid w:val="00C72761"/>
    <w:rsid w:val="00C727B6"/>
    <w:rsid w:val="00C727CB"/>
    <w:rsid w:val="00C72A0E"/>
    <w:rsid w:val="00C72AA4"/>
    <w:rsid w:val="00C72B0A"/>
    <w:rsid w:val="00C72D08"/>
    <w:rsid w:val="00C72D12"/>
    <w:rsid w:val="00C72F26"/>
    <w:rsid w:val="00C73143"/>
    <w:rsid w:val="00C7317F"/>
    <w:rsid w:val="00C7338D"/>
    <w:rsid w:val="00C734BC"/>
    <w:rsid w:val="00C734C2"/>
    <w:rsid w:val="00C7358C"/>
    <w:rsid w:val="00C73734"/>
    <w:rsid w:val="00C73824"/>
    <w:rsid w:val="00C73917"/>
    <w:rsid w:val="00C73C7D"/>
    <w:rsid w:val="00C74122"/>
    <w:rsid w:val="00C74162"/>
    <w:rsid w:val="00C74293"/>
    <w:rsid w:val="00C742F7"/>
    <w:rsid w:val="00C743A8"/>
    <w:rsid w:val="00C7446F"/>
    <w:rsid w:val="00C74548"/>
    <w:rsid w:val="00C7461F"/>
    <w:rsid w:val="00C746A1"/>
    <w:rsid w:val="00C7473B"/>
    <w:rsid w:val="00C74923"/>
    <w:rsid w:val="00C74988"/>
    <w:rsid w:val="00C74E48"/>
    <w:rsid w:val="00C74FA4"/>
    <w:rsid w:val="00C7516E"/>
    <w:rsid w:val="00C75227"/>
    <w:rsid w:val="00C75297"/>
    <w:rsid w:val="00C754B5"/>
    <w:rsid w:val="00C75505"/>
    <w:rsid w:val="00C75B86"/>
    <w:rsid w:val="00C75F1A"/>
    <w:rsid w:val="00C75FCA"/>
    <w:rsid w:val="00C760D4"/>
    <w:rsid w:val="00C763D5"/>
    <w:rsid w:val="00C7651E"/>
    <w:rsid w:val="00C76544"/>
    <w:rsid w:val="00C76683"/>
    <w:rsid w:val="00C76A5E"/>
    <w:rsid w:val="00C76E4F"/>
    <w:rsid w:val="00C7721C"/>
    <w:rsid w:val="00C7753E"/>
    <w:rsid w:val="00C777AE"/>
    <w:rsid w:val="00C7785B"/>
    <w:rsid w:val="00C779B8"/>
    <w:rsid w:val="00C779FD"/>
    <w:rsid w:val="00C77AB2"/>
    <w:rsid w:val="00C77AD2"/>
    <w:rsid w:val="00C77BAE"/>
    <w:rsid w:val="00C77BDE"/>
    <w:rsid w:val="00C77EEB"/>
    <w:rsid w:val="00C803CC"/>
    <w:rsid w:val="00C806F1"/>
    <w:rsid w:val="00C808CF"/>
    <w:rsid w:val="00C80EF0"/>
    <w:rsid w:val="00C8102F"/>
    <w:rsid w:val="00C810D7"/>
    <w:rsid w:val="00C8129B"/>
    <w:rsid w:val="00C812C5"/>
    <w:rsid w:val="00C815E3"/>
    <w:rsid w:val="00C8176C"/>
    <w:rsid w:val="00C8190F"/>
    <w:rsid w:val="00C81934"/>
    <w:rsid w:val="00C81B66"/>
    <w:rsid w:val="00C81C74"/>
    <w:rsid w:val="00C820CE"/>
    <w:rsid w:val="00C821A1"/>
    <w:rsid w:val="00C82B0A"/>
    <w:rsid w:val="00C82C2D"/>
    <w:rsid w:val="00C82D98"/>
    <w:rsid w:val="00C82F6E"/>
    <w:rsid w:val="00C8344D"/>
    <w:rsid w:val="00C834C0"/>
    <w:rsid w:val="00C83603"/>
    <w:rsid w:val="00C8379D"/>
    <w:rsid w:val="00C83965"/>
    <w:rsid w:val="00C839CD"/>
    <w:rsid w:val="00C83B54"/>
    <w:rsid w:val="00C83DF5"/>
    <w:rsid w:val="00C842BD"/>
    <w:rsid w:val="00C848C6"/>
    <w:rsid w:val="00C84920"/>
    <w:rsid w:val="00C84988"/>
    <w:rsid w:val="00C84A34"/>
    <w:rsid w:val="00C84CAC"/>
    <w:rsid w:val="00C84FF0"/>
    <w:rsid w:val="00C85182"/>
    <w:rsid w:val="00C85193"/>
    <w:rsid w:val="00C852EA"/>
    <w:rsid w:val="00C8570C"/>
    <w:rsid w:val="00C85798"/>
    <w:rsid w:val="00C85988"/>
    <w:rsid w:val="00C859F6"/>
    <w:rsid w:val="00C85B77"/>
    <w:rsid w:val="00C85CBD"/>
    <w:rsid w:val="00C85F62"/>
    <w:rsid w:val="00C860AB"/>
    <w:rsid w:val="00C861AF"/>
    <w:rsid w:val="00C866A6"/>
    <w:rsid w:val="00C866E2"/>
    <w:rsid w:val="00C86890"/>
    <w:rsid w:val="00C86907"/>
    <w:rsid w:val="00C86945"/>
    <w:rsid w:val="00C8697D"/>
    <w:rsid w:val="00C86A9F"/>
    <w:rsid w:val="00C86C3A"/>
    <w:rsid w:val="00C86D10"/>
    <w:rsid w:val="00C872EB"/>
    <w:rsid w:val="00C8747D"/>
    <w:rsid w:val="00C8750E"/>
    <w:rsid w:val="00C87527"/>
    <w:rsid w:val="00C8765B"/>
    <w:rsid w:val="00C877D0"/>
    <w:rsid w:val="00C87843"/>
    <w:rsid w:val="00C879D7"/>
    <w:rsid w:val="00C87ABE"/>
    <w:rsid w:val="00C87BD4"/>
    <w:rsid w:val="00C87BE2"/>
    <w:rsid w:val="00C90073"/>
    <w:rsid w:val="00C900BC"/>
    <w:rsid w:val="00C90261"/>
    <w:rsid w:val="00C90323"/>
    <w:rsid w:val="00C90669"/>
    <w:rsid w:val="00C906DA"/>
    <w:rsid w:val="00C90F66"/>
    <w:rsid w:val="00C911DD"/>
    <w:rsid w:val="00C9162F"/>
    <w:rsid w:val="00C91723"/>
    <w:rsid w:val="00C91753"/>
    <w:rsid w:val="00C91847"/>
    <w:rsid w:val="00C9192B"/>
    <w:rsid w:val="00C91A9B"/>
    <w:rsid w:val="00C91AC7"/>
    <w:rsid w:val="00C91AE7"/>
    <w:rsid w:val="00C91D1B"/>
    <w:rsid w:val="00C920E3"/>
    <w:rsid w:val="00C92170"/>
    <w:rsid w:val="00C92395"/>
    <w:rsid w:val="00C92427"/>
    <w:rsid w:val="00C927E4"/>
    <w:rsid w:val="00C9280F"/>
    <w:rsid w:val="00C92815"/>
    <w:rsid w:val="00C92A47"/>
    <w:rsid w:val="00C92B54"/>
    <w:rsid w:val="00C92C17"/>
    <w:rsid w:val="00C92DCE"/>
    <w:rsid w:val="00C935C2"/>
    <w:rsid w:val="00C93647"/>
    <w:rsid w:val="00C93920"/>
    <w:rsid w:val="00C93A1C"/>
    <w:rsid w:val="00C93BCC"/>
    <w:rsid w:val="00C93D27"/>
    <w:rsid w:val="00C93EE5"/>
    <w:rsid w:val="00C9460B"/>
    <w:rsid w:val="00C947DB"/>
    <w:rsid w:val="00C94A7B"/>
    <w:rsid w:val="00C94BF9"/>
    <w:rsid w:val="00C95376"/>
    <w:rsid w:val="00C95540"/>
    <w:rsid w:val="00C95575"/>
    <w:rsid w:val="00C956E3"/>
    <w:rsid w:val="00C959F6"/>
    <w:rsid w:val="00C95DD8"/>
    <w:rsid w:val="00C95EA1"/>
    <w:rsid w:val="00C95FBA"/>
    <w:rsid w:val="00C960B3"/>
    <w:rsid w:val="00C961E1"/>
    <w:rsid w:val="00C9633B"/>
    <w:rsid w:val="00C96518"/>
    <w:rsid w:val="00C96852"/>
    <w:rsid w:val="00C96ADE"/>
    <w:rsid w:val="00C96C46"/>
    <w:rsid w:val="00C96CBD"/>
    <w:rsid w:val="00C96E6C"/>
    <w:rsid w:val="00C96EDA"/>
    <w:rsid w:val="00C9739B"/>
    <w:rsid w:val="00C974F7"/>
    <w:rsid w:val="00C976CB"/>
    <w:rsid w:val="00C976DF"/>
    <w:rsid w:val="00C97722"/>
    <w:rsid w:val="00C977CA"/>
    <w:rsid w:val="00C97ABC"/>
    <w:rsid w:val="00C97CA5"/>
    <w:rsid w:val="00C97F96"/>
    <w:rsid w:val="00CA01C6"/>
    <w:rsid w:val="00CA025C"/>
    <w:rsid w:val="00CA041B"/>
    <w:rsid w:val="00CA059E"/>
    <w:rsid w:val="00CA07D6"/>
    <w:rsid w:val="00CA0A3C"/>
    <w:rsid w:val="00CA0A53"/>
    <w:rsid w:val="00CA0D15"/>
    <w:rsid w:val="00CA15D2"/>
    <w:rsid w:val="00CA1624"/>
    <w:rsid w:val="00CA1644"/>
    <w:rsid w:val="00CA1777"/>
    <w:rsid w:val="00CA18BB"/>
    <w:rsid w:val="00CA19CF"/>
    <w:rsid w:val="00CA1A9F"/>
    <w:rsid w:val="00CA2015"/>
    <w:rsid w:val="00CA20F8"/>
    <w:rsid w:val="00CA2164"/>
    <w:rsid w:val="00CA25DE"/>
    <w:rsid w:val="00CA27F4"/>
    <w:rsid w:val="00CA2AA8"/>
    <w:rsid w:val="00CA2AEC"/>
    <w:rsid w:val="00CA2C81"/>
    <w:rsid w:val="00CA30C0"/>
    <w:rsid w:val="00CA330A"/>
    <w:rsid w:val="00CA3A63"/>
    <w:rsid w:val="00CA3AC6"/>
    <w:rsid w:val="00CA3EF6"/>
    <w:rsid w:val="00CA3FEC"/>
    <w:rsid w:val="00CA40B2"/>
    <w:rsid w:val="00CA4172"/>
    <w:rsid w:val="00CA42B5"/>
    <w:rsid w:val="00CA44EB"/>
    <w:rsid w:val="00CA4568"/>
    <w:rsid w:val="00CA49C7"/>
    <w:rsid w:val="00CA49C9"/>
    <w:rsid w:val="00CA4B3F"/>
    <w:rsid w:val="00CA4BDB"/>
    <w:rsid w:val="00CA4BF5"/>
    <w:rsid w:val="00CA4CEC"/>
    <w:rsid w:val="00CA4DA5"/>
    <w:rsid w:val="00CA54BA"/>
    <w:rsid w:val="00CA550E"/>
    <w:rsid w:val="00CA5547"/>
    <w:rsid w:val="00CA5680"/>
    <w:rsid w:val="00CA57F2"/>
    <w:rsid w:val="00CA5C5B"/>
    <w:rsid w:val="00CA5D98"/>
    <w:rsid w:val="00CA5DB2"/>
    <w:rsid w:val="00CA5E65"/>
    <w:rsid w:val="00CA6359"/>
    <w:rsid w:val="00CA6622"/>
    <w:rsid w:val="00CA6671"/>
    <w:rsid w:val="00CA66FA"/>
    <w:rsid w:val="00CA69B2"/>
    <w:rsid w:val="00CA6C23"/>
    <w:rsid w:val="00CA6F74"/>
    <w:rsid w:val="00CA70A2"/>
    <w:rsid w:val="00CA7270"/>
    <w:rsid w:val="00CA743C"/>
    <w:rsid w:val="00CA7463"/>
    <w:rsid w:val="00CA75CF"/>
    <w:rsid w:val="00CA75F7"/>
    <w:rsid w:val="00CA7715"/>
    <w:rsid w:val="00CA78C4"/>
    <w:rsid w:val="00CA7B67"/>
    <w:rsid w:val="00CA7CCF"/>
    <w:rsid w:val="00CA7D0D"/>
    <w:rsid w:val="00CA7DE9"/>
    <w:rsid w:val="00CA7E99"/>
    <w:rsid w:val="00CA7ECF"/>
    <w:rsid w:val="00CA7F5D"/>
    <w:rsid w:val="00CB0092"/>
    <w:rsid w:val="00CB039A"/>
    <w:rsid w:val="00CB053E"/>
    <w:rsid w:val="00CB0738"/>
    <w:rsid w:val="00CB081E"/>
    <w:rsid w:val="00CB0C9E"/>
    <w:rsid w:val="00CB0CD9"/>
    <w:rsid w:val="00CB0D70"/>
    <w:rsid w:val="00CB0F71"/>
    <w:rsid w:val="00CB0F9A"/>
    <w:rsid w:val="00CB11BC"/>
    <w:rsid w:val="00CB14E4"/>
    <w:rsid w:val="00CB17E0"/>
    <w:rsid w:val="00CB192B"/>
    <w:rsid w:val="00CB1959"/>
    <w:rsid w:val="00CB1ACB"/>
    <w:rsid w:val="00CB239F"/>
    <w:rsid w:val="00CB2879"/>
    <w:rsid w:val="00CB2A35"/>
    <w:rsid w:val="00CB2BFC"/>
    <w:rsid w:val="00CB2D61"/>
    <w:rsid w:val="00CB2E4C"/>
    <w:rsid w:val="00CB304E"/>
    <w:rsid w:val="00CB3158"/>
    <w:rsid w:val="00CB327A"/>
    <w:rsid w:val="00CB32B5"/>
    <w:rsid w:val="00CB3300"/>
    <w:rsid w:val="00CB3526"/>
    <w:rsid w:val="00CB3560"/>
    <w:rsid w:val="00CB363F"/>
    <w:rsid w:val="00CB36D6"/>
    <w:rsid w:val="00CB3761"/>
    <w:rsid w:val="00CB385E"/>
    <w:rsid w:val="00CB3A5F"/>
    <w:rsid w:val="00CB3A74"/>
    <w:rsid w:val="00CB3B1F"/>
    <w:rsid w:val="00CB3ECF"/>
    <w:rsid w:val="00CB44DF"/>
    <w:rsid w:val="00CB4553"/>
    <w:rsid w:val="00CB4587"/>
    <w:rsid w:val="00CB486A"/>
    <w:rsid w:val="00CB4890"/>
    <w:rsid w:val="00CB4980"/>
    <w:rsid w:val="00CB4C64"/>
    <w:rsid w:val="00CB4D7E"/>
    <w:rsid w:val="00CB4E13"/>
    <w:rsid w:val="00CB4E16"/>
    <w:rsid w:val="00CB50C6"/>
    <w:rsid w:val="00CB5188"/>
    <w:rsid w:val="00CB5610"/>
    <w:rsid w:val="00CB5665"/>
    <w:rsid w:val="00CB572F"/>
    <w:rsid w:val="00CB58EA"/>
    <w:rsid w:val="00CB5B86"/>
    <w:rsid w:val="00CB5C32"/>
    <w:rsid w:val="00CB5CAA"/>
    <w:rsid w:val="00CB5D9C"/>
    <w:rsid w:val="00CB5E3D"/>
    <w:rsid w:val="00CB605C"/>
    <w:rsid w:val="00CB6420"/>
    <w:rsid w:val="00CB6709"/>
    <w:rsid w:val="00CB6720"/>
    <w:rsid w:val="00CB68C8"/>
    <w:rsid w:val="00CB6DF3"/>
    <w:rsid w:val="00CB6E56"/>
    <w:rsid w:val="00CB6EBC"/>
    <w:rsid w:val="00CB6F4C"/>
    <w:rsid w:val="00CB6FE5"/>
    <w:rsid w:val="00CB70C4"/>
    <w:rsid w:val="00CB7698"/>
    <w:rsid w:val="00CB76C3"/>
    <w:rsid w:val="00CB7D94"/>
    <w:rsid w:val="00CB7F35"/>
    <w:rsid w:val="00CB7FBD"/>
    <w:rsid w:val="00CC00F9"/>
    <w:rsid w:val="00CC03A3"/>
    <w:rsid w:val="00CC060E"/>
    <w:rsid w:val="00CC06E6"/>
    <w:rsid w:val="00CC0A5E"/>
    <w:rsid w:val="00CC0BE6"/>
    <w:rsid w:val="00CC0D30"/>
    <w:rsid w:val="00CC0E69"/>
    <w:rsid w:val="00CC0F67"/>
    <w:rsid w:val="00CC0FA6"/>
    <w:rsid w:val="00CC0FAA"/>
    <w:rsid w:val="00CC1515"/>
    <w:rsid w:val="00CC15C9"/>
    <w:rsid w:val="00CC189E"/>
    <w:rsid w:val="00CC1D60"/>
    <w:rsid w:val="00CC2913"/>
    <w:rsid w:val="00CC2C62"/>
    <w:rsid w:val="00CC2E6C"/>
    <w:rsid w:val="00CC30C0"/>
    <w:rsid w:val="00CC3121"/>
    <w:rsid w:val="00CC322F"/>
    <w:rsid w:val="00CC3DAC"/>
    <w:rsid w:val="00CC3F98"/>
    <w:rsid w:val="00CC4047"/>
    <w:rsid w:val="00CC40BB"/>
    <w:rsid w:val="00CC42D7"/>
    <w:rsid w:val="00CC4331"/>
    <w:rsid w:val="00CC465B"/>
    <w:rsid w:val="00CC48A1"/>
    <w:rsid w:val="00CC4CA5"/>
    <w:rsid w:val="00CC4D41"/>
    <w:rsid w:val="00CC4F31"/>
    <w:rsid w:val="00CC4FCA"/>
    <w:rsid w:val="00CC5092"/>
    <w:rsid w:val="00CC50C2"/>
    <w:rsid w:val="00CC52FC"/>
    <w:rsid w:val="00CC54BB"/>
    <w:rsid w:val="00CC55D2"/>
    <w:rsid w:val="00CC56D3"/>
    <w:rsid w:val="00CC5724"/>
    <w:rsid w:val="00CC595D"/>
    <w:rsid w:val="00CC5BB0"/>
    <w:rsid w:val="00CC5CB8"/>
    <w:rsid w:val="00CC5DE9"/>
    <w:rsid w:val="00CC5EC7"/>
    <w:rsid w:val="00CC6105"/>
    <w:rsid w:val="00CC63A3"/>
    <w:rsid w:val="00CC656F"/>
    <w:rsid w:val="00CC6911"/>
    <w:rsid w:val="00CC6A5A"/>
    <w:rsid w:val="00CC6B88"/>
    <w:rsid w:val="00CC6BD8"/>
    <w:rsid w:val="00CC7005"/>
    <w:rsid w:val="00CC71BC"/>
    <w:rsid w:val="00CC72F4"/>
    <w:rsid w:val="00CC7BD1"/>
    <w:rsid w:val="00CD0080"/>
    <w:rsid w:val="00CD026D"/>
    <w:rsid w:val="00CD072F"/>
    <w:rsid w:val="00CD0782"/>
    <w:rsid w:val="00CD0AFF"/>
    <w:rsid w:val="00CD0B25"/>
    <w:rsid w:val="00CD0DF8"/>
    <w:rsid w:val="00CD0FC0"/>
    <w:rsid w:val="00CD1120"/>
    <w:rsid w:val="00CD159B"/>
    <w:rsid w:val="00CD15F9"/>
    <w:rsid w:val="00CD1D12"/>
    <w:rsid w:val="00CD1E13"/>
    <w:rsid w:val="00CD2509"/>
    <w:rsid w:val="00CD2664"/>
    <w:rsid w:val="00CD280B"/>
    <w:rsid w:val="00CD2AA7"/>
    <w:rsid w:val="00CD2D58"/>
    <w:rsid w:val="00CD2F9D"/>
    <w:rsid w:val="00CD308A"/>
    <w:rsid w:val="00CD3373"/>
    <w:rsid w:val="00CD34DD"/>
    <w:rsid w:val="00CD3802"/>
    <w:rsid w:val="00CD3D9C"/>
    <w:rsid w:val="00CD3D9D"/>
    <w:rsid w:val="00CD4009"/>
    <w:rsid w:val="00CD41E5"/>
    <w:rsid w:val="00CD423B"/>
    <w:rsid w:val="00CD43CF"/>
    <w:rsid w:val="00CD4534"/>
    <w:rsid w:val="00CD45FF"/>
    <w:rsid w:val="00CD4621"/>
    <w:rsid w:val="00CD4A89"/>
    <w:rsid w:val="00CD4B38"/>
    <w:rsid w:val="00CD4B3C"/>
    <w:rsid w:val="00CD4B84"/>
    <w:rsid w:val="00CD4B91"/>
    <w:rsid w:val="00CD4BF3"/>
    <w:rsid w:val="00CD4D61"/>
    <w:rsid w:val="00CD4E57"/>
    <w:rsid w:val="00CD4ED5"/>
    <w:rsid w:val="00CD5173"/>
    <w:rsid w:val="00CD5187"/>
    <w:rsid w:val="00CD530A"/>
    <w:rsid w:val="00CD5898"/>
    <w:rsid w:val="00CD5CB9"/>
    <w:rsid w:val="00CD5F00"/>
    <w:rsid w:val="00CD5F01"/>
    <w:rsid w:val="00CD606A"/>
    <w:rsid w:val="00CD60A1"/>
    <w:rsid w:val="00CD6283"/>
    <w:rsid w:val="00CD6669"/>
    <w:rsid w:val="00CD66D4"/>
    <w:rsid w:val="00CD67D5"/>
    <w:rsid w:val="00CD681C"/>
    <w:rsid w:val="00CD6830"/>
    <w:rsid w:val="00CD6880"/>
    <w:rsid w:val="00CD6A7A"/>
    <w:rsid w:val="00CD6AAD"/>
    <w:rsid w:val="00CD6C3E"/>
    <w:rsid w:val="00CD6C4A"/>
    <w:rsid w:val="00CD70B0"/>
    <w:rsid w:val="00CD7166"/>
    <w:rsid w:val="00CD7397"/>
    <w:rsid w:val="00CD757F"/>
    <w:rsid w:val="00CD771A"/>
    <w:rsid w:val="00CD7A28"/>
    <w:rsid w:val="00CD7A2A"/>
    <w:rsid w:val="00CD7B30"/>
    <w:rsid w:val="00CD7BAA"/>
    <w:rsid w:val="00CD7E5D"/>
    <w:rsid w:val="00CE00FC"/>
    <w:rsid w:val="00CE0219"/>
    <w:rsid w:val="00CE08FB"/>
    <w:rsid w:val="00CE0AC4"/>
    <w:rsid w:val="00CE0C3D"/>
    <w:rsid w:val="00CE0DFB"/>
    <w:rsid w:val="00CE0E84"/>
    <w:rsid w:val="00CE0EE6"/>
    <w:rsid w:val="00CE107E"/>
    <w:rsid w:val="00CE159F"/>
    <w:rsid w:val="00CE15F7"/>
    <w:rsid w:val="00CE1605"/>
    <w:rsid w:val="00CE1C9D"/>
    <w:rsid w:val="00CE1D45"/>
    <w:rsid w:val="00CE1E87"/>
    <w:rsid w:val="00CE1E89"/>
    <w:rsid w:val="00CE1ED2"/>
    <w:rsid w:val="00CE1EDE"/>
    <w:rsid w:val="00CE1F3B"/>
    <w:rsid w:val="00CE2198"/>
    <w:rsid w:val="00CE2385"/>
    <w:rsid w:val="00CE2784"/>
    <w:rsid w:val="00CE2814"/>
    <w:rsid w:val="00CE2C6D"/>
    <w:rsid w:val="00CE2CA6"/>
    <w:rsid w:val="00CE2D6C"/>
    <w:rsid w:val="00CE2EC1"/>
    <w:rsid w:val="00CE30EB"/>
    <w:rsid w:val="00CE34C4"/>
    <w:rsid w:val="00CE355A"/>
    <w:rsid w:val="00CE3600"/>
    <w:rsid w:val="00CE3941"/>
    <w:rsid w:val="00CE3AA7"/>
    <w:rsid w:val="00CE3D3E"/>
    <w:rsid w:val="00CE3ECC"/>
    <w:rsid w:val="00CE4006"/>
    <w:rsid w:val="00CE401F"/>
    <w:rsid w:val="00CE453B"/>
    <w:rsid w:val="00CE4679"/>
    <w:rsid w:val="00CE490F"/>
    <w:rsid w:val="00CE4920"/>
    <w:rsid w:val="00CE4AF7"/>
    <w:rsid w:val="00CE4D9A"/>
    <w:rsid w:val="00CE4E21"/>
    <w:rsid w:val="00CE4E5C"/>
    <w:rsid w:val="00CE5052"/>
    <w:rsid w:val="00CE50A7"/>
    <w:rsid w:val="00CE538F"/>
    <w:rsid w:val="00CE54E6"/>
    <w:rsid w:val="00CE564E"/>
    <w:rsid w:val="00CE581B"/>
    <w:rsid w:val="00CE5A59"/>
    <w:rsid w:val="00CE5C43"/>
    <w:rsid w:val="00CE5D0D"/>
    <w:rsid w:val="00CE5FF0"/>
    <w:rsid w:val="00CE60BD"/>
    <w:rsid w:val="00CE658E"/>
    <w:rsid w:val="00CE6615"/>
    <w:rsid w:val="00CE6851"/>
    <w:rsid w:val="00CE68C8"/>
    <w:rsid w:val="00CE6A8C"/>
    <w:rsid w:val="00CE6AE1"/>
    <w:rsid w:val="00CE6C05"/>
    <w:rsid w:val="00CE6DEF"/>
    <w:rsid w:val="00CE6F41"/>
    <w:rsid w:val="00CE70D7"/>
    <w:rsid w:val="00CE7117"/>
    <w:rsid w:val="00CE73A4"/>
    <w:rsid w:val="00CE74ED"/>
    <w:rsid w:val="00CE7576"/>
    <w:rsid w:val="00CE7942"/>
    <w:rsid w:val="00CE7A63"/>
    <w:rsid w:val="00CE7AA5"/>
    <w:rsid w:val="00CE7AE5"/>
    <w:rsid w:val="00CE7B38"/>
    <w:rsid w:val="00CE7D71"/>
    <w:rsid w:val="00CE7FD0"/>
    <w:rsid w:val="00CF0182"/>
    <w:rsid w:val="00CF01CC"/>
    <w:rsid w:val="00CF0230"/>
    <w:rsid w:val="00CF0383"/>
    <w:rsid w:val="00CF0495"/>
    <w:rsid w:val="00CF0581"/>
    <w:rsid w:val="00CF064F"/>
    <w:rsid w:val="00CF0661"/>
    <w:rsid w:val="00CF068F"/>
    <w:rsid w:val="00CF0890"/>
    <w:rsid w:val="00CF0A15"/>
    <w:rsid w:val="00CF1350"/>
    <w:rsid w:val="00CF1412"/>
    <w:rsid w:val="00CF148A"/>
    <w:rsid w:val="00CF14DA"/>
    <w:rsid w:val="00CF1792"/>
    <w:rsid w:val="00CF17C2"/>
    <w:rsid w:val="00CF17E1"/>
    <w:rsid w:val="00CF18CD"/>
    <w:rsid w:val="00CF1ACF"/>
    <w:rsid w:val="00CF1C5E"/>
    <w:rsid w:val="00CF1C6D"/>
    <w:rsid w:val="00CF1E00"/>
    <w:rsid w:val="00CF216A"/>
    <w:rsid w:val="00CF21D2"/>
    <w:rsid w:val="00CF2226"/>
    <w:rsid w:val="00CF2231"/>
    <w:rsid w:val="00CF22F8"/>
    <w:rsid w:val="00CF2307"/>
    <w:rsid w:val="00CF2334"/>
    <w:rsid w:val="00CF25AA"/>
    <w:rsid w:val="00CF2738"/>
    <w:rsid w:val="00CF27FD"/>
    <w:rsid w:val="00CF2A76"/>
    <w:rsid w:val="00CF2AA6"/>
    <w:rsid w:val="00CF2AC0"/>
    <w:rsid w:val="00CF3051"/>
    <w:rsid w:val="00CF326A"/>
    <w:rsid w:val="00CF3337"/>
    <w:rsid w:val="00CF3340"/>
    <w:rsid w:val="00CF3778"/>
    <w:rsid w:val="00CF390F"/>
    <w:rsid w:val="00CF3B1D"/>
    <w:rsid w:val="00CF3DB4"/>
    <w:rsid w:val="00CF3E52"/>
    <w:rsid w:val="00CF3EC9"/>
    <w:rsid w:val="00CF4058"/>
    <w:rsid w:val="00CF4156"/>
    <w:rsid w:val="00CF41B3"/>
    <w:rsid w:val="00CF42E3"/>
    <w:rsid w:val="00CF45C5"/>
    <w:rsid w:val="00CF485E"/>
    <w:rsid w:val="00CF4985"/>
    <w:rsid w:val="00CF4ACB"/>
    <w:rsid w:val="00CF4E7B"/>
    <w:rsid w:val="00CF5146"/>
    <w:rsid w:val="00CF533C"/>
    <w:rsid w:val="00CF5608"/>
    <w:rsid w:val="00CF5ADB"/>
    <w:rsid w:val="00CF5AFE"/>
    <w:rsid w:val="00CF5DC9"/>
    <w:rsid w:val="00CF6080"/>
    <w:rsid w:val="00CF6480"/>
    <w:rsid w:val="00CF64A0"/>
    <w:rsid w:val="00CF66A6"/>
    <w:rsid w:val="00CF67B0"/>
    <w:rsid w:val="00CF67B1"/>
    <w:rsid w:val="00CF691D"/>
    <w:rsid w:val="00CF69AA"/>
    <w:rsid w:val="00CF7133"/>
    <w:rsid w:val="00CF78B5"/>
    <w:rsid w:val="00CF7A7B"/>
    <w:rsid w:val="00CF7D81"/>
    <w:rsid w:val="00CF7F64"/>
    <w:rsid w:val="00D003A8"/>
    <w:rsid w:val="00D00909"/>
    <w:rsid w:val="00D009A0"/>
    <w:rsid w:val="00D00CCF"/>
    <w:rsid w:val="00D00D31"/>
    <w:rsid w:val="00D00DDE"/>
    <w:rsid w:val="00D00DE5"/>
    <w:rsid w:val="00D0111D"/>
    <w:rsid w:val="00D01122"/>
    <w:rsid w:val="00D0118A"/>
    <w:rsid w:val="00D011AB"/>
    <w:rsid w:val="00D015BA"/>
    <w:rsid w:val="00D0191C"/>
    <w:rsid w:val="00D01957"/>
    <w:rsid w:val="00D01BE4"/>
    <w:rsid w:val="00D0220A"/>
    <w:rsid w:val="00D022AC"/>
    <w:rsid w:val="00D023C1"/>
    <w:rsid w:val="00D029A0"/>
    <w:rsid w:val="00D03001"/>
    <w:rsid w:val="00D0309C"/>
    <w:rsid w:val="00D0325C"/>
    <w:rsid w:val="00D033FE"/>
    <w:rsid w:val="00D034ED"/>
    <w:rsid w:val="00D03578"/>
    <w:rsid w:val="00D038CD"/>
    <w:rsid w:val="00D038DF"/>
    <w:rsid w:val="00D038FE"/>
    <w:rsid w:val="00D03A9E"/>
    <w:rsid w:val="00D03B56"/>
    <w:rsid w:val="00D03D08"/>
    <w:rsid w:val="00D03D0A"/>
    <w:rsid w:val="00D03D3C"/>
    <w:rsid w:val="00D03E00"/>
    <w:rsid w:val="00D04088"/>
    <w:rsid w:val="00D040D1"/>
    <w:rsid w:val="00D04165"/>
    <w:rsid w:val="00D041D8"/>
    <w:rsid w:val="00D04340"/>
    <w:rsid w:val="00D04787"/>
    <w:rsid w:val="00D04A6B"/>
    <w:rsid w:val="00D04B18"/>
    <w:rsid w:val="00D04C1A"/>
    <w:rsid w:val="00D04C4F"/>
    <w:rsid w:val="00D04E48"/>
    <w:rsid w:val="00D04EC5"/>
    <w:rsid w:val="00D04F4B"/>
    <w:rsid w:val="00D05051"/>
    <w:rsid w:val="00D0507A"/>
    <w:rsid w:val="00D0532C"/>
    <w:rsid w:val="00D05357"/>
    <w:rsid w:val="00D055A8"/>
    <w:rsid w:val="00D056F2"/>
    <w:rsid w:val="00D05BEF"/>
    <w:rsid w:val="00D05CCB"/>
    <w:rsid w:val="00D05F3F"/>
    <w:rsid w:val="00D0613C"/>
    <w:rsid w:val="00D06296"/>
    <w:rsid w:val="00D06484"/>
    <w:rsid w:val="00D06751"/>
    <w:rsid w:val="00D06BB0"/>
    <w:rsid w:val="00D06CE1"/>
    <w:rsid w:val="00D06D1D"/>
    <w:rsid w:val="00D0704F"/>
    <w:rsid w:val="00D071A2"/>
    <w:rsid w:val="00D073A8"/>
    <w:rsid w:val="00D07581"/>
    <w:rsid w:val="00D075D7"/>
    <w:rsid w:val="00D0762C"/>
    <w:rsid w:val="00D07715"/>
    <w:rsid w:val="00D0779B"/>
    <w:rsid w:val="00D07D83"/>
    <w:rsid w:val="00D07FC9"/>
    <w:rsid w:val="00D100D2"/>
    <w:rsid w:val="00D106BA"/>
    <w:rsid w:val="00D10946"/>
    <w:rsid w:val="00D10B00"/>
    <w:rsid w:val="00D10CC7"/>
    <w:rsid w:val="00D10CD0"/>
    <w:rsid w:val="00D112BD"/>
    <w:rsid w:val="00D11422"/>
    <w:rsid w:val="00D11595"/>
    <w:rsid w:val="00D11A62"/>
    <w:rsid w:val="00D11B86"/>
    <w:rsid w:val="00D11C7E"/>
    <w:rsid w:val="00D11E53"/>
    <w:rsid w:val="00D11F3D"/>
    <w:rsid w:val="00D12247"/>
    <w:rsid w:val="00D122D1"/>
    <w:rsid w:val="00D124F0"/>
    <w:rsid w:val="00D12895"/>
    <w:rsid w:val="00D128FB"/>
    <w:rsid w:val="00D12AC0"/>
    <w:rsid w:val="00D12FAE"/>
    <w:rsid w:val="00D12FB3"/>
    <w:rsid w:val="00D12FC2"/>
    <w:rsid w:val="00D13749"/>
    <w:rsid w:val="00D13929"/>
    <w:rsid w:val="00D13A0E"/>
    <w:rsid w:val="00D13D97"/>
    <w:rsid w:val="00D13DC7"/>
    <w:rsid w:val="00D13E9C"/>
    <w:rsid w:val="00D13EAA"/>
    <w:rsid w:val="00D13FB1"/>
    <w:rsid w:val="00D14025"/>
    <w:rsid w:val="00D1402A"/>
    <w:rsid w:val="00D143BE"/>
    <w:rsid w:val="00D1470A"/>
    <w:rsid w:val="00D14B95"/>
    <w:rsid w:val="00D14DBA"/>
    <w:rsid w:val="00D150A7"/>
    <w:rsid w:val="00D152A9"/>
    <w:rsid w:val="00D152BD"/>
    <w:rsid w:val="00D15533"/>
    <w:rsid w:val="00D15564"/>
    <w:rsid w:val="00D15588"/>
    <w:rsid w:val="00D15667"/>
    <w:rsid w:val="00D15859"/>
    <w:rsid w:val="00D1595F"/>
    <w:rsid w:val="00D15E20"/>
    <w:rsid w:val="00D15E71"/>
    <w:rsid w:val="00D15EC0"/>
    <w:rsid w:val="00D16375"/>
    <w:rsid w:val="00D1652A"/>
    <w:rsid w:val="00D16F84"/>
    <w:rsid w:val="00D17233"/>
    <w:rsid w:val="00D177C8"/>
    <w:rsid w:val="00D17810"/>
    <w:rsid w:val="00D17BBB"/>
    <w:rsid w:val="00D17C79"/>
    <w:rsid w:val="00D17C98"/>
    <w:rsid w:val="00D17D32"/>
    <w:rsid w:val="00D17D75"/>
    <w:rsid w:val="00D17E27"/>
    <w:rsid w:val="00D2004D"/>
    <w:rsid w:val="00D200A0"/>
    <w:rsid w:val="00D201AC"/>
    <w:rsid w:val="00D20335"/>
    <w:rsid w:val="00D206AF"/>
    <w:rsid w:val="00D20902"/>
    <w:rsid w:val="00D20AF3"/>
    <w:rsid w:val="00D20BC9"/>
    <w:rsid w:val="00D2148B"/>
    <w:rsid w:val="00D21824"/>
    <w:rsid w:val="00D218A5"/>
    <w:rsid w:val="00D21F21"/>
    <w:rsid w:val="00D220CF"/>
    <w:rsid w:val="00D222BB"/>
    <w:rsid w:val="00D2235A"/>
    <w:rsid w:val="00D224D2"/>
    <w:rsid w:val="00D2268F"/>
    <w:rsid w:val="00D226F0"/>
    <w:rsid w:val="00D22761"/>
    <w:rsid w:val="00D2279A"/>
    <w:rsid w:val="00D22D7D"/>
    <w:rsid w:val="00D22FCB"/>
    <w:rsid w:val="00D23132"/>
    <w:rsid w:val="00D231D9"/>
    <w:rsid w:val="00D23363"/>
    <w:rsid w:val="00D23436"/>
    <w:rsid w:val="00D235F9"/>
    <w:rsid w:val="00D236DE"/>
    <w:rsid w:val="00D23D73"/>
    <w:rsid w:val="00D245B4"/>
    <w:rsid w:val="00D24718"/>
    <w:rsid w:val="00D247E6"/>
    <w:rsid w:val="00D24A34"/>
    <w:rsid w:val="00D24B4E"/>
    <w:rsid w:val="00D24BE3"/>
    <w:rsid w:val="00D2523D"/>
    <w:rsid w:val="00D2572C"/>
    <w:rsid w:val="00D25767"/>
    <w:rsid w:val="00D25B96"/>
    <w:rsid w:val="00D2615E"/>
    <w:rsid w:val="00D262CF"/>
    <w:rsid w:val="00D2636A"/>
    <w:rsid w:val="00D263BE"/>
    <w:rsid w:val="00D265F2"/>
    <w:rsid w:val="00D266D9"/>
    <w:rsid w:val="00D26C72"/>
    <w:rsid w:val="00D26D4B"/>
    <w:rsid w:val="00D26E29"/>
    <w:rsid w:val="00D26E32"/>
    <w:rsid w:val="00D271B1"/>
    <w:rsid w:val="00D27262"/>
    <w:rsid w:val="00D2755D"/>
    <w:rsid w:val="00D276AC"/>
    <w:rsid w:val="00D2780C"/>
    <w:rsid w:val="00D301BE"/>
    <w:rsid w:val="00D302E4"/>
    <w:rsid w:val="00D30322"/>
    <w:rsid w:val="00D30695"/>
    <w:rsid w:val="00D30818"/>
    <w:rsid w:val="00D30BC0"/>
    <w:rsid w:val="00D30C1F"/>
    <w:rsid w:val="00D30FAA"/>
    <w:rsid w:val="00D3124C"/>
    <w:rsid w:val="00D31320"/>
    <w:rsid w:val="00D316B6"/>
    <w:rsid w:val="00D317EA"/>
    <w:rsid w:val="00D31C0F"/>
    <w:rsid w:val="00D31FC7"/>
    <w:rsid w:val="00D32128"/>
    <w:rsid w:val="00D3220C"/>
    <w:rsid w:val="00D3239E"/>
    <w:rsid w:val="00D32886"/>
    <w:rsid w:val="00D32EE1"/>
    <w:rsid w:val="00D33087"/>
    <w:rsid w:val="00D334E5"/>
    <w:rsid w:val="00D3350B"/>
    <w:rsid w:val="00D33540"/>
    <w:rsid w:val="00D336E0"/>
    <w:rsid w:val="00D337D3"/>
    <w:rsid w:val="00D33A57"/>
    <w:rsid w:val="00D3406A"/>
    <w:rsid w:val="00D341A7"/>
    <w:rsid w:val="00D341C9"/>
    <w:rsid w:val="00D34201"/>
    <w:rsid w:val="00D34275"/>
    <w:rsid w:val="00D348AE"/>
    <w:rsid w:val="00D349C3"/>
    <w:rsid w:val="00D34BA7"/>
    <w:rsid w:val="00D34CD9"/>
    <w:rsid w:val="00D3501C"/>
    <w:rsid w:val="00D352E4"/>
    <w:rsid w:val="00D3530D"/>
    <w:rsid w:val="00D3565A"/>
    <w:rsid w:val="00D357E0"/>
    <w:rsid w:val="00D35953"/>
    <w:rsid w:val="00D35B82"/>
    <w:rsid w:val="00D35BE1"/>
    <w:rsid w:val="00D35F94"/>
    <w:rsid w:val="00D35F9F"/>
    <w:rsid w:val="00D3603E"/>
    <w:rsid w:val="00D3616D"/>
    <w:rsid w:val="00D361C6"/>
    <w:rsid w:val="00D364F3"/>
    <w:rsid w:val="00D36779"/>
    <w:rsid w:val="00D36780"/>
    <w:rsid w:val="00D369A2"/>
    <w:rsid w:val="00D369EE"/>
    <w:rsid w:val="00D36AA0"/>
    <w:rsid w:val="00D36B53"/>
    <w:rsid w:val="00D36C1D"/>
    <w:rsid w:val="00D36CAB"/>
    <w:rsid w:val="00D36CC2"/>
    <w:rsid w:val="00D36EC7"/>
    <w:rsid w:val="00D371DB"/>
    <w:rsid w:val="00D37272"/>
    <w:rsid w:val="00D37386"/>
    <w:rsid w:val="00D3740F"/>
    <w:rsid w:val="00D37954"/>
    <w:rsid w:val="00D37ABE"/>
    <w:rsid w:val="00D37C0D"/>
    <w:rsid w:val="00D37D63"/>
    <w:rsid w:val="00D37E60"/>
    <w:rsid w:val="00D37FA7"/>
    <w:rsid w:val="00D4025B"/>
    <w:rsid w:val="00D40823"/>
    <w:rsid w:val="00D4093B"/>
    <w:rsid w:val="00D40B4A"/>
    <w:rsid w:val="00D40D46"/>
    <w:rsid w:val="00D40D53"/>
    <w:rsid w:val="00D40DFF"/>
    <w:rsid w:val="00D40F20"/>
    <w:rsid w:val="00D41755"/>
    <w:rsid w:val="00D4180C"/>
    <w:rsid w:val="00D4183A"/>
    <w:rsid w:val="00D41B23"/>
    <w:rsid w:val="00D41CE6"/>
    <w:rsid w:val="00D41D36"/>
    <w:rsid w:val="00D41E7B"/>
    <w:rsid w:val="00D42061"/>
    <w:rsid w:val="00D422A4"/>
    <w:rsid w:val="00D426D7"/>
    <w:rsid w:val="00D42825"/>
    <w:rsid w:val="00D4297A"/>
    <w:rsid w:val="00D42B44"/>
    <w:rsid w:val="00D42B45"/>
    <w:rsid w:val="00D42DA1"/>
    <w:rsid w:val="00D42DFA"/>
    <w:rsid w:val="00D42E03"/>
    <w:rsid w:val="00D42FDC"/>
    <w:rsid w:val="00D4323C"/>
    <w:rsid w:val="00D438B0"/>
    <w:rsid w:val="00D439B9"/>
    <w:rsid w:val="00D43CA7"/>
    <w:rsid w:val="00D43CEE"/>
    <w:rsid w:val="00D440BD"/>
    <w:rsid w:val="00D442C5"/>
    <w:rsid w:val="00D443BA"/>
    <w:rsid w:val="00D44687"/>
    <w:rsid w:val="00D4468B"/>
    <w:rsid w:val="00D447F0"/>
    <w:rsid w:val="00D44A72"/>
    <w:rsid w:val="00D44A7C"/>
    <w:rsid w:val="00D44B7E"/>
    <w:rsid w:val="00D44CE3"/>
    <w:rsid w:val="00D44ED3"/>
    <w:rsid w:val="00D44ED5"/>
    <w:rsid w:val="00D451C8"/>
    <w:rsid w:val="00D45270"/>
    <w:rsid w:val="00D4547B"/>
    <w:rsid w:val="00D454F7"/>
    <w:rsid w:val="00D4568B"/>
    <w:rsid w:val="00D456A3"/>
    <w:rsid w:val="00D45951"/>
    <w:rsid w:val="00D45D1C"/>
    <w:rsid w:val="00D45DE5"/>
    <w:rsid w:val="00D46268"/>
    <w:rsid w:val="00D463C3"/>
    <w:rsid w:val="00D46603"/>
    <w:rsid w:val="00D46689"/>
    <w:rsid w:val="00D466AD"/>
    <w:rsid w:val="00D469D1"/>
    <w:rsid w:val="00D46C23"/>
    <w:rsid w:val="00D47295"/>
    <w:rsid w:val="00D472CA"/>
    <w:rsid w:val="00D47416"/>
    <w:rsid w:val="00D474E1"/>
    <w:rsid w:val="00D474F3"/>
    <w:rsid w:val="00D47587"/>
    <w:rsid w:val="00D476A2"/>
    <w:rsid w:val="00D47ADB"/>
    <w:rsid w:val="00D47ADC"/>
    <w:rsid w:val="00D47CB2"/>
    <w:rsid w:val="00D500E0"/>
    <w:rsid w:val="00D5032C"/>
    <w:rsid w:val="00D503F9"/>
    <w:rsid w:val="00D50BFA"/>
    <w:rsid w:val="00D51013"/>
    <w:rsid w:val="00D51343"/>
    <w:rsid w:val="00D5179A"/>
    <w:rsid w:val="00D518B6"/>
    <w:rsid w:val="00D51BC8"/>
    <w:rsid w:val="00D51C4E"/>
    <w:rsid w:val="00D51CCE"/>
    <w:rsid w:val="00D51FFF"/>
    <w:rsid w:val="00D52039"/>
    <w:rsid w:val="00D5258A"/>
    <w:rsid w:val="00D52612"/>
    <w:rsid w:val="00D526E0"/>
    <w:rsid w:val="00D52745"/>
    <w:rsid w:val="00D5286D"/>
    <w:rsid w:val="00D52886"/>
    <w:rsid w:val="00D52B4A"/>
    <w:rsid w:val="00D52D21"/>
    <w:rsid w:val="00D52E6F"/>
    <w:rsid w:val="00D52F52"/>
    <w:rsid w:val="00D52F68"/>
    <w:rsid w:val="00D52F93"/>
    <w:rsid w:val="00D5301D"/>
    <w:rsid w:val="00D531B3"/>
    <w:rsid w:val="00D534CE"/>
    <w:rsid w:val="00D53594"/>
    <w:rsid w:val="00D536A9"/>
    <w:rsid w:val="00D53807"/>
    <w:rsid w:val="00D539BB"/>
    <w:rsid w:val="00D53A43"/>
    <w:rsid w:val="00D53A85"/>
    <w:rsid w:val="00D53B89"/>
    <w:rsid w:val="00D53E2C"/>
    <w:rsid w:val="00D53EF8"/>
    <w:rsid w:val="00D5402E"/>
    <w:rsid w:val="00D54334"/>
    <w:rsid w:val="00D54478"/>
    <w:rsid w:val="00D544D8"/>
    <w:rsid w:val="00D54513"/>
    <w:rsid w:val="00D54944"/>
    <w:rsid w:val="00D549C9"/>
    <w:rsid w:val="00D54BF0"/>
    <w:rsid w:val="00D554B0"/>
    <w:rsid w:val="00D5555C"/>
    <w:rsid w:val="00D555AD"/>
    <w:rsid w:val="00D5575C"/>
    <w:rsid w:val="00D55916"/>
    <w:rsid w:val="00D55950"/>
    <w:rsid w:val="00D55BAA"/>
    <w:rsid w:val="00D55D5A"/>
    <w:rsid w:val="00D55DD7"/>
    <w:rsid w:val="00D55EA4"/>
    <w:rsid w:val="00D55F7A"/>
    <w:rsid w:val="00D5618F"/>
    <w:rsid w:val="00D56484"/>
    <w:rsid w:val="00D564DF"/>
    <w:rsid w:val="00D56792"/>
    <w:rsid w:val="00D568C3"/>
    <w:rsid w:val="00D56951"/>
    <w:rsid w:val="00D569B9"/>
    <w:rsid w:val="00D56E00"/>
    <w:rsid w:val="00D56F18"/>
    <w:rsid w:val="00D570A8"/>
    <w:rsid w:val="00D57406"/>
    <w:rsid w:val="00D574EF"/>
    <w:rsid w:val="00D575E0"/>
    <w:rsid w:val="00D57853"/>
    <w:rsid w:val="00D57893"/>
    <w:rsid w:val="00D57B75"/>
    <w:rsid w:val="00D57BB2"/>
    <w:rsid w:val="00D57E50"/>
    <w:rsid w:val="00D57EB7"/>
    <w:rsid w:val="00D607F2"/>
    <w:rsid w:val="00D609CC"/>
    <w:rsid w:val="00D60A6F"/>
    <w:rsid w:val="00D60AF2"/>
    <w:rsid w:val="00D60CDD"/>
    <w:rsid w:val="00D60ED7"/>
    <w:rsid w:val="00D6125E"/>
    <w:rsid w:val="00D61328"/>
    <w:rsid w:val="00D61349"/>
    <w:rsid w:val="00D614C6"/>
    <w:rsid w:val="00D616AF"/>
    <w:rsid w:val="00D616EE"/>
    <w:rsid w:val="00D617DB"/>
    <w:rsid w:val="00D61955"/>
    <w:rsid w:val="00D619D9"/>
    <w:rsid w:val="00D61A5D"/>
    <w:rsid w:val="00D61E47"/>
    <w:rsid w:val="00D6206A"/>
    <w:rsid w:val="00D62125"/>
    <w:rsid w:val="00D62150"/>
    <w:rsid w:val="00D62384"/>
    <w:rsid w:val="00D6247E"/>
    <w:rsid w:val="00D624ED"/>
    <w:rsid w:val="00D627CD"/>
    <w:rsid w:val="00D62C71"/>
    <w:rsid w:val="00D62F4E"/>
    <w:rsid w:val="00D63011"/>
    <w:rsid w:val="00D631A9"/>
    <w:rsid w:val="00D632BB"/>
    <w:rsid w:val="00D633F9"/>
    <w:rsid w:val="00D63991"/>
    <w:rsid w:val="00D63A1F"/>
    <w:rsid w:val="00D63B57"/>
    <w:rsid w:val="00D63C89"/>
    <w:rsid w:val="00D64083"/>
    <w:rsid w:val="00D640E5"/>
    <w:rsid w:val="00D64257"/>
    <w:rsid w:val="00D64292"/>
    <w:rsid w:val="00D6434D"/>
    <w:rsid w:val="00D6437E"/>
    <w:rsid w:val="00D64695"/>
    <w:rsid w:val="00D649BE"/>
    <w:rsid w:val="00D64C50"/>
    <w:rsid w:val="00D64E91"/>
    <w:rsid w:val="00D6515F"/>
    <w:rsid w:val="00D651D4"/>
    <w:rsid w:val="00D651E8"/>
    <w:rsid w:val="00D651F5"/>
    <w:rsid w:val="00D65460"/>
    <w:rsid w:val="00D658BE"/>
    <w:rsid w:val="00D65B6A"/>
    <w:rsid w:val="00D65EBB"/>
    <w:rsid w:val="00D65F65"/>
    <w:rsid w:val="00D65FBD"/>
    <w:rsid w:val="00D6601C"/>
    <w:rsid w:val="00D6611A"/>
    <w:rsid w:val="00D66230"/>
    <w:rsid w:val="00D662C6"/>
    <w:rsid w:val="00D6645A"/>
    <w:rsid w:val="00D666CD"/>
    <w:rsid w:val="00D66C41"/>
    <w:rsid w:val="00D66CE7"/>
    <w:rsid w:val="00D67090"/>
    <w:rsid w:val="00D671E2"/>
    <w:rsid w:val="00D67546"/>
    <w:rsid w:val="00D67554"/>
    <w:rsid w:val="00D67590"/>
    <w:rsid w:val="00D6763C"/>
    <w:rsid w:val="00D67656"/>
    <w:rsid w:val="00D676CF"/>
    <w:rsid w:val="00D6783E"/>
    <w:rsid w:val="00D67CDB"/>
    <w:rsid w:val="00D67E30"/>
    <w:rsid w:val="00D701C5"/>
    <w:rsid w:val="00D701D6"/>
    <w:rsid w:val="00D702E2"/>
    <w:rsid w:val="00D70577"/>
    <w:rsid w:val="00D70685"/>
    <w:rsid w:val="00D706D5"/>
    <w:rsid w:val="00D70795"/>
    <w:rsid w:val="00D70826"/>
    <w:rsid w:val="00D70CE3"/>
    <w:rsid w:val="00D7130F"/>
    <w:rsid w:val="00D7133E"/>
    <w:rsid w:val="00D714A7"/>
    <w:rsid w:val="00D714E9"/>
    <w:rsid w:val="00D71C93"/>
    <w:rsid w:val="00D71D63"/>
    <w:rsid w:val="00D71F6E"/>
    <w:rsid w:val="00D7212C"/>
    <w:rsid w:val="00D7213E"/>
    <w:rsid w:val="00D721D6"/>
    <w:rsid w:val="00D723F9"/>
    <w:rsid w:val="00D72432"/>
    <w:rsid w:val="00D7270C"/>
    <w:rsid w:val="00D72877"/>
    <w:rsid w:val="00D7290E"/>
    <w:rsid w:val="00D72A34"/>
    <w:rsid w:val="00D72D9A"/>
    <w:rsid w:val="00D731EC"/>
    <w:rsid w:val="00D73411"/>
    <w:rsid w:val="00D7341C"/>
    <w:rsid w:val="00D737D4"/>
    <w:rsid w:val="00D73804"/>
    <w:rsid w:val="00D738FA"/>
    <w:rsid w:val="00D7396F"/>
    <w:rsid w:val="00D739AC"/>
    <w:rsid w:val="00D73E7B"/>
    <w:rsid w:val="00D73F68"/>
    <w:rsid w:val="00D74058"/>
    <w:rsid w:val="00D7410D"/>
    <w:rsid w:val="00D74188"/>
    <w:rsid w:val="00D741FE"/>
    <w:rsid w:val="00D742CA"/>
    <w:rsid w:val="00D742FB"/>
    <w:rsid w:val="00D746C7"/>
    <w:rsid w:val="00D747A5"/>
    <w:rsid w:val="00D74833"/>
    <w:rsid w:val="00D74AC0"/>
    <w:rsid w:val="00D74BE0"/>
    <w:rsid w:val="00D752D1"/>
    <w:rsid w:val="00D7536B"/>
    <w:rsid w:val="00D75384"/>
    <w:rsid w:val="00D75900"/>
    <w:rsid w:val="00D75A3C"/>
    <w:rsid w:val="00D75C23"/>
    <w:rsid w:val="00D75E11"/>
    <w:rsid w:val="00D75E2B"/>
    <w:rsid w:val="00D75E92"/>
    <w:rsid w:val="00D76287"/>
    <w:rsid w:val="00D76437"/>
    <w:rsid w:val="00D76805"/>
    <w:rsid w:val="00D76B31"/>
    <w:rsid w:val="00D77141"/>
    <w:rsid w:val="00D774A6"/>
    <w:rsid w:val="00D77720"/>
    <w:rsid w:val="00D777DD"/>
    <w:rsid w:val="00D778A8"/>
    <w:rsid w:val="00D778EE"/>
    <w:rsid w:val="00D7796D"/>
    <w:rsid w:val="00D77B44"/>
    <w:rsid w:val="00D77BFC"/>
    <w:rsid w:val="00D77D42"/>
    <w:rsid w:val="00D801FC"/>
    <w:rsid w:val="00D80393"/>
    <w:rsid w:val="00D80421"/>
    <w:rsid w:val="00D80429"/>
    <w:rsid w:val="00D80DA5"/>
    <w:rsid w:val="00D81020"/>
    <w:rsid w:val="00D81122"/>
    <w:rsid w:val="00D81372"/>
    <w:rsid w:val="00D81399"/>
    <w:rsid w:val="00D814E6"/>
    <w:rsid w:val="00D81504"/>
    <w:rsid w:val="00D81A11"/>
    <w:rsid w:val="00D82480"/>
    <w:rsid w:val="00D82545"/>
    <w:rsid w:val="00D82703"/>
    <w:rsid w:val="00D827D9"/>
    <w:rsid w:val="00D82AFB"/>
    <w:rsid w:val="00D82BFB"/>
    <w:rsid w:val="00D82C75"/>
    <w:rsid w:val="00D82CB8"/>
    <w:rsid w:val="00D82E59"/>
    <w:rsid w:val="00D82E85"/>
    <w:rsid w:val="00D83288"/>
    <w:rsid w:val="00D832CE"/>
    <w:rsid w:val="00D83359"/>
    <w:rsid w:val="00D839FF"/>
    <w:rsid w:val="00D83BB1"/>
    <w:rsid w:val="00D83F1D"/>
    <w:rsid w:val="00D841E9"/>
    <w:rsid w:val="00D8435B"/>
    <w:rsid w:val="00D844F1"/>
    <w:rsid w:val="00D8486C"/>
    <w:rsid w:val="00D84A53"/>
    <w:rsid w:val="00D84A9E"/>
    <w:rsid w:val="00D84B84"/>
    <w:rsid w:val="00D84BE8"/>
    <w:rsid w:val="00D8520A"/>
    <w:rsid w:val="00D853CD"/>
    <w:rsid w:val="00D8566C"/>
    <w:rsid w:val="00D8588A"/>
    <w:rsid w:val="00D85BD4"/>
    <w:rsid w:val="00D85C1B"/>
    <w:rsid w:val="00D85F5B"/>
    <w:rsid w:val="00D860AB"/>
    <w:rsid w:val="00D860C7"/>
    <w:rsid w:val="00D864DF"/>
    <w:rsid w:val="00D86599"/>
    <w:rsid w:val="00D86974"/>
    <w:rsid w:val="00D86D12"/>
    <w:rsid w:val="00D86DCC"/>
    <w:rsid w:val="00D8715B"/>
    <w:rsid w:val="00D875ED"/>
    <w:rsid w:val="00D87A2D"/>
    <w:rsid w:val="00D87F50"/>
    <w:rsid w:val="00D90080"/>
    <w:rsid w:val="00D901A2"/>
    <w:rsid w:val="00D90461"/>
    <w:rsid w:val="00D90506"/>
    <w:rsid w:val="00D90589"/>
    <w:rsid w:val="00D90676"/>
    <w:rsid w:val="00D908BB"/>
    <w:rsid w:val="00D90D6E"/>
    <w:rsid w:val="00D91046"/>
    <w:rsid w:val="00D91053"/>
    <w:rsid w:val="00D9105C"/>
    <w:rsid w:val="00D91070"/>
    <w:rsid w:val="00D91340"/>
    <w:rsid w:val="00D914F2"/>
    <w:rsid w:val="00D91562"/>
    <w:rsid w:val="00D91694"/>
    <w:rsid w:val="00D9175C"/>
    <w:rsid w:val="00D91D5E"/>
    <w:rsid w:val="00D91E1B"/>
    <w:rsid w:val="00D91EDC"/>
    <w:rsid w:val="00D91EEE"/>
    <w:rsid w:val="00D91FA9"/>
    <w:rsid w:val="00D92031"/>
    <w:rsid w:val="00D920AE"/>
    <w:rsid w:val="00D929DA"/>
    <w:rsid w:val="00D929DF"/>
    <w:rsid w:val="00D92A2F"/>
    <w:rsid w:val="00D92B29"/>
    <w:rsid w:val="00D92CA7"/>
    <w:rsid w:val="00D92CEF"/>
    <w:rsid w:val="00D92DAB"/>
    <w:rsid w:val="00D92DC0"/>
    <w:rsid w:val="00D92FAB"/>
    <w:rsid w:val="00D93058"/>
    <w:rsid w:val="00D9305F"/>
    <w:rsid w:val="00D93243"/>
    <w:rsid w:val="00D9345D"/>
    <w:rsid w:val="00D93679"/>
    <w:rsid w:val="00D93753"/>
    <w:rsid w:val="00D9384C"/>
    <w:rsid w:val="00D939F9"/>
    <w:rsid w:val="00D93E5D"/>
    <w:rsid w:val="00D93EB6"/>
    <w:rsid w:val="00D93F56"/>
    <w:rsid w:val="00D9412F"/>
    <w:rsid w:val="00D9445B"/>
    <w:rsid w:val="00D945C1"/>
    <w:rsid w:val="00D94689"/>
    <w:rsid w:val="00D946B8"/>
    <w:rsid w:val="00D948AD"/>
    <w:rsid w:val="00D949AF"/>
    <w:rsid w:val="00D94C6F"/>
    <w:rsid w:val="00D94F1E"/>
    <w:rsid w:val="00D95260"/>
    <w:rsid w:val="00D9549B"/>
    <w:rsid w:val="00D95704"/>
    <w:rsid w:val="00D958BD"/>
    <w:rsid w:val="00D959EB"/>
    <w:rsid w:val="00D95A43"/>
    <w:rsid w:val="00D95B85"/>
    <w:rsid w:val="00D95E0F"/>
    <w:rsid w:val="00D95E1D"/>
    <w:rsid w:val="00D95ED9"/>
    <w:rsid w:val="00D95F64"/>
    <w:rsid w:val="00D96212"/>
    <w:rsid w:val="00D96541"/>
    <w:rsid w:val="00D9699F"/>
    <w:rsid w:val="00D96B1B"/>
    <w:rsid w:val="00D97006"/>
    <w:rsid w:val="00D97177"/>
    <w:rsid w:val="00D9734A"/>
    <w:rsid w:val="00D9739B"/>
    <w:rsid w:val="00D9756C"/>
    <w:rsid w:val="00D976DC"/>
    <w:rsid w:val="00D9783C"/>
    <w:rsid w:val="00D9783D"/>
    <w:rsid w:val="00D979E4"/>
    <w:rsid w:val="00D97C56"/>
    <w:rsid w:val="00D97C80"/>
    <w:rsid w:val="00D97D3E"/>
    <w:rsid w:val="00D97D4B"/>
    <w:rsid w:val="00DA0386"/>
    <w:rsid w:val="00DA0414"/>
    <w:rsid w:val="00DA04D1"/>
    <w:rsid w:val="00DA05FB"/>
    <w:rsid w:val="00DA08E3"/>
    <w:rsid w:val="00DA0C14"/>
    <w:rsid w:val="00DA0CA2"/>
    <w:rsid w:val="00DA12A7"/>
    <w:rsid w:val="00DA1336"/>
    <w:rsid w:val="00DA135D"/>
    <w:rsid w:val="00DA1390"/>
    <w:rsid w:val="00DA14A2"/>
    <w:rsid w:val="00DA159B"/>
    <w:rsid w:val="00DA164F"/>
    <w:rsid w:val="00DA1851"/>
    <w:rsid w:val="00DA19B6"/>
    <w:rsid w:val="00DA1B1B"/>
    <w:rsid w:val="00DA1B21"/>
    <w:rsid w:val="00DA1C5F"/>
    <w:rsid w:val="00DA1F50"/>
    <w:rsid w:val="00DA2150"/>
    <w:rsid w:val="00DA25F1"/>
    <w:rsid w:val="00DA2672"/>
    <w:rsid w:val="00DA2778"/>
    <w:rsid w:val="00DA2870"/>
    <w:rsid w:val="00DA2B54"/>
    <w:rsid w:val="00DA2D2B"/>
    <w:rsid w:val="00DA2F83"/>
    <w:rsid w:val="00DA3259"/>
    <w:rsid w:val="00DA32AC"/>
    <w:rsid w:val="00DA33EB"/>
    <w:rsid w:val="00DA3CB3"/>
    <w:rsid w:val="00DA3F4A"/>
    <w:rsid w:val="00DA400E"/>
    <w:rsid w:val="00DA43CD"/>
    <w:rsid w:val="00DA4479"/>
    <w:rsid w:val="00DA45E5"/>
    <w:rsid w:val="00DA49DB"/>
    <w:rsid w:val="00DA4B45"/>
    <w:rsid w:val="00DA4C1D"/>
    <w:rsid w:val="00DA4C8F"/>
    <w:rsid w:val="00DA4CB1"/>
    <w:rsid w:val="00DA5056"/>
    <w:rsid w:val="00DA51F8"/>
    <w:rsid w:val="00DA55C1"/>
    <w:rsid w:val="00DA55CF"/>
    <w:rsid w:val="00DA59A8"/>
    <w:rsid w:val="00DA5C19"/>
    <w:rsid w:val="00DA5E88"/>
    <w:rsid w:val="00DA5E94"/>
    <w:rsid w:val="00DA640B"/>
    <w:rsid w:val="00DA6499"/>
    <w:rsid w:val="00DA64D5"/>
    <w:rsid w:val="00DA6573"/>
    <w:rsid w:val="00DA65D4"/>
    <w:rsid w:val="00DA66B5"/>
    <w:rsid w:val="00DA6802"/>
    <w:rsid w:val="00DA6965"/>
    <w:rsid w:val="00DA6C8A"/>
    <w:rsid w:val="00DA727C"/>
    <w:rsid w:val="00DA730B"/>
    <w:rsid w:val="00DA737E"/>
    <w:rsid w:val="00DA738A"/>
    <w:rsid w:val="00DA73DA"/>
    <w:rsid w:val="00DA75C8"/>
    <w:rsid w:val="00DA7810"/>
    <w:rsid w:val="00DA786D"/>
    <w:rsid w:val="00DA7D98"/>
    <w:rsid w:val="00DA7E0A"/>
    <w:rsid w:val="00DA7FD0"/>
    <w:rsid w:val="00DB0146"/>
    <w:rsid w:val="00DB01EB"/>
    <w:rsid w:val="00DB04F0"/>
    <w:rsid w:val="00DB05D6"/>
    <w:rsid w:val="00DB09F7"/>
    <w:rsid w:val="00DB0A65"/>
    <w:rsid w:val="00DB0AC9"/>
    <w:rsid w:val="00DB0AE5"/>
    <w:rsid w:val="00DB0C11"/>
    <w:rsid w:val="00DB0C83"/>
    <w:rsid w:val="00DB0E15"/>
    <w:rsid w:val="00DB107D"/>
    <w:rsid w:val="00DB10A3"/>
    <w:rsid w:val="00DB1192"/>
    <w:rsid w:val="00DB1246"/>
    <w:rsid w:val="00DB13F1"/>
    <w:rsid w:val="00DB1416"/>
    <w:rsid w:val="00DB14A6"/>
    <w:rsid w:val="00DB179C"/>
    <w:rsid w:val="00DB17A3"/>
    <w:rsid w:val="00DB1A64"/>
    <w:rsid w:val="00DB20A8"/>
    <w:rsid w:val="00DB21CA"/>
    <w:rsid w:val="00DB21CE"/>
    <w:rsid w:val="00DB2254"/>
    <w:rsid w:val="00DB24B7"/>
    <w:rsid w:val="00DB24F6"/>
    <w:rsid w:val="00DB2920"/>
    <w:rsid w:val="00DB2932"/>
    <w:rsid w:val="00DB2BF4"/>
    <w:rsid w:val="00DB2E5B"/>
    <w:rsid w:val="00DB30BD"/>
    <w:rsid w:val="00DB33B3"/>
    <w:rsid w:val="00DB35A0"/>
    <w:rsid w:val="00DB3768"/>
    <w:rsid w:val="00DB38E6"/>
    <w:rsid w:val="00DB3A10"/>
    <w:rsid w:val="00DB3D58"/>
    <w:rsid w:val="00DB3D85"/>
    <w:rsid w:val="00DB3E70"/>
    <w:rsid w:val="00DB3F49"/>
    <w:rsid w:val="00DB3FFA"/>
    <w:rsid w:val="00DB42FA"/>
    <w:rsid w:val="00DB43CC"/>
    <w:rsid w:val="00DB4405"/>
    <w:rsid w:val="00DB4614"/>
    <w:rsid w:val="00DB474C"/>
    <w:rsid w:val="00DB4910"/>
    <w:rsid w:val="00DB4948"/>
    <w:rsid w:val="00DB4A78"/>
    <w:rsid w:val="00DB4D93"/>
    <w:rsid w:val="00DB4EFF"/>
    <w:rsid w:val="00DB4FF1"/>
    <w:rsid w:val="00DB52DD"/>
    <w:rsid w:val="00DB5532"/>
    <w:rsid w:val="00DB5593"/>
    <w:rsid w:val="00DB559E"/>
    <w:rsid w:val="00DB5D29"/>
    <w:rsid w:val="00DB5F14"/>
    <w:rsid w:val="00DB602D"/>
    <w:rsid w:val="00DB643C"/>
    <w:rsid w:val="00DB6606"/>
    <w:rsid w:val="00DB665B"/>
    <w:rsid w:val="00DB6724"/>
    <w:rsid w:val="00DB682C"/>
    <w:rsid w:val="00DB68B9"/>
    <w:rsid w:val="00DB6929"/>
    <w:rsid w:val="00DB696E"/>
    <w:rsid w:val="00DB6A99"/>
    <w:rsid w:val="00DB6D5D"/>
    <w:rsid w:val="00DB7022"/>
    <w:rsid w:val="00DB73D8"/>
    <w:rsid w:val="00DB743B"/>
    <w:rsid w:val="00DB7451"/>
    <w:rsid w:val="00DB7667"/>
    <w:rsid w:val="00DB7837"/>
    <w:rsid w:val="00DB79CF"/>
    <w:rsid w:val="00DB7C1E"/>
    <w:rsid w:val="00DB7D67"/>
    <w:rsid w:val="00DB7FA4"/>
    <w:rsid w:val="00DC00A3"/>
    <w:rsid w:val="00DC017D"/>
    <w:rsid w:val="00DC017E"/>
    <w:rsid w:val="00DC03BE"/>
    <w:rsid w:val="00DC0C32"/>
    <w:rsid w:val="00DC0C41"/>
    <w:rsid w:val="00DC0C7E"/>
    <w:rsid w:val="00DC0EE1"/>
    <w:rsid w:val="00DC0F2C"/>
    <w:rsid w:val="00DC0F4B"/>
    <w:rsid w:val="00DC10C7"/>
    <w:rsid w:val="00DC10E3"/>
    <w:rsid w:val="00DC117F"/>
    <w:rsid w:val="00DC11DC"/>
    <w:rsid w:val="00DC12E0"/>
    <w:rsid w:val="00DC1310"/>
    <w:rsid w:val="00DC1477"/>
    <w:rsid w:val="00DC151D"/>
    <w:rsid w:val="00DC1637"/>
    <w:rsid w:val="00DC1726"/>
    <w:rsid w:val="00DC1B36"/>
    <w:rsid w:val="00DC1EDE"/>
    <w:rsid w:val="00DC1FE9"/>
    <w:rsid w:val="00DC2398"/>
    <w:rsid w:val="00DC2551"/>
    <w:rsid w:val="00DC26E9"/>
    <w:rsid w:val="00DC2721"/>
    <w:rsid w:val="00DC2813"/>
    <w:rsid w:val="00DC2853"/>
    <w:rsid w:val="00DC28CF"/>
    <w:rsid w:val="00DC2A81"/>
    <w:rsid w:val="00DC2C74"/>
    <w:rsid w:val="00DC2D55"/>
    <w:rsid w:val="00DC2E2D"/>
    <w:rsid w:val="00DC2F95"/>
    <w:rsid w:val="00DC302B"/>
    <w:rsid w:val="00DC30CE"/>
    <w:rsid w:val="00DC3401"/>
    <w:rsid w:val="00DC3508"/>
    <w:rsid w:val="00DC3806"/>
    <w:rsid w:val="00DC3C04"/>
    <w:rsid w:val="00DC3D6E"/>
    <w:rsid w:val="00DC3DDE"/>
    <w:rsid w:val="00DC401D"/>
    <w:rsid w:val="00DC41C3"/>
    <w:rsid w:val="00DC4240"/>
    <w:rsid w:val="00DC4288"/>
    <w:rsid w:val="00DC428E"/>
    <w:rsid w:val="00DC438D"/>
    <w:rsid w:val="00DC4449"/>
    <w:rsid w:val="00DC4661"/>
    <w:rsid w:val="00DC46E6"/>
    <w:rsid w:val="00DC48CC"/>
    <w:rsid w:val="00DC4BA5"/>
    <w:rsid w:val="00DC4E0D"/>
    <w:rsid w:val="00DC4F9C"/>
    <w:rsid w:val="00DC552E"/>
    <w:rsid w:val="00DC59E7"/>
    <w:rsid w:val="00DC5B9A"/>
    <w:rsid w:val="00DC5DC9"/>
    <w:rsid w:val="00DC5F4C"/>
    <w:rsid w:val="00DC608D"/>
    <w:rsid w:val="00DC618C"/>
    <w:rsid w:val="00DC6209"/>
    <w:rsid w:val="00DC6C5B"/>
    <w:rsid w:val="00DC6CA1"/>
    <w:rsid w:val="00DC6CF8"/>
    <w:rsid w:val="00DC711A"/>
    <w:rsid w:val="00DC72FE"/>
    <w:rsid w:val="00DC738A"/>
    <w:rsid w:val="00DC7621"/>
    <w:rsid w:val="00DC779E"/>
    <w:rsid w:val="00DC7974"/>
    <w:rsid w:val="00DC7B62"/>
    <w:rsid w:val="00DC7DCF"/>
    <w:rsid w:val="00DD0018"/>
    <w:rsid w:val="00DD00B5"/>
    <w:rsid w:val="00DD0330"/>
    <w:rsid w:val="00DD05F5"/>
    <w:rsid w:val="00DD05F6"/>
    <w:rsid w:val="00DD06C6"/>
    <w:rsid w:val="00DD0A1A"/>
    <w:rsid w:val="00DD0CFE"/>
    <w:rsid w:val="00DD0D87"/>
    <w:rsid w:val="00DD0D9C"/>
    <w:rsid w:val="00DD0DC7"/>
    <w:rsid w:val="00DD0FB7"/>
    <w:rsid w:val="00DD1623"/>
    <w:rsid w:val="00DD18BB"/>
    <w:rsid w:val="00DD1965"/>
    <w:rsid w:val="00DD19C7"/>
    <w:rsid w:val="00DD1B95"/>
    <w:rsid w:val="00DD1E64"/>
    <w:rsid w:val="00DD1E9E"/>
    <w:rsid w:val="00DD2526"/>
    <w:rsid w:val="00DD256E"/>
    <w:rsid w:val="00DD2617"/>
    <w:rsid w:val="00DD26B2"/>
    <w:rsid w:val="00DD2883"/>
    <w:rsid w:val="00DD2CBD"/>
    <w:rsid w:val="00DD2EB8"/>
    <w:rsid w:val="00DD2F61"/>
    <w:rsid w:val="00DD30E8"/>
    <w:rsid w:val="00DD3151"/>
    <w:rsid w:val="00DD32EF"/>
    <w:rsid w:val="00DD3494"/>
    <w:rsid w:val="00DD34AF"/>
    <w:rsid w:val="00DD34EC"/>
    <w:rsid w:val="00DD3541"/>
    <w:rsid w:val="00DD3628"/>
    <w:rsid w:val="00DD36D3"/>
    <w:rsid w:val="00DD373C"/>
    <w:rsid w:val="00DD3824"/>
    <w:rsid w:val="00DD3A68"/>
    <w:rsid w:val="00DD3AE9"/>
    <w:rsid w:val="00DD3B97"/>
    <w:rsid w:val="00DD3BDE"/>
    <w:rsid w:val="00DD3C94"/>
    <w:rsid w:val="00DD3DAC"/>
    <w:rsid w:val="00DD3E7D"/>
    <w:rsid w:val="00DD41C4"/>
    <w:rsid w:val="00DD4362"/>
    <w:rsid w:val="00DD4508"/>
    <w:rsid w:val="00DD4662"/>
    <w:rsid w:val="00DD48D9"/>
    <w:rsid w:val="00DD492B"/>
    <w:rsid w:val="00DD496C"/>
    <w:rsid w:val="00DD4B62"/>
    <w:rsid w:val="00DD4BF6"/>
    <w:rsid w:val="00DD4C85"/>
    <w:rsid w:val="00DD4CEA"/>
    <w:rsid w:val="00DD4DB4"/>
    <w:rsid w:val="00DD4DE6"/>
    <w:rsid w:val="00DD4EC9"/>
    <w:rsid w:val="00DD4F47"/>
    <w:rsid w:val="00DD521D"/>
    <w:rsid w:val="00DD5288"/>
    <w:rsid w:val="00DD534A"/>
    <w:rsid w:val="00DD5377"/>
    <w:rsid w:val="00DD5493"/>
    <w:rsid w:val="00DD54AF"/>
    <w:rsid w:val="00DD54F1"/>
    <w:rsid w:val="00DD573F"/>
    <w:rsid w:val="00DD5875"/>
    <w:rsid w:val="00DD5883"/>
    <w:rsid w:val="00DD5940"/>
    <w:rsid w:val="00DD5A05"/>
    <w:rsid w:val="00DD5C68"/>
    <w:rsid w:val="00DD63A5"/>
    <w:rsid w:val="00DD64A7"/>
    <w:rsid w:val="00DD64AA"/>
    <w:rsid w:val="00DD660F"/>
    <w:rsid w:val="00DD66E2"/>
    <w:rsid w:val="00DD690F"/>
    <w:rsid w:val="00DD6A41"/>
    <w:rsid w:val="00DD6B3A"/>
    <w:rsid w:val="00DD6D44"/>
    <w:rsid w:val="00DD6EAD"/>
    <w:rsid w:val="00DD6F23"/>
    <w:rsid w:val="00DD7275"/>
    <w:rsid w:val="00DD74AF"/>
    <w:rsid w:val="00DD7504"/>
    <w:rsid w:val="00DD7538"/>
    <w:rsid w:val="00DD762F"/>
    <w:rsid w:val="00DD767D"/>
    <w:rsid w:val="00DD76C7"/>
    <w:rsid w:val="00DD7867"/>
    <w:rsid w:val="00DD7912"/>
    <w:rsid w:val="00DD796B"/>
    <w:rsid w:val="00DD7F3B"/>
    <w:rsid w:val="00DE062D"/>
    <w:rsid w:val="00DE0678"/>
    <w:rsid w:val="00DE0AA6"/>
    <w:rsid w:val="00DE0B8C"/>
    <w:rsid w:val="00DE1039"/>
    <w:rsid w:val="00DE13F0"/>
    <w:rsid w:val="00DE13F8"/>
    <w:rsid w:val="00DE148B"/>
    <w:rsid w:val="00DE1B23"/>
    <w:rsid w:val="00DE1B8C"/>
    <w:rsid w:val="00DE1BA2"/>
    <w:rsid w:val="00DE1EB2"/>
    <w:rsid w:val="00DE1FB0"/>
    <w:rsid w:val="00DE20A6"/>
    <w:rsid w:val="00DE2239"/>
    <w:rsid w:val="00DE22B9"/>
    <w:rsid w:val="00DE235B"/>
    <w:rsid w:val="00DE2505"/>
    <w:rsid w:val="00DE27AB"/>
    <w:rsid w:val="00DE293D"/>
    <w:rsid w:val="00DE295F"/>
    <w:rsid w:val="00DE2A46"/>
    <w:rsid w:val="00DE2AB0"/>
    <w:rsid w:val="00DE2D06"/>
    <w:rsid w:val="00DE2EE7"/>
    <w:rsid w:val="00DE3209"/>
    <w:rsid w:val="00DE33AA"/>
    <w:rsid w:val="00DE3676"/>
    <w:rsid w:val="00DE37AD"/>
    <w:rsid w:val="00DE3B82"/>
    <w:rsid w:val="00DE422C"/>
    <w:rsid w:val="00DE422E"/>
    <w:rsid w:val="00DE426F"/>
    <w:rsid w:val="00DE46BE"/>
    <w:rsid w:val="00DE48E8"/>
    <w:rsid w:val="00DE4C0B"/>
    <w:rsid w:val="00DE4C90"/>
    <w:rsid w:val="00DE4D20"/>
    <w:rsid w:val="00DE4E39"/>
    <w:rsid w:val="00DE4E4D"/>
    <w:rsid w:val="00DE50E2"/>
    <w:rsid w:val="00DE51BA"/>
    <w:rsid w:val="00DE5297"/>
    <w:rsid w:val="00DE547B"/>
    <w:rsid w:val="00DE5769"/>
    <w:rsid w:val="00DE5A56"/>
    <w:rsid w:val="00DE5B5A"/>
    <w:rsid w:val="00DE5E2D"/>
    <w:rsid w:val="00DE616F"/>
    <w:rsid w:val="00DE6308"/>
    <w:rsid w:val="00DE6BEC"/>
    <w:rsid w:val="00DE714E"/>
    <w:rsid w:val="00DE71F7"/>
    <w:rsid w:val="00DE753C"/>
    <w:rsid w:val="00DE76CF"/>
    <w:rsid w:val="00DE771B"/>
    <w:rsid w:val="00DE7A23"/>
    <w:rsid w:val="00DE7C6C"/>
    <w:rsid w:val="00DE7D08"/>
    <w:rsid w:val="00DE7F73"/>
    <w:rsid w:val="00DF022A"/>
    <w:rsid w:val="00DF0840"/>
    <w:rsid w:val="00DF0A38"/>
    <w:rsid w:val="00DF0E5C"/>
    <w:rsid w:val="00DF1128"/>
    <w:rsid w:val="00DF132A"/>
    <w:rsid w:val="00DF142A"/>
    <w:rsid w:val="00DF14F0"/>
    <w:rsid w:val="00DF155D"/>
    <w:rsid w:val="00DF15E6"/>
    <w:rsid w:val="00DF15E8"/>
    <w:rsid w:val="00DF18F5"/>
    <w:rsid w:val="00DF1A33"/>
    <w:rsid w:val="00DF1D32"/>
    <w:rsid w:val="00DF1DE8"/>
    <w:rsid w:val="00DF1EBE"/>
    <w:rsid w:val="00DF1FB3"/>
    <w:rsid w:val="00DF2001"/>
    <w:rsid w:val="00DF203E"/>
    <w:rsid w:val="00DF225D"/>
    <w:rsid w:val="00DF234A"/>
    <w:rsid w:val="00DF26D4"/>
    <w:rsid w:val="00DF2707"/>
    <w:rsid w:val="00DF2839"/>
    <w:rsid w:val="00DF2E4F"/>
    <w:rsid w:val="00DF3056"/>
    <w:rsid w:val="00DF327F"/>
    <w:rsid w:val="00DF3440"/>
    <w:rsid w:val="00DF35B4"/>
    <w:rsid w:val="00DF3796"/>
    <w:rsid w:val="00DF3938"/>
    <w:rsid w:val="00DF428C"/>
    <w:rsid w:val="00DF435E"/>
    <w:rsid w:val="00DF4448"/>
    <w:rsid w:val="00DF4AF9"/>
    <w:rsid w:val="00DF4B2D"/>
    <w:rsid w:val="00DF4D44"/>
    <w:rsid w:val="00DF4F82"/>
    <w:rsid w:val="00DF50E3"/>
    <w:rsid w:val="00DF5123"/>
    <w:rsid w:val="00DF52BF"/>
    <w:rsid w:val="00DF53F4"/>
    <w:rsid w:val="00DF5F75"/>
    <w:rsid w:val="00DF5F84"/>
    <w:rsid w:val="00DF600F"/>
    <w:rsid w:val="00DF6032"/>
    <w:rsid w:val="00DF61D6"/>
    <w:rsid w:val="00DF630C"/>
    <w:rsid w:val="00DF6316"/>
    <w:rsid w:val="00DF6570"/>
    <w:rsid w:val="00DF6818"/>
    <w:rsid w:val="00DF681E"/>
    <w:rsid w:val="00DF6852"/>
    <w:rsid w:val="00DF69BE"/>
    <w:rsid w:val="00DF6A4D"/>
    <w:rsid w:val="00DF6DD3"/>
    <w:rsid w:val="00DF6ECF"/>
    <w:rsid w:val="00DF6F3C"/>
    <w:rsid w:val="00DF70CC"/>
    <w:rsid w:val="00DF727B"/>
    <w:rsid w:val="00DF73EE"/>
    <w:rsid w:val="00DF77B4"/>
    <w:rsid w:val="00DF7870"/>
    <w:rsid w:val="00DF798A"/>
    <w:rsid w:val="00DF79A6"/>
    <w:rsid w:val="00E000D1"/>
    <w:rsid w:val="00E0029E"/>
    <w:rsid w:val="00E00675"/>
    <w:rsid w:val="00E006FB"/>
    <w:rsid w:val="00E007D8"/>
    <w:rsid w:val="00E0082F"/>
    <w:rsid w:val="00E00A67"/>
    <w:rsid w:val="00E00A7B"/>
    <w:rsid w:val="00E00AB6"/>
    <w:rsid w:val="00E00D17"/>
    <w:rsid w:val="00E00FE0"/>
    <w:rsid w:val="00E01039"/>
    <w:rsid w:val="00E01248"/>
    <w:rsid w:val="00E0148A"/>
    <w:rsid w:val="00E015B7"/>
    <w:rsid w:val="00E01707"/>
    <w:rsid w:val="00E0182E"/>
    <w:rsid w:val="00E019AA"/>
    <w:rsid w:val="00E01CAA"/>
    <w:rsid w:val="00E01D7D"/>
    <w:rsid w:val="00E01F06"/>
    <w:rsid w:val="00E020C9"/>
    <w:rsid w:val="00E0211F"/>
    <w:rsid w:val="00E02A05"/>
    <w:rsid w:val="00E02A93"/>
    <w:rsid w:val="00E032BC"/>
    <w:rsid w:val="00E0345F"/>
    <w:rsid w:val="00E039BB"/>
    <w:rsid w:val="00E039CE"/>
    <w:rsid w:val="00E03B4E"/>
    <w:rsid w:val="00E03B71"/>
    <w:rsid w:val="00E040E8"/>
    <w:rsid w:val="00E0473E"/>
    <w:rsid w:val="00E04A6C"/>
    <w:rsid w:val="00E04B82"/>
    <w:rsid w:val="00E04E32"/>
    <w:rsid w:val="00E05302"/>
    <w:rsid w:val="00E05677"/>
    <w:rsid w:val="00E057C5"/>
    <w:rsid w:val="00E058E1"/>
    <w:rsid w:val="00E05AA4"/>
    <w:rsid w:val="00E05AB7"/>
    <w:rsid w:val="00E05EB4"/>
    <w:rsid w:val="00E05F7C"/>
    <w:rsid w:val="00E0606F"/>
    <w:rsid w:val="00E06095"/>
    <w:rsid w:val="00E0630B"/>
    <w:rsid w:val="00E06491"/>
    <w:rsid w:val="00E067AA"/>
    <w:rsid w:val="00E069CB"/>
    <w:rsid w:val="00E069CF"/>
    <w:rsid w:val="00E06A54"/>
    <w:rsid w:val="00E06D62"/>
    <w:rsid w:val="00E06E28"/>
    <w:rsid w:val="00E06ED4"/>
    <w:rsid w:val="00E070A2"/>
    <w:rsid w:val="00E073F8"/>
    <w:rsid w:val="00E075FE"/>
    <w:rsid w:val="00E07634"/>
    <w:rsid w:val="00E078B6"/>
    <w:rsid w:val="00E07A27"/>
    <w:rsid w:val="00E07B97"/>
    <w:rsid w:val="00E07C49"/>
    <w:rsid w:val="00E07CE2"/>
    <w:rsid w:val="00E10023"/>
    <w:rsid w:val="00E1072F"/>
    <w:rsid w:val="00E10A1F"/>
    <w:rsid w:val="00E10CF0"/>
    <w:rsid w:val="00E110C2"/>
    <w:rsid w:val="00E113FF"/>
    <w:rsid w:val="00E1190E"/>
    <w:rsid w:val="00E11CB6"/>
    <w:rsid w:val="00E1215A"/>
    <w:rsid w:val="00E12210"/>
    <w:rsid w:val="00E1241E"/>
    <w:rsid w:val="00E127F4"/>
    <w:rsid w:val="00E12974"/>
    <w:rsid w:val="00E129AC"/>
    <w:rsid w:val="00E12BC0"/>
    <w:rsid w:val="00E12F3A"/>
    <w:rsid w:val="00E13048"/>
    <w:rsid w:val="00E131EF"/>
    <w:rsid w:val="00E13227"/>
    <w:rsid w:val="00E132B3"/>
    <w:rsid w:val="00E1350C"/>
    <w:rsid w:val="00E13652"/>
    <w:rsid w:val="00E13776"/>
    <w:rsid w:val="00E137A6"/>
    <w:rsid w:val="00E13860"/>
    <w:rsid w:val="00E138DB"/>
    <w:rsid w:val="00E13C85"/>
    <w:rsid w:val="00E13D4A"/>
    <w:rsid w:val="00E13EDF"/>
    <w:rsid w:val="00E13F4C"/>
    <w:rsid w:val="00E13FFE"/>
    <w:rsid w:val="00E14046"/>
    <w:rsid w:val="00E142E0"/>
    <w:rsid w:val="00E1451E"/>
    <w:rsid w:val="00E1481D"/>
    <w:rsid w:val="00E1483D"/>
    <w:rsid w:val="00E14B4D"/>
    <w:rsid w:val="00E14DB6"/>
    <w:rsid w:val="00E150BA"/>
    <w:rsid w:val="00E1519B"/>
    <w:rsid w:val="00E1551B"/>
    <w:rsid w:val="00E1554E"/>
    <w:rsid w:val="00E1564C"/>
    <w:rsid w:val="00E15BE0"/>
    <w:rsid w:val="00E15CBB"/>
    <w:rsid w:val="00E15D45"/>
    <w:rsid w:val="00E15D65"/>
    <w:rsid w:val="00E15E33"/>
    <w:rsid w:val="00E163A2"/>
    <w:rsid w:val="00E16521"/>
    <w:rsid w:val="00E165CB"/>
    <w:rsid w:val="00E16609"/>
    <w:rsid w:val="00E1663B"/>
    <w:rsid w:val="00E16CCD"/>
    <w:rsid w:val="00E16F95"/>
    <w:rsid w:val="00E1716A"/>
    <w:rsid w:val="00E17202"/>
    <w:rsid w:val="00E1726A"/>
    <w:rsid w:val="00E17393"/>
    <w:rsid w:val="00E17443"/>
    <w:rsid w:val="00E1759C"/>
    <w:rsid w:val="00E17C31"/>
    <w:rsid w:val="00E17CAA"/>
    <w:rsid w:val="00E17D4F"/>
    <w:rsid w:val="00E17E5F"/>
    <w:rsid w:val="00E17EC2"/>
    <w:rsid w:val="00E17FFE"/>
    <w:rsid w:val="00E201E4"/>
    <w:rsid w:val="00E2037F"/>
    <w:rsid w:val="00E20763"/>
    <w:rsid w:val="00E20973"/>
    <w:rsid w:val="00E20A7F"/>
    <w:rsid w:val="00E20C36"/>
    <w:rsid w:val="00E20EB0"/>
    <w:rsid w:val="00E21185"/>
    <w:rsid w:val="00E211CB"/>
    <w:rsid w:val="00E21E33"/>
    <w:rsid w:val="00E21E86"/>
    <w:rsid w:val="00E22017"/>
    <w:rsid w:val="00E22492"/>
    <w:rsid w:val="00E22623"/>
    <w:rsid w:val="00E22692"/>
    <w:rsid w:val="00E22B9F"/>
    <w:rsid w:val="00E232BB"/>
    <w:rsid w:val="00E23564"/>
    <w:rsid w:val="00E23C1C"/>
    <w:rsid w:val="00E23D6F"/>
    <w:rsid w:val="00E2415A"/>
    <w:rsid w:val="00E24319"/>
    <w:rsid w:val="00E24425"/>
    <w:rsid w:val="00E2476F"/>
    <w:rsid w:val="00E248C6"/>
    <w:rsid w:val="00E24AF0"/>
    <w:rsid w:val="00E24BB5"/>
    <w:rsid w:val="00E24CBC"/>
    <w:rsid w:val="00E24D01"/>
    <w:rsid w:val="00E25105"/>
    <w:rsid w:val="00E25326"/>
    <w:rsid w:val="00E25439"/>
    <w:rsid w:val="00E254E9"/>
    <w:rsid w:val="00E256B9"/>
    <w:rsid w:val="00E25C16"/>
    <w:rsid w:val="00E25C5E"/>
    <w:rsid w:val="00E25CCF"/>
    <w:rsid w:val="00E261A3"/>
    <w:rsid w:val="00E2648E"/>
    <w:rsid w:val="00E26A8A"/>
    <w:rsid w:val="00E26D33"/>
    <w:rsid w:val="00E27166"/>
    <w:rsid w:val="00E27242"/>
    <w:rsid w:val="00E2775C"/>
    <w:rsid w:val="00E2786E"/>
    <w:rsid w:val="00E27923"/>
    <w:rsid w:val="00E27A0D"/>
    <w:rsid w:val="00E27A98"/>
    <w:rsid w:val="00E27D52"/>
    <w:rsid w:val="00E27FC4"/>
    <w:rsid w:val="00E27FF7"/>
    <w:rsid w:val="00E3027E"/>
    <w:rsid w:val="00E302BE"/>
    <w:rsid w:val="00E302F7"/>
    <w:rsid w:val="00E303E6"/>
    <w:rsid w:val="00E30689"/>
    <w:rsid w:val="00E307BF"/>
    <w:rsid w:val="00E30B7D"/>
    <w:rsid w:val="00E30ED1"/>
    <w:rsid w:val="00E31056"/>
    <w:rsid w:val="00E312E3"/>
    <w:rsid w:val="00E312F6"/>
    <w:rsid w:val="00E31390"/>
    <w:rsid w:val="00E3151F"/>
    <w:rsid w:val="00E31912"/>
    <w:rsid w:val="00E3193B"/>
    <w:rsid w:val="00E31A84"/>
    <w:rsid w:val="00E31D01"/>
    <w:rsid w:val="00E31DBF"/>
    <w:rsid w:val="00E31DEF"/>
    <w:rsid w:val="00E31E8F"/>
    <w:rsid w:val="00E322A6"/>
    <w:rsid w:val="00E32452"/>
    <w:rsid w:val="00E32455"/>
    <w:rsid w:val="00E326C3"/>
    <w:rsid w:val="00E3277E"/>
    <w:rsid w:val="00E32CFC"/>
    <w:rsid w:val="00E32DEA"/>
    <w:rsid w:val="00E32E90"/>
    <w:rsid w:val="00E33063"/>
    <w:rsid w:val="00E33176"/>
    <w:rsid w:val="00E33316"/>
    <w:rsid w:val="00E335F6"/>
    <w:rsid w:val="00E33E4C"/>
    <w:rsid w:val="00E3432D"/>
    <w:rsid w:val="00E343E1"/>
    <w:rsid w:val="00E3457C"/>
    <w:rsid w:val="00E348AF"/>
    <w:rsid w:val="00E34C21"/>
    <w:rsid w:val="00E3515A"/>
    <w:rsid w:val="00E354B4"/>
    <w:rsid w:val="00E354F6"/>
    <w:rsid w:val="00E3553D"/>
    <w:rsid w:val="00E355B2"/>
    <w:rsid w:val="00E357A5"/>
    <w:rsid w:val="00E35891"/>
    <w:rsid w:val="00E35979"/>
    <w:rsid w:val="00E35A64"/>
    <w:rsid w:val="00E35ED1"/>
    <w:rsid w:val="00E360B8"/>
    <w:rsid w:val="00E361E4"/>
    <w:rsid w:val="00E36429"/>
    <w:rsid w:val="00E364B5"/>
    <w:rsid w:val="00E3654E"/>
    <w:rsid w:val="00E3678D"/>
    <w:rsid w:val="00E368CE"/>
    <w:rsid w:val="00E36A63"/>
    <w:rsid w:val="00E3703A"/>
    <w:rsid w:val="00E3750F"/>
    <w:rsid w:val="00E3755F"/>
    <w:rsid w:val="00E3772A"/>
    <w:rsid w:val="00E37881"/>
    <w:rsid w:val="00E37A1A"/>
    <w:rsid w:val="00E37B81"/>
    <w:rsid w:val="00E37BCC"/>
    <w:rsid w:val="00E37FD0"/>
    <w:rsid w:val="00E400EA"/>
    <w:rsid w:val="00E40466"/>
    <w:rsid w:val="00E4078F"/>
    <w:rsid w:val="00E40835"/>
    <w:rsid w:val="00E41229"/>
    <w:rsid w:val="00E4134B"/>
    <w:rsid w:val="00E413A3"/>
    <w:rsid w:val="00E413D0"/>
    <w:rsid w:val="00E414AE"/>
    <w:rsid w:val="00E4155B"/>
    <w:rsid w:val="00E41919"/>
    <w:rsid w:val="00E41B53"/>
    <w:rsid w:val="00E41B6D"/>
    <w:rsid w:val="00E41BD5"/>
    <w:rsid w:val="00E41C0E"/>
    <w:rsid w:val="00E41CEA"/>
    <w:rsid w:val="00E42329"/>
    <w:rsid w:val="00E42407"/>
    <w:rsid w:val="00E42768"/>
    <w:rsid w:val="00E428E0"/>
    <w:rsid w:val="00E42AAA"/>
    <w:rsid w:val="00E42CCC"/>
    <w:rsid w:val="00E43061"/>
    <w:rsid w:val="00E431A7"/>
    <w:rsid w:val="00E43304"/>
    <w:rsid w:val="00E4363C"/>
    <w:rsid w:val="00E43853"/>
    <w:rsid w:val="00E43865"/>
    <w:rsid w:val="00E4389A"/>
    <w:rsid w:val="00E439A4"/>
    <w:rsid w:val="00E43ABC"/>
    <w:rsid w:val="00E43B9F"/>
    <w:rsid w:val="00E43CD8"/>
    <w:rsid w:val="00E43D73"/>
    <w:rsid w:val="00E43EDF"/>
    <w:rsid w:val="00E440C5"/>
    <w:rsid w:val="00E442FE"/>
    <w:rsid w:val="00E4455A"/>
    <w:rsid w:val="00E44616"/>
    <w:rsid w:val="00E447C9"/>
    <w:rsid w:val="00E44841"/>
    <w:rsid w:val="00E44A08"/>
    <w:rsid w:val="00E44BCF"/>
    <w:rsid w:val="00E44C79"/>
    <w:rsid w:val="00E44D52"/>
    <w:rsid w:val="00E44E86"/>
    <w:rsid w:val="00E44FE9"/>
    <w:rsid w:val="00E4503A"/>
    <w:rsid w:val="00E45A96"/>
    <w:rsid w:val="00E45BC0"/>
    <w:rsid w:val="00E45CCF"/>
    <w:rsid w:val="00E45D54"/>
    <w:rsid w:val="00E45E45"/>
    <w:rsid w:val="00E45F62"/>
    <w:rsid w:val="00E46016"/>
    <w:rsid w:val="00E460AB"/>
    <w:rsid w:val="00E46121"/>
    <w:rsid w:val="00E46959"/>
    <w:rsid w:val="00E469AC"/>
    <w:rsid w:val="00E469CC"/>
    <w:rsid w:val="00E46ED3"/>
    <w:rsid w:val="00E47241"/>
    <w:rsid w:val="00E47659"/>
    <w:rsid w:val="00E476F4"/>
    <w:rsid w:val="00E47843"/>
    <w:rsid w:val="00E478ED"/>
    <w:rsid w:val="00E47A8B"/>
    <w:rsid w:val="00E47B3C"/>
    <w:rsid w:val="00E47B69"/>
    <w:rsid w:val="00E47E82"/>
    <w:rsid w:val="00E5019C"/>
    <w:rsid w:val="00E507F7"/>
    <w:rsid w:val="00E50806"/>
    <w:rsid w:val="00E50A3D"/>
    <w:rsid w:val="00E510BA"/>
    <w:rsid w:val="00E510EA"/>
    <w:rsid w:val="00E51213"/>
    <w:rsid w:val="00E512D3"/>
    <w:rsid w:val="00E512F4"/>
    <w:rsid w:val="00E51377"/>
    <w:rsid w:val="00E5152A"/>
    <w:rsid w:val="00E516BB"/>
    <w:rsid w:val="00E5170A"/>
    <w:rsid w:val="00E517D7"/>
    <w:rsid w:val="00E5185A"/>
    <w:rsid w:val="00E518DF"/>
    <w:rsid w:val="00E518E1"/>
    <w:rsid w:val="00E51CF6"/>
    <w:rsid w:val="00E51D28"/>
    <w:rsid w:val="00E51F30"/>
    <w:rsid w:val="00E520B8"/>
    <w:rsid w:val="00E5214A"/>
    <w:rsid w:val="00E52344"/>
    <w:rsid w:val="00E52406"/>
    <w:rsid w:val="00E52449"/>
    <w:rsid w:val="00E529B5"/>
    <w:rsid w:val="00E52DF0"/>
    <w:rsid w:val="00E52E83"/>
    <w:rsid w:val="00E5333F"/>
    <w:rsid w:val="00E53727"/>
    <w:rsid w:val="00E53832"/>
    <w:rsid w:val="00E53873"/>
    <w:rsid w:val="00E53B5F"/>
    <w:rsid w:val="00E53CD0"/>
    <w:rsid w:val="00E53EF7"/>
    <w:rsid w:val="00E540A0"/>
    <w:rsid w:val="00E54281"/>
    <w:rsid w:val="00E54293"/>
    <w:rsid w:val="00E545C6"/>
    <w:rsid w:val="00E5464B"/>
    <w:rsid w:val="00E5490E"/>
    <w:rsid w:val="00E54C2A"/>
    <w:rsid w:val="00E54CF1"/>
    <w:rsid w:val="00E5506C"/>
    <w:rsid w:val="00E550D2"/>
    <w:rsid w:val="00E5583F"/>
    <w:rsid w:val="00E55AEF"/>
    <w:rsid w:val="00E55B88"/>
    <w:rsid w:val="00E560AD"/>
    <w:rsid w:val="00E56255"/>
    <w:rsid w:val="00E56418"/>
    <w:rsid w:val="00E564C0"/>
    <w:rsid w:val="00E564F7"/>
    <w:rsid w:val="00E56578"/>
    <w:rsid w:val="00E56794"/>
    <w:rsid w:val="00E5683A"/>
    <w:rsid w:val="00E56843"/>
    <w:rsid w:val="00E56D45"/>
    <w:rsid w:val="00E56E81"/>
    <w:rsid w:val="00E5709E"/>
    <w:rsid w:val="00E5724A"/>
    <w:rsid w:val="00E57305"/>
    <w:rsid w:val="00E5737A"/>
    <w:rsid w:val="00E574B1"/>
    <w:rsid w:val="00E574CB"/>
    <w:rsid w:val="00E5752D"/>
    <w:rsid w:val="00E5758B"/>
    <w:rsid w:val="00E57599"/>
    <w:rsid w:val="00E5762A"/>
    <w:rsid w:val="00E57682"/>
    <w:rsid w:val="00E576DD"/>
    <w:rsid w:val="00E57762"/>
    <w:rsid w:val="00E57805"/>
    <w:rsid w:val="00E57A88"/>
    <w:rsid w:val="00E57B7B"/>
    <w:rsid w:val="00E600DA"/>
    <w:rsid w:val="00E60227"/>
    <w:rsid w:val="00E6028A"/>
    <w:rsid w:val="00E60455"/>
    <w:rsid w:val="00E60814"/>
    <w:rsid w:val="00E60AA6"/>
    <w:rsid w:val="00E60EAB"/>
    <w:rsid w:val="00E61046"/>
    <w:rsid w:val="00E614E5"/>
    <w:rsid w:val="00E61531"/>
    <w:rsid w:val="00E61891"/>
    <w:rsid w:val="00E618D9"/>
    <w:rsid w:val="00E619CB"/>
    <w:rsid w:val="00E61C63"/>
    <w:rsid w:val="00E61E56"/>
    <w:rsid w:val="00E61EA2"/>
    <w:rsid w:val="00E61F9E"/>
    <w:rsid w:val="00E61FAC"/>
    <w:rsid w:val="00E61FE7"/>
    <w:rsid w:val="00E6207A"/>
    <w:rsid w:val="00E6215B"/>
    <w:rsid w:val="00E6237D"/>
    <w:rsid w:val="00E623A0"/>
    <w:rsid w:val="00E6246C"/>
    <w:rsid w:val="00E62489"/>
    <w:rsid w:val="00E6267B"/>
    <w:rsid w:val="00E627A6"/>
    <w:rsid w:val="00E62B60"/>
    <w:rsid w:val="00E62BC5"/>
    <w:rsid w:val="00E63022"/>
    <w:rsid w:val="00E630A2"/>
    <w:rsid w:val="00E633F1"/>
    <w:rsid w:val="00E63405"/>
    <w:rsid w:val="00E63A36"/>
    <w:rsid w:val="00E64046"/>
    <w:rsid w:val="00E64194"/>
    <w:rsid w:val="00E6435C"/>
    <w:rsid w:val="00E643D6"/>
    <w:rsid w:val="00E6450C"/>
    <w:rsid w:val="00E647A5"/>
    <w:rsid w:val="00E64821"/>
    <w:rsid w:val="00E64A1E"/>
    <w:rsid w:val="00E64A8D"/>
    <w:rsid w:val="00E64C82"/>
    <w:rsid w:val="00E64E19"/>
    <w:rsid w:val="00E64F8C"/>
    <w:rsid w:val="00E6511F"/>
    <w:rsid w:val="00E65173"/>
    <w:rsid w:val="00E65226"/>
    <w:rsid w:val="00E65363"/>
    <w:rsid w:val="00E65417"/>
    <w:rsid w:val="00E6572A"/>
    <w:rsid w:val="00E65746"/>
    <w:rsid w:val="00E65761"/>
    <w:rsid w:val="00E65767"/>
    <w:rsid w:val="00E6581C"/>
    <w:rsid w:val="00E65882"/>
    <w:rsid w:val="00E65B14"/>
    <w:rsid w:val="00E65BD2"/>
    <w:rsid w:val="00E65DF5"/>
    <w:rsid w:val="00E65EBD"/>
    <w:rsid w:val="00E661CD"/>
    <w:rsid w:val="00E662D2"/>
    <w:rsid w:val="00E663C6"/>
    <w:rsid w:val="00E66529"/>
    <w:rsid w:val="00E66B39"/>
    <w:rsid w:val="00E66DED"/>
    <w:rsid w:val="00E66E9F"/>
    <w:rsid w:val="00E67296"/>
    <w:rsid w:val="00E67323"/>
    <w:rsid w:val="00E6734C"/>
    <w:rsid w:val="00E67852"/>
    <w:rsid w:val="00E678D7"/>
    <w:rsid w:val="00E67A6C"/>
    <w:rsid w:val="00E67D08"/>
    <w:rsid w:val="00E67EE4"/>
    <w:rsid w:val="00E700B0"/>
    <w:rsid w:val="00E701BF"/>
    <w:rsid w:val="00E702BA"/>
    <w:rsid w:val="00E704F9"/>
    <w:rsid w:val="00E70520"/>
    <w:rsid w:val="00E705AB"/>
    <w:rsid w:val="00E705B0"/>
    <w:rsid w:val="00E706B4"/>
    <w:rsid w:val="00E70708"/>
    <w:rsid w:val="00E7080A"/>
    <w:rsid w:val="00E70B0B"/>
    <w:rsid w:val="00E70E0E"/>
    <w:rsid w:val="00E71077"/>
    <w:rsid w:val="00E71213"/>
    <w:rsid w:val="00E71979"/>
    <w:rsid w:val="00E719C4"/>
    <w:rsid w:val="00E71AD2"/>
    <w:rsid w:val="00E71AE2"/>
    <w:rsid w:val="00E71C31"/>
    <w:rsid w:val="00E71CAF"/>
    <w:rsid w:val="00E71DF1"/>
    <w:rsid w:val="00E72083"/>
    <w:rsid w:val="00E72254"/>
    <w:rsid w:val="00E722F7"/>
    <w:rsid w:val="00E7236A"/>
    <w:rsid w:val="00E723AF"/>
    <w:rsid w:val="00E725FE"/>
    <w:rsid w:val="00E727FF"/>
    <w:rsid w:val="00E72818"/>
    <w:rsid w:val="00E72930"/>
    <w:rsid w:val="00E72AAE"/>
    <w:rsid w:val="00E72C89"/>
    <w:rsid w:val="00E73507"/>
    <w:rsid w:val="00E7377C"/>
    <w:rsid w:val="00E738C2"/>
    <w:rsid w:val="00E738F5"/>
    <w:rsid w:val="00E73B08"/>
    <w:rsid w:val="00E73BCE"/>
    <w:rsid w:val="00E73C56"/>
    <w:rsid w:val="00E73CB2"/>
    <w:rsid w:val="00E73E75"/>
    <w:rsid w:val="00E73E98"/>
    <w:rsid w:val="00E73F00"/>
    <w:rsid w:val="00E73FE4"/>
    <w:rsid w:val="00E7410B"/>
    <w:rsid w:val="00E74424"/>
    <w:rsid w:val="00E7452D"/>
    <w:rsid w:val="00E74577"/>
    <w:rsid w:val="00E747A3"/>
    <w:rsid w:val="00E747E8"/>
    <w:rsid w:val="00E74949"/>
    <w:rsid w:val="00E74A9C"/>
    <w:rsid w:val="00E74AFF"/>
    <w:rsid w:val="00E74DCB"/>
    <w:rsid w:val="00E750FF"/>
    <w:rsid w:val="00E7512D"/>
    <w:rsid w:val="00E75245"/>
    <w:rsid w:val="00E75737"/>
    <w:rsid w:val="00E758BB"/>
    <w:rsid w:val="00E75938"/>
    <w:rsid w:val="00E75AAD"/>
    <w:rsid w:val="00E75C4F"/>
    <w:rsid w:val="00E75D6B"/>
    <w:rsid w:val="00E75DBA"/>
    <w:rsid w:val="00E75DD2"/>
    <w:rsid w:val="00E75E61"/>
    <w:rsid w:val="00E75F18"/>
    <w:rsid w:val="00E75FD7"/>
    <w:rsid w:val="00E763DA"/>
    <w:rsid w:val="00E76A01"/>
    <w:rsid w:val="00E76B7C"/>
    <w:rsid w:val="00E76BDE"/>
    <w:rsid w:val="00E76F69"/>
    <w:rsid w:val="00E77298"/>
    <w:rsid w:val="00E7730A"/>
    <w:rsid w:val="00E77310"/>
    <w:rsid w:val="00E778C3"/>
    <w:rsid w:val="00E778ED"/>
    <w:rsid w:val="00E7793A"/>
    <w:rsid w:val="00E77A20"/>
    <w:rsid w:val="00E77C1E"/>
    <w:rsid w:val="00E77C65"/>
    <w:rsid w:val="00E77C95"/>
    <w:rsid w:val="00E77DFB"/>
    <w:rsid w:val="00E77EEA"/>
    <w:rsid w:val="00E77F84"/>
    <w:rsid w:val="00E801DC"/>
    <w:rsid w:val="00E80280"/>
    <w:rsid w:val="00E8045D"/>
    <w:rsid w:val="00E80595"/>
    <w:rsid w:val="00E808F5"/>
    <w:rsid w:val="00E80951"/>
    <w:rsid w:val="00E80B24"/>
    <w:rsid w:val="00E80C9C"/>
    <w:rsid w:val="00E80C9E"/>
    <w:rsid w:val="00E80E04"/>
    <w:rsid w:val="00E8106C"/>
    <w:rsid w:val="00E81223"/>
    <w:rsid w:val="00E814AC"/>
    <w:rsid w:val="00E81525"/>
    <w:rsid w:val="00E8165B"/>
    <w:rsid w:val="00E817A9"/>
    <w:rsid w:val="00E8194E"/>
    <w:rsid w:val="00E81C99"/>
    <w:rsid w:val="00E81CBA"/>
    <w:rsid w:val="00E81EC9"/>
    <w:rsid w:val="00E8211A"/>
    <w:rsid w:val="00E82412"/>
    <w:rsid w:val="00E826C2"/>
    <w:rsid w:val="00E827F2"/>
    <w:rsid w:val="00E82878"/>
    <w:rsid w:val="00E8294C"/>
    <w:rsid w:val="00E82A2D"/>
    <w:rsid w:val="00E82E24"/>
    <w:rsid w:val="00E82FD9"/>
    <w:rsid w:val="00E832A2"/>
    <w:rsid w:val="00E8388C"/>
    <w:rsid w:val="00E838F7"/>
    <w:rsid w:val="00E83936"/>
    <w:rsid w:val="00E83AAC"/>
    <w:rsid w:val="00E83C2E"/>
    <w:rsid w:val="00E83C93"/>
    <w:rsid w:val="00E83DF7"/>
    <w:rsid w:val="00E83E59"/>
    <w:rsid w:val="00E84114"/>
    <w:rsid w:val="00E84296"/>
    <w:rsid w:val="00E843AB"/>
    <w:rsid w:val="00E843C5"/>
    <w:rsid w:val="00E84615"/>
    <w:rsid w:val="00E846B3"/>
    <w:rsid w:val="00E84767"/>
    <w:rsid w:val="00E849AE"/>
    <w:rsid w:val="00E84AA7"/>
    <w:rsid w:val="00E84AC0"/>
    <w:rsid w:val="00E84CBA"/>
    <w:rsid w:val="00E84F04"/>
    <w:rsid w:val="00E84F58"/>
    <w:rsid w:val="00E8516B"/>
    <w:rsid w:val="00E85287"/>
    <w:rsid w:val="00E85296"/>
    <w:rsid w:val="00E8542F"/>
    <w:rsid w:val="00E8589F"/>
    <w:rsid w:val="00E858F7"/>
    <w:rsid w:val="00E85BA6"/>
    <w:rsid w:val="00E85DBD"/>
    <w:rsid w:val="00E85E9F"/>
    <w:rsid w:val="00E85F60"/>
    <w:rsid w:val="00E8618B"/>
    <w:rsid w:val="00E86393"/>
    <w:rsid w:val="00E863D9"/>
    <w:rsid w:val="00E86693"/>
    <w:rsid w:val="00E86837"/>
    <w:rsid w:val="00E86ACE"/>
    <w:rsid w:val="00E86DCC"/>
    <w:rsid w:val="00E873CF"/>
    <w:rsid w:val="00E876CF"/>
    <w:rsid w:val="00E8773B"/>
    <w:rsid w:val="00E879F4"/>
    <w:rsid w:val="00E87B3B"/>
    <w:rsid w:val="00E901BC"/>
    <w:rsid w:val="00E9027F"/>
    <w:rsid w:val="00E904D2"/>
    <w:rsid w:val="00E9055A"/>
    <w:rsid w:val="00E9060E"/>
    <w:rsid w:val="00E906FC"/>
    <w:rsid w:val="00E9087A"/>
    <w:rsid w:val="00E908EF"/>
    <w:rsid w:val="00E909AD"/>
    <w:rsid w:val="00E90ABC"/>
    <w:rsid w:val="00E90D07"/>
    <w:rsid w:val="00E910C2"/>
    <w:rsid w:val="00E91275"/>
    <w:rsid w:val="00E9130F"/>
    <w:rsid w:val="00E9131D"/>
    <w:rsid w:val="00E91345"/>
    <w:rsid w:val="00E9136C"/>
    <w:rsid w:val="00E916DD"/>
    <w:rsid w:val="00E919FC"/>
    <w:rsid w:val="00E91C2D"/>
    <w:rsid w:val="00E92074"/>
    <w:rsid w:val="00E92420"/>
    <w:rsid w:val="00E92423"/>
    <w:rsid w:val="00E9246A"/>
    <w:rsid w:val="00E9248C"/>
    <w:rsid w:val="00E925FE"/>
    <w:rsid w:val="00E9287B"/>
    <w:rsid w:val="00E92976"/>
    <w:rsid w:val="00E929DF"/>
    <w:rsid w:val="00E929FC"/>
    <w:rsid w:val="00E92D95"/>
    <w:rsid w:val="00E92FA8"/>
    <w:rsid w:val="00E930BD"/>
    <w:rsid w:val="00E931BB"/>
    <w:rsid w:val="00E932FC"/>
    <w:rsid w:val="00E9331E"/>
    <w:rsid w:val="00E939D2"/>
    <w:rsid w:val="00E93C62"/>
    <w:rsid w:val="00E93F04"/>
    <w:rsid w:val="00E9447A"/>
    <w:rsid w:val="00E94971"/>
    <w:rsid w:val="00E94AA3"/>
    <w:rsid w:val="00E94B49"/>
    <w:rsid w:val="00E94E10"/>
    <w:rsid w:val="00E94F1C"/>
    <w:rsid w:val="00E955C2"/>
    <w:rsid w:val="00E95647"/>
    <w:rsid w:val="00E9591E"/>
    <w:rsid w:val="00E95BC0"/>
    <w:rsid w:val="00E95C1C"/>
    <w:rsid w:val="00E95F1F"/>
    <w:rsid w:val="00E95FEC"/>
    <w:rsid w:val="00E960A6"/>
    <w:rsid w:val="00E963C8"/>
    <w:rsid w:val="00E96870"/>
    <w:rsid w:val="00E9693D"/>
    <w:rsid w:val="00E96CBC"/>
    <w:rsid w:val="00E96D7B"/>
    <w:rsid w:val="00E96E24"/>
    <w:rsid w:val="00E96FB8"/>
    <w:rsid w:val="00E97368"/>
    <w:rsid w:val="00E9778F"/>
    <w:rsid w:val="00E97B35"/>
    <w:rsid w:val="00E97B63"/>
    <w:rsid w:val="00E97B6A"/>
    <w:rsid w:val="00E97CA4"/>
    <w:rsid w:val="00EA00AD"/>
    <w:rsid w:val="00EA0279"/>
    <w:rsid w:val="00EA03EB"/>
    <w:rsid w:val="00EA0632"/>
    <w:rsid w:val="00EA06A4"/>
    <w:rsid w:val="00EA06BB"/>
    <w:rsid w:val="00EA0768"/>
    <w:rsid w:val="00EA0C0A"/>
    <w:rsid w:val="00EA0D84"/>
    <w:rsid w:val="00EA0EA5"/>
    <w:rsid w:val="00EA12DE"/>
    <w:rsid w:val="00EA152E"/>
    <w:rsid w:val="00EA15BA"/>
    <w:rsid w:val="00EA181B"/>
    <w:rsid w:val="00EA19BF"/>
    <w:rsid w:val="00EA1A33"/>
    <w:rsid w:val="00EA21CD"/>
    <w:rsid w:val="00EA21F5"/>
    <w:rsid w:val="00EA2208"/>
    <w:rsid w:val="00EA222E"/>
    <w:rsid w:val="00EA261C"/>
    <w:rsid w:val="00EA2E3E"/>
    <w:rsid w:val="00EA2F4D"/>
    <w:rsid w:val="00EA33D5"/>
    <w:rsid w:val="00EA370F"/>
    <w:rsid w:val="00EA3726"/>
    <w:rsid w:val="00EA3C11"/>
    <w:rsid w:val="00EA3C9B"/>
    <w:rsid w:val="00EA3D97"/>
    <w:rsid w:val="00EA3DE2"/>
    <w:rsid w:val="00EA41D2"/>
    <w:rsid w:val="00EA420D"/>
    <w:rsid w:val="00EA4284"/>
    <w:rsid w:val="00EA441B"/>
    <w:rsid w:val="00EA45B3"/>
    <w:rsid w:val="00EA490B"/>
    <w:rsid w:val="00EA4A6A"/>
    <w:rsid w:val="00EA4B8B"/>
    <w:rsid w:val="00EA4C61"/>
    <w:rsid w:val="00EA4D1B"/>
    <w:rsid w:val="00EA4D9E"/>
    <w:rsid w:val="00EA4F69"/>
    <w:rsid w:val="00EA530F"/>
    <w:rsid w:val="00EA5419"/>
    <w:rsid w:val="00EA576A"/>
    <w:rsid w:val="00EA58C2"/>
    <w:rsid w:val="00EA5BF7"/>
    <w:rsid w:val="00EA5FD5"/>
    <w:rsid w:val="00EA64D4"/>
    <w:rsid w:val="00EA6B8C"/>
    <w:rsid w:val="00EA6D94"/>
    <w:rsid w:val="00EA6EE9"/>
    <w:rsid w:val="00EA735E"/>
    <w:rsid w:val="00EA7496"/>
    <w:rsid w:val="00EA770C"/>
    <w:rsid w:val="00EA7AD2"/>
    <w:rsid w:val="00EA7B62"/>
    <w:rsid w:val="00EA7BC4"/>
    <w:rsid w:val="00EA7BFF"/>
    <w:rsid w:val="00EA7C65"/>
    <w:rsid w:val="00EA7CAE"/>
    <w:rsid w:val="00EB043B"/>
    <w:rsid w:val="00EB0675"/>
    <w:rsid w:val="00EB06DF"/>
    <w:rsid w:val="00EB0720"/>
    <w:rsid w:val="00EB07E0"/>
    <w:rsid w:val="00EB09AA"/>
    <w:rsid w:val="00EB0D67"/>
    <w:rsid w:val="00EB0FE9"/>
    <w:rsid w:val="00EB1086"/>
    <w:rsid w:val="00EB1793"/>
    <w:rsid w:val="00EB19FE"/>
    <w:rsid w:val="00EB1E4F"/>
    <w:rsid w:val="00EB1E63"/>
    <w:rsid w:val="00EB1F73"/>
    <w:rsid w:val="00EB206E"/>
    <w:rsid w:val="00EB2088"/>
    <w:rsid w:val="00EB2547"/>
    <w:rsid w:val="00EB2647"/>
    <w:rsid w:val="00EB28FE"/>
    <w:rsid w:val="00EB2C45"/>
    <w:rsid w:val="00EB2E57"/>
    <w:rsid w:val="00EB2F4A"/>
    <w:rsid w:val="00EB2FF9"/>
    <w:rsid w:val="00EB30F6"/>
    <w:rsid w:val="00EB37BA"/>
    <w:rsid w:val="00EB3A13"/>
    <w:rsid w:val="00EB3B7E"/>
    <w:rsid w:val="00EB3D3A"/>
    <w:rsid w:val="00EB4383"/>
    <w:rsid w:val="00EB43F0"/>
    <w:rsid w:val="00EB4505"/>
    <w:rsid w:val="00EB46B7"/>
    <w:rsid w:val="00EB4946"/>
    <w:rsid w:val="00EB4D8A"/>
    <w:rsid w:val="00EB4FFE"/>
    <w:rsid w:val="00EB54DA"/>
    <w:rsid w:val="00EB5785"/>
    <w:rsid w:val="00EB5D68"/>
    <w:rsid w:val="00EB5EA7"/>
    <w:rsid w:val="00EB5F9D"/>
    <w:rsid w:val="00EB614C"/>
    <w:rsid w:val="00EB6245"/>
    <w:rsid w:val="00EB6346"/>
    <w:rsid w:val="00EB63A4"/>
    <w:rsid w:val="00EB6556"/>
    <w:rsid w:val="00EB672C"/>
    <w:rsid w:val="00EB682E"/>
    <w:rsid w:val="00EB689E"/>
    <w:rsid w:val="00EB69D4"/>
    <w:rsid w:val="00EB6AFF"/>
    <w:rsid w:val="00EB6E7F"/>
    <w:rsid w:val="00EB71C3"/>
    <w:rsid w:val="00EB726B"/>
    <w:rsid w:val="00EB7408"/>
    <w:rsid w:val="00EB74AC"/>
    <w:rsid w:val="00EB7663"/>
    <w:rsid w:val="00EB76C4"/>
    <w:rsid w:val="00EB76F2"/>
    <w:rsid w:val="00EB7801"/>
    <w:rsid w:val="00EB7862"/>
    <w:rsid w:val="00EB78D1"/>
    <w:rsid w:val="00EB7BBC"/>
    <w:rsid w:val="00EB7EB8"/>
    <w:rsid w:val="00EB7F20"/>
    <w:rsid w:val="00EC00A2"/>
    <w:rsid w:val="00EC00FD"/>
    <w:rsid w:val="00EC0560"/>
    <w:rsid w:val="00EC0BDE"/>
    <w:rsid w:val="00EC0CAB"/>
    <w:rsid w:val="00EC1938"/>
    <w:rsid w:val="00EC1981"/>
    <w:rsid w:val="00EC1B02"/>
    <w:rsid w:val="00EC1FD5"/>
    <w:rsid w:val="00EC2274"/>
    <w:rsid w:val="00EC2326"/>
    <w:rsid w:val="00EC251E"/>
    <w:rsid w:val="00EC2AB2"/>
    <w:rsid w:val="00EC2E3C"/>
    <w:rsid w:val="00EC30CE"/>
    <w:rsid w:val="00EC3136"/>
    <w:rsid w:val="00EC31D3"/>
    <w:rsid w:val="00EC3281"/>
    <w:rsid w:val="00EC338C"/>
    <w:rsid w:val="00EC3422"/>
    <w:rsid w:val="00EC36EE"/>
    <w:rsid w:val="00EC38A6"/>
    <w:rsid w:val="00EC3AF2"/>
    <w:rsid w:val="00EC3C57"/>
    <w:rsid w:val="00EC3DAF"/>
    <w:rsid w:val="00EC40B9"/>
    <w:rsid w:val="00EC4628"/>
    <w:rsid w:val="00EC478A"/>
    <w:rsid w:val="00EC48B7"/>
    <w:rsid w:val="00EC4CAB"/>
    <w:rsid w:val="00EC4F00"/>
    <w:rsid w:val="00EC507C"/>
    <w:rsid w:val="00EC51B1"/>
    <w:rsid w:val="00EC56DC"/>
    <w:rsid w:val="00EC594E"/>
    <w:rsid w:val="00EC5ADB"/>
    <w:rsid w:val="00EC5D31"/>
    <w:rsid w:val="00EC5F6D"/>
    <w:rsid w:val="00EC60A1"/>
    <w:rsid w:val="00EC61D8"/>
    <w:rsid w:val="00EC6324"/>
    <w:rsid w:val="00EC658D"/>
    <w:rsid w:val="00EC6838"/>
    <w:rsid w:val="00EC6871"/>
    <w:rsid w:val="00EC6883"/>
    <w:rsid w:val="00EC68CE"/>
    <w:rsid w:val="00EC6C59"/>
    <w:rsid w:val="00EC6C75"/>
    <w:rsid w:val="00EC6D68"/>
    <w:rsid w:val="00EC73EB"/>
    <w:rsid w:val="00EC747C"/>
    <w:rsid w:val="00EC7487"/>
    <w:rsid w:val="00EC74E6"/>
    <w:rsid w:val="00EC7628"/>
    <w:rsid w:val="00EC789F"/>
    <w:rsid w:val="00EC7A36"/>
    <w:rsid w:val="00EC7B7B"/>
    <w:rsid w:val="00EC7B89"/>
    <w:rsid w:val="00EC7BDC"/>
    <w:rsid w:val="00EC7C52"/>
    <w:rsid w:val="00EC7FC1"/>
    <w:rsid w:val="00ED023E"/>
    <w:rsid w:val="00ED03C1"/>
    <w:rsid w:val="00ED03CF"/>
    <w:rsid w:val="00ED0653"/>
    <w:rsid w:val="00ED08A4"/>
    <w:rsid w:val="00ED08B6"/>
    <w:rsid w:val="00ED0D4E"/>
    <w:rsid w:val="00ED0DB1"/>
    <w:rsid w:val="00ED16BF"/>
    <w:rsid w:val="00ED178F"/>
    <w:rsid w:val="00ED1F9E"/>
    <w:rsid w:val="00ED2229"/>
    <w:rsid w:val="00ED28CB"/>
    <w:rsid w:val="00ED2925"/>
    <w:rsid w:val="00ED2943"/>
    <w:rsid w:val="00ED2A1D"/>
    <w:rsid w:val="00ED2AA6"/>
    <w:rsid w:val="00ED2D4E"/>
    <w:rsid w:val="00ED2D6C"/>
    <w:rsid w:val="00ED2F76"/>
    <w:rsid w:val="00ED32D1"/>
    <w:rsid w:val="00ED35F4"/>
    <w:rsid w:val="00ED36FF"/>
    <w:rsid w:val="00ED38D1"/>
    <w:rsid w:val="00ED4076"/>
    <w:rsid w:val="00ED43CB"/>
    <w:rsid w:val="00ED448D"/>
    <w:rsid w:val="00ED467B"/>
    <w:rsid w:val="00ED485D"/>
    <w:rsid w:val="00ED4918"/>
    <w:rsid w:val="00ED4A63"/>
    <w:rsid w:val="00ED4C1D"/>
    <w:rsid w:val="00ED4DD8"/>
    <w:rsid w:val="00ED4FD9"/>
    <w:rsid w:val="00ED5243"/>
    <w:rsid w:val="00ED5312"/>
    <w:rsid w:val="00ED5336"/>
    <w:rsid w:val="00ED53CE"/>
    <w:rsid w:val="00ED56B7"/>
    <w:rsid w:val="00ED5A46"/>
    <w:rsid w:val="00ED5C55"/>
    <w:rsid w:val="00ED5F34"/>
    <w:rsid w:val="00ED6402"/>
    <w:rsid w:val="00ED64B9"/>
    <w:rsid w:val="00ED674F"/>
    <w:rsid w:val="00ED6C51"/>
    <w:rsid w:val="00ED6C78"/>
    <w:rsid w:val="00ED73E9"/>
    <w:rsid w:val="00ED751B"/>
    <w:rsid w:val="00ED76B6"/>
    <w:rsid w:val="00ED7BE0"/>
    <w:rsid w:val="00ED7F6A"/>
    <w:rsid w:val="00EE03C8"/>
    <w:rsid w:val="00EE04F2"/>
    <w:rsid w:val="00EE0816"/>
    <w:rsid w:val="00EE0830"/>
    <w:rsid w:val="00EE0910"/>
    <w:rsid w:val="00EE0C7E"/>
    <w:rsid w:val="00EE0E8A"/>
    <w:rsid w:val="00EE0F25"/>
    <w:rsid w:val="00EE115A"/>
    <w:rsid w:val="00EE12AD"/>
    <w:rsid w:val="00EE13D4"/>
    <w:rsid w:val="00EE147C"/>
    <w:rsid w:val="00EE15F0"/>
    <w:rsid w:val="00EE1788"/>
    <w:rsid w:val="00EE17E6"/>
    <w:rsid w:val="00EE1943"/>
    <w:rsid w:val="00EE198E"/>
    <w:rsid w:val="00EE1A71"/>
    <w:rsid w:val="00EE1AE8"/>
    <w:rsid w:val="00EE1CF6"/>
    <w:rsid w:val="00EE1E9B"/>
    <w:rsid w:val="00EE2104"/>
    <w:rsid w:val="00EE229E"/>
    <w:rsid w:val="00EE234B"/>
    <w:rsid w:val="00EE250D"/>
    <w:rsid w:val="00EE25E6"/>
    <w:rsid w:val="00EE261C"/>
    <w:rsid w:val="00EE26E7"/>
    <w:rsid w:val="00EE2919"/>
    <w:rsid w:val="00EE2981"/>
    <w:rsid w:val="00EE2A9A"/>
    <w:rsid w:val="00EE2E04"/>
    <w:rsid w:val="00EE2EDE"/>
    <w:rsid w:val="00EE316D"/>
    <w:rsid w:val="00EE326B"/>
    <w:rsid w:val="00EE32EA"/>
    <w:rsid w:val="00EE33C2"/>
    <w:rsid w:val="00EE3425"/>
    <w:rsid w:val="00EE35BD"/>
    <w:rsid w:val="00EE3629"/>
    <w:rsid w:val="00EE38D7"/>
    <w:rsid w:val="00EE39AA"/>
    <w:rsid w:val="00EE3C12"/>
    <w:rsid w:val="00EE40CB"/>
    <w:rsid w:val="00EE439A"/>
    <w:rsid w:val="00EE43AA"/>
    <w:rsid w:val="00EE4594"/>
    <w:rsid w:val="00EE45C5"/>
    <w:rsid w:val="00EE47A7"/>
    <w:rsid w:val="00EE47BE"/>
    <w:rsid w:val="00EE4878"/>
    <w:rsid w:val="00EE49AB"/>
    <w:rsid w:val="00EE4C88"/>
    <w:rsid w:val="00EE4ECC"/>
    <w:rsid w:val="00EE530E"/>
    <w:rsid w:val="00EE5445"/>
    <w:rsid w:val="00EE55FC"/>
    <w:rsid w:val="00EE5637"/>
    <w:rsid w:val="00EE594D"/>
    <w:rsid w:val="00EE5998"/>
    <w:rsid w:val="00EE5B45"/>
    <w:rsid w:val="00EE5BF9"/>
    <w:rsid w:val="00EE5EBF"/>
    <w:rsid w:val="00EE6034"/>
    <w:rsid w:val="00EE6150"/>
    <w:rsid w:val="00EE6237"/>
    <w:rsid w:val="00EE629F"/>
    <w:rsid w:val="00EE62CA"/>
    <w:rsid w:val="00EE6864"/>
    <w:rsid w:val="00EE6B54"/>
    <w:rsid w:val="00EE6DFF"/>
    <w:rsid w:val="00EE7061"/>
    <w:rsid w:val="00EE7150"/>
    <w:rsid w:val="00EE7192"/>
    <w:rsid w:val="00EE719A"/>
    <w:rsid w:val="00EE7473"/>
    <w:rsid w:val="00EE74BD"/>
    <w:rsid w:val="00EE7839"/>
    <w:rsid w:val="00EE7E06"/>
    <w:rsid w:val="00EF027A"/>
    <w:rsid w:val="00EF05F5"/>
    <w:rsid w:val="00EF0A1D"/>
    <w:rsid w:val="00EF0B6C"/>
    <w:rsid w:val="00EF0D13"/>
    <w:rsid w:val="00EF0D9F"/>
    <w:rsid w:val="00EF0E63"/>
    <w:rsid w:val="00EF0F58"/>
    <w:rsid w:val="00EF10D0"/>
    <w:rsid w:val="00EF119C"/>
    <w:rsid w:val="00EF12DA"/>
    <w:rsid w:val="00EF13E1"/>
    <w:rsid w:val="00EF1729"/>
    <w:rsid w:val="00EF1795"/>
    <w:rsid w:val="00EF187D"/>
    <w:rsid w:val="00EF18F8"/>
    <w:rsid w:val="00EF1F57"/>
    <w:rsid w:val="00EF2121"/>
    <w:rsid w:val="00EF2454"/>
    <w:rsid w:val="00EF2672"/>
    <w:rsid w:val="00EF2781"/>
    <w:rsid w:val="00EF2915"/>
    <w:rsid w:val="00EF2BF3"/>
    <w:rsid w:val="00EF3218"/>
    <w:rsid w:val="00EF3346"/>
    <w:rsid w:val="00EF3440"/>
    <w:rsid w:val="00EF3456"/>
    <w:rsid w:val="00EF346F"/>
    <w:rsid w:val="00EF381D"/>
    <w:rsid w:val="00EF3835"/>
    <w:rsid w:val="00EF3876"/>
    <w:rsid w:val="00EF389F"/>
    <w:rsid w:val="00EF3D77"/>
    <w:rsid w:val="00EF3E8A"/>
    <w:rsid w:val="00EF3EDC"/>
    <w:rsid w:val="00EF3F95"/>
    <w:rsid w:val="00EF3FE7"/>
    <w:rsid w:val="00EF49DD"/>
    <w:rsid w:val="00EF49F5"/>
    <w:rsid w:val="00EF4FB7"/>
    <w:rsid w:val="00EF5032"/>
    <w:rsid w:val="00EF5501"/>
    <w:rsid w:val="00EF57DF"/>
    <w:rsid w:val="00EF591E"/>
    <w:rsid w:val="00EF5BCC"/>
    <w:rsid w:val="00EF5CF0"/>
    <w:rsid w:val="00EF5F23"/>
    <w:rsid w:val="00EF63B3"/>
    <w:rsid w:val="00EF651F"/>
    <w:rsid w:val="00EF669D"/>
    <w:rsid w:val="00EF6BC2"/>
    <w:rsid w:val="00EF6BC9"/>
    <w:rsid w:val="00EF6C0E"/>
    <w:rsid w:val="00EF6E4B"/>
    <w:rsid w:val="00EF6E60"/>
    <w:rsid w:val="00EF7009"/>
    <w:rsid w:val="00EF70C0"/>
    <w:rsid w:val="00EF71FC"/>
    <w:rsid w:val="00EF72E6"/>
    <w:rsid w:val="00EF76C6"/>
    <w:rsid w:val="00EF78FA"/>
    <w:rsid w:val="00EF794C"/>
    <w:rsid w:val="00EF7C4D"/>
    <w:rsid w:val="00EF7D02"/>
    <w:rsid w:val="00EF7D84"/>
    <w:rsid w:val="00F000C2"/>
    <w:rsid w:val="00F00510"/>
    <w:rsid w:val="00F00644"/>
    <w:rsid w:val="00F007C1"/>
    <w:rsid w:val="00F007DE"/>
    <w:rsid w:val="00F00E8C"/>
    <w:rsid w:val="00F00F4F"/>
    <w:rsid w:val="00F01469"/>
    <w:rsid w:val="00F0158A"/>
    <w:rsid w:val="00F01984"/>
    <w:rsid w:val="00F01A9A"/>
    <w:rsid w:val="00F01CD6"/>
    <w:rsid w:val="00F01DAE"/>
    <w:rsid w:val="00F0201B"/>
    <w:rsid w:val="00F02047"/>
    <w:rsid w:val="00F0270C"/>
    <w:rsid w:val="00F02E73"/>
    <w:rsid w:val="00F02E95"/>
    <w:rsid w:val="00F02EEC"/>
    <w:rsid w:val="00F03100"/>
    <w:rsid w:val="00F0319D"/>
    <w:rsid w:val="00F031FD"/>
    <w:rsid w:val="00F03323"/>
    <w:rsid w:val="00F0338B"/>
    <w:rsid w:val="00F0366B"/>
    <w:rsid w:val="00F03890"/>
    <w:rsid w:val="00F038E2"/>
    <w:rsid w:val="00F03B3B"/>
    <w:rsid w:val="00F03C97"/>
    <w:rsid w:val="00F0405B"/>
    <w:rsid w:val="00F045B3"/>
    <w:rsid w:val="00F0470C"/>
    <w:rsid w:val="00F0488B"/>
    <w:rsid w:val="00F04AD7"/>
    <w:rsid w:val="00F04C36"/>
    <w:rsid w:val="00F04E95"/>
    <w:rsid w:val="00F04F2F"/>
    <w:rsid w:val="00F05047"/>
    <w:rsid w:val="00F050ED"/>
    <w:rsid w:val="00F051C0"/>
    <w:rsid w:val="00F05235"/>
    <w:rsid w:val="00F052EF"/>
    <w:rsid w:val="00F059D2"/>
    <w:rsid w:val="00F05A45"/>
    <w:rsid w:val="00F05AC8"/>
    <w:rsid w:val="00F05F04"/>
    <w:rsid w:val="00F0600C"/>
    <w:rsid w:val="00F060F1"/>
    <w:rsid w:val="00F061B8"/>
    <w:rsid w:val="00F063DD"/>
    <w:rsid w:val="00F06514"/>
    <w:rsid w:val="00F0659D"/>
    <w:rsid w:val="00F0661A"/>
    <w:rsid w:val="00F0666B"/>
    <w:rsid w:val="00F06869"/>
    <w:rsid w:val="00F06BC0"/>
    <w:rsid w:val="00F073F8"/>
    <w:rsid w:val="00F07512"/>
    <w:rsid w:val="00F075B0"/>
    <w:rsid w:val="00F077DA"/>
    <w:rsid w:val="00F078B9"/>
    <w:rsid w:val="00F07928"/>
    <w:rsid w:val="00F07996"/>
    <w:rsid w:val="00F079E3"/>
    <w:rsid w:val="00F07BF4"/>
    <w:rsid w:val="00F07D9F"/>
    <w:rsid w:val="00F10556"/>
    <w:rsid w:val="00F10616"/>
    <w:rsid w:val="00F107AD"/>
    <w:rsid w:val="00F10BB1"/>
    <w:rsid w:val="00F10E52"/>
    <w:rsid w:val="00F10E69"/>
    <w:rsid w:val="00F11434"/>
    <w:rsid w:val="00F11517"/>
    <w:rsid w:val="00F11611"/>
    <w:rsid w:val="00F12296"/>
    <w:rsid w:val="00F12666"/>
    <w:rsid w:val="00F12715"/>
    <w:rsid w:val="00F12814"/>
    <w:rsid w:val="00F1292B"/>
    <w:rsid w:val="00F12A68"/>
    <w:rsid w:val="00F12CB3"/>
    <w:rsid w:val="00F1315D"/>
    <w:rsid w:val="00F133D9"/>
    <w:rsid w:val="00F13697"/>
    <w:rsid w:val="00F1381E"/>
    <w:rsid w:val="00F138E3"/>
    <w:rsid w:val="00F13B33"/>
    <w:rsid w:val="00F13C84"/>
    <w:rsid w:val="00F1401B"/>
    <w:rsid w:val="00F14111"/>
    <w:rsid w:val="00F14610"/>
    <w:rsid w:val="00F14616"/>
    <w:rsid w:val="00F1475A"/>
    <w:rsid w:val="00F148AC"/>
    <w:rsid w:val="00F14BEE"/>
    <w:rsid w:val="00F14C7B"/>
    <w:rsid w:val="00F14DA9"/>
    <w:rsid w:val="00F14E1E"/>
    <w:rsid w:val="00F1531A"/>
    <w:rsid w:val="00F153C2"/>
    <w:rsid w:val="00F15493"/>
    <w:rsid w:val="00F154CC"/>
    <w:rsid w:val="00F15653"/>
    <w:rsid w:val="00F15672"/>
    <w:rsid w:val="00F156EF"/>
    <w:rsid w:val="00F15850"/>
    <w:rsid w:val="00F15949"/>
    <w:rsid w:val="00F15AFF"/>
    <w:rsid w:val="00F15B66"/>
    <w:rsid w:val="00F15E5E"/>
    <w:rsid w:val="00F164ED"/>
    <w:rsid w:val="00F165A3"/>
    <w:rsid w:val="00F167EC"/>
    <w:rsid w:val="00F169CB"/>
    <w:rsid w:val="00F16A10"/>
    <w:rsid w:val="00F16D2D"/>
    <w:rsid w:val="00F16D61"/>
    <w:rsid w:val="00F17377"/>
    <w:rsid w:val="00F173FD"/>
    <w:rsid w:val="00F17430"/>
    <w:rsid w:val="00F17507"/>
    <w:rsid w:val="00F1753A"/>
    <w:rsid w:val="00F1764E"/>
    <w:rsid w:val="00F179A1"/>
    <w:rsid w:val="00F17A4C"/>
    <w:rsid w:val="00F17D8F"/>
    <w:rsid w:val="00F17F1D"/>
    <w:rsid w:val="00F2003E"/>
    <w:rsid w:val="00F20477"/>
    <w:rsid w:val="00F204B2"/>
    <w:rsid w:val="00F204B3"/>
    <w:rsid w:val="00F20A0D"/>
    <w:rsid w:val="00F20AFD"/>
    <w:rsid w:val="00F20D1C"/>
    <w:rsid w:val="00F20E48"/>
    <w:rsid w:val="00F211DF"/>
    <w:rsid w:val="00F214AD"/>
    <w:rsid w:val="00F21766"/>
    <w:rsid w:val="00F218FD"/>
    <w:rsid w:val="00F21BA7"/>
    <w:rsid w:val="00F21CA2"/>
    <w:rsid w:val="00F21DEC"/>
    <w:rsid w:val="00F21EA8"/>
    <w:rsid w:val="00F21ECF"/>
    <w:rsid w:val="00F21F53"/>
    <w:rsid w:val="00F220D5"/>
    <w:rsid w:val="00F221F6"/>
    <w:rsid w:val="00F22213"/>
    <w:rsid w:val="00F22376"/>
    <w:rsid w:val="00F2282E"/>
    <w:rsid w:val="00F22AE9"/>
    <w:rsid w:val="00F22B4A"/>
    <w:rsid w:val="00F22BB9"/>
    <w:rsid w:val="00F22BC2"/>
    <w:rsid w:val="00F22DC9"/>
    <w:rsid w:val="00F22E46"/>
    <w:rsid w:val="00F23112"/>
    <w:rsid w:val="00F231C6"/>
    <w:rsid w:val="00F23272"/>
    <w:rsid w:val="00F23285"/>
    <w:rsid w:val="00F2334E"/>
    <w:rsid w:val="00F2343B"/>
    <w:rsid w:val="00F2355B"/>
    <w:rsid w:val="00F235CB"/>
    <w:rsid w:val="00F236AA"/>
    <w:rsid w:val="00F23A71"/>
    <w:rsid w:val="00F23AA6"/>
    <w:rsid w:val="00F23BB7"/>
    <w:rsid w:val="00F23C75"/>
    <w:rsid w:val="00F23D41"/>
    <w:rsid w:val="00F23D82"/>
    <w:rsid w:val="00F242E3"/>
    <w:rsid w:val="00F2450A"/>
    <w:rsid w:val="00F246FE"/>
    <w:rsid w:val="00F24BB7"/>
    <w:rsid w:val="00F24E5E"/>
    <w:rsid w:val="00F24F34"/>
    <w:rsid w:val="00F2506D"/>
    <w:rsid w:val="00F25187"/>
    <w:rsid w:val="00F25286"/>
    <w:rsid w:val="00F253DE"/>
    <w:rsid w:val="00F2546C"/>
    <w:rsid w:val="00F254CC"/>
    <w:rsid w:val="00F25573"/>
    <w:rsid w:val="00F259FB"/>
    <w:rsid w:val="00F25CBF"/>
    <w:rsid w:val="00F25D05"/>
    <w:rsid w:val="00F2603D"/>
    <w:rsid w:val="00F2619D"/>
    <w:rsid w:val="00F26356"/>
    <w:rsid w:val="00F2655E"/>
    <w:rsid w:val="00F26844"/>
    <w:rsid w:val="00F268E0"/>
    <w:rsid w:val="00F26950"/>
    <w:rsid w:val="00F26953"/>
    <w:rsid w:val="00F26AA2"/>
    <w:rsid w:val="00F26BA8"/>
    <w:rsid w:val="00F26BD2"/>
    <w:rsid w:val="00F26DD2"/>
    <w:rsid w:val="00F26E9B"/>
    <w:rsid w:val="00F27374"/>
    <w:rsid w:val="00F2739D"/>
    <w:rsid w:val="00F277E1"/>
    <w:rsid w:val="00F3007D"/>
    <w:rsid w:val="00F30260"/>
    <w:rsid w:val="00F303A1"/>
    <w:rsid w:val="00F30487"/>
    <w:rsid w:val="00F30590"/>
    <w:rsid w:val="00F30B1F"/>
    <w:rsid w:val="00F30B47"/>
    <w:rsid w:val="00F30D77"/>
    <w:rsid w:val="00F30DD7"/>
    <w:rsid w:val="00F30F5E"/>
    <w:rsid w:val="00F30F73"/>
    <w:rsid w:val="00F30F78"/>
    <w:rsid w:val="00F31057"/>
    <w:rsid w:val="00F31109"/>
    <w:rsid w:val="00F313A0"/>
    <w:rsid w:val="00F313C0"/>
    <w:rsid w:val="00F31497"/>
    <w:rsid w:val="00F3161A"/>
    <w:rsid w:val="00F316CB"/>
    <w:rsid w:val="00F316F4"/>
    <w:rsid w:val="00F317DE"/>
    <w:rsid w:val="00F319E7"/>
    <w:rsid w:val="00F31B32"/>
    <w:rsid w:val="00F31B4E"/>
    <w:rsid w:val="00F31B90"/>
    <w:rsid w:val="00F31CFC"/>
    <w:rsid w:val="00F322AA"/>
    <w:rsid w:val="00F32460"/>
    <w:rsid w:val="00F32571"/>
    <w:rsid w:val="00F32834"/>
    <w:rsid w:val="00F328E7"/>
    <w:rsid w:val="00F32B3C"/>
    <w:rsid w:val="00F32CD1"/>
    <w:rsid w:val="00F32FED"/>
    <w:rsid w:val="00F33063"/>
    <w:rsid w:val="00F334EF"/>
    <w:rsid w:val="00F336C7"/>
    <w:rsid w:val="00F3374A"/>
    <w:rsid w:val="00F33874"/>
    <w:rsid w:val="00F33903"/>
    <w:rsid w:val="00F339A1"/>
    <w:rsid w:val="00F33B47"/>
    <w:rsid w:val="00F33C55"/>
    <w:rsid w:val="00F33C9C"/>
    <w:rsid w:val="00F33D9C"/>
    <w:rsid w:val="00F33EBB"/>
    <w:rsid w:val="00F34108"/>
    <w:rsid w:val="00F34281"/>
    <w:rsid w:val="00F344F5"/>
    <w:rsid w:val="00F34571"/>
    <w:rsid w:val="00F34848"/>
    <w:rsid w:val="00F34A7E"/>
    <w:rsid w:val="00F34BAB"/>
    <w:rsid w:val="00F34CC7"/>
    <w:rsid w:val="00F34CDC"/>
    <w:rsid w:val="00F34FD1"/>
    <w:rsid w:val="00F3544A"/>
    <w:rsid w:val="00F35457"/>
    <w:rsid w:val="00F354C1"/>
    <w:rsid w:val="00F3577E"/>
    <w:rsid w:val="00F35BAF"/>
    <w:rsid w:val="00F35D82"/>
    <w:rsid w:val="00F35FFF"/>
    <w:rsid w:val="00F3603D"/>
    <w:rsid w:val="00F36501"/>
    <w:rsid w:val="00F3665B"/>
    <w:rsid w:val="00F369A2"/>
    <w:rsid w:val="00F36CF3"/>
    <w:rsid w:val="00F36D18"/>
    <w:rsid w:val="00F36F1B"/>
    <w:rsid w:val="00F37315"/>
    <w:rsid w:val="00F373C8"/>
    <w:rsid w:val="00F3755E"/>
    <w:rsid w:val="00F378F7"/>
    <w:rsid w:val="00F37964"/>
    <w:rsid w:val="00F37A7E"/>
    <w:rsid w:val="00F37AB3"/>
    <w:rsid w:val="00F37E5A"/>
    <w:rsid w:val="00F4009C"/>
    <w:rsid w:val="00F400FE"/>
    <w:rsid w:val="00F403E9"/>
    <w:rsid w:val="00F40AB6"/>
    <w:rsid w:val="00F40B97"/>
    <w:rsid w:val="00F40F68"/>
    <w:rsid w:val="00F40FC0"/>
    <w:rsid w:val="00F410D5"/>
    <w:rsid w:val="00F41511"/>
    <w:rsid w:val="00F41546"/>
    <w:rsid w:val="00F41719"/>
    <w:rsid w:val="00F41869"/>
    <w:rsid w:val="00F41875"/>
    <w:rsid w:val="00F419EE"/>
    <w:rsid w:val="00F41B7B"/>
    <w:rsid w:val="00F41C0C"/>
    <w:rsid w:val="00F41E77"/>
    <w:rsid w:val="00F42625"/>
    <w:rsid w:val="00F426B8"/>
    <w:rsid w:val="00F42711"/>
    <w:rsid w:val="00F427DF"/>
    <w:rsid w:val="00F42D91"/>
    <w:rsid w:val="00F43003"/>
    <w:rsid w:val="00F43079"/>
    <w:rsid w:val="00F431CA"/>
    <w:rsid w:val="00F435AE"/>
    <w:rsid w:val="00F4369F"/>
    <w:rsid w:val="00F43866"/>
    <w:rsid w:val="00F43A06"/>
    <w:rsid w:val="00F441EF"/>
    <w:rsid w:val="00F4458B"/>
    <w:rsid w:val="00F44681"/>
    <w:rsid w:val="00F449D1"/>
    <w:rsid w:val="00F44A4F"/>
    <w:rsid w:val="00F4527F"/>
    <w:rsid w:val="00F45634"/>
    <w:rsid w:val="00F458EC"/>
    <w:rsid w:val="00F45926"/>
    <w:rsid w:val="00F45BB2"/>
    <w:rsid w:val="00F45DB0"/>
    <w:rsid w:val="00F45F69"/>
    <w:rsid w:val="00F45F7A"/>
    <w:rsid w:val="00F45FD4"/>
    <w:rsid w:val="00F46194"/>
    <w:rsid w:val="00F464AB"/>
    <w:rsid w:val="00F4650F"/>
    <w:rsid w:val="00F46579"/>
    <w:rsid w:val="00F46586"/>
    <w:rsid w:val="00F469A2"/>
    <w:rsid w:val="00F46A1B"/>
    <w:rsid w:val="00F46C23"/>
    <w:rsid w:val="00F4733D"/>
    <w:rsid w:val="00F475EA"/>
    <w:rsid w:val="00F47E6E"/>
    <w:rsid w:val="00F47E79"/>
    <w:rsid w:val="00F47F61"/>
    <w:rsid w:val="00F50070"/>
    <w:rsid w:val="00F50391"/>
    <w:rsid w:val="00F507FF"/>
    <w:rsid w:val="00F50935"/>
    <w:rsid w:val="00F50EC1"/>
    <w:rsid w:val="00F50F96"/>
    <w:rsid w:val="00F519EF"/>
    <w:rsid w:val="00F51D45"/>
    <w:rsid w:val="00F51F0C"/>
    <w:rsid w:val="00F52233"/>
    <w:rsid w:val="00F5226D"/>
    <w:rsid w:val="00F524E9"/>
    <w:rsid w:val="00F525FF"/>
    <w:rsid w:val="00F5274B"/>
    <w:rsid w:val="00F52956"/>
    <w:rsid w:val="00F52995"/>
    <w:rsid w:val="00F52A1C"/>
    <w:rsid w:val="00F52A77"/>
    <w:rsid w:val="00F52C32"/>
    <w:rsid w:val="00F52DB8"/>
    <w:rsid w:val="00F52FEB"/>
    <w:rsid w:val="00F53147"/>
    <w:rsid w:val="00F533D0"/>
    <w:rsid w:val="00F5358B"/>
    <w:rsid w:val="00F53783"/>
    <w:rsid w:val="00F539BD"/>
    <w:rsid w:val="00F53A04"/>
    <w:rsid w:val="00F53A13"/>
    <w:rsid w:val="00F53AAA"/>
    <w:rsid w:val="00F53AE9"/>
    <w:rsid w:val="00F53FBB"/>
    <w:rsid w:val="00F54049"/>
    <w:rsid w:val="00F5417F"/>
    <w:rsid w:val="00F54286"/>
    <w:rsid w:val="00F545B4"/>
    <w:rsid w:val="00F54730"/>
    <w:rsid w:val="00F54883"/>
    <w:rsid w:val="00F5490B"/>
    <w:rsid w:val="00F54CD4"/>
    <w:rsid w:val="00F54D72"/>
    <w:rsid w:val="00F54D80"/>
    <w:rsid w:val="00F54E66"/>
    <w:rsid w:val="00F5507D"/>
    <w:rsid w:val="00F555AC"/>
    <w:rsid w:val="00F55706"/>
    <w:rsid w:val="00F557F9"/>
    <w:rsid w:val="00F55815"/>
    <w:rsid w:val="00F55B8E"/>
    <w:rsid w:val="00F55CC0"/>
    <w:rsid w:val="00F55D16"/>
    <w:rsid w:val="00F55D28"/>
    <w:rsid w:val="00F55E59"/>
    <w:rsid w:val="00F561EC"/>
    <w:rsid w:val="00F56307"/>
    <w:rsid w:val="00F565A6"/>
    <w:rsid w:val="00F565ED"/>
    <w:rsid w:val="00F56941"/>
    <w:rsid w:val="00F56A1D"/>
    <w:rsid w:val="00F56BF9"/>
    <w:rsid w:val="00F56DA7"/>
    <w:rsid w:val="00F56FEE"/>
    <w:rsid w:val="00F5705B"/>
    <w:rsid w:val="00F57568"/>
    <w:rsid w:val="00F579FD"/>
    <w:rsid w:val="00F57A1F"/>
    <w:rsid w:val="00F57D13"/>
    <w:rsid w:val="00F57E94"/>
    <w:rsid w:val="00F57FFC"/>
    <w:rsid w:val="00F601BF"/>
    <w:rsid w:val="00F601E4"/>
    <w:rsid w:val="00F602AB"/>
    <w:rsid w:val="00F602CB"/>
    <w:rsid w:val="00F6032C"/>
    <w:rsid w:val="00F60778"/>
    <w:rsid w:val="00F6083D"/>
    <w:rsid w:val="00F60996"/>
    <w:rsid w:val="00F609D6"/>
    <w:rsid w:val="00F60C25"/>
    <w:rsid w:val="00F6155A"/>
    <w:rsid w:val="00F6156B"/>
    <w:rsid w:val="00F61705"/>
    <w:rsid w:val="00F618F8"/>
    <w:rsid w:val="00F619FA"/>
    <w:rsid w:val="00F61A57"/>
    <w:rsid w:val="00F61AED"/>
    <w:rsid w:val="00F61EDB"/>
    <w:rsid w:val="00F61F7C"/>
    <w:rsid w:val="00F61FBF"/>
    <w:rsid w:val="00F62046"/>
    <w:rsid w:val="00F62073"/>
    <w:rsid w:val="00F62112"/>
    <w:rsid w:val="00F623FC"/>
    <w:rsid w:val="00F62676"/>
    <w:rsid w:val="00F62757"/>
    <w:rsid w:val="00F628DB"/>
    <w:rsid w:val="00F62E14"/>
    <w:rsid w:val="00F62E79"/>
    <w:rsid w:val="00F630C8"/>
    <w:rsid w:val="00F633E8"/>
    <w:rsid w:val="00F63599"/>
    <w:rsid w:val="00F635B5"/>
    <w:rsid w:val="00F637E4"/>
    <w:rsid w:val="00F63C10"/>
    <w:rsid w:val="00F64137"/>
    <w:rsid w:val="00F641F5"/>
    <w:rsid w:val="00F64203"/>
    <w:rsid w:val="00F6442D"/>
    <w:rsid w:val="00F647F5"/>
    <w:rsid w:val="00F64957"/>
    <w:rsid w:val="00F64A95"/>
    <w:rsid w:val="00F64E63"/>
    <w:rsid w:val="00F64F10"/>
    <w:rsid w:val="00F65097"/>
    <w:rsid w:val="00F65249"/>
    <w:rsid w:val="00F65360"/>
    <w:rsid w:val="00F65368"/>
    <w:rsid w:val="00F65574"/>
    <w:rsid w:val="00F656EB"/>
    <w:rsid w:val="00F657F8"/>
    <w:rsid w:val="00F65872"/>
    <w:rsid w:val="00F65975"/>
    <w:rsid w:val="00F65A22"/>
    <w:rsid w:val="00F65AFB"/>
    <w:rsid w:val="00F65BFB"/>
    <w:rsid w:val="00F65D87"/>
    <w:rsid w:val="00F65D9E"/>
    <w:rsid w:val="00F65EDC"/>
    <w:rsid w:val="00F65F96"/>
    <w:rsid w:val="00F65FE1"/>
    <w:rsid w:val="00F6644C"/>
    <w:rsid w:val="00F66540"/>
    <w:rsid w:val="00F66B1D"/>
    <w:rsid w:val="00F66BED"/>
    <w:rsid w:val="00F670F5"/>
    <w:rsid w:val="00F67364"/>
    <w:rsid w:val="00F673D4"/>
    <w:rsid w:val="00F674DC"/>
    <w:rsid w:val="00F67625"/>
    <w:rsid w:val="00F7001E"/>
    <w:rsid w:val="00F7001F"/>
    <w:rsid w:val="00F700CB"/>
    <w:rsid w:val="00F701D4"/>
    <w:rsid w:val="00F70229"/>
    <w:rsid w:val="00F704A9"/>
    <w:rsid w:val="00F7075B"/>
    <w:rsid w:val="00F70852"/>
    <w:rsid w:val="00F7099E"/>
    <w:rsid w:val="00F70A3E"/>
    <w:rsid w:val="00F70ACB"/>
    <w:rsid w:val="00F70B37"/>
    <w:rsid w:val="00F70E19"/>
    <w:rsid w:val="00F713C3"/>
    <w:rsid w:val="00F7141F"/>
    <w:rsid w:val="00F71827"/>
    <w:rsid w:val="00F71963"/>
    <w:rsid w:val="00F71A40"/>
    <w:rsid w:val="00F71A68"/>
    <w:rsid w:val="00F71CB1"/>
    <w:rsid w:val="00F71D08"/>
    <w:rsid w:val="00F721EE"/>
    <w:rsid w:val="00F72255"/>
    <w:rsid w:val="00F7254A"/>
    <w:rsid w:val="00F725AD"/>
    <w:rsid w:val="00F72804"/>
    <w:rsid w:val="00F72840"/>
    <w:rsid w:val="00F72C15"/>
    <w:rsid w:val="00F72C63"/>
    <w:rsid w:val="00F72F04"/>
    <w:rsid w:val="00F72FA5"/>
    <w:rsid w:val="00F73052"/>
    <w:rsid w:val="00F7314A"/>
    <w:rsid w:val="00F73294"/>
    <w:rsid w:val="00F73708"/>
    <w:rsid w:val="00F738D9"/>
    <w:rsid w:val="00F73905"/>
    <w:rsid w:val="00F73A0C"/>
    <w:rsid w:val="00F73CEF"/>
    <w:rsid w:val="00F7407E"/>
    <w:rsid w:val="00F742DE"/>
    <w:rsid w:val="00F74429"/>
    <w:rsid w:val="00F744AF"/>
    <w:rsid w:val="00F745A5"/>
    <w:rsid w:val="00F74809"/>
    <w:rsid w:val="00F74E66"/>
    <w:rsid w:val="00F74EAE"/>
    <w:rsid w:val="00F7509C"/>
    <w:rsid w:val="00F751B1"/>
    <w:rsid w:val="00F75233"/>
    <w:rsid w:val="00F7527A"/>
    <w:rsid w:val="00F75327"/>
    <w:rsid w:val="00F753C6"/>
    <w:rsid w:val="00F75523"/>
    <w:rsid w:val="00F75558"/>
    <w:rsid w:val="00F7568B"/>
    <w:rsid w:val="00F756CB"/>
    <w:rsid w:val="00F7575C"/>
    <w:rsid w:val="00F757A7"/>
    <w:rsid w:val="00F758A2"/>
    <w:rsid w:val="00F75CDF"/>
    <w:rsid w:val="00F75E8B"/>
    <w:rsid w:val="00F75EC1"/>
    <w:rsid w:val="00F76071"/>
    <w:rsid w:val="00F7619D"/>
    <w:rsid w:val="00F7629A"/>
    <w:rsid w:val="00F76549"/>
    <w:rsid w:val="00F76B15"/>
    <w:rsid w:val="00F76F26"/>
    <w:rsid w:val="00F770B0"/>
    <w:rsid w:val="00F77219"/>
    <w:rsid w:val="00F7725D"/>
    <w:rsid w:val="00F7728E"/>
    <w:rsid w:val="00F775D8"/>
    <w:rsid w:val="00F77842"/>
    <w:rsid w:val="00F7787A"/>
    <w:rsid w:val="00F778CA"/>
    <w:rsid w:val="00F77EC2"/>
    <w:rsid w:val="00F8012A"/>
    <w:rsid w:val="00F80190"/>
    <w:rsid w:val="00F803E9"/>
    <w:rsid w:val="00F8043A"/>
    <w:rsid w:val="00F80570"/>
    <w:rsid w:val="00F80840"/>
    <w:rsid w:val="00F8096A"/>
    <w:rsid w:val="00F809F7"/>
    <w:rsid w:val="00F815C3"/>
    <w:rsid w:val="00F815D7"/>
    <w:rsid w:val="00F815E7"/>
    <w:rsid w:val="00F815EE"/>
    <w:rsid w:val="00F81985"/>
    <w:rsid w:val="00F81B06"/>
    <w:rsid w:val="00F81BB6"/>
    <w:rsid w:val="00F81C7A"/>
    <w:rsid w:val="00F81CA1"/>
    <w:rsid w:val="00F81D7A"/>
    <w:rsid w:val="00F81F4C"/>
    <w:rsid w:val="00F81F65"/>
    <w:rsid w:val="00F8209A"/>
    <w:rsid w:val="00F827C6"/>
    <w:rsid w:val="00F827F8"/>
    <w:rsid w:val="00F828F2"/>
    <w:rsid w:val="00F829B1"/>
    <w:rsid w:val="00F82BC8"/>
    <w:rsid w:val="00F82E40"/>
    <w:rsid w:val="00F830B5"/>
    <w:rsid w:val="00F8319B"/>
    <w:rsid w:val="00F83291"/>
    <w:rsid w:val="00F83468"/>
    <w:rsid w:val="00F83663"/>
    <w:rsid w:val="00F83966"/>
    <w:rsid w:val="00F839B1"/>
    <w:rsid w:val="00F83A72"/>
    <w:rsid w:val="00F83C32"/>
    <w:rsid w:val="00F83CCD"/>
    <w:rsid w:val="00F83D63"/>
    <w:rsid w:val="00F846FE"/>
    <w:rsid w:val="00F847AB"/>
    <w:rsid w:val="00F84943"/>
    <w:rsid w:val="00F84B21"/>
    <w:rsid w:val="00F84F3A"/>
    <w:rsid w:val="00F85121"/>
    <w:rsid w:val="00F85201"/>
    <w:rsid w:val="00F854C5"/>
    <w:rsid w:val="00F85704"/>
    <w:rsid w:val="00F8591F"/>
    <w:rsid w:val="00F8593E"/>
    <w:rsid w:val="00F85A03"/>
    <w:rsid w:val="00F85AA8"/>
    <w:rsid w:val="00F85E72"/>
    <w:rsid w:val="00F85E7D"/>
    <w:rsid w:val="00F85EC6"/>
    <w:rsid w:val="00F85F5F"/>
    <w:rsid w:val="00F85FB2"/>
    <w:rsid w:val="00F8602E"/>
    <w:rsid w:val="00F8626A"/>
    <w:rsid w:val="00F865D2"/>
    <w:rsid w:val="00F86AB0"/>
    <w:rsid w:val="00F86CE7"/>
    <w:rsid w:val="00F86F27"/>
    <w:rsid w:val="00F87200"/>
    <w:rsid w:val="00F87342"/>
    <w:rsid w:val="00F87356"/>
    <w:rsid w:val="00F87385"/>
    <w:rsid w:val="00F877AE"/>
    <w:rsid w:val="00F87A66"/>
    <w:rsid w:val="00F87AD8"/>
    <w:rsid w:val="00F87B4F"/>
    <w:rsid w:val="00F87C9C"/>
    <w:rsid w:val="00F87EA8"/>
    <w:rsid w:val="00F87FA4"/>
    <w:rsid w:val="00F90055"/>
    <w:rsid w:val="00F9027A"/>
    <w:rsid w:val="00F90286"/>
    <w:rsid w:val="00F90528"/>
    <w:rsid w:val="00F90657"/>
    <w:rsid w:val="00F90D1F"/>
    <w:rsid w:val="00F90F67"/>
    <w:rsid w:val="00F91018"/>
    <w:rsid w:val="00F912EB"/>
    <w:rsid w:val="00F9132E"/>
    <w:rsid w:val="00F91412"/>
    <w:rsid w:val="00F917E8"/>
    <w:rsid w:val="00F9195D"/>
    <w:rsid w:val="00F91BCE"/>
    <w:rsid w:val="00F91C9A"/>
    <w:rsid w:val="00F91CFF"/>
    <w:rsid w:val="00F91D68"/>
    <w:rsid w:val="00F91E48"/>
    <w:rsid w:val="00F91E4B"/>
    <w:rsid w:val="00F92091"/>
    <w:rsid w:val="00F92097"/>
    <w:rsid w:val="00F922A3"/>
    <w:rsid w:val="00F923CB"/>
    <w:rsid w:val="00F92A22"/>
    <w:rsid w:val="00F92B5C"/>
    <w:rsid w:val="00F92E7B"/>
    <w:rsid w:val="00F9302E"/>
    <w:rsid w:val="00F93092"/>
    <w:rsid w:val="00F930BF"/>
    <w:rsid w:val="00F930CF"/>
    <w:rsid w:val="00F93751"/>
    <w:rsid w:val="00F939FB"/>
    <w:rsid w:val="00F93A34"/>
    <w:rsid w:val="00F93A6C"/>
    <w:rsid w:val="00F93C3E"/>
    <w:rsid w:val="00F94188"/>
    <w:rsid w:val="00F944CB"/>
    <w:rsid w:val="00F9464B"/>
    <w:rsid w:val="00F9476F"/>
    <w:rsid w:val="00F94787"/>
    <w:rsid w:val="00F94863"/>
    <w:rsid w:val="00F94C9E"/>
    <w:rsid w:val="00F94CC5"/>
    <w:rsid w:val="00F953AB"/>
    <w:rsid w:val="00F9545B"/>
    <w:rsid w:val="00F954BC"/>
    <w:rsid w:val="00F955A4"/>
    <w:rsid w:val="00F95608"/>
    <w:rsid w:val="00F95609"/>
    <w:rsid w:val="00F95663"/>
    <w:rsid w:val="00F95695"/>
    <w:rsid w:val="00F95910"/>
    <w:rsid w:val="00F95A06"/>
    <w:rsid w:val="00F95C13"/>
    <w:rsid w:val="00F95C5B"/>
    <w:rsid w:val="00F95CE8"/>
    <w:rsid w:val="00F95E30"/>
    <w:rsid w:val="00F95EC5"/>
    <w:rsid w:val="00F95FB8"/>
    <w:rsid w:val="00F970A5"/>
    <w:rsid w:val="00F970F3"/>
    <w:rsid w:val="00F973BF"/>
    <w:rsid w:val="00F9764A"/>
    <w:rsid w:val="00F97882"/>
    <w:rsid w:val="00F978A3"/>
    <w:rsid w:val="00F97AA0"/>
    <w:rsid w:val="00F97CB1"/>
    <w:rsid w:val="00F97F1C"/>
    <w:rsid w:val="00FA02B9"/>
    <w:rsid w:val="00FA030B"/>
    <w:rsid w:val="00FA080B"/>
    <w:rsid w:val="00FA0C8E"/>
    <w:rsid w:val="00FA0D41"/>
    <w:rsid w:val="00FA11C5"/>
    <w:rsid w:val="00FA1466"/>
    <w:rsid w:val="00FA14BC"/>
    <w:rsid w:val="00FA14C1"/>
    <w:rsid w:val="00FA15F2"/>
    <w:rsid w:val="00FA15F8"/>
    <w:rsid w:val="00FA173F"/>
    <w:rsid w:val="00FA1798"/>
    <w:rsid w:val="00FA18D2"/>
    <w:rsid w:val="00FA1AAA"/>
    <w:rsid w:val="00FA1BE3"/>
    <w:rsid w:val="00FA1CE2"/>
    <w:rsid w:val="00FA1D1D"/>
    <w:rsid w:val="00FA1EF7"/>
    <w:rsid w:val="00FA2395"/>
    <w:rsid w:val="00FA254F"/>
    <w:rsid w:val="00FA2703"/>
    <w:rsid w:val="00FA277B"/>
    <w:rsid w:val="00FA2ADA"/>
    <w:rsid w:val="00FA3382"/>
    <w:rsid w:val="00FA34D3"/>
    <w:rsid w:val="00FA354C"/>
    <w:rsid w:val="00FA35BB"/>
    <w:rsid w:val="00FA3725"/>
    <w:rsid w:val="00FA3F99"/>
    <w:rsid w:val="00FA414B"/>
    <w:rsid w:val="00FA4251"/>
    <w:rsid w:val="00FA43C9"/>
    <w:rsid w:val="00FA48C9"/>
    <w:rsid w:val="00FA4AFC"/>
    <w:rsid w:val="00FA4B29"/>
    <w:rsid w:val="00FA4B30"/>
    <w:rsid w:val="00FA4E9A"/>
    <w:rsid w:val="00FA508B"/>
    <w:rsid w:val="00FA565E"/>
    <w:rsid w:val="00FA592E"/>
    <w:rsid w:val="00FA5AEF"/>
    <w:rsid w:val="00FA5C12"/>
    <w:rsid w:val="00FA5E1F"/>
    <w:rsid w:val="00FA6039"/>
    <w:rsid w:val="00FA6041"/>
    <w:rsid w:val="00FA62E0"/>
    <w:rsid w:val="00FA6326"/>
    <w:rsid w:val="00FA6513"/>
    <w:rsid w:val="00FA678F"/>
    <w:rsid w:val="00FA6BAA"/>
    <w:rsid w:val="00FA6CDC"/>
    <w:rsid w:val="00FA6E20"/>
    <w:rsid w:val="00FA71FC"/>
    <w:rsid w:val="00FA73EC"/>
    <w:rsid w:val="00FA7416"/>
    <w:rsid w:val="00FA7491"/>
    <w:rsid w:val="00FA75A8"/>
    <w:rsid w:val="00FA7811"/>
    <w:rsid w:val="00FA78E3"/>
    <w:rsid w:val="00FA791F"/>
    <w:rsid w:val="00FA7A75"/>
    <w:rsid w:val="00FA7B76"/>
    <w:rsid w:val="00FA7BD1"/>
    <w:rsid w:val="00FA7BD6"/>
    <w:rsid w:val="00FA7F7E"/>
    <w:rsid w:val="00FB006B"/>
    <w:rsid w:val="00FB015F"/>
    <w:rsid w:val="00FB01EE"/>
    <w:rsid w:val="00FB05DE"/>
    <w:rsid w:val="00FB0702"/>
    <w:rsid w:val="00FB08F7"/>
    <w:rsid w:val="00FB091B"/>
    <w:rsid w:val="00FB091D"/>
    <w:rsid w:val="00FB0B89"/>
    <w:rsid w:val="00FB0BD0"/>
    <w:rsid w:val="00FB0CDA"/>
    <w:rsid w:val="00FB0F62"/>
    <w:rsid w:val="00FB0F8E"/>
    <w:rsid w:val="00FB11C2"/>
    <w:rsid w:val="00FB1600"/>
    <w:rsid w:val="00FB1771"/>
    <w:rsid w:val="00FB18DD"/>
    <w:rsid w:val="00FB1CA8"/>
    <w:rsid w:val="00FB1F93"/>
    <w:rsid w:val="00FB1FE7"/>
    <w:rsid w:val="00FB21F4"/>
    <w:rsid w:val="00FB2207"/>
    <w:rsid w:val="00FB231B"/>
    <w:rsid w:val="00FB2798"/>
    <w:rsid w:val="00FB28CD"/>
    <w:rsid w:val="00FB29B1"/>
    <w:rsid w:val="00FB29F7"/>
    <w:rsid w:val="00FB2D3A"/>
    <w:rsid w:val="00FB2D94"/>
    <w:rsid w:val="00FB2E37"/>
    <w:rsid w:val="00FB335F"/>
    <w:rsid w:val="00FB342F"/>
    <w:rsid w:val="00FB3548"/>
    <w:rsid w:val="00FB37CF"/>
    <w:rsid w:val="00FB382A"/>
    <w:rsid w:val="00FB390D"/>
    <w:rsid w:val="00FB39E6"/>
    <w:rsid w:val="00FB3A66"/>
    <w:rsid w:val="00FB3CFC"/>
    <w:rsid w:val="00FB3D27"/>
    <w:rsid w:val="00FB3D65"/>
    <w:rsid w:val="00FB3E5C"/>
    <w:rsid w:val="00FB3F72"/>
    <w:rsid w:val="00FB4286"/>
    <w:rsid w:val="00FB48D3"/>
    <w:rsid w:val="00FB4993"/>
    <w:rsid w:val="00FB4D61"/>
    <w:rsid w:val="00FB4D98"/>
    <w:rsid w:val="00FB4E61"/>
    <w:rsid w:val="00FB4FEA"/>
    <w:rsid w:val="00FB50E6"/>
    <w:rsid w:val="00FB52C3"/>
    <w:rsid w:val="00FB54C9"/>
    <w:rsid w:val="00FB56C4"/>
    <w:rsid w:val="00FB5C23"/>
    <w:rsid w:val="00FB5C2B"/>
    <w:rsid w:val="00FB5D20"/>
    <w:rsid w:val="00FB5D70"/>
    <w:rsid w:val="00FB5D9C"/>
    <w:rsid w:val="00FB61F3"/>
    <w:rsid w:val="00FB6217"/>
    <w:rsid w:val="00FB6752"/>
    <w:rsid w:val="00FB679D"/>
    <w:rsid w:val="00FB68EB"/>
    <w:rsid w:val="00FB6BCB"/>
    <w:rsid w:val="00FB6CCA"/>
    <w:rsid w:val="00FB6F1D"/>
    <w:rsid w:val="00FB7304"/>
    <w:rsid w:val="00FB735C"/>
    <w:rsid w:val="00FB741D"/>
    <w:rsid w:val="00FB7506"/>
    <w:rsid w:val="00FB78B3"/>
    <w:rsid w:val="00FB7A54"/>
    <w:rsid w:val="00FB7D6A"/>
    <w:rsid w:val="00FB7DA9"/>
    <w:rsid w:val="00FB7F82"/>
    <w:rsid w:val="00FB7FE1"/>
    <w:rsid w:val="00FB7FE4"/>
    <w:rsid w:val="00FC0365"/>
    <w:rsid w:val="00FC0663"/>
    <w:rsid w:val="00FC0753"/>
    <w:rsid w:val="00FC0783"/>
    <w:rsid w:val="00FC092F"/>
    <w:rsid w:val="00FC0BA8"/>
    <w:rsid w:val="00FC0BBA"/>
    <w:rsid w:val="00FC0F99"/>
    <w:rsid w:val="00FC11B7"/>
    <w:rsid w:val="00FC13C8"/>
    <w:rsid w:val="00FC192D"/>
    <w:rsid w:val="00FC1A9E"/>
    <w:rsid w:val="00FC1B4D"/>
    <w:rsid w:val="00FC1BF3"/>
    <w:rsid w:val="00FC1C87"/>
    <w:rsid w:val="00FC1CF2"/>
    <w:rsid w:val="00FC1FD2"/>
    <w:rsid w:val="00FC207D"/>
    <w:rsid w:val="00FC20B4"/>
    <w:rsid w:val="00FC241D"/>
    <w:rsid w:val="00FC2486"/>
    <w:rsid w:val="00FC24AB"/>
    <w:rsid w:val="00FC264C"/>
    <w:rsid w:val="00FC27C5"/>
    <w:rsid w:val="00FC2B27"/>
    <w:rsid w:val="00FC2B28"/>
    <w:rsid w:val="00FC2E00"/>
    <w:rsid w:val="00FC2E14"/>
    <w:rsid w:val="00FC2E45"/>
    <w:rsid w:val="00FC2FDD"/>
    <w:rsid w:val="00FC312D"/>
    <w:rsid w:val="00FC32D8"/>
    <w:rsid w:val="00FC3305"/>
    <w:rsid w:val="00FC33B2"/>
    <w:rsid w:val="00FC346A"/>
    <w:rsid w:val="00FC3851"/>
    <w:rsid w:val="00FC3A9B"/>
    <w:rsid w:val="00FC3BED"/>
    <w:rsid w:val="00FC3D16"/>
    <w:rsid w:val="00FC3D34"/>
    <w:rsid w:val="00FC3F29"/>
    <w:rsid w:val="00FC3FB9"/>
    <w:rsid w:val="00FC417C"/>
    <w:rsid w:val="00FC4195"/>
    <w:rsid w:val="00FC42CD"/>
    <w:rsid w:val="00FC45A0"/>
    <w:rsid w:val="00FC4907"/>
    <w:rsid w:val="00FC4D1B"/>
    <w:rsid w:val="00FC4D23"/>
    <w:rsid w:val="00FC4E7A"/>
    <w:rsid w:val="00FC5034"/>
    <w:rsid w:val="00FC55A5"/>
    <w:rsid w:val="00FC578F"/>
    <w:rsid w:val="00FC57F4"/>
    <w:rsid w:val="00FC5880"/>
    <w:rsid w:val="00FC5898"/>
    <w:rsid w:val="00FC5A37"/>
    <w:rsid w:val="00FC5C37"/>
    <w:rsid w:val="00FC5C78"/>
    <w:rsid w:val="00FC5D66"/>
    <w:rsid w:val="00FC5E8A"/>
    <w:rsid w:val="00FC60C4"/>
    <w:rsid w:val="00FC6174"/>
    <w:rsid w:val="00FC6266"/>
    <w:rsid w:val="00FC63C5"/>
    <w:rsid w:val="00FC6618"/>
    <w:rsid w:val="00FC679D"/>
    <w:rsid w:val="00FC682D"/>
    <w:rsid w:val="00FC6A8F"/>
    <w:rsid w:val="00FC6CB8"/>
    <w:rsid w:val="00FC6EC2"/>
    <w:rsid w:val="00FC6F38"/>
    <w:rsid w:val="00FC7087"/>
    <w:rsid w:val="00FC7126"/>
    <w:rsid w:val="00FC736F"/>
    <w:rsid w:val="00FC7446"/>
    <w:rsid w:val="00FC75BC"/>
    <w:rsid w:val="00FC76E2"/>
    <w:rsid w:val="00FC76E5"/>
    <w:rsid w:val="00FC793A"/>
    <w:rsid w:val="00FC7BB0"/>
    <w:rsid w:val="00FC7C13"/>
    <w:rsid w:val="00FD002C"/>
    <w:rsid w:val="00FD014E"/>
    <w:rsid w:val="00FD0151"/>
    <w:rsid w:val="00FD0277"/>
    <w:rsid w:val="00FD0314"/>
    <w:rsid w:val="00FD033F"/>
    <w:rsid w:val="00FD053D"/>
    <w:rsid w:val="00FD0546"/>
    <w:rsid w:val="00FD06C5"/>
    <w:rsid w:val="00FD08D5"/>
    <w:rsid w:val="00FD092D"/>
    <w:rsid w:val="00FD0B4F"/>
    <w:rsid w:val="00FD0B8B"/>
    <w:rsid w:val="00FD0D04"/>
    <w:rsid w:val="00FD0D2D"/>
    <w:rsid w:val="00FD0E4D"/>
    <w:rsid w:val="00FD13DE"/>
    <w:rsid w:val="00FD1582"/>
    <w:rsid w:val="00FD1791"/>
    <w:rsid w:val="00FD1A30"/>
    <w:rsid w:val="00FD1B9E"/>
    <w:rsid w:val="00FD1BB7"/>
    <w:rsid w:val="00FD1BBC"/>
    <w:rsid w:val="00FD1BCE"/>
    <w:rsid w:val="00FD1BF4"/>
    <w:rsid w:val="00FD1E52"/>
    <w:rsid w:val="00FD221D"/>
    <w:rsid w:val="00FD22A5"/>
    <w:rsid w:val="00FD240E"/>
    <w:rsid w:val="00FD259E"/>
    <w:rsid w:val="00FD2949"/>
    <w:rsid w:val="00FD299A"/>
    <w:rsid w:val="00FD29B9"/>
    <w:rsid w:val="00FD2AD4"/>
    <w:rsid w:val="00FD2BBA"/>
    <w:rsid w:val="00FD2D8E"/>
    <w:rsid w:val="00FD2DC8"/>
    <w:rsid w:val="00FD30DF"/>
    <w:rsid w:val="00FD31F2"/>
    <w:rsid w:val="00FD3396"/>
    <w:rsid w:val="00FD357F"/>
    <w:rsid w:val="00FD3C2D"/>
    <w:rsid w:val="00FD3C57"/>
    <w:rsid w:val="00FD3C5F"/>
    <w:rsid w:val="00FD3D21"/>
    <w:rsid w:val="00FD3E8B"/>
    <w:rsid w:val="00FD4210"/>
    <w:rsid w:val="00FD427F"/>
    <w:rsid w:val="00FD4798"/>
    <w:rsid w:val="00FD49EC"/>
    <w:rsid w:val="00FD4A1F"/>
    <w:rsid w:val="00FD4B82"/>
    <w:rsid w:val="00FD4BB6"/>
    <w:rsid w:val="00FD4D69"/>
    <w:rsid w:val="00FD4EE6"/>
    <w:rsid w:val="00FD505A"/>
    <w:rsid w:val="00FD50D2"/>
    <w:rsid w:val="00FD52A5"/>
    <w:rsid w:val="00FD5376"/>
    <w:rsid w:val="00FD54A4"/>
    <w:rsid w:val="00FD559E"/>
    <w:rsid w:val="00FD58F2"/>
    <w:rsid w:val="00FD5D1D"/>
    <w:rsid w:val="00FD5DEC"/>
    <w:rsid w:val="00FD5E76"/>
    <w:rsid w:val="00FD62E8"/>
    <w:rsid w:val="00FD65DC"/>
    <w:rsid w:val="00FD6751"/>
    <w:rsid w:val="00FD6842"/>
    <w:rsid w:val="00FD6A94"/>
    <w:rsid w:val="00FD6B25"/>
    <w:rsid w:val="00FD6CAA"/>
    <w:rsid w:val="00FD6D1E"/>
    <w:rsid w:val="00FD6FAB"/>
    <w:rsid w:val="00FD6FD4"/>
    <w:rsid w:val="00FD7113"/>
    <w:rsid w:val="00FD7123"/>
    <w:rsid w:val="00FD71D8"/>
    <w:rsid w:val="00FD740B"/>
    <w:rsid w:val="00FD7860"/>
    <w:rsid w:val="00FD7AC9"/>
    <w:rsid w:val="00FD7C97"/>
    <w:rsid w:val="00FD7D6A"/>
    <w:rsid w:val="00FD7F1D"/>
    <w:rsid w:val="00FD7FD7"/>
    <w:rsid w:val="00FE0101"/>
    <w:rsid w:val="00FE01E9"/>
    <w:rsid w:val="00FE03A3"/>
    <w:rsid w:val="00FE03A6"/>
    <w:rsid w:val="00FE0471"/>
    <w:rsid w:val="00FE0562"/>
    <w:rsid w:val="00FE066E"/>
    <w:rsid w:val="00FE07D3"/>
    <w:rsid w:val="00FE0A3B"/>
    <w:rsid w:val="00FE0CE6"/>
    <w:rsid w:val="00FE0E41"/>
    <w:rsid w:val="00FE0E5C"/>
    <w:rsid w:val="00FE0EA9"/>
    <w:rsid w:val="00FE1093"/>
    <w:rsid w:val="00FE11D6"/>
    <w:rsid w:val="00FE138C"/>
    <w:rsid w:val="00FE1392"/>
    <w:rsid w:val="00FE1521"/>
    <w:rsid w:val="00FE1698"/>
    <w:rsid w:val="00FE19A5"/>
    <w:rsid w:val="00FE1CEC"/>
    <w:rsid w:val="00FE1CFF"/>
    <w:rsid w:val="00FE1D94"/>
    <w:rsid w:val="00FE1EE3"/>
    <w:rsid w:val="00FE1F2F"/>
    <w:rsid w:val="00FE20DF"/>
    <w:rsid w:val="00FE2234"/>
    <w:rsid w:val="00FE243C"/>
    <w:rsid w:val="00FE25EC"/>
    <w:rsid w:val="00FE2BAA"/>
    <w:rsid w:val="00FE2BCF"/>
    <w:rsid w:val="00FE2F91"/>
    <w:rsid w:val="00FE3324"/>
    <w:rsid w:val="00FE3CA3"/>
    <w:rsid w:val="00FE3CBC"/>
    <w:rsid w:val="00FE3F18"/>
    <w:rsid w:val="00FE414C"/>
    <w:rsid w:val="00FE4361"/>
    <w:rsid w:val="00FE45E6"/>
    <w:rsid w:val="00FE4834"/>
    <w:rsid w:val="00FE4C33"/>
    <w:rsid w:val="00FE4D66"/>
    <w:rsid w:val="00FE4DB0"/>
    <w:rsid w:val="00FE4DE1"/>
    <w:rsid w:val="00FE4E68"/>
    <w:rsid w:val="00FE4ECA"/>
    <w:rsid w:val="00FE4F3F"/>
    <w:rsid w:val="00FE501C"/>
    <w:rsid w:val="00FE5229"/>
    <w:rsid w:val="00FE540E"/>
    <w:rsid w:val="00FE568E"/>
    <w:rsid w:val="00FE56AF"/>
    <w:rsid w:val="00FE5805"/>
    <w:rsid w:val="00FE58DF"/>
    <w:rsid w:val="00FE5957"/>
    <w:rsid w:val="00FE5A95"/>
    <w:rsid w:val="00FE5FCA"/>
    <w:rsid w:val="00FE60FB"/>
    <w:rsid w:val="00FE6395"/>
    <w:rsid w:val="00FE65E7"/>
    <w:rsid w:val="00FE68B7"/>
    <w:rsid w:val="00FE6B56"/>
    <w:rsid w:val="00FE6B87"/>
    <w:rsid w:val="00FE6FAA"/>
    <w:rsid w:val="00FE7002"/>
    <w:rsid w:val="00FE708D"/>
    <w:rsid w:val="00FE72C6"/>
    <w:rsid w:val="00FE74B7"/>
    <w:rsid w:val="00FE7709"/>
    <w:rsid w:val="00FE7745"/>
    <w:rsid w:val="00FE7A70"/>
    <w:rsid w:val="00FE7EF4"/>
    <w:rsid w:val="00FE7FEF"/>
    <w:rsid w:val="00FF0020"/>
    <w:rsid w:val="00FF01A9"/>
    <w:rsid w:val="00FF0283"/>
    <w:rsid w:val="00FF0725"/>
    <w:rsid w:val="00FF0C1D"/>
    <w:rsid w:val="00FF11ED"/>
    <w:rsid w:val="00FF15A3"/>
    <w:rsid w:val="00FF1721"/>
    <w:rsid w:val="00FF1A1B"/>
    <w:rsid w:val="00FF1C58"/>
    <w:rsid w:val="00FF1DFA"/>
    <w:rsid w:val="00FF2166"/>
    <w:rsid w:val="00FF239B"/>
    <w:rsid w:val="00FF37DA"/>
    <w:rsid w:val="00FF3821"/>
    <w:rsid w:val="00FF3860"/>
    <w:rsid w:val="00FF3944"/>
    <w:rsid w:val="00FF3A4B"/>
    <w:rsid w:val="00FF3E72"/>
    <w:rsid w:val="00FF46E7"/>
    <w:rsid w:val="00FF4742"/>
    <w:rsid w:val="00FF47B9"/>
    <w:rsid w:val="00FF4A78"/>
    <w:rsid w:val="00FF4B66"/>
    <w:rsid w:val="00FF4C72"/>
    <w:rsid w:val="00FF4E49"/>
    <w:rsid w:val="00FF56B0"/>
    <w:rsid w:val="00FF57B6"/>
    <w:rsid w:val="00FF587A"/>
    <w:rsid w:val="00FF5AE0"/>
    <w:rsid w:val="00FF5B56"/>
    <w:rsid w:val="00FF5C2B"/>
    <w:rsid w:val="00FF5CFB"/>
    <w:rsid w:val="00FF5D5D"/>
    <w:rsid w:val="00FF5DF0"/>
    <w:rsid w:val="00FF61F1"/>
    <w:rsid w:val="00FF62AA"/>
    <w:rsid w:val="00FF639A"/>
    <w:rsid w:val="00FF6795"/>
    <w:rsid w:val="00FF6C52"/>
    <w:rsid w:val="00FF6C83"/>
    <w:rsid w:val="00FF6D67"/>
    <w:rsid w:val="00FF6EC3"/>
    <w:rsid w:val="00FF6F2A"/>
    <w:rsid w:val="00FF6FFE"/>
    <w:rsid w:val="00FF70CF"/>
    <w:rsid w:val="00FF7312"/>
    <w:rsid w:val="00FF7426"/>
    <w:rsid w:val="00FF743F"/>
    <w:rsid w:val="00FF7562"/>
    <w:rsid w:val="00FF75AF"/>
    <w:rsid w:val="00FF7879"/>
    <w:rsid w:val="00FF788B"/>
    <w:rsid w:val="00FF79D1"/>
    <w:rsid w:val="00FF7C0D"/>
    <w:rsid w:val="00FF7C85"/>
    <w:rsid w:val="00FF7E7B"/>
    <w:rsid w:val="00FF7F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1"/>
  </w:style>
  <w:style w:type="paragraph" w:styleId="Heading1">
    <w:name w:val="heading 1"/>
    <w:basedOn w:val="Normal"/>
    <w:next w:val="Normal"/>
    <w:link w:val="Heading1Char"/>
    <w:uiPriority w:val="9"/>
    <w:qFormat/>
    <w:rsid w:val="00ED5A46"/>
    <w:pPr>
      <w:keepNext/>
      <w:keepLines/>
      <w:numPr>
        <w:numId w:val="279"/>
      </w:numPr>
      <w:spacing w:before="360" w:after="80"/>
      <w:outlineLvl w:val="0"/>
    </w:pPr>
    <w:rPr>
      <w:rFonts w:asciiTheme="majorHAnsi" w:eastAsiaTheme="majorEastAsia" w:hAnsiTheme="majorHAnsi" w:cstheme="majorBidi"/>
      <w:color w:val="005677" w:themeColor="text2"/>
      <w:sz w:val="48"/>
      <w:szCs w:val="32"/>
    </w:rPr>
  </w:style>
  <w:style w:type="paragraph" w:styleId="Heading2">
    <w:name w:val="heading 2"/>
    <w:basedOn w:val="Normal"/>
    <w:next w:val="Normal"/>
    <w:link w:val="Heading2Char"/>
    <w:uiPriority w:val="9"/>
    <w:unhideWhenUsed/>
    <w:qFormat/>
    <w:rsid w:val="000541A9"/>
    <w:pPr>
      <w:keepNext/>
      <w:keepLines/>
      <w:numPr>
        <w:ilvl w:val="1"/>
        <w:numId w:val="279"/>
      </w:numPr>
      <w:spacing w:before="40" w:after="40"/>
      <w:outlineLvl w:val="1"/>
    </w:pPr>
    <w:rPr>
      <w:rFonts w:asciiTheme="majorHAnsi" w:eastAsiaTheme="majorEastAsia" w:hAnsiTheme="majorHAnsi" w:cstheme="majorBidi"/>
      <w:color w:val="005677" w:themeColor="text2"/>
      <w:sz w:val="40"/>
      <w:szCs w:val="48"/>
    </w:rPr>
  </w:style>
  <w:style w:type="paragraph" w:styleId="Heading3">
    <w:name w:val="heading 3"/>
    <w:basedOn w:val="Normal"/>
    <w:next w:val="Normal"/>
    <w:link w:val="Heading3Char"/>
    <w:uiPriority w:val="9"/>
    <w:unhideWhenUsed/>
    <w:qFormat/>
    <w:rsid w:val="00D94F1E"/>
    <w:pPr>
      <w:keepNext/>
      <w:keepLines/>
      <w:numPr>
        <w:ilvl w:val="2"/>
        <w:numId w:val="279"/>
      </w:numPr>
      <w:spacing w:before="40" w:after="0"/>
      <w:outlineLvl w:val="2"/>
    </w:pPr>
    <w:rPr>
      <w:rFonts w:asciiTheme="majorHAnsi" w:eastAsiaTheme="majorEastAsia" w:hAnsiTheme="majorHAnsi" w:cstheme="majorBidi"/>
      <w:color w:val="005677" w:themeColor="text2"/>
      <w:sz w:val="32"/>
      <w:szCs w:val="40"/>
    </w:rPr>
  </w:style>
  <w:style w:type="paragraph" w:styleId="Heading4">
    <w:name w:val="heading 4"/>
    <w:basedOn w:val="Normal"/>
    <w:next w:val="Normal"/>
    <w:link w:val="Heading4Char"/>
    <w:uiPriority w:val="9"/>
    <w:unhideWhenUsed/>
    <w:qFormat/>
    <w:rsid w:val="00D94F1E"/>
    <w:pPr>
      <w:keepNext/>
      <w:keepLines/>
      <w:numPr>
        <w:ilvl w:val="3"/>
        <w:numId w:val="279"/>
      </w:numPr>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D94F1E"/>
    <w:pPr>
      <w:keepNext/>
      <w:keepLines/>
      <w:numPr>
        <w:ilvl w:val="4"/>
        <w:numId w:val="279"/>
      </w:numPr>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numPr>
        <w:ilvl w:val="5"/>
        <w:numId w:val="279"/>
      </w:numPr>
      <w:spacing w:before="40" w:after="0"/>
      <w:outlineLvl w:val="5"/>
    </w:pPr>
    <w:rPr>
      <w:rFonts w:asciiTheme="majorHAnsi" w:eastAsiaTheme="majorEastAsia" w:hAnsiTheme="majorHAnsi" w:cstheme="majorBidi"/>
      <w:color w:val="005677" w:themeColor="text2"/>
    </w:rPr>
  </w:style>
  <w:style w:type="paragraph" w:styleId="Heading7">
    <w:name w:val="heading 7"/>
    <w:basedOn w:val="Normal"/>
    <w:next w:val="Normal"/>
    <w:link w:val="Heading7Char"/>
    <w:uiPriority w:val="9"/>
    <w:unhideWhenUsed/>
    <w:qFormat/>
    <w:rsid w:val="006D6296"/>
    <w:pPr>
      <w:keepNext/>
      <w:keepLines/>
      <w:numPr>
        <w:ilvl w:val="6"/>
        <w:numId w:val="279"/>
      </w:numPr>
      <w:spacing w:before="40" w:after="0"/>
      <w:outlineLvl w:val="6"/>
    </w:pPr>
    <w:rPr>
      <w:rFonts w:asciiTheme="majorHAnsi" w:eastAsiaTheme="majorEastAsia" w:hAnsiTheme="majorHAnsi" w:cstheme="majorBidi"/>
      <w:i/>
      <w:iCs/>
      <w:color w:val="484A4C" w:themeColor="accent1" w:themeShade="7F"/>
    </w:rPr>
  </w:style>
  <w:style w:type="paragraph" w:styleId="Heading8">
    <w:name w:val="heading 8"/>
    <w:basedOn w:val="Normal"/>
    <w:next w:val="Normal"/>
    <w:link w:val="Heading8Char"/>
    <w:uiPriority w:val="9"/>
    <w:semiHidden/>
    <w:unhideWhenUsed/>
    <w:qFormat/>
    <w:rsid w:val="006D6296"/>
    <w:pPr>
      <w:keepNext/>
      <w:keepLines/>
      <w:numPr>
        <w:ilvl w:val="7"/>
        <w:numId w:val="27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6296"/>
    <w:pPr>
      <w:keepNext/>
      <w:keepLines/>
      <w:numPr>
        <w:ilvl w:val="8"/>
        <w:numId w:val="27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797"/>
    <w:rPr>
      <w:rFonts w:asciiTheme="majorHAnsi" w:eastAsiaTheme="majorEastAsia" w:hAnsiTheme="majorHAnsi" w:cstheme="majorBidi"/>
      <w:color w:val="005677" w:themeColor="text2"/>
      <w:sz w:val="48"/>
      <w:szCs w:val="32"/>
    </w:rPr>
  </w:style>
  <w:style w:type="character" w:customStyle="1" w:styleId="Heading2Char">
    <w:name w:val="Heading 2 Char"/>
    <w:basedOn w:val="DefaultParagraphFont"/>
    <w:link w:val="Heading2"/>
    <w:uiPriority w:val="9"/>
    <w:rsid w:val="000541A9"/>
    <w:rPr>
      <w:rFonts w:asciiTheme="majorHAnsi" w:eastAsiaTheme="majorEastAsia" w:hAnsiTheme="majorHAnsi" w:cstheme="majorBidi"/>
      <w:color w:val="005677" w:themeColor="text2"/>
      <w:sz w:val="40"/>
      <w:szCs w:val="48"/>
    </w:rPr>
  </w:style>
  <w:style w:type="character" w:customStyle="1" w:styleId="Heading3Char">
    <w:name w:val="Heading 3 Char"/>
    <w:basedOn w:val="DefaultParagraphFont"/>
    <w:link w:val="Heading3"/>
    <w:uiPriority w:val="9"/>
    <w:rsid w:val="00D94F1E"/>
    <w:rPr>
      <w:rFonts w:asciiTheme="majorHAnsi" w:eastAsiaTheme="majorEastAsia" w:hAnsiTheme="majorHAnsi" w:cstheme="majorBidi"/>
      <w:color w:val="005677" w:themeColor="text2"/>
      <w:sz w:val="32"/>
      <w:szCs w:val="40"/>
    </w:rPr>
  </w:style>
  <w:style w:type="character" w:customStyle="1" w:styleId="Heading4Char">
    <w:name w:val="Heading 4 Char"/>
    <w:basedOn w:val="DefaultParagraphFont"/>
    <w:link w:val="Heading4"/>
    <w:uiPriority w:val="9"/>
    <w:rsid w:val="00D94F1E"/>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D94F1E"/>
    <w:rPr>
      <w:rFonts w:asciiTheme="majorHAnsi" w:eastAsiaTheme="majorEastAsia" w:hAnsiTheme="majorHAnsi" w:cstheme="majorBidi"/>
      <w:color w:val="005677" w:themeColor="text2"/>
      <w:sz w:val="26"/>
      <w:szCs w:val="26"/>
    </w:r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character" w:customStyle="1" w:styleId="Heading7Char">
    <w:name w:val="Heading 7 Char"/>
    <w:basedOn w:val="DefaultParagraphFont"/>
    <w:link w:val="Heading7"/>
    <w:uiPriority w:val="9"/>
    <w:rsid w:val="006D6296"/>
    <w:rPr>
      <w:rFonts w:asciiTheme="majorHAnsi" w:eastAsiaTheme="majorEastAsia" w:hAnsiTheme="majorHAnsi" w:cstheme="majorBidi"/>
      <w:i/>
      <w:iCs/>
      <w:color w:val="484A4C" w:themeColor="accent1" w:themeShade="7F"/>
    </w:rPr>
  </w:style>
  <w:style w:type="character" w:customStyle="1" w:styleId="Heading8Char">
    <w:name w:val="Heading 8 Char"/>
    <w:basedOn w:val="DefaultParagraphFont"/>
    <w:link w:val="Heading8"/>
    <w:uiPriority w:val="9"/>
    <w:semiHidden/>
    <w:rsid w:val="006D62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6296"/>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paragraph" w:styleId="Title">
    <w:name w:val="Title"/>
    <w:basedOn w:val="Normal"/>
    <w:next w:val="Normal"/>
    <w:link w:val="TitleChar"/>
    <w:uiPriority w:val="10"/>
    <w:qFormat/>
    <w:rsid w:val="00EC00A2"/>
    <w:pPr>
      <w:pBdr>
        <w:bottom w:val="single" w:sz="8" w:space="1" w:color="005677" w:themeColor="text2"/>
      </w:pBdr>
      <w:spacing w:before="360" w:after="120" w:line="240" w:lineRule="auto"/>
      <w:contextualSpacing/>
      <w:outlineLvl w:val="0"/>
    </w:pPr>
    <w:rPr>
      <w:rFonts w:asciiTheme="majorHAnsi" w:eastAsiaTheme="majorEastAsia" w:hAnsiTheme="majorHAnsi" w:cstheme="majorBidi"/>
      <w:color w:val="005677" w:themeColor="text2"/>
      <w:spacing w:val="-10"/>
      <w:kern w:val="28"/>
      <w:sz w:val="56"/>
      <w:szCs w:val="72"/>
    </w:rPr>
  </w:style>
  <w:style w:type="character" w:customStyle="1" w:styleId="TitleChar">
    <w:name w:val="Title Char"/>
    <w:basedOn w:val="DefaultParagraphFont"/>
    <w:link w:val="Title"/>
    <w:uiPriority w:val="10"/>
    <w:rsid w:val="00EC00A2"/>
    <w:rPr>
      <w:rFonts w:asciiTheme="majorHAnsi" w:eastAsiaTheme="majorEastAsia" w:hAnsiTheme="majorHAnsi" w:cstheme="majorBidi"/>
      <w:color w:val="005677" w:themeColor="text2"/>
      <w:spacing w:val="-10"/>
      <w:kern w:val="28"/>
      <w:sz w:val="56"/>
      <w:szCs w:val="72"/>
    </w:rPr>
  </w:style>
  <w:style w:type="paragraph" w:styleId="Subtitle">
    <w:name w:val="Subtitle"/>
    <w:basedOn w:val="Normal"/>
    <w:next w:val="Normal"/>
    <w:link w:val="SubtitleChar"/>
    <w:uiPriority w:val="11"/>
    <w:qFormat/>
    <w:rsid w:val="00EC00A2"/>
    <w:pPr>
      <w:numPr>
        <w:ilvl w:val="1"/>
      </w:numPr>
    </w:pPr>
    <w:rPr>
      <w:rFonts w:eastAsiaTheme="minorEastAsia"/>
      <w:color w:val="58595B" w:themeColor="background2"/>
      <w:sz w:val="32"/>
    </w:rPr>
  </w:style>
  <w:style w:type="character" w:customStyle="1" w:styleId="SubtitleChar">
    <w:name w:val="Subtitle Char"/>
    <w:basedOn w:val="DefaultParagraphFont"/>
    <w:link w:val="Subtitle"/>
    <w:uiPriority w:val="11"/>
    <w:rsid w:val="00EC00A2"/>
    <w:rPr>
      <w:rFonts w:eastAsiaTheme="minorEastAsia"/>
      <w:color w:val="58595B" w:themeColor="background2"/>
      <w:sz w:val="32"/>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List Paragraph1,List Paragraph11,List Paragraph2,Recommendation,Bullet 1,CV text,Dot pt,F5 List Paragraph,Indicator Text,L,List Paragraph Char Char Char,List Paragraph111,MAIN CONTENT,Normal numbered,Numbered Para 1,bullet point list,列出段"/>
    <w:basedOn w:val="Normal"/>
    <w:link w:val="ListParagraphChar"/>
    <w:uiPriority w:val="34"/>
    <w:qFormat/>
    <w:rsid w:val="004632E9"/>
    <w:pPr>
      <w:ind w:left="720" w:hanging="360"/>
      <w:contextualSpacing/>
    </w:pPr>
  </w:style>
  <w:style w:type="character" w:customStyle="1" w:styleId="ListParagraphChar">
    <w:name w:val="List Paragraph Char"/>
    <w:aliases w:val="List Paragraph1 Char,List Paragraph11 Char,List Paragraph2 Char,Recommendation Char,Bullet 1 Char,CV text Char,Dot pt Char,F5 List Paragraph Char,Indicator Text Char,L Char,List Paragraph Char Char Char Char,List Paragraph111 Char"/>
    <w:basedOn w:val="DefaultParagraphFont"/>
    <w:link w:val="ListParagraph"/>
    <w:uiPriority w:val="34"/>
    <w:qFormat/>
    <w:locked/>
    <w:rsid w:val="006E137F"/>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ind w:left="720" w:hanging="360"/>
      <w:outlineLvl w:val="9"/>
    </w:pPr>
    <w:rPr>
      <w:lang w:val="en-US"/>
    </w:rPr>
  </w:style>
  <w:style w:type="paragraph" w:styleId="TOC1">
    <w:name w:val="toc 1"/>
    <w:basedOn w:val="Normal"/>
    <w:next w:val="Normal"/>
    <w:autoRedefine/>
    <w:uiPriority w:val="39"/>
    <w:unhideWhenUsed/>
    <w:rsid w:val="00C20FDB"/>
    <w:pPr>
      <w:tabs>
        <w:tab w:val="left" w:pos="440"/>
        <w:tab w:val="right" w:leader="dot" w:pos="9781"/>
      </w:tabs>
      <w:spacing w:after="100"/>
      <w:ind w:left="435" w:right="119" w:hanging="435"/>
    </w:pPr>
  </w:style>
  <w:style w:type="paragraph" w:styleId="TOC2">
    <w:name w:val="toc 2"/>
    <w:basedOn w:val="Normal"/>
    <w:next w:val="Normal"/>
    <w:autoRedefine/>
    <w:uiPriority w:val="39"/>
    <w:unhideWhenUsed/>
    <w:rsid w:val="00395A43"/>
    <w:pPr>
      <w:tabs>
        <w:tab w:val="right" w:leader="dot" w:pos="9781"/>
      </w:tabs>
      <w:spacing w:after="100"/>
      <w:ind w:left="220"/>
    </w:pPr>
  </w:style>
  <w:style w:type="paragraph" w:styleId="TOC3">
    <w:name w:val="toc 3"/>
    <w:basedOn w:val="Normal"/>
    <w:next w:val="Normal"/>
    <w:autoRedefine/>
    <w:uiPriority w:val="39"/>
    <w:unhideWhenUsed/>
    <w:rsid w:val="00395A43"/>
    <w:pPr>
      <w:tabs>
        <w:tab w:val="left" w:pos="880"/>
        <w:tab w:val="right" w:leader="dot" w:pos="9781"/>
      </w:tabs>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character" w:styleId="CommentReference">
    <w:name w:val="annotation reference"/>
    <w:basedOn w:val="DefaultParagraphFont"/>
    <w:uiPriority w:val="99"/>
    <w:unhideWhenUsed/>
    <w:rsid w:val="00377445"/>
    <w:rPr>
      <w:sz w:val="16"/>
      <w:szCs w:val="16"/>
    </w:rPr>
  </w:style>
  <w:style w:type="paragraph" w:styleId="CommentText">
    <w:name w:val="annotation text"/>
    <w:basedOn w:val="Normal"/>
    <w:link w:val="CommentTextChar"/>
    <w:uiPriority w:val="99"/>
    <w:unhideWhenUsed/>
    <w:rsid w:val="00377445"/>
    <w:pPr>
      <w:spacing w:line="240" w:lineRule="auto"/>
    </w:pPr>
    <w:rPr>
      <w:sz w:val="20"/>
      <w:szCs w:val="20"/>
    </w:rPr>
  </w:style>
  <w:style w:type="character" w:customStyle="1" w:styleId="CommentTextChar">
    <w:name w:val="Comment Text Char"/>
    <w:basedOn w:val="DefaultParagraphFont"/>
    <w:link w:val="CommentText"/>
    <w:uiPriority w:val="99"/>
    <w:rsid w:val="00377445"/>
    <w:rPr>
      <w:sz w:val="20"/>
      <w:szCs w:val="20"/>
    </w:rPr>
  </w:style>
  <w:style w:type="paragraph" w:styleId="NormalWeb">
    <w:name w:val="Normal (Web)"/>
    <w:basedOn w:val="Normal"/>
    <w:uiPriority w:val="99"/>
    <w:unhideWhenUsed/>
    <w:rsid w:val="0037744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 Char Char1"/>
    <w:basedOn w:val="DefaultParagraphFont"/>
    <w:link w:val="FootnoteText"/>
    <w:uiPriority w:val="99"/>
    <w:locked/>
    <w:rsid w:val="006E137F"/>
    <w:rPr>
      <w:rFonts w:ascii="Arial" w:hAnsi="Arial" w:cs="Arial"/>
      <w:sz w:val="16"/>
      <w:szCs w:val="20"/>
    </w:rPr>
  </w:style>
  <w:style w:type="paragraph" w:styleId="FootnoteText">
    <w:name w:val="footnote text"/>
    <w:aliases w:val="Footnote Text Char1 Char,Footnote Text Char Char Char,Footnote Text Char1 Char Char Char,Footnote Text Char Char Char Char Char,Footnote Text Char2 Char Char Char Char Char,Footnote Text Char Char,fn,5_G,Table/Chart Ref"/>
    <w:basedOn w:val="Normal"/>
    <w:link w:val="FootnoteTextChar"/>
    <w:uiPriority w:val="99"/>
    <w:unhideWhenUsed/>
    <w:rsid w:val="006E137F"/>
    <w:pPr>
      <w:spacing w:before="60" w:after="60" w:line="240" w:lineRule="auto"/>
    </w:pPr>
    <w:rPr>
      <w:rFonts w:ascii="Arial" w:hAnsi="Arial" w:cs="Arial"/>
      <w:sz w:val="16"/>
      <w:szCs w:val="20"/>
    </w:rPr>
  </w:style>
  <w:style w:type="character" w:customStyle="1" w:styleId="FootnoteTextChar1">
    <w:name w:val="Footnote Text Char1"/>
    <w:basedOn w:val="DefaultParagraphFont"/>
    <w:uiPriority w:val="99"/>
    <w:semiHidden/>
    <w:rsid w:val="006E137F"/>
    <w:rPr>
      <w:sz w:val="20"/>
      <w:szCs w:val="20"/>
    </w:rPr>
  </w:style>
  <w:style w:type="character" w:styleId="FootnoteReference">
    <w:name w:val="footnote reference"/>
    <w:aliases w:val="Footnotes refss,ftref,4_G,4_G Char Char Char Char Char,Footnotes refss Char Char Char Char Char,ftref Char Char Char Char Char,BVI fnr Char Char Char Char Char,BVI fnr Car Car Char Char Char Char Char,Ref,de nota al pie,註腳內容,11 pt,o"/>
    <w:basedOn w:val="DefaultParagraphFont"/>
    <w:link w:val="4GCharCharCharChar"/>
    <w:uiPriority w:val="99"/>
    <w:unhideWhenUsed/>
    <w:qFormat/>
    <w:rsid w:val="00131860"/>
    <w:rPr>
      <w:rFonts w:ascii="Calibri" w:hAnsi="Calibri"/>
      <w:vertAlign w:val="superscript"/>
    </w:rPr>
  </w:style>
  <w:style w:type="paragraph" w:customStyle="1" w:styleId="4GCharCharCharChar">
    <w:name w:val="4_G Char Char Char Char"/>
    <w:aliases w:val="Footnotes refss Char Char Char Char,ftref Char Char Char Char,BVI fnr Char Char Char Char,BVI fnr Car Car Char Char Char Char,BVI fnr Car Char Char Char Char,BVI fnr Car Car Car Car Char Char1 Char Char"/>
    <w:basedOn w:val="Normal"/>
    <w:link w:val="FootnoteReference"/>
    <w:uiPriority w:val="99"/>
    <w:rsid w:val="00131860"/>
    <w:pPr>
      <w:spacing w:line="240" w:lineRule="exact"/>
      <w:jc w:val="both"/>
    </w:pPr>
    <w:rPr>
      <w:rFonts w:ascii="Calibri" w:hAnsi="Calibri"/>
      <w:vertAlign w:val="superscript"/>
    </w:rPr>
  </w:style>
  <w:style w:type="paragraph" w:customStyle="1" w:styleId="BulletList">
    <w:name w:val="Bullet List"/>
    <w:uiPriority w:val="99"/>
    <w:qFormat/>
    <w:rsid w:val="006E137F"/>
    <w:pPr>
      <w:spacing w:after="0" w:line="240" w:lineRule="auto"/>
      <w:ind w:left="170" w:hanging="170"/>
    </w:pPr>
    <w:rPr>
      <w:rFonts w:ascii="Century Gothic" w:eastAsia="TimesNewRomanPSMT" w:hAnsi="Century Gothic" w:cs="TimesNewRomanPSMT"/>
      <w:color w:val="000000"/>
      <w:sz w:val="20"/>
      <w:szCs w:val="19"/>
      <w:lang w:val="en-GB"/>
    </w:rPr>
  </w:style>
  <w:style w:type="character" w:customStyle="1" w:styleId="normaltextrun1">
    <w:name w:val="normaltextrun1"/>
    <w:basedOn w:val="DefaultParagraphFont"/>
    <w:rsid w:val="006E137F"/>
  </w:style>
  <w:style w:type="character" w:customStyle="1" w:styleId="eop">
    <w:name w:val="eop"/>
    <w:basedOn w:val="DefaultParagraphFont"/>
    <w:rsid w:val="006E137F"/>
  </w:style>
  <w:style w:type="paragraph" w:customStyle="1" w:styleId="Footnote">
    <w:name w:val="Footnote"/>
    <w:basedOn w:val="FootnoteText"/>
    <w:link w:val="FootnoteChar"/>
    <w:qFormat/>
    <w:rsid w:val="006E137F"/>
    <w:pPr>
      <w:spacing w:before="0" w:after="0"/>
      <w:ind w:left="2268" w:hanging="141"/>
      <w:jc w:val="both"/>
    </w:pPr>
    <w:rPr>
      <w:rFonts w:eastAsia="Times New Roman"/>
      <w:color w:val="595A5B"/>
    </w:rPr>
  </w:style>
  <w:style w:type="character" w:customStyle="1" w:styleId="FootnoteChar">
    <w:name w:val="Footnote Char"/>
    <w:basedOn w:val="FootnoteTextChar"/>
    <w:link w:val="Footnote"/>
    <w:rsid w:val="006E137F"/>
    <w:rPr>
      <w:rFonts w:ascii="Arial" w:eastAsia="Times New Roman" w:hAnsi="Arial" w:cs="Arial"/>
      <w:color w:val="595A5B"/>
      <w:sz w:val="16"/>
      <w:szCs w:val="20"/>
    </w:rPr>
  </w:style>
  <w:style w:type="table" w:styleId="TableGridLight">
    <w:name w:val="Grid Table Light"/>
    <w:basedOn w:val="TableNormal"/>
    <w:uiPriority w:val="40"/>
    <w:rsid w:val="006E13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aliases w:val="a"/>
    <w:basedOn w:val="Normal"/>
    <w:rsid w:val="006E137F"/>
    <w:pPr>
      <w:spacing w:after="0" w:line="240" w:lineRule="auto"/>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0D0E26"/>
    <w:rPr>
      <w:b/>
      <w:bCs/>
    </w:rPr>
  </w:style>
  <w:style w:type="character" w:customStyle="1" w:styleId="CommentSubjectChar">
    <w:name w:val="Comment Subject Char"/>
    <w:basedOn w:val="CommentTextChar"/>
    <w:link w:val="CommentSubject"/>
    <w:uiPriority w:val="99"/>
    <w:semiHidden/>
    <w:rsid w:val="000D0E26"/>
    <w:rPr>
      <w:b/>
      <w:bCs/>
      <w:sz w:val="20"/>
      <w:szCs w:val="20"/>
    </w:rPr>
  </w:style>
  <w:style w:type="table" w:customStyle="1" w:styleId="PlainTable21">
    <w:name w:val="Plain Table 21"/>
    <w:basedOn w:val="TableNormal"/>
    <w:next w:val="PlainTable2"/>
    <w:uiPriority w:val="42"/>
    <w:rsid w:val="00B1070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basedOn w:val="DefaultParagraphFont"/>
    <w:uiPriority w:val="99"/>
    <w:semiHidden/>
    <w:unhideWhenUsed/>
    <w:rsid w:val="00857738"/>
    <w:rPr>
      <w:color w:val="551A8B" w:themeColor="followedHyperlink"/>
      <w:u w:val="single"/>
    </w:rPr>
  </w:style>
  <w:style w:type="table" w:customStyle="1" w:styleId="TableGrid2">
    <w:name w:val="Table Grid2"/>
    <w:basedOn w:val="TableNormal"/>
    <w:next w:val="TableGrid"/>
    <w:uiPriority w:val="39"/>
    <w:rsid w:val="00857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857738"/>
    <w:pPr>
      <w:spacing w:after="0" w:line="240" w:lineRule="auto"/>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uiPriority w:val="99"/>
    <w:semiHidden/>
    <w:rsid w:val="00857738"/>
    <w:rPr>
      <w:rFonts w:ascii="Times New Roman" w:eastAsia="Times New Roman" w:hAnsi="Times New Roman" w:cs="Times New Roman"/>
      <w:sz w:val="24"/>
      <w:szCs w:val="20"/>
      <w:lang w:eastAsia="en-AU"/>
    </w:rPr>
  </w:style>
  <w:style w:type="paragraph" w:customStyle="1" w:styleId="Default">
    <w:name w:val="Default"/>
    <w:rsid w:val="00857738"/>
    <w:pPr>
      <w:autoSpaceDE w:val="0"/>
      <w:autoSpaceDN w:val="0"/>
      <w:adjustRightInd w:val="0"/>
      <w:spacing w:after="0" w:line="240" w:lineRule="auto"/>
    </w:pPr>
    <w:rPr>
      <w:rFonts w:ascii="EYInterstate" w:eastAsia="Calibri" w:hAnsi="EYInterstate" w:cs="EYInterstate"/>
      <w:color w:val="000000"/>
      <w:sz w:val="24"/>
      <w:szCs w:val="24"/>
      <w:lang w:eastAsia="en-AU"/>
    </w:rPr>
  </w:style>
  <w:style w:type="paragraph" w:customStyle="1" w:styleId="Keypointsbullet">
    <w:name w:val="Key points bullet"/>
    <w:basedOn w:val="ListParagraph"/>
    <w:link w:val="KeypointsbulletChar"/>
    <w:qFormat/>
    <w:rsid w:val="00857738"/>
    <w:pPr>
      <w:spacing w:after="180" w:line="270" w:lineRule="exact"/>
      <w:ind w:left="2880" w:right="155"/>
      <w:contextualSpacing w:val="0"/>
      <w:jc w:val="both"/>
    </w:pPr>
    <w:rPr>
      <w:rFonts w:eastAsia="Times New Roman" w:cs="Arial"/>
      <w:b/>
      <w:color w:val="595A5B"/>
      <w:sz w:val="20"/>
      <w:szCs w:val="20"/>
      <w:lang w:val="en"/>
    </w:rPr>
  </w:style>
  <w:style w:type="character" w:customStyle="1" w:styleId="KeypointsbulletChar">
    <w:name w:val="Key points bullet Char"/>
    <w:basedOn w:val="DefaultParagraphFont"/>
    <w:link w:val="Keypointsbullet"/>
    <w:rsid w:val="00857738"/>
    <w:rPr>
      <w:rFonts w:eastAsia="Times New Roman" w:cs="Arial"/>
      <w:b/>
      <w:color w:val="595A5B"/>
      <w:sz w:val="20"/>
      <w:szCs w:val="20"/>
      <w:lang w:val="en"/>
    </w:rPr>
  </w:style>
  <w:style w:type="character" w:customStyle="1" w:styleId="highlightedsearchterm">
    <w:name w:val="highlightedsearchterm"/>
    <w:basedOn w:val="DefaultParagraphFont"/>
    <w:rsid w:val="00857738"/>
  </w:style>
  <w:style w:type="paragraph" w:styleId="Revision">
    <w:name w:val="Revision"/>
    <w:hidden/>
    <w:uiPriority w:val="99"/>
    <w:semiHidden/>
    <w:rsid w:val="00857738"/>
    <w:pPr>
      <w:spacing w:after="0" w:line="240" w:lineRule="auto"/>
    </w:pPr>
  </w:style>
  <w:style w:type="paragraph" w:styleId="EndnoteText">
    <w:name w:val="endnote text"/>
    <w:basedOn w:val="Normal"/>
    <w:link w:val="EndnoteTextChar"/>
    <w:uiPriority w:val="99"/>
    <w:semiHidden/>
    <w:unhideWhenUsed/>
    <w:rsid w:val="008577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7738"/>
    <w:rPr>
      <w:sz w:val="20"/>
      <w:szCs w:val="20"/>
    </w:rPr>
  </w:style>
  <w:style w:type="character" w:styleId="EndnoteReference">
    <w:name w:val="endnote reference"/>
    <w:basedOn w:val="DefaultParagraphFont"/>
    <w:uiPriority w:val="99"/>
    <w:semiHidden/>
    <w:unhideWhenUsed/>
    <w:rsid w:val="00857738"/>
    <w:rPr>
      <w:vertAlign w:val="superscript"/>
    </w:rPr>
  </w:style>
  <w:style w:type="character" w:customStyle="1" w:styleId="SecurityDropdown">
    <w:name w:val="Security Dropdown"/>
    <w:basedOn w:val="DefaultParagraphFont"/>
    <w:uiPriority w:val="1"/>
    <w:rsid w:val="0049482A"/>
    <w:rPr>
      <w:rFonts w:asciiTheme="minorHAnsi" w:hAnsiTheme="minorHAnsi"/>
      <w:color w:val="FF0000"/>
      <w:sz w:val="24"/>
    </w:rPr>
  </w:style>
  <w:style w:type="character" w:customStyle="1" w:styleId="Style4">
    <w:name w:val="Style4"/>
    <w:basedOn w:val="DefaultParagraphFont"/>
    <w:uiPriority w:val="1"/>
    <w:rsid w:val="0049482A"/>
    <w:rPr>
      <w:rFonts w:asciiTheme="minorHAnsi" w:hAnsiTheme="minorHAnsi"/>
      <w:color w:val="FF0000"/>
      <w:sz w:val="24"/>
    </w:rPr>
  </w:style>
  <w:style w:type="table" w:customStyle="1" w:styleId="GridTable4-Accent51">
    <w:name w:val="Grid Table 4 - Accent 51"/>
    <w:basedOn w:val="TableNormal"/>
    <w:next w:val="GridTable4-Accent5"/>
    <w:uiPriority w:val="49"/>
    <w:rsid w:val="0049482A"/>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RISparatext">
    <w:name w:val="RIS para text"/>
    <w:basedOn w:val="Normal"/>
    <w:link w:val="RISparatextChar"/>
    <w:qFormat/>
    <w:rsid w:val="006D2D20"/>
    <w:pPr>
      <w:spacing w:after="120" w:line="276" w:lineRule="auto"/>
    </w:pPr>
    <w:rPr>
      <w:rFonts w:ascii="Calibri" w:eastAsia="Calibri" w:hAnsi="Calibri" w:cs="Calibri"/>
      <w:w w:val="105"/>
      <w:kern w:val="40"/>
    </w:rPr>
  </w:style>
  <w:style w:type="character" w:customStyle="1" w:styleId="RISparatextChar">
    <w:name w:val="RIS para text Char"/>
    <w:basedOn w:val="DefaultParagraphFont"/>
    <w:link w:val="RISparatext"/>
    <w:rsid w:val="006D2D20"/>
    <w:rPr>
      <w:rFonts w:ascii="Calibri" w:eastAsia="Calibri" w:hAnsi="Calibri" w:cs="Calibri"/>
      <w:w w:val="105"/>
      <w:kern w:val="40"/>
    </w:rPr>
  </w:style>
  <w:style w:type="character" w:customStyle="1" w:styleId="normaltextrun">
    <w:name w:val="normaltextrun"/>
    <w:basedOn w:val="DefaultParagraphFont"/>
    <w:rsid w:val="001F6284"/>
  </w:style>
  <w:style w:type="table" w:customStyle="1" w:styleId="GridTable4-Accent11">
    <w:name w:val="Grid Table 4 - Accent 11"/>
    <w:basedOn w:val="TableNormal"/>
    <w:next w:val="GridTable4-Accent1"/>
    <w:uiPriority w:val="49"/>
    <w:rsid w:val="007C7B2D"/>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paragraph" w:styleId="ListNumber">
    <w:name w:val="List Number"/>
    <w:basedOn w:val="Normal"/>
    <w:link w:val="ListNumberChar"/>
    <w:uiPriority w:val="99"/>
    <w:qFormat/>
    <w:rsid w:val="007C7B2D"/>
    <w:pPr>
      <w:spacing w:after="200" w:line="276" w:lineRule="auto"/>
      <w:ind w:left="1476" w:hanging="369"/>
    </w:pPr>
    <w:rPr>
      <w:rFonts w:ascii="Arial" w:eastAsia="Calibri" w:hAnsi="Arial" w:cs="Times New Roman"/>
    </w:rPr>
  </w:style>
  <w:style w:type="character" w:customStyle="1" w:styleId="ListNumberChar">
    <w:name w:val="List Number Char"/>
    <w:basedOn w:val="DefaultParagraphFont"/>
    <w:link w:val="ListNumber"/>
    <w:uiPriority w:val="99"/>
    <w:rsid w:val="007C7B2D"/>
    <w:rPr>
      <w:rFonts w:ascii="Arial" w:eastAsia="Calibri" w:hAnsi="Arial" w:cs="Times New Roman"/>
    </w:rPr>
  </w:style>
  <w:style w:type="paragraph" w:styleId="ListNumber2">
    <w:name w:val="List Number 2"/>
    <w:basedOn w:val="Normal"/>
    <w:uiPriority w:val="99"/>
    <w:rsid w:val="007C7B2D"/>
    <w:pPr>
      <w:spacing w:after="200" w:line="276" w:lineRule="auto"/>
      <w:ind w:left="738" w:hanging="369"/>
    </w:pPr>
    <w:rPr>
      <w:rFonts w:ascii="Arial" w:eastAsia="Calibri" w:hAnsi="Arial" w:cs="Times New Roman"/>
    </w:rPr>
  </w:style>
  <w:style w:type="paragraph" w:styleId="ListNumber3">
    <w:name w:val="List Number 3"/>
    <w:basedOn w:val="Normal"/>
    <w:uiPriority w:val="99"/>
    <w:rsid w:val="007C7B2D"/>
    <w:pPr>
      <w:spacing w:after="200" w:line="276" w:lineRule="auto"/>
      <w:ind w:left="1107" w:hanging="369"/>
    </w:pPr>
    <w:rPr>
      <w:rFonts w:ascii="Arial" w:eastAsia="Calibri" w:hAnsi="Arial" w:cs="Times New Roman"/>
    </w:rPr>
  </w:style>
  <w:style w:type="paragraph" w:styleId="ListNumber4">
    <w:name w:val="List Number 4"/>
    <w:basedOn w:val="Normal"/>
    <w:uiPriority w:val="99"/>
    <w:rsid w:val="007C7B2D"/>
    <w:pPr>
      <w:spacing w:after="200" w:line="276" w:lineRule="auto"/>
      <w:ind w:left="1476" w:hanging="369"/>
    </w:pPr>
    <w:rPr>
      <w:rFonts w:ascii="Arial" w:eastAsia="Calibri" w:hAnsi="Arial" w:cs="Times New Roman"/>
    </w:rPr>
  </w:style>
  <w:style w:type="paragraph" w:styleId="ListNumber5">
    <w:name w:val="List Number 5"/>
    <w:basedOn w:val="Normal"/>
    <w:uiPriority w:val="99"/>
    <w:rsid w:val="007C7B2D"/>
    <w:pPr>
      <w:spacing w:after="200" w:line="276" w:lineRule="auto"/>
      <w:ind w:left="1845" w:hanging="369"/>
    </w:pPr>
    <w:rPr>
      <w:rFonts w:ascii="Arial" w:eastAsia="Calibri" w:hAnsi="Arial" w:cs="Times New Roman"/>
    </w:rPr>
  </w:style>
  <w:style w:type="paragraph" w:styleId="TOC4">
    <w:name w:val="toc 4"/>
    <w:basedOn w:val="Normal"/>
    <w:next w:val="Normal"/>
    <w:autoRedefine/>
    <w:uiPriority w:val="39"/>
    <w:unhideWhenUsed/>
    <w:rsid w:val="00265A64"/>
    <w:pPr>
      <w:spacing w:after="100"/>
      <w:ind w:left="660"/>
    </w:pPr>
    <w:rPr>
      <w:rFonts w:eastAsiaTheme="minorEastAsia"/>
      <w:lang w:eastAsia="en-AU"/>
    </w:rPr>
  </w:style>
  <w:style w:type="paragraph" w:styleId="TOC5">
    <w:name w:val="toc 5"/>
    <w:basedOn w:val="Normal"/>
    <w:next w:val="Normal"/>
    <w:autoRedefine/>
    <w:uiPriority w:val="39"/>
    <w:unhideWhenUsed/>
    <w:rsid w:val="00265A64"/>
    <w:pPr>
      <w:spacing w:after="100"/>
      <w:ind w:left="880"/>
    </w:pPr>
    <w:rPr>
      <w:rFonts w:eastAsiaTheme="minorEastAsia"/>
      <w:lang w:eastAsia="en-AU"/>
    </w:rPr>
  </w:style>
  <w:style w:type="paragraph" w:styleId="TOC6">
    <w:name w:val="toc 6"/>
    <w:basedOn w:val="Normal"/>
    <w:next w:val="Normal"/>
    <w:autoRedefine/>
    <w:uiPriority w:val="39"/>
    <w:unhideWhenUsed/>
    <w:rsid w:val="00265A64"/>
    <w:pPr>
      <w:spacing w:after="100"/>
      <w:ind w:left="1100"/>
    </w:pPr>
    <w:rPr>
      <w:rFonts w:eastAsiaTheme="minorEastAsia"/>
      <w:lang w:eastAsia="en-AU"/>
    </w:rPr>
  </w:style>
  <w:style w:type="paragraph" w:styleId="TOC7">
    <w:name w:val="toc 7"/>
    <w:basedOn w:val="Normal"/>
    <w:next w:val="Normal"/>
    <w:autoRedefine/>
    <w:uiPriority w:val="39"/>
    <w:unhideWhenUsed/>
    <w:rsid w:val="00265A64"/>
    <w:pPr>
      <w:spacing w:after="100"/>
      <w:ind w:left="1320"/>
    </w:pPr>
    <w:rPr>
      <w:rFonts w:eastAsiaTheme="minorEastAsia"/>
      <w:lang w:eastAsia="en-AU"/>
    </w:rPr>
  </w:style>
  <w:style w:type="paragraph" w:styleId="TOC8">
    <w:name w:val="toc 8"/>
    <w:basedOn w:val="Normal"/>
    <w:next w:val="Normal"/>
    <w:autoRedefine/>
    <w:uiPriority w:val="39"/>
    <w:unhideWhenUsed/>
    <w:rsid w:val="00265A64"/>
    <w:pPr>
      <w:spacing w:after="100"/>
      <w:ind w:left="1540"/>
    </w:pPr>
    <w:rPr>
      <w:rFonts w:eastAsiaTheme="minorEastAsia"/>
      <w:lang w:eastAsia="en-AU"/>
    </w:rPr>
  </w:style>
  <w:style w:type="paragraph" w:styleId="TOC9">
    <w:name w:val="toc 9"/>
    <w:basedOn w:val="Normal"/>
    <w:next w:val="Normal"/>
    <w:autoRedefine/>
    <w:uiPriority w:val="39"/>
    <w:unhideWhenUsed/>
    <w:rsid w:val="00265A64"/>
    <w:pPr>
      <w:spacing w:after="100"/>
      <w:ind w:left="1760"/>
    </w:pPr>
    <w:rPr>
      <w:rFonts w:eastAsiaTheme="minorEastAsia"/>
      <w:lang w:eastAsia="en-AU"/>
    </w:rPr>
  </w:style>
  <w:style w:type="character" w:customStyle="1" w:styleId="acopre">
    <w:name w:val="acopre"/>
    <w:basedOn w:val="DefaultParagraphFont"/>
    <w:rsid w:val="0028158F"/>
  </w:style>
  <w:style w:type="paragraph" w:customStyle="1" w:styleId="Paragraph0">
    <w:name w:val="Paragraph"/>
    <w:basedOn w:val="Normal"/>
    <w:link w:val="ParagraphChar"/>
    <w:rsid w:val="00280CFB"/>
    <w:pPr>
      <w:spacing w:before="60" w:after="180" w:line="240" w:lineRule="auto"/>
      <w:ind w:left="855"/>
    </w:pPr>
    <w:rPr>
      <w:rFonts w:ascii="Arial" w:eastAsia="Times New Roman" w:hAnsi="Arial" w:cs="Times New Roman"/>
      <w:sz w:val="20"/>
      <w:szCs w:val="20"/>
      <w:lang w:val="en-US" w:eastAsia="en-AU"/>
    </w:rPr>
  </w:style>
  <w:style w:type="character" w:customStyle="1" w:styleId="ParagraphChar">
    <w:name w:val="Paragraph Char"/>
    <w:link w:val="Paragraph0"/>
    <w:rsid w:val="00280CFB"/>
    <w:rPr>
      <w:rFonts w:ascii="Arial" w:eastAsia="Times New Roman" w:hAnsi="Arial" w:cs="Times New Roman"/>
      <w:sz w:val="20"/>
      <w:szCs w:val="20"/>
      <w:lang w:val="en-US" w:eastAsia="en-AU"/>
    </w:rPr>
  </w:style>
  <w:style w:type="paragraph" w:customStyle="1" w:styleId="ActHead5">
    <w:name w:val="ActHead 5"/>
    <w:aliases w:val="s"/>
    <w:basedOn w:val="Normal"/>
    <w:next w:val="subsection"/>
    <w:link w:val="ActHead5Char"/>
    <w:qFormat/>
    <w:rsid w:val="006E07D0"/>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6E07D0"/>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8604E2"/>
    <w:rPr>
      <w:rFonts w:ascii="Times New Roman" w:eastAsia="Times New Roman" w:hAnsi="Times New Roman" w:cs="Times New Roman"/>
      <w:szCs w:val="20"/>
      <w:lang w:eastAsia="en-AU"/>
    </w:rPr>
  </w:style>
  <w:style w:type="character" w:customStyle="1" w:styleId="CharSectno">
    <w:name w:val="CharSectno"/>
    <w:basedOn w:val="DefaultParagraphFont"/>
    <w:qFormat/>
    <w:rsid w:val="006E07D0"/>
  </w:style>
  <w:style w:type="paragraph" w:customStyle="1" w:styleId="Penalty">
    <w:name w:val="Penalty"/>
    <w:basedOn w:val="Normal"/>
    <w:rsid w:val="006E07D0"/>
    <w:pPr>
      <w:tabs>
        <w:tab w:val="left" w:pos="2977"/>
      </w:tabs>
      <w:spacing w:before="180" w:after="0" w:line="240" w:lineRule="auto"/>
      <w:ind w:left="1985" w:hanging="851"/>
    </w:pPr>
    <w:rPr>
      <w:rFonts w:ascii="Times New Roman" w:eastAsia="Times New Roman" w:hAnsi="Times New Roman" w:cs="Times New Roman"/>
      <w:szCs w:val="20"/>
      <w:lang w:eastAsia="en-AU"/>
    </w:rPr>
  </w:style>
  <w:style w:type="character" w:styleId="HTMLCite">
    <w:name w:val="HTML Cite"/>
    <w:basedOn w:val="DefaultParagraphFont"/>
    <w:uiPriority w:val="99"/>
    <w:semiHidden/>
    <w:unhideWhenUsed/>
    <w:rsid w:val="00E67EE4"/>
    <w:rPr>
      <w:i/>
      <w:iCs/>
    </w:rPr>
  </w:style>
  <w:style w:type="paragraph" w:styleId="ListBullet">
    <w:name w:val="List Bullet"/>
    <w:basedOn w:val="ListParagraph"/>
    <w:uiPriority w:val="99"/>
    <w:unhideWhenUsed/>
    <w:rsid w:val="008604E2"/>
    <w:pPr>
      <w:spacing w:before="240" w:after="240" w:line="300" w:lineRule="auto"/>
    </w:pPr>
    <w:rPr>
      <w:rFonts w:ascii="Arial" w:hAnsi="Arial"/>
    </w:rPr>
  </w:style>
  <w:style w:type="paragraph" w:styleId="ListBullet2">
    <w:name w:val="List Bullet 2"/>
    <w:basedOn w:val="Normal"/>
    <w:uiPriority w:val="99"/>
    <w:unhideWhenUsed/>
    <w:rsid w:val="008604E2"/>
    <w:pPr>
      <w:spacing w:before="120" w:after="240" w:line="300" w:lineRule="auto"/>
      <w:ind w:left="851" w:hanging="360"/>
      <w:contextualSpacing/>
    </w:pPr>
    <w:rPr>
      <w:rFonts w:ascii="Arial" w:hAnsi="Arial"/>
    </w:rPr>
  </w:style>
  <w:style w:type="character" w:customStyle="1" w:styleId="CharSubdNo">
    <w:name w:val="CharSubdNo"/>
    <w:basedOn w:val="DefaultParagraphFont"/>
    <w:uiPriority w:val="1"/>
    <w:qFormat/>
    <w:rsid w:val="008604E2"/>
  </w:style>
  <w:style w:type="character" w:customStyle="1" w:styleId="CharSubdText">
    <w:name w:val="CharSubdText"/>
    <w:basedOn w:val="DefaultParagraphFont"/>
    <w:uiPriority w:val="1"/>
    <w:qFormat/>
    <w:rsid w:val="008604E2"/>
  </w:style>
  <w:style w:type="character" w:customStyle="1" w:styleId="PlainTextChar">
    <w:name w:val="Plain Text Char"/>
    <w:basedOn w:val="DefaultParagraphFont"/>
    <w:link w:val="PlainText"/>
    <w:uiPriority w:val="99"/>
    <w:rsid w:val="008604E2"/>
    <w:rPr>
      <w:rFonts w:ascii="Calibri" w:hAnsi="Calibri" w:cs="Times New Roman"/>
    </w:rPr>
  </w:style>
  <w:style w:type="paragraph" w:styleId="PlainText">
    <w:name w:val="Plain Text"/>
    <w:basedOn w:val="Normal"/>
    <w:link w:val="PlainTextChar"/>
    <w:uiPriority w:val="99"/>
    <w:unhideWhenUsed/>
    <w:rsid w:val="008604E2"/>
    <w:pPr>
      <w:spacing w:after="0" w:line="240" w:lineRule="auto"/>
    </w:pPr>
    <w:rPr>
      <w:rFonts w:ascii="Calibri" w:hAnsi="Calibri" w:cs="Times New Roman"/>
    </w:rPr>
  </w:style>
  <w:style w:type="character" w:styleId="SubtleEmphasis">
    <w:name w:val="Subtle Emphasis"/>
    <w:basedOn w:val="DefaultParagraphFont"/>
    <w:uiPriority w:val="19"/>
    <w:qFormat/>
    <w:rsid w:val="008604E2"/>
    <w:rPr>
      <w:i/>
      <w:iCs/>
      <w:color w:val="404040" w:themeColor="text1" w:themeTint="BF"/>
    </w:rPr>
  </w:style>
  <w:style w:type="table" w:styleId="GridTable1Light-Accent6">
    <w:name w:val="Grid Table 1 Light Accent 6"/>
    <w:basedOn w:val="TableNormal"/>
    <w:uiPriority w:val="46"/>
    <w:rsid w:val="008604E2"/>
    <w:pPr>
      <w:spacing w:after="0" w:line="240" w:lineRule="auto"/>
    </w:pPr>
    <w:tblPr>
      <w:tblStyleRowBandSize w:val="1"/>
      <w:tblStyleColBandSize w:val="1"/>
      <w:tblBorders>
        <w:top w:val="single" w:sz="4" w:space="0" w:color="E9C6DE" w:themeColor="accent6" w:themeTint="66"/>
        <w:left w:val="single" w:sz="4" w:space="0" w:color="E9C6DE" w:themeColor="accent6" w:themeTint="66"/>
        <w:bottom w:val="single" w:sz="4" w:space="0" w:color="E9C6DE" w:themeColor="accent6" w:themeTint="66"/>
        <w:right w:val="single" w:sz="4" w:space="0" w:color="E9C6DE" w:themeColor="accent6" w:themeTint="66"/>
        <w:insideH w:val="single" w:sz="4" w:space="0" w:color="E9C6DE" w:themeColor="accent6" w:themeTint="66"/>
        <w:insideV w:val="single" w:sz="4" w:space="0" w:color="E9C6DE" w:themeColor="accent6" w:themeTint="66"/>
      </w:tblBorders>
    </w:tblPr>
    <w:tblStylePr w:type="firstRow">
      <w:rPr>
        <w:b/>
        <w:bCs/>
      </w:rPr>
      <w:tblPr/>
      <w:tcPr>
        <w:tcBorders>
          <w:bottom w:val="single" w:sz="12" w:space="0" w:color="DEAACE" w:themeColor="accent6" w:themeTint="99"/>
        </w:tcBorders>
      </w:tcPr>
    </w:tblStylePr>
    <w:tblStylePr w:type="lastRow">
      <w:rPr>
        <w:b/>
        <w:bCs/>
      </w:rPr>
      <w:tblPr/>
      <w:tcPr>
        <w:tcBorders>
          <w:top w:val="double" w:sz="2" w:space="0" w:color="DEAACE" w:themeColor="accent6"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E52449"/>
  </w:style>
  <w:style w:type="table" w:customStyle="1" w:styleId="GridTable5Dark-Accent51">
    <w:name w:val="Grid Table 5 Dark - Accent 51"/>
    <w:basedOn w:val="TableNormal"/>
    <w:next w:val="GridTable5Dark-Accent5"/>
    <w:uiPriority w:val="50"/>
    <w:rsid w:val="00E5244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BF7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CD9E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CD9E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CD9E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CD9E0"/>
      </w:tcPr>
    </w:tblStylePr>
    <w:tblStylePr w:type="band1Vert">
      <w:tblPr/>
      <w:tcPr>
        <w:shd w:val="clear" w:color="auto" w:fill="D7EFF2"/>
      </w:tcPr>
    </w:tblStylePr>
    <w:tblStylePr w:type="band1Horz">
      <w:tblPr/>
      <w:tcPr>
        <w:shd w:val="clear" w:color="auto" w:fill="D7EFF2"/>
      </w:tcPr>
    </w:tblStylePr>
  </w:style>
  <w:style w:type="table" w:customStyle="1" w:styleId="GridTable5Dark-Accent11">
    <w:name w:val="Grid Table 5 Dark - Accent 11"/>
    <w:basedOn w:val="TableNormal"/>
    <w:next w:val="GridTable5Dark-Accent1"/>
    <w:uiPriority w:val="50"/>
    <w:rsid w:val="00E52449"/>
    <w:pPr>
      <w:spacing w:after="0" w:line="240" w:lineRule="auto"/>
    </w:pPr>
    <w:rPr>
      <w:rFonts w:ascii="Arial" w:hAnsi="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0E9FF"/>
    </w:tcPr>
    <w:tblStylePr w:type="firstRow">
      <w:pPr>
        <w:wordWrap/>
        <w:spacing w:beforeLines="0" w:before="120" w:beforeAutospacing="0" w:afterLines="0" w:after="120" w:afterAutospacing="0"/>
        <w:jc w:val="center"/>
      </w:pPr>
      <w:rPr>
        <w:rFonts w:ascii="Arial" w:hAnsi="Arial"/>
        <w:b w:val="0"/>
        <w:bCs/>
        <w:color w:val="FFFFFF"/>
        <w:sz w:val="22"/>
      </w:rPr>
      <w:tblPr/>
      <w:tcPr>
        <w:tcBorders>
          <w:top w:val="single" w:sz="4" w:space="0" w:color="FFFFFF"/>
          <w:left w:val="single" w:sz="4" w:space="0" w:color="FFFFFF"/>
          <w:right w:val="single" w:sz="4" w:space="0" w:color="FFFFFF"/>
          <w:insideH w:val="nil"/>
          <w:insideV w:val="nil"/>
        </w:tcBorders>
        <w:shd w:val="clear" w:color="auto" w:fill="005677"/>
        <w:vAlign w:val="center"/>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5677"/>
      </w:tcPr>
    </w:tblStylePr>
    <w:tblStylePr w:type="firstCol">
      <w:pPr>
        <w:jc w:val="left"/>
      </w:pPr>
      <w:rPr>
        <w:rFonts w:ascii="Arial" w:hAnsi="Arial"/>
        <w:b w:val="0"/>
        <w:bCs/>
        <w:color w:val="FFFFFF"/>
        <w:sz w:val="22"/>
      </w:rPr>
      <w:tblPr/>
      <w:tcPr>
        <w:tcBorders>
          <w:top w:val="single" w:sz="4" w:space="0" w:color="FFFFFF"/>
          <w:left w:val="single" w:sz="4" w:space="0" w:color="FFFFFF"/>
          <w:bottom w:val="single" w:sz="4" w:space="0" w:color="FFFFFF"/>
          <w:insideV w:val="nil"/>
        </w:tcBorders>
        <w:shd w:val="clear" w:color="auto" w:fill="005677"/>
        <w:vAlign w:val="center"/>
      </w:tcPr>
    </w:tblStylePr>
    <w:tblStylePr w:type="lastCol">
      <w:pPr>
        <w:wordWrap/>
        <w:jc w:val="center"/>
      </w:pPr>
      <w:rPr>
        <w:rFonts w:ascii="Arial" w:hAnsi="Arial"/>
        <w:b w:val="0"/>
        <w:bCs/>
        <w:color w:val="FFFFFF"/>
        <w:sz w:val="22"/>
      </w:rPr>
      <w:tblPr/>
      <w:tcPr>
        <w:tcBorders>
          <w:top w:val="single" w:sz="4" w:space="0" w:color="FFFFFF"/>
          <w:bottom w:val="single" w:sz="4" w:space="0" w:color="FFFFFF"/>
          <w:right w:val="single" w:sz="4" w:space="0" w:color="FFFFFF"/>
          <w:insideV w:val="nil"/>
        </w:tcBorders>
        <w:shd w:val="clear" w:color="auto" w:fill="005677"/>
        <w:vAlign w:val="center"/>
      </w:tcPr>
    </w:tblStylePr>
    <w:tblStylePr w:type="band1Vert">
      <w:tblPr/>
      <w:tcPr>
        <w:shd w:val="clear" w:color="auto" w:fill="62D3FF"/>
      </w:tcPr>
    </w:tblStylePr>
    <w:tblStylePr w:type="band1Horz">
      <w:pPr>
        <w:jc w:val="center"/>
      </w:pPr>
      <w:tblPr/>
      <w:tcPr>
        <w:shd w:val="clear" w:color="auto" w:fill="62D3FF"/>
        <w:vAlign w:val="center"/>
      </w:tcPr>
    </w:tblStylePr>
    <w:tblStylePr w:type="band2Horz">
      <w:pPr>
        <w:jc w:val="center"/>
      </w:pPr>
      <w:tblPr/>
      <w:tcPr>
        <w:vAlign w:val="center"/>
      </w:tcPr>
    </w:tblStylePr>
  </w:style>
  <w:style w:type="paragraph" w:customStyle="1" w:styleId="notetext">
    <w:name w:val="note(text)"/>
    <w:aliases w:val="n"/>
    <w:basedOn w:val="Normal"/>
    <w:rsid w:val="00E52449"/>
    <w:pPr>
      <w:spacing w:before="122" w:after="0" w:line="240" w:lineRule="auto"/>
      <w:ind w:left="1985" w:hanging="851"/>
    </w:pPr>
    <w:rPr>
      <w:rFonts w:ascii="Times New Roman" w:eastAsia="Times New Roman" w:hAnsi="Times New Roman" w:cs="Times New Roman"/>
      <w:sz w:val="18"/>
      <w:szCs w:val="20"/>
      <w:lang w:eastAsia="en-AU"/>
    </w:rPr>
  </w:style>
  <w:style w:type="paragraph" w:customStyle="1" w:styleId="subsection2">
    <w:name w:val="subsection2"/>
    <w:aliases w:val="ss2"/>
    <w:basedOn w:val="Normal"/>
    <w:next w:val="subsection"/>
    <w:rsid w:val="00E52449"/>
    <w:pPr>
      <w:spacing w:before="40" w:after="0" w:line="240" w:lineRule="auto"/>
      <w:ind w:left="1134"/>
    </w:pPr>
    <w:rPr>
      <w:rFonts w:ascii="Times New Roman" w:eastAsia="Times New Roman" w:hAnsi="Times New Roman" w:cs="Times New Roman"/>
      <w:szCs w:val="20"/>
      <w:lang w:eastAsia="en-AU"/>
    </w:rPr>
  </w:style>
  <w:style w:type="paragraph" w:customStyle="1" w:styleId="paragraphsub">
    <w:name w:val="paragraph(sub)"/>
    <w:aliases w:val="aa"/>
    <w:basedOn w:val="Normal"/>
    <w:rsid w:val="00E52449"/>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customStyle="1" w:styleId="SubsectionHead">
    <w:name w:val="SubsectionHead"/>
    <w:aliases w:val="ssh"/>
    <w:basedOn w:val="Normal"/>
    <w:next w:val="subsection"/>
    <w:rsid w:val="00E52449"/>
    <w:pPr>
      <w:keepNext/>
      <w:keepLines/>
      <w:spacing w:before="240" w:after="0" w:line="240" w:lineRule="auto"/>
      <w:ind w:left="1134"/>
    </w:pPr>
    <w:rPr>
      <w:rFonts w:ascii="Times New Roman" w:eastAsia="Times New Roman" w:hAnsi="Times New Roman" w:cs="Times New Roman"/>
      <w:i/>
      <w:szCs w:val="20"/>
      <w:lang w:eastAsia="en-AU"/>
    </w:rPr>
  </w:style>
  <w:style w:type="paragraph" w:customStyle="1" w:styleId="ActHead4">
    <w:name w:val="ActHead 4"/>
    <w:aliases w:val="sd"/>
    <w:basedOn w:val="Normal"/>
    <w:next w:val="ActHead5"/>
    <w:rsid w:val="00E52449"/>
    <w:pPr>
      <w:keepNext/>
      <w:keepLines/>
      <w:spacing w:before="220" w:after="0" w:line="240" w:lineRule="auto"/>
      <w:ind w:left="1134" w:hanging="1134"/>
      <w:outlineLvl w:val="3"/>
    </w:pPr>
    <w:rPr>
      <w:rFonts w:ascii="Times New Roman" w:eastAsia="Times New Roman" w:hAnsi="Times New Roman" w:cs="Times New Roman"/>
      <w:b/>
      <w:kern w:val="28"/>
      <w:sz w:val="26"/>
      <w:szCs w:val="20"/>
      <w:lang w:eastAsia="en-AU"/>
    </w:rPr>
  </w:style>
  <w:style w:type="character" w:customStyle="1" w:styleId="BulletChar">
    <w:name w:val="Bullet Char"/>
    <w:basedOn w:val="DefaultParagraphFont"/>
    <w:rsid w:val="00E52449"/>
  </w:style>
  <w:style w:type="paragraph" w:customStyle="1" w:styleId="Dash">
    <w:name w:val="Dash"/>
    <w:basedOn w:val="Normal"/>
    <w:rsid w:val="00E52449"/>
    <w:pPr>
      <w:tabs>
        <w:tab w:val="num" w:pos="1040"/>
      </w:tabs>
      <w:spacing w:after="200" w:line="276" w:lineRule="auto"/>
      <w:ind w:left="1040" w:hanging="520"/>
    </w:pPr>
    <w:rPr>
      <w:rFonts w:ascii="Calibri" w:eastAsia="Calibri" w:hAnsi="Calibri" w:cs="Times New Roman"/>
    </w:rPr>
  </w:style>
  <w:style w:type="paragraph" w:customStyle="1" w:styleId="DoubleDot">
    <w:name w:val="Double Dot"/>
    <w:basedOn w:val="Normal"/>
    <w:rsid w:val="00E52449"/>
    <w:pPr>
      <w:tabs>
        <w:tab w:val="num" w:pos="1560"/>
      </w:tabs>
      <w:spacing w:after="200" w:line="276" w:lineRule="auto"/>
      <w:ind w:left="1560" w:hanging="520"/>
    </w:pPr>
    <w:rPr>
      <w:rFonts w:ascii="Calibri" w:eastAsia="Calibri" w:hAnsi="Calibri" w:cs="Times New Roman"/>
    </w:rPr>
  </w:style>
  <w:style w:type="paragraph" w:customStyle="1" w:styleId="CTA--">
    <w:name w:val="CTA --"/>
    <w:basedOn w:val="Normal"/>
    <w:next w:val="Normal"/>
    <w:rsid w:val="00E52449"/>
    <w:pPr>
      <w:spacing w:before="60" w:after="0" w:line="240" w:lineRule="atLeast"/>
      <w:ind w:left="142" w:hanging="142"/>
    </w:pPr>
    <w:rPr>
      <w:rFonts w:ascii="Times New Roman" w:eastAsia="Times New Roman" w:hAnsi="Times New Roman" w:cs="Times New Roman"/>
      <w:sz w:val="20"/>
      <w:szCs w:val="20"/>
      <w:lang w:eastAsia="en-AU"/>
    </w:rPr>
  </w:style>
  <w:style w:type="paragraph" w:customStyle="1" w:styleId="CM1">
    <w:name w:val="CM1"/>
    <w:basedOn w:val="Normal"/>
    <w:next w:val="Normal"/>
    <w:uiPriority w:val="99"/>
    <w:rsid w:val="00E5244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E52449"/>
    <w:pPr>
      <w:autoSpaceDE w:val="0"/>
      <w:autoSpaceDN w:val="0"/>
      <w:adjustRightInd w:val="0"/>
      <w:spacing w:after="0" w:line="240" w:lineRule="auto"/>
    </w:pPr>
    <w:rPr>
      <w:rFonts w:ascii="EUAlbertina" w:hAnsi="EUAlbertina"/>
      <w:sz w:val="24"/>
      <w:szCs w:val="24"/>
    </w:rPr>
  </w:style>
  <w:style w:type="paragraph" w:customStyle="1" w:styleId="CM4">
    <w:name w:val="CM4"/>
    <w:basedOn w:val="Normal"/>
    <w:next w:val="Normal"/>
    <w:uiPriority w:val="99"/>
    <w:rsid w:val="00E52449"/>
    <w:pPr>
      <w:autoSpaceDE w:val="0"/>
      <w:autoSpaceDN w:val="0"/>
      <w:adjustRightInd w:val="0"/>
      <w:spacing w:after="0" w:line="240" w:lineRule="auto"/>
    </w:pPr>
    <w:rPr>
      <w:rFonts w:ascii="EUAlbertina" w:hAnsi="EUAlbertina"/>
      <w:sz w:val="24"/>
      <w:szCs w:val="24"/>
    </w:rPr>
  </w:style>
  <w:style w:type="table" w:customStyle="1" w:styleId="GridTable5Dark-Accent21">
    <w:name w:val="Grid Table 5 Dark - Accent 21"/>
    <w:basedOn w:val="TableNormal"/>
    <w:next w:val="GridTable5Dark-Accent2"/>
    <w:uiPriority w:val="50"/>
    <w:rsid w:val="00E5244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5DF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283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283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283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283E"/>
      </w:tcPr>
    </w:tblStylePr>
    <w:tblStylePr w:type="band1Vert">
      <w:tblPr/>
      <w:tcPr>
        <w:shd w:val="clear" w:color="auto" w:fill="4BBFFF"/>
      </w:tcPr>
    </w:tblStylePr>
    <w:tblStylePr w:type="band1Horz">
      <w:tblPr/>
      <w:tcPr>
        <w:shd w:val="clear" w:color="auto" w:fill="4BBFFF"/>
      </w:tcPr>
    </w:tblStylePr>
  </w:style>
  <w:style w:type="table" w:styleId="GridTable5Dark-Accent5">
    <w:name w:val="Grid Table 5 Dark Accent 5"/>
    <w:basedOn w:val="TableNormal"/>
    <w:uiPriority w:val="50"/>
    <w:rsid w:val="00E524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7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D9E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D9E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D9E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D9E0" w:themeFill="accent5"/>
      </w:tcPr>
    </w:tblStylePr>
    <w:tblStylePr w:type="band1Vert">
      <w:tblPr/>
      <w:tcPr>
        <w:shd w:val="clear" w:color="auto" w:fill="D7EFF2" w:themeFill="accent5" w:themeFillTint="66"/>
      </w:tcPr>
    </w:tblStylePr>
    <w:tblStylePr w:type="band1Horz">
      <w:tblPr/>
      <w:tcPr>
        <w:shd w:val="clear" w:color="auto" w:fill="D7EFF2" w:themeFill="accent5" w:themeFillTint="66"/>
      </w:tcPr>
    </w:tblStylePr>
  </w:style>
  <w:style w:type="table" w:styleId="GridTable5Dark-Accent2">
    <w:name w:val="Grid Table 5 Dark Accent 2"/>
    <w:basedOn w:val="TableNormal"/>
    <w:uiPriority w:val="50"/>
    <w:rsid w:val="00E524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D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83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83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83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83E" w:themeFill="accent2"/>
      </w:tcPr>
    </w:tblStylePr>
    <w:tblStylePr w:type="band1Vert">
      <w:tblPr/>
      <w:tcPr>
        <w:shd w:val="clear" w:color="auto" w:fill="4BBFFF" w:themeFill="accent2" w:themeFillTint="66"/>
      </w:tcPr>
    </w:tblStylePr>
    <w:tblStylePr w:type="band1Horz">
      <w:tblPr/>
      <w:tcPr>
        <w:shd w:val="clear" w:color="auto" w:fill="4BBFFF" w:themeFill="accent2" w:themeFillTint="66"/>
      </w:tcPr>
    </w:tblStylePr>
  </w:style>
  <w:style w:type="character" w:customStyle="1" w:styleId="PlainTextChar1">
    <w:name w:val="Plain Text Char1"/>
    <w:basedOn w:val="DefaultParagraphFont"/>
    <w:uiPriority w:val="99"/>
    <w:semiHidden/>
    <w:rsid w:val="00332EFC"/>
    <w:rPr>
      <w:rFonts w:ascii="Consolas" w:hAnsi="Consolas"/>
      <w:sz w:val="21"/>
      <w:szCs w:val="21"/>
    </w:rPr>
  </w:style>
  <w:style w:type="paragraph" w:customStyle="1" w:styleId="Numberingnoindent">
    <w:name w:val="Numbering no indent"/>
    <w:basedOn w:val="ListParagraph"/>
    <w:qFormat/>
    <w:rsid w:val="00D54944"/>
    <w:pPr>
      <w:tabs>
        <w:tab w:val="num" w:pos="1440"/>
      </w:tabs>
      <w:ind w:left="1440" w:hanging="720"/>
      <w:contextualSpacing w:val="0"/>
    </w:pPr>
  </w:style>
  <w:style w:type="character" w:customStyle="1" w:styleId="acopre1">
    <w:name w:val="acopre1"/>
    <w:basedOn w:val="DefaultParagraphFont"/>
    <w:rsid w:val="00443578"/>
  </w:style>
  <w:style w:type="character" w:customStyle="1" w:styleId="ActHead5Char">
    <w:name w:val="ActHead 5 Char"/>
    <w:aliases w:val="s Char"/>
    <w:link w:val="ActHead5"/>
    <w:rsid w:val="00007D3F"/>
    <w:rPr>
      <w:rFonts w:ascii="Times New Roman" w:eastAsia="Times New Roman" w:hAnsi="Times New Roman" w:cs="Times New Roman"/>
      <w:b/>
      <w:kern w:val="28"/>
      <w:sz w:val="24"/>
      <w:szCs w:val="20"/>
      <w:lang w:eastAsia="en-AU"/>
    </w:rPr>
  </w:style>
  <w:style w:type="table" w:customStyle="1" w:styleId="Style1">
    <w:name w:val="Style1"/>
    <w:basedOn w:val="TableNormal"/>
    <w:uiPriority w:val="99"/>
    <w:rsid w:val="00C60FFD"/>
    <w:pPr>
      <w:spacing w:after="0" w:line="240" w:lineRule="auto"/>
    </w:pPr>
    <w:rPr>
      <w:rFonts w:ascii="Arial" w:hAnsi="Arial"/>
      <w:color w:val="000000" w:themeColor="text1"/>
      <w:sz w:val="20"/>
    </w:rPr>
    <w:tblPr>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Arial" w:hAnsi="Arial"/>
        <w:b/>
        <w:color w:val="FFFFFF" w:themeColor="background1"/>
        <w:sz w:val="20"/>
      </w:rPr>
      <w:tblPr/>
      <w:tcPr>
        <w:shd w:val="clear" w:color="auto" w:fill="939598" w:themeFill="accent1"/>
      </w:tcPr>
    </w:tblStylePr>
    <w:tblStylePr w:type="lastRow">
      <w:pPr>
        <w:jc w:val="left"/>
      </w:pPr>
      <w:rPr>
        <w:rFonts w:ascii="Arial" w:hAnsi="Arial"/>
        <w:b/>
      </w:rPr>
    </w:tblStylePr>
    <w:tblStylePr w:type="firstCol">
      <w:rPr>
        <w:b/>
      </w:rPr>
    </w:tblStylePr>
  </w:style>
  <w:style w:type="paragraph" w:customStyle="1" w:styleId="Credit">
    <w:name w:val="Credit"/>
    <w:basedOn w:val="Caption"/>
    <w:qFormat/>
    <w:rsid w:val="00C60FFD"/>
    <w:pPr>
      <w:spacing w:after="360"/>
    </w:pPr>
    <w:rPr>
      <w:bCs/>
      <w:i w:val="0"/>
      <w:iCs w:val="0"/>
      <w:sz w:val="18"/>
    </w:rPr>
  </w:style>
  <w:style w:type="paragraph" w:customStyle="1" w:styleId="Appendix">
    <w:name w:val="Appendix"/>
    <w:basedOn w:val="Heading1"/>
    <w:qFormat/>
    <w:rsid w:val="00382B83"/>
    <w:pPr>
      <w:numPr>
        <w:numId w:val="132"/>
      </w:numPr>
    </w:pPr>
  </w:style>
  <w:style w:type="paragraph" w:customStyle="1" w:styleId="numbering">
    <w:name w:val="numbering"/>
    <w:basedOn w:val="ListParagraph"/>
    <w:qFormat/>
    <w:rsid w:val="00F92097"/>
    <w:pPr>
      <w:numPr>
        <w:numId w:val="107"/>
      </w:numPr>
    </w:pPr>
  </w:style>
  <w:style w:type="paragraph" w:customStyle="1" w:styleId="Authoranddate">
    <w:name w:val="Author and date"/>
    <w:basedOn w:val="Subtitle"/>
    <w:link w:val="AuthoranddateChar"/>
    <w:qFormat/>
    <w:rsid w:val="00124554"/>
    <w:rPr>
      <w:sz w:val="40"/>
      <w:szCs w:val="40"/>
    </w:rPr>
  </w:style>
  <w:style w:type="character" w:customStyle="1" w:styleId="AuthoranddateChar">
    <w:name w:val="Author and date Char"/>
    <w:basedOn w:val="SubtitleChar"/>
    <w:link w:val="Authoranddate"/>
    <w:rsid w:val="00124554"/>
    <w:rPr>
      <w:rFonts w:eastAsiaTheme="minorEastAsia"/>
      <w:color w:val="58595B" w:themeColor="background2"/>
      <w:sz w:val="40"/>
      <w:szCs w:val="40"/>
    </w:rPr>
  </w:style>
  <w:style w:type="table" w:customStyle="1" w:styleId="TableGrid1">
    <w:name w:val="Table Grid1"/>
    <w:basedOn w:val="TableNormal"/>
    <w:next w:val="TableGrid"/>
    <w:uiPriority w:val="39"/>
    <w:rsid w:val="00A25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
    <w:uiPriority w:val="42"/>
    <w:rsid w:val="00B23C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3">
    <w:name w:val="Plain Table 23"/>
    <w:basedOn w:val="TableNormal"/>
    <w:next w:val="PlainTable2"/>
    <w:uiPriority w:val="42"/>
    <w:rsid w:val="001837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6">
    <w:name w:val="Grid Table 4 Accent 6"/>
    <w:basedOn w:val="TableNormal"/>
    <w:uiPriority w:val="49"/>
    <w:rsid w:val="00984E65"/>
    <w:pPr>
      <w:spacing w:after="0" w:line="240" w:lineRule="auto"/>
    </w:pPr>
    <w:tblPr>
      <w:tblStyleRowBandSize w:val="1"/>
      <w:tblStyleColBandSize w:val="1"/>
      <w:tblBorders>
        <w:top w:val="single" w:sz="4" w:space="0" w:color="DEAACE" w:themeColor="accent6" w:themeTint="99"/>
        <w:left w:val="single" w:sz="4" w:space="0" w:color="DEAACE" w:themeColor="accent6" w:themeTint="99"/>
        <w:bottom w:val="single" w:sz="4" w:space="0" w:color="DEAACE" w:themeColor="accent6" w:themeTint="99"/>
        <w:right w:val="single" w:sz="4" w:space="0" w:color="DEAACE" w:themeColor="accent6" w:themeTint="99"/>
        <w:insideH w:val="single" w:sz="4" w:space="0" w:color="DEAACE" w:themeColor="accent6" w:themeTint="99"/>
        <w:insideV w:val="single" w:sz="4" w:space="0" w:color="DEAACE" w:themeColor="accent6" w:themeTint="99"/>
      </w:tblBorders>
    </w:tblPr>
    <w:tblStylePr w:type="firstRow">
      <w:rPr>
        <w:b/>
        <w:bCs/>
        <w:color w:val="FFFFFF" w:themeColor="background1"/>
      </w:rPr>
      <w:tblPr/>
      <w:tcPr>
        <w:tcBorders>
          <w:top w:val="single" w:sz="4" w:space="0" w:color="C973AF" w:themeColor="accent6"/>
          <w:left w:val="single" w:sz="4" w:space="0" w:color="C973AF" w:themeColor="accent6"/>
          <w:bottom w:val="single" w:sz="4" w:space="0" w:color="C973AF" w:themeColor="accent6"/>
          <w:right w:val="single" w:sz="4" w:space="0" w:color="C973AF" w:themeColor="accent6"/>
          <w:insideH w:val="nil"/>
          <w:insideV w:val="nil"/>
        </w:tcBorders>
        <w:shd w:val="clear" w:color="auto" w:fill="C973AF" w:themeFill="accent6"/>
      </w:tcPr>
    </w:tblStylePr>
    <w:tblStylePr w:type="lastRow">
      <w:rPr>
        <w:b/>
        <w:bCs/>
      </w:rPr>
      <w:tblPr/>
      <w:tcPr>
        <w:tcBorders>
          <w:top w:val="double" w:sz="4" w:space="0" w:color="C973AF" w:themeColor="accent6"/>
        </w:tcBorders>
      </w:tcPr>
    </w:tblStylePr>
    <w:tblStylePr w:type="firstCol">
      <w:rPr>
        <w:b/>
        <w:bCs/>
      </w:rPr>
    </w:tblStylePr>
    <w:tblStylePr w:type="lastCol">
      <w:rPr>
        <w:b/>
        <w:bCs/>
      </w:rPr>
    </w:tblStylePr>
    <w:tblStylePr w:type="band1Vert">
      <w:tblPr/>
      <w:tcPr>
        <w:shd w:val="clear" w:color="auto" w:fill="F4E2EE" w:themeFill="accent6" w:themeFillTint="33"/>
      </w:tcPr>
    </w:tblStylePr>
    <w:tblStylePr w:type="band1Horz">
      <w:tblPr/>
      <w:tcPr>
        <w:shd w:val="clear" w:color="auto" w:fill="F4E2EE" w:themeFill="accent6" w:themeFillTint="33"/>
      </w:tcPr>
    </w:tblStylePr>
  </w:style>
  <w:style w:type="paragraph" w:customStyle="1" w:styleId="MinBriefStyle">
    <w:name w:val="Min Brief Style"/>
    <w:basedOn w:val="ListNumber"/>
    <w:link w:val="MinBriefStyleChar"/>
    <w:qFormat/>
    <w:rsid w:val="002964B0"/>
    <w:pPr>
      <w:spacing w:after="120" w:line="240" w:lineRule="auto"/>
      <w:ind w:left="0" w:firstLine="0"/>
    </w:pPr>
    <w:rPr>
      <w:rFonts w:ascii="Times New Roman" w:hAnsi="Times New Roman"/>
      <w:color w:val="FF0000"/>
      <w:sz w:val="24"/>
      <w:szCs w:val="24"/>
    </w:rPr>
  </w:style>
  <w:style w:type="character" w:customStyle="1" w:styleId="MinBriefStyleChar">
    <w:name w:val="Min Brief Style Char"/>
    <w:basedOn w:val="DefaultParagraphFont"/>
    <w:link w:val="MinBriefStyle"/>
    <w:rsid w:val="002964B0"/>
    <w:rPr>
      <w:rFonts w:ascii="Times New Roman" w:eastAsia="Calibri" w:hAnsi="Times New Roman" w:cs="Times New Roman"/>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8999">
      <w:bodyDiv w:val="1"/>
      <w:marLeft w:val="0"/>
      <w:marRight w:val="0"/>
      <w:marTop w:val="0"/>
      <w:marBottom w:val="0"/>
      <w:divBdr>
        <w:top w:val="none" w:sz="0" w:space="0" w:color="auto"/>
        <w:left w:val="none" w:sz="0" w:space="0" w:color="auto"/>
        <w:bottom w:val="none" w:sz="0" w:space="0" w:color="auto"/>
        <w:right w:val="none" w:sz="0" w:space="0" w:color="auto"/>
      </w:divBdr>
    </w:div>
    <w:div w:id="42218807">
      <w:bodyDiv w:val="1"/>
      <w:marLeft w:val="0"/>
      <w:marRight w:val="0"/>
      <w:marTop w:val="0"/>
      <w:marBottom w:val="0"/>
      <w:divBdr>
        <w:top w:val="none" w:sz="0" w:space="0" w:color="auto"/>
        <w:left w:val="none" w:sz="0" w:space="0" w:color="auto"/>
        <w:bottom w:val="none" w:sz="0" w:space="0" w:color="auto"/>
        <w:right w:val="none" w:sz="0" w:space="0" w:color="auto"/>
      </w:divBdr>
    </w:div>
    <w:div w:id="65231300">
      <w:bodyDiv w:val="1"/>
      <w:marLeft w:val="0"/>
      <w:marRight w:val="0"/>
      <w:marTop w:val="0"/>
      <w:marBottom w:val="0"/>
      <w:divBdr>
        <w:top w:val="none" w:sz="0" w:space="0" w:color="auto"/>
        <w:left w:val="none" w:sz="0" w:space="0" w:color="auto"/>
        <w:bottom w:val="none" w:sz="0" w:space="0" w:color="auto"/>
        <w:right w:val="none" w:sz="0" w:space="0" w:color="auto"/>
      </w:divBdr>
    </w:div>
    <w:div w:id="80222803">
      <w:bodyDiv w:val="1"/>
      <w:marLeft w:val="0"/>
      <w:marRight w:val="0"/>
      <w:marTop w:val="0"/>
      <w:marBottom w:val="0"/>
      <w:divBdr>
        <w:top w:val="none" w:sz="0" w:space="0" w:color="auto"/>
        <w:left w:val="none" w:sz="0" w:space="0" w:color="auto"/>
        <w:bottom w:val="none" w:sz="0" w:space="0" w:color="auto"/>
        <w:right w:val="none" w:sz="0" w:space="0" w:color="auto"/>
      </w:divBdr>
    </w:div>
    <w:div w:id="87390601">
      <w:bodyDiv w:val="1"/>
      <w:marLeft w:val="0"/>
      <w:marRight w:val="0"/>
      <w:marTop w:val="0"/>
      <w:marBottom w:val="0"/>
      <w:divBdr>
        <w:top w:val="none" w:sz="0" w:space="0" w:color="auto"/>
        <w:left w:val="none" w:sz="0" w:space="0" w:color="auto"/>
        <w:bottom w:val="none" w:sz="0" w:space="0" w:color="auto"/>
        <w:right w:val="none" w:sz="0" w:space="0" w:color="auto"/>
      </w:divBdr>
    </w:div>
    <w:div w:id="139537954">
      <w:bodyDiv w:val="1"/>
      <w:marLeft w:val="0"/>
      <w:marRight w:val="0"/>
      <w:marTop w:val="0"/>
      <w:marBottom w:val="0"/>
      <w:divBdr>
        <w:top w:val="none" w:sz="0" w:space="0" w:color="auto"/>
        <w:left w:val="none" w:sz="0" w:space="0" w:color="auto"/>
        <w:bottom w:val="none" w:sz="0" w:space="0" w:color="auto"/>
        <w:right w:val="none" w:sz="0" w:space="0" w:color="auto"/>
      </w:divBdr>
    </w:div>
    <w:div w:id="139612108">
      <w:bodyDiv w:val="1"/>
      <w:marLeft w:val="0"/>
      <w:marRight w:val="0"/>
      <w:marTop w:val="0"/>
      <w:marBottom w:val="0"/>
      <w:divBdr>
        <w:top w:val="none" w:sz="0" w:space="0" w:color="auto"/>
        <w:left w:val="none" w:sz="0" w:space="0" w:color="auto"/>
        <w:bottom w:val="none" w:sz="0" w:space="0" w:color="auto"/>
        <w:right w:val="none" w:sz="0" w:space="0" w:color="auto"/>
      </w:divBdr>
    </w:div>
    <w:div w:id="165172964">
      <w:bodyDiv w:val="1"/>
      <w:marLeft w:val="0"/>
      <w:marRight w:val="0"/>
      <w:marTop w:val="0"/>
      <w:marBottom w:val="0"/>
      <w:divBdr>
        <w:top w:val="none" w:sz="0" w:space="0" w:color="auto"/>
        <w:left w:val="none" w:sz="0" w:space="0" w:color="auto"/>
        <w:bottom w:val="none" w:sz="0" w:space="0" w:color="auto"/>
        <w:right w:val="none" w:sz="0" w:space="0" w:color="auto"/>
      </w:divBdr>
    </w:div>
    <w:div w:id="168639149">
      <w:bodyDiv w:val="1"/>
      <w:marLeft w:val="0"/>
      <w:marRight w:val="0"/>
      <w:marTop w:val="0"/>
      <w:marBottom w:val="0"/>
      <w:divBdr>
        <w:top w:val="none" w:sz="0" w:space="0" w:color="auto"/>
        <w:left w:val="none" w:sz="0" w:space="0" w:color="auto"/>
        <w:bottom w:val="none" w:sz="0" w:space="0" w:color="auto"/>
        <w:right w:val="none" w:sz="0" w:space="0" w:color="auto"/>
      </w:divBdr>
    </w:div>
    <w:div w:id="182325286">
      <w:bodyDiv w:val="1"/>
      <w:marLeft w:val="0"/>
      <w:marRight w:val="0"/>
      <w:marTop w:val="0"/>
      <w:marBottom w:val="0"/>
      <w:divBdr>
        <w:top w:val="none" w:sz="0" w:space="0" w:color="auto"/>
        <w:left w:val="none" w:sz="0" w:space="0" w:color="auto"/>
        <w:bottom w:val="none" w:sz="0" w:space="0" w:color="auto"/>
        <w:right w:val="none" w:sz="0" w:space="0" w:color="auto"/>
      </w:divBdr>
    </w:div>
    <w:div w:id="182474969">
      <w:bodyDiv w:val="1"/>
      <w:marLeft w:val="0"/>
      <w:marRight w:val="0"/>
      <w:marTop w:val="0"/>
      <w:marBottom w:val="0"/>
      <w:divBdr>
        <w:top w:val="none" w:sz="0" w:space="0" w:color="auto"/>
        <w:left w:val="none" w:sz="0" w:space="0" w:color="auto"/>
        <w:bottom w:val="none" w:sz="0" w:space="0" w:color="auto"/>
        <w:right w:val="none" w:sz="0" w:space="0" w:color="auto"/>
      </w:divBdr>
    </w:div>
    <w:div w:id="195430952">
      <w:bodyDiv w:val="1"/>
      <w:marLeft w:val="0"/>
      <w:marRight w:val="0"/>
      <w:marTop w:val="0"/>
      <w:marBottom w:val="0"/>
      <w:divBdr>
        <w:top w:val="none" w:sz="0" w:space="0" w:color="auto"/>
        <w:left w:val="none" w:sz="0" w:space="0" w:color="auto"/>
        <w:bottom w:val="none" w:sz="0" w:space="0" w:color="auto"/>
        <w:right w:val="none" w:sz="0" w:space="0" w:color="auto"/>
      </w:divBdr>
    </w:div>
    <w:div w:id="201328903">
      <w:bodyDiv w:val="1"/>
      <w:marLeft w:val="0"/>
      <w:marRight w:val="0"/>
      <w:marTop w:val="0"/>
      <w:marBottom w:val="0"/>
      <w:divBdr>
        <w:top w:val="none" w:sz="0" w:space="0" w:color="auto"/>
        <w:left w:val="none" w:sz="0" w:space="0" w:color="auto"/>
        <w:bottom w:val="none" w:sz="0" w:space="0" w:color="auto"/>
        <w:right w:val="none" w:sz="0" w:space="0" w:color="auto"/>
      </w:divBdr>
    </w:div>
    <w:div w:id="217716362">
      <w:bodyDiv w:val="1"/>
      <w:marLeft w:val="0"/>
      <w:marRight w:val="0"/>
      <w:marTop w:val="0"/>
      <w:marBottom w:val="0"/>
      <w:divBdr>
        <w:top w:val="none" w:sz="0" w:space="0" w:color="auto"/>
        <w:left w:val="none" w:sz="0" w:space="0" w:color="auto"/>
        <w:bottom w:val="none" w:sz="0" w:space="0" w:color="auto"/>
        <w:right w:val="none" w:sz="0" w:space="0" w:color="auto"/>
      </w:divBdr>
    </w:div>
    <w:div w:id="219095009">
      <w:bodyDiv w:val="1"/>
      <w:marLeft w:val="0"/>
      <w:marRight w:val="0"/>
      <w:marTop w:val="0"/>
      <w:marBottom w:val="0"/>
      <w:divBdr>
        <w:top w:val="none" w:sz="0" w:space="0" w:color="auto"/>
        <w:left w:val="none" w:sz="0" w:space="0" w:color="auto"/>
        <w:bottom w:val="none" w:sz="0" w:space="0" w:color="auto"/>
        <w:right w:val="none" w:sz="0" w:space="0" w:color="auto"/>
      </w:divBdr>
    </w:div>
    <w:div w:id="248580529">
      <w:bodyDiv w:val="1"/>
      <w:marLeft w:val="0"/>
      <w:marRight w:val="0"/>
      <w:marTop w:val="0"/>
      <w:marBottom w:val="0"/>
      <w:divBdr>
        <w:top w:val="none" w:sz="0" w:space="0" w:color="auto"/>
        <w:left w:val="none" w:sz="0" w:space="0" w:color="auto"/>
        <w:bottom w:val="none" w:sz="0" w:space="0" w:color="auto"/>
        <w:right w:val="none" w:sz="0" w:space="0" w:color="auto"/>
      </w:divBdr>
    </w:div>
    <w:div w:id="255215750">
      <w:bodyDiv w:val="1"/>
      <w:marLeft w:val="0"/>
      <w:marRight w:val="0"/>
      <w:marTop w:val="0"/>
      <w:marBottom w:val="0"/>
      <w:divBdr>
        <w:top w:val="none" w:sz="0" w:space="0" w:color="auto"/>
        <w:left w:val="none" w:sz="0" w:space="0" w:color="auto"/>
        <w:bottom w:val="none" w:sz="0" w:space="0" w:color="auto"/>
        <w:right w:val="none" w:sz="0" w:space="0" w:color="auto"/>
      </w:divBdr>
    </w:div>
    <w:div w:id="269048829">
      <w:bodyDiv w:val="1"/>
      <w:marLeft w:val="0"/>
      <w:marRight w:val="0"/>
      <w:marTop w:val="0"/>
      <w:marBottom w:val="0"/>
      <w:divBdr>
        <w:top w:val="none" w:sz="0" w:space="0" w:color="auto"/>
        <w:left w:val="none" w:sz="0" w:space="0" w:color="auto"/>
        <w:bottom w:val="none" w:sz="0" w:space="0" w:color="auto"/>
        <w:right w:val="none" w:sz="0" w:space="0" w:color="auto"/>
      </w:divBdr>
    </w:div>
    <w:div w:id="281618379">
      <w:bodyDiv w:val="1"/>
      <w:marLeft w:val="0"/>
      <w:marRight w:val="0"/>
      <w:marTop w:val="0"/>
      <w:marBottom w:val="0"/>
      <w:divBdr>
        <w:top w:val="none" w:sz="0" w:space="0" w:color="auto"/>
        <w:left w:val="none" w:sz="0" w:space="0" w:color="auto"/>
        <w:bottom w:val="none" w:sz="0" w:space="0" w:color="auto"/>
        <w:right w:val="none" w:sz="0" w:space="0" w:color="auto"/>
      </w:divBdr>
    </w:div>
    <w:div w:id="302197548">
      <w:bodyDiv w:val="1"/>
      <w:marLeft w:val="0"/>
      <w:marRight w:val="0"/>
      <w:marTop w:val="0"/>
      <w:marBottom w:val="0"/>
      <w:divBdr>
        <w:top w:val="none" w:sz="0" w:space="0" w:color="auto"/>
        <w:left w:val="none" w:sz="0" w:space="0" w:color="auto"/>
        <w:bottom w:val="none" w:sz="0" w:space="0" w:color="auto"/>
        <w:right w:val="none" w:sz="0" w:space="0" w:color="auto"/>
      </w:divBdr>
    </w:div>
    <w:div w:id="306937666">
      <w:bodyDiv w:val="1"/>
      <w:marLeft w:val="0"/>
      <w:marRight w:val="0"/>
      <w:marTop w:val="0"/>
      <w:marBottom w:val="0"/>
      <w:divBdr>
        <w:top w:val="none" w:sz="0" w:space="0" w:color="auto"/>
        <w:left w:val="none" w:sz="0" w:space="0" w:color="auto"/>
        <w:bottom w:val="none" w:sz="0" w:space="0" w:color="auto"/>
        <w:right w:val="none" w:sz="0" w:space="0" w:color="auto"/>
      </w:divBdr>
    </w:div>
    <w:div w:id="318189867">
      <w:bodyDiv w:val="1"/>
      <w:marLeft w:val="0"/>
      <w:marRight w:val="0"/>
      <w:marTop w:val="0"/>
      <w:marBottom w:val="0"/>
      <w:divBdr>
        <w:top w:val="none" w:sz="0" w:space="0" w:color="auto"/>
        <w:left w:val="none" w:sz="0" w:space="0" w:color="auto"/>
        <w:bottom w:val="none" w:sz="0" w:space="0" w:color="auto"/>
        <w:right w:val="none" w:sz="0" w:space="0" w:color="auto"/>
      </w:divBdr>
    </w:div>
    <w:div w:id="324825054">
      <w:bodyDiv w:val="1"/>
      <w:marLeft w:val="0"/>
      <w:marRight w:val="0"/>
      <w:marTop w:val="0"/>
      <w:marBottom w:val="0"/>
      <w:divBdr>
        <w:top w:val="none" w:sz="0" w:space="0" w:color="auto"/>
        <w:left w:val="none" w:sz="0" w:space="0" w:color="auto"/>
        <w:bottom w:val="none" w:sz="0" w:space="0" w:color="auto"/>
        <w:right w:val="none" w:sz="0" w:space="0" w:color="auto"/>
      </w:divBdr>
    </w:div>
    <w:div w:id="338510201">
      <w:bodyDiv w:val="1"/>
      <w:marLeft w:val="0"/>
      <w:marRight w:val="0"/>
      <w:marTop w:val="0"/>
      <w:marBottom w:val="0"/>
      <w:divBdr>
        <w:top w:val="none" w:sz="0" w:space="0" w:color="auto"/>
        <w:left w:val="none" w:sz="0" w:space="0" w:color="auto"/>
        <w:bottom w:val="none" w:sz="0" w:space="0" w:color="auto"/>
        <w:right w:val="none" w:sz="0" w:space="0" w:color="auto"/>
      </w:divBdr>
    </w:div>
    <w:div w:id="349113804">
      <w:bodyDiv w:val="1"/>
      <w:marLeft w:val="0"/>
      <w:marRight w:val="0"/>
      <w:marTop w:val="0"/>
      <w:marBottom w:val="0"/>
      <w:divBdr>
        <w:top w:val="none" w:sz="0" w:space="0" w:color="auto"/>
        <w:left w:val="none" w:sz="0" w:space="0" w:color="auto"/>
        <w:bottom w:val="none" w:sz="0" w:space="0" w:color="auto"/>
        <w:right w:val="none" w:sz="0" w:space="0" w:color="auto"/>
      </w:divBdr>
    </w:div>
    <w:div w:id="364911838">
      <w:bodyDiv w:val="1"/>
      <w:marLeft w:val="0"/>
      <w:marRight w:val="0"/>
      <w:marTop w:val="0"/>
      <w:marBottom w:val="0"/>
      <w:divBdr>
        <w:top w:val="none" w:sz="0" w:space="0" w:color="auto"/>
        <w:left w:val="none" w:sz="0" w:space="0" w:color="auto"/>
        <w:bottom w:val="none" w:sz="0" w:space="0" w:color="auto"/>
        <w:right w:val="none" w:sz="0" w:space="0" w:color="auto"/>
      </w:divBdr>
    </w:div>
    <w:div w:id="380132157">
      <w:bodyDiv w:val="1"/>
      <w:marLeft w:val="0"/>
      <w:marRight w:val="0"/>
      <w:marTop w:val="0"/>
      <w:marBottom w:val="0"/>
      <w:divBdr>
        <w:top w:val="none" w:sz="0" w:space="0" w:color="auto"/>
        <w:left w:val="none" w:sz="0" w:space="0" w:color="auto"/>
        <w:bottom w:val="none" w:sz="0" w:space="0" w:color="auto"/>
        <w:right w:val="none" w:sz="0" w:space="0" w:color="auto"/>
      </w:divBdr>
    </w:div>
    <w:div w:id="404492297">
      <w:bodyDiv w:val="1"/>
      <w:marLeft w:val="0"/>
      <w:marRight w:val="0"/>
      <w:marTop w:val="0"/>
      <w:marBottom w:val="0"/>
      <w:divBdr>
        <w:top w:val="none" w:sz="0" w:space="0" w:color="auto"/>
        <w:left w:val="none" w:sz="0" w:space="0" w:color="auto"/>
        <w:bottom w:val="none" w:sz="0" w:space="0" w:color="auto"/>
        <w:right w:val="none" w:sz="0" w:space="0" w:color="auto"/>
      </w:divBdr>
    </w:div>
    <w:div w:id="420029917">
      <w:bodyDiv w:val="1"/>
      <w:marLeft w:val="0"/>
      <w:marRight w:val="0"/>
      <w:marTop w:val="0"/>
      <w:marBottom w:val="0"/>
      <w:divBdr>
        <w:top w:val="none" w:sz="0" w:space="0" w:color="auto"/>
        <w:left w:val="none" w:sz="0" w:space="0" w:color="auto"/>
        <w:bottom w:val="none" w:sz="0" w:space="0" w:color="auto"/>
        <w:right w:val="none" w:sz="0" w:space="0" w:color="auto"/>
      </w:divBdr>
    </w:div>
    <w:div w:id="427193574">
      <w:bodyDiv w:val="1"/>
      <w:marLeft w:val="0"/>
      <w:marRight w:val="0"/>
      <w:marTop w:val="0"/>
      <w:marBottom w:val="0"/>
      <w:divBdr>
        <w:top w:val="none" w:sz="0" w:space="0" w:color="auto"/>
        <w:left w:val="none" w:sz="0" w:space="0" w:color="auto"/>
        <w:bottom w:val="none" w:sz="0" w:space="0" w:color="auto"/>
        <w:right w:val="none" w:sz="0" w:space="0" w:color="auto"/>
      </w:divBdr>
    </w:div>
    <w:div w:id="430785649">
      <w:bodyDiv w:val="1"/>
      <w:marLeft w:val="0"/>
      <w:marRight w:val="0"/>
      <w:marTop w:val="0"/>
      <w:marBottom w:val="0"/>
      <w:divBdr>
        <w:top w:val="none" w:sz="0" w:space="0" w:color="auto"/>
        <w:left w:val="none" w:sz="0" w:space="0" w:color="auto"/>
        <w:bottom w:val="none" w:sz="0" w:space="0" w:color="auto"/>
        <w:right w:val="none" w:sz="0" w:space="0" w:color="auto"/>
      </w:divBdr>
    </w:div>
    <w:div w:id="485778569">
      <w:bodyDiv w:val="1"/>
      <w:marLeft w:val="0"/>
      <w:marRight w:val="0"/>
      <w:marTop w:val="0"/>
      <w:marBottom w:val="0"/>
      <w:divBdr>
        <w:top w:val="none" w:sz="0" w:space="0" w:color="auto"/>
        <w:left w:val="none" w:sz="0" w:space="0" w:color="auto"/>
        <w:bottom w:val="none" w:sz="0" w:space="0" w:color="auto"/>
        <w:right w:val="none" w:sz="0" w:space="0" w:color="auto"/>
      </w:divBdr>
    </w:div>
    <w:div w:id="510028044">
      <w:bodyDiv w:val="1"/>
      <w:marLeft w:val="0"/>
      <w:marRight w:val="0"/>
      <w:marTop w:val="0"/>
      <w:marBottom w:val="0"/>
      <w:divBdr>
        <w:top w:val="none" w:sz="0" w:space="0" w:color="auto"/>
        <w:left w:val="none" w:sz="0" w:space="0" w:color="auto"/>
        <w:bottom w:val="none" w:sz="0" w:space="0" w:color="auto"/>
        <w:right w:val="none" w:sz="0" w:space="0" w:color="auto"/>
      </w:divBdr>
    </w:div>
    <w:div w:id="534469463">
      <w:bodyDiv w:val="1"/>
      <w:marLeft w:val="0"/>
      <w:marRight w:val="0"/>
      <w:marTop w:val="0"/>
      <w:marBottom w:val="0"/>
      <w:divBdr>
        <w:top w:val="none" w:sz="0" w:space="0" w:color="auto"/>
        <w:left w:val="none" w:sz="0" w:space="0" w:color="auto"/>
        <w:bottom w:val="none" w:sz="0" w:space="0" w:color="auto"/>
        <w:right w:val="none" w:sz="0" w:space="0" w:color="auto"/>
      </w:divBdr>
    </w:div>
    <w:div w:id="539979045">
      <w:bodyDiv w:val="1"/>
      <w:marLeft w:val="0"/>
      <w:marRight w:val="0"/>
      <w:marTop w:val="0"/>
      <w:marBottom w:val="0"/>
      <w:divBdr>
        <w:top w:val="none" w:sz="0" w:space="0" w:color="auto"/>
        <w:left w:val="none" w:sz="0" w:space="0" w:color="auto"/>
        <w:bottom w:val="none" w:sz="0" w:space="0" w:color="auto"/>
        <w:right w:val="none" w:sz="0" w:space="0" w:color="auto"/>
      </w:divBdr>
    </w:div>
    <w:div w:id="542252002">
      <w:bodyDiv w:val="1"/>
      <w:marLeft w:val="0"/>
      <w:marRight w:val="0"/>
      <w:marTop w:val="0"/>
      <w:marBottom w:val="0"/>
      <w:divBdr>
        <w:top w:val="none" w:sz="0" w:space="0" w:color="auto"/>
        <w:left w:val="none" w:sz="0" w:space="0" w:color="auto"/>
        <w:bottom w:val="none" w:sz="0" w:space="0" w:color="auto"/>
        <w:right w:val="none" w:sz="0" w:space="0" w:color="auto"/>
      </w:divBdr>
    </w:div>
    <w:div w:id="567809357">
      <w:bodyDiv w:val="1"/>
      <w:marLeft w:val="0"/>
      <w:marRight w:val="0"/>
      <w:marTop w:val="0"/>
      <w:marBottom w:val="0"/>
      <w:divBdr>
        <w:top w:val="none" w:sz="0" w:space="0" w:color="auto"/>
        <w:left w:val="none" w:sz="0" w:space="0" w:color="auto"/>
        <w:bottom w:val="none" w:sz="0" w:space="0" w:color="auto"/>
        <w:right w:val="none" w:sz="0" w:space="0" w:color="auto"/>
      </w:divBdr>
    </w:div>
    <w:div w:id="618797416">
      <w:bodyDiv w:val="1"/>
      <w:marLeft w:val="0"/>
      <w:marRight w:val="0"/>
      <w:marTop w:val="0"/>
      <w:marBottom w:val="0"/>
      <w:divBdr>
        <w:top w:val="none" w:sz="0" w:space="0" w:color="auto"/>
        <w:left w:val="none" w:sz="0" w:space="0" w:color="auto"/>
        <w:bottom w:val="none" w:sz="0" w:space="0" w:color="auto"/>
        <w:right w:val="none" w:sz="0" w:space="0" w:color="auto"/>
      </w:divBdr>
    </w:div>
    <w:div w:id="640037871">
      <w:bodyDiv w:val="1"/>
      <w:marLeft w:val="0"/>
      <w:marRight w:val="0"/>
      <w:marTop w:val="0"/>
      <w:marBottom w:val="0"/>
      <w:divBdr>
        <w:top w:val="none" w:sz="0" w:space="0" w:color="auto"/>
        <w:left w:val="none" w:sz="0" w:space="0" w:color="auto"/>
        <w:bottom w:val="none" w:sz="0" w:space="0" w:color="auto"/>
        <w:right w:val="none" w:sz="0" w:space="0" w:color="auto"/>
      </w:divBdr>
    </w:div>
    <w:div w:id="658271898">
      <w:bodyDiv w:val="1"/>
      <w:marLeft w:val="0"/>
      <w:marRight w:val="0"/>
      <w:marTop w:val="0"/>
      <w:marBottom w:val="0"/>
      <w:divBdr>
        <w:top w:val="none" w:sz="0" w:space="0" w:color="auto"/>
        <w:left w:val="none" w:sz="0" w:space="0" w:color="auto"/>
        <w:bottom w:val="none" w:sz="0" w:space="0" w:color="auto"/>
        <w:right w:val="none" w:sz="0" w:space="0" w:color="auto"/>
      </w:divBdr>
    </w:div>
    <w:div w:id="668336139">
      <w:bodyDiv w:val="1"/>
      <w:marLeft w:val="0"/>
      <w:marRight w:val="0"/>
      <w:marTop w:val="0"/>
      <w:marBottom w:val="0"/>
      <w:divBdr>
        <w:top w:val="none" w:sz="0" w:space="0" w:color="auto"/>
        <w:left w:val="none" w:sz="0" w:space="0" w:color="auto"/>
        <w:bottom w:val="none" w:sz="0" w:space="0" w:color="auto"/>
        <w:right w:val="none" w:sz="0" w:space="0" w:color="auto"/>
      </w:divBdr>
    </w:div>
    <w:div w:id="674305711">
      <w:bodyDiv w:val="1"/>
      <w:marLeft w:val="0"/>
      <w:marRight w:val="0"/>
      <w:marTop w:val="0"/>
      <w:marBottom w:val="0"/>
      <w:divBdr>
        <w:top w:val="none" w:sz="0" w:space="0" w:color="auto"/>
        <w:left w:val="none" w:sz="0" w:space="0" w:color="auto"/>
        <w:bottom w:val="none" w:sz="0" w:space="0" w:color="auto"/>
        <w:right w:val="none" w:sz="0" w:space="0" w:color="auto"/>
      </w:divBdr>
    </w:div>
    <w:div w:id="683939948">
      <w:bodyDiv w:val="1"/>
      <w:marLeft w:val="0"/>
      <w:marRight w:val="0"/>
      <w:marTop w:val="0"/>
      <w:marBottom w:val="0"/>
      <w:divBdr>
        <w:top w:val="none" w:sz="0" w:space="0" w:color="auto"/>
        <w:left w:val="none" w:sz="0" w:space="0" w:color="auto"/>
        <w:bottom w:val="none" w:sz="0" w:space="0" w:color="auto"/>
        <w:right w:val="none" w:sz="0" w:space="0" w:color="auto"/>
      </w:divBdr>
    </w:div>
    <w:div w:id="691342459">
      <w:bodyDiv w:val="1"/>
      <w:marLeft w:val="0"/>
      <w:marRight w:val="0"/>
      <w:marTop w:val="0"/>
      <w:marBottom w:val="0"/>
      <w:divBdr>
        <w:top w:val="none" w:sz="0" w:space="0" w:color="auto"/>
        <w:left w:val="none" w:sz="0" w:space="0" w:color="auto"/>
        <w:bottom w:val="none" w:sz="0" w:space="0" w:color="auto"/>
        <w:right w:val="none" w:sz="0" w:space="0" w:color="auto"/>
      </w:divBdr>
    </w:div>
    <w:div w:id="710618233">
      <w:bodyDiv w:val="1"/>
      <w:marLeft w:val="0"/>
      <w:marRight w:val="0"/>
      <w:marTop w:val="0"/>
      <w:marBottom w:val="0"/>
      <w:divBdr>
        <w:top w:val="none" w:sz="0" w:space="0" w:color="auto"/>
        <w:left w:val="none" w:sz="0" w:space="0" w:color="auto"/>
        <w:bottom w:val="none" w:sz="0" w:space="0" w:color="auto"/>
        <w:right w:val="none" w:sz="0" w:space="0" w:color="auto"/>
      </w:divBdr>
    </w:div>
    <w:div w:id="717431919">
      <w:bodyDiv w:val="1"/>
      <w:marLeft w:val="0"/>
      <w:marRight w:val="0"/>
      <w:marTop w:val="0"/>
      <w:marBottom w:val="0"/>
      <w:divBdr>
        <w:top w:val="none" w:sz="0" w:space="0" w:color="auto"/>
        <w:left w:val="none" w:sz="0" w:space="0" w:color="auto"/>
        <w:bottom w:val="none" w:sz="0" w:space="0" w:color="auto"/>
        <w:right w:val="none" w:sz="0" w:space="0" w:color="auto"/>
      </w:divBdr>
    </w:div>
    <w:div w:id="753665000">
      <w:bodyDiv w:val="1"/>
      <w:marLeft w:val="0"/>
      <w:marRight w:val="0"/>
      <w:marTop w:val="0"/>
      <w:marBottom w:val="0"/>
      <w:divBdr>
        <w:top w:val="none" w:sz="0" w:space="0" w:color="auto"/>
        <w:left w:val="none" w:sz="0" w:space="0" w:color="auto"/>
        <w:bottom w:val="none" w:sz="0" w:space="0" w:color="auto"/>
        <w:right w:val="none" w:sz="0" w:space="0" w:color="auto"/>
      </w:divBdr>
    </w:div>
    <w:div w:id="767233404">
      <w:bodyDiv w:val="1"/>
      <w:marLeft w:val="0"/>
      <w:marRight w:val="0"/>
      <w:marTop w:val="0"/>
      <w:marBottom w:val="0"/>
      <w:divBdr>
        <w:top w:val="none" w:sz="0" w:space="0" w:color="auto"/>
        <w:left w:val="none" w:sz="0" w:space="0" w:color="auto"/>
        <w:bottom w:val="none" w:sz="0" w:space="0" w:color="auto"/>
        <w:right w:val="none" w:sz="0" w:space="0" w:color="auto"/>
      </w:divBdr>
    </w:div>
    <w:div w:id="805004957">
      <w:bodyDiv w:val="1"/>
      <w:marLeft w:val="0"/>
      <w:marRight w:val="0"/>
      <w:marTop w:val="0"/>
      <w:marBottom w:val="0"/>
      <w:divBdr>
        <w:top w:val="none" w:sz="0" w:space="0" w:color="auto"/>
        <w:left w:val="none" w:sz="0" w:space="0" w:color="auto"/>
        <w:bottom w:val="none" w:sz="0" w:space="0" w:color="auto"/>
        <w:right w:val="none" w:sz="0" w:space="0" w:color="auto"/>
      </w:divBdr>
      <w:divsChild>
        <w:div w:id="1703478837">
          <w:marLeft w:val="0"/>
          <w:marRight w:val="0"/>
          <w:marTop w:val="0"/>
          <w:marBottom w:val="0"/>
          <w:divBdr>
            <w:top w:val="none" w:sz="0" w:space="0" w:color="auto"/>
            <w:left w:val="none" w:sz="0" w:space="0" w:color="auto"/>
            <w:bottom w:val="none" w:sz="0" w:space="0" w:color="auto"/>
            <w:right w:val="none" w:sz="0" w:space="0" w:color="auto"/>
          </w:divBdr>
        </w:div>
      </w:divsChild>
    </w:div>
    <w:div w:id="824050249">
      <w:bodyDiv w:val="1"/>
      <w:marLeft w:val="0"/>
      <w:marRight w:val="0"/>
      <w:marTop w:val="0"/>
      <w:marBottom w:val="0"/>
      <w:divBdr>
        <w:top w:val="none" w:sz="0" w:space="0" w:color="auto"/>
        <w:left w:val="none" w:sz="0" w:space="0" w:color="auto"/>
        <w:bottom w:val="none" w:sz="0" w:space="0" w:color="auto"/>
        <w:right w:val="none" w:sz="0" w:space="0" w:color="auto"/>
      </w:divBdr>
    </w:div>
    <w:div w:id="859245849">
      <w:bodyDiv w:val="1"/>
      <w:marLeft w:val="0"/>
      <w:marRight w:val="0"/>
      <w:marTop w:val="0"/>
      <w:marBottom w:val="0"/>
      <w:divBdr>
        <w:top w:val="none" w:sz="0" w:space="0" w:color="auto"/>
        <w:left w:val="none" w:sz="0" w:space="0" w:color="auto"/>
        <w:bottom w:val="none" w:sz="0" w:space="0" w:color="auto"/>
        <w:right w:val="none" w:sz="0" w:space="0" w:color="auto"/>
      </w:divBdr>
    </w:div>
    <w:div w:id="863329894">
      <w:bodyDiv w:val="1"/>
      <w:marLeft w:val="0"/>
      <w:marRight w:val="0"/>
      <w:marTop w:val="0"/>
      <w:marBottom w:val="0"/>
      <w:divBdr>
        <w:top w:val="none" w:sz="0" w:space="0" w:color="auto"/>
        <w:left w:val="none" w:sz="0" w:space="0" w:color="auto"/>
        <w:bottom w:val="none" w:sz="0" w:space="0" w:color="auto"/>
        <w:right w:val="none" w:sz="0" w:space="0" w:color="auto"/>
      </w:divBdr>
    </w:div>
    <w:div w:id="865750798">
      <w:bodyDiv w:val="1"/>
      <w:marLeft w:val="0"/>
      <w:marRight w:val="0"/>
      <w:marTop w:val="0"/>
      <w:marBottom w:val="0"/>
      <w:divBdr>
        <w:top w:val="none" w:sz="0" w:space="0" w:color="auto"/>
        <w:left w:val="none" w:sz="0" w:space="0" w:color="auto"/>
        <w:bottom w:val="none" w:sz="0" w:space="0" w:color="auto"/>
        <w:right w:val="none" w:sz="0" w:space="0" w:color="auto"/>
      </w:divBdr>
    </w:div>
    <w:div w:id="907107825">
      <w:bodyDiv w:val="1"/>
      <w:marLeft w:val="0"/>
      <w:marRight w:val="0"/>
      <w:marTop w:val="0"/>
      <w:marBottom w:val="0"/>
      <w:divBdr>
        <w:top w:val="none" w:sz="0" w:space="0" w:color="auto"/>
        <w:left w:val="none" w:sz="0" w:space="0" w:color="auto"/>
        <w:bottom w:val="none" w:sz="0" w:space="0" w:color="auto"/>
        <w:right w:val="none" w:sz="0" w:space="0" w:color="auto"/>
      </w:divBdr>
    </w:div>
    <w:div w:id="915017635">
      <w:bodyDiv w:val="1"/>
      <w:marLeft w:val="0"/>
      <w:marRight w:val="0"/>
      <w:marTop w:val="0"/>
      <w:marBottom w:val="0"/>
      <w:divBdr>
        <w:top w:val="none" w:sz="0" w:space="0" w:color="auto"/>
        <w:left w:val="none" w:sz="0" w:space="0" w:color="auto"/>
        <w:bottom w:val="none" w:sz="0" w:space="0" w:color="auto"/>
        <w:right w:val="none" w:sz="0" w:space="0" w:color="auto"/>
      </w:divBdr>
    </w:div>
    <w:div w:id="917860408">
      <w:bodyDiv w:val="1"/>
      <w:marLeft w:val="0"/>
      <w:marRight w:val="0"/>
      <w:marTop w:val="0"/>
      <w:marBottom w:val="0"/>
      <w:divBdr>
        <w:top w:val="none" w:sz="0" w:space="0" w:color="auto"/>
        <w:left w:val="none" w:sz="0" w:space="0" w:color="auto"/>
        <w:bottom w:val="none" w:sz="0" w:space="0" w:color="auto"/>
        <w:right w:val="none" w:sz="0" w:space="0" w:color="auto"/>
      </w:divBdr>
    </w:div>
    <w:div w:id="920599136">
      <w:bodyDiv w:val="1"/>
      <w:marLeft w:val="0"/>
      <w:marRight w:val="0"/>
      <w:marTop w:val="0"/>
      <w:marBottom w:val="0"/>
      <w:divBdr>
        <w:top w:val="none" w:sz="0" w:space="0" w:color="auto"/>
        <w:left w:val="none" w:sz="0" w:space="0" w:color="auto"/>
        <w:bottom w:val="none" w:sz="0" w:space="0" w:color="auto"/>
        <w:right w:val="none" w:sz="0" w:space="0" w:color="auto"/>
      </w:divBdr>
    </w:div>
    <w:div w:id="949095203">
      <w:bodyDiv w:val="1"/>
      <w:marLeft w:val="0"/>
      <w:marRight w:val="0"/>
      <w:marTop w:val="0"/>
      <w:marBottom w:val="0"/>
      <w:divBdr>
        <w:top w:val="none" w:sz="0" w:space="0" w:color="auto"/>
        <w:left w:val="none" w:sz="0" w:space="0" w:color="auto"/>
        <w:bottom w:val="none" w:sz="0" w:space="0" w:color="auto"/>
        <w:right w:val="none" w:sz="0" w:space="0" w:color="auto"/>
      </w:divBdr>
    </w:div>
    <w:div w:id="962347039">
      <w:bodyDiv w:val="1"/>
      <w:marLeft w:val="0"/>
      <w:marRight w:val="0"/>
      <w:marTop w:val="0"/>
      <w:marBottom w:val="0"/>
      <w:divBdr>
        <w:top w:val="none" w:sz="0" w:space="0" w:color="auto"/>
        <w:left w:val="none" w:sz="0" w:space="0" w:color="auto"/>
        <w:bottom w:val="none" w:sz="0" w:space="0" w:color="auto"/>
        <w:right w:val="none" w:sz="0" w:space="0" w:color="auto"/>
      </w:divBdr>
    </w:div>
    <w:div w:id="997002778">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053849263">
      <w:bodyDiv w:val="1"/>
      <w:marLeft w:val="0"/>
      <w:marRight w:val="0"/>
      <w:marTop w:val="0"/>
      <w:marBottom w:val="0"/>
      <w:divBdr>
        <w:top w:val="none" w:sz="0" w:space="0" w:color="auto"/>
        <w:left w:val="none" w:sz="0" w:space="0" w:color="auto"/>
        <w:bottom w:val="none" w:sz="0" w:space="0" w:color="auto"/>
        <w:right w:val="none" w:sz="0" w:space="0" w:color="auto"/>
      </w:divBdr>
    </w:div>
    <w:div w:id="1055741293">
      <w:bodyDiv w:val="1"/>
      <w:marLeft w:val="0"/>
      <w:marRight w:val="0"/>
      <w:marTop w:val="0"/>
      <w:marBottom w:val="0"/>
      <w:divBdr>
        <w:top w:val="none" w:sz="0" w:space="0" w:color="auto"/>
        <w:left w:val="none" w:sz="0" w:space="0" w:color="auto"/>
        <w:bottom w:val="none" w:sz="0" w:space="0" w:color="auto"/>
        <w:right w:val="none" w:sz="0" w:space="0" w:color="auto"/>
      </w:divBdr>
    </w:div>
    <w:div w:id="1065101332">
      <w:bodyDiv w:val="1"/>
      <w:marLeft w:val="0"/>
      <w:marRight w:val="0"/>
      <w:marTop w:val="0"/>
      <w:marBottom w:val="0"/>
      <w:divBdr>
        <w:top w:val="none" w:sz="0" w:space="0" w:color="auto"/>
        <w:left w:val="none" w:sz="0" w:space="0" w:color="auto"/>
        <w:bottom w:val="none" w:sz="0" w:space="0" w:color="auto"/>
        <w:right w:val="none" w:sz="0" w:space="0" w:color="auto"/>
      </w:divBdr>
    </w:div>
    <w:div w:id="1092050845">
      <w:bodyDiv w:val="1"/>
      <w:marLeft w:val="0"/>
      <w:marRight w:val="0"/>
      <w:marTop w:val="0"/>
      <w:marBottom w:val="0"/>
      <w:divBdr>
        <w:top w:val="none" w:sz="0" w:space="0" w:color="auto"/>
        <w:left w:val="none" w:sz="0" w:space="0" w:color="auto"/>
        <w:bottom w:val="none" w:sz="0" w:space="0" w:color="auto"/>
        <w:right w:val="none" w:sz="0" w:space="0" w:color="auto"/>
      </w:divBdr>
    </w:div>
    <w:div w:id="1094857415">
      <w:bodyDiv w:val="1"/>
      <w:marLeft w:val="0"/>
      <w:marRight w:val="0"/>
      <w:marTop w:val="0"/>
      <w:marBottom w:val="0"/>
      <w:divBdr>
        <w:top w:val="none" w:sz="0" w:space="0" w:color="auto"/>
        <w:left w:val="none" w:sz="0" w:space="0" w:color="auto"/>
        <w:bottom w:val="none" w:sz="0" w:space="0" w:color="auto"/>
        <w:right w:val="none" w:sz="0" w:space="0" w:color="auto"/>
      </w:divBdr>
    </w:div>
    <w:div w:id="1100025106">
      <w:bodyDiv w:val="1"/>
      <w:marLeft w:val="0"/>
      <w:marRight w:val="0"/>
      <w:marTop w:val="0"/>
      <w:marBottom w:val="0"/>
      <w:divBdr>
        <w:top w:val="none" w:sz="0" w:space="0" w:color="auto"/>
        <w:left w:val="none" w:sz="0" w:space="0" w:color="auto"/>
        <w:bottom w:val="none" w:sz="0" w:space="0" w:color="auto"/>
        <w:right w:val="none" w:sz="0" w:space="0" w:color="auto"/>
      </w:divBdr>
    </w:div>
    <w:div w:id="1114135586">
      <w:bodyDiv w:val="1"/>
      <w:marLeft w:val="0"/>
      <w:marRight w:val="0"/>
      <w:marTop w:val="0"/>
      <w:marBottom w:val="0"/>
      <w:divBdr>
        <w:top w:val="none" w:sz="0" w:space="0" w:color="auto"/>
        <w:left w:val="none" w:sz="0" w:space="0" w:color="auto"/>
        <w:bottom w:val="none" w:sz="0" w:space="0" w:color="auto"/>
        <w:right w:val="none" w:sz="0" w:space="0" w:color="auto"/>
      </w:divBdr>
    </w:div>
    <w:div w:id="1131482742">
      <w:bodyDiv w:val="1"/>
      <w:marLeft w:val="0"/>
      <w:marRight w:val="0"/>
      <w:marTop w:val="0"/>
      <w:marBottom w:val="0"/>
      <w:divBdr>
        <w:top w:val="none" w:sz="0" w:space="0" w:color="auto"/>
        <w:left w:val="none" w:sz="0" w:space="0" w:color="auto"/>
        <w:bottom w:val="none" w:sz="0" w:space="0" w:color="auto"/>
        <w:right w:val="none" w:sz="0" w:space="0" w:color="auto"/>
      </w:divBdr>
    </w:div>
    <w:div w:id="1143279131">
      <w:bodyDiv w:val="1"/>
      <w:marLeft w:val="0"/>
      <w:marRight w:val="0"/>
      <w:marTop w:val="0"/>
      <w:marBottom w:val="0"/>
      <w:divBdr>
        <w:top w:val="none" w:sz="0" w:space="0" w:color="auto"/>
        <w:left w:val="none" w:sz="0" w:space="0" w:color="auto"/>
        <w:bottom w:val="none" w:sz="0" w:space="0" w:color="auto"/>
        <w:right w:val="none" w:sz="0" w:space="0" w:color="auto"/>
      </w:divBdr>
    </w:div>
    <w:div w:id="1172640898">
      <w:bodyDiv w:val="1"/>
      <w:marLeft w:val="0"/>
      <w:marRight w:val="0"/>
      <w:marTop w:val="0"/>
      <w:marBottom w:val="0"/>
      <w:divBdr>
        <w:top w:val="none" w:sz="0" w:space="0" w:color="auto"/>
        <w:left w:val="none" w:sz="0" w:space="0" w:color="auto"/>
        <w:bottom w:val="none" w:sz="0" w:space="0" w:color="auto"/>
        <w:right w:val="none" w:sz="0" w:space="0" w:color="auto"/>
      </w:divBdr>
    </w:div>
    <w:div w:id="1184902487">
      <w:bodyDiv w:val="1"/>
      <w:marLeft w:val="0"/>
      <w:marRight w:val="0"/>
      <w:marTop w:val="0"/>
      <w:marBottom w:val="0"/>
      <w:divBdr>
        <w:top w:val="none" w:sz="0" w:space="0" w:color="auto"/>
        <w:left w:val="none" w:sz="0" w:space="0" w:color="auto"/>
        <w:bottom w:val="none" w:sz="0" w:space="0" w:color="auto"/>
        <w:right w:val="none" w:sz="0" w:space="0" w:color="auto"/>
      </w:divBdr>
    </w:div>
    <w:div w:id="1188715783">
      <w:bodyDiv w:val="1"/>
      <w:marLeft w:val="0"/>
      <w:marRight w:val="0"/>
      <w:marTop w:val="0"/>
      <w:marBottom w:val="0"/>
      <w:divBdr>
        <w:top w:val="none" w:sz="0" w:space="0" w:color="auto"/>
        <w:left w:val="none" w:sz="0" w:space="0" w:color="auto"/>
        <w:bottom w:val="none" w:sz="0" w:space="0" w:color="auto"/>
        <w:right w:val="none" w:sz="0" w:space="0" w:color="auto"/>
      </w:divBdr>
    </w:div>
    <w:div w:id="1215043199">
      <w:bodyDiv w:val="1"/>
      <w:marLeft w:val="0"/>
      <w:marRight w:val="0"/>
      <w:marTop w:val="0"/>
      <w:marBottom w:val="0"/>
      <w:divBdr>
        <w:top w:val="none" w:sz="0" w:space="0" w:color="auto"/>
        <w:left w:val="none" w:sz="0" w:space="0" w:color="auto"/>
        <w:bottom w:val="none" w:sz="0" w:space="0" w:color="auto"/>
        <w:right w:val="none" w:sz="0" w:space="0" w:color="auto"/>
      </w:divBdr>
    </w:div>
    <w:div w:id="1227839435">
      <w:bodyDiv w:val="1"/>
      <w:marLeft w:val="0"/>
      <w:marRight w:val="0"/>
      <w:marTop w:val="0"/>
      <w:marBottom w:val="0"/>
      <w:divBdr>
        <w:top w:val="none" w:sz="0" w:space="0" w:color="auto"/>
        <w:left w:val="none" w:sz="0" w:space="0" w:color="auto"/>
        <w:bottom w:val="none" w:sz="0" w:space="0" w:color="auto"/>
        <w:right w:val="none" w:sz="0" w:space="0" w:color="auto"/>
      </w:divBdr>
    </w:div>
    <w:div w:id="1239636772">
      <w:bodyDiv w:val="1"/>
      <w:marLeft w:val="0"/>
      <w:marRight w:val="0"/>
      <w:marTop w:val="0"/>
      <w:marBottom w:val="0"/>
      <w:divBdr>
        <w:top w:val="none" w:sz="0" w:space="0" w:color="auto"/>
        <w:left w:val="none" w:sz="0" w:space="0" w:color="auto"/>
        <w:bottom w:val="none" w:sz="0" w:space="0" w:color="auto"/>
        <w:right w:val="none" w:sz="0" w:space="0" w:color="auto"/>
      </w:divBdr>
    </w:div>
    <w:div w:id="1252197600">
      <w:bodyDiv w:val="1"/>
      <w:marLeft w:val="0"/>
      <w:marRight w:val="0"/>
      <w:marTop w:val="0"/>
      <w:marBottom w:val="0"/>
      <w:divBdr>
        <w:top w:val="none" w:sz="0" w:space="0" w:color="auto"/>
        <w:left w:val="none" w:sz="0" w:space="0" w:color="auto"/>
        <w:bottom w:val="none" w:sz="0" w:space="0" w:color="auto"/>
        <w:right w:val="none" w:sz="0" w:space="0" w:color="auto"/>
      </w:divBdr>
    </w:div>
    <w:div w:id="1300843548">
      <w:bodyDiv w:val="1"/>
      <w:marLeft w:val="0"/>
      <w:marRight w:val="0"/>
      <w:marTop w:val="0"/>
      <w:marBottom w:val="0"/>
      <w:divBdr>
        <w:top w:val="none" w:sz="0" w:space="0" w:color="auto"/>
        <w:left w:val="none" w:sz="0" w:space="0" w:color="auto"/>
        <w:bottom w:val="none" w:sz="0" w:space="0" w:color="auto"/>
        <w:right w:val="none" w:sz="0" w:space="0" w:color="auto"/>
      </w:divBdr>
    </w:div>
    <w:div w:id="1308634544">
      <w:bodyDiv w:val="1"/>
      <w:marLeft w:val="0"/>
      <w:marRight w:val="0"/>
      <w:marTop w:val="0"/>
      <w:marBottom w:val="0"/>
      <w:divBdr>
        <w:top w:val="none" w:sz="0" w:space="0" w:color="auto"/>
        <w:left w:val="none" w:sz="0" w:space="0" w:color="auto"/>
        <w:bottom w:val="none" w:sz="0" w:space="0" w:color="auto"/>
        <w:right w:val="none" w:sz="0" w:space="0" w:color="auto"/>
      </w:divBdr>
    </w:div>
    <w:div w:id="1320764952">
      <w:bodyDiv w:val="1"/>
      <w:marLeft w:val="0"/>
      <w:marRight w:val="0"/>
      <w:marTop w:val="0"/>
      <w:marBottom w:val="0"/>
      <w:divBdr>
        <w:top w:val="none" w:sz="0" w:space="0" w:color="auto"/>
        <w:left w:val="none" w:sz="0" w:space="0" w:color="auto"/>
        <w:bottom w:val="none" w:sz="0" w:space="0" w:color="auto"/>
        <w:right w:val="none" w:sz="0" w:space="0" w:color="auto"/>
      </w:divBdr>
    </w:div>
    <w:div w:id="1335717831">
      <w:bodyDiv w:val="1"/>
      <w:marLeft w:val="0"/>
      <w:marRight w:val="0"/>
      <w:marTop w:val="0"/>
      <w:marBottom w:val="0"/>
      <w:divBdr>
        <w:top w:val="none" w:sz="0" w:space="0" w:color="auto"/>
        <w:left w:val="none" w:sz="0" w:space="0" w:color="auto"/>
        <w:bottom w:val="none" w:sz="0" w:space="0" w:color="auto"/>
        <w:right w:val="none" w:sz="0" w:space="0" w:color="auto"/>
      </w:divBdr>
    </w:div>
    <w:div w:id="1343892325">
      <w:bodyDiv w:val="1"/>
      <w:marLeft w:val="0"/>
      <w:marRight w:val="0"/>
      <w:marTop w:val="0"/>
      <w:marBottom w:val="0"/>
      <w:divBdr>
        <w:top w:val="none" w:sz="0" w:space="0" w:color="auto"/>
        <w:left w:val="none" w:sz="0" w:space="0" w:color="auto"/>
        <w:bottom w:val="none" w:sz="0" w:space="0" w:color="auto"/>
        <w:right w:val="none" w:sz="0" w:space="0" w:color="auto"/>
      </w:divBdr>
      <w:divsChild>
        <w:div w:id="825054846">
          <w:marLeft w:val="0"/>
          <w:marRight w:val="0"/>
          <w:marTop w:val="0"/>
          <w:marBottom w:val="0"/>
          <w:divBdr>
            <w:top w:val="none" w:sz="0" w:space="0" w:color="auto"/>
            <w:left w:val="none" w:sz="0" w:space="0" w:color="auto"/>
            <w:bottom w:val="none" w:sz="0" w:space="0" w:color="auto"/>
            <w:right w:val="none" w:sz="0" w:space="0" w:color="auto"/>
          </w:divBdr>
          <w:divsChild>
            <w:div w:id="1173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18478">
      <w:bodyDiv w:val="1"/>
      <w:marLeft w:val="0"/>
      <w:marRight w:val="0"/>
      <w:marTop w:val="0"/>
      <w:marBottom w:val="0"/>
      <w:divBdr>
        <w:top w:val="none" w:sz="0" w:space="0" w:color="auto"/>
        <w:left w:val="none" w:sz="0" w:space="0" w:color="auto"/>
        <w:bottom w:val="none" w:sz="0" w:space="0" w:color="auto"/>
        <w:right w:val="none" w:sz="0" w:space="0" w:color="auto"/>
      </w:divBdr>
    </w:div>
    <w:div w:id="1348364580">
      <w:bodyDiv w:val="1"/>
      <w:marLeft w:val="0"/>
      <w:marRight w:val="0"/>
      <w:marTop w:val="0"/>
      <w:marBottom w:val="0"/>
      <w:divBdr>
        <w:top w:val="none" w:sz="0" w:space="0" w:color="auto"/>
        <w:left w:val="none" w:sz="0" w:space="0" w:color="auto"/>
        <w:bottom w:val="none" w:sz="0" w:space="0" w:color="auto"/>
        <w:right w:val="none" w:sz="0" w:space="0" w:color="auto"/>
      </w:divBdr>
    </w:div>
    <w:div w:id="1348949184">
      <w:bodyDiv w:val="1"/>
      <w:marLeft w:val="0"/>
      <w:marRight w:val="0"/>
      <w:marTop w:val="0"/>
      <w:marBottom w:val="0"/>
      <w:divBdr>
        <w:top w:val="none" w:sz="0" w:space="0" w:color="auto"/>
        <w:left w:val="none" w:sz="0" w:space="0" w:color="auto"/>
        <w:bottom w:val="none" w:sz="0" w:space="0" w:color="auto"/>
        <w:right w:val="none" w:sz="0" w:space="0" w:color="auto"/>
      </w:divBdr>
    </w:div>
    <w:div w:id="1372337093">
      <w:bodyDiv w:val="1"/>
      <w:marLeft w:val="0"/>
      <w:marRight w:val="0"/>
      <w:marTop w:val="0"/>
      <w:marBottom w:val="0"/>
      <w:divBdr>
        <w:top w:val="none" w:sz="0" w:space="0" w:color="auto"/>
        <w:left w:val="none" w:sz="0" w:space="0" w:color="auto"/>
        <w:bottom w:val="none" w:sz="0" w:space="0" w:color="auto"/>
        <w:right w:val="none" w:sz="0" w:space="0" w:color="auto"/>
      </w:divBdr>
    </w:div>
    <w:div w:id="1387991666">
      <w:bodyDiv w:val="1"/>
      <w:marLeft w:val="0"/>
      <w:marRight w:val="0"/>
      <w:marTop w:val="0"/>
      <w:marBottom w:val="0"/>
      <w:divBdr>
        <w:top w:val="none" w:sz="0" w:space="0" w:color="auto"/>
        <w:left w:val="none" w:sz="0" w:space="0" w:color="auto"/>
        <w:bottom w:val="none" w:sz="0" w:space="0" w:color="auto"/>
        <w:right w:val="none" w:sz="0" w:space="0" w:color="auto"/>
      </w:divBdr>
    </w:div>
    <w:div w:id="1396467692">
      <w:bodyDiv w:val="1"/>
      <w:marLeft w:val="0"/>
      <w:marRight w:val="0"/>
      <w:marTop w:val="0"/>
      <w:marBottom w:val="0"/>
      <w:divBdr>
        <w:top w:val="none" w:sz="0" w:space="0" w:color="auto"/>
        <w:left w:val="none" w:sz="0" w:space="0" w:color="auto"/>
        <w:bottom w:val="none" w:sz="0" w:space="0" w:color="auto"/>
        <w:right w:val="none" w:sz="0" w:space="0" w:color="auto"/>
      </w:divBdr>
    </w:div>
    <w:div w:id="1398936377">
      <w:bodyDiv w:val="1"/>
      <w:marLeft w:val="0"/>
      <w:marRight w:val="0"/>
      <w:marTop w:val="0"/>
      <w:marBottom w:val="0"/>
      <w:divBdr>
        <w:top w:val="none" w:sz="0" w:space="0" w:color="auto"/>
        <w:left w:val="none" w:sz="0" w:space="0" w:color="auto"/>
        <w:bottom w:val="none" w:sz="0" w:space="0" w:color="auto"/>
        <w:right w:val="none" w:sz="0" w:space="0" w:color="auto"/>
      </w:divBdr>
    </w:div>
    <w:div w:id="1408990863">
      <w:bodyDiv w:val="1"/>
      <w:marLeft w:val="0"/>
      <w:marRight w:val="0"/>
      <w:marTop w:val="0"/>
      <w:marBottom w:val="0"/>
      <w:divBdr>
        <w:top w:val="none" w:sz="0" w:space="0" w:color="auto"/>
        <w:left w:val="none" w:sz="0" w:space="0" w:color="auto"/>
        <w:bottom w:val="none" w:sz="0" w:space="0" w:color="auto"/>
        <w:right w:val="none" w:sz="0" w:space="0" w:color="auto"/>
      </w:divBdr>
    </w:div>
    <w:div w:id="1426728506">
      <w:bodyDiv w:val="1"/>
      <w:marLeft w:val="0"/>
      <w:marRight w:val="0"/>
      <w:marTop w:val="0"/>
      <w:marBottom w:val="0"/>
      <w:divBdr>
        <w:top w:val="none" w:sz="0" w:space="0" w:color="auto"/>
        <w:left w:val="none" w:sz="0" w:space="0" w:color="auto"/>
        <w:bottom w:val="none" w:sz="0" w:space="0" w:color="auto"/>
        <w:right w:val="none" w:sz="0" w:space="0" w:color="auto"/>
      </w:divBdr>
    </w:div>
    <w:div w:id="1427263528">
      <w:bodyDiv w:val="1"/>
      <w:marLeft w:val="0"/>
      <w:marRight w:val="0"/>
      <w:marTop w:val="0"/>
      <w:marBottom w:val="0"/>
      <w:divBdr>
        <w:top w:val="none" w:sz="0" w:space="0" w:color="auto"/>
        <w:left w:val="none" w:sz="0" w:space="0" w:color="auto"/>
        <w:bottom w:val="none" w:sz="0" w:space="0" w:color="auto"/>
        <w:right w:val="none" w:sz="0" w:space="0" w:color="auto"/>
      </w:divBdr>
    </w:div>
    <w:div w:id="1462071463">
      <w:bodyDiv w:val="1"/>
      <w:marLeft w:val="0"/>
      <w:marRight w:val="0"/>
      <w:marTop w:val="0"/>
      <w:marBottom w:val="0"/>
      <w:divBdr>
        <w:top w:val="none" w:sz="0" w:space="0" w:color="auto"/>
        <w:left w:val="none" w:sz="0" w:space="0" w:color="auto"/>
        <w:bottom w:val="none" w:sz="0" w:space="0" w:color="auto"/>
        <w:right w:val="none" w:sz="0" w:space="0" w:color="auto"/>
      </w:divBdr>
    </w:div>
    <w:div w:id="1479497272">
      <w:bodyDiv w:val="1"/>
      <w:marLeft w:val="0"/>
      <w:marRight w:val="0"/>
      <w:marTop w:val="0"/>
      <w:marBottom w:val="0"/>
      <w:divBdr>
        <w:top w:val="none" w:sz="0" w:space="0" w:color="auto"/>
        <w:left w:val="none" w:sz="0" w:space="0" w:color="auto"/>
        <w:bottom w:val="none" w:sz="0" w:space="0" w:color="auto"/>
        <w:right w:val="none" w:sz="0" w:space="0" w:color="auto"/>
      </w:divBdr>
    </w:div>
    <w:div w:id="1503930214">
      <w:bodyDiv w:val="1"/>
      <w:marLeft w:val="0"/>
      <w:marRight w:val="0"/>
      <w:marTop w:val="0"/>
      <w:marBottom w:val="0"/>
      <w:divBdr>
        <w:top w:val="none" w:sz="0" w:space="0" w:color="auto"/>
        <w:left w:val="none" w:sz="0" w:space="0" w:color="auto"/>
        <w:bottom w:val="none" w:sz="0" w:space="0" w:color="auto"/>
        <w:right w:val="none" w:sz="0" w:space="0" w:color="auto"/>
      </w:divBdr>
    </w:div>
    <w:div w:id="1524710163">
      <w:bodyDiv w:val="1"/>
      <w:marLeft w:val="0"/>
      <w:marRight w:val="0"/>
      <w:marTop w:val="0"/>
      <w:marBottom w:val="0"/>
      <w:divBdr>
        <w:top w:val="none" w:sz="0" w:space="0" w:color="auto"/>
        <w:left w:val="none" w:sz="0" w:space="0" w:color="auto"/>
        <w:bottom w:val="none" w:sz="0" w:space="0" w:color="auto"/>
        <w:right w:val="none" w:sz="0" w:space="0" w:color="auto"/>
      </w:divBdr>
    </w:div>
    <w:div w:id="1536575868">
      <w:bodyDiv w:val="1"/>
      <w:marLeft w:val="0"/>
      <w:marRight w:val="0"/>
      <w:marTop w:val="0"/>
      <w:marBottom w:val="0"/>
      <w:divBdr>
        <w:top w:val="none" w:sz="0" w:space="0" w:color="auto"/>
        <w:left w:val="none" w:sz="0" w:space="0" w:color="auto"/>
        <w:bottom w:val="none" w:sz="0" w:space="0" w:color="auto"/>
        <w:right w:val="none" w:sz="0" w:space="0" w:color="auto"/>
      </w:divBdr>
    </w:div>
    <w:div w:id="1573194712">
      <w:bodyDiv w:val="1"/>
      <w:marLeft w:val="0"/>
      <w:marRight w:val="0"/>
      <w:marTop w:val="0"/>
      <w:marBottom w:val="0"/>
      <w:divBdr>
        <w:top w:val="none" w:sz="0" w:space="0" w:color="auto"/>
        <w:left w:val="none" w:sz="0" w:space="0" w:color="auto"/>
        <w:bottom w:val="none" w:sz="0" w:space="0" w:color="auto"/>
        <w:right w:val="none" w:sz="0" w:space="0" w:color="auto"/>
      </w:divBdr>
    </w:div>
    <w:div w:id="1575967113">
      <w:bodyDiv w:val="1"/>
      <w:marLeft w:val="0"/>
      <w:marRight w:val="0"/>
      <w:marTop w:val="0"/>
      <w:marBottom w:val="0"/>
      <w:divBdr>
        <w:top w:val="none" w:sz="0" w:space="0" w:color="auto"/>
        <w:left w:val="none" w:sz="0" w:space="0" w:color="auto"/>
        <w:bottom w:val="none" w:sz="0" w:space="0" w:color="auto"/>
        <w:right w:val="none" w:sz="0" w:space="0" w:color="auto"/>
      </w:divBdr>
    </w:div>
    <w:div w:id="1577982849">
      <w:bodyDiv w:val="1"/>
      <w:marLeft w:val="0"/>
      <w:marRight w:val="0"/>
      <w:marTop w:val="0"/>
      <w:marBottom w:val="0"/>
      <w:divBdr>
        <w:top w:val="none" w:sz="0" w:space="0" w:color="auto"/>
        <w:left w:val="none" w:sz="0" w:space="0" w:color="auto"/>
        <w:bottom w:val="none" w:sz="0" w:space="0" w:color="auto"/>
        <w:right w:val="none" w:sz="0" w:space="0" w:color="auto"/>
      </w:divBdr>
    </w:div>
    <w:div w:id="1596523396">
      <w:bodyDiv w:val="1"/>
      <w:marLeft w:val="0"/>
      <w:marRight w:val="0"/>
      <w:marTop w:val="0"/>
      <w:marBottom w:val="0"/>
      <w:divBdr>
        <w:top w:val="none" w:sz="0" w:space="0" w:color="auto"/>
        <w:left w:val="none" w:sz="0" w:space="0" w:color="auto"/>
        <w:bottom w:val="none" w:sz="0" w:space="0" w:color="auto"/>
        <w:right w:val="none" w:sz="0" w:space="0" w:color="auto"/>
      </w:divBdr>
    </w:div>
    <w:div w:id="1624144742">
      <w:bodyDiv w:val="1"/>
      <w:marLeft w:val="0"/>
      <w:marRight w:val="0"/>
      <w:marTop w:val="0"/>
      <w:marBottom w:val="0"/>
      <w:divBdr>
        <w:top w:val="none" w:sz="0" w:space="0" w:color="auto"/>
        <w:left w:val="none" w:sz="0" w:space="0" w:color="auto"/>
        <w:bottom w:val="none" w:sz="0" w:space="0" w:color="auto"/>
        <w:right w:val="none" w:sz="0" w:space="0" w:color="auto"/>
      </w:divBdr>
    </w:div>
    <w:div w:id="1625843946">
      <w:bodyDiv w:val="1"/>
      <w:marLeft w:val="0"/>
      <w:marRight w:val="0"/>
      <w:marTop w:val="0"/>
      <w:marBottom w:val="0"/>
      <w:divBdr>
        <w:top w:val="none" w:sz="0" w:space="0" w:color="auto"/>
        <w:left w:val="none" w:sz="0" w:space="0" w:color="auto"/>
        <w:bottom w:val="none" w:sz="0" w:space="0" w:color="auto"/>
        <w:right w:val="none" w:sz="0" w:space="0" w:color="auto"/>
      </w:divBdr>
    </w:div>
    <w:div w:id="1639189454">
      <w:bodyDiv w:val="1"/>
      <w:marLeft w:val="0"/>
      <w:marRight w:val="0"/>
      <w:marTop w:val="0"/>
      <w:marBottom w:val="0"/>
      <w:divBdr>
        <w:top w:val="none" w:sz="0" w:space="0" w:color="auto"/>
        <w:left w:val="none" w:sz="0" w:space="0" w:color="auto"/>
        <w:bottom w:val="none" w:sz="0" w:space="0" w:color="auto"/>
        <w:right w:val="none" w:sz="0" w:space="0" w:color="auto"/>
      </w:divBdr>
    </w:div>
    <w:div w:id="1663197417">
      <w:bodyDiv w:val="1"/>
      <w:marLeft w:val="0"/>
      <w:marRight w:val="0"/>
      <w:marTop w:val="0"/>
      <w:marBottom w:val="0"/>
      <w:divBdr>
        <w:top w:val="none" w:sz="0" w:space="0" w:color="auto"/>
        <w:left w:val="none" w:sz="0" w:space="0" w:color="auto"/>
        <w:bottom w:val="none" w:sz="0" w:space="0" w:color="auto"/>
        <w:right w:val="none" w:sz="0" w:space="0" w:color="auto"/>
      </w:divBdr>
    </w:div>
    <w:div w:id="1666087383">
      <w:bodyDiv w:val="1"/>
      <w:marLeft w:val="0"/>
      <w:marRight w:val="0"/>
      <w:marTop w:val="0"/>
      <w:marBottom w:val="0"/>
      <w:divBdr>
        <w:top w:val="none" w:sz="0" w:space="0" w:color="auto"/>
        <w:left w:val="none" w:sz="0" w:space="0" w:color="auto"/>
        <w:bottom w:val="none" w:sz="0" w:space="0" w:color="auto"/>
        <w:right w:val="none" w:sz="0" w:space="0" w:color="auto"/>
      </w:divBdr>
    </w:div>
    <w:div w:id="1701929828">
      <w:bodyDiv w:val="1"/>
      <w:marLeft w:val="0"/>
      <w:marRight w:val="0"/>
      <w:marTop w:val="0"/>
      <w:marBottom w:val="0"/>
      <w:divBdr>
        <w:top w:val="none" w:sz="0" w:space="0" w:color="auto"/>
        <w:left w:val="none" w:sz="0" w:space="0" w:color="auto"/>
        <w:bottom w:val="none" w:sz="0" w:space="0" w:color="auto"/>
        <w:right w:val="none" w:sz="0" w:space="0" w:color="auto"/>
      </w:divBdr>
    </w:div>
    <w:div w:id="1705666509">
      <w:bodyDiv w:val="1"/>
      <w:marLeft w:val="0"/>
      <w:marRight w:val="0"/>
      <w:marTop w:val="0"/>
      <w:marBottom w:val="0"/>
      <w:divBdr>
        <w:top w:val="none" w:sz="0" w:space="0" w:color="auto"/>
        <w:left w:val="none" w:sz="0" w:space="0" w:color="auto"/>
        <w:bottom w:val="none" w:sz="0" w:space="0" w:color="auto"/>
        <w:right w:val="none" w:sz="0" w:space="0" w:color="auto"/>
      </w:divBdr>
    </w:div>
    <w:div w:id="1787968124">
      <w:bodyDiv w:val="1"/>
      <w:marLeft w:val="0"/>
      <w:marRight w:val="0"/>
      <w:marTop w:val="0"/>
      <w:marBottom w:val="0"/>
      <w:divBdr>
        <w:top w:val="none" w:sz="0" w:space="0" w:color="auto"/>
        <w:left w:val="none" w:sz="0" w:space="0" w:color="auto"/>
        <w:bottom w:val="none" w:sz="0" w:space="0" w:color="auto"/>
        <w:right w:val="none" w:sz="0" w:space="0" w:color="auto"/>
      </w:divBdr>
    </w:div>
    <w:div w:id="1794253914">
      <w:bodyDiv w:val="1"/>
      <w:marLeft w:val="0"/>
      <w:marRight w:val="0"/>
      <w:marTop w:val="0"/>
      <w:marBottom w:val="0"/>
      <w:divBdr>
        <w:top w:val="none" w:sz="0" w:space="0" w:color="auto"/>
        <w:left w:val="none" w:sz="0" w:space="0" w:color="auto"/>
        <w:bottom w:val="none" w:sz="0" w:space="0" w:color="auto"/>
        <w:right w:val="none" w:sz="0" w:space="0" w:color="auto"/>
      </w:divBdr>
    </w:div>
    <w:div w:id="1807966742">
      <w:bodyDiv w:val="1"/>
      <w:marLeft w:val="0"/>
      <w:marRight w:val="0"/>
      <w:marTop w:val="0"/>
      <w:marBottom w:val="0"/>
      <w:divBdr>
        <w:top w:val="none" w:sz="0" w:space="0" w:color="auto"/>
        <w:left w:val="none" w:sz="0" w:space="0" w:color="auto"/>
        <w:bottom w:val="none" w:sz="0" w:space="0" w:color="auto"/>
        <w:right w:val="none" w:sz="0" w:space="0" w:color="auto"/>
      </w:divBdr>
    </w:div>
    <w:div w:id="1810434439">
      <w:bodyDiv w:val="1"/>
      <w:marLeft w:val="0"/>
      <w:marRight w:val="0"/>
      <w:marTop w:val="0"/>
      <w:marBottom w:val="0"/>
      <w:divBdr>
        <w:top w:val="none" w:sz="0" w:space="0" w:color="auto"/>
        <w:left w:val="none" w:sz="0" w:space="0" w:color="auto"/>
        <w:bottom w:val="none" w:sz="0" w:space="0" w:color="auto"/>
        <w:right w:val="none" w:sz="0" w:space="0" w:color="auto"/>
      </w:divBdr>
    </w:div>
    <w:div w:id="1820684667">
      <w:bodyDiv w:val="1"/>
      <w:marLeft w:val="0"/>
      <w:marRight w:val="0"/>
      <w:marTop w:val="0"/>
      <w:marBottom w:val="0"/>
      <w:divBdr>
        <w:top w:val="none" w:sz="0" w:space="0" w:color="auto"/>
        <w:left w:val="none" w:sz="0" w:space="0" w:color="auto"/>
        <w:bottom w:val="none" w:sz="0" w:space="0" w:color="auto"/>
        <w:right w:val="none" w:sz="0" w:space="0" w:color="auto"/>
      </w:divBdr>
    </w:div>
    <w:div w:id="1821771388">
      <w:bodyDiv w:val="1"/>
      <w:marLeft w:val="0"/>
      <w:marRight w:val="0"/>
      <w:marTop w:val="0"/>
      <w:marBottom w:val="0"/>
      <w:divBdr>
        <w:top w:val="none" w:sz="0" w:space="0" w:color="auto"/>
        <w:left w:val="none" w:sz="0" w:space="0" w:color="auto"/>
        <w:bottom w:val="none" w:sz="0" w:space="0" w:color="auto"/>
        <w:right w:val="none" w:sz="0" w:space="0" w:color="auto"/>
      </w:divBdr>
      <w:divsChild>
        <w:div w:id="1018044621">
          <w:marLeft w:val="0"/>
          <w:marRight w:val="0"/>
          <w:marTop w:val="0"/>
          <w:marBottom w:val="0"/>
          <w:divBdr>
            <w:top w:val="none" w:sz="0" w:space="0" w:color="auto"/>
            <w:left w:val="none" w:sz="0" w:space="0" w:color="auto"/>
            <w:bottom w:val="none" w:sz="0" w:space="0" w:color="auto"/>
            <w:right w:val="none" w:sz="0" w:space="0" w:color="auto"/>
          </w:divBdr>
          <w:divsChild>
            <w:div w:id="1604264217">
              <w:marLeft w:val="0"/>
              <w:marRight w:val="0"/>
              <w:marTop w:val="0"/>
              <w:marBottom w:val="0"/>
              <w:divBdr>
                <w:top w:val="none" w:sz="0" w:space="0" w:color="auto"/>
                <w:left w:val="none" w:sz="0" w:space="0" w:color="auto"/>
                <w:bottom w:val="none" w:sz="0" w:space="0" w:color="auto"/>
                <w:right w:val="none" w:sz="0" w:space="0" w:color="auto"/>
              </w:divBdr>
              <w:divsChild>
                <w:div w:id="2105884008">
                  <w:marLeft w:val="0"/>
                  <w:marRight w:val="0"/>
                  <w:marTop w:val="0"/>
                  <w:marBottom w:val="0"/>
                  <w:divBdr>
                    <w:top w:val="none" w:sz="0" w:space="0" w:color="auto"/>
                    <w:left w:val="none" w:sz="0" w:space="0" w:color="auto"/>
                    <w:bottom w:val="none" w:sz="0" w:space="0" w:color="auto"/>
                    <w:right w:val="none" w:sz="0" w:space="0" w:color="auto"/>
                  </w:divBdr>
                  <w:divsChild>
                    <w:div w:id="1711295870">
                      <w:marLeft w:val="0"/>
                      <w:marRight w:val="0"/>
                      <w:marTop w:val="0"/>
                      <w:marBottom w:val="0"/>
                      <w:divBdr>
                        <w:top w:val="none" w:sz="0" w:space="0" w:color="auto"/>
                        <w:left w:val="none" w:sz="0" w:space="0" w:color="auto"/>
                        <w:bottom w:val="none" w:sz="0" w:space="0" w:color="auto"/>
                        <w:right w:val="none" w:sz="0" w:space="0" w:color="auto"/>
                      </w:divBdr>
                      <w:divsChild>
                        <w:div w:id="729577746">
                          <w:marLeft w:val="-225"/>
                          <w:marRight w:val="-225"/>
                          <w:marTop w:val="0"/>
                          <w:marBottom w:val="0"/>
                          <w:divBdr>
                            <w:top w:val="none" w:sz="0" w:space="0" w:color="auto"/>
                            <w:left w:val="none" w:sz="0" w:space="0" w:color="auto"/>
                            <w:bottom w:val="none" w:sz="0" w:space="0" w:color="auto"/>
                            <w:right w:val="none" w:sz="0" w:space="0" w:color="auto"/>
                          </w:divBdr>
                          <w:divsChild>
                            <w:div w:id="305624744">
                              <w:marLeft w:val="0"/>
                              <w:marRight w:val="0"/>
                              <w:marTop w:val="0"/>
                              <w:marBottom w:val="0"/>
                              <w:divBdr>
                                <w:top w:val="none" w:sz="0" w:space="0" w:color="auto"/>
                                <w:left w:val="none" w:sz="0" w:space="0" w:color="auto"/>
                                <w:bottom w:val="none" w:sz="0" w:space="0" w:color="auto"/>
                                <w:right w:val="none" w:sz="0" w:space="0" w:color="auto"/>
                              </w:divBdr>
                              <w:divsChild>
                                <w:div w:id="1378897452">
                                  <w:marLeft w:val="0"/>
                                  <w:marRight w:val="0"/>
                                  <w:marTop w:val="0"/>
                                  <w:marBottom w:val="0"/>
                                  <w:divBdr>
                                    <w:top w:val="none" w:sz="0" w:space="0" w:color="auto"/>
                                    <w:left w:val="none" w:sz="0" w:space="0" w:color="auto"/>
                                    <w:bottom w:val="none" w:sz="0" w:space="0" w:color="auto"/>
                                    <w:right w:val="none" w:sz="0" w:space="0" w:color="auto"/>
                                  </w:divBdr>
                                  <w:divsChild>
                                    <w:div w:id="1099177651">
                                      <w:marLeft w:val="0"/>
                                      <w:marRight w:val="0"/>
                                      <w:marTop w:val="0"/>
                                      <w:marBottom w:val="0"/>
                                      <w:divBdr>
                                        <w:top w:val="none" w:sz="0" w:space="0" w:color="auto"/>
                                        <w:left w:val="none" w:sz="0" w:space="0" w:color="auto"/>
                                        <w:bottom w:val="none" w:sz="0" w:space="0" w:color="auto"/>
                                        <w:right w:val="none" w:sz="0" w:space="0" w:color="auto"/>
                                      </w:divBdr>
                                      <w:divsChild>
                                        <w:div w:id="2006393466">
                                          <w:marLeft w:val="-225"/>
                                          <w:marRight w:val="-225"/>
                                          <w:marTop w:val="0"/>
                                          <w:marBottom w:val="0"/>
                                          <w:divBdr>
                                            <w:top w:val="none" w:sz="0" w:space="0" w:color="auto"/>
                                            <w:left w:val="none" w:sz="0" w:space="0" w:color="auto"/>
                                            <w:bottom w:val="none" w:sz="0" w:space="0" w:color="auto"/>
                                            <w:right w:val="none" w:sz="0" w:space="0" w:color="auto"/>
                                          </w:divBdr>
                                          <w:divsChild>
                                            <w:div w:id="1933469549">
                                              <w:marLeft w:val="0"/>
                                              <w:marRight w:val="0"/>
                                              <w:marTop w:val="0"/>
                                              <w:marBottom w:val="0"/>
                                              <w:divBdr>
                                                <w:top w:val="none" w:sz="0" w:space="0" w:color="auto"/>
                                                <w:left w:val="none" w:sz="0" w:space="0" w:color="auto"/>
                                                <w:bottom w:val="none" w:sz="0" w:space="0" w:color="auto"/>
                                                <w:right w:val="none" w:sz="0" w:space="0" w:color="auto"/>
                                              </w:divBdr>
                                              <w:divsChild>
                                                <w:div w:id="20238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0051584">
      <w:bodyDiv w:val="1"/>
      <w:marLeft w:val="0"/>
      <w:marRight w:val="0"/>
      <w:marTop w:val="0"/>
      <w:marBottom w:val="0"/>
      <w:divBdr>
        <w:top w:val="none" w:sz="0" w:space="0" w:color="auto"/>
        <w:left w:val="none" w:sz="0" w:space="0" w:color="auto"/>
        <w:bottom w:val="none" w:sz="0" w:space="0" w:color="auto"/>
        <w:right w:val="none" w:sz="0" w:space="0" w:color="auto"/>
      </w:divBdr>
    </w:div>
    <w:div w:id="1841197637">
      <w:bodyDiv w:val="1"/>
      <w:marLeft w:val="0"/>
      <w:marRight w:val="0"/>
      <w:marTop w:val="0"/>
      <w:marBottom w:val="0"/>
      <w:divBdr>
        <w:top w:val="none" w:sz="0" w:space="0" w:color="auto"/>
        <w:left w:val="none" w:sz="0" w:space="0" w:color="auto"/>
        <w:bottom w:val="none" w:sz="0" w:space="0" w:color="auto"/>
        <w:right w:val="none" w:sz="0" w:space="0" w:color="auto"/>
      </w:divBdr>
      <w:divsChild>
        <w:div w:id="775447275">
          <w:marLeft w:val="0"/>
          <w:marRight w:val="0"/>
          <w:marTop w:val="0"/>
          <w:marBottom w:val="0"/>
          <w:divBdr>
            <w:top w:val="none" w:sz="0" w:space="0" w:color="auto"/>
            <w:left w:val="none" w:sz="0" w:space="0" w:color="auto"/>
            <w:bottom w:val="none" w:sz="0" w:space="0" w:color="auto"/>
            <w:right w:val="none" w:sz="0" w:space="0" w:color="auto"/>
          </w:divBdr>
          <w:divsChild>
            <w:div w:id="1905489526">
              <w:marLeft w:val="0"/>
              <w:marRight w:val="0"/>
              <w:marTop w:val="0"/>
              <w:marBottom w:val="0"/>
              <w:divBdr>
                <w:top w:val="none" w:sz="0" w:space="0" w:color="auto"/>
                <w:left w:val="none" w:sz="0" w:space="0" w:color="auto"/>
                <w:bottom w:val="none" w:sz="0" w:space="0" w:color="auto"/>
                <w:right w:val="none" w:sz="0" w:space="0" w:color="auto"/>
              </w:divBdr>
              <w:divsChild>
                <w:div w:id="1470317519">
                  <w:marLeft w:val="0"/>
                  <w:marRight w:val="0"/>
                  <w:marTop w:val="0"/>
                  <w:marBottom w:val="0"/>
                  <w:divBdr>
                    <w:top w:val="none" w:sz="0" w:space="0" w:color="auto"/>
                    <w:left w:val="none" w:sz="0" w:space="0" w:color="auto"/>
                    <w:bottom w:val="none" w:sz="0" w:space="0" w:color="auto"/>
                    <w:right w:val="none" w:sz="0" w:space="0" w:color="auto"/>
                  </w:divBdr>
                  <w:divsChild>
                    <w:div w:id="13597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243350">
      <w:bodyDiv w:val="1"/>
      <w:marLeft w:val="0"/>
      <w:marRight w:val="0"/>
      <w:marTop w:val="0"/>
      <w:marBottom w:val="0"/>
      <w:divBdr>
        <w:top w:val="none" w:sz="0" w:space="0" w:color="auto"/>
        <w:left w:val="none" w:sz="0" w:space="0" w:color="auto"/>
        <w:bottom w:val="none" w:sz="0" w:space="0" w:color="auto"/>
        <w:right w:val="none" w:sz="0" w:space="0" w:color="auto"/>
      </w:divBdr>
    </w:div>
    <w:div w:id="1846896021">
      <w:bodyDiv w:val="1"/>
      <w:marLeft w:val="0"/>
      <w:marRight w:val="0"/>
      <w:marTop w:val="0"/>
      <w:marBottom w:val="0"/>
      <w:divBdr>
        <w:top w:val="none" w:sz="0" w:space="0" w:color="auto"/>
        <w:left w:val="none" w:sz="0" w:space="0" w:color="auto"/>
        <w:bottom w:val="none" w:sz="0" w:space="0" w:color="auto"/>
        <w:right w:val="none" w:sz="0" w:space="0" w:color="auto"/>
      </w:divBdr>
    </w:div>
    <w:div w:id="1848517940">
      <w:bodyDiv w:val="1"/>
      <w:marLeft w:val="0"/>
      <w:marRight w:val="0"/>
      <w:marTop w:val="0"/>
      <w:marBottom w:val="0"/>
      <w:divBdr>
        <w:top w:val="none" w:sz="0" w:space="0" w:color="auto"/>
        <w:left w:val="none" w:sz="0" w:space="0" w:color="auto"/>
        <w:bottom w:val="none" w:sz="0" w:space="0" w:color="auto"/>
        <w:right w:val="none" w:sz="0" w:space="0" w:color="auto"/>
      </w:divBdr>
    </w:div>
    <w:div w:id="1850947757">
      <w:bodyDiv w:val="1"/>
      <w:marLeft w:val="0"/>
      <w:marRight w:val="0"/>
      <w:marTop w:val="0"/>
      <w:marBottom w:val="0"/>
      <w:divBdr>
        <w:top w:val="none" w:sz="0" w:space="0" w:color="auto"/>
        <w:left w:val="none" w:sz="0" w:space="0" w:color="auto"/>
        <w:bottom w:val="none" w:sz="0" w:space="0" w:color="auto"/>
        <w:right w:val="none" w:sz="0" w:space="0" w:color="auto"/>
      </w:divBdr>
    </w:div>
    <w:div w:id="1861820442">
      <w:bodyDiv w:val="1"/>
      <w:marLeft w:val="0"/>
      <w:marRight w:val="0"/>
      <w:marTop w:val="0"/>
      <w:marBottom w:val="0"/>
      <w:divBdr>
        <w:top w:val="none" w:sz="0" w:space="0" w:color="auto"/>
        <w:left w:val="none" w:sz="0" w:space="0" w:color="auto"/>
        <w:bottom w:val="none" w:sz="0" w:space="0" w:color="auto"/>
        <w:right w:val="none" w:sz="0" w:space="0" w:color="auto"/>
      </w:divBdr>
    </w:div>
    <w:div w:id="1869373780">
      <w:bodyDiv w:val="1"/>
      <w:marLeft w:val="0"/>
      <w:marRight w:val="0"/>
      <w:marTop w:val="0"/>
      <w:marBottom w:val="0"/>
      <w:divBdr>
        <w:top w:val="none" w:sz="0" w:space="0" w:color="auto"/>
        <w:left w:val="none" w:sz="0" w:space="0" w:color="auto"/>
        <w:bottom w:val="none" w:sz="0" w:space="0" w:color="auto"/>
        <w:right w:val="none" w:sz="0" w:space="0" w:color="auto"/>
      </w:divBdr>
    </w:div>
    <w:div w:id="1871988950">
      <w:bodyDiv w:val="1"/>
      <w:marLeft w:val="0"/>
      <w:marRight w:val="0"/>
      <w:marTop w:val="0"/>
      <w:marBottom w:val="0"/>
      <w:divBdr>
        <w:top w:val="none" w:sz="0" w:space="0" w:color="auto"/>
        <w:left w:val="none" w:sz="0" w:space="0" w:color="auto"/>
        <w:bottom w:val="none" w:sz="0" w:space="0" w:color="auto"/>
        <w:right w:val="none" w:sz="0" w:space="0" w:color="auto"/>
      </w:divBdr>
    </w:div>
    <w:div w:id="1874995031">
      <w:bodyDiv w:val="1"/>
      <w:marLeft w:val="0"/>
      <w:marRight w:val="0"/>
      <w:marTop w:val="0"/>
      <w:marBottom w:val="0"/>
      <w:divBdr>
        <w:top w:val="none" w:sz="0" w:space="0" w:color="auto"/>
        <w:left w:val="none" w:sz="0" w:space="0" w:color="auto"/>
        <w:bottom w:val="none" w:sz="0" w:space="0" w:color="auto"/>
        <w:right w:val="none" w:sz="0" w:space="0" w:color="auto"/>
      </w:divBdr>
    </w:div>
    <w:div w:id="1885408780">
      <w:bodyDiv w:val="1"/>
      <w:marLeft w:val="0"/>
      <w:marRight w:val="0"/>
      <w:marTop w:val="0"/>
      <w:marBottom w:val="0"/>
      <w:divBdr>
        <w:top w:val="none" w:sz="0" w:space="0" w:color="auto"/>
        <w:left w:val="none" w:sz="0" w:space="0" w:color="auto"/>
        <w:bottom w:val="none" w:sz="0" w:space="0" w:color="auto"/>
        <w:right w:val="none" w:sz="0" w:space="0" w:color="auto"/>
      </w:divBdr>
    </w:div>
    <w:div w:id="1886670713">
      <w:bodyDiv w:val="1"/>
      <w:marLeft w:val="0"/>
      <w:marRight w:val="0"/>
      <w:marTop w:val="0"/>
      <w:marBottom w:val="0"/>
      <w:divBdr>
        <w:top w:val="none" w:sz="0" w:space="0" w:color="auto"/>
        <w:left w:val="none" w:sz="0" w:space="0" w:color="auto"/>
        <w:bottom w:val="none" w:sz="0" w:space="0" w:color="auto"/>
        <w:right w:val="none" w:sz="0" w:space="0" w:color="auto"/>
      </w:divBdr>
    </w:div>
    <w:div w:id="1895577269">
      <w:bodyDiv w:val="1"/>
      <w:marLeft w:val="0"/>
      <w:marRight w:val="0"/>
      <w:marTop w:val="0"/>
      <w:marBottom w:val="0"/>
      <w:divBdr>
        <w:top w:val="none" w:sz="0" w:space="0" w:color="auto"/>
        <w:left w:val="none" w:sz="0" w:space="0" w:color="auto"/>
        <w:bottom w:val="none" w:sz="0" w:space="0" w:color="auto"/>
        <w:right w:val="none" w:sz="0" w:space="0" w:color="auto"/>
      </w:divBdr>
    </w:div>
    <w:div w:id="1895657396">
      <w:bodyDiv w:val="1"/>
      <w:marLeft w:val="0"/>
      <w:marRight w:val="0"/>
      <w:marTop w:val="0"/>
      <w:marBottom w:val="0"/>
      <w:divBdr>
        <w:top w:val="none" w:sz="0" w:space="0" w:color="auto"/>
        <w:left w:val="none" w:sz="0" w:space="0" w:color="auto"/>
        <w:bottom w:val="none" w:sz="0" w:space="0" w:color="auto"/>
        <w:right w:val="none" w:sz="0" w:space="0" w:color="auto"/>
      </w:divBdr>
    </w:div>
    <w:div w:id="1908104695">
      <w:bodyDiv w:val="1"/>
      <w:marLeft w:val="0"/>
      <w:marRight w:val="0"/>
      <w:marTop w:val="0"/>
      <w:marBottom w:val="0"/>
      <w:divBdr>
        <w:top w:val="none" w:sz="0" w:space="0" w:color="auto"/>
        <w:left w:val="none" w:sz="0" w:space="0" w:color="auto"/>
        <w:bottom w:val="none" w:sz="0" w:space="0" w:color="auto"/>
        <w:right w:val="none" w:sz="0" w:space="0" w:color="auto"/>
      </w:divBdr>
    </w:div>
    <w:div w:id="1935551511">
      <w:bodyDiv w:val="1"/>
      <w:marLeft w:val="0"/>
      <w:marRight w:val="0"/>
      <w:marTop w:val="0"/>
      <w:marBottom w:val="0"/>
      <w:divBdr>
        <w:top w:val="none" w:sz="0" w:space="0" w:color="auto"/>
        <w:left w:val="none" w:sz="0" w:space="0" w:color="auto"/>
        <w:bottom w:val="none" w:sz="0" w:space="0" w:color="auto"/>
        <w:right w:val="none" w:sz="0" w:space="0" w:color="auto"/>
      </w:divBdr>
    </w:div>
    <w:div w:id="1956936194">
      <w:bodyDiv w:val="1"/>
      <w:marLeft w:val="0"/>
      <w:marRight w:val="0"/>
      <w:marTop w:val="0"/>
      <w:marBottom w:val="0"/>
      <w:divBdr>
        <w:top w:val="none" w:sz="0" w:space="0" w:color="auto"/>
        <w:left w:val="none" w:sz="0" w:space="0" w:color="auto"/>
        <w:bottom w:val="none" w:sz="0" w:space="0" w:color="auto"/>
        <w:right w:val="none" w:sz="0" w:space="0" w:color="auto"/>
      </w:divBdr>
    </w:div>
    <w:div w:id="1958414525">
      <w:bodyDiv w:val="1"/>
      <w:marLeft w:val="0"/>
      <w:marRight w:val="0"/>
      <w:marTop w:val="0"/>
      <w:marBottom w:val="0"/>
      <w:divBdr>
        <w:top w:val="none" w:sz="0" w:space="0" w:color="auto"/>
        <w:left w:val="none" w:sz="0" w:space="0" w:color="auto"/>
        <w:bottom w:val="none" w:sz="0" w:space="0" w:color="auto"/>
        <w:right w:val="none" w:sz="0" w:space="0" w:color="auto"/>
      </w:divBdr>
    </w:div>
    <w:div w:id="1965043617">
      <w:bodyDiv w:val="1"/>
      <w:marLeft w:val="0"/>
      <w:marRight w:val="0"/>
      <w:marTop w:val="0"/>
      <w:marBottom w:val="0"/>
      <w:divBdr>
        <w:top w:val="none" w:sz="0" w:space="0" w:color="auto"/>
        <w:left w:val="none" w:sz="0" w:space="0" w:color="auto"/>
        <w:bottom w:val="none" w:sz="0" w:space="0" w:color="auto"/>
        <w:right w:val="none" w:sz="0" w:space="0" w:color="auto"/>
      </w:divBdr>
    </w:div>
    <w:div w:id="1967540658">
      <w:bodyDiv w:val="1"/>
      <w:marLeft w:val="0"/>
      <w:marRight w:val="0"/>
      <w:marTop w:val="0"/>
      <w:marBottom w:val="0"/>
      <w:divBdr>
        <w:top w:val="none" w:sz="0" w:space="0" w:color="auto"/>
        <w:left w:val="none" w:sz="0" w:space="0" w:color="auto"/>
        <w:bottom w:val="none" w:sz="0" w:space="0" w:color="auto"/>
        <w:right w:val="none" w:sz="0" w:space="0" w:color="auto"/>
      </w:divBdr>
    </w:div>
    <w:div w:id="1987859249">
      <w:bodyDiv w:val="1"/>
      <w:marLeft w:val="0"/>
      <w:marRight w:val="0"/>
      <w:marTop w:val="0"/>
      <w:marBottom w:val="0"/>
      <w:divBdr>
        <w:top w:val="none" w:sz="0" w:space="0" w:color="auto"/>
        <w:left w:val="none" w:sz="0" w:space="0" w:color="auto"/>
        <w:bottom w:val="none" w:sz="0" w:space="0" w:color="auto"/>
        <w:right w:val="none" w:sz="0" w:space="0" w:color="auto"/>
      </w:divBdr>
    </w:div>
    <w:div w:id="1999264221">
      <w:bodyDiv w:val="1"/>
      <w:marLeft w:val="0"/>
      <w:marRight w:val="0"/>
      <w:marTop w:val="0"/>
      <w:marBottom w:val="0"/>
      <w:divBdr>
        <w:top w:val="none" w:sz="0" w:space="0" w:color="auto"/>
        <w:left w:val="none" w:sz="0" w:space="0" w:color="auto"/>
        <w:bottom w:val="none" w:sz="0" w:space="0" w:color="auto"/>
        <w:right w:val="none" w:sz="0" w:space="0" w:color="auto"/>
      </w:divBdr>
    </w:div>
    <w:div w:id="1999842318">
      <w:bodyDiv w:val="1"/>
      <w:marLeft w:val="0"/>
      <w:marRight w:val="0"/>
      <w:marTop w:val="0"/>
      <w:marBottom w:val="0"/>
      <w:divBdr>
        <w:top w:val="none" w:sz="0" w:space="0" w:color="auto"/>
        <w:left w:val="none" w:sz="0" w:space="0" w:color="auto"/>
        <w:bottom w:val="none" w:sz="0" w:space="0" w:color="auto"/>
        <w:right w:val="none" w:sz="0" w:space="0" w:color="auto"/>
      </w:divBdr>
    </w:div>
    <w:div w:id="2001733129">
      <w:bodyDiv w:val="1"/>
      <w:marLeft w:val="0"/>
      <w:marRight w:val="0"/>
      <w:marTop w:val="0"/>
      <w:marBottom w:val="0"/>
      <w:divBdr>
        <w:top w:val="none" w:sz="0" w:space="0" w:color="auto"/>
        <w:left w:val="none" w:sz="0" w:space="0" w:color="auto"/>
        <w:bottom w:val="none" w:sz="0" w:space="0" w:color="auto"/>
        <w:right w:val="none" w:sz="0" w:space="0" w:color="auto"/>
      </w:divBdr>
    </w:div>
    <w:div w:id="2014338117">
      <w:bodyDiv w:val="1"/>
      <w:marLeft w:val="0"/>
      <w:marRight w:val="0"/>
      <w:marTop w:val="0"/>
      <w:marBottom w:val="0"/>
      <w:divBdr>
        <w:top w:val="none" w:sz="0" w:space="0" w:color="auto"/>
        <w:left w:val="none" w:sz="0" w:space="0" w:color="auto"/>
        <w:bottom w:val="none" w:sz="0" w:space="0" w:color="auto"/>
        <w:right w:val="none" w:sz="0" w:space="0" w:color="auto"/>
      </w:divBdr>
    </w:div>
    <w:div w:id="2067412395">
      <w:bodyDiv w:val="1"/>
      <w:marLeft w:val="0"/>
      <w:marRight w:val="0"/>
      <w:marTop w:val="0"/>
      <w:marBottom w:val="0"/>
      <w:divBdr>
        <w:top w:val="none" w:sz="0" w:space="0" w:color="auto"/>
        <w:left w:val="none" w:sz="0" w:space="0" w:color="auto"/>
        <w:bottom w:val="none" w:sz="0" w:space="0" w:color="auto"/>
        <w:right w:val="none" w:sz="0" w:space="0" w:color="auto"/>
      </w:divBdr>
    </w:div>
    <w:div w:id="2067801435">
      <w:bodyDiv w:val="1"/>
      <w:marLeft w:val="0"/>
      <w:marRight w:val="0"/>
      <w:marTop w:val="0"/>
      <w:marBottom w:val="0"/>
      <w:divBdr>
        <w:top w:val="none" w:sz="0" w:space="0" w:color="auto"/>
        <w:left w:val="none" w:sz="0" w:space="0" w:color="auto"/>
        <w:bottom w:val="none" w:sz="0" w:space="0" w:color="auto"/>
        <w:right w:val="none" w:sz="0" w:space="0" w:color="auto"/>
      </w:divBdr>
      <w:divsChild>
        <w:div w:id="507646023">
          <w:marLeft w:val="547"/>
          <w:marRight w:val="0"/>
          <w:marTop w:val="0"/>
          <w:marBottom w:val="0"/>
          <w:divBdr>
            <w:top w:val="none" w:sz="0" w:space="0" w:color="auto"/>
            <w:left w:val="none" w:sz="0" w:space="0" w:color="auto"/>
            <w:bottom w:val="none" w:sz="0" w:space="0" w:color="auto"/>
            <w:right w:val="none" w:sz="0" w:space="0" w:color="auto"/>
          </w:divBdr>
        </w:div>
      </w:divsChild>
    </w:div>
    <w:div w:id="2070641190">
      <w:bodyDiv w:val="1"/>
      <w:marLeft w:val="0"/>
      <w:marRight w:val="0"/>
      <w:marTop w:val="0"/>
      <w:marBottom w:val="0"/>
      <w:divBdr>
        <w:top w:val="none" w:sz="0" w:space="0" w:color="auto"/>
        <w:left w:val="none" w:sz="0" w:space="0" w:color="auto"/>
        <w:bottom w:val="none" w:sz="0" w:space="0" w:color="auto"/>
        <w:right w:val="none" w:sz="0" w:space="0" w:color="auto"/>
      </w:divBdr>
    </w:div>
    <w:div w:id="2084794858">
      <w:bodyDiv w:val="1"/>
      <w:marLeft w:val="0"/>
      <w:marRight w:val="0"/>
      <w:marTop w:val="0"/>
      <w:marBottom w:val="0"/>
      <w:divBdr>
        <w:top w:val="none" w:sz="0" w:space="0" w:color="auto"/>
        <w:left w:val="none" w:sz="0" w:space="0" w:color="auto"/>
        <w:bottom w:val="none" w:sz="0" w:space="0" w:color="auto"/>
        <w:right w:val="none" w:sz="0" w:space="0" w:color="auto"/>
      </w:divBdr>
    </w:div>
    <w:div w:id="2110467782">
      <w:bodyDiv w:val="1"/>
      <w:marLeft w:val="0"/>
      <w:marRight w:val="0"/>
      <w:marTop w:val="0"/>
      <w:marBottom w:val="0"/>
      <w:divBdr>
        <w:top w:val="none" w:sz="0" w:space="0" w:color="auto"/>
        <w:left w:val="none" w:sz="0" w:space="0" w:color="auto"/>
        <w:bottom w:val="none" w:sz="0" w:space="0" w:color="auto"/>
        <w:right w:val="none" w:sz="0" w:space="0" w:color="auto"/>
      </w:divBdr>
    </w:div>
    <w:div w:id="212114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obpr.pmc.gov.au/resources/guidance-assessing-impacts/regulatory-burden-measurement-framework" TargetMode="External"/><Relationship Id="rId39" Type="http://schemas.openxmlformats.org/officeDocument/2006/relationships/chart" Target="charts/chart3.xml"/><Relationship Id="rId21" Type="http://schemas.openxmlformats.org/officeDocument/2006/relationships/hyperlink" Target="https://www.industry.gov.au/regulations-and-standards/measurement-standards/measurement-law-review" TargetMode="External"/><Relationship Id="rId34" Type="http://schemas.openxmlformats.org/officeDocument/2006/relationships/hyperlink" Target="https://www.industry.gov.au/data-and-publications/certificates-of-approval" TargetMode="External"/><Relationship Id="rId42" Type="http://schemas.openxmlformats.org/officeDocument/2006/relationships/hyperlink" Target="file:///C:/Users/KSparkes/AppData/Local/Microsoft/Windows/INetCache/Content.Outlook/YQJJ5RZG/industry.gov.au/measurement-law-review" TargetMode="External"/><Relationship Id="rId47" Type="http://schemas.openxmlformats.org/officeDocument/2006/relationships/glossaryDocument" Target="glossary/document.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diagramData" Target="diagrams/data1.xml"/><Relationship Id="rId11" Type="http://schemas.openxmlformats.org/officeDocument/2006/relationships/header" Target="header1.xml"/><Relationship Id="rId24" Type="http://schemas.openxmlformats.org/officeDocument/2006/relationships/hyperlink" Target="https://www.industry.gov.au/sites/default/files/2020-10/measurement-law-review-overall-summary-of-public-consultations.pdf" TargetMode="External"/><Relationship Id="rId32" Type="http://schemas.openxmlformats.org/officeDocument/2006/relationships/diagramColors" Target="diagrams/colors1.xml"/><Relationship Id="rId37" Type="http://schemas.openxmlformats.org/officeDocument/2006/relationships/image" Target="media/image6.png"/><Relationship Id="rId40" Type="http://schemas.openxmlformats.org/officeDocument/2006/relationships/hyperlink" Target="https://shop.coles.com.au/a/a-national/product/o-cedar-liquid-furniture-polish"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industry.gov.au/regulations-and-standards/measurement-standards/measurement-law-review" TargetMode="External"/><Relationship Id="rId28" Type="http://schemas.openxmlformats.org/officeDocument/2006/relationships/chart" Target="charts/chart2.xml"/><Relationship Id="rId36" Type="http://schemas.openxmlformats.org/officeDocument/2006/relationships/image" Target="media/image5.png"/><Relationship Id="rId49" Type="http://schemas.openxmlformats.org/officeDocument/2006/relationships/customXml" Target="../customXml/item2.xml"/><Relationship Id="rId10" Type="http://schemas.openxmlformats.org/officeDocument/2006/relationships/hyperlink" Target="https://creativecommons.org/licenses/by/4.0/legalcode" TargetMode="External"/><Relationship Id="rId19" Type="http://schemas.openxmlformats.org/officeDocument/2006/relationships/header" Target="header6.xml"/><Relationship Id="rId31" Type="http://schemas.openxmlformats.org/officeDocument/2006/relationships/diagramQuickStyle" Target="diagrams/quickStyle1.xml"/><Relationship Id="rId44" Type="http://schemas.openxmlformats.org/officeDocument/2006/relationships/hyperlink" Target="file:///C:/Users/KSparkes/AppData/Local/Microsoft/Windows/INetCache/Content.Outlook/YQJJ5RZG/industry.gov.au/measurement-law-review" TargetMode="External"/><Relationship Id="rId52"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2.xml"/><Relationship Id="rId22" Type="http://schemas.openxmlformats.org/officeDocument/2006/relationships/hyperlink" Target="https://www.industry.gov.au/sites/default/files/2019-07/measurement-law-review-terms-of-reference.pdf" TargetMode="External"/><Relationship Id="rId27" Type="http://schemas.openxmlformats.org/officeDocument/2006/relationships/chart" Target="charts/chart1.xml"/><Relationship Id="rId30" Type="http://schemas.openxmlformats.org/officeDocument/2006/relationships/diagramLayout" Target="diagrams/layout1.xml"/><Relationship Id="rId35" Type="http://schemas.openxmlformats.org/officeDocument/2006/relationships/hyperlink" Target="https://www.industry.gov.au/regulations-and-standards/servicing-licensees/verifying-measuring-instruments-for-trade" TargetMode="External"/><Relationship Id="rId43" Type="http://schemas.openxmlformats.org/officeDocument/2006/relationships/hyperlink" Target="mailto:measurementlawreview@industry.gov.au" TargetMode="External"/><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jpg"/><Relationship Id="rId33" Type="http://schemas.microsoft.com/office/2007/relationships/diagramDrawing" Target="diagrams/drawing1.xml"/><Relationship Id="rId38" Type="http://schemas.openxmlformats.org/officeDocument/2006/relationships/image" Target="media/image7.png"/><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mailto:measurementlawreview@industry.gov.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6" Type="http://schemas.openxmlformats.org/officeDocument/2006/relationships/hyperlink" Target="https://consult.industry.gov.au/measurement-law-review-consultation/submissions/list" TargetMode="External"/><Relationship Id="rId21" Type="http://schemas.openxmlformats.org/officeDocument/2006/relationships/hyperlink" Target="https://eur-lex.europa.eu/legal-content/EN/TXT/?uri=CELEX%3A01976L0211-20190726" TargetMode="External"/><Relationship Id="rId34" Type="http://schemas.openxmlformats.org/officeDocument/2006/relationships/hyperlink" Target="https://www.minister.industry.gov.au/ministers/craiglaundy/media-releases/measurement-it-rules" TargetMode="External"/><Relationship Id="rId42" Type="http://schemas.openxmlformats.org/officeDocument/2006/relationships/hyperlink" Target="http://ris.pmc.gov.au/sites/default/files/posts/2012/11/unit-pricing-pir1.doc" TargetMode="External"/><Relationship Id="rId47" Type="http://schemas.openxmlformats.org/officeDocument/2006/relationships/hyperlink" Target="http://ris.pmc.gov.au/sites/default/files/posts/2012/11/unit-pricing-pir1.doc" TargetMode="External"/><Relationship Id="rId50" Type="http://schemas.openxmlformats.org/officeDocument/2006/relationships/hyperlink" Target="https://consult.industry.gov.au/packaging-review-team/measurement-mark/supporting_documents/ORIMASurveyResults.docx" TargetMode="External"/><Relationship Id="rId55" Type="http://schemas.openxmlformats.org/officeDocument/2006/relationships/hyperlink" Target="https://www.abs.gov.au/AUSSTATS/abs@.nsf/DetailsPage/6530.02009-10?OpenDocument" TargetMode="External"/><Relationship Id="rId63" Type="http://schemas.openxmlformats.org/officeDocument/2006/relationships/hyperlink" Target="https://www.industry.gov.au/data-and-publications/country-of-origin-labelling-decision-regulation-impact-statement" TargetMode="External"/><Relationship Id="rId68" Type="http://schemas.openxmlformats.org/officeDocument/2006/relationships/hyperlink" Target="https://obpr.pmc.gov.au/sites/default/files/2021-09/regulatory-burden-measurement-framework.pdf" TargetMode="External"/><Relationship Id="rId76" Type="http://schemas.openxmlformats.org/officeDocument/2006/relationships/hyperlink" Target="https://obpr.pmc.gov.au/sites/default/files/2021-09/regulatory-burden-measurement-framework.pdf" TargetMode="External"/><Relationship Id="rId84" Type="http://schemas.openxmlformats.org/officeDocument/2006/relationships/hyperlink" Target="https://obpr.pmc.gov.au/sites/default/files/2021-09/regulatory-burden-measurement-framework.pdf" TargetMode="External"/><Relationship Id="rId89" Type="http://schemas.openxmlformats.org/officeDocument/2006/relationships/hyperlink" Target="https://obpr.pmc.gov.au/sites/default/files/2021-09/regulatory-burden-measurement-framework.pdf" TargetMode="External"/><Relationship Id="rId97" Type="http://schemas.openxmlformats.org/officeDocument/2006/relationships/hyperlink" Target="https://obpr.pmc.gov.au/sites/default/files/2021-09/regulatory-burden-measurement-framework.pdf" TargetMode="External"/><Relationship Id="rId7" Type="http://schemas.openxmlformats.org/officeDocument/2006/relationships/hyperlink" Target="https://www.oiml.org/en/files/pdf_r/r079-e15.pdf" TargetMode="External"/><Relationship Id="rId71" Type="http://schemas.openxmlformats.org/officeDocument/2006/relationships/hyperlink" Target="https://www.choice.com.au/shopping/everyday-shopping/supermarkets/articles/cheapest-groceries-australia" TargetMode="External"/><Relationship Id="rId92" Type="http://schemas.openxmlformats.org/officeDocument/2006/relationships/hyperlink" Target="https://obpr.pmc.gov.au/sites/default/files/2021-09/regulatory-burden-measurement-framework.pdf" TargetMode="External"/><Relationship Id="rId2" Type="http://schemas.openxmlformats.org/officeDocument/2006/relationships/hyperlink" Target="https://www.nist.gov/noac" TargetMode="External"/><Relationship Id="rId16" Type="http://schemas.openxmlformats.org/officeDocument/2006/relationships/hyperlink" Target="https://laws-lois.justice.gc.ca/eng/regulations/C.R.C.,_c._1605/index.html" TargetMode="External"/><Relationship Id="rId29" Type="http://schemas.openxmlformats.org/officeDocument/2006/relationships/hyperlink" Target="https://consult.industry.gov.au/measurement-law-review/mlr-consultation-regulation-impact-statement/" TargetMode="External"/><Relationship Id="rId11" Type="http://schemas.openxmlformats.org/officeDocument/2006/relationships/hyperlink" Target="https://www.legislation.gov.au/Details/F2017C00744" TargetMode="External"/><Relationship Id="rId24" Type="http://schemas.openxmlformats.org/officeDocument/2006/relationships/hyperlink" Target="https://www.legislation.gov.au/Details/C2020C00304" TargetMode="External"/><Relationship Id="rId32" Type="http://schemas.openxmlformats.org/officeDocument/2006/relationships/hyperlink" Target="https://www.industry.gov.au/regulations-and-standards/measurement-standards/review-of-measurement-markings-on-packaging" TargetMode="External"/><Relationship Id="rId37" Type="http://schemas.openxmlformats.org/officeDocument/2006/relationships/hyperlink" Target="https://www.accc.gov.au/business/industry-codes/unit-pricing-code" TargetMode="External"/><Relationship Id="rId40" Type="http://schemas.openxmlformats.org/officeDocument/2006/relationships/hyperlink" Target="https://www.industry.gov.au/regulations-and-standards/measurement-standards/review-of-measurement-markings-on-packaging" TargetMode="External"/><Relationship Id="rId45" Type="http://schemas.openxmlformats.org/officeDocument/2006/relationships/hyperlink" Target="https://www.legislation.gov.au/Details/F2017C00744" TargetMode="External"/><Relationship Id="rId53" Type="http://schemas.openxmlformats.org/officeDocument/2006/relationships/hyperlink" Target="https://www.abs.gov.au/ausstats/abs@.nsf/mf/3236.0" TargetMode="External"/><Relationship Id="rId58" Type="http://schemas.openxmlformats.org/officeDocument/2006/relationships/hyperlink" Target="https://www.choice.com.au/shopping/everyday-shopping/supermarkets/articles/cheapest-groceries-australia" TargetMode="External"/><Relationship Id="rId66" Type="http://schemas.openxmlformats.org/officeDocument/2006/relationships/hyperlink" Target="https://www.rba.gov.au/calculator/annualDecimal.html" TargetMode="External"/><Relationship Id="rId74" Type="http://schemas.openxmlformats.org/officeDocument/2006/relationships/hyperlink" Target="https://www.oiml.org/en" TargetMode="External"/><Relationship Id="rId79" Type="http://schemas.openxmlformats.org/officeDocument/2006/relationships/hyperlink" Target="https://obpr.pmc.gov.au/sites/default/files/2021-09/regulatory-burden-measurement-framework.pdf" TargetMode="External"/><Relationship Id="rId87" Type="http://schemas.openxmlformats.org/officeDocument/2006/relationships/hyperlink" Target="https://obpr.pmc.gov.au/sites/default/files/2021-09/regulatory-burden-measurement-framework.pdf" TargetMode="External"/><Relationship Id="rId102" Type="http://schemas.openxmlformats.org/officeDocument/2006/relationships/hyperlink" Target="https://obpr.pmc.gov.au/sites/default/files/2021-09/regulatory-burden-measurement-framework.pdf" TargetMode="External"/><Relationship Id="rId5" Type="http://schemas.openxmlformats.org/officeDocument/2006/relationships/hyperlink" Target="https://consult.industry.gov.au/measurement-law-review-consultation/submissions/view/sbm1a3e01dcdf05b3e2287f2" TargetMode="External"/><Relationship Id="rId61" Type="http://schemas.openxmlformats.org/officeDocument/2006/relationships/hyperlink" Target="https://www.dfat.gov.au/sites/default/files/cot-2018-19.pdf" TargetMode="External"/><Relationship Id="rId82" Type="http://schemas.openxmlformats.org/officeDocument/2006/relationships/hyperlink" Target="https://obpr.pmc.gov.au/sites/default/files/2021-09/regulatory-burden-measurement-framework.pdf" TargetMode="External"/><Relationship Id="rId90" Type="http://schemas.openxmlformats.org/officeDocument/2006/relationships/hyperlink" Target="https://obpr.pmc.gov.au/sites/default/files/2021-09/regulatory-burden-measurement-framework.pdf" TargetMode="External"/><Relationship Id="rId95" Type="http://schemas.openxmlformats.org/officeDocument/2006/relationships/hyperlink" Target="https://obpr.pmc.gov.au/sites/default/files/2021-09/regulatory-burden-measurement-framework.pdf" TargetMode="External"/><Relationship Id="rId19" Type="http://schemas.openxmlformats.org/officeDocument/2006/relationships/hyperlink" Target="https://www.legislation.gov.uk/uksi/2006/659/contents" TargetMode="External"/><Relationship Id="rId14" Type="http://schemas.openxmlformats.org/officeDocument/2006/relationships/hyperlink" Target="https://www.legislation.gov.au/Details/F2009L02457" TargetMode="External"/><Relationship Id="rId22" Type="http://schemas.openxmlformats.org/officeDocument/2006/relationships/hyperlink" Target="https://eur-lex.europa.eu/legal-content/EN/TXT/?uri=CELEX%3A02011R1169-20180101" TargetMode="External"/><Relationship Id="rId27" Type="http://schemas.openxmlformats.org/officeDocument/2006/relationships/hyperlink" Target="https://www.industry.gov.au/regulations-and-standards/measurement-standards/measurement-law-review" TargetMode="External"/><Relationship Id="rId30" Type="http://schemas.openxmlformats.org/officeDocument/2006/relationships/hyperlink" Target="https://www.industry.gov.au/regulations-and-standards/measurement-standards/review-of-measurement-markings-on-packaging" TargetMode="External"/><Relationship Id="rId35" Type="http://schemas.openxmlformats.org/officeDocument/2006/relationships/hyperlink" Target="https://www.industry.gov.au/regulations-and-standards/measurement-standards/measurement-law-review" TargetMode="External"/><Relationship Id="rId43" Type="http://schemas.openxmlformats.org/officeDocument/2006/relationships/hyperlink" Target="https://industry.gov.au/industry/IndustrySectors/FoodManufacturingIndustry/Documents/CoOL-Decision-RIS.pdf" TargetMode="External"/><Relationship Id="rId48" Type="http://schemas.openxmlformats.org/officeDocument/2006/relationships/hyperlink" Target="https://www.industry.gov.au/data-and-publications/country-of-origin-labelling-decision-regulation-impact-statement" TargetMode="External"/><Relationship Id="rId56" Type="http://schemas.openxmlformats.org/officeDocument/2006/relationships/hyperlink" Target="https://www.choice.com.au/shopping/everyday-shopping/supermarkets/articles/cheapest-groceries-australia" TargetMode="External"/><Relationship Id="rId64" Type="http://schemas.openxmlformats.org/officeDocument/2006/relationships/hyperlink" Target="https://www.industry.gov.au/data-and-publications/country-of-origin-labelling-decision-regulation-impact-statement" TargetMode="External"/><Relationship Id="rId69" Type="http://schemas.openxmlformats.org/officeDocument/2006/relationships/hyperlink" Target="https://www.abs.gov.au/AUSSTATS/abs@.nsf/DetailsPage/6530.02009-10?OpenDocument" TargetMode="External"/><Relationship Id="rId77" Type="http://schemas.openxmlformats.org/officeDocument/2006/relationships/hyperlink" Target="https://obpr.pmc.gov.au/sites/default/files/2021-09/regulatory-burden-measurement-framework.pdf" TargetMode="External"/><Relationship Id="rId100" Type="http://schemas.openxmlformats.org/officeDocument/2006/relationships/hyperlink" Target="https://obpr.pmc.gov.au/sites/default/files/2021-09/regulatory-burden-measurement-framework.pdf" TargetMode="External"/><Relationship Id="rId8" Type="http://schemas.openxmlformats.org/officeDocument/2006/relationships/hyperlink" Target="https://www.oiml.org/en/files/pdf_r/r079-e15.pdf" TargetMode="External"/><Relationship Id="rId51" Type="http://schemas.openxmlformats.org/officeDocument/2006/relationships/hyperlink" Target="https://www.choice.com.au/about-us/media-releases/2014/september/choice-unwraps-industry-push-to-hide-shrinking-packs" TargetMode="External"/><Relationship Id="rId72" Type="http://schemas.openxmlformats.org/officeDocument/2006/relationships/hyperlink" Target="https://www.foreign-trade.com/reference/hscode.htm" TargetMode="External"/><Relationship Id="rId80" Type="http://schemas.openxmlformats.org/officeDocument/2006/relationships/hyperlink" Target="https://obpr.pmc.gov.au/sites/default/files/2021-09/regulatory-burden-measurement-framework.pdf" TargetMode="External"/><Relationship Id="rId85" Type="http://schemas.openxmlformats.org/officeDocument/2006/relationships/hyperlink" Target="https://obpr.pmc.gov.au/sites/default/files/2021-09/regulatory-burden-measurement-framework.pdf" TargetMode="External"/><Relationship Id="rId93" Type="http://schemas.openxmlformats.org/officeDocument/2006/relationships/hyperlink" Target="https://obpr.pmc.gov.au/sites/default/files/2021-09/regulatory-burden-measurement-framework.pdf" TargetMode="External"/><Relationship Id="rId98" Type="http://schemas.openxmlformats.org/officeDocument/2006/relationships/hyperlink" Target="https://obpr.pmc.gov.au/sites/default/files/2021-09/regulatory-burden-measurement-framework.pdf" TargetMode="External"/><Relationship Id="rId3" Type="http://schemas.openxmlformats.org/officeDocument/2006/relationships/hyperlink" Target="https://www.bipm.org/en/committees/cc/" TargetMode="External"/><Relationship Id="rId12" Type="http://schemas.openxmlformats.org/officeDocument/2006/relationships/hyperlink" Target="https://www.legislation.gov.au/Details/F2018C00464" TargetMode="External"/><Relationship Id="rId17" Type="http://schemas.openxmlformats.org/officeDocument/2006/relationships/hyperlink" Target="https://consumeraffairs.nic.in/legalmetrologyactsandrules/legal-metrology-packaged-commodities-rules-2011" TargetMode="External"/><Relationship Id="rId25" Type="http://schemas.openxmlformats.org/officeDocument/2006/relationships/hyperlink" Target="https://www.pmc.gov.au/regulation/guidance-policymakers/regulatory-burden-measurement" TargetMode="External"/><Relationship Id="rId33" Type="http://schemas.openxmlformats.org/officeDocument/2006/relationships/hyperlink" Target="https://consult.industry.gov.au/packaging-review-team/measurement-mark/supporting_documents/ORIMASurveyResults.docx" TargetMode="External"/><Relationship Id="rId38" Type="http://schemas.openxmlformats.org/officeDocument/2006/relationships/hyperlink" Target="https://www.legislation.gov.au/Details/F2017C00744" TargetMode="External"/><Relationship Id="rId46" Type="http://schemas.openxmlformats.org/officeDocument/2006/relationships/hyperlink" Target="https://www.oiml.org/en/files/pdf_r/r079-e15.pdf" TargetMode="External"/><Relationship Id="rId59" Type="http://schemas.openxmlformats.org/officeDocument/2006/relationships/hyperlink" Target="https://obpr.pmc.gov.au/sites/default/files/2021-09/regulatory-burden-measurement-framework.pdf" TargetMode="External"/><Relationship Id="rId67" Type="http://schemas.openxmlformats.org/officeDocument/2006/relationships/hyperlink" Target="https://storage.googleapis.com/converlens-au-industry/industry/p/prj1a3e230fc11f7461253ff/public_assets/ORIMA-Survey-Results.docx" TargetMode="External"/><Relationship Id="rId20" Type="http://schemas.openxmlformats.org/officeDocument/2006/relationships/hyperlink" Target="https://www.legislation.govt.nz/regulation/public/1999/0373/latest/whole.html" TargetMode="External"/><Relationship Id="rId41" Type="http://schemas.openxmlformats.org/officeDocument/2006/relationships/hyperlink" Target="https://www.accc.gov.au/business/industry-codes/unit-pricing-code" TargetMode="External"/><Relationship Id="rId54" Type="http://schemas.openxmlformats.org/officeDocument/2006/relationships/hyperlink" Target="https://obpr.pmc.gov.au/sites/default/files/2021-09/regulatory-burden-measurement-framework.pdf" TargetMode="External"/><Relationship Id="rId62" Type="http://schemas.openxmlformats.org/officeDocument/2006/relationships/hyperlink" Target="https://www.industry.gov.au/regulations-and-standards/measurement-standards/review-of-measurement-markings-on-packaging" TargetMode="External"/><Relationship Id="rId70" Type="http://schemas.openxmlformats.org/officeDocument/2006/relationships/hyperlink" Target="https://www.rba.gov.au/calculator/annualDecimal.html" TargetMode="External"/><Relationship Id="rId75" Type="http://schemas.openxmlformats.org/officeDocument/2006/relationships/hyperlink" Target="https://www.industry.gov.au/strategies-for-the-future/national-measurement-institute" TargetMode="External"/><Relationship Id="rId83" Type="http://schemas.openxmlformats.org/officeDocument/2006/relationships/hyperlink" Target="https://obpr.pmc.gov.au/sites/default/files/2021-09/regulatory-burden-measurement-framework.pdf" TargetMode="External"/><Relationship Id="rId88" Type="http://schemas.openxmlformats.org/officeDocument/2006/relationships/hyperlink" Target="https://obpr.pmc.gov.au/sites/default/files/2021-09/regulatory-burden-measurement-framework.pdf" TargetMode="External"/><Relationship Id="rId91" Type="http://schemas.openxmlformats.org/officeDocument/2006/relationships/hyperlink" Target="https://obpr.pmc.gov.au/sites/default/files/2021-09/regulatory-burden-measurement-framework.pdf" TargetMode="External"/><Relationship Id="rId96" Type="http://schemas.openxmlformats.org/officeDocument/2006/relationships/hyperlink" Target="https://obpr.pmc.gov.au/sites/default/files/2021-09/regulatory-burden-measurement-framework.pdf" TargetMode="External"/><Relationship Id="rId1" Type="http://schemas.openxmlformats.org/officeDocument/2006/relationships/hyperlink" Target="https://www.industry.gov.au/regulations-and-standards/servicing-licensees/verifying-measuring-instruments-for-trade" TargetMode="External"/><Relationship Id="rId6" Type="http://schemas.openxmlformats.org/officeDocument/2006/relationships/hyperlink" Target="https://consult.industry.gov.au/measurement-law-review-consultation/submissions/view/sbm1a3e01dcdf053a8361af4" TargetMode="External"/><Relationship Id="rId15" Type="http://schemas.openxmlformats.org/officeDocument/2006/relationships/hyperlink" Target="https://uscode.house.gov/view.xhtml?req=granuleid%3AUSC-prelim-title15-chapter39&amp;edition=prelim" TargetMode="External"/><Relationship Id="rId23" Type="http://schemas.openxmlformats.org/officeDocument/2006/relationships/hyperlink" Target="https://eur-lex.europa.eu/legal-content/EN/TXT/?uri=CELEX%3A02009R1223-20201203" TargetMode="External"/><Relationship Id="rId28" Type="http://schemas.openxmlformats.org/officeDocument/2006/relationships/hyperlink" Target="https://consult.industry.gov.au/measurement-law-review/mlr-consultation-regulation-impact-statement/" TargetMode="External"/><Relationship Id="rId36" Type="http://schemas.openxmlformats.org/officeDocument/2006/relationships/hyperlink" Target="https://www.oiml.org/en/files/pdf_r/r079-e15.pdf" TargetMode="External"/><Relationship Id="rId49" Type="http://schemas.openxmlformats.org/officeDocument/2006/relationships/hyperlink" Target="https://www.abs.gov.au/ausstats/abs@.nsf/mf/3236.0" TargetMode="External"/><Relationship Id="rId57" Type="http://schemas.openxmlformats.org/officeDocument/2006/relationships/hyperlink" Target="https://www.abs.gov.au/AUSSTATS/abs@.nsf/DetailsPage/6530.02009-10?OpenDocument" TargetMode="External"/><Relationship Id="rId10" Type="http://schemas.openxmlformats.org/officeDocument/2006/relationships/hyperlink" Target="https://www.accc.gov.au/business/industry-codes/unit-pricing-code" TargetMode="External"/><Relationship Id="rId31" Type="http://schemas.openxmlformats.org/officeDocument/2006/relationships/hyperlink" Target="https://www.legislation.gov.au/Details/C2016C00186" TargetMode="External"/><Relationship Id="rId44" Type="http://schemas.openxmlformats.org/officeDocument/2006/relationships/hyperlink" Target="https://en.wikipedia.org/wiki/Fuel" TargetMode="External"/><Relationship Id="rId52" Type="http://schemas.openxmlformats.org/officeDocument/2006/relationships/hyperlink" Target="https://consult.industry.gov.au/packaging-review-team/measurement-mark/supporting_documents/ORIMASurveyResults.docx" TargetMode="External"/><Relationship Id="rId60" Type="http://schemas.openxmlformats.org/officeDocument/2006/relationships/hyperlink" Target="https://www.dfat.gov.au/sites/default/files/cot-2018-19.pdf" TargetMode="External"/><Relationship Id="rId65" Type="http://schemas.openxmlformats.org/officeDocument/2006/relationships/hyperlink" Target="https://www.abs.gov.au/AUSSTATS/abs@.nsf/DetailsPage/6530.02009-10?OpenDocument" TargetMode="External"/><Relationship Id="rId73" Type="http://schemas.openxmlformats.org/officeDocument/2006/relationships/hyperlink" Target="https://www.industry.gov.au/data-and-publications/country-of-origin-labelling-decision-regulation-impact-statement" TargetMode="External"/><Relationship Id="rId78" Type="http://schemas.openxmlformats.org/officeDocument/2006/relationships/hyperlink" Target="https://obpr.pmc.gov.au/sites/default/files/2021-09/regulatory-burden-measurement-framework.pdf" TargetMode="External"/><Relationship Id="rId81" Type="http://schemas.openxmlformats.org/officeDocument/2006/relationships/hyperlink" Target="https://obpr.pmc.gov.au/sites/default/files/2021-09/regulatory-burden-measurement-framework.pdf" TargetMode="External"/><Relationship Id="rId86" Type="http://schemas.openxmlformats.org/officeDocument/2006/relationships/hyperlink" Target="https://obpr.pmc.gov.au/sites/default/files/2021-09/regulatory-burden-measurement-framework.pdf" TargetMode="External"/><Relationship Id="rId94" Type="http://schemas.openxmlformats.org/officeDocument/2006/relationships/hyperlink" Target="https://obpr.pmc.gov.au/sites/default/files/2021-09/regulatory-burden-measurement-framework.pdf" TargetMode="External"/><Relationship Id="rId99" Type="http://schemas.openxmlformats.org/officeDocument/2006/relationships/hyperlink" Target="https://obpr.pmc.gov.au/sites/default/files/2021-09/regulatory-burden-measurement-framework.pdf" TargetMode="External"/><Relationship Id="rId101" Type="http://schemas.openxmlformats.org/officeDocument/2006/relationships/hyperlink" Target="https://obpr.pmc.gov.au/sites/default/files/2021-09/regulatory-burden-measurement-framework.pdf" TargetMode="External"/><Relationship Id="rId4" Type="http://schemas.openxmlformats.org/officeDocument/2006/relationships/hyperlink" Target="https://www.bipm.org/en/cipm-mra/kcdb.html" TargetMode="External"/><Relationship Id="rId9" Type="http://schemas.openxmlformats.org/officeDocument/2006/relationships/hyperlink" Target="https://www.industry.gov.au/regulations-and-standards/measurement-standards/review-of-measurement-markings-on-packaging" TargetMode="External"/><Relationship Id="rId13" Type="http://schemas.openxmlformats.org/officeDocument/2006/relationships/hyperlink" Target="https://www.legislation.gov.au/Details/F2009L02457" TargetMode="External"/><Relationship Id="rId18" Type="http://schemas.openxmlformats.org/officeDocument/2006/relationships/hyperlink" Target="https://eur-lex.europa.eu/legal-content/EN/TXT/?uri=CELEX%3A01976L0211-20190726" TargetMode="External"/><Relationship Id="rId39" Type="http://schemas.openxmlformats.org/officeDocument/2006/relationships/hyperlink" Target="https://consult.industry.gov.au/packaging-review-team/measurement-mark/supporting_documents/ORIMASurveyResults.doc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ochub/div/nationalmeasurementinstitute/programmesprojectstaskforces/legislativereview/docs/Consult%20RIS%20-%20Consultation%20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ochub/div/nationalmeasurementinstitute/programmesprojectstaskforces/legislativereview/docs/Consult%20RIS%20-%20Consultation%20Data%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[Consult RIS - Consultation Data Analysis.xlsx]Submission Pivotcharts!PivotTable4</c:name>
    <c:fmtId val="-1"/>
  </c:pivotSource>
  <c:chart>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9"/>
        <c:dLbl>
          <c:idx val="0"/>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4"/>
      </c:pivotFmt>
      <c:pivotFmt>
        <c:idx val="55"/>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2"/>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3"/>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4"/>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ic"/>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790951729239229"/>
          <c:y val="3.7933834683190129E-2"/>
          <c:w val="0.56180208281542077"/>
          <c:h val="0.75384615384615383"/>
        </c:manualLayout>
      </c:layout>
      <c:barChart>
        <c:barDir val="col"/>
        <c:grouping val="stacked"/>
        <c:varyColors val="0"/>
        <c:ser>
          <c:idx val="0"/>
          <c:order val="0"/>
          <c:tx>
            <c:strRef>
              <c:f>'Submission Pivotcharts'!$B$3:$B$4</c:f>
              <c:strCache>
                <c:ptCount val="1"/>
                <c:pt idx="0">
                  <c:v>Consumer Group</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'Submission Pivotcharts'!$A$5:$A$10</c:f>
              <c:strCache>
                <c:ptCount val="5"/>
                <c:pt idx="0">
                  <c:v>Consumer Group</c:v>
                </c:pt>
                <c:pt idx="1">
                  <c:v>Government</c:v>
                </c:pt>
                <c:pt idx="2">
                  <c:v>Individual</c:v>
                </c:pt>
                <c:pt idx="3">
                  <c:v>Industry</c:v>
                </c:pt>
                <c:pt idx="4">
                  <c:v>Peak Industry Association</c:v>
                </c:pt>
              </c:strCache>
            </c:strRef>
          </c:cat>
          <c:val>
            <c:numRef>
              <c:f>'Submission Pivotcharts'!$B$5:$B$10</c:f>
              <c:numCache>
                <c:formatCode>General</c:formatCode>
                <c:ptCount val="5"/>
                <c:pt idx="0">
                  <c:v>3</c:v>
                </c:pt>
              </c:numCache>
            </c:numRef>
          </c:val>
          <c:extLst>
            <c:ext xmlns:c16="http://schemas.microsoft.com/office/drawing/2014/chart" uri="{C3380CC4-5D6E-409C-BE32-E72D297353CC}">
              <c16:uniqueId val="{00000000-DF12-4A3C-9FBF-9EC477FC5D05}"/>
            </c:ext>
          </c:extLst>
        </c:ser>
        <c:ser>
          <c:idx val="1"/>
          <c:order val="1"/>
          <c:tx>
            <c:strRef>
              <c:f>'Submission Pivotcharts'!$C$3:$C$4</c:f>
              <c:strCache>
                <c:ptCount val="1"/>
                <c:pt idx="0">
                  <c:v>Government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'Submission Pivotcharts'!$A$5:$A$10</c:f>
              <c:strCache>
                <c:ptCount val="5"/>
                <c:pt idx="0">
                  <c:v>Consumer Group</c:v>
                </c:pt>
                <c:pt idx="1">
                  <c:v>Government</c:v>
                </c:pt>
                <c:pt idx="2">
                  <c:v>Individual</c:v>
                </c:pt>
                <c:pt idx="3">
                  <c:v>Industry</c:v>
                </c:pt>
                <c:pt idx="4">
                  <c:v>Peak Industry Association</c:v>
                </c:pt>
              </c:strCache>
            </c:strRef>
          </c:cat>
          <c:val>
            <c:numRef>
              <c:f>'Submission Pivotcharts'!$C$5:$C$10</c:f>
              <c:numCache>
                <c:formatCode>General</c:formatCode>
                <c:ptCount val="5"/>
                <c:pt idx="1">
                  <c:v>3</c:v>
                </c:pt>
              </c:numCache>
            </c:numRef>
          </c:val>
          <c:extLst>
            <c:ext xmlns:c16="http://schemas.microsoft.com/office/drawing/2014/chart" uri="{C3380CC4-5D6E-409C-BE32-E72D297353CC}">
              <c16:uniqueId val="{00000001-DF12-4A3C-9FBF-9EC477FC5D05}"/>
            </c:ext>
          </c:extLst>
        </c:ser>
        <c:ser>
          <c:idx val="2"/>
          <c:order val="2"/>
          <c:tx>
            <c:strRef>
              <c:f>'Submission Pivotcharts'!$D$3:$D$4</c:f>
              <c:strCache>
                <c:ptCount val="1"/>
                <c:pt idx="0">
                  <c:v>Individual</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'Submission Pivotcharts'!$A$5:$A$10</c:f>
              <c:strCache>
                <c:ptCount val="5"/>
                <c:pt idx="0">
                  <c:v>Consumer Group</c:v>
                </c:pt>
                <c:pt idx="1">
                  <c:v>Government</c:v>
                </c:pt>
                <c:pt idx="2">
                  <c:v>Individual</c:v>
                </c:pt>
                <c:pt idx="3">
                  <c:v>Industry</c:v>
                </c:pt>
                <c:pt idx="4">
                  <c:v>Peak Industry Association</c:v>
                </c:pt>
              </c:strCache>
            </c:strRef>
          </c:cat>
          <c:val>
            <c:numRef>
              <c:f>'Submission Pivotcharts'!$D$5:$D$10</c:f>
              <c:numCache>
                <c:formatCode>General</c:formatCode>
                <c:ptCount val="5"/>
                <c:pt idx="2">
                  <c:v>9</c:v>
                </c:pt>
              </c:numCache>
            </c:numRef>
          </c:val>
          <c:extLst>
            <c:ext xmlns:c16="http://schemas.microsoft.com/office/drawing/2014/chart" uri="{C3380CC4-5D6E-409C-BE32-E72D297353CC}">
              <c16:uniqueId val="{00000002-DF12-4A3C-9FBF-9EC477FC5D05}"/>
            </c:ext>
          </c:extLst>
        </c:ser>
        <c:ser>
          <c:idx val="3"/>
          <c:order val="3"/>
          <c:tx>
            <c:strRef>
              <c:f>'Submission Pivotcharts'!$E$3:$E$4</c:f>
              <c:strCache>
                <c:ptCount val="1"/>
                <c:pt idx="0">
                  <c:v>Peak Industry Association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'Submission Pivotcharts'!$A$5:$A$10</c:f>
              <c:strCache>
                <c:ptCount val="5"/>
                <c:pt idx="0">
                  <c:v>Consumer Group</c:v>
                </c:pt>
                <c:pt idx="1">
                  <c:v>Government</c:v>
                </c:pt>
                <c:pt idx="2">
                  <c:v>Individual</c:v>
                </c:pt>
                <c:pt idx="3">
                  <c:v>Industry</c:v>
                </c:pt>
                <c:pt idx="4">
                  <c:v>Peak Industry Association</c:v>
                </c:pt>
              </c:strCache>
            </c:strRef>
          </c:cat>
          <c:val>
            <c:numRef>
              <c:f>'Submission Pivotcharts'!$E$5:$E$10</c:f>
              <c:numCache>
                <c:formatCode>General</c:formatCode>
                <c:ptCount val="5"/>
                <c:pt idx="4">
                  <c:v>12</c:v>
                </c:pt>
              </c:numCache>
            </c:numRef>
          </c:val>
          <c:extLst>
            <c:ext xmlns:c16="http://schemas.microsoft.com/office/drawing/2014/chart" uri="{C3380CC4-5D6E-409C-BE32-E72D297353CC}">
              <c16:uniqueId val="{00000003-DF12-4A3C-9FBF-9EC477FC5D05}"/>
            </c:ext>
          </c:extLst>
        </c:ser>
        <c:ser>
          <c:idx val="4"/>
          <c:order val="4"/>
          <c:tx>
            <c:strRef>
              <c:f>'Submission Pivotcharts'!$F$3:$F$4</c:f>
              <c:strCache>
                <c:ptCount val="1"/>
                <c:pt idx="0">
                  <c:v>Wholesaler / retailer / packer / importer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'Submission Pivotcharts'!$A$5:$A$10</c:f>
              <c:strCache>
                <c:ptCount val="5"/>
                <c:pt idx="0">
                  <c:v>Consumer Group</c:v>
                </c:pt>
                <c:pt idx="1">
                  <c:v>Government</c:v>
                </c:pt>
                <c:pt idx="2">
                  <c:v>Individual</c:v>
                </c:pt>
                <c:pt idx="3">
                  <c:v>Industry</c:v>
                </c:pt>
                <c:pt idx="4">
                  <c:v>Peak Industry Association</c:v>
                </c:pt>
              </c:strCache>
            </c:strRef>
          </c:cat>
          <c:val>
            <c:numRef>
              <c:f>'Submission Pivotcharts'!$F$5:$F$10</c:f>
              <c:numCache>
                <c:formatCode>General</c:formatCode>
                <c:ptCount val="5"/>
                <c:pt idx="3">
                  <c:v>4</c:v>
                </c:pt>
              </c:numCache>
            </c:numRef>
          </c:val>
          <c:extLst>
            <c:ext xmlns:c16="http://schemas.microsoft.com/office/drawing/2014/chart" uri="{C3380CC4-5D6E-409C-BE32-E72D297353CC}">
              <c16:uniqueId val="{00000004-DF12-4A3C-9FBF-9EC477FC5D05}"/>
            </c:ext>
          </c:extLst>
        </c:ser>
        <c:ser>
          <c:idx val="5"/>
          <c:order val="5"/>
          <c:tx>
            <c:strRef>
              <c:f>'Submission Pivotcharts'!$G$3:$G$4</c:f>
              <c:strCache>
                <c:ptCount val="1"/>
                <c:pt idx="0">
                  <c:v>Measuring instrument manufacturers and Authorised Third Parties</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'Submission Pivotcharts'!$A$5:$A$10</c:f>
              <c:strCache>
                <c:ptCount val="5"/>
                <c:pt idx="0">
                  <c:v>Consumer Group</c:v>
                </c:pt>
                <c:pt idx="1">
                  <c:v>Government</c:v>
                </c:pt>
                <c:pt idx="2">
                  <c:v>Individual</c:v>
                </c:pt>
                <c:pt idx="3">
                  <c:v>Industry</c:v>
                </c:pt>
                <c:pt idx="4">
                  <c:v>Peak Industry Association</c:v>
                </c:pt>
              </c:strCache>
            </c:strRef>
          </c:cat>
          <c:val>
            <c:numRef>
              <c:f>'Submission Pivotcharts'!$G$5:$G$10</c:f>
              <c:numCache>
                <c:formatCode>General</c:formatCode>
                <c:ptCount val="5"/>
                <c:pt idx="3">
                  <c:v>7</c:v>
                </c:pt>
              </c:numCache>
            </c:numRef>
          </c:val>
          <c:extLst>
            <c:ext xmlns:c16="http://schemas.microsoft.com/office/drawing/2014/chart" uri="{C3380CC4-5D6E-409C-BE32-E72D297353CC}">
              <c16:uniqueId val="{00000005-DF12-4A3C-9FBF-9EC477FC5D05}"/>
            </c:ext>
          </c:extLst>
        </c:ser>
        <c:dLbls>
          <c:dLblPos val="ctr"/>
          <c:showLegendKey val="0"/>
          <c:showVal val="1"/>
          <c:showCatName val="0"/>
          <c:showSerName val="0"/>
          <c:showPercent val="0"/>
          <c:showBubbleSize val="0"/>
        </c:dLbls>
        <c:gapWidth val="50"/>
        <c:overlap val="100"/>
        <c:axId val="512471296"/>
        <c:axId val="512471688"/>
      </c:barChart>
      <c:catAx>
        <c:axId val="512471296"/>
        <c:scaling>
          <c:orientation val="minMax"/>
        </c:scaling>
        <c:delete val="0"/>
        <c:axPos val="b"/>
        <c:title>
          <c:tx>
            <c:rich>
              <a:bodyPr rot="0" spcFirstLastPara="1" vertOverflow="ellipsis" vert="horz" wrap="square" anchor="ctr" anchorCtr="1"/>
              <a:lstStyle/>
              <a:p>
                <a:pPr>
                  <a:defRPr sz="1100" b="0" i="0" u="none" strike="noStrike" kern="1200" cap="none" baseline="0">
                    <a:solidFill>
                      <a:schemeClr val="tx1">
                        <a:lumMod val="65000"/>
                        <a:lumOff val="35000"/>
                      </a:schemeClr>
                    </a:solidFill>
                    <a:latin typeface="+mn-lt"/>
                    <a:ea typeface="+mn-ea"/>
                    <a:cs typeface="+mn-cs"/>
                  </a:defRPr>
                </a:pPr>
                <a:r>
                  <a:rPr lang="en-AU" sz="1100" b="1" cap="none" baseline="0">
                    <a:latin typeface="+mn-lt"/>
                  </a:rPr>
                  <a:t>Stakeholder Group</a:t>
                </a:r>
              </a:p>
            </c:rich>
          </c:tx>
          <c:layout/>
          <c:overlay val="0"/>
          <c:spPr>
            <a:noFill/>
            <a:ln>
              <a:noFill/>
            </a:ln>
            <a:effectLst/>
          </c:spPr>
          <c:txPr>
            <a:bodyPr rot="0" spcFirstLastPara="1" vertOverflow="ellipsis" vert="horz" wrap="square" anchor="ctr" anchorCtr="1"/>
            <a:lstStyle/>
            <a:p>
              <a:pPr>
                <a:defRPr sz="11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471688"/>
        <c:crosses val="autoZero"/>
        <c:auto val="1"/>
        <c:lblAlgn val="ctr"/>
        <c:lblOffset val="100"/>
        <c:noMultiLvlLbl val="0"/>
      </c:catAx>
      <c:valAx>
        <c:axId val="51247168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1100" b="0" i="0" u="none" strike="noStrike" kern="1200" cap="none" baseline="0">
                    <a:solidFill>
                      <a:schemeClr val="tx1">
                        <a:lumMod val="65000"/>
                        <a:lumOff val="35000"/>
                      </a:schemeClr>
                    </a:solidFill>
                    <a:latin typeface="+mn-lt"/>
                    <a:ea typeface="+mn-ea"/>
                    <a:cs typeface="+mn-cs"/>
                  </a:defRPr>
                </a:pPr>
                <a:r>
                  <a:rPr lang="en-AU" sz="1100" b="1" cap="none" baseline="0">
                    <a:latin typeface="+mn-lt"/>
                  </a:rPr>
                  <a:t>Number of Respondents</a:t>
                </a:r>
              </a:p>
            </c:rich>
          </c:tx>
          <c:layout/>
          <c:overlay val="0"/>
          <c:spPr>
            <a:noFill/>
            <a:ln>
              <a:noFill/>
            </a:ln>
            <a:effectLst/>
          </c:spPr>
          <c:txPr>
            <a:bodyPr rot="-5400000" spcFirstLastPara="1" vertOverflow="ellipsis" vert="horz" wrap="square" anchor="ctr" anchorCtr="1"/>
            <a:lstStyle/>
            <a:p>
              <a:pPr>
                <a:defRPr sz="11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12471296"/>
        <c:crosses val="autoZero"/>
        <c:crossBetween val="between"/>
      </c:valAx>
      <c:spPr>
        <a:noFill/>
        <a:ln>
          <a:noFill/>
        </a:ln>
        <a:effectLst/>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70294523254383823"/>
          <c:y val="0.32029234092504943"/>
          <c:w val="0.29483919196042668"/>
          <c:h val="0.335589586359567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othic"/>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latin typeface="Gothic"/>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[Consult RIS - Consultation Data Analysis.xlsx]Targeted Pivotchart!PivotTable3</c:name>
    <c:fmtId val="-1"/>
  </c:pivotSource>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dLbl>
          <c:idx val="0"/>
          <c:showLegendKey val="0"/>
          <c:showVal val="1"/>
          <c:showCatName val="0"/>
          <c:showSerName val="0"/>
          <c:showPercent val="0"/>
          <c:showBubbleSize val="0"/>
          <c:extLst>
            <c:ext xmlns:c15="http://schemas.microsoft.com/office/drawing/2012/chart" uri="{CE6537A1-D6FC-4f65-9D91-7224C49458BB}"/>
          </c:extLst>
        </c:dLbl>
      </c:pivotFmt>
      <c:pivotFmt>
        <c:idx val="26"/>
      </c:pivotFmt>
      <c:pivotFmt>
        <c:idx val="27"/>
      </c:pivotFmt>
      <c:pivotFmt>
        <c:idx val="28"/>
      </c:pivotFmt>
      <c:pivotFmt>
        <c:idx val="29"/>
      </c:pivotFmt>
      <c:pivotFmt>
        <c:idx val="30"/>
      </c:pivotFmt>
      <c:pivotFmt>
        <c:idx val="31"/>
        <c:dLbl>
          <c:idx val="0"/>
          <c:showLegendKey val="0"/>
          <c:showVal val="1"/>
          <c:showCatName val="0"/>
          <c:showSerName val="0"/>
          <c:showPercent val="0"/>
          <c:showBubbleSize val="0"/>
          <c:extLst>
            <c:ext xmlns:c15="http://schemas.microsoft.com/office/drawing/2012/chart" uri="{CE6537A1-D6FC-4f65-9D91-7224C49458BB}"/>
          </c:extLst>
        </c:dLbl>
      </c:pivotFmt>
      <c:pivotFmt>
        <c:idx val="32"/>
        <c:dLbl>
          <c:idx val="0"/>
          <c:showLegendKey val="0"/>
          <c:showVal val="1"/>
          <c:showCatName val="0"/>
          <c:showSerName val="0"/>
          <c:showPercent val="0"/>
          <c:showBubbleSize val="0"/>
          <c:extLst>
            <c:ext xmlns:c15="http://schemas.microsoft.com/office/drawing/2012/chart" uri="{CE6537A1-D6FC-4f65-9D91-7224C49458BB}"/>
          </c:extLst>
        </c:dLbl>
      </c:pivotFmt>
      <c:pivotFmt>
        <c:idx val="33"/>
        <c:dLbl>
          <c:idx val="0"/>
          <c:showLegendKey val="0"/>
          <c:showVal val="1"/>
          <c:showCatName val="0"/>
          <c:showSerName val="0"/>
          <c:showPercent val="0"/>
          <c:showBubbleSize val="0"/>
          <c:extLst>
            <c:ext xmlns:c15="http://schemas.microsoft.com/office/drawing/2012/chart" uri="{CE6537A1-D6FC-4f65-9D91-7224C49458BB}"/>
          </c:extLst>
        </c:dLbl>
      </c:pivotFmt>
      <c:pivotFmt>
        <c:idx val="34"/>
        <c:dLbl>
          <c:idx val="0"/>
          <c:showLegendKey val="0"/>
          <c:showVal val="1"/>
          <c:showCatName val="0"/>
          <c:showSerName val="0"/>
          <c:showPercent val="0"/>
          <c:showBubbleSize val="0"/>
          <c:extLst>
            <c:ext xmlns:c15="http://schemas.microsoft.com/office/drawing/2012/chart" uri="{CE6537A1-D6FC-4f65-9D91-7224C49458BB}"/>
          </c:extLst>
        </c:dLbl>
      </c:pivotFmt>
      <c:pivotFmt>
        <c:idx val="35"/>
        <c:dLbl>
          <c:idx val="0"/>
          <c:showLegendKey val="0"/>
          <c:showVal val="1"/>
          <c:showCatName val="1"/>
          <c:showSerName val="0"/>
          <c:showPercent val="0"/>
          <c:showBubbleSize val="0"/>
          <c:extLst>
            <c:ext xmlns:c15="http://schemas.microsoft.com/office/drawing/2012/chart" uri="{CE6537A1-D6FC-4f65-9D91-7224C49458BB}"/>
          </c:extLst>
        </c:dLbl>
      </c:pivotFmt>
      <c:pivotFmt>
        <c:idx val="36"/>
      </c:pivotFmt>
      <c:pivotFmt>
        <c:idx val="37"/>
      </c:pivotFmt>
      <c:pivotFmt>
        <c:idx val="38"/>
      </c:pivotFmt>
      <c:pivotFmt>
        <c:idx val="39"/>
      </c:pivotFmt>
      <c:pivotFmt>
        <c:idx val="40"/>
        <c:dLbl>
          <c:idx val="0"/>
          <c:showLegendKey val="0"/>
          <c:showVal val="1"/>
          <c:showCatName val="1"/>
          <c:showSerName val="0"/>
          <c:showPercent val="0"/>
          <c:showBubbleSize val="0"/>
          <c:extLst>
            <c:ext xmlns:c15="http://schemas.microsoft.com/office/drawing/2012/chart" uri="{CE6537A1-D6FC-4f65-9D91-7224C49458BB}"/>
          </c:extLst>
        </c:dLbl>
      </c:pivotFmt>
      <c:pivotFmt>
        <c:idx val="41"/>
        <c:dLbl>
          <c:idx val="0"/>
          <c:showLegendKey val="0"/>
          <c:showVal val="1"/>
          <c:showCatName val="1"/>
          <c:showSerName val="0"/>
          <c:showPercent val="0"/>
          <c:showBubbleSize val="0"/>
          <c:extLst>
            <c:ext xmlns:c15="http://schemas.microsoft.com/office/drawing/2012/chart" uri="{CE6537A1-D6FC-4f65-9D91-7224C49458BB}"/>
          </c:extLst>
        </c:dLbl>
      </c:pivotFmt>
      <c:pivotFmt>
        <c:idx val="42"/>
        <c:dLbl>
          <c:idx val="0"/>
          <c:showLegendKey val="0"/>
          <c:showVal val="1"/>
          <c:showCatName val="1"/>
          <c:showSerName val="0"/>
          <c:showPercent val="0"/>
          <c:showBubbleSize val="0"/>
          <c:extLst>
            <c:ext xmlns:c15="http://schemas.microsoft.com/office/drawing/2012/chart" uri="{CE6537A1-D6FC-4f65-9D91-7224C49458BB}"/>
          </c:extLst>
        </c:dLbl>
      </c:pivotFmt>
      <c:pivotFmt>
        <c:idx val="43"/>
        <c:dLbl>
          <c:idx val="0"/>
          <c:showLegendKey val="0"/>
          <c:showVal val="1"/>
          <c:showCatName val="1"/>
          <c:showSerName val="0"/>
          <c:showPercent val="0"/>
          <c:showBubbleSize val="0"/>
          <c:extLst>
            <c:ext xmlns:c15="http://schemas.microsoft.com/office/drawing/2012/chart" uri="{CE6537A1-D6FC-4f65-9D91-7224C49458BB}"/>
          </c:extLst>
        </c:dLbl>
      </c:pivotFmt>
      <c:pivotFmt>
        <c:idx val="44"/>
        <c:dLbl>
          <c:idx val="0"/>
          <c:showLegendKey val="0"/>
          <c:showVal val="1"/>
          <c:showCatName val="1"/>
          <c:showSerName val="0"/>
          <c:showPercent val="0"/>
          <c:showBubbleSize val="0"/>
          <c:extLst>
            <c:ext xmlns:c15="http://schemas.microsoft.com/office/drawing/2012/chart" uri="{CE6537A1-D6FC-4f65-9D91-7224C49458BB}"/>
          </c:extLst>
        </c:dLbl>
      </c:pivotFmt>
      <c:pivotFmt>
        <c:idx val="45"/>
        <c:dLbl>
          <c:idx val="0"/>
          <c:showLegendKey val="0"/>
          <c:showVal val="1"/>
          <c:showCatName val="1"/>
          <c:showSerName val="0"/>
          <c:showPercent val="0"/>
          <c:showBubbleSize val="0"/>
          <c:extLst>
            <c:ext xmlns:c15="http://schemas.microsoft.com/office/drawing/2012/chart" uri="{CE6537A1-D6FC-4f65-9D91-7224C49458BB}"/>
          </c:extLst>
        </c:dLbl>
      </c:pivotFmt>
      <c:pivotFmt>
        <c:idx val="46"/>
      </c:pivotFmt>
      <c:pivotFmt>
        <c:idx val="47"/>
        <c:dLbl>
          <c:idx val="0"/>
          <c:showLegendKey val="0"/>
          <c:showVal val="1"/>
          <c:showCatName val="1"/>
          <c:showSerName val="0"/>
          <c:showPercent val="0"/>
          <c:showBubbleSize val="0"/>
          <c:extLst>
            <c:ext xmlns:c15="http://schemas.microsoft.com/office/drawing/2012/chart" uri="{CE6537A1-D6FC-4f65-9D91-7224C49458BB}"/>
          </c:extLst>
        </c:dLbl>
      </c:pivotFmt>
      <c:pivotFmt>
        <c:idx val="48"/>
        <c:dLbl>
          <c:idx val="0"/>
          <c:showLegendKey val="0"/>
          <c:showVal val="1"/>
          <c:showCatName val="1"/>
          <c:showSerName val="0"/>
          <c:showPercent val="0"/>
          <c:showBubbleSize val="0"/>
          <c:extLst>
            <c:ext xmlns:c15="http://schemas.microsoft.com/office/drawing/2012/chart" uri="{CE6537A1-D6FC-4f65-9D91-7224C49458BB}"/>
          </c:extLst>
        </c:dLbl>
      </c:pivotFmt>
      <c:pivotFmt>
        <c:idx val="49"/>
        <c:dLbl>
          <c:idx val="0"/>
          <c:showLegendKey val="0"/>
          <c:showVal val="1"/>
          <c:showCatName val="1"/>
          <c:showSerName val="0"/>
          <c:showPercent val="0"/>
          <c:showBubbleSize val="0"/>
          <c:extLst>
            <c:ext xmlns:c15="http://schemas.microsoft.com/office/drawing/2012/chart" uri="{CE6537A1-D6FC-4f65-9D91-7224C49458BB}"/>
          </c:extLst>
        </c:dLbl>
      </c:pivotFmt>
      <c:pivotFmt>
        <c:idx val="50"/>
        <c:dLbl>
          <c:idx val="0"/>
          <c:showLegendKey val="0"/>
          <c:showVal val="1"/>
          <c:showCatName val="1"/>
          <c:showSerName val="0"/>
          <c:showPercent val="0"/>
          <c:showBubbleSize val="0"/>
          <c:extLst>
            <c:ext xmlns:c15="http://schemas.microsoft.com/office/drawing/2012/chart" uri="{CE6537A1-D6FC-4f65-9D91-7224C49458BB}"/>
          </c:extLst>
        </c:dLbl>
      </c:pivotFmt>
      <c:pivotFmt>
        <c:idx val="51"/>
        <c:dLbl>
          <c:idx val="0"/>
          <c:showLegendKey val="0"/>
          <c:showVal val="1"/>
          <c:showCatName val="1"/>
          <c:showSerName val="0"/>
          <c:showPercent val="0"/>
          <c:showBubbleSize val="0"/>
          <c:extLst>
            <c:ext xmlns:c15="http://schemas.microsoft.com/office/drawing/2012/chart" uri="{CE6537A1-D6FC-4f65-9D91-7224C49458BB}"/>
          </c:extLst>
        </c:dLbl>
      </c:pivotFmt>
      <c:pivotFmt>
        <c:idx val="52"/>
        <c:dLbl>
          <c:idx val="0"/>
          <c:showLegendKey val="0"/>
          <c:showVal val="1"/>
          <c:showCatName val="1"/>
          <c:showSerName val="0"/>
          <c:showPercent val="0"/>
          <c:showBubbleSize val="0"/>
          <c:extLst>
            <c:ext xmlns:c15="http://schemas.microsoft.com/office/drawing/2012/chart" uri="{CE6537A1-D6FC-4f65-9D91-7224C49458BB}"/>
          </c:extLst>
        </c:dLbl>
      </c:pivotFmt>
      <c:pivotFmt>
        <c:idx val="53"/>
        <c:dLbl>
          <c:idx val="0"/>
          <c:showLegendKey val="0"/>
          <c:showVal val="1"/>
          <c:showCatName val="1"/>
          <c:showSerName val="0"/>
          <c:showPercent val="0"/>
          <c:showBubbleSize val="0"/>
          <c:extLst>
            <c:ext xmlns:c15="http://schemas.microsoft.com/office/drawing/2012/chart" uri="{CE6537A1-D6FC-4f65-9D91-7224C49458BB}"/>
          </c:extLst>
        </c:dLbl>
      </c:pivotFmt>
      <c:pivotFmt>
        <c:idx val="54"/>
        <c:dLbl>
          <c:idx val="0"/>
          <c:showLegendKey val="0"/>
          <c:showVal val="1"/>
          <c:showCatName val="1"/>
          <c:showSerName val="0"/>
          <c:showPercent val="0"/>
          <c:showBubbleSize val="0"/>
          <c:extLst>
            <c:ext xmlns:c15="http://schemas.microsoft.com/office/drawing/2012/chart" uri="{CE6537A1-D6FC-4f65-9D91-7224C49458BB}"/>
          </c:extLst>
        </c:dLbl>
      </c:pivotFmt>
      <c:pivotFmt>
        <c:idx val="55"/>
        <c:dLbl>
          <c:idx val="0"/>
          <c:showLegendKey val="0"/>
          <c:showVal val="1"/>
          <c:showCatName val="1"/>
          <c:showSerName val="0"/>
          <c:showPercent val="0"/>
          <c:showBubbleSize val="0"/>
          <c:extLst>
            <c:ext xmlns:c15="http://schemas.microsoft.com/office/drawing/2012/chart" uri="{CE6537A1-D6FC-4f65-9D91-7224C49458BB}"/>
          </c:extLst>
        </c:dLbl>
      </c:pivotFmt>
      <c:pivotFmt>
        <c:idx val="56"/>
        <c:dLbl>
          <c:idx val="0"/>
          <c:showLegendKey val="0"/>
          <c:showVal val="1"/>
          <c:showCatName val="1"/>
          <c:showSerName val="0"/>
          <c:showPercent val="0"/>
          <c:showBubbleSize val="0"/>
          <c:extLst>
            <c:ext xmlns:c15="http://schemas.microsoft.com/office/drawing/2012/chart" uri="{CE6537A1-D6FC-4f65-9D91-7224C49458BB}"/>
          </c:extLst>
        </c:dLbl>
      </c:pivotFmt>
      <c:pivotFmt>
        <c:idx val="57"/>
        <c:dLbl>
          <c:idx val="0"/>
          <c:showLegendKey val="0"/>
          <c:showVal val="1"/>
          <c:showCatName val="1"/>
          <c:showSerName val="0"/>
          <c:showPercent val="0"/>
          <c:showBubbleSize val="0"/>
          <c:extLst>
            <c:ext xmlns:c15="http://schemas.microsoft.com/office/drawing/2012/chart" uri="{CE6537A1-D6FC-4f65-9D91-7224C49458BB}"/>
          </c:extLst>
        </c:dLbl>
      </c:pivotFmt>
      <c:pivotFmt>
        <c:idx val="58"/>
        <c:dLbl>
          <c:idx val="0"/>
          <c:showLegendKey val="0"/>
          <c:showVal val="1"/>
          <c:showCatName val="1"/>
          <c:showSerName val="0"/>
          <c:showPercent val="0"/>
          <c:showBubbleSize val="0"/>
          <c:extLst>
            <c:ext xmlns:c15="http://schemas.microsoft.com/office/drawing/2012/chart" uri="{CE6537A1-D6FC-4f65-9D91-7224C49458BB}"/>
          </c:extLst>
        </c:dLbl>
      </c:pivotFmt>
      <c:pivotFmt>
        <c:idx val="59"/>
        <c:dLbl>
          <c:idx val="0"/>
          <c:showLegendKey val="0"/>
          <c:showVal val="1"/>
          <c:showCatName val="1"/>
          <c:showSerName val="0"/>
          <c:showPercent val="0"/>
          <c:showBubbleSize val="0"/>
          <c:extLst>
            <c:ext xmlns:c15="http://schemas.microsoft.com/office/drawing/2012/chart" uri="{CE6537A1-D6FC-4f65-9D91-7224C49458BB}"/>
          </c:extLst>
        </c:dLbl>
      </c:pivotFmt>
      <c:pivotFmt>
        <c:idx val="60"/>
        <c:dLbl>
          <c:idx val="0"/>
          <c:showLegendKey val="0"/>
          <c:showVal val="1"/>
          <c:showCatName val="1"/>
          <c:showSerName val="0"/>
          <c:showPercent val="0"/>
          <c:showBubbleSize val="0"/>
          <c:extLst>
            <c:ext xmlns:c15="http://schemas.microsoft.com/office/drawing/2012/chart" uri="{CE6537A1-D6FC-4f65-9D91-7224C49458BB}"/>
          </c:extLst>
        </c:dLbl>
      </c:pivotFmt>
      <c:pivotFmt>
        <c:idx val="61"/>
        <c:dLbl>
          <c:idx val="0"/>
          <c:showLegendKey val="0"/>
          <c:showVal val="1"/>
          <c:showCatName val="1"/>
          <c:showSerName val="0"/>
          <c:showPercent val="0"/>
          <c:showBubbleSize val="0"/>
          <c:extLst>
            <c:ext xmlns:c15="http://schemas.microsoft.com/office/drawing/2012/chart" uri="{CE6537A1-D6FC-4f65-9D91-7224C49458BB}"/>
          </c:extLst>
        </c:dLbl>
      </c:pivotFmt>
      <c:pivotFmt>
        <c:idx val="62"/>
        <c:dLbl>
          <c:idx val="0"/>
          <c:showLegendKey val="0"/>
          <c:showVal val="1"/>
          <c:showCatName val="1"/>
          <c:showSerName val="0"/>
          <c:showPercent val="0"/>
          <c:showBubbleSize val="0"/>
          <c:extLst>
            <c:ext xmlns:c15="http://schemas.microsoft.com/office/drawing/2012/chart" uri="{CE6537A1-D6FC-4f65-9D91-7224C49458BB}"/>
          </c:extLst>
        </c:dLbl>
      </c:pivotFmt>
      <c:pivotFmt>
        <c:idx val="63"/>
        <c:dLbl>
          <c:idx val="0"/>
          <c:showLegendKey val="0"/>
          <c:showVal val="1"/>
          <c:showCatName val="1"/>
          <c:showSerName val="0"/>
          <c:showPercent val="0"/>
          <c:showBubbleSize val="0"/>
          <c:extLst>
            <c:ext xmlns:c15="http://schemas.microsoft.com/office/drawing/2012/chart" uri="{CE6537A1-D6FC-4f65-9D91-7224C49458BB}"/>
          </c:extLst>
        </c:dLbl>
      </c:pivotFmt>
      <c:pivotFmt>
        <c:idx val="64"/>
        <c:dLbl>
          <c:idx val="0"/>
          <c:showLegendKey val="0"/>
          <c:showVal val="1"/>
          <c:showCatName val="1"/>
          <c:showSerName val="0"/>
          <c:showPercent val="0"/>
          <c:showBubbleSize val="0"/>
          <c:extLst>
            <c:ext xmlns:c15="http://schemas.microsoft.com/office/drawing/2012/chart" uri="{CE6537A1-D6FC-4f65-9D91-7224C49458BB}"/>
          </c:extLst>
        </c:dLbl>
      </c:pivotFmt>
      <c:pivotFmt>
        <c:idx val="65"/>
        <c:dLbl>
          <c:idx val="0"/>
          <c:showLegendKey val="0"/>
          <c:showVal val="1"/>
          <c:showCatName val="1"/>
          <c:showSerName val="0"/>
          <c:showPercent val="0"/>
          <c:showBubbleSize val="0"/>
          <c:extLst>
            <c:ext xmlns:c15="http://schemas.microsoft.com/office/drawing/2012/chart" uri="{CE6537A1-D6FC-4f65-9D91-7224C49458BB}"/>
          </c:extLst>
        </c:dLbl>
      </c:pivotFmt>
      <c:pivotFmt>
        <c:idx val="66"/>
        <c:dLbl>
          <c:idx val="0"/>
          <c:showLegendKey val="0"/>
          <c:showVal val="1"/>
          <c:showCatName val="1"/>
          <c:showSerName val="0"/>
          <c:showPercent val="0"/>
          <c:showBubbleSize val="0"/>
          <c:extLst>
            <c:ext xmlns:c15="http://schemas.microsoft.com/office/drawing/2012/chart" uri="{CE6537A1-D6FC-4f65-9D91-7224C49458BB}"/>
          </c:extLst>
        </c:dLbl>
      </c:pivotFmt>
      <c:pivotFmt>
        <c:idx val="67"/>
        <c:dLbl>
          <c:idx val="0"/>
          <c:showLegendKey val="0"/>
          <c:showVal val="1"/>
          <c:showCatName val="1"/>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circle"/>
          <c:size val="6"/>
        </c:marker>
        <c:dLbl>
          <c:idx val="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spPr>
          <a:solidFill>
            <a:schemeClr val="accent1"/>
          </a:solidFill>
          <a:ln>
            <a:noFill/>
          </a:ln>
          <a:effectLst/>
        </c:spPr>
      </c:pivotFmt>
      <c:pivotFmt>
        <c:idx val="95"/>
        <c:spPr>
          <a:solidFill>
            <a:schemeClr val="accent2"/>
          </a:solidFill>
          <a:ln>
            <a:noFill/>
          </a:ln>
          <a:effectLst/>
        </c:spPr>
      </c:pivotFmt>
      <c:pivotFmt>
        <c:idx val="96"/>
        <c:spPr>
          <a:solidFill>
            <a:schemeClr val="accent3"/>
          </a:solidFill>
          <a:ln>
            <a:noFill/>
          </a:ln>
          <a:effectLst/>
        </c:spPr>
      </c:pivotFmt>
      <c:pivotFmt>
        <c:idx val="97"/>
        <c:spPr>
          <a:solidFill>
            <a:schemeClr val="accent4"/>
          </a:solidFill>
          <a:ln>
            <a:noFill/>
          </a:ln>
          <a:effectLst/>
        </c:spPr>
      </c:pivotFmt>
      <c:pivotFmt>
        <c:idx val="98"/>
        <c:spPr>
          <a:solidFill>
            <a:schemeClr val="accent5"/>
          </a:solidFill>
          <a:ln>
            <a:noFill/>
          </a:ln>
          <a:effectLst/>
        </c:spPr>
      </c:pivotFmt>
      <c:pivotFmt>
        <c:idx val="99"/>
        <c:spPr>
          <a:solidFill>
            <a:schemeClr val="accent1"/>
          </a:solidFill>
          <a:ln>
            <a:noFill/>
          </a:ln>
          <a:effectLst/>
        </c:spPr>
        <c:marker>
          <c:symbol val="none"/>
        </c:marker>
        <c:dLbl>
          <c:idx val="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00"/>
        <c:spPr>
          <a:solidFill>
            <a:schemeClr val="accent1"/>
          </a:solidFill>
          <a:ln>
            <a:noFill/>
          </a:ln>
          <a:effectLst/>
        </c:spPr>
      </c:pivotFmt>
      <c:pivotFmt>
        <c:idx val="101"/>
        <c:spPr>
          <a:solidFill>
            <a:schemeClr val="accent1"/>
          </a:solidFill>
          <a:ln>
            <a:noFill/>
          </a:ln>
          <a:effectLst/>
        </c:spPr>
      </c:pivotFmt>
      <c:pivotFmt>
        <c:idx val="102"/>
        <c:spPr>
          <a:solidFill>
            <a:schemeClr val="accent1"/>
          </a:solidFill>
          <a:ln>
            <a:noFill/>
          </a:ln>
          <a:effectLst/>
        </c:spPr>
      </c:pivotFmt>
      <c:pivotFmt>
        <c:idx val="103"/>
        <c:spPr>
          <a:solidFill>
            <a:schemeClr val="accent1"/>
          </a:solidFill>
          <a:ln>
            <a:noFill/>
          </a:ln>
          <a:effectLst/>
        </c:spPr>
      </c:pivotFmt>
      <c:pivotFmt>
        <c:idx val="104"/>
        <c:spPr>
          <a:solidFill>
            <a:schemeClr val="accent1"/>
          </a:solidFill>
          <a:ln>
            <a:noFill/>
          </a:ln>
          <a:effectLst/>
        </c:spPr>
      </c:pivotFmt>
      <c:pivotFmt>
        <c:idx val="105"/>
        <c:spPr>
          <a:solidFill>
            <a:schemeClr val="accent1"/>
          </a:solidFill>
          <a:ln>
            <a:noFill/>
          </a:ln>
          <a:effectLst/>
        </c:spPr>
        <c:marker>
          <c:symbol val="none"/>
        </c:marker>
        <c:dLbl>
          <c:idx val="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06"/>
        <c:spPr>
          <a:solidFill>
            <a:schemeClr val="accent1"/>
          </a:solidFill>
          <a:ln>
            <a:noFill/>
          </a:ln>
          <a:effectLst/>
        </c:spPr>
      </c:pivotFmt>
      <c:pivotFmt>
        <c:idx val="107"/>
        <c:spPr>
          <a:solidFill>
            <a:schemeClr val="accent1"/>
          </a:solidFill>
          <a:ln>
            <a:noFill/>
          </a:ln>
          <a:effectLst/>
        </c:spPr>
      </c:pivotFmt>
      <c:pivotFmt>
        <c:idx val="108"/>
        <c:spPr>
          <a:solidFill>
            <a:schemeClr val="accent1"/>
          </a:solidFill>
          <a:ln>
            <a:noFill/>
          </a:ln>
          <a:effectLst/>
        </c:spPr>
      </c:pivotFmt>
      <c:pivotFmt>
        <c:idx val="109"/>
        <c:spPr>
          <a:solidFill>
            <a:schemeClr val="accent1"/>
          </a:solidFill>
          <a:ln>
            <a:noFill/>
          </a:ln>
          <a:effectLst/>
        </c:spPr>
      </c:pivotFmt>
      <c:pivotFmt>
        <c:idx val="110"/>
        <c:spPr>
          <a:solidFill>
            <a:schemeClr val="accent1"/>
          </a:solidFill>
          <a:ln>
            <a:noFill/>
          </a:ln>
          <a:effectLst/>
        </c:spPr>
      </c:pivotFmt>
    </c:pivotFmts>
    <c:plotArea>
      <c:layout/>
      <c:doughnutChart>
        <c:varyColors val="1"/>
        <c:ser>
          <c:idx val="0"/>
          <c:order val="0"/>
          <c:tx>
            <c:strRef>
              <c:f>'Targeted Pivotchart'!$B$3</c:f>
              <c:strCache>
                <c:ptCount val="1"/>
                <c:pt idx="0">
                  <c:v>Total</c:v>
                </c:pt>
              </c:strCache>
            </c:strRef>
          </c:tx>
          <c:spPr>
            <a:effectLst/>
          </c:spPr>
          <c:dPt>
            <c:idx val="0"/>
            <c:bubble3D val="0"/>
            <c:spPr>
              <a:solidFill>
                <a:schemeClr val="accent1"/>
              </a:solidFill>
              <a:ln>
                <a:noFill/>
              </a:ln>
              <a:effectLst/>
            </c:spPr>
            <c:extLst>
              <c:ext xmlns:c16="http://schemas.microsoft.com/office/drawing/2014/chart" uri="{C3380CC4-5D6E-409C-BE32-E72D297353CC}">
                <c16:uniqueId val="{00000001-F85F-4A80-A977-C52490E33017}"/>
              </c:ext>
            </c:extLst>
          </c:dPt>
          <c:dPt>
            <c:idx val="1"/>
            <c:bubble3D val="0"/>
            <c:spPr>
              <a:solidFill>
                <a:schemeClr val="accent2"/>
              </a:solidFill>
              <a:ln>
                <a:noFill/>
              </a:ln>
              <a:effectLst/>
            </c:spPr>
            <c:extLst>
              <c:ext xmlns:c16="http://schemas.microsoft.com/office/drawing/2014/chart" uri="{C3380CC4-5D6E-409C-BE32-E72D297353CC}">
                <c16:uniqueId val="{00000003-F85F-4A80-A977-C52490E33017}"/>
              </c:ext>
            </c:extLst>
          </c:dPt>
          <c:dPt>
            <c:idx val="2"/>
            <c:bubble3D val="0"/>
            <c:spPr>
              <a:solidFill>
                <a:schemeClr val="accent6"/>
              </a:solidFill>
              <a:ln>
                <a:noFill/>
              </a:ln>
              <a:effectLst/>
            </c:spPr>
            <c:extLst>
              <c:ext xmlns:c16="http://schemas.microsoft.com/office/drawing/2014/chart" uri="{C3380CC4-5D6E-409C-BE32-E72D297353CC}">
                <c16:uniqueId val="{00000005-F85F-4A80-A977-C52490E33017}"/>
              </c:ext>
            </c:extLst>
          </c:dPt>
          <c:dPt>
            <c:idx val="3"/>
            <c:bubble3D val="0"/>
            <c:spPr>
              <a:solidFill>
                <a:schemeClr val="accent4"/>
              </a:solidFill>
              <a:ln>
                <a:noFill/>
              </a:ln>
              <a:effectLst/>
            </c:spPr>
            <c:extLst>
              <c:ext xmlns:c16="http://schemas.microsoft.com/office/drawing/2014/chart" uri="{C3380CC4-5D6E-409C-BE32-E72D297353CC}">
                <c16:uniqueId val="{00000007-F85F-4A80-A977-C52490E33017}"/>
              </c:ext>
            </c:extLst>
          </c:dPt>
          <c:dPt>
            <c:idx val="4"/>
            <c:bubble3D val="0"/>
            <c:spPr>
              <a:solidFill>
                <a:schemeClr val="accent2">
                  <a:lumMod val="50000"/>
                  <a:lumOff val="50000"/>
                </a:schemeClr>
              </a:solidFill>
              <a:ln>
                <a:noFill/>
              </a:ln>
              <a:effectLst/>
            </c:spPr>
            <c:extLst>
              <c:ext xmlns:c16="http://schemas.microsoft.com/office/drawing/2014/chart" uri="{C3380CC4-5D6E-409C-BE32-E72D297353CC}">
                <c16:uniqueId val="{00000009-F85F-4A80-A977-C52490E33017}"/>
              </c:ext>
            </c:extLst>
          </c:dPt>
          <c:dLbls>
            <c:dLbl>
              <c:idx val="0"/>
              <c:spPr>
                <a:noFill/>
                <a:ln w="9525">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F85F-4A80-A977-C52490E33017}"/>
                </c:ext>
              </c:extLst>
            </c:dLbl>
            <c:dLbl>
              <c:idx val="1"/>
              <c:spPr>
                <a:noFill/>
                <a:ln w="9525">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F85F-4A80-A977-C52490E33017}"/>
                </c:ext>
              </c:extLst>
            </c:dLbl>
            <c:dLbl>
              <c:idx val="2"/>
              <c:spPr>
                <a:noFill/>
                <a:ln w="9525">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F85F-4A80-A977-C52490E33017}"/>
                </c:ext>
              </c:extLst>
            </c:dLbl>
            <c:dLbl>
              <c:idx val="3"/>
              <c:spPr>
                <a:noFill/>
                <a:ln w="9525">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F85F-4A80-A977-C52490E33017}"/>
                </c:ext>
              </c:extLst>
            </c:dLbl>
            <c:spPr>
              <a:noFill/>
              <a:ln w="9525">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'Targeted Pivotchart'!$A$4:$A$8</c:f>
              <c:strCache>
                <c:ptCount val="4"/>
                <c:pt idx="0">
                  <c:v>Consumer Association</c:v>
                </c:pt>
                <c:pt idx="1">
                  <c:v>Industry*</c:v>
                </c:pt>
                <c:pt idx="2">
                  <c:v>Peak Industry Association</c:v>
                </c:pt>
                <c:pt idx="3">
                  <c:v>Government</c:v>
                </c:pt>
              </c:strCache>
            </c:strRef>
          </c:cat>
          <c:val>
            <c:numRef>
              <c:f>'Targeted Pivotchart'!$B$4:$B$8</c:f>
              <c:numCache>
                <c:formatCode>General</c:formatCode>
                <c:ptCount val="4"/>
                <c:pt idx="0">
                  <c:v>2</c:v>
                </c:pt>
                <c:pt idx="1">
                  <c:v>7</c:v>
                </c:pt>
                <c:pt idx="2">
                  <c:v>8</c:v>
                </c:pt>
                <c:pt idx="3">
                  <c:v>5</c:v>
                </c:pt>
              </c:numCache>
            </c:numRef>
          </c:val>
          <c:extLst>
            <c:ext xmlns:c16="http://schemas.microsoft.com/office/drawing/2014/chart" uri="{C3380CC4-5D6E-409C-BE32-E72D297353CC}">
              <c16:uniqueId val="{0000000A-F85F-4A80-A977-C52490E33017}"/>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r"/>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Calibri" panose="020F0502020204030204" pitchFamily="34" charset="0"/>
              <a:ea typeface="+mn-ea"/>
              <a:cs typeface="+mn-cs"/>
            </a:defRPr>
          </a:pPr>
          <a:endParaRPr lang="en-US"/>
        </a:p>
      </c:txPr>
    </c:legend>
    <c:plotVisOnly val="1"/>
    <c:dispBlanksAs val="gap"/>
    <c:showDLblsOverMax val="0"/>
  </c:chart>
  <c:spPr>
    <a:solidFill>
      <a:schemeClr val="lt1"/>
    </a:solidFill>
    <a:ln w="9525" cap="flat" cmpd="sng" algn="ctr">
      <a:solidFill>
        <a:schemeClr val="bg1">
          <a:lumMod val="50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310801249643395E-2"/>
          <c:y val="5.0925925925925923E-2"/>
          <c:w val="0.87158941310206262"/>
          <c:h val="0.80650603334945803"/>
        </c:manualLayout>
      </c:layout>
      <c:scatterChart>
        <c:scatterStyle val="smoothMarker"/>
        <c:varyColors val="0"/>
        <c:ser>
          <c:idx val="0"/>
          <c:order val="0"/>
          <c:tx>
            <c:v>Consumers</c:v>
          </c:tx>
          <c:spPr>
            <a:ln w="19050" cap="rnd">
              <a:solidFill>
                <a:schemeClr val="accent2">
                  <a:lumMod val="90000"/>
                  <a:lumOff val="10000"/>
                </a:schemeClr>
              </a:solidFill>
              <a:round/>
            </a:ln>
            <a:effectLst/>
          </c:spPr>
          <c:marker>
            <c:symbol val="none"/>
          </c:marker>
          <c:xVal>
            <c:numRef>
              <c:f>Variance!$J$48:$J$54</c:f>
              <c:numCache>
                <c:formatCode>General</c:formatCode>
                <c:ptCount val="7"/>
                <c:pt idx="0">
                  <c:v>1</c:v>
                </c:pt>
                <c:pt idx="1">
                  <c:v>2</c:v>
                </c:pt>
                <c:pt idx="2">
                  <c:v>3</c:v>
                </c:pt>
                <c:pt idx="3">
                  <c:v>4</c:v>
                </c:pt>
                <c:pt idx="4">
                  <c:v>5</c:v>
                </c:pt>
                <c:pt idx="5">
                  <c:v>6</c:v>
                </c:pt>
                <c:pt idx="6">
                  <c:v>7</c:v>
                </c:pt>
              </c:numCache>
            </c:numRef>
          </c:xVal>
          <c:yVal>
            <c:numRef>
              <c:f>Variance!$L$48:$L$54</c:f>
              <c:numCache>
                <c:formatCode>0.00</c:formatCode>
                <c:ptCount val="7"/>
                <c:pt idx="0">
                  <c:v>0.45454545454545453</c:v>
                </c:pt>
                <c:pt idx="1">
                  <c:v>0.59090909090909094</c:v>
                </c:pt>
                <c:pt idx="2">
                  <c:v>0.72727272727272729</c:v>
                </c:pt>
                <c:pt idx="3">
                  <c:v>0.86363636363636365</c:v>
                </c:pt>
                <c:pt idx="4">
                  <c:v>1</c:v>
                </c:pt>
                <c:pt idx="5">
                  <c:v>1.1363636363636365</c:v>
                </c:pt>
                <c:pt idx="6">
                  <c:v>1.2727272727272727</c:v>
                </c:pt>
              </c:numCache>
            </c:numRef>
          </c:yVal>
          <c:smooth val="1"/>
          <c:extLst>
            <c:ext xmlns:c16="http://schemas.microsoft.com/office/drawing/2014/chart" uri="{C3380CC4-5D6E-409C-BE32-E72D297353CC}">
              <c16:uniqueId val="{00000000-E08A-4340-8DC4-85FCC80A9A32}"/>
            </c:ext>
          </c:extLst>
        </c:ser>
        <c:ser>
          <c:idx val="1"/>
          <c:order val="1"/>
          <c:tx>
            <c:v>Products</c:v>
          </c:tx>
          <c:spPr>
            <a:ln w="38100" cap="rnd">
              <a:solidFill>
                <a:schemeClr val="accent5"/>
              </a:solidFill>
              <a:round/>
            </a:ln>
            <a:effectLst/>
          </c:spPr>
          <c:marker>
            <c:symbol val="none"/>
          </c:marker>
          <c:xVal>
            <c:numRef>
              <c:f>Variance!$J$48:$J$54</c:f>
              <c:numCache>
                <c:formatCode>General</c:formatCode>
                <c:ptCount val="7"/>
                <c:pt idx="0">
                  <c:v>1</c:v>
                </c:pt>
                <c:pt idx="1">
                  <c:v>2</c:v>
                </c:pt>
                <c:pt idx="2">
                  <c:v>3</c:v>
                </c:pt>
                <c:pt idx="3">
                  <c:v>4</c:v>
                </c:pt>
                <c:pt idx="4">
                  <c:v>5</c:v>
                </c:pt>
                <c:pt idx="5">
                  <c:v>6</c:v>
                </c:pt>
                <c:pt idx="6">
                  <c:v>7</c:v>
                </c:pt>
              </c:numCache>
            </c:numRef>
          </c:xVal>
          <c:yVal>
            <c:numRef>
              <c:f>Variance!$N$48:$N$54</c:f>
              <c:numCache>
                <c:formatCode>0.00</c:formatCode>
                <c:ptCount val="7"/>
                <c:pt idx="0">
                  <c:v>0.6</c:v>
                </c:pt>
                <c:pt idx="1">
                  <c:v>0.7</c:v>
                </c:pt>
                <c:pt idx="2">
                  <c:v>0.8</c:v>
                </c:pt>
                <c:pt idx="3">
                  <c:v>0.9</c:v>
                </c:pt>
                <c:pt idx="4">
                  <c:v>1</c:v>
                </c:pt>
                <c:pt idx="5">
                  <c:v>1.1000000000000001</c:v>
                </c:pt>
                <c:pt idx="6">
                  <c:v>1.2</c:v>
                </c:pt>
              </c:numCache>
            </c:numRef>
          </c:yVal>
          <c:smooth val="1"/>
          <c:extLst>
            <c:ext xmlns:c16="http://schemas.microsoft.com/office/drawing/2014/chart" uri="{C3380CC4-5D6E-409C-BE32-E72D297353CC}">
              <c16:uniqueId val="{00000001-E08A-4340-8DC4-85FCC80A9A32}"/>
            </c:ext>
          </c:extLst>
        </c:ser>
        <c:ser>
          <c:idx val="2"/>
          <c:order val="2"/>
          <c:tx>
            <c:v>Percent Change</c:v>
          </c:tx>
          <c:spPr>
            <a:ln w="19050" cap="rnd">
              <a:solidFill>
                <a:schemeClr val="accent1">
                  <a:lumMod val="40000"/>
                  <a:lumOff val="60000"/>
                </a:schemeClr>
              </a:solidFill>
              <a:round/>
            </a:ln>
            <a:effectLst/>
          </c:spPr>
          <c:marker>
            <c:symbol val="none"/>
          </c:marker>
          <c:xVal>
            <c:numRef>
              <c:f>Variance!$J$51:$J$57</c:f>
              <c:numCache>
                <c:formatCode>General</c:formatCode>
                <c:ptCount val="7"/>
                <c:pt idx="0">
                  <c:v>4</c:v>
                </c:pt>
                <c:pt idx="1">
                  <c:v>5</c:v>
                </c:pt>
                <c:pt idx="2">
                  <c:v>6</c:v>
                </c:pt>
                <c:pt idx="3">
                  <c:v>7</c:v>
                </c:pt>
                <c:pt idx="4">
                  <c:v>8</c:v>
                </c:pt>
                <c:pt idx="5">
                  <c:v>9</c:v>
                </c:pt>
                <c:pt idx="6">
                  <c:v>10</c:v>
                </c:pt>
              </c:numCache>
            </c:numRef>
          </c:xVal>
          <c:yVal>
            <c:numRef>
              <c:f>Variance!$P$51:$P$57</c:f>
              <c:numCache>
                <c:formatCode>0.00</c:formatCode>
                <c:ptCount val="7"/>
                <c:pt idx="0">
                  <c:v>0.2</c:v>
                </c:pt>
                <c:pt idx="1">
                  <c:v>1</c:v>
                </c:pt>
                <c:pt idx="2">
                  <c:v>1.8</c:v>
                </c:pt>
                <c:pt idx="3">
                  <c:v>2.6</c:v>
                </c:pt>
                <c:pt idx="4">
                  <c:v>3.4000000000000004</c:v>
                </c:pt>
                <c:pt idx="5">
                  <c:v>4.2</c:v>
                </c:pt>
                <c:pt idx="6">
                  <c:v>5</c:v>
                </c:pt>
              </c:numCache>
            </c:numRef>
          </c:yVal>
          <c:smooth val="1"/>
          <c:extLst>
            <c:ext xmlns:c16="http://schemas.microsoft.com/office/drawing/2014/chart" uri="{C3380CC4-5D6E-409C-BE32-E72D297353CC}">
              <c16:uniqueId val="{00000002-E08A-4340-8DC4-85FCC80A9A32}"/>
            </c:ext>
          </c:extLst>
        </c:ser>
        <c:ser>
          <c:idx val="3"/>
          <c:order val="3"/>
          <c:tx>
            <c:v>Time</c:v>
          </c:tx>
          <c:spPr>
            <a:ln w="19050" cap="rnd">
              <a:solidFill>
                <a:schemeClr val="accent6">
                  <a:lumMod val="60000"/>
                </a:schemeClr>
              </a:solidFill>
              <a:round/>
            </a:ln>
            <a:effectLst/>
          </c:spPr>
          <c:marker>
            <c:symbol val="none"/>
          </c:marker>
          <c:xVal>
            <c:numRef>
              <c:f>Variance!$J$48:$J$56</c:f>
              <c:numCache>
                <c:formatCode>General</c:formatCode>
                <c:ptCount val="9"/>
                <c:pt idx="0">
                  <c:v>1</c:v>
                </c:pt>
                <c:pt idx="1">
                  <c:v>2</c:v>
                </c:pt>
                <c:pt idx="2">
                  <c:v>3</c:v>
                </c:pt>
                <c:pt idx="3">
                  <c:v>4</c:v>
                </c:pt>
                <c:pt idx="4">
                  <c:v>5</c:v>
                </c:pt>
                <c:pt idx="5">
                  <c:v>6</c:v>
                </c:pt>
                <c:pt idx="6">
                  <c:v>7</c:v>
                </c:pt>
                <c:pt idx="7">
                  <c:v>8</c:v>
                </c:pt>
                <c:pt idx="8">
                  <c:v>9</c:v>
                </c:pt>
              </c:numCache>
            </c:numRef>
          </c:xVal>
          <c:yVal>
            <c:numRef>
              <c:f>Variance!$R$48:$R$56</c:f>
              <c:numCache>
                <c:formatCode>0.00</c:formatCode>
                <c:ptCount val="9"/>
                <c:pt idx="0">
                  <c:v>0.5</c:v>
                </c:pt>
                <c:pt idx="1">
                  <c:v>0.625</c:v>
                </c:pt>
                <c:pt idx="2">
                  <c:v>0.75</c:v>
                </c:pt>
                <c:pt idx="3">
                  <c:v>0.875</c:v>
                </c:pt>
                <c:pt idx="4">
                  <c:v>1</c:v>
                </c:pt>
                <c:pt idx="5">
                  <c:v>1.125</c:v>
                </c:pt>
                <c:pt idx="6">
                  <c:v>1.25</c:v>
                </c:pt>
                <c:pt idx="7">
                  <c:v>1.375</c:v>
                </c:pt>
                <c:pt idx="8">
                  <c:v>1.5</c:v>
                </c:pt>
              </c:numCache>
            </c:numRef>
          </c:yVal>
          <c:smooth val="1"/>
          <c:extLst>
            <c:ext xmlns:c16="http://schemas.microsoft.com/office/drawing/2014/chart" uri="{C3380CC4-5D6E-409C-BE32-E72D297353CC}">
              <c16:uniqueId val="{00000003-E08A-4340-8DC4-85FCC80A9A32}"/>
            </c:ext>
          </c:extLst>
        </c:ser>
        <c:dLbls>
          <c:showLegendKey val="0"/>
          <c:showVal val="0"/>
          <c:showCatName val="0"/>
          <c:showSerName val="0"/>
          <c:showPercent val="0"/>
          <c:showBubbleSize val="0"/>
        </c:dLbls>
        <c:axId val="731904896"/>
        <c:axId val="731905680"/>
      </c:scatterChart>
      <c:valAx>
        <c:axId val="731904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Normalised change</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905680"/>
        <c:crosses val="autoZero"/>
        <c:crossBetween val="midCat"/>
      </c:valAx>
      <c:valAx>
        <c:axId val="731905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904896"/>
        <c:crosses val="autoZero"/>
        <c:crossBetween val="midCat"/>
      </c:valAx>
      <c:spPr>
        <a:noFill/>
        <a:ln>
          <a:noFill/>
        </a:ln>
        <a:effectLst/>
      </c:spPr>
    </c:plotArea>
    <c:legend>
      <c:legendPos val="b"/>
      <c:layout>
        <c:manualLayout>
          <c:xMode val="edge"/>
          <c:yMode val="edge"/>
          <c:x val="0.10542809146771873"/>
          <c:y val="8.3911490230387853E-2"/>
          <c:w val="0.63220494328410481"/>
          <c:h val="0.14921225155225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A399DC-94A4-4086-B30B-28B8DA57AE75}"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AU"/>
        </a:p>
      </dgm:t>
    </dgm:pt>
    <dgm:pt modelId="{25D5E06C-553A-44F8-B1E7-ADFE3BCF7968}">
      <dgm:prSet phldrT="[Text]" custT="1"/>
      <dgm:spPr/>
      <dgm:t>
        <a:bodyPr/>
        <a:lstStyle/>
        <a:p>
          <a:r>
            <a:rPr lang="en-AU" sz="2800" dirty="0" smtClean="0"/>
            <a:t>Phase 1:</a:t>
          </a:r>
          <a:r>
            <a:rPr lang="en-AU" sz="2400" dirty="0" smtClean="0"/>
            <a:t> </a:t>
          </a:r>
          <a:r>
            <a:rPr lang="en-AU" sz="2000" dirty="0" smtClean="0"/>
            <a:t>Development</a:t>
          </a:r>
        </a:p>
        <a:p>
          <a:r>
            <a:rPr lang="en-AU" sz="2000" dirty="0" smtClean="0"/>
            <a:t>2022-2024</a:t>
          </a:r>
          <a:endParaRPr lang="en-AU" sz="1800" dirty="0"/>
        </a:p>
      </dgm:t>
    </dgm:pt>
    <dgm:pt modelId="{36EC05EF-87C7-423B-BC78-A94D99DEC53A}" type="parTrans" cxnId="{8067FE1E-0E0A-4AC5-BB37-1D20BF6BB8AC}">
      <dgm:prSet/>
      <dgm:spPr/>
      <dgm:t>
        <a:bodyPr/>
        <a:lstStyle/>
        <a:p>
          <a:endParaRPr lang="en-AU"/>
        </a:p>
      </dgm:t>
    </dgm:pt>
    <dgm:pt modelId="{E242BDE4-0131-4C64-97AC-BDFE1A73D07C}" type="sibTrans" cxnId="{8067FE1E-0E0A-4AC5-BB37-1D20BF6BB8AC}">
      <dgm:prSet/>
      <dgm:spPr/>
      <dgm:t>
        <a:bodyPr/>
        <a:lstStyle/>
        <a:p>
          <a:endParaRPr lang="en-AU"/>
        </a:p>
      </dgm:t>
    </dgm:pt>
    <dgm:pt modelId="{439570D8-3E1D-43A9-BAD0-785FCF860996}">
      <dgm:prSet phldrT="[Text]"/>
      <dgm:spPr>
        <a:ln>
          <a:noFill/>
        </a:ln>
      </dgm:spPr>
      <dgm:t>
        <a:bodyPr/>
        <a:lstStyle/>
        <a:p>
          <a:pPr algn="just"/>
          <a:r>
            <a:rPr lang="en-AU" dirty="0" smtClean="0"/>
            <a:t> The period leading up to when the new reforms are introduced</a:t>
          </a:r>
          <a:endParaRPr lang="en-AU" dirty="0"/>
        </a:p>
      </dgm:t>
    </dgm:pt>
    <dgm:pt modelId="{DCF2144B-DA74-43A7-B3F7-84EDDC1B7E2B}" type="parTrans" cxnId="{77751AE5-5E3A-4F1B-B506-953B9719F171}">
      <dgm:prSet/>
      <dgm:spPr/>
      <dgm:t>
        <a:bodyPr/>
        <a:lstStyle/>
        <a:p>
          <a:endParaRPr lang="en-AU"/>
        </a:p>
      </dgm:t>
    </dgm:pt>
    <dgm:pt modelId="{E3D7E015-3526-4DE5-B3CB-76CF2FEB7B55}" type="sibTrans" cxnId="{77751AE5-5E3A-4F1B-B506-953B9719F171}">
      <dgm:prSet/>
      <dgm:spPr/>
      <dgm:t>
        <a:bodyPr/>
        <a:lstStyle/>
        <a:p>
          <a:endParaRPr lang="en-AU"/>
        </a:p>
      </dgm:t>
    </dgm:pt>
    <dgm:pt modelId="{ADD1FA86-6F73-48C0-B469-F33CAFC39DFD}">
      <dgm:prSet phldrT="[Text]" custT="1"/>
      <dgm:spPr/>
      <dgm:t>
        <a:bodyPr/>
        <a:lstStyle/>
        <a:p>
          <a:r>
            <a:rPr lang="en-AU" sz="2800" dirty="0" smtClean="0"/>
            <a:t>Phase 2: </a:t>
          </a:r>
          <a:r>
            <a:rPr lang="en-AU" sz="2200" dirty="0" smtClean="0"/>
            <a:t>Transition</a:t>
          </a:r>
          <a:r>
            <a:rPr lang="en-AU" sz="2800" dirty="0" smtClean="0"/>
            <a:t> </a:t>
          </a:r>
          <a:r>
            <a:rPr lang="en-AU" sz="2000" dirty="0" smtClean="0"/>
            <a:t>2024-2026</a:t>
          </a:r>
          <a:endParaRPr lang="en-AU" sz="2000" dirty="0"/>
        </a:p>
      </dgm:t>
    </dgm:pt>
    <dgm:pt modelId="{FADDA262-CFDA-469D-B5F3-9D7D93199D56}" type="parTrans" cxnId="{3E424E3C-DFC7-477C-99BA-21D39C83477F}">
      <dgm:prSet/>
      <dgm:spPr/>
      <dgm:t>
        <a:bodyPr/>
        <a:lstStyle/>
        <a:p>
          <a:endParaRPr lang="en-AU"/>
        </a:p>
      </dgm:t>
    </dgm:pt>
    <dgm:pt modelId="{8C503AF1-DCDF-48DF-BE74-17A70228ABCE}" type="sibTrans" cxnId="{3E424E3C-DFC7-477C-99BA-21D39C83477F}">
      <dgm:prSet/>
      <dgm:spPr/>
      <dgm:t>
        <a:bodyPr/>
        <a:lstStyle/>
        <a:p>
          <a:endParaRPr lang="en-AU"/>
        </a:p>
      </dgm:t>
    </dgm:pt>
    <dgm:pt modelId="{9DE92E3F-A0A2-4486-84AD-B79F24162BAC}">
      <dgm:prSet phldrT="[Text]" custT="1"/>
      <dgm:spPr>
        <a:solidFill>
          <a:schemeClr val="accent6"/>
        </a:solidFill>
      </dgm:spPr>
      <dgm:t>
        <a:bodyPr/>
        <a:lstStyle/>
        <a:p>
          <a:r>
            <a:rPr lang="en-AU" sz="2800" dirty="0" smtClean="0"/>
            <a:t>Phase 3: </a:t>
          </a:r>
          <a:r>
            <a:rPr lang="en-AU" sz="2200" dirty="0" smtClean="0"/>
            <a:t>Evaluation</a:t>
          </a:r>
          <a:r>
            <a:rPr lang="en-AU" sz="2800" dirty="0" smtClean="0"/>
            <a:t> </a:t>
          </a:r>
          <a:r>
            <a:rPr lang="en-AU" sz="2000" dirty="0" smtClean="0"/>
            <a:t>2026 onwards</a:t>
          </a:r>
          <a:endParaRPr lang="en-AU" sz="2200" dirty="0"/>
        </a:p>
      </dgm:t>
    </dgm:pt>
    <dgm:pt modelId="{9A0CD18F-1741-4C1C-90DC-B17EA69A9E98}" type="parTrans" cxnId="{5968163D-C0FC-4090-BD9C-82E9020549C3}">
      <dgm:prSet/>
      <dgm:spPr/>
      <dgm:t>
        <a:bodyPr/>
        <a:lstStyle/>
        <a:p>
          <a:endParaRPr lang="en-AU"/>
        </a:p>
      </dgm:t>
    </dgm:pt>
    <dgm:pt modelId="{7269C3C4-98F8-479D-AB4C-A4BABFAD0124}" type="sibTrans" cxnId="{5968163D-C0FC-4090-BD9C-82E9020549C3}">
      <dgm:prSet/>
      <dgm:spPr/>
      <dgm:t>
        <a:bodyPr/>
        <a:lstStyle/>
        <a:p>
          <a:endParaRPr lang="en-AU"/>
        </a:p>
      </dgm:t>
    </dgm:pt>
    <dgm:pt modelId="{B62FECE0-463A-4AEA-9915-D61937076F94}">
      <dgm:prSet phldrT="[Text]"/>
      <dgm:spPr>
        <a:ln>
          <a:noFill/>
        </a:ln>
      </dgm:spPr>
      <dgm:t>
        <a:bodyPr/>
        <a:lstStyle/>
        <a:p>
          <a:pPr algn="just"/>
          <a:r>
            <a:rPr lang="en-AU" dirty="0" smtClean="0"/>
            <a:t> Drafting new legislation and consulting on specific issues</a:t>
          </a:r>
          <a:endParaRPr lang="en-AU" dirty="0"/>
        </a:p>
      </dgm:t>
    </dgm:pt>
    <dgm:pt modelId="{21295220-8199-41CF-94A2-37DC837A846E}" type="parTrans" cxnId="{44DD67A9-C65F-4783-B73A-2DC1FDDD2B0C}">
      <dgm:prSet/>
      <dgm:spPr/>
      <dgm:t>
        <a:bodyPr/>
        <a:lstStyle/>
        <a:p>
          <a:endParaRPr lang="en-AU"/>
        </a:p>
      </dgm:t>
    </dgm:pt>
    <dgm:pt modelId="{244C7110-6D16-4FDE-A253-83D82186F721}" type="sibTrans" cxnId="{44DD67A9-C65F-4783-B73A-2DC1FDDD2B0C}">
      <dgm:prSet/>
      <dgm:spPr/>
      <dgm:t>
        <a:bodyPr/>
        <a:lstStyle/>
        <a:p>
          <a:endParaRPr lang="en-AU"/>
        </a:p>
      </dgm:t>
    </dgm:pt>
    <dgm:pt modelId="{5D76D95F-845E-47BD-B4D4-87B447877C87}">
      <dgm:prSet phldrT="[Text]"/>
      <dgm:spPr>
        <a:solidFill>
          <a:schemeClr val="accent6">
            <a:lumMod val="20000"/>
            <a:lumOff val="80000"/>
            <a:alpha val="90000"/>
          </a:schemeClr>
        </a:solidFill>
        <a:ln>
          <a:noFill/>
        </a:ln>
      </dgm:spPr>
      <dgm:t>
        <a:bodyPr/>
        <a:lstStyle/>
        <a:p>
          <a:pPr algn="just"/>
          <a:r>
            <a:rPr lang="en-AU"/>
            <a:t> Evaluation of the reforms and review of exemptions</a:t>
          </a:r>
          <a:endParaRPr lang="en-AU" dirty="0"/>
        </a:p>
      </dgm:t>
    </dgm:pt>
    <dgm:pt modelId="{5EC77491-DBFA-4CC9-9CA1-A22A1C40A974}" type="parTrans" cxnId="{67828AAD-117D-4294-924A-39CE85FD2CBF}">
      <dgm:prSet/>
      <dgm:spPr/>
      <dgm:t>
        <a:bodyPr/>
        <a:lstStyle/>
        <a:p>
          <a:endParaRPr lang="en-AU"/>
        </a:p>
      </dgm:t>
    </dgm:pt>
    <dgm:pt modelId="{1C6EAA1E-4F00-4A58-BCE6-A06046EB16AA}" type="sibTrans" cxnId="{67828AAD-117D-4294-924A-39CE85FD2CBF}">
      <dgm:prSet/>
      <dgm:spPr/>
      <dgm:t>
        <a:bodyPr/>
        <a:lstStyle/>
        <a:p>
          <a:endParaRPr lang="en-AU"/>
        </a:p>
      </dgm:t>
    </dgm:pt>
    <dgm:pt modelId="{E93C0010-812C-499B-9910-1FAE9FCB5684}">
      <dgm:prSet phldrT="[Text]"/>
      <dgm:spPr>
        <a:ln>
          <a:noFill/>
        </a:ln>
      </dgm:spPr>
      <dgm:t>
        <a:bodyPr/>
        <a:lstStyle/>
        <a:p>
          <a:pPr algn="l"/>
          <a:r>
            <a:rPr lang="en-AU" dirty="0" smtClean="0"/>
            <a:t> Introduction of the reformed legislation</a:t>
          </a:r>
          <a:endParaRPr lang="en-AU" dirty="0"/>
        </a:p>
      </dgm:t>
    </dgm:pt>
    <dgm:pt modelId="{C6F6C2B9-5BA9-459A-B54B-8827A1F3880D}" type="parTrans" cxnId="{A97BFFD8-99D6-4839-81AD-CF9D485A40BE}">
      <dgm:prSet/>
      <dgm:spPr/>
      <dgm:t>
        <a:bodyPr/>
        <a:lstStyle/>
        <a:p>
          <a:endParaRPr lang="en-AU"/>
        </a:p>
      </dgm:t>
    </dgm:pt>
    <dgm:pt modelId="{A198C103-20A9-4B55-A603-96673F5D4831}" type="sibTrans" cxnId="{A97BFFD8-99D6-4839-81AD-CF9D485A40BE}">
      <dgm:prSet/>
      <dgm:spPr/>
      <dgm:t>
        <a:bodyPr/>
        <a:lstStyle/>
        <a:p>
          <a:endParaRPr lang="en-AU"/>
        </a:p>
      </dgm:t>
    </dgm:pt>
    <dgm:pt modelId="{A110BFA9-0661-4E5B-A315-7E88A4FC84E9}">
      <dgm:prSet phldrT="[Text]"/>
      <dgm:spPr>
        <a:ln>
          <a:noFill/>
        </a:ln>
      </dgm:spPr>
      <dgm:t>
        <a:bodyPr/>
        <a:lstStyle/>
        <a:p>
          <a:pPr algn="l"/>
          <a:r>
            <a:rPr lang="en-AU" dirty="0" smtClean="0"/>
            <a:t> Education campaigns for industry, consumers and other stakeholders</a:t>
          </a:r>
          <a:endParaRPr lang="en-AU" dirty="0"/>
        </a:p>
      </dgm:t>
    </dgm:pt>
    <dgm:pt modelId="{8CF0AA9B-2540-4DAC-B56A-751447B39F50}" type="parTrans" cxnId="{6AC2B862-A053-4488-9EB6-B392D09A9286}">
      <dgm:prSet/>
      <dgm:spPr/>
      <dgm:t>
        <a:bodyPr/>
        <a:lstStyle/>
        <a:p>
          <a:endParaRPr lang="en-AU"/>
        </a:p>
      </dgm:t>
    </dgm:pt>
    <dgm:pt modelId="{49B0D6AB-98DF-47D0-B519-CDD62942CD67}" type="sibTrans" cxnId="{6AC2B862-A053-4488-9EB6-B392D09A9286}">
      <dgm:prSet/>
      <dgm:spPr/>
      <dgm:t>
        <a:bodyPr/>
        <a:lstStyle/>
        <a:p>
          <a:endParaRPr lang="en-AU"/>
        </a:p>
      </dgm:t>
    </dgm:pt>
    <dgm:pt modelId="{4D6286C9-AD96-4956-B66E-0A830C82A4BA}">
      <dgm:prSet phldrT="[Text]"/>
      <dgm:spPr>
        <a:solidFill>
          <a:schemeClr val="accent6">
            <a:lumMod val="20000"/>
            <a:lumOff val="80000"/>
            <a:alpha val="90000"/>
          </a:schemeClr>
        </a:solidFill>
        <a:ln>
          <a:noFill/>
        </a:ln>
      </dgm:spPr>
      <dgm:t>
        <a:bodyPr/>
        <a:lstStyle/>
        <a:p>
          <a:pPr algn="l"/>
          <a:r>
            <a:rPr lang="en-AU"/>
            <a:t> Collaboration with industry on using the flexibility of the legislation to support new practices / technology</a:t>
          </a:r>
          <a:endParaRPr lang="en-AU" dirty="0"/>
        </a:p>
      </dgm:t>
    </dgm:pt>
    <dgm:pt modelId="{8D536C8D-31EF-4502-96BB-72B6360E6BB8}" type="parTrans" cxnId="{A0F5C12C-ADC3-400A-80CF-7B4A92B330BE}">
      <dgm:prSet/>
      <dgm:spPr/>
      <dgm:t>
        <a:bodyPr/>
        <a:lstStyle/>
        <a:p>
          <a:endParaRPr lang="en-AU"/>
        </a:p>
      </dgm:t>
    </dgm:pt>
    <dgm:pt modelId="{B4560050-7CAE-4457-B4D2-EEF999E8366E}" type="sibTrans" cxnId="{A0F5C12C-ADC3-400A-80CF-7B4A92B330BE}">
      <dgm:prSet/>
      <dgm:spPr/>
      <dgm:t>
        <a:bodyPr/>
        <a:lstStyle/>
        <a:p>
          <a:endParaRPr lang="en-AU"/>
        </a:p>
      </dgm:t>
    </dgm:pt>
    <dgm:pt modelId="{D2882439-ADC3-4236-B985-B263574F98CE}">
      <dgm:prSet phldrT="[Text]"/>
      <dgm:spPr>
        <a:ln>
          <a:noFill/>
        </a:ln>
      </dgm:spPr>
      <dgm:t>
        <a:bodyPr/>
        <a:lstStyle/>
        <a:p>
          <a:pPr algn="l"/>
          <a:r>
            <a:rPr lang="en-AU" dirty="0" smtClean="0"/>
            <a:t> Transition period: grace periods and transitional arrangements for industry and other stakeholders to adapt to the new laws</a:t>
          </a:r>
          <a:endParaRPr lang="en-AU" dirty="0"/>
        </a:p>
      </dgm:t>
    </dgm:pt>
    <dgm:pt modelId="{B2AAD73B-103A-4E32-8BAA-3ACC8583A3EF}" type="sibTrans" cxnId="{3F12E860-8BF0-4B31-B4EB-3BD0C23CC5E4}">
      <dgm:prSet/>
      <dgm:spPr/>
      <dgm:t>
        <a:bodyPr/>
        <a:lstStyle/>
        <a:p>
          <a:endParaRPr lang="en-AU"/>
        </a:p>
      </dgm:t>
    </dgm:pt>
    <dgm:pt modelId="{4AE4D074-3CD6-4A0A-8F5D-30BD7D93C71F}" type="parTrans" cxnId="{3F12E860-8BF0-4B31-B4EB-3BD0C23CC5E4}">
      <dgm:prSet/>
      <dgm:spPr/>
      <dgm:t>
        <a:bodyPr/>
        <a:lstStyle/>
        <a:p>
          <a:endParaRPr lang="en-AU"/>
        </a:p>
      </dgm:t>
    </dgm:pt>
    <dgm:pt modelId="{D63F92EA-FD6F-4CEB-A9FF-B0C670C1F9C9}">
      <dgm:prSet phldrT="[Text]"/>
      <dgm:spPr>
        <a:ln>
          <a:noFill/>
        </a:ln>
      </dgm:spPr>
      <dgm:t>
        <a:bodyPr/>
        <a:lstStyle/>
        <a:p>
          <a:pPr algn="l"/>
          <a:r>
            <a:rPr lang="en-AU"/>
            <a:t> Tracking of issues / ideas through an accessible </a:t>
          </a:r>
          <a:r>
            <a:rPr lang="en-AU" b="0"/>
            <a:t>online policy register</a:t>
          </a:r>
          <a:endParaRPr lang="en-AU" dirty="0"/>
        </a:p>
      </dgm:t>
    </dgm:pt>
    <dgm:pt modelId="{303E4679-D83D-4343-8130-380D63C7CDF1}" type="parTrans" cxnId="{16B40945-EBE4-4C80-8DFF-7A9F3BF02382}">
      <dgm:prSet/>
      <dgm:spPr/>
      <dgm:t>
        <a:bodyPr/>
        <a:lstStyle/>
        <a:p>
          <a:endParaRPr lang="en-AU"/>
        </a:p>
      </dgm:t>
    </dgm:pt>
    <dgm:pt modelId="{B1E74839-0747-42F5-A747-EB2F0B9D41C3}" type="sibTrans" cxnId="{16B40945-EBE4-4C80-8DFF-7A9F3BF02382}">
      <dgm:prSet/>
      <dgm:spPr/>
      <dgm:t>
        <a:bodyPr/>
        <a:lstStyle/>
        <a:p>
          <a:endParaRPr lang="en-AU"/>
        </a:p>
      </dgm:t>
    </dgm:pt>
    <dgm:pt modelId="{AA7670FD-21CD-4593-9306-66AFD032AC7E}" type="pres">
      <dgm:prSet presAssocID="{C1A399DC-94A4-4086-B30B-28B8DA57AE75}" presName="Name0" presStyleCnt="0">
        <dgm:presLayoutVars>
          <dgm:dir/>
          <dgm:animLvl val="lvl"/>
          <dgm:resizeHandles val="exact"/>
        </dgm:presLayoutVars>
      </dgm:prSet>
      <dgm:spPr/>
      <dgm:t>
        <a:bodyPr/>
        <a:lstStyle/>
        <a:p>
          <a:endParaRPr lang="en-AU"/>
        </a:p>
      </dgm:t>
    </dgm:pt>
    <dgm:pt modelId="{131B083D-AF50-489C-9345-012490201215}" type="pres">
      <dgm:prSet presAssocID="{25D5E06C-553A-44F8-B1E7-ADFE3BCF7968}" presName="linNode" presStyleCnt="0"/>
      <dgm:spPr/>
      <dgm:t>
        <a:bodyPr/>
        <a:lstStyle/>
        <a:p>
          <a:endParaRPr lang="en-AU"/>
        </a:p>
      </dgm:t>
    </dgm:pt>
    <dgm:pt modelId="{2B973BC8-D55D-49DC-A7DA-C16095A95DC6}" type="pres">
      <dgm:prSet presAssocID="{25D5E06C-553A-44F8-B1E7-ADFE3BCF7968}" presName="parentText" presStyleLbl="node1" presStyleIdx="0" presStyleCnt="3">
        <dgm:presLayoutVars>
          <dgm:chMax val="1"/>
          <dgm:bulletEnabled val="1"/>
        </dgm:presLayoutVars>
      </dgm:prSet>
      <dgm:spPr/>
      <dgm:t>
        <a:bodyPr/>
        <a:lstStyle/>
        <a:p>
          <a:endParaRPr lang="en-AU"/>
        </a:p>
      </dgm:t>
    </dgm:pt>
    <dgm:pt modelId="{164B917A-D502-4E94-8322-5CEE912EA863}" type="pres">
      <dgm:prSet presAssocID="{25D5E06C-553A-44F8-B1E7-ADFE3BCF7968}" presName="descendantText" presStyleLbl="alignAccFollowNode1" presStyleIdx="0" presStyleCnt="3">
        <dgm:presLayoutVars>
          <dgm:bulletEnabled val="1"/>
        </dgm:presLayoutVars>
      </dgm:prSet>
      <dgm:spPr/>
      <dgm:t>
        <a:bodyPr/>
        <a:lstStyle/>
        <a:p>
          <a:endParaRPr lang="en-AU"/>
        </a:p>
      </dgm:t>
    </dgm:pt>
    <dgm:pt modelId="{3C0369DA-56E0-4AAF-9439-C1370134D1D9}" type="pres">
      <dgm:prSet presAssocID="{E242BDE4-0131-4C64-97AC-BDFE1A73D07C}" presName="sp" presStyleCnt="0"/>
      <dgm:spPr/>
      <dgm:t>
        <a:bodyPr/>
        <a:lstStyle/>
        <a:p>
          <a:endParaRPr lang="en-AU"/>
        </a:p>
      </dgm:t>
    </dgm:pt>
    <dgm:pt modelId="{4D88327C-1E81-4D49-AB80-111C90D021F9}" type="pres">
      <dgm:prSet presAssocID="{ADD1FA86-6F73-48C0-B469-F33CAFC39DFD}" presName="linNode" presStyleCnt="0"/>
      <dgm:spPr/>
      <dgm:t>
        <a:bodyPr/>
        <a:lstStyle/>
        <a:p>
          <a:endParaRPr lang="en-AU"/>
        </a:p>
      </dgm:t>
    </dgm:pt>
    <dgm:pt modelId="{50EFE56A-6AF9-4A07-BA04-ED0482C6B061}" type="pres">
      <dgm:prSet presAssocID="{ADD1FA86-6F73-48C0-B469-F33CAFC39DFD}" presName="parentText" presStyleLbl="node1" presStyleIdx="1" presStyleCnt="3">
        <dgm:presLayoutVars>
          <dgm:chMax val="1"/>
          <dgm:bulletEnabled val="1"/>
        </dgm:presLayoutVars>
      </dgm:prSet>
      <dgm:spPr/>
      <dgm:t>
        <a:bodyPr/>
        <a:lstStyle/>
        <a:p>
          <a:endParaRPr lang="en-AU"/>
        </a:p>
      </dgm:t>
    </dgm:pt>
    <dgm:pt modelId="{084A4FDE-D572-4C0D-A07B-A124BB4094E3}" type="pres">
      <dgm:prSet presAssocID="{ADD1FA86-6F73-48C0-B469-F33CAFC39DFD}" presName="descendantText" presStyleLbl="alignAccFollowNode1" presStyleIdx="1" presStyleCnt="3">
        <dgm:presLayoutVars>
          <dgm:bulletEnabled val="1"/>
        </dgm:presLayoutVars>
      </dgm:prSet>
      <dgm:spPr/>
      <dgm:t>
        <a:bodyPr/>
        <a:lstStyle/>
        <a:p>
          <a:endParaRPr lang="en-AU"/>
        </a:p>
      </dgm:t>
    </dgm:pt>
    <dgm:pt modelId="{B1574EAA-6DAF-42B0-9350-008AFF56966A}" type="pres">
      <dgm:prSet presAssocID="{8C503AF1-DCDF-48DF-BE74-17A70228ABCE}" presName="sp" presStyleCnt="0"/>
      <dgm:spPr/>
      <dgm:t>
        <a:bodyPr/>
        <a:lstStyle/>
        <a:p>
          <a:endParaRPr lang="en-AU"/>
        </a:p>
      </dgm:t>
    </dgm:pt>
    <dgm:pt modelId="{1F1AE4D4-C391-488D-B7A0-43E4AE999F89}" type="pres">
      <dgm:prSet presAssocID="{9DE92E3F-A0A2-4486-84AD-B79F24162BAC}" presName="linNode" presStyleCnt="0"/>
      <dgm:spPr/>
      <dgm:t>
        <a:bodyPr/>
        <a:lstStyle/>
        <a:p>
          <a:endParaRPr lang="en-AU"/>
        </a:p>
      </dgm:t>
    </dgm:pt>
    <dgm:pt modelId="{75E2DBDE-2F6E-48FD-9436-FEB4AAD261BC}" type="pres">
      <dgm:prSet presAssocID="{9DE92E3F-A0A2-4486-84AD-B79F24162BAC}" presName="parentText" presStyleLbl="node1" presStyleIdx="2" presStyleCnt="3" custLinFactNeighborX="1212" custLinFactNeighborY="152">
        <dgm:presLayoutVars>
          <dgm:chMax val="1"/>
          <dgm:bulletEnabled val="1"/>
        </dgm:presLayoutVars>
      </dgm:prSet>
      <dgm:spPr/>
      <dgm:t>
        <a:bodyPr/>
        <a:lstStyle/>
        <a:p>
          <a:endParaRPr lang="en-AU"/>
        </a:p>
      </dgm:t>
    </dgm:pt>
    <dgm:pt modelId="{AB6D712E-63BA-42F6-8DCA-50DD87390A54}" type="pres">
      <dgm:prSet presAssocID="{9DE92E3F-A0A2-4486-84AD-B79F24162BAC}" presName="descendantText" presStyleLbl="alignAccFollowNode1" presStyleIdx="2" presStyleCnt="3">
        <dgm:presLayoutVars>
          <dgm:bulletEnabled val="1"/>
        </dgm:presLayoutVars>
      </dgm:prSet>
      <dgm:spPr/>
      <dgm:t>
        <a:bodyPr/>
        <a:lstStyle/>
        <a:p>
          <a:endParaRPr lang="en-AU"/>
        </a:p>
      </dgm:t>
    </dgm:pt>
  </dgm:ptLst>
  <dgm:cxnLst>
    <dgm:cxn modelId="{3D5E194D-3856-46C8-AA73-3B9C08E1B664}" type="presOf" srcId="{C1A399DC-94A4-4086-B30B-28B8DA57AE75}" destId="{AA7670FD-21CD-4593-9306-66AFD032AC7E}" srcOrd="0" destOrd="0" presId="urn:microsoft.com/office/officeart/2005/8/layout/vList5"/>
    <dgm:cxn modelId="{6AC2B862-A053-4488-9EB6-B392D09A9286}" srcId="{25D5E06C-553A-44F8-B1E7-ADFE3BCF7968}" destId="{A110BFA9-0661-4E5B-A315-7E88A4FC84E9}" srcOrd="2" destOrd="0" parTransId="{8CF0AA9B-2540-4DAC-B56A-751447B39F50}" sibTransId="{49B0D6AB-98DF-47D0-B519-CDD62942CD67}"/>
    <dgm:cxn modelId="{44DD67A9-C65F-4783-B73A-2DC1FDDD2B0C}" srcId="{25D5E06C-553A-44F8-B1E7-ADFE3BCF7968}" destId="{B62FECE0-463A-4AEA-9915-D61937076F94}" srcOrd="1" destOrd="0" parTransId="{21295220-8199-41CF-94A2-37DC837A846E}" sibTransId="{244C7110-6D16-4FDE-A253-83D82186F721}"/>
    <dgm:cxn modelId="{F8EE2B2E-1A92-4571-B831-FA50088D5103}" type="presOf" srcId="{5D76D95F-845E-47BD-B4D4-87B447877C87}" destId="{AB6D712E-63BA-42F6-8DCA-50DD87390A54}" srcOrd="0" destOrd="0" presId="urn:microsoft.com/office/officeart/2005/8/layout/vList5"/>
    <dgm:cxn modelId="{A0F5C12C-ADC3-400A-80CF-7B4A92B330BE}" srcId="{9DE92E3F-A0A2-4486-84AD-B79F24162BAC}" destId="{4D6286C9-AD96-4956-B66E-0A830C82A4BA}" srcOrd="1" destOrd="0" parTransId="{8D536C8D-31EF-4502-96BB-72B6360E6BB8}" sibTransId="{B4560050-7CAE-4457-B4D2-EEF999E8366E}"/>
    <dgm:cxn modelId="{F1CB03DF-7C2A-4E60-AB59-130EE10243FF}" type="presOf" srcId="{25D5E06C-553A-44F8-B1E7-ADFE3BCF7968}" destId="{2B973BC8-D55D-49DC-A7DA-C16095A95DC6}" srcOrd="0" destOrd="0" presId="urn:microsoft.com/office/officeart/2005/8/layout/vList5"/>
    <dgm:cxn modelId="{0648D08A-4F4F-476B-A0EF-EBF12BFC638C}" type="presOf" srcId="{B62FECE0-463A-4AEA-9915-D61937076F94}" destId="{164B917A-D502-4E94-8322-5CEE912EA863}" srcOrd="0" destOrd="1" presId="urn:microsoft.com/office/officeart/2005/8/layout/vList5"/>
    <dgm:cxn modelId="{73E8FE21-4A58-4CE7-8668-2E139F507689}" type="presOf" srcId="{439570D8-3E1D-43A9-BAD0-785FCF860996}" destId="{164B917A-D502-4E94-8322-5CEE912EA863}" srcOrd="0" destOrd="0" presId="urn:microsoft.com/office/officeart/2005/8/layout/vList5"/>
    <dgm:cxn modelId="{A97BFFD8-99D6-4839-81AD-CF9D485A40BE}" srcId="{ADD1FA86-6F73-48C0-B469-F33CAFC39DFD}" destId="{E93C0010-812C-499B-9910-1FAE9FCB5684}" srcOrd="0" destOrd="0" parTransId="{C6F6C2B9-5BA9-459A-B54B-8827A1F3880D}" sibTransId="{A198C103-20A9-4B55-A603-96673F5D4831}"/>
    <dgm:cxn modelId="{F8339CCF-A92F-4774-A17A-C244C7EF59B8}" type="presOf" srcId="{9DE92E3F-A0A2-4486-84AD-B79F24162BAC}" destId="{75E2DBDE-2F6E-48FD-9436-FEB4AAD261BC}" srcOrd="0" destOrd="0" presId="urn:microsoft.com/office/officeart/2005/8/layout/vList5"/>
    <dgm:cxn modelId="{6E67B0E7-9723-40BB-9D25-B481A58215B0}" type="presOf" srcId="{ADD1FA86-6F73-48C0-B469-F33CAFC39DFD}" destId="{50EFE56A-6AF9-4A07-BA04-ED0482C6B061}" srcOrd="0" destOrd="0" presId="urn:microsoft.com/office/officeart/2005/8/layout/vList5"/>
    <dgm:cxn modelId="{85A20C6F-BEBB-4FBF-8C89-499B89146752}" type="presOf" srcId="{A110BFA9-0661-4E5B-A315-7E88A4FC84E9}" destId="{164B917A-D502-4E94-8322-5CEE912EA863}" srcOrd="0" destOrd="2" presId="urn:microsoft.com/office/officeart/2005/8/layout/vList5"/>
    <dgm:cxn modelId="{3E424E3C-DFC7-477C-99BA-21D39C83477F}" srcId="{C1A399DC-94A4-4086-B30B-28B8DA57AE75}" destId="{ADD1FA86-6F73-48C0-B469-F33CAFC39DFD}" srcOrd="1" destOrd="0" parTransId="{FADDA262-CFDA-469D-B5F3-9D7D93199D56}" sibTransId="{8C503AF1-DCDF-48DF-BE74-17A70228ABCE}"/>
    <dgm:cxn modelId="{3F12E860-8BF0-4B31-B4EB-3BD0C23CC5E4}" srcId="{ADD1FA86-6F73-48C0-B469-F33CAFC39DFD}" destId="{D2882439-ADC3-4236-B985-B263574F98CE}" srcOrd="1" destOrd="0" parTransId="{4AE4D074-3CD6-4A0A-8F5D-30BD7D93C71F}" sibTransId="{B2AAD73B-103A-4E32-8BAA-3ACC8583A3EF}"/>
    <dgm:cxn modelId="{3CF8576D-EC46-41DA-A305-7EACD23C4CEC}" type="presOf" srcId="{4D6286C9-AD96-4956-B66E-0A830C82A4BA}" destId="{AB6D712E-63BA-42F6-8DCA-50DD87390A54}" srcOrd="0" destOrd="1" presId="urn:microsoft.com/office/officeart/2005/8/layout/vList5"/>
    <dgm:cxn modelId="{5968163D-C0FC-4090-BD9C-82E9020549C3}" srcId="{C1A399DC-94A4-4086-B30B-28B8DA57AE75}" destId="{9DE92E3F-A0A2-4486-84AD-B79F24162BAC}" srcOrd="2" destOrd="0" parTransId="{9A0CD18F-1741-4C1C-90DC-B17EA69A9E98}" sibTransId="{7269C3C4-98F8-479D-AB4C-A4BABFAD0124}"/>
    <dgm:cxn modelId="{316767A5-C1F0-4C26-B9BE-3AF7A1DF5C7F}" type="presOf" srcId="{E93C0010-812C-499B-9910-1FAE9FCB5684}" destId="{084A4FDE-D572-4C0D-A07B-A124BB4094E3}" srcOrd="0" destOrd="0" presId="urn:microsoft.com/office/officeart/2005/8/layout/vList5"/>
    <dgm:cxn modelId="{67828AAD-117D-4294-924A-39CE85FD2CBF}" srcId="{9DE92E3F-A0A2-4486-84AD-B79F24162BAC}" destId="{5D76D95F-845E-47BD-B4D4-87B447877C87}" srcOrd="0" destOrd="0" parTransId="{5EC77491-DBFA-4CC9-9CA1-A22A1C40A974}" sibTransId="{1C6EAA1E-4F00-4A58-BCE6-A06046EB16AA}"/>
    <dgm:cxn modelId="{21A3811A-1325-4A79-A7A8-A40675C82C00}" type="presOf" srcId="{D2882439-ADC3-4236-B985-B263574F98CE}" destId="{084A4FDE-D572-4C0D-A07B-A124BB4094E3}" srcOrd="0" destOrd="1" presId="urn:microsoft.com/office/officeart/2005/8/layout/vList5"/>
    <dgm:cxn modelId="{8067FE1E-0E0A-4AC5-BB37-1D20BF6BB8AC}" srcId="{C1A399DC-94A4-4086-B30B-28B8DA57AE75}" destId="{25D5E06C-553A-44F8-B1E7-ADFE3BCF7968}" srcOrd="0" destOrd="0" parTransId="{36EC05EF-87C7-423B-BC78-A94D99DEC53A}" sibTransId="{E242BDE4-0131-4C64-97AC-BDFE1A73D07C}"/>
    <dgm:cxn modelId="{16B40945-EBE4-4C80-8DFF-7A9F3BF02382}" srcId="{ADD1FA86-6F73-48C0-B469-F33CAFC39DFD}" destId="{D63F92EA-FD6F-4CEB-A9FF-B0C670C1F9C9}" srcOrd="2" destOrd="0" parTransId="{303E4679-D83D-4343-8130-380D63C7CDF1}" sibTransId="{B1E74839-0747-42F5-A747-EB2F0B9D41C3}"/>
    <dgm:cxn modelId="{77751AE5-5E3A-4F1B-B506-953B9719F171}" srcId="{25D5E06C-553A-44F8-B1E7-ADFE3BCF7968}" destId="{439570D8-3E1D-43A9-BAD0-785FCF860996}" srcOrd="0" destOrd="0" parTransId="{DCF2144B-DA74-43A7-B3F7-84EDDC1B7E2B}" sibTransId="{E3D7E015-3526-4DE5-B3CB-76CF2FEB7B55}"/>
    <dgm:cxn modelId="{6E4EBEA9-1917-4E6E-913C-43F529EBA3AA}" type="presOf" srcId="{D63F92EA-FD6F-4CEB-A9FF-B0C670C1F9C9}" destId="{084A4FDE-D572-4C0D-A07B-A124BB4094E3}" srcOrd="0" destOrd="2" presId="urn:microsoft.com/office/officeart/2005/8/layout/vList5"/>
    <dgm:cxn modelId="{EA4C428F-CD14-427D-B2FE-3FBFED30DB75}" type="presParOf" srcId="{AA7670FD-21CD-4593-9306-66AFD032AC7E}" destId="{131B083D-AF50-489C-9345-012490201215}" srcOrd="0" destOrd="0" presId="urn:microsoft.com/office/officeart/2005/8/layout/vList5"/>
    <dgm:cxn modelId="{47C454FE-7CD1-4A4A-BBA7-D726E32DF2C0}" type="presParOf" srcId="{131B083D-AF50-489C-9345-012490201215}" destId="{2B973BC8-D55D-49DC-A7DA-C16095A95DC6}" srcOrd="0" destOrd="0" presId="urn:microsoft.com/office/officeart/2005/8/layout/vList5"/>
    <dgm:cxn modelId="{3BA5A13E-10BC-42D2-B744-3EC830D621AD}" type="presParOf" srcId="{131B083D-AF50-489C-9345-012490201215}" destId="{164B917A-D502-4E94-8322-5CEE912EA863}" srcOrd="1" destOrd="0" presId="urn:microsoft.com/office/officeart/2005/8/layout/vList5"/>
    <dgm:cxn modelId="{5061BE69-D43A-4B82-B1AE-BF7958DDFE9B}" type="presParOf" srcId="{AA7670FD-21CD-4593-9306-66AFD032AC7E}" destId="{3C0369DA-56E0-4AAF-9439-C1370134D1D9}" srcOrd="1" destOrd="0" presId="urn:microsoft.com/office/officeart/2005/8/layout/vList5"/>
    <dgm:cxn modelId="{6E8F7792-5267-4583-AC2D-14AF35E2CF84}" type="presParOf" srcId="{AA7670FD-21CD-4593-9306-66AFD032AC7E}" destId="{4D88327C-1E81-4D49-AB80-111C90D021F9}" srcOrd="2" destOrd="0" presId="urn:microsoft.com/office/officeart/2005/8/layout/vList5"/>
    <dgm:cxn modelId="{44AB13CF-57A6-48B6-91C8-1B3E4C3E30AE}" type="presParOf" srcId="{4D88327C-1E81-4D49-AB80-111C90D021F9}" destId="{50EFE56A-6AF9-4A07-BA04-ED0482C6B061}" srcOrd="0" destOrd="0" presId="urn:microsoft.com/office/officeart/2005/8/layout/vList5"/>
    <dgm:cxn modelId="{62A011BA-29BC-4E66-B4A7-616892116B20}" type="presParOf" srcId="{4D88327C-1E81-4D49-AB80-111C90D021F9}" destId="{084A4FDE-D572-4C0D-A07B-A124BB4094E3}" srcOrd="1" destOrd="0" presId="urn:microsoft.com/office/officeart/2005/8/layout/vList5"/>
    <dgm:cxn modelId="{986FC3CA-7B69-4924-8D3E-E504C8B166F0}" type="presParOf" srcId="{AA7670FD-21CD-4593-9306-66AFD032AC7E}" destId="{B1574EAA-6DAF-42B0-9350-008AFF56966A}" srcOrd="3" destOrd="0" presId="urn:microsoft.com/office/officeart/2005/8/layout/vList5"/>
    <dgm:cxn modelId="{7FA11651-D76E-47C2-82BB-B2F733F040FA}" type="presParOf" srcId="{AA7670FD-21CD-4593-9306-66AFD032AC7E}" destId="{1F1AE4D4-C391-488D-B7A0-43E4AE999F89}" srcOrd="4" destOrd="0" presId="urn:microsoft.com/office/officeart/2005/8/layout/vList5"/>
    <dgm:cxn modelId="{DBA0E92F-29C5-41FE-AAFB-53C1995FF212}" type="presParOf" srcId="{1F1AE4D4-C391-488D-B7A0-43E4AE999F89}" destId="{75E2DBDE-2F6E-48FD-9436-FEB4AAD261BC}" srcOrd="0" destOrd="0" presId="urn:microsoft.com/office/officeart/2005/8/layout/vList5"/>
    <dgm:cxn modelId="{D7D4DFC8-0CFF-4196-9EF3-7AA7FE3C026D}" type="presParOf" srcId="{1F1AE4D4-C391-488D-B7A0-43E4AE999F89}" destId="{AB6D712E-63BA-42F6-8DCA-50DD87390A54}"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4B917A-D502-4E94-8322-5CEE912EA863}">
      <dsp:nvSpPr>
        <dsp:cNvPr id="0" name=""/>
        <dsp:cNvSpPr/>
      </dsp:nvSpPr>
      <dsp:spPr>
        <a:xfrm rot="5400000">
          <a:off x="3405252" y="-1216662"/>
          <a:ext cx="985212" cy="3668572"/>
        </a:xfrm>
        <a:prstGeom prst="round2SameRect">
          <a:avLst/>
        </a:prstGeom>
        <a:solidFill>
          <a:schemeClr val="accent2">
            <a:tint val="40000"/>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n-AU" sz="1000" kern="1200" dirty="0" smtClean="0"/>
            <a:t> The period leading up to when the new reforms are introduced</a:t>
          </a:r>
          <a:endParaRPr lang="en-AU" sz="1000" kern="1200" dirty="0"/>
        </a:p>
        <a:p>
          <a:pPr marL="57150" lvl="1" indent="-57150" algn="just" defTabSz="444500">
            <a:lnSpc>
              <a:spcPct val="90000"/>
            </a:lnSpc>
            <a:spcBef>
              <a:spcPct val="0"/>
            </a:spcBef>
            <a:spcAft>
              <a:spcPct val="15000"/>
            </a:spcAft>
            <a:buChar char="••"/>
          </a:pPr>
          <a:r>
            <a:rPr lang="en-AU" sz="1000" kern="1200" dirty="0" smtClean="0"/>
            <a:t> Drafting new legislation and consulting on specific issues</a:t>
          </a:r>
          <a:endParaRPr lang="en-AU" sz="1000" kern="1200" dirty="0"/>
        </a:p>
        <a:p>
          <a:pPr marL="57150" lvl="1" indent="-57150" algn="l" defTabSz="444500">
            <a:lnSpc>
              <a:spcPct val="90000"/>
            </a:lnSpc>
            <a:spcBef>
              <a:spcPct val="0"/>
            </a:spcBef>
            <a:spcAft>
              <a:spcPct val="15000"/>
            </a:spcAft>
            <a:buChar char="••"/>
          </a:pPr>
          <a:r>
            <a:rPr lang="en-AU" sz="1000" kern="1200" dirty="0" smtClean="0"/>
            <a:t> Education campaigns for industry, consumers and other stakeholders</a:t>
          </a:r>
          <a:endParaRPr lang="en-AU" sz="1000" kern="1200" dirty="0"/>
        </a:p>
      </dsp:txBody>
      <dsp:txXfrm rot="-5400000">
        <a:off x="2063572" y="173112"/>
        <a:ext cx="3620478" cy="889024"/>
      </dsp:txXfrm>
    </dsp:sp>
    <dsp:sp modelId="{2B973BC8-D55D-49DC-A7DA-C16095A95DC6}">
      <dsp:nvSpPr>
        <dsp:cNvPr id="0" name=""/>
        <dsp:cNvSpPr/>
      </dsp:nvSpPr>
      <dsp:spPr>
        <a:xfrm>
          <a:off x="0" y="1865"/>
          <a:ext cx="2063572" cy="123151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AU" sz="2800" kern="1200" dirty="0" smtClean="0"/>
            <a:t>Phase 1:</a:t>
          </a:r>
          <a:r>
            <a:rPr lang="en-AU" sz="2400" kern="1200" dirty="0" smtClean="0"/>
            <a:t> </a:t>
          </a:r>
          <a:r>
            <a:rPr lang="en-AU" sz="2000" kern="1200" dirty="0" smtClean="0"/>
            <a:t>Development</a:t>
          </a:r>
        </a:p>
        <a:p>
          <a:pPr lvl="0" algn="ctr" defTabSz="1244600">
            <a:lnSpc>
              <a:spcPct val="90000"/>
            </a:lnSpc>
            <a:spcBef>
              <a:spcPct val="0"/>
            </a:spcBef>
            <a:spcAft>
              <a:spcPct val="35000"/>
            </a:spcAft>
          </a:pPr>
          <a:r>
            <a:rPr lang="en-AU" sz="2000" kern="1200" dirty="0" smtClean="0"/>
            <a:t>2022-2024</a:t>
          </a:r>
          <a:endParaRPr lang="en-AU" sz="1800" kern="1200" dirty="0"/>
        </a:p>
      </dsp:txBody>
      <dsp:txXfrm>
        <a:off x="60118" y="61983"/>
        <a:ext cx="1943336" cy="1111279"/>
      </dsp:txXfrm>
    </dsp:sp>
    <dsp:sp modelId="{084A4FDE-D572-4C0D-A07B-A124BB4094E3}">
      <dsp:nvSpPr>
        <dsp:cNvPr id="0" name=""/>
        <dsp:cNvSpPr/>
      </dsp:nvSpPr>
      <dsp:spPr>
        <a:xfrm rot="5400000">
          <a:off x="3405252" y="76428"/>
          <a:ext cx="985212" cy="3668572"/>
        </a:xfrm>
        <a:prstGeom prst="round2SameRect">
          <a:avLst/>
        </a:prstGeom>
        <a:solidFill>
          <a:schemeClr val="accent3">
            <a:tint val="40000"/>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AU" sz="1000" kern="1200" dirty="0" smtClean="0"/>
            <a:t> Introduction of the reformed legislation</a:t>
          </a:r>
          <a:endParaRPr lang="en-AU" sz="1000" kern="1200" dirty="0"/>
        </a:p>
        <a:p>
          <a:pPr marL="57150" lvl="1" indent="-57150" algn="l" defTabSz="444500">
            <a:lnSpc>
              <a:spcPct val="90000"/>
            </a:lnSpc>
            <a:spcBef>
              <a:spcPct val="0"/>
            </a:spcBef>
            <a:spcAft>
              <a:spcPct val="15000"/>
            </a:spcAft>
            <a:buChar char="••"/>
          </a:pPr>
          <a:r>
            <a:rPr lang="en-AU" sz="1000" kern="1200" dirty="0" smtClean="0"/>
            <a:t> Transition period: grace periods and transitional arrangements for industry and other stakeholders to adapt to the new laws</a:t>
          </a:r>
          <a:endParaRPr lang="en-AU" sz="1000" kern="1200" dirty="0"/>
        </a:p>
        <a:p>
          <a:pPr marL="57150" lvl="1" indent="-57150" algn="l" defTabSz="444500">
            <a:lnSpc>
              <a:spcPct val="90000"/>
            </a:lnSpc>
            <a:spcBef>
              <a:spcPct val="0"/>
            </a:spcBef>
            <a:spcAft>
              <a:spcPct val="15000"/>
            </a:spcAft>
            <a:buChar char="••"/>
          </a:pPr>
          <a:r>
            <a:rPr lang="en-AU" sz="1000" kern="1200"/>
            <a:t> Tracking of issues / ideas through an accessible </a:t>
          </a:r>
          <a:r>
            <a:rPr lang="en-AU" sz="1000" b="0" kern="1200"/>
            <a:t>online policy register</a:t>
          </a:r>
          <a:endParaRPr lang="en-AU" sz="1000" kern="1200" dirty="0"/>
        </a:p>
      </dsp:txBody>
      <dsp:txXfrm rot="-5400000">
        <a:off x="2063572" y="1466202"/>
        <a:ext cx="3620478" cy="889024"/>
      </dsp:txXfrm>
    </dsp:sp>
    <dsp:sp modelId="{50EFE56A-6AF9-4A07-BA04-ED0482C6B061}">
      <dsp:nvSpPr>
        <dsp:cNvPr id="0" name=""/>
        <dsp:cNvSpPr/>
      </dsp:nvSpPr>
      <dsp:spPr>
        <a:xfrm>
          <a:off x="0" y="1294957"/>
          <a:ext cx="2063572" cy="123151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AU" sz="2800" kern="1200" dirty="0" smtClean="0"/>
            <a:t>Phase 2: </a:t>
          </a:r>
          <a:r>
            <a:rPr lang="en-AU" sz="2200" kern="1200" dirty="0" smtClean="0"/>
            <a:t>Transition</a:t>
          </a:r>
          <a:r>
            <a:rPr lang="en-AU" sz="2800" kern="1200" dirty="0" smtClean="0"/>
            <a:t> </a:t>
          </a:r>
          <a:r>
            <a:rPr lang="en-AU" sz="2000" kern="1200" dirty="0" smtClean="0"/>
            <a:t>2024-2026</a:t>
          </a:r>
          <a:endParaRPr lang="en-AU" sz="2000" kern="1200" dirty="0"/>
        </a:p>
      </dsp:txBody>
      <dsp:txXfrm>
        <a:off x="60118" y="1355075"/>
        <a:ext cx="1943336" cy="1111279"/>
      </dsp:txXfrm>
    </dsp:sp>
    <dsp:sp modelId="{AB6D712E-63BA-42F6-8DCA-50DD87390A54}">
      <dsp:nvSpPr>
        <dsp:cNvPr id="0" name=""/>
        <dsp:cNvSpPr/>
      </dsp:nvSpPr>
      <dsp:spPr>
        <a:xfrm rot="5400000">
          <a:off x="3405252" y="1369519"/>
          <a:ext cx="985212" cy="3668572"/>
        </a:xfrm>
        <a:prstGeom prst="round2SameRect">
          <a:avLst/>
        </a:prstGeom>
        <a:solidFill>
          <a:schemeClr val="accent6">
            <a:lumMod val="20000"/>
            <a:lumOff val="80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n-AU" sz="1000" kern="1200"/>
            <a:t> Evaluation of the reforms and review of exemptions</a:t>
          </a:r>
          <a:endParaRPr lang="en-AU" sz="1000" kern="1200" dirty="0"/>
        </a:p>
        <a:p>
          <a:pPr marL="57150" lvl="1" indent="-57150" algn="l" defTabSz="444500">
            <a:lnSpc>
              <a:spcPct val="90000"/>
            </a:lnSpc>
            <a:spcBef>
              <a:spcPct val="0"/>
            </a:spcBef>
            <a:spcAft>
              <a:spcPct val="15000"/>
            </a:spcAft>
            <a:buChar char="••"/>
          </a:pPr>
          <a:r>
            <a:rPr lang="en-AU" sz="1000" kern="1200"/>
            <a:t> Collaboration with industry on using the flexibility of the legislation to support new practices / technology</a:t>
          </a:r>
          <a:endParaRPr lang="en-AU" sz="1000" kern="1200" dirty="0"/>
        </a:p>
      </dsp:txBody>
      <dsp:txXfrm rot="-5400000">
        <a:off x="2063572" y="2759293"/>
        <a:ext cx="3620478" cy="889024"/>
      </dsp:txXfrm>
    </dsp:sp>
    <dsp:sp modelId="{75E2DBDE-2F6E-48FD-9436-FEB4AAD261BC}">
      <dsp:nvSpPr>
        <dsp:cNvPr id="0" name=""/>
        <dsp:cNvSpPr/>
      </dsp:nvSpPr>
      <dsp:spPr>
        <a:xfrm>
          <a:off x="44463" y="2589914"/>
          <a:ext cx="2063572" cy="1231515"/>
        </a:xfrm>
        <a:prstGeom prst="round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AU" sz="2800" kern="1200" dirty="0" smtClean="0"/>
            <a:t>Phase 3: </a:t>
          </a:r>
          <a:r>
            <a:rPr lang="en-AU" sz="2200" kern="1200" dirty="0" smtClean="0"/>
            <a:t>Evaluation</a:t>
          </a:r>
          <a:r>
            <a:rPr lang="en-AU" sz="2800" kern="1200" dirty="0" smtClean="0"/>
            <a:t> </a:t>
          </a:r>
          <a:r>
            <a:rPr lang="en-AU" sz="2000" kern="1200" dirty="0" smtClean="0"/>
            <a:t>2026 onwards</a:t>
          </a:r>
          <a:endParaRPr lang="en-AU" sz="2200" kern="1200" dirty="0"/>
        </a:p>
      </dsp:txBody>
      <dsp:txXfrm>
        <a:off x="104581" y="2650032"/>
        <a:ext cx="1943336" cy="111127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charset w:val="00"/>
    <w:family w:val="auto"/>
    <w:pitch w:val="variable"/>
    <w:sig w:usb0="00000000" w:usb1="C0007841" w:usb2="00000009" w:usb3="00000000" w:csb0="000001FF" w:csb1="00000000"/>
  </w:font>
  <w:font w:name="EYInterstate">
    <w:altName w:val="EY Interstate"/>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otham Narrow Book">
    <w:altName w:val="Arial"/>
    <w:panose1 w:val="00000000000000000000"/>
    <w:charset w:val="00"/>
    <w:family w:val="modern"/>
    <w:notTrueType/>
    <w:pitch w:val="variable"/>
    <w:sig w:usb0="A00000FF" w:usb1="40000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49B"/>
    <w:rsid w:val="00004FD4"/>
    <w:rsid w:val="000166ED"/>
    <w:rsid w:val="00031B38"/>
    <w:rsid w:val="00037C51"/>
    <w:rsid w:val="0008093C"/>
    <w:rsid w:val="000903CB"/>
    <w:rsid w:val="000A4385"/>
    <w:rsid w:val="000C1276"/>
    <w:rsid w:val="000C45C7"/>
    <w:rsid w:val="000F149B"/>
    <w:rsid w:val="001028B5"/>
    <w:rsid w:val="00127332"/>
    <w:rsid w:val="00131C8A"/>
    <w:rsid w:val="00170763"/>
    <w:rsid w:val="001739C9"/>
    <w:rsid w:val="00176A58"/>
    <w:rsid w:val="0018172B"/>
    <w:rsid w:val="00181A94"/>
    <w:rsid w:val="00197976"/>
    <w:rsid w:val="001A2B40"/>
    <w:rsid w:val="001B0574"/>
    <w:rsid w:val="001B463F"/>
    <w:rsid w:val="001C3C52"/>
    <w:rsid w:val="001E6EA1"/>
    <w:rsid w:val="002043E0"/>
    <w:rsid w:val="002069E1"/>
    <w:rsid w:val="002420E5"/>
    <w:rsid w:val="002866A0"/>
    <w:rsid w:val="002B2E1D"/>
    <w:rsid w:val="002B2F7B"/>
    <w:rsid w:val="002C6A86"/>
    <w:rsid w:val="002C7523"/>
    <w:rsid w:val="002D725F"/>
    <w:rsid w:val="002E37AA"/>
    <w:rsid w:val="003037BC"/>
    <w:rsid w:val="00306459"/>
    <w:rsid w:val="00307E7C"/>
    <w:rsid w:val="00355054"/>
    <w:rsid w:val="003651FD"/>
    <w:rsid w:val="003B5AC5"/>
    <w:rsid w:val="003C185D"/>
    <w:rsid w:val="003D0DF5"/>
    <w:rsid w:val="00401A3F"/>
    <w:rsid w:val="00402266"/>
    <w:rsid w:val="0040658C"/>
    <w:rsid w:val="00436CAA"/>
    <w:rsid w:val="00440FA5"/>
    <w:rsid w:val="004510A1"/>
    <w:rsid w:val="004523C8"/>
    <w:rsid w:val="004760DE"/>
    <w:rsid w:val="00477CAA"/>
    <w:rsid w:val="004B04B3"/>
    <w:rsid w:val="0052276D"/>
    <w:rsid w:val="005A5C4D"/>
    <w:rsid w:val="005C03C2"/>
    <w:rsid w:val="005E1CE2"/>
    <w:rsid w:val="00643D0C"/>
    <w:rsid w:val="00645BD6"/>
    <w:rsid w:val="006730EE"/>
    <w:rsid w:val="0069756F"/>
    <w:rsid w:val="00697F54"/>
    <w:rsid w:val="006A3DCF"/>
    <w:rsid w:val="006B6364"/>
    <w:rsid w:val="006C4350"/>
    <w:rsid w:val="006E27A2"/>
    <w:rsid w:val="006E5EED"/>
    <w:rsid w:val="00705918"/>
    <w:rsid w:val="00726480"/>
    <w:rsid w:val="007679A5"/>
    <w:rsid w:val="00774AC0"/>
    <w:rsid w:val="00781784"/>
    <w:rsid w:val="00781ADC"/>
    <w:rsid w:val="007B66B4"/>
    <w:rsid w:val="007D0C50"/>
    <w:rsid w:val="00825099"/>
    <w:rsid w:val="00841FC7"/>
    <w:rsid w:val="00854A7A"/>
    <w:rsid w:val="008B3871"/>
    <w:rsid w:val="008C2AAE"/>
    <w:rsid w:val="008E343F"/>
    <w:rsid w:val="009778C9"/>
    <w:rsid w:val="00995080"/>
    <w:rsid w:val="009C0DAF"/>
    <w:rsid w:val="009D3F94"/>
    <w:rsid w:val="009F110F"/>
    <w:rsid w:val="00A4324B"/>
    <w:rsid w:val="00A6579E"/>
    <w:rsid w:val="00A8535D"/>
    <w:rsid w:val="00A85E7D"/>
    <w:rsid w:val="00AA4465"/>
    <w:rsid w:val="00AD0E27"/>
    <w:rsid w:val="00AD48BF"/>
    <w:rsid w:val="00B13635"/>
    <w:rsid w:val="00B1363C"/>
    <w:rsid w:val="00B16EE2"/>
    <w:rsid w:val="00B25B35"/>
    <w:rsid w:val="00B535DF"/>
    <w:rsid w:val="00B71390"/>
    <w:rsid w:val="00B842F5"/>
    <w:rsid w:val="00BA3ACB"/>
    <w:rsid w:val="00BA63CA"/>
    <w:rsid w:val="00BC63F3"/>
    <w:rsid w:val="00BF5D8E"/>
    <w:rsid w:val="00C15FA9"/>
    <w:rsid w:val="00C260F0"/>
    <w:rsid w:val="00C9019A"/>
    <w:rsid w:val="00C90944"/>
    <w:rsid w:val="00CB7478"/>
    <w:rsid w:val="00CD61E2"/>
    <w:rsid w:val="00CE2472"/>
    <w:rsid w:val="00CE537E"/>
    <w:rsid w:val="00CF4BF9"/>
    <w:rsid w:val="00D0534B"/>
    <w:rsid w:val="00D336AC"/>
    <w:rsid w:val="00D37961"/>
    <w:rsid w:val="00D61F95"/>
    <w:rsid w:val="00D7039C"/>
    <w:rsid w:val="00D7522E"/>
    <w:rsid w:val="00D808EC"/>
    <w:rsid w:val="00D82F28"/>
    <w:rsid w:val="00D9198A"/>
    <w:rsid w:val="00DB5512"/>
    <w:rsid w:val="00DC7B10"/>
    <w:rsid w:val="00DE2485"/>
    <w:rsid w:val="00E3364F"/>
    <w:rsid w:val="00E4523C"/>
    <w:rsid w:val="00E46057"/>
    <w:rsid w:val="00E67189"/>
    <w:rsid w:val="00EA1C5D"/>
    <w:rsid w:val="00EC77A6"/>
    <w:rsid w:val="00EE4BC2"/>
    <w:rsid w:val="00EF21D2"/>
    <w:rsid w:val="00F06BE1"/>
    <w:rsid w:val="00F074CF"/>
    <w:rsid w:val="00F10A30"/>
    <w:rsid w:val="00F2780D"/>
    <w:rsid w:val="00F45046"/>
    <w:rsid w:val="00F6134E"/>
    <w:rsid w:val="00F63A43"/>
    <w:rsid w:val="00F94003"/>
    <w:rsid w:val="00FE45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0E27"/>
    <w:rPr>
      <w:color w:val="808080"/>
    </w:rPr>
  </w:style>
  <w:style w:type="paragraph" w:customStyle="1" w:styleId="43E4B3A7EC8C45B3A4E122F0F99738E1">
    <w:name w:val="43E4B3A7EC8C45B3A4E122F0F99738E1"/>
    <w:rsid w:val="000F149B"/>
  </w:style>
  <w:style w:type="paragraph" w:customStyle="1" w:styleId="AC5B852180E147F49A769F1D312FCEAE">
    <w:name w:val="AC5B852180E147F49A769F1D312FCEAE"/>
    <w:rsid w:val="000F149B"/>
  </w:style>
  <w:style w:type="paragraph" w:customStyle="1" w:styleId="AAB14EB4058C47F7A0BB717B15935CEB">
    <w:name w:val="AAB14EB4058C47F7A0BB717B15935CEB"/>
    <w:rsid w:val="000F149B"/>
  </w:style>
  <w:style w:type="paragraph" w:customStyle="1" w:styleId="700E47FB88CD4150BD088405BC95FB09">
    <w:name w:val="700E47FB88CD4150BD088405BC95FB09"/>
    <w:rsid w:val="000F149B"/>
  </w:style>
  <w:style w:type="paragraph" w:customStyle="1" w:styleId="C9B3DF2F05F54B80A4E0E924B52D592E">
    <w:name w:val="C9B3DF2F05F54B80A4E0E924B52D592E"/>
    <w:rsid w:val="000F149B"/>
  </w:style>
  <w:style w:type="paragraph" w:customStyle="1" w:styleId="2506DF2AF80945209BF65F0E22A7E1C1">
    <w:name w:val="2506DF2AF80945209BF65F0E22A7E1C1"/>
    <w:rsid w:val="000F149B"/>
  </w:style>
  <w:style w:type="paragraph" w:customStyle="1" w:styleId="489086CA3CA5407B884C87D293AACF08">
    <w:name w:val="489086CA3CA5407B884C87D293AACF08"/>
    <w:rsid w:val="000F149B"/>
  </w:style>
  <w:style w:type="paragraph" w:customStyle="1" w:styleId="BF22AE1B7CAA4F6DA45315C4F90D3EC9">
    <w:name w:val="BF22AE1B7CAA4F6DA45315C4F90D3EC9"/>
    <w:rsid w:val="000F149B"/>
  </w:style>
  <w:style w:type="paragraph" w:customStyle="1" w:styleId="E396E127199F42EFA86DE7148E084B60">
    <w:name w:val="E396E127199F42EFA86DE7148E084B60"/>
    <w:rsid w:val="000F149B"/>
  </w:style>
  <w:style w:type="paragraph" w:customStyle="1" w:styleId="2EE2D45F251A4254A477F2CEA40F06E4">
    <w:name w:val="2EE2D45F251A4254A477F2CEA40F06E4"/>
    <w:rsid w:val="000F149B"/>
  </w:style>
  <w:style w:type="paragraph" w:customStyle="1" w:styleId="60941F1FD01147739B23762A7B4DE82C">
    <w:name w:val="60941F1FD01147739B23762A7B4DE82C"/>
    <w:rsid w:val="000F149B"/>
  </w:style>
  <w:style w:type="paragraph" w:customStyle="1" w:styleId="DFE4F97416534EE2A03BF67F76C48E7C">
    <w:name w:val="DFE4F97416534EE2A03BF67F76C48E7C"/>
    <w:rsid w:val="004B04B3"/>
  </w:style>
  <w:style w:type="paragraph" w:customStyle="1" w:styleId="EBB6D246A7C84903A4B8F360430C72F6">
    <w:name w:val="EBB6D246A7C84903A4B8F360430C72F6"/>
    <w:rsid w:val="004B04B3"/>
  </w:style>
  <w:style w:type="paragraph" w:customStyle="1" w:styleId="2518F371B65646D7956D177F8EFA4687">
    <w:name w:val="2518F371B65646D7956D177F8EFA4687"/>
    <w:rsid w:val="005C03C2"/>
  </w:style>
  <w:style w:type="paragraph" w:customStyle="1" w:styleId="B4DF1362A3CE46988AF326EB8874B7A9">
    <w:name w:val="B4DF1362A3CE46988AF326EB8874B7A9"/>
    <w:rsid w:val="005C03C2"/>
  </w:style>
  <w:style w:type="paragraph" w:customStyle="1" w:styleId="964C839239344BB285C76F1D2021A258">
    <w:name w:val="964C839239344BB285C76F1D2021A258"/>
    <w:rsid w:val="00AD0E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epartment">
    <a:dk1>
      <a:sysClr val="windowText" lastClr="000000"/>
    </a:dk1>
    <a:lt1>
      <a:sysClr val="window" lastClr="FFFFFF"/>
    </a:lt1>
    <a:dk2>
      <a:srgbClr val="58595B"/>
    </a:dk2>
    <a:lt2>
      <a:srgbClr val="E7E6E6"/>
    </a:lt2>
    <a:accent1>
      <a:srgbClr val="005677"/>
    </a:accent1>
    <a:accent2>
      <a:srgbClr val="00283E"/>
    </a:accent2>
    <a:accent3>
      <a:srgbClr val="1B9590"/>
    </a:accent3>
    <a:accent4>
      <a:srgbClr val="61C6C6"/>
    </a:accent4>
    <a:accent5>
      <a:srgbClr val="9CD9E0"/>
    </a:accent5>
    <a:accent6>
      <a:srgbClr val="C973AF"/>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6" ma:contentTypeDescription="Create a new document." ma:contentTypeScope="" ma:versionID="15883b792da53fd44784623907b31bb4">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0fc62fc07c23b42ad0842bced76ef983"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DOCID-322795542-33042</_dlc_DocId>
    <_dlc_DocIdUrl xmlns="4195ad5f-cdf2-4c4a-8d9b-b7944a108e98">
      <Url>https://pmc01.sharepoint.com/sites/CRMOBPR/_layouts/15/DocIdRedir.aspx?ID=DOCID-322795542-33042</Url>
      <Description>DOCID-322795542-33042</Description>
    </_dlc_DocIdUrl>
  </documentManagement>
</p:properties>
</file>

<file path=customXml/itemProps1.xml><?xml version="1.0" encoding="utf-8"?>
<ds:datastoreItem xmlns:ds="http://schemas.openxmlformats.org/officeDocument/2006/customXml" ds:itemID="{9A054B41-73CE-4AB3-AD5E-A9D4D98F9F34}">
  <ds:schemaRefs>
    <ds:schemaRef ds:uri="http://schemas.openxmlformats.org/officeDocument/2006/bibliography"/>
  </ds:schemaRefs>
</ds:datastoreItem>
</file>

<file path=customXml/itemProps2.xml><?xml version="1.0" encoding="utf-8"?>
<ds:datastoreItem xmlns:ds="http://schemas.openxmlformats.org/officeDocument/2006/customXml" ds:itemID="{F035F016-CF5F-4498-A1FA-192221C4D2D8}"/>
</file>

<file path=customXml/itemProps3.xml><?xml version="1.0" encoding="utf-8"?>
<ds:datastoreItem xmlns:ds="http://schemas.openxmlformats.org/officeDocument/2006/customXml" ds:itemID="{016FEC83-7818-44CE-A821-112EF2E21E0B}"/>
</file>

<file path=customXml/itemProps4.xml><?xml version="1.0" encoding="utf-8"?>
<ds:datastoreItem xmlns:ds="http://schemas.openxmlformats.org/officeDocument/2006/customXml" ds:itemID="{44E1D3A6-22EC-4287-AA52-65CE18064823}"/>
</file>

<file path=customXml/itemProps5.xml><?xml version="1.0" encoding="utf-8"?>
<ds:datastoreItem xmlns:ds="http://schemas.openxmlformats.org/officeDocument/2006/customXml" ds:itemID="{5B98868B-115F-4203-BBBC-8FC69EA61BA2}"/>
</file>

<file path=docProps/app.xml><?xml version="1.0" encoding="utf-8"?>
<Properties xmlns="http://schemas.openxmlformats.org/officeDocument/2006/extended-properties" xmlns:vt="http://schemas.openxmlformats.org/officeDocument/2006/docPropsVTypes">
  <Template>Normal</Template>
  <TotalTime>0</TotalTime>
  <Pages>229</Pages>
  <Words>79520</Words>
  <Characters>453264</Characters>
  <Application>Microsoft Office Word</Application>
  <DocSecurity>0</DocSecurity>
  <Lines>3777</Lines>
  <Paragraphs>1063</Paragraphs>
  <ScaleCrop>false</ScaleCrop>
  <Manager/>
  <Company/>
  <LinksUpToDate>false</LinksUpToDate>
  <CharactersWithSpaces>531721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2023-05-22T01:01:00Z</dcterms:created>
  <dcterms:modified xsi:type="dcterms:W3CDTF">2023-05-22T01:02:00Z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1028fcb1-4c5a-459e-be51-df18e32dca62</vt:lpwstr>
  </property>
</Properties>
</file>