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95ED2" w:rsidP="00E811EC" w:rsidRDefault="00F95ED2" w14:paraId="6D987F23" w14:textId="77777777">
      <w:bookmarkStart w:name="_GoBack" w:id="0"/>
      <w:bookmarkEnd w:id="0"/>
    </w:p>
    <w:p w:rsidR="00F95ED2" w:rsidP="00E811EC" w:rsidRDefault="00F95ED2" w14:paraId="0E525DB9" w14:textId="77777777"/>
    <w:p w:rsidR="00F95ED2" w:rsidP="00E811EC" w:rsidRDefault="00F95ED2" w14:paraId="08E24D5D" w14:textId="77777777"/>
    <w:p w:rsidR="00E811EC" w:rsidP="00E811EC" w:rsidRDefault="00E811EC" w14:paraId="6CBEA360" w14:textId="77777777"/>
    <w:p w:rsidR="00E811EC" w:rsidP="00E811EC" w:rsidRDefault="00E811EC" w14:paraId="688E9BB9" w14:textId="77777777">
      <w:r>
        <w:t xml:space="preserve">Mr Jason </w:t>
      </w:r>
      <w:r w:rsidRPr="00E62DCF">
        <w:t>Lange</w:t>
      </w:r>
    </w:p>
    <w:p w:rsidR="00E811EC" w:rsidP="00E811EC" w:rsidRDefault="00E811EC" w14:paraId="41F9002B" w14:textId="77777777">
      <w:r>
        <w:t>Executive Director</w:t>
      </w:r>
    </w:p>
    <w:p w:rsidR="00E811EC" w:rsidP="00E811EC" w:rsidRDefault="00E811EC" w14:paraId="0888440C" w14:textId="77777777">
      <w:r>
        <w:t>Office of Impact Analysis</w:t>
      </w:r>
    </w:p>
    <w:p w:rsidR="00E811EC" w:rsidP="00E811EC" w:rsidRDefault="00E811EC" w14:paraId="6EA72C57" w14:textId="77777777">
      <w:r>
        <w:t>Department of the Prime Minister and Cabinet</w:t>
      </w:r>
    </w:p>
    <w:p w:rsidR="00E811EC" w:rsidP="00E811EC" w:rsidRDefault="00E811EC" w14:paraId="1E5CF759" w14:textId="77777777">
      <w:r>
        <w:t>1 National Circuit</w:t>
      </w:r>
    </w:p>
    <w:p w:rsidR="00E811EC" w:rsidP="00E811EC" w:rsidRDefault="00E811EC" w14:paraId="6F89E0FA" w14:textId="77777777">
      <w:r>
        <w:t>BARTON   ACT   2600</w:t>
      </w:r>
      <w:r>
        <w:br/>
      </w:r>
    </w:p>
    <w:p w:rsidR="00E811EC" w:rsidP="00E811EC" w:rsidRDefault="00E811EC" w14:paraId="1788DA3F" w14:textId="77777777">
      <w:r>
        <w:t>Email: helpdesk-OIA@pmc.gov.au</w:t>
      </w:r>
    </w:p>
    <w:p w:rsidR="00E811EC" w:rsidP="00E811EC" w:rsidRDefault="00E811EC" w14:paraId="78296D70" w14:textId="77777777"/>
    <w:p w:rsidRPr="00CF5240" w:rsidR="00E811EC" w:rsidP="00E811EC" w:rsidRDefault="00E811EC" w14:paraId="6858579F" w14:textId="77777777">
      <w:pPr>
        <w:rPr>
          <w:rFonts w:cs="Arial"/>
          <w:szCs w:val="22"/>
        </w:rPr>
      </w:pPr>
    </w:p>
    <w:p w:rsidRPr="00CF5240" w:rsidR="00E811EC" w:rsidP="00E811EC" w:rsidRDefault="00E811EC" w14:paraId="20266B5F" w14:textId="77777777">
      <w:pPr>
        <w:rPr>
          <w:rFonts w:cs="Arial"/>
          <w:szCs w:val="22"/>
        </w:rPr>
      </w:pPr>
      <w:r w:rsidRPr="00CF5240">
        <w:rPr>
          <w:rFonts w:cs="Arial"/>
          <w:szCs w:val="22"/>
        </w:rPr>
        <w:t>Dear Mr Lange</w:t>
      </w:r>
    </w:p>
    <w:p w:rsidRPr="00CF5240" w:rsidR="00E811EC" w:rsidP="00E811EC" w:rsidRDefault="00E811EC" w14:paraId="7CF1D19B" w14:textId="77777777">
      <w:pPr>
        <w:pStyle w:val="Header"/>
        <w:tabs>
          <w:tab w:val="left" w:pos="720"/>
        </w:tabs>
        <w:rPr>
          <w:rFonts w:cs="Arial"/>
          <w:szCs w:val="22"/>
        </w:rPr>
      </w:pPr>
    </w:p>
    <w:p w:rsidRPr="00CF5240" w:rsidR="00E811EC" w:rsidP="00E811EC" w:rsidRDefault="00E811EC" w14:paraId="64032D0E" w14:textId="77777777">
      <w:pPr>
        <w:pStyle w:val="Header"/>
        <w:tabs>
          <w:tab w:val="left" w:pos="720"/>
        </w:tabs>
        <w:rPr>
          <w:rFonts w:cs="Arial"/>
          <w:b/>
          <w:szCs w:val="22"/>
        </w:rPr>
      </w:pPr>
      <w:r w:rsidRPr="00CF5240">
        <w:rPr>
          <w:rFonts w:cs="Arial"/>
          <w:szCs w:val="22"/>
        </w:rPr>
        <w:t xml:space="preserve">Certification of independent review: </w:t>
      </w:r>
      <w:r w:rsidRPr="00CF5240">
        <w:rPr>
          <w:rFonts w:cs="Arial"/>
          <w:b/>
          <w:szCs w:val="22"/>
        </w:rPr>
        <w:t xml:space="preserve">Response to the Royal Commission into Aged Care Quality and Safety </w:t>
      </w:r>
    </w:p>
    <w:p w:rsidRPr="00CF5240" w:rsidR="00E811EC" w:rsidP="00E811EC" w:rsidRDefault="00E811EC" w14:paraId="68E454C4" w14:textId="77777777">
      <w:pPr>
        <w:pStyle w:val="Paragraphtext"/>
        <w:rPr>
          <w:rFonts w:cs="Arial"/>
          <w:sz w:val="22"/>
          <w:szCs w:val="22"/>
          <w:lang w:eastAsia="en-AU"/>
        </w:rPr>
      </w:pPr>
      <w:r w:rsidRPr="00CF5240">
        <w:rPr>
          <w:rFonts w:cs="Arial"/>
          <w:sz w:val="22"/>
          <w:szCs w:val="22"/>
          <w:lang w:eastAsia="en-AU"/>
        </w:rPr>
        <w:t>I am writing to certify that the attached independent review (</w:t>
      </w:r>
      <w:r w:rsidRPr="00E811EC">
        <w:rPr>
          <w:rFonts w:cs="Arial"/>
          <w:sz w:val="22"/>
          <w:szCs w:val="22"/>
          <w:lang w:eastAsia="en-AU"/>
        </w:rPr>
        <w:t>Attachment A</w:t>
      </w:r>
      <w:r w:rsidRPr="00CF5240">
        <w:rPr>
          <w:rFonts w:cs="Arial"/>
          <w:sz w:val="22"/>
          <w:szCs w:val="22"/>
          <w:lang w:eastAsia="en-AU"/>
        </w:rPr>
        <w:t xml:space="preserve">) has undertaken a </w:t>
      </w:r>
      <w:proofErr w:type="gramStart"/>
      <w:r w:rsidRPr="00CF5240">
        <w:rPr>
          <w:rFonts w:cs="Arial"/>
          <w:sz w:val="22"/>
          <w:szCs w:val="22"/>
          <w:lang w:eastAsia="en-AU"/>
        </w:rPr>
        <w:t>process</w:t>
      </w:r>
      <w:proofErr w:type="gramEnd"/>
      <w:r w:rsidRPr="00CF5240">
        <w:rPr>
          <w:rFonts w:cs="Arial"/>
          <w:sz w:val="22"/>
          <w:szCs w:val="22"/>
          <w:lang w:eastAsia="en-AU"/>
        </w:rPr>
        <w:t xml:space="preserve"> and analysis equivalent to an Impact Analysis (IA) for the </w:t>
      </w:r>
      <w:r w:rsidRPr="00E811EC">
        <w:rPr>
          <w:rFonts w:cs="Arial"/>
          <w:sz w:val="22"/>
          <w:szCs w:val="22"/>
          <w:lang w:eastAsia="en-AU"/>
        </w:rPr>
        <w:t>Single Comprehensive Assessment proposal</w:t>
      </w:r>
      <w:r w:rsidRPr="00CF5240">
        <w:rPr>
          <w:rFonts w:cs="Arial"/>
          <w:sz w:val="22"/>
          <w:szCs w:val="22"/>
          <w:lang w:eastAsia="en-AU"/>
        </w:rPr>
        <w:t>.</w:t>
      </w:r>
    </w:p>
    <w:p w:rsidRPr="00CF5240" w:rsidR="00E811EC" w:rsidP="00E811EC" w:rsidRDefault="00E811EC" w14:paraId="1A94C583" w14:textId="77777777">
      <w:pPr>
        <w:pStyle w:val="BodyText"/>
        <w:rPr>
          <w:rFonts w:cs="Arial"/>
        </w:rPr>
      </w:pPr>
      <w:r w:rsidRPr="00CF5240">
        <w:rPr>
          <w:rFonts w:cs="Arial"/>
        </w:rPr>
        <w:t xml:space="preserve">I certify these documents adequately address all relevant Impact Analysis questions, and are submitted to the Office of Best Practice Regulation for the purposes of satisfying the regulatory impact analysis requirements of a major decision point. </w:t>
      </w:r>
    </w:p>
    <w:p w:rsidRPr="00CF5240" w:rsidR="00E811EC" w:rsidP="00E811EC" w:rsidRDefault="00E811EC" w14:paraId="5869F20E" w14:textId="77777777">
      <w:pPr>
        <w:pStyle w:val="BodyText"/>
        <w:rPr>
          <w:rFonts w:cs="Arial"/>
        </w:rPr>
      </w:pPr>
      <w:r w:rsidRPr="00CF5240">
        <w:rPr>
          <w:rFonts w:cs="Arial"/>
        </w:rPr>
        <w:t xml:space="preserve">The scope of the certified review covers the scope of the policy proposal with the exception of implementation and evaluation measures. To address these gaps in the analysis, a supplementary analysis addressing the implementation and evaluation of this measure </w:t>
      </w:r>
      <w:r>
        <w:rPr>
          <w:rFonts w:cs="Arial"/>
        </w:rPr>
        <w:t xml:space="preserve">is attached. </w:t>
      </w:r>
    </w:p>
    <w:p w:rsidRPr="00CF5240" w:rsidR="00E811EC" w:rsidP="00E811EC" w:rsidRDefault="00E811EC" w14:paraId="7377D727" w14:textId="77777777">
      <w:pPr>
        <w:rPr>
          <w:rFonts w:cs="Arial"/>
          <w:szCs w:val="22"/>
        </w:rPr>
      </w:pPr>
    </w:p>
    <w:p w:rsidRPr="00CF5240" w:rsidR="00E811EC" w:rsidP="00E811EC" w:rsidRDefault="00E811EC" w14:paraId="5785EBBA" w14:textId="77777777">
      <w:pPr>
        <w:rPr>
          <w:rFonts w:cs="Arial"/>
          <w:szCs w:val="22"/>
        </w:rPr>
      </w:pPr>
      <w:r w:rsidRPr="00CF5240">
        <w:rPr>
          <w:rFonts w:cs="Arial"/>
          <w:szCs w:val="22"/>
        </w:rPr>
        <w:t xml:space="preserve">I further certify that fewer than three policy options have been examined, the Department’s assessment is that this is feasible in light of the well-established policy problem and the extensive review processes which have informed this policy proposal. </w:t>
      </w:r>
    </w:p>
    <w:p w:rsidRPr="00CF5240" w:rsidR="00E811EC" w:rsidP="00E811EC" w:rsidRDefault="00E811EC" w14:paraId="47B12273" w14:textId="77777777">
      <w:pPr>
        <w:pStyle w:val="BodyText"/>
        <w:rPr>
          <w:rFonts w:cs="Arial"/>
        </w:rPr>
      </w:pPr>
      <w:r w:rsidRPr="00CF5240">
        <w:rPr>
          <w:rFonts w:cs="Arial"/>
        </w:rPr>
        <w:t xml:space="preserve">The regulatory burden to business, community organisations or individuals is quantified using the Australian Government’s </w:t>
      </w:r>
      <w:r w:rsidRPr="00CF5240">
        <w:rPr>
          <w:rFonts w:cs="Arial"/>
          <w:i/>
        </w:rPr>
        <w:t xml:space="preserve">Regulatory Burden Measurement </w:t>
      </w:r>
      <w:r w:rsidRPr="00CF5240">
        <w:rPr>
          <w:rFonts w:cs="Arial"/>
        </w:rPr>
        <w:t xml:space="preserve">framework and is provided below. </w:t>
      </w:r>
      <w:r w:rsidRPr="00763D1F" w:rsidR="0099056E">
        <w:t xml:space="preserve">The Department will remain alert to opportunities to </w:t>
      </w:r>
      <w:r w:rsidR="0099056E">
        <w:t xml:space="preserve">further </w:t>
      </w:r>
      <w:r w:rsidRPr="00763D1F" w:rsidR="0099056E">
        <w:t>reduce the regulatory burden for affected stakeholders</w:t>
      </w:r>
      <w:r w:rsidR="0099056E">
        <w:t>.</w:t>
      </w:r>
    </w:p>
    <w:p w:rsidRPr="00CF5240" w:rsidR="00E811EC" w:rsidP="00E811EC" w:rsidRDefault="00E811EC" w14:paraId="7183747C" w14:textId="77777777">
      <w:pPr>
        <w:pStyle w:val="BodyText"/>
        <w:spacing w:before="0"/>
        <w:rPr>
          <w:rFonts w:cs="Arial"/>
          <w:strike/>
        </w:rPr>
      </w:pPr>
    </w:p>
    <w:p w:rsidRPr="00CF5240" w:rsidR="00E811EC" w:rsidP="00E811EC" w:rsidRDefault="00E811EC" w14:paraId="5B18A9AA" w14:textId="77777777">
      <w:pPr>
        <w:pStyle w:val="Header"/>
        <w:tabs>
          <w:tab w:val="left" w:pos="720"/>
        </w:tabs>
        <w:rPr>
          <w:rFonts w:cs="Arial"/>
          <w:szCs w:val="22"/>
        </w:rPr>
      </w:pPr>
    </w:p>
    <w:tbl>
      <w:tblPr>
        <w:tblStyle w:val="LightGrid-Accent2"/>
        <w:tblpPr w:leftFromText="180" w:rightFromText="180" w:vertAnchor="text" w:horzAnchor="margin" w:tblpXSpec="center" w:tblpY="-139"/>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Pr="003435C6" w:rsidR="00E811EC" w:rsidTr="00F72B46" w14:paraId="5E681990"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Pr="0041390D" w:rsidR="00E811EC" w:rsidP="00F72B46" w:rsidRDefault="00E811EC" w14:paraId="5C31B8E5" w14:textId="77777777">
            <w:pPr>
              <w:spacing w:before="120" w:after="120"/>
              <w:rPr>
                <w:rFonts w:cs="Arial"/>
                <w:sz w:val="20"/>
                <w:u w:val="single"/>
              </w:rPr>
            </w:pPr>
            <w:r w:rsidRPr="0041390D">
              <w:rPr>
                <w:rFonts w:cs="Arial"/>
                <w:u w:val="single"/>
              </w:rPr>
              <w:t>Regulatory burden estimate table</w:t>
            </w:r>
          </w:p>
          <w:p w:rsidRPr="003435C6" w:rsidR="00E811EC" w:rsidP="00F72B46" w:rsidRDefault="00E811EC" w14:paraId="7A8F16BC" w14:textId="77777777">
            <w:pPr>
              <w:spacing w:before="120" w:after="120"/>
              <w:rPr>
                <w:rFonts w:cs="Arial"/>
                <w:sz w:val="20"/>
              </w:rPr>
            </w:pPr>
            <w:r w:rsidRPr="003435C6">
              <w:rPr>
                <w:rFonts w:cs="Arial"/>
                <w:sz w:val="20"/>
              </w:rPr>
              <w:t>Average annual regulatory costs (from business as usual)</w:t>
            </w:r>
          </w:p>
        </w:tc>
      </w:tr>
      <w:tr w:rsidRPr="003435C6" w:rsidR="00E811EC" w:rsidTr="00F72B46" w14:paraId="3B1BCEBF" w14:textId="77777777">
        <w:trPr>
          <w:trHeight w:val="300"/>
        </w:trPr>
        <w:tc>
          <w:tcPr>
            <w:cnfStyle w:val="001000000000" w:firstRow="0" w:lastRow="0" w:firstColumn="1" w:lastColumn="0" w:oddVBand="0" w:evenVBand="0" w:oddHBand="0" w:evenHBand="0" w:firstRowFirstColumn="0" w:firstRowLastColumn="0" w:lastRowFirstColumn="0" w:lastRowLastColumn="0"/>
            <w:tcW w:w="1871" w:type="dxa"/>
          </w:tcPr>
          <w:p w:rsidRPr="00CF5240" w:rsidR="00E811EC" w:rsidP="00F72B46" w:rsidRDefault="00E811EC" w14:paraId="5AA99F79" w14:textId="77777777">
            <w:pPr>
              <w:pStyle w:val="TableText"/>
            </w:pPr>
            <w:r w:rsidRPr="00CF5240">
              <w:rPr>
                <w:rFonts w:ascii="Arial" w:hAnsi="Arial" w:cs="Arial" w:eastAsiaTheme="majorEastAsia"/>
                <w:b w:val="0"/>
                <w:bCs w:val="0"/>
              </w:rPr>
              <w:t>Change in costs ($ million)</w:t>
            </w:r>
          </w:p>
        </w:tc>
        <w:tc>
          <w:tcPr>
            <w:tcW w:w="1871" w:type="dxa"/>
            <w:noWrap/>
          </w:tcPr>
          <w:p w:rsidRPr="00CF5240" w:rsidR="00E811EC" w:rsidP="00F72B46" w:rsidRDefault="00E811EC" w14:paraId="3857CFF5" w14:textId="77777777">
            <w:pPr>
              <w:pStyle w:val="TableText"/>
              <w:cnfStyle w:val="000000000000" w:firstRow="0" w:lastRow="0" w:firstColumn="0" w:lastColumn="0" w:oddVBand="0" w:evenVBand="0" w:oddHBand="0" w:evenHBand="0" w:firstRowFirstColumn="0" w:firstRowLastColumn="0" w:lastRowFirstColumn="0" w:lastRowLastColumn="0"/>
            </w:pPr>
            <w:r w:rsidRPr="0099056E">
              <w:rPr>
                <w:rFonts w:ascii="Arial" w:hAnsi="Arial" w:cs="Arial" w:eastAsiaTheme="majorEastAsia"/>
              </w:rPr>
              <w:t>Business</w:t>
            </w:r>
          </w:p>
        </w:tc>
        <w:tc>
          <w:tcPr>
            <w:tcW w:w="1871" w:type="dxa"/>
            <w:noWrap/>
          </w:tcPr>
          <w:p w:rsidRPr="00CF5240" w:rsidR="00E811EC" w:rsidP="00F72B46" w:rsidRDefault="00E811EC" w14:paraId="1BD1AC2B"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eastAsiaTheme="majorEastAsia"/>
                <w:bCs/>
                <w:sz w:val="20"/>
              </w:rPr>
            </w:pPr>
            <w:r w:rsidRPr="00CF5240">
              <w:rPr>
                <w:rFonts w:cs="Arial" w:eastAsiaTheme="majorEastAsia"/>
                <w:bCs/>
                <w:sz w:val="20"/>
              </w:rPr>
              <w:t>Community organisations</w:t>
            </w:r>
          </w:p>
        </w:tc>
        <w:tc>
          <w:tcPr>
            <w:tcW w:w="1871" w:type="dxa"/>
            <w:noWrap/>
          </w:tcPr>
          <w:p w:rsidRPr="00CF5240" w:rsidR="00E811EC" w:rsidP="00F72B46" w:rsidRDefault="00E811EC" w14:paraId="55C6B002"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eastAsiaTheme="majorEastAsia"/>
                <w:bCs/>
                <w:sz w:val="20"/>
              </w:rPr>
            </w:pPr>
            <w:r w:rsidRPr="00CF5240">
              <w:rPr>
                <w:rFonts w:cs="Arial" w:eastAsiaTheme="majorEastAsia"/>
                <w:bCs/>
                <w:sz w:val="20"/>
              </w:rPr>
              <w:t>Individuals</w:t>
            </w:r>
          </w:p>
        </w:tc>
        <w:tc>
          <w:tcPr>
            <w:tcW w:w="1872" w:type="dxa"/>
            <w:noWrap/>
          </w:tcPr>
          <w:p w:rsidRPr="00CF5240" w:rsidR="00E811EC" w:rsidP="00F72B46" w:rsidRDefault="00E811EC" w14:paraId="425B140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eastAsiaTheme="majorEastAsia"/>
                <w:bCs/>
                <w:sz w:val="20"/>
              </w:rPr>
            </w:pPr>
            <w:r w:rsidRPr="00CF5240">
              <w:rPr>
                <w:rFonts w:cs="Arial" w:eastAsiaTheme="majorEastAsia"/>
                <w:bCs/>
                <w:sz w:val="20"/>
              </w:rPr>
              <w:t>Total change in costs</w:t>
            </w:r>
          </w:p>
        </w:tc>
      </w:tr>
      <w:tr w:rsidRPr="003435C6" w:rsidR="00E811EC" w:rsidTr="00F72B46" w14:paraId="62B43CF8"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Pr>
          <w:p w:rsidRPr="00C628C7" w:rsidR="00E811EC" w:rsidP="00F72B46" w:rsidRDefault="00E811EC" w14:paraId="34D74171" w14:textId="77777777">
            <w:pPr>
              <w:pStyle w:val="TableText"/>
            </w:pPr>
            <w:r w:rsidRPr="00C628C7">
              <w:rPr>
                <w:rFonts w:ascii="Arial" w:hAnsi="Arial" w:cs="Arial"/>
                <w:b w:val="0"/>
              </w:rPr>
              <w:t>Total, by sector</w:t>
            </w:r>
            <w:r w:rsidRPr="00C628C7">
              <w:t xml:space="preserve"> </w:t>
            </w:r>
          </w:p>
        </w:tc>
        <w:tc>
          <w:tcPr>
            <w:tcW w:w="1871" w:type="dxa"/>
            <w:noWrap/>
          </w:tcPr>
          <w:p w:rsidRPr="00C628C7" w:rsidR="00E811EC" w:rsidP="00F72B46" w:rsidRDefault="00EC2B9B" w14:paraId="40F64D8A" w14:textId="77777777">
            <w:pPr>
              <w:pStyle w:val="TableText"/>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C628C7">
              <w:rPr>
                <w:rFonts w:ascii="Arial" w:hAnsi="Arial" w:cs="Arial"/>
                <w:bCs/>
              </w:rPr>
              <w:t xml:space="preserve">$6.55m </w:t>
            </w:r>
          </w:p>
        </w:tc>
        <w:tc>
          <w:tcPr>
            <w:tcW w:w="1871" w:type="dxa"/>
            <w:noWrap/>
          </w:tcPr>
          <w:p w:rsidRPr="00C628C7" w:rsidR="00E811EC" w:rsidP="00F72B46" w:rsidRDefault="00E811EC" w14:paraId="44097788" w14:textId="77777777">
            <w:pPr>
              <w:cnfStyle w:val="000000010000" w:firstRow="0" w:lastRow="0" w:firstColumn="0" w:lastColumn="0" w:oddVBand="0" w:evenVBand="0" w:oddHBand="0" w:evenHBand="1" w:firstRowFirstColumn="0" w:firstRowLastColumn="0" w:lastRowFirstColumn="0" w:lastRowLastColumn="0"/>
              <w:rPr>
                <w:rFonts w:cs="Arial" w:eastAsiaTheme="minorHAnsi"/>
                <w:bCs/>
                <w:sz w:val="20"/>
                <w:szCs w:val="20"/>
              </w:rPr>
            </w:pPr>
          </w:p>
          <w:p w:rsidRPr="00C628C7" w:rsidR="00EC2B9B" w:rsidP="00F72B46" w:rsidRDefault="00EC2B9B" w14:paraId="3A3B726D" w14:textId="77777777">
            <w:pPr>
              <w:cnfStyle w:val="000000010000" w:firstRow="0" w:lastRow="0" w:firstColumn="0" w:lastColumn="0" w:oddVBand="0" w:evenVBand="0" w:oddHBand="0" w:evenHBand="1" w:firstRowFirstColumn="0" w:firstRowLastColumn="0" w:lastRowFirstColumn="0" w:lastRowLastColumn="0"/>
              <w:rPr>
                <w:rFonts w:cs="Arial" w:eastAsiaTheme="minorHAnsi"/>
                <w:bCs/>
                <w:sz w:val="20"/>
                <w:szCs w:val="20"/>
              </w:rPr>
            </w:pPr>
            <w:r w:rsidRPr="00C628C7">
              <w:rPr>
                <w:rFonts w:cs="Arial" w:eastAsiaTheme="minorHAnsi"/>
                <w:bCs/>
                <w:sz w:val="20"/>
                <w:szCs w:val="20"/>
              </w:rPr>
              <w:t>N/A</w:t>
            </w:r>
          </w:p>
          <w:p w:rsidRPr="00C628C7" w:rsidR="00E811EC" w:rsidP="00F72B46" w:rsidRDefault="00E811EC" w14:paraId="15A18728" w14:textId="77777777">
            <w:pPr>
              <w:spacing w:before="120" w:after="120"/>
              <w:cnfStyle w:val="000000010000" w:firstRow="0" w:lastRow="0" w:firstColumn="0" w:lastColumn="0" w:oddVBand="0" w:evenVBand="0" w:oddHBand="0" w:evenHBand="1" w:firstRowFirstColumn="0" w:firstRowLastColumn="0" w:lastRowFirstColumn="0" w:lastRowLastColumn="0"/>
              <w:rPr>
                <w:rFonts w:cs="Arial" w:eastAsiaTheme="minorHAnsi"/>
                <w:bCs/>
                <w:sz w:val="20"/>
                <w:szCs w:val="20"/>
              </w:rPr>
            </w:pPr>
          </w:p>
        </w:tc>
        <w:tc>
          <w:tcPr>
            <w:tcW w:w="1871" w:type="dxa"/>
            <w:noWrap/>
          </w:tcPr>
          <w:p w:rsidRPr="00C628C7" w:rsidR="00E811EC" w:rsidP="00F72B46" w:rsidRDefault="000B0F39" w14:paraId="70CACEEA" w14:textId="77777777">
            <w:pPr>
              <w:spacing w:before="120" w:after="120"/>
              <w:cnfStyle w:val="000000010000" w:firstRow="0" w:lastRow="0" w:firstColumn="0" w:lastColumn="0" w:oddVBand="0" w:evenVBand="0" w:oddHBand="0" w:evenHBand="1" w:firstRowFirstColumn="0" w:firstRowLastColumn="0" w:lastRowFirstColumn="0" w:lastRowLastColumn="0"/>
              <w:rPr>
                <w:rFonts w:cs="Arial" w:eastAsiaTheme="minorHAnsi"/>
                <w:bCs/>
                <w:sz w:val="20"/>
                <w:szCs w:val="20"/>
              </w:rPr>
            </w:pPr>
            <w:r w:rsidRPr="00C628C7">
              <w:rPr>
                <w:rFonts w:cs="Arial" w:eastAsiaTheme="minorHAnsi"/>
                <w:bCs/>
                <w:sz w:val="20"/>
                <w:szCs w:val="20"/>
              </w:rPr>
              <w:t>-</w:t>
            </w:r>
            <w:r w:rsidRPr="00C628C7" w:rsidR="00EC2B9B">
              <w:rPr>
                <w:rFonts w:cs="Arial" w:eastAsiaTheme="minorHAnsi"/>
                <w:bCs/>
                <w:sz w:val="20"/>
                <w:szCs w:val="20"/>
              </w:rPr>
              <w:t xml:space="preserve">$2.21m </w:t>
            </w:r>
          </w:p>
        </w:tc>
        <w:tc>
          <w:tcPr>
            <w:tcW w:w="1872" w:type="dxa"/>
            <w:noWrap/>
          </w:tcPr>
          <w:p w:rsidRPr="00C628C7" w:rsidR="00E811EC" w:rsidP="00EC2B9B" w:rsidRDefault="00E811EC" w14:paraId="2F70C87E" w14:textId="77777777">
            <w:pPr>
              <w:cnfStyle w:val="000000010000" w:firstRow="0" w:lastRow="0" w:firstColumn="0" w:lastColumn="0" w:oddVBand="0" w:evenVBand="0" w:oddHBand="0" w:evenHBand="1" w:firstRowFirstColumn="0" w:firstRowLastColumn="0" w:lastRowFirstColumn="0" w:lastRowLastColumn="0"/>
              <w:rPr>
                <w:rFonts w:cs="Arial" w:eastAsiaTheme="minorHAnsi"/>
                <w:bCs/>
                <w:sz w:val="20"/>
                <w:szCs w:val="20"/>
              </w:rPr>
            </w:pPr>
          </w:p>
          <w:p w:rsidRPr="00C628C7" w:rsidR="00EC2B9B" w:rsidP="00EC2B9B" w:rsidRDefault="00EC2B9B" w14:paraId="14C84964" w14:textId="77777777">
            <w:pPr>
              <w:cnfStyle w:val="000000010000" w:firstRow="0" w:lastRow="0" w:firstColumn="0" w:lastColumn="0" w:oddVBand="0" w:evenVBand="0" w:oddHBand="0" w:evenHBand="1" w:firstRowFirstColumn="0" w:firstRowLastColumn="0" w:lastRowFirstColumn="0" w:lastRowLastColumn="0"/>
              <w:rPr>
                <w:rFonts w:cs="Arial" w:eastAsiaTheme="minorHAnsi"/>
                <w:bCs/>
                <w:sz w:val="20"/>
                <w:szCs w:val="20"/>
              </w:rPr>
            </w:pPr>
            <w:r w:rsidRPr="00C628C7">
              <w:rPr>
                <w:rFonts w:cs="Arial"/>
                <w:sz w:val="20"/>
              </w:rPr>
              <w:t>$4.34m</w:t>
            </w:r>
          </w:p>
        </w:tc>
      </w:tr>
    </w:tbl>
    <w:p w:rsidRPr="009706E6" w:rsidR="00E811EC" w:rsidP="00E811EC" w:rsidRDefault="00E811EC" w14:paraId="3793E669" w14:textId="77777777">
      <w:pPr>
        <w:pStyle w:val="TableName"/>
        <w:rPr>
          <w:rFonts w:ascii="Times New Roman" w:hAnsi="Times New Roman" w:cs="Times New Roman"/>
          <w:b/>
          <w:sz w:val="24"/>
        </w:rPr>
      </w:pPr>
    </w:p>
    <w:p w:rsidR="00E811EC" w:rsidP="00E811EC" w:rsidRDefault="00E811EC" w14:paraId="3FFB2EB3" w14:textId="77777777">
      <w:pPr>
        <w:pStyle w:val="BodyText"/>
        <w:rPr>
          <w:szCs w:val="24"/>
        </w:rPr>
      </w:pPr>
      <w:r>
        <w:rPr>
          <w:szCs w:val="24"/>
        </w:rPr>
        <w:t xml:space="preserve">Accordingly, I am satisfied that the attached report is consistent with the </w:t>
      </w:r>
      <w:r>
        <w:rPr>
          <w:i/>
          <w:szCs w:val="24"/>
        </w:rPr>
        <w:t>Australian Government Guide to Impact Analysis</w:t>
      </w:r>
      <w:r>
        <w:rPr>
          <w:szCs w:val="24"/>
        </w:rPr>
        <w:t>.</w:t>
      </w:r>
    </w:p>
    <w:p w:rsidRPr="006E1B31" w:rsidR="00E811EC" w:rsidP="00E811EC" w:rsidRDefault="00E811EC" w14:paraId="223B59BA" w14:textId="77777777">
      <w:pPr>
        <w:spacing w:before="240" w:line="300" w:lineRule="exact"/>
      </w:pPr>
    </w:p>
    <w:p w:rsidR="00E811EC" w:rsidP="00E811EC" w:rsidRDefault="00E811EC" w14:paraId="59EE0019" w14:textId="77777777">
      <w:pPr>
        <w:pStyle w:val="Header"/>
      </w:pPr>
      <w:r>
        <w:t>Yours sincerely</w:t>
      </w:r>
    </w:p>
    <w:p w:rsidR="0083029F" w:rsidP="00E811EC" w:rsidRDefault="0083029F" w14:paraId="1A869C85" w14:textId="77777777">
      <w:pPr>
        <w:pStyle w:val="Header"/>
      </w:pPr>
    </w:p>
    <w:p w:rsidR="0083029F" w:rsidP="00E811EC" w:rsidRDefault="0083029F" w14:paraId="392F6133" w14:noSpellErr="1" w14:textId="35CB7AFE">
      <w:pPr>
        <w:pStyle w:val="Header"/>
      </w:pPr>
    </w:p>
    <w:p w:rsidR="00E811EC" w:rsidP="00E811EC" w:rsidRDefault="00E811EC" w14:paraId="69B0B4EC" w14:textId="77777777">
      <w:pPr>
        <w:pStyle w:val="Header"/>
      </w:pPr>
    </w:p>
    <w:p w:rsidRPr="00763D1F" w:rsidR="00E811EC" w:rsidP="00E811EC" w:rsidRDefault="00E811EC" w14:paraId="3B19A1F1" w14:textId="77777777">
      <w:pPr>
        <w:pStyle w:val="Header"/>
        <w:tabs>
          <w:tab w:val="left" w:pos="720"/>
        </w:tabs>
      </w:pPr>
      <w:r w:rsidRPr="00763D1F">
        <w:t>Michael Lye</w:t>
      </w:r>
    </w:p>
    <w:p w:rsidR="00E811EC" w:rsidP="00E811EC" w:rsidRDefault="00E811EC" w14:paraId="61667D14" w14:textId="77777777">
      <w:pPr>
        <w:pStyle w:val="Header"/>
        <w:tabs>
          <w:tab w:val="left" w:pos="720"/>
        </w:tabs>
      </w:pPr>
      <w:r w:rsidRPr="00763D1F">
        <w:t>Deputy Secretary</w:t>
      </w:r>
      <w:r w:rsidRPr="00763D1F">
        <w:br/>
      </w:r>
      <w:r w:rsidRPr="00763D1F">
        <w:t xml:space="preserve">Department of Health and </w:t>
      </w:r>
      <w:r w:rsidR="0083029F">
        <w:t>Aged Care</w:t>
      </w:r>
      <w:r w:rsidR="0083029F">
        <w:br/>
      </w:r>
      <w:r w:rsidR="0083029F">
        <w:t xml:space="preserve">31 </w:t>
      </w:r>
      <w:r>
        <w:t>March</w:t>
      </w:r>
      <w:r w:rsidRPr="00763D1F">
        <w:t xml:space="preserve"> 202</w:t>
      </w:r>
      <w:r>
        <w:t>3</w:t>
      </w:r>
    </w:p>
    <w:p w:rsidRPr="00763D1F" w:rsidR="00E811EC" w:rsidP="00E811EC" w:rsidRDefault="00E811EC" w14:paraId="33D96300" w14:textId="77777777">
      <w:pPr>
        <w:pStyle w:val="Header"/>
        <w:tabs>
          <w:tab w:val="left" w:pos="720"/>
        </w:tabs>
      </w:pPr>
    </w:p>
    <w:p w:rsidR="00E811EC" w:rsidP="00E811EC" w:rsidRDefault="00E811EC" w14:paraId="35B7BEB5" w14:textId="77777777">
      <w:pPr>
        <w:pStyle w:val="Header"/>
        <w:tabs>
          <w:tab w:val="left" w:pos="720"/>
        </w:tabs>
      </w:pPr>
      <w:r w:rsidRPr="00B3499F">
        <w:rPr>
          <w:b/>
        </w:rPr>
        <w:t>Attachment A</w:t>
      </w:r>
      <w:r w:rsidRPr="00763D1F">
        <w:t>: Independent Reviews for certification of response to the Royal Commission in</w:t>
      </w:r>
      <w:r>
        <w:t>to Aged Care Quality and Safety</w:t>
      </w:r>
    </w:p>
    <w:p w:rsidRPr="00C628C7" w:rsidR="00C628C7" w:rsidP="00C628C7" w:rsidRDefault="00C628C7" w14:paraId="651BF912" w14:textId="77777777">
      <w:r w:rsidRPr="00C628C7">
        <w:rPr>
          <w:b/>
        </w:rPr>
        <w:t>Attachment B</w:t>
      </w:r>
      <w:r w:rsidRPr="00C628C7">
        <w:t>: Supplementary Impact Analysis, Single Comprehensive Assessment</w:t>
      </w:r>
    </w:p>
    <w:p w:rsidR="00C628C7" w:rsidP="00E811EC" w:rsidRDefault="00C628C7" w14:paraId="7D2F2723" w14:textId="77777777">
      <w:pPr>
        <w:pStyle w:val="Header"/>
        <w:tabs>
          <w:tab w:val="left" w:pos="720"/>
        </w:tabs>
      </w:pPr>
    </w:p>
    <w:p w:rsidR="00C628C7" w:rsidP="00C628C7" w:rsidRDefault="00C628C7" w14:paraId="14FD76BC" w14:textId="77777777">
      <w:pPr>
        <w:pStyle w:val="Title"/>
        <w:spacing w:before="1560"/>
      </w:pPr>
      <w:bookmarkStart w:name="_Hlk92456862" w:id="1"/>
    </w:p>
    <w:p w:rsidR="00C628C7" w:rsidRDefault="00C628C7" w14:paraId="5AC0B814" w14:textId="77777777">
      <w:pPr>
        <w:rPr>
          <w:rFonts w:eastAsiaTheme="majorEastAsia" w:cstheme="majorBidi"/>
          <w:b/>
          <w:color w:val="3F4A75"/>
          <w:kern w:val="28"/>
          <w:sz w:val="48"/>
          <w:szCs w:val="52"/>
        </w:rPr>
      </w:pPr>
      <w:r>
        <w:br w:type="page"/>
      </w:r>
    </w:p>
    <w:p w:rsidRPr="00B3499F" w:rsidR="00AA7D55" w:rsidP="00AA7D55" w:rsidRDefault="00AA7D55" w14:paraId="2E62B06F" w14:textId="77777777">
      <w:pPr>
        <w:spacing w:after="200" w:line="276" w:lineRule="auto"/>
        <w:rPr>
          <w:rFonts w:ascii="Book Antiqua" w:hAnsi="Book Antiqua"/>
          <w:color w:val="4F4F4F"/>
          <w:sz w:val="20"/>
        </w:rPr>
      </w:pPr>
      <w:r w:rsidRPr="00B3499F">
        <w:rPr>
          <w:rFonts w:ascii="Book Antiqua" w:hAnsi="Book Antiqua"/>
          <w:b/>
          <w:bCs/>
          <w:color w:val="4F4F4F"/>
          <w:sz w:val="20"/>
        </w:rPr>
        <w:lastRenderedPageBreak/>
        <w:t xml:space="preserve">Attachment A </w:t>
      </w:r>
    </w:p>
    <w:p w:rsidRPr="00B3499F" w:rsidR="00AA7D55" w:rsidP="00AA7D55" w:rsidRDefault="00AA7D55" w14:paraId="1B174BA6" w14:textId="77777777">
      <w:pPr>
        <w:pStyle w:val="CM13"/>
        <w:spacing w:after="517" w:line="298" w:lineRule="atLeast"/>
        <w:jc w:val="center"/>
        <w:rPr>
          <w:rFonts w:ascii="Book Antiqua" w:hAnsi="Book Antiqua"/>
          <w:color w:val="4F4F4F"/>
          <w:sz w:val="23"/>
          <w:szCs w:val="23"/>
        </w:rPr>
      </w:pPr>
      <w:r w:rsidRPr="00B3499F">
        <w:rPr>
          <w:rFonts w:ascii="Book Antiqua" w:hAnsi="Book Antiqua"/>
          <w:b/>
          <w:bCs/>
          <w:color w:val="4F4F4F"/>
          <w:sz w:val="23"/>
          <w:szCs w:val="23"/>
        </w:rPr>
        <w:t xml:space="preserve">Independent reviews for certification of response to the Royal Commission into Aged Care Quality and Safety </w:t>
      </w:r>
    </w:p>
    <w:p w:rsidRPr="00B3499F" w:rsidR="00AA7D55" w:rsidP="00AA7D55" w:rsidRDefault="00AA7D55" w14:paraId="67BDD10E" w14:textId="77777777">
      <w:pPr>
        <w:pStyle w:val="CM10"/>
        <w:spacing w:after="285"/>
        <w:ind w:left="357" w:hanging="358"/>
        <w:rPr>
          <w:rFonts w:ascii="Book Antiqua" w:hAnsi="Book Antiqua"/>
          <w:color w:val="4F4F4F"/>
          <w:sz w:val="21"/>
          <w:szCs w:val="21"/>
        </w:rPr>
      </w:pPr>
      <w:r w:rsidRPr="00B3499F">
        <w:rPr>
          <w:rFonts w:ascii="Book Antiqua" w:hAnsi="Book Antiqua" w:cs="Times New Roman"/>
          <w:color w:val="4F4F4F"/>
          <w:sz w:val="21"/>
          <w:szCs w:val="21"/>
        </w:rPr>
        <w:t xml:space="preserve">1. </w:t>
      </w:r>
      <w:r w:rsidRPr="00B3499F">
        <w:rPr>
          <w:rFonts w:ascii="Book Antiqua" w:hAnsi="Book Antiqua"/>
          <w:color w:val="4F4F4F"/>
          <w:sz w:val="21"/>
          <w:szCs w:val="21"/>
        </w:rPr>
        <w:t xml:space="preserve">Royal Commission into Aged Care Quality and Safety, </w:t>
      </w:r>
      <w:r w:rsidRPr="00B3499F">
        <w:rPr>
          <w:rFonts w:ascii="Book Antiqua" w:hAnsi="Book Antiqua"/>
          <w:i/>
          <w:iCs/>
          <w:color w:val="4F4F4F"/>
          <w:sz w:val="21"/>
          <w:szCs w:val="21"/>
        </w:rPr>
        <w:t xml:space="preserve">Final Report, </w:t>
      </w:r>
      <w:r w:rsidRPr="00B3499F">
        <w:rPr>
          <w:rFonts w:ascii="Book Antiqua" w:hAnsi="Book Antiqua"/>
          <w:color w:val="4F4F4F"/>
          <w:sz w:val="21"/>
          <w:szCs w:val="21"/>
        </w:rPr>
        <w:t xml:space="preserve">26 February 2021 </w:t>
      </w:r>
    </w:p>
    <w:p w:rsidRPr="00B3499F" w:rsidR="00AA7D55" w:rsidP="00AA7D55" w:rsidRDefault="00AA7D55" w14:paraId="7809F74D" w14:textId="77777777">
      <w:pPr>
        <w:pStyle w:val="CM11"/>
        <w:spacing w:after="242"/>
        <w:ind w:firstLine="355"/>
        <w:rPr>
          <w:rFonts w:ascii="Book Antiqua" w:hAnsi="Book Antiqua"/>
          <w:color w:val="4F4F4F"/>
          <w:sz w:val="21"/>
          <w:szCs w:val="21"/>
        </w:rPr>
      </w:pPr>
      <w:r w:rsidRPr="00B3499F">
        <w:rPr>
          <w:rFonts w:ascii="Book Antiqua" w:hAnsi="Book Antiqua"/>
          <w:color w:val="4F4F4F"/>
          <w:sz w:val="21"/>
          <w:szCs w:val="21"/>
        </w:rPr>
        <w:t xml:space="preserve">Available at: https://agedcare.royalcommission.gov.au/publications/final-report </w:t>
      </w:r>
    </w:p>
    <w:p w:rsidRPr="00B3499F" w:rsidR="00AA7D55" w:rsidP="00AA7D55" w:rsidRDefault="00AA7D55" w14:paraId="3161306C" w14:textId="77777777">
      <w:pPr>
        <w:pStyle w:val="CM14"/>
        <w:spacing w:after="127" w:line="293" w:lineRule="atLeast"/>
        <w:ind w:left="355" w:right="685" w:hanging="355"/>
        <w:rPr>
          <w:rFonts w:ascii="Book Antiqua" w:hAnsi="Book Antiqua"/>
          <w:color w:val="4F4F4F"/>
          <w:sz w:val="21"/>
          <w:szCs w:val="21"/>
        </w:rPr>
      </w:pPr>
      <w:r w:rsidRPr="00B3499F">
        <w:rPr>
          <w:rFonts w:ascii="Book Antiqua" w:hAnsi="Book Antiqua"/>
          <w:color w:val="4F4F4F"/>
          <w:sz w:val="21"/>
          <w:szCs w:val="21"/>
        </w:rPr>
        <w:t xml:space="preserve">2. Royal Commission into Aged Care Quality and Safety, </w:t>
      </w:r>
      <w:r w:rsidRPr="00B3499F">
        <w:rPr>
          <w:rFonts w:ascii="Book Antiqua" w:hAnsi="Book Antiqua"/>
          <w:i/>
          <w:iCs/>
          <w:color w:val="4F4F4F"/>
          <w:sz w:val="21"/>
          <w:szCs w:val="21"/>
        </w:rPr>
        <w:t xml:space="preserve">Counsel Assisting's Proposed Recommendations at Final Hearing, </w:t>
      </w:r>
      <w:r w:rsidRPr="00B3499F">
        <w:rPr>
          <w:rFonts w:ascii="Book Antiqua" w:hAnsi="Book Antiqua"/>
          <w:color w:val="4F4F4F"/>
          <w:sz w:val="21"/>
          <w:szCs w:val="21"/>
        </w:rPr>
        <w:t xml:space="preserve">22 October 2020 </w:t>
      </w:r>
    </w:p>
    <w:p w:rsidRPr="00B3499F" w:rsidR="00AA7D55" w:rsidP="00AA7D55" w:rsidRDefault="00AA7D55" w14:paraId="788B64FD" w14:textId="77777777">
      <w:pPr>
        <w:pStyle w:val="CM11"/>
        <w:spacing w:after="242"/>
        <w:ind w:firstLine="355"/>
        <w:rPr>
          <w:rFonts w:ascii="Book Antiqua" w:hAnsi="Book Antiqua"/>
          <w:color w:val="4F4F4F"/>
          <w:sz w:val="21"/>
          <w:szCs w:val="21"/>
        </w:rPr>
      </w:pPr>
      <w:r w:rsidRPr="00B3499F">
        <w:rPr>
          <w:rFonts w:ascii="Book Antiqua" w:hAnsi="Book Antiqua"/>
          <w:color w:val="4F4F4F"/>
          <w:sz w:val="21"/>
          <w:szCs w:val="21"/>
        </w:rPr>
        <w:t xml:space="preserve">Available at: https://agedcare.royalcommission.gov.au/media/29098 </w:t>
      </w:r>
    </w:p>
    <w:p w:rsidRPr="00B3499F" w:rsidR="00AA7D55" w:rsidP="00AA7D55" w:rsidRDefault="00AA7D55" w14:paraId="16AE423D" w14:textId="77777777">
      <w:pPr>
        <w:pStyle w:val="CM14"/>
        <w:spacing w:after="127" w:line="298" w:lineRule="atLeast"/>
        <w:ind w:left="360" w:right="472" w:hanging="360"/>
        <w:rPr>
          <w:rFonts w:ascii="Book Antiqua" w:hAnsi="Book Antiqua"/>
          <w:color w:val="4F4F4F"/>
          <w:sz w:val="21"/>
          <w:szCs w:val="21"/>
        </w:rPr>
      </w:pPr>
      <w:r w:rsidRPr="00B3499F">
        <w:rPr>
          <w:rFonts w:ascii="Book Antiqua" w:hAnsi="Book Antiqua"/>
          <w:color w:val="4F4F4F"/>
          <w:sz w:val="21"/>
          <w:szCs w:val="21"/>
        </w:rPr>
        <w:t xml:space="preserve">3. Royal Commission Aged Care Quality and Safety Hearing, </w:t>
      </w:r>
      <w:r w:rsidRPr="00B3499F">
        <w:rPr>
          <w:rFonts w:ascii="Book Antiqua" w:hAnsi="Book Antiqua"/>
          <w:i/>
          <w:iCs/>
          <w:color w:val="4F4F4F"/>
          <w:sz w:val="21"/>
          <w:szCs w:val="21"/>
        </w:rPr>
        <w:t xml:space="preserve">Interim Report, </w:t>
      </w:r>
      <w:r w:rsidRPr="00B3499F">
        <w:rPr>
          <w:rFonts w:ascii="Book Antiqua" w:hAnsi="Book Antiqua"/>
          <w:color w:val="4F4F4F"/>
          <w:sz w:val="21"/>
          <w:szCs w:val="21"/>
        </w:rPr>
        <w:t xml:space="preserve">31 October 2019 </w:t>
      </w:r>
    </w:p>
    <w:p w:rsidRPr="00B3499F" w:rsidR="00AA7D55" w:rsidP="00AA7D55" w:rsidRDefault="00AA7D55" w14:paraId="362FC93F" w14:textId="77777777">
      <w:pPr>
        <w:pStyle w:val="CM10"/>
        <w:spacing w:after="285"/>
        <w:jc w:val="center"/>
        <w:rPr>
          <w:rFonts w:ascii="Book Antiqua" w:hAnsi="Book Antiqua"/>
          <w:color w:val="4F4F4F"/>
          <w:sz w:val="21"/>
          <w:szCs w:val="21"/>
        </w:rPr>
      </w:pPr>
      <w:r w:rsidRPr="00B3499F">
        <w:rPr>
          <w:rFonts w:ascii="Book Antiqua" w:hAnsi="Book Antiqua"/>
          <w:color w:val="4F4F4F"/>
          <w:sz w:val="21"/>
          <w:szCs w:val="21"/>
        </w:rPr>
        <w:t xml:space="preserve">Available at: https://agedcare.royalcommission.gov.au/publications/interim-report </w:t>
      </w:r>
    </w:p>
    <w:p w:rsidRPr="00B3499F" w:rsidR="00AA7D55" w:rsidP="00AA7D55" w:rsidRDefault="00AA7D55" w14:paraId="62483A5F" w14:textId="77777777">
      <w:pPr>
        <w:pStyle w:val="CM14"/>
        <w:spacing w:after="127" w:line="293" w:lineRule="atLeast"/>
        <w:ind w:left="362" w:right="365" w:hanging="363"/>
        <w:rPr>
          <w:rFonts w:ascii="Book Antiqua" w:hAnsi="Book Antiqua"/>
          <w:color w:val="4F4F4F"/>
          <w:sz w:val="21"/>
          <w:szCs w:val="21"/>
        </w:rPr>
      </w:pPr>
      <w:r w:rsidRPr="00B3499F">
        <w:rPr>
          <w:rFonts w:ascii="Book Antiqua" w:hAnsi="Book Antiqua"/>
          <w:color w:val="4F4F4F"/>
          <w:sz w:val="21"/>
          <w:szCs w:val="21"/>
        </w:rPr>
        <w:t xml:space="preserve">4. Human Rights Watch, </w:t>
      </w:r>
      <w:r w:rsidRPr="00B3499F">
        <w:rPr>
          <w:rFonts w:ascii="Book Antiqua" w:hAnsi="Book Antiqua"/>
          <w:i/>
          <w:iCs/>
          <w:color w:val="4F4F4F"/>
          <w:sz w:val="21"/>
          <w:szCs w:val="21"/>
        </w:rPr>
        <w:t xml:space="preserve">"Fading Away" How Aged Care Facilities in Australia Chemically Restrain Older People with Dementia, </w:t>
      </w:r>
      <w:r w:rsidRPr="00B3499F">
        <w:rPr>
          <w:rFonts w:ascii="Book Antiqua" w:hAnsi="Book Antiqua"/>
          <w:color w:val="4F4F4F"/>
          <w:sz w:val="21"/>
          <w:szCs w:val="21"/>
        </w:rPr>
        <w:t xml:space="preserve">October 15, 2019 </w:t>
      </w:r>
    </w:p>
    <w:p w:rsidRPr="00B3499F" w:rsidR="00AA7D55" w:rsidP="00AA7D55" w:rsidRDefault="00AA7D55" w14:paraId="07F4291B" w14:textId="77777777">
      <w:pPr>
        <w:pStyle w:val="CM10"/>
        <w:spacing w:after="285" w:line="291" w:lineRule="atLeast"/>
        <w:ind w:left="362" w:right="492"/>
        <w:rPr>
          <w:rFonts w:ascii="Book Antiqua" w:hAnsi="Book Antiqua"/>
          <w:color w:val="4F4F4F"/>
          <w:sz w:val="21"/>
          <w:szCs w:val="21"/>
        </w:rPr>
      </w:pPr>
      <w:r w:rsidRPr="00B3499F">
        <w:rPr>
          <w:rFonts w:ascii="Book Antiqua" w:hAnsi="Book Antiqua"/>
          <w:color w:val="4F4F4F"/>
          <w:sz w:val="21"/>
          <w:szCs w:val="21"/>
        </w:rPr>
        <w:t>Available at: https://www.hrw.org/report/2019/10/15/fading-away/how-aged-carefacilities-australia-chemically-restrain</w:t>
      </w:r>
      <w:r w:rsidRPr="00B3499F">
        <w:rPr>
          <w:rFonts w:ascii="Book Antiqua" w:hAnsi="Book Antiqua"/>
          <w:color w:val="767676"/>
          <w:sz w:val="21"/>
          <w:szCs w:val="21"/>
        </w:rPr>
        <w:t>-</w:t>
      </w:r>
      <w:r w:rsidRPr="00B3499F">
        <w:rPr>
          <w:rFonts w:ascii="Book Antiqua" w:hAnsi="Book Antiqua"/>
          <w:color w:val="4F4F4F"/>
          <w:sz w:val="21"/>
          <w:szCs w:val="21"/>
        </w:rPr>
        <w:t xml:space="preserve">older-people </w:t>
      </w:r>
    </w:p>
    <w:p w:rsidRPr="00B3499F" w:rsidR="00AA7D55" w:rsidP="00AA7D55" w:rsidRDefault="00AA7D55" w14:paraId="3CD99513" w14:textId="77777777">
      <w:pPr>
        <w:pStyle w:val="CM14"/>
        <w:spacing w:after="127" w:line="293" w:lineRule="atLeast"/>
        <w:ind w:left="357" w:hanging="358"/>
        <w:rPr>
          <w:rFonts w:ascii="Book Antiqua" w:hAnsi="Book Antiqua"/>
          <w:color w:val="4F4F4F"/>
          <w:sz w:val="21"/>
          <w:szCs w:val="21"/>
        </w:rPr>
      </w:pPr>
      <w:r w:rsidRPr="00B3499F">
        <w:rPr>
          <w:rFonts w:ascii="Book Antiqua" w:hAnsi="Book Antiqua"/>
          <w:color w:val="4F4F4F"/>
          <w:sz w:val="21"/>
          <w:szCs w:val="21"/>
        </w:rPr>
        <w:t xml:space="preserve">5. Senate Community Affairs References Committee, </w:t>
      </w:r>
      <w:r w:rsidRPr="00B3499F">
        <w:rPr>
          <w:rFonts w:ascii="Book Antiqua" w:hAnsi="Book Antiqua"/>
          <w:i/>
          <w:iCs/>
          <w:color w:val="4F4F4F"/>
          <w:sz w:val="21"/>
          <w:szCs w:val="21"/>
        </w:rPr>
        <w:t xml:space="preserve">Effectiveness of the Aged Care Quality Assessment and accreditation framework for protecting residents from abuse and poor practices, and ensuring proper clinical and medical care standards are maintained and practised-Final Report (April 2019} </w:t>
      </w:r>
    </w:p>
    <w:p w:rsidRPr="00B3499F" w:rsidR="00AA7D55" w:rsidP="00AA7D55" w:rsidRDefault="00AA7D55" w14:paraId="0238D073" w14:textId="77777777">
      <w:pPr>
        <w:pStyle w:val="CM11"/>
        <w:spacing w:after="242" w:line="296" w:lineRule="atLeast"/>
        <w:ind w:left="362" w:right="95"/>
        <w:rPr>
          <w:rFonts w:ascii="Book Antiqua" w:hAnsi="Book Antiqua"/>
          <w:color w:val="4F4F4F"/>
          <w:sz w:val="21"/>
          <w:szCs w:val="21"/>
        </w:rPr>
      </w:pPr>
      <w:r w:rsidRPr="00B3499F">
        <w:rPr>
          <w:rFonts w:ascii="Book Antiqua" w:hAnsi="Book Antiqua"/>
          <w:color w:val="4F4F4F"/>
          <w:sz w:val="21"/>
          <w:szCs w:val="21"/>
        </w:rPr>
        <w:t xml:space="preserve">Available at: https://www.aph.gov.au/Parliamentary_Business/Committees/Senate/Community_Affa </w:t>
      </w:r>
      <w:proofErr w:type="spellStart"/>
      <w:r w:rsidRPr="00B3499F">
        <w:rPr>
          <w:rFonts w:ascii="Book Antiqua" w:hAnsi="Book Antiqua"/>
          <w:color w:val="4F4F4F"/>
          <w:sz w:val="21"/>
          <w:szCs w:val="21"/>
        </w:rPr>
        <w:t>irs</w:t>
      </w:r>
      <w:proofErr w:type="spellEnd"/>
      <w:r w:rsidRPr="00B3499F">
        <w:rPr>
          <w:rFonts w:ascii="Book Antiqua" w:hAnsi="Book Antiqua"/>
          <w:color w:val="4F4F4F"/>
          <w:sz w:val="21"/>
          <w:szCs w:val="21"/>
        </w:rPr>
        <w:t>/</w:t>
      </w:r>
      <w:proofErr w:type="spellStart"/>
      <w:r w:rsidRPr="00B3499F">
        <w:rPr>
          <w:rFonts w:ascii="Book Antiqua" w:hAnsi="Book Antiqua"/>
          <w:color w:val="4F4F4F"/>
          <w:sz w:val="21"/>
          <w:szCs w:val="21"/>
        </w:rPr>
        <w:t>AgedCareQuality</w:t>
      </w:r>
      <w:proofErr w:type="spellEnd"/>
      <w:r w:rsidRPr="00B3499F">
        <w:rPr>
          <w:rFonts w:ascii="Book Antiqua" w:hAnsi="Book Antiqua"/>
          <w:color w:val="4F4F4F"/>
          <w:sz w:val="21"/>
          <w:szCs w:val="21"/>
        </w:rPr>
        <w:t xml:space="preserve"> </w:t>
      </w:r>
    </w:p>
    <w:p w:rsidRPr="00B3499F" w:rsidR="00AA7D55" w:rsidP="00AA7D55" w:rsidRDefault="00AA7D55" w14:paraId="58A17762" w14:textId="77777777">
      <w:pPr>
        <w:pStyle w:val="CM14"/>
        <w:spacing w:after="127" w:line="293" w:lineRule="atLeast"/>
        <w:ind w:left="362" w:right="815" w:hanging="363"/>
        <w:rPr>
          <w:rFonts w:ascii="Book Antiqua" w:hAnsi="Book Antiqua"/>
          <w:color w:val="4F4F4F"/>
          <w:sz w:val="21"/>
          <w:szCs w:val="21"/>
        </w:rPr>
      </w:pPr>
      <w:r w:rsidRPr="00B3499F">
        <w:rPr>
          <w:rFonts w:ascii="Book Antiqua" w:hAnsi="Book Antiqua"/>
          <w:color w:val="4F4F4F"/>
          <w:sz w:val="21"/>
          <w:szCs w:val="21"/>
        </w:rPr>
        <w:t xml:space="preserve">6. </w:t>
      </w:r>
      <w:r w:rsidRPr="00B3499F">
        <w:rPr>
          <w:rFonts w:ascii="Book Antiqua" w:hAnsi="Book Antiqua"/>
          <w:i/>
          <w:iCs/>
          <w:color w:val="4F4F4F"/>
          <w:sz w:val="21"/>
          <w:szCs w:val="21"/>
        </w:rPr>
        <w:t xml:space="preserve">Review of National Aged Care Quality Regulatory Processes Report, </w:t>
      </w:r>
      <w:r w:rsidRPr="00B3499F">
        <w:rPr>
          <w:rFonts w:ascii="Book Antiqua" w:hAnsi="Book Antiqua"/>
          <w:color w:val="4F4F4F"/>
          <w:sz w:val="21"/>
          <w:szCs w:val="21"/>
        </w:rPr>
        <w:t xml:space="preserve">Carnell, K and Paterson, R, October 2017 </w:t>
      </w:r>
    </w:p>
    <w:p w:rsidRPr="00B3499F" w:rsidR="00AA7D55" w:rsidP="00AA7D55" w:rsidRDefault="00AA7D55" w14:paraId="456DDFDE" w14:textId="77777777">
      <w:pPr>
        <w:pStyle w:val="CM10"/>
        <w:spacing w:after="285" w:line="291" w:lineRule="atLeast"/>
        <w:ind w:left="362" w:right="492"/>
        <w:rPr>
          <w:rFonts w:ascii="Book Antiqua" w:hAnsi="Book Antiqua"/>
          <w:color w:val="4F4F4F"/>
          <w:sz w:val="21"/>
          <w:szCs w:val="21"/>
        </w:rPr>
      </w:pPr>
      <w:r w:rsidRPr="00B3499F">
        <w:rPr>
          <w:rFonts w:ascii="Book Antiqua" w:hAnsi="Book Antiqua"/>
          <w:color w:val="4F4F4F"/>
          <w:sz w:val="21"/>
          <w:szCs w:val="21"/>
        </w:rPr>
        <w:t xml:space="preserve">Available at: https://www.health.gov.au/resources/publications/review-of-national-aged-care-quality-regulatory-processes-report </w:t>
      </w:r>
    </w:p>
    <w:p w:rsidRPr="00B3499F" w:rsidR="00AA7D55" w:rsidP="00AA7D55" w:rsidRDefault="00AA7D55" w14:paraId="23321C65" w14:textId="77777777">
      <w:pPr>
        <w:pStyle w:val="CM14"/>
        <w:spacing w:after="127" w:line="293" w:lineRule="atLeast"/>
        <w:ind w:left="350" w:right="602" w:hanging="350"/>
        <w:rPr>
          <w:rFonts w:ascii="Book Antiqua" w:hAnsi="Book Antiqua"/>
          <w:color w:val="4F4F4F"/>
          <w:sz w:val="21"/>
          <w:szCs w:val="21"/>
        </w:rPr>
      </w:pPr>
      <w:r w:rsidRPr="00B3499F">
        <w:rPr>
          <w:rFonts w:ascii="Book Antiqua" w:hAnsi="Book Antiqua"/>
          <w:color w:val="4F4F4F"/>
          <w:sz w:val="21"/>
          <w:szCs w:val="21"/>
        </w:rPr>
        <w:t xml:space="preserve">7. Australian Law Reform Commission, </w:t>
      </w:r>
      <w:r w:rsidRPr="00B3499F">
        <w:rPr>
          <w:rFonts w:ascii="Book Antiqua" w:hAnsi="Book Antiqua"/>
          <w:i/>
          <w:iCs/>
          <w:color w:val="4F4F4F"/>
          <w:sz w:val="21"/>
          <w:szCs w:val="21"/>
        </w:rPr>
        <w:t xml:space="preserve">Elder Abuse-A National Legal Response (ALRC Report 131) </w:t>
      </w:r>
      <w:r w:rsidRPr="00B3499F">
        <w:rPr>
          <w:rFonts w:ascii="Book Antiqua" w:hAnsi="Book Antiqua"/>
          <w:color w:val="4F4F4F"/>
          <w:sz w:val="21"/>
          <w:szCs w:val="21"/>
        </w:rPr>
        <w:t xml:space="preserve">June 2017 </w:t>
      </w:r>
    </w:p>
    <w:p w:rsidRPr="00B3499F" w:rsidR="00AA7D55" w:rsidP="00AA7D55" w:rsidRDefault="00AA7D55" w14:paraId="547812E0" w14:textId="77777777">
      <w:pPr>
        <w:pStyle w:val="CM14"/>
        <w:spacing w:after="127" w:line="293" w:lineRule="atLeast"/>
        <w:ind w:left="355"/>
        <w:rPr>
          <w:rFonts w:ascii="Book Antiqua" w:hAnsi="Book Antiqua"/>
          <w:color w:val="4F4F4F"/>
          <w:sz w:val="21"/>
          <w:szCs w:val="21"/>
        </w:rPr>
      </w:pPr>
      <w:r w:rsidRPr="00B3499F">
        <w:rPr>
          <w:rFonts w:ascii="Book Antiqua" w:hAnsi="Book Antiqua"/>
          <w:color w:val="4F4F4F"/>
          <w:sz w:val="21"/>
          <w:szCs w:val="21"/>
        </w:rPr>
        <w:t xml:space="preserve">Available at: https://www.alrc.gov.au/publication/elder-abuse-a-national-legalresponse-a I rc-report-131/ </w:t>
      </w:r>
    </w:p>
    <w:p w:rsidRPr="00B3499F" w:rsidR="00AA7D55" w:rsidP="00AA7D55" w:rsidRDefault="00AA7D55" w14:paraId="1D790075" w14:textId="77777777">
      <w:pPr>
        <w:pStyle w:val="CM14"/>
        <w:spacing w:after="127" w:line="293" w:lineRule="atLeast"/>
        <w:ind w:left="357" w:hanging="358"/>
        <w:rPr>
          <w:rFonts w:ascii="Book Antiqua" w:hAnsi="Book Antiqua" w:cs="Times New Roman"/>
          <w:color w:val="4F4F4F"/>
          <w:sz w:val="22"/>
          <w:szCs w:val="22"/>
        </w:rPr>
      </w:pPr>
      <w:r w:rsidRPr="00B3499F">
        <w:rPr>
          <w:rFonts w:ascii="Book Antiqua" w:hAnsi="Book Antiqua"/>
          <w:color w:val="4F4F4F"/>
          <w:sz w:val="21"/>
          <w:szCs w:val="21"/>
        </w:rPr>
        <w:t xml:space="preserve">8. Legislated Review of Aged Care, </w:t>
      </w:r>
      <w:r w:rsidRPr="00B3499F">
        <w:rPr>
          <w:rFonts w:ascii="Book Antiqua" w:hAnsi="Book Antiqua"/>
          <w:i/>
          <w:iCs/>
          <w:color w:val="4F4F4F"/>
          <w:sz w:val="21"/>
          <w:szCs w:val="21"/>
        </w:rPr>
        <w:t xml:space="preserve">Final Report </w:t>
      </w:r>
      <w:r w:rsidRPr="00B3499F">
        <w:rPr>
          <w:rFonts w:ascii="Book Antiqua" w:hAnsi="Book Antiqua" w:cs="Times New Roman"/>
          <w:i/>
          <w:iCs/>
          <w:color w:val="4F4F4F"/>
          <w:sz w:val="22"/>
          <w:szCs w:val="22"/>
        </w:rPr>
        <w:t xml:space="preserve">2017 </w:t>
      </w:r>
    </w:p>
    <w:p w:rsidRPr="00B3499F" w:rsidR="00AA7D55" w:rsidP="00AA7D55" w:rsidRDefault="00AA7D55" w14:paraId="46133D41" w14:textId="77777777">
      <w:pPr>
        <w:pStyle w:val="Default"/>
        <w:spacing w:after="1125" w:line="288" w:lineRule="atLeast"/>
        <w:ind w:left="347" w:right="385"/>
        <w:rPr>
          <w:rFonts w:ascii="Book Antiqua" w:hAnsi="Book Antiqua"/>
          <w:color w:val="4F4F4F"/>
          <w:sz w:val="21"/>
          <w:szCs w:val="21"/>
        </w:rPr>
      </w:pPr>
      <w:r w:rsidRPr="00B3499F">
        <w:rPr>
          <w:rFonts w:ascii="Book Antiqua" w:hAnsi="Book Antiqua"/>
          <w:color w:val="4F4F4F"/>
          <w:sz w:val="21"/>
          <w:szCs w:val="21"/>
        </w:rPr>
        <w:t>Available at: https://www.health.gov</w:t>
      </w:r>
      <w:r w:rsidRPr="00B3499F">
        <w:rPr>
          <w:rFonts w:ascii="Book Antiqua" w:hAnsi="Book Antiqua"/>
          <w:color w:val="767676"/>
          <w:sz w:val="21"/>
          <w:szCs w:val="21"/>
        </w:rPr>
        <w:t>.</w:t>
      </w:r>
      <w:r w:rsidRPr="00B3499F">
        <w:rPr>
          <w:rFonts w:ascii="Book Antiqua" w:hAnsi="Book Antiqua"/>
          <w:color w:val="4F4F4F"/>
          <w:sz w:val="21"/>
          <w:szCs w:val="21"/>
        </w:rPr>
        <w:t xml:space="preserve">au/resources/publications/legislated-review-ofaged-care-2017-report </w:t>
      </w:r>
    </w:p>
    <w:p w:rsidR="00C628C7" w:rsidP="00C628C7" w:rsidRDefault="00C628C7" w14:paraId="6B21BBA8" w14:textId="77777777">
      <w:pPr>
        <w:pStyle w:val="Title"/>
        <w:spacing w:before="1560"/>
      </w:pPr>
    </w:p>
    <w:p w:rsidR="00C628C7" w:rsidP="00C628C7" w:rsidRDefault="00C628C7" w14:paraId="0828FC18" w14:textId="77777777">
      <w:pPr>
        <w:pStyle w:val="Title"/>
        <w:spacing w:before="1560"/>
      </w:pPr>
    </w:p>
    <w:p w:rsidR="00C628C7" w:rsidP="00C628C7" w:rsidRDefault="00C628C7" w14:paraId="275BD31A" w14:textId="77777777">
      <w:pPr>
        <w:pStyle w:val="Title"/>
        <w:spacing w:before="1560"/>
      </w:pPr>
    </w:p>
    <w:p w:rsidR="00C628C7" w:rsidP="00C628C7" w:rsidRDefault="00C628C7" w14:paraId="08BE50A2" w14:textId="77777777">
      <w:pPr>
        <w:pStyle w:val="Title"/>
        <w:spacing w:before="1560"/>
      </w:pPr>
    </w:p>
    <w:p w:rsidR="00C628C7" w:rsidP="00C628C7" w:rsidRDefault="00C628C7" w14:paraId="08281592" w14:textId="77777777">
      <w:pPr>
        <w:pStyle w:val="Title"/>
        <w:spacing w:before="1560"/>
      </w:pPr>
      <w:r>
        <w:t>Single Comprehensive Assessment system</w:t>
      </w:r>
      <w:bookmarkEnd w:id="1"/>
    </w:p>
    <w:p w:rsidRPr="00C85938" w:rsidR="00C628C7" w:rsidP="00C628C7" w:rsidRDefault="00C628C7" w14:paraId="04D036CB" w14:textId="77777777">
      <w:pPr>
        <w:pStyle w:val="Paragraphtext"/>
      </w:pPr>
    </w:p>
    <w:p w:rsidR="00C628C7" w:rsidP="00C628C7" w:rsidRDefault="00C628C7" w14:paraId="42D2B86D" w14:textId="77777777">
      <w:pPr>
        <w:pStyle w:val="Subtitle"/>
        <w:rPr>
          <w:b/>
          <w:iCs w:val="0"/>
          <w:spacing w:val="0"/>
          <w:kern w:val="28"/>
          <w:sz w:val="44"/>
          <w:szCs w:val="44"/>
        </w:rPr>
      </w:pPr>
      <w:r w:rsidRPr="00192EC0">
        <w:rPr>
          <w:b/>
          <w:iCs w:val="0"/>
          <w:spacing w:val="0"/>
          <w:kern w:val="28"/>
          <w:sz w:val="44"/>
          <w:szCs w:val="44"/>
        </w:rPr>
        <w:t>Supplementary Impact Analysis</w:t>
      </w:r>
    </w:p>
    <w:p w:rsidRPr="00192EC0" w:rsidR="00C628C7" w:rsidP="00C628C7" w:rsidRDefault="00C628C7" w14:paraId="28FA0DA8" w14:textId="77777777">
      <w:pPr>
        <w:rPr>
          <w:rFonts w:eastAsiaTheme="majorEastAsia" w:cstheme="majorBidi"/>
          <w:b/>
          <w:color w:val="3F4A75"/>
          <w:kern w:val="28"/>
          <w:sz w:val="32"/>
          <w:szCs w:val="32"/>
        </w:rPr>
      </w:pPr>
      <w:r>
        <w:rPr>
          <w:rFonts w:eastAsiaTheme="majorEastAsia" w:cstheme="majorBidi"/>
          <w:b/>
          <w:color w:val="3F4A75"/>
          <w:kern w:val="28"/>
          <w:sz w:val="32"/>
          <w:szCs w:val="32"/>
        </w:rPr>
        <w:t>March 2023</w:t>
      </w:r>
    </w:p>
    <w:p w:rsidRPr="00192EC0" w:rsidR="00C628C7" w:rsidP="00C628C7" w:rsidRDefault="00C628C7" w14:paraId="1BEABAA1" w14:textId="77777777"/>
    <w:p w:rsidR="00C628C7" w:rsidP="00C628C7" w:rsidRDefault="00C628C7" w14:paraId="170668BD" w14:textId="77777777">
      <w:pPr>
        <w:rPr>
          <w:rFonts w:eastAsiaTheme="majorEastAsia" w:cstheme="majorBidi"/>
          <w:b/>
          <w:color w:val="3F4A75"/>
          <w:kern w:val="28"/>
          <w:sz w:val="48"/>
          <w:szCs w:val="52"/>
        </w:rPr>
      </w:pPr>
    </w:p>
    <w:p w:rsidRPr="00192EC0" w:rsidR="00C628C7" w:rsidP="00C628C7" w:rsidRDefault="00C628C7" w14:paraId="6BECE19D" w14:textId="77777777">
      <w:pPr>
        <w:sectPr w:rsidRPr="00192EC0" w:rsidR="00C628C7" w:rsidSect="00C628C7">
          <w:headerReference w:type="even" r:id="rId8"/>
          <w:headerReference w:type="default" r:id="rId9"/>
          <w:footerReference w:type="even" r:id="rId10"/>
          <w:footerReference w:type="default" r:id="rId11"/>
          <w:headerReference w:type="first" r:id="rId12"/>
          <w:footerReference w:type="first" r:id="rId13"/>
          <w:pgSz w:w="11906" w:h="16838" w:orient="portrait"/>
          <w:pgMar w:top="1701" w:right="1418" w:bottom="1418" w:left="1418" w:header="850" w:footer="709" w:gutter="0"/>
          <w:cols w:space="708"/>
          <w:titlePg/>
          <w:docGrid w:linePitch="360"/>
        </w:sectPr>
      </w:pPr>
    </w:p>
    <w:p w:rsidR="00C628C7" w:rsidP="00C628C7" w:rsidRDefault="00C628C7" w14:paraId="799844C2" w14:textId="77777777">
      <w:pPr>
        <w:pStyle w:val="Heading1"/>
      </w:pPr>
      <w:r>
        <w:lastRenderedPageBreak/>
        <w:t xml:space="preserve">Purpose of this document </w:t>
      </w:r>
    </w:p>
    <w:p w:rsidR="00C628C7" w:rsidP="00C628C7" w:rsidRDefault="00C628C7" w14:paraId="6192C913" w14:textId="77777777">
      <w:pPr>
        <w:pStyle w:val="Paragraphtext"/>
      </w:pPr>
      <w:r w:rsidRPr="005A1795">
        <w:t xml:space="preserve">This </w:t>
      </w:r>
      <w:r>
        <w:t xml:space="preserve">Supplementary </w:t>
      </w:r>
      <w:r w:rsidRPr="005A1795">
        <w:t xml:space="preserve">Regulatory Impact </w:t>
      </w:r>
      <w:r>
        <w:t>Analysis</w:t>
      </w:r>
      <w:r w:rsidRPr="005A1795">
        <w:t xml:space="preserve"> has been prepared by the Department of Health</w:t>
      </w:r>
      <w:r>
        <w:t xml:space="preserve"> and Aged Care</w:t>
      </w:r>
      <w:r w:rsidRPr="005A1795">
        <w:t xml:space="preserve"> (the Department) to inform Australian Government decision-making on </w:t>
      </w:r>
      <w:r>
        <w:t>reforms to improve the quality of in-home aged care by:</w:t>
      </w:r>
    </w:p>
    <w:p w:rsidR="00C628C7" w:rsidP="00C628C7" w:rsidRDefault="00C628C7" w14:paraId="5738CED1" w14:textId="77777777">
      <w:pPr>
        <w:pStyle w:val="Paragraphtext"/>
        <w:numPr>
          <w:ilvl w:val="0"/>
          <w:numId w:val="11"/>
        </w:numPr>
      </w:pPr>
      <w:r>
        <w:t>Establishing a single assessment workforce including an Indigenous assessment workforce.</w:t>
      </w:r>
    </w:p>
    <w:p w:rsidR="00C628C7" w:rsidP="00C628C7" w:rsidRDefault="00C628C7" w14:paraId="39631DDD" w14:textId="77777777">
      <w:pPr>
        <w:pStyle w:val="Paragraphtext"/>
      </w:pPr>
      <w:r w:rsidRPr="005A1795">
        <w:t xml:space="preserve">This </w:t>
      </w:r>
      <w:r>
        <w:t>supplementary analysis complements the certification by the Department that an</w:t>
      </w:r>
      <w:r w:rsidRPr="005A1795">
        <w:t xml:space="preserve"> independent review</w:t>
      </w:r>
      <w:r>
        <w:t xml:space="preserve"> (The Royal Commission into Aged Care Quality and Safety)</w:t>
      </w:r>
      <w:r w:rsidRPr="005A1795">
        <w:t xml:space="preserve"> undertook a process and analysis equivalent to a R</w:t>
      </w:r>
      <w:r>
        <w:t>egulatory Impact Statement (RIS) for these regulatory changes.</w:t>
      </w:r>
    </w:p>
    <w:p w:rsidRPr="00ED2042" w:rsidR="00C628C7" w:rsidP="00C628C7" w:rsidRDefault="00C628C7" w14:paraId="2A7D7D61" w14:textId="77777777">
      <w:pPr>
        <w:pStyle w:val="Paragraphtext"/>
        <w:rPr>
          <w:i/>
          <w:iCs/>
        </w:rPr>
      </w:pPr>
      <w:r>
        <w:t xml:space="preserve">This supplementary RIS analysis compliments the analysis undertaken by the Royal Commission by addressing RIS </w:t>
      </w:r>
      <w:r w:rsidRPr="003A13AD">
        <w:rPr>
          <w:i/>
          <w:iCs/>
        </w:rPr>
        <w:t xml:space="preserve">Question </w:t>
      </w:r>
      <w:r>
        <w:rPr>
          <w:i/>
          <w:iCs/>
        </w:rPr>
        <w:t>6</w:t>
      </w:r>
      <w:r w:rsidRPr="003A13AD">
        <w:rPr>
          <w:i/>
          <w:iCs/>
        </w:rPr>
        <w:t xml:space="preserve"> - </w:t>
      </w:r>
      <w:r w:rsidRPr="006B0C8A">
        <w:rPr>
          <w:i/>
          <w:iCs/>
        </w:rPr>
        <w:t xml:space="preserve">What </w:t>
      </w:r>
      <w:r>
        <w:rPr>
          <w:i/>
          <w:iCs/>
        </w:rPr>
        <w:t xml:space="preserve">is the best option from those you have considered and how will it be implemented? </w:t>
      </w:r>
      <w:proofErr w:type="gramStart"/>
      <w:r w:rsidRPr="003A13AD">
        <w:t>and</w:t>
      </w:r>
      <w:proofErr w:type="gramEnd"/>
      <w:r>
        <w:rPr>
          <w:rFonts w:ascii="Lato" w:hAnsi="Lato"/>
          <w:b/>
          <w:bCs/>
          <w:color w:val="343A40"/>
          <w:sz w:val="20"/>
          <w:szCs w:val="20"/>
          <w:lang w:eastAsia="en-AU"/>
        </w:rPr>
        <w:t xml:space="preserve"> </w:t>
      </w:r>
      <w:r w:rsidRPr="00ED2042">
        <w:rPr>
          <w:i/>
          <w:iCs/>
        </w:rPr>
        <w:t>Question 7 - How Will You Implement and Evaluate Your Chosen Option?</w:t>
      </w:r>
    </w:p>
    <w:p w:rsidR="00C628C7" w:rsidP="00C628C7" w:rsidRDefault="00C628C7" w14:paraId="2B3FC0C4" w14:textId="77777777">
      <w:pPr>
        <w:pStyle w:val="Heading1"/>
      </w:pPr>
      <w:r>
        <w:t xml:space="preserve">Background </w:t>
      </w:r>
    </w:p>
    <w:p w:rsidRPr="00682B4A" w:rsidR="00C628C7" w:rsidP="00C628C7" w:rsidRDefault="00C628C7" w14:paraId="47D2E077" w14:textId="77777777">
      <w:pPr>
        <w:pStyle w:val="Heading2"/>
      </w:pPr>
      <w:r>
        <w:t>Royal Commission into Aged Care Quality and Safety recommendations</w:t>
      </w:r>
    </w:p>
    <w:p w:rsidRPr="00F86E7D" w:rsidR="00C628C7" w:rsidP="00C628C7" w:rsidRDefault="00C628C7" w14:paraId="7FFA1715" w14:textId="478B11AC">
      <w:pPr>
        <w:pStyle w:val="Paragraphtext"/>
        <w:rPr>
          <w:rFonts w:cs="Arial"/>
          <w:b/>
          <w:bCs/>
          <w:sz w:val="22"/>
          <w:szCs w:val="22"/>
        </w:rPr>
      </w:pPr>
      <w:r w:rsidRPr="003379BE">
        <w:rPr>
          <w:rFonts w:cs="Arial"/>
          <w:sz w:val="22"/>
          <w:szCs w:val="22"/>
        </w:rPr>
        <w:t xml:space="preserve">On 1 March 2021 the Royal Commission into Aged Care Quality and Safety </w:t>
      </w:r>
      <w:r>
        <w:rPr>
          <w:rFonts w:cs="Arial"/>
          <w:sz w:val="22"/>
          <w:szCs w:val="22"/>
        </w:rPr>
        <w:t>released</w:t>
      </w:r>
      <w:r w:rsidRPr="003379BE">
        <w:rPr>
          <w:rFonts w:cs="Arial"/>
          <w:sz w:val="22"/>
          <w:szCs w:val="22"/>
        </w:rPr>
        <w:t xml:space="preserve"> their final report</w:t>
      </w:r>
      <w:r>
        <w:rPr>
          <w:rFonts w:cs="Arial"/>
          <w:sz w:val="22"/>
          <w:szCs w:val="22"/>
        </w:rPr>
        <w:t xml:space="preserve"> and recommendations. It was </w:t>
      </w:r>
      <w:r w:rsidRPr="003379BE">
        <w:rPr>
          <w:rStyle w:val="normaltextrun"/>
          <w:rFonts w:cs="Arial"/>
          <w:sz w:val="22"/>
          <w:szCs w:val="22"/>
        </w:rPr>
        <w:t xml:space="preserve">recommended the Australian Government </w:t>
      </w:r>
      <w:r>
        <w:rPr>
          <w:rStyle w:val="normaltextrun"/>
          <w:rFonts w:cs="Arial"/>
          <w:sz w:val="22"/>
          <w:szCs w:val="22"/>
        </w:rPr>
        <w:t xml:space="preserve">establish a single assessment process </w:t>
      </w:r>
      <w:r w:rsidRPr="00C85938">
        <w:rPr>
          <w:rStyle w:val="normaltextrun"/>
          <w:rFonts w:cs="Arial"/>
          <w:b/>
          <w:sz w:val="22"/>
          <w:szCs w:val="22"/>
        </w:rPr>
        <w:t>(Recommendation 28</w:t>
      </w:r>
      <w:r>
        <w:rPr>
          <w:rStyle w:val="normaltextrun"/>
          <w:rFonts w:cs="Arial"/>
          <w:sz w:val="22"/>
          <w:szCs w:val="22"/>
        </w:rPr>
        <w:t>)</w:t>
      </w:r>
      <w:r w:rsidRPr="003379BE">
        <w:rPr>
          <w:rStyle w:val="normaltextrun"/>
          <w:rFonts w:cs="Arial"/>
          <w:sz w:val="22"/>
          <w:szCs w:val="22"/>
        </w:rPr>
        <w:t xml:space="preserve">. </w:t>
      </w:r>
      <w:r w:rsidRPr="003379BE">
        <w:rPr>
          <w:rFonts w:cs="Arial"/>
          <w:sz w:val="22"/>
          <w:szCs w:val="22"/>
        </w:rPr>
        <w:br/>
      </w:r>
      <w:r w:rsidRPr="003379BE">
        <w:rPr>
          <w:rStyle w:val="scxw205342516"/>
          <w:rFonts w:cs="Arial"/>
          <w:sz w:val="22"/>
          <w:szCs w:val="22"/>
        </w:rPr>
        <w:t> </w:t>
      </w:r>
      <w:r w:rsidRPr="003379BE">
        <w:rPr>
          <w:rFonts w:cs="Arial"/>
          <w:sz w:val="22"/>
          <w:szCs w:val="22"/>
        </w:rPr>
        <w:br/>
      </w:r>
      <w:r>
        <w:rPr>
          <w:rStyle w:val="normaltextrun"/>
          <w:rFonts w:cs="Arial"/>
          <w:sz w:val="22"/>
          <w:szCs w:val="22"/>
        </w:rPr>
        <w:t>A single comprehensive assessment process will give older people an entitlement to the supports and services they require to meet their assessed aged care needs</w:t>
      </w:r>
      <w:r w:rsidRPr="003379BE">
        <w:rPr>
          <w:rStyle w:val="normaltextrun"/>
          <w:rFonts w:cs="Arial"/>
          <w:sz w:val="22"/>
          <w:szCs w:val="22"/>
        </w:rPr>
        <w:t xml:space="preserve">. The reform </w:t>
      </w:r>
      <w:r>
        <w:rPr>
          <w:rStyle w:val="normaltextrun"/>
          <w:rFonts w:cs="Arial"/>
          <w:sz w:val="22"/>
          <w:szCs w:val="22"/>
        </w:rPr>
        <w:t>should</w:t>
      </w:r>
      <w:r w:rsidRPr="003379BE">
        <w:rPr>
          <w:rStyle w:val="normaltextrun"/>
          <w:rFonts w:cs="Arial"/>
          <w:sz w:val="22"/>
          <w:szCs w:val="22"/>
        </w:rPr>
        <w:t xml:space="preserve"> ensure older persons have choice, control and flexibility as to how their care needs are met, including a choice between pr</w:t>
      </w:r>
      <w:r>
        <w:rPr>
          <w:rStyle w:val="normaltextrun"/>
          <w:rFonts w:cs="Arial"/>
          <w:sz w:val="22"/>
          <w:szCs w:val="22"/>
        </w:rPr>
        <w:t>oviders as well as access</w:t>
      </w:r>
      <w:r w:rsidRPr="003379BE">
        <w:rPr>
          <w:rStyle w:val="normaltextrun"/>
          <w:rFonts w:cs="Arial"/>
          <w:sz w:val="22"/>
          <w:szCs w:val="22"/>
        </w:rPr>
        <w:t xml:space="preserve"> to multiple service categories based on their needs</w:t>
      </w:r>
      <w:r>
        <w:rPr>
          <w:rStyle w:val="normaltextrun"/>
          <w:rFonts w:cs="Arial"/>
          <w:b/>
          <w:bCs/>
          <w:sz w:val="22"/>
          <w:szCs w:val="22"/>
        </w:rPr>
        <w:t xml:space="preserve"> (Recommendation</w:t>
      </w:r>
      <w:r w:rsidRPr="003379BE">
        <w:rPr>
          <w:rStyle w:val="normaltextrun"/>
          <w:rFonts w:cs="Arial"/>
          <w:b/>
          <w:bCs/>
          <w:sz w:val="22"/>
          <w:szCs w:val="22"/>
        </w:rPr>
        <w:t xml:space="preserve"> 28). </w:t>
      </w:r>
      <w:r w:rsidRPr="003379BE">
        <w:rPr>
          <w:rStyle w:val="scxw205342516"/>
          <w:rFonts w:cs="Arial"/>
          <w:sz w:val="22"/>
          <w:szCs w:val="22"/>
        </w:rPr>
        <w:t> </w:t>
      </w:r>
      <w:r w:rsidRPr="003379BE">
        <w:rPr>
          <w:rFonts w:cs="Arial"/>
          <w:sz w:val="22"/>
          <w:szCs w:val="22"/>
        </w:rPr>
        <w:br/>
      </w:r>
      <w:r w:rsidRPr="003379BE">
        <w:rPr>
          <w:rStyle w:val="scxw205342516"/>
          <w:rFonts w:cs="Arial"/>
          <w:sz w:val="22"/>
          <w:szCs w:val="22"/>
        </w:rPr>
        <w:t> </w:t>
      </w:r>
      <w:r w:rsidRPr="003379BE">
        <w:rPr>
          <w:rFonts w:cs="Arial"/>
          <w:sz w:val="22"/>
          <w:szCs w:val="22"/>
        </w:rPr>
        <w:br/>
      </w:r>
      <w:r>
        <w:rPr>
          <w:rStyle w:val="normaltextrun"/>
          <w:rFonts w:cs="Arial"/>
          <w:sz w:val="22"/>
          <w:szCs w:val="22"/>
        </w:rPr>
        <w:t>Under the new assessment system</w:t>
      </w:r>
      <w:r w:rsidRPr="003379BE">
        <w:rPr>
          <w:rStyle w:val="normaltextrun"/>
          <w:rFonts w:cs="Arial"/>
          <w:sz w:val="22"/>
          <w:szCs w:val="22"/>
        </w:rPr>
        <w:t>, approved assessors must be independent from approved providers and must also be trained on cultural safety trauma-informed service delivery and have the capacity to provide specialised services for diverse backgrounds and life experiences (</w:t>
      </w:r>
      <w:r>
        <w:rPr>
          <w:rStyle w:val="normaltextrun"/>
          <w:rFonts w:cs="Arial"/>
          <w:b/>
          <w:bCs/>
          <w:sz w:val="22"/>
          <w:szCs w:val="22"/>
        </w:rPr>
        <w:t>Recommendation 28</w:t>
      </w:r>
      <w:r w:rsidRPr="003379BE">
        <w:rPr>
          <w:rStyle w:val="normaltextrun"/>
          <w:rFonts w:cs="Arial"/>
          <w:b/>
          <w:bCs/>
          <w:sz w:val="22"/>
          <w:szCs w:val="22"/>
        </w:rPr>
        <w:t>).</w:t>
      </w:r>
      <w:r>
        <w:rPr>
          <w:rStyle w:val="normaltextrun"/>
          <w:rFonts w:cs="Arial"/>
          <w:b/>
          <w:bCs/>
          <w:sz w:val="22"/>
          <w:szCs w:val="22"/>
        </w:rPr>
        <w:br/>
      </w:r>
      <w:r>
        <w:rPr>
          <w:rStyle w:val="normaltextrun"/>
          <w:rFonts w:cs="Arial"/>
          <w:b/>
          <w:bCs/>
          <w:sz w:val="22"/>
          <w:szCs w:val="22"/>
        </w:rPr>
        <w:br/>
      </w:r>
      <w:r>
        <w:rPr>
          <w:rFonts w:cs="Arial"/>
          <w:sz w:val="22"/>
          <w:szCs w:val="22"/>
        </w:rPr>
        <w:t xml:space="preserve">To ensure cultural safety, wherever possible, aged care assessments of First Nations people are to be conducted by assessors who are First Nations people, or others who have undertaken training in cultural safety and trauma-informed approaches </w:t>
      </w:r>
      <w:r w:rsidRPr="005B47D7">
        <w:rPr>
          <w:rFonts w:cs="Arial"/>
          <w:b/>
          <w:sz w:val="22"/>
          <w:szCs w:val="22"/>
        </w:rPr>
        <w:t>(Recommendation 48.2(b))</w:t>
      </w:r>
    </w:p>
    <w:p w:rsidR="00C628C7" w:rsidP="00C628C7" w:rsidRDefault="00C628C7" w14:paraId="38548960" w14:textId="77777777">
      <w:pPr>
        <w:pStyle w:val="Heading2"/>
        <w:rPr>
          <w:b/>
          <w:bCs w:val="0"/>
          <w:iCs w:val="0"/>
          <w:color w:val="000000" w:themeColor="text1"/>
          <w:sz w:val="22"/>
          <w:szCs w:val="22"/>
        </w:rPr>
      </w:pPr>
    </w:p>
    <w:p w:rsidR="00C628C7" w:rsidP="00C628C7" w:rsidRDefault="00C628C7" w14:paraId="1E26EE63" w14:textId="77777777">
      <w:pPr>
        <w:rPr>
          <w:rFonts w:cs="Arial"/>
          <w:b/>
          <w:color w:val="000000" w:themeColor="text1"/>
          <w:szCs w:val="22"/>
        </w:rPr>
      </w:pPr>
      <w:r>
        <w:rPr>
          <w:b/>
          <w:bCs/>
          <w:iCs/>
          <w:color w:val="000000" w:themeColor="text1"/>
          <w:szCs w:val="22"/>
        </w:rPr>
        <w:br w:type="page"/>
      </w:r>
    </w:p>
    <w:p w:rsidR="00C628C7" w:rsidP="00C628C7" w:rsidRDefault="00C628C7" w14:paraId="5693FC84" w14:textId="77777777">
      <w:pPr>
        <w:pStyle w:val="Heading2"/>
      </w:pPr>
      <w:r>
        <w:lastRenderedPageBreak/>
        <w:t>Overview of policy proposal</w:t>
      </w:r>
    </w:p>
    <w:p w:rsidR="00C628C7" w:rsidP="00C628C7" w:rsidRDefault="00C628C7" w14:paraId="064B48C5" w14:textId="77777777">
      <w:pPr>
        <w:pStyle w:val="Paragraphtext"/>
        <w:numPr>
          <w:ilvl w:val="0"/>
          <w:numId w:val="22"/>
        </w:numPr>
      </w:pPr>
      <w:r>
        <w:t>It is proposed that the single assessment system will be established from 1 July 2024, this will bring together the Regional Assessment Service (RAS), Aged Care Assessment Team/Services (ACAT/ACAS) and the Australian National Aged Care Classification (AN-ACC)</w:t>
      </w:r>
    </w:p>
    <w:p w:rsidR="00C628C7" w:rsidP="00C628C7" w:rsidRDefault="00C628C7" w14:paraId="113367DD" w14:textId="3D31BFE9">
      <w:pPr>
        <w:pStyle w:val="Paragraphtext"/>
        <w:numPr>
          <w:ilvl w:val="0"/>
          <w:numId w:val="22"/>
        </w:numPr>
      </w:pPr>
      <w:r>
        <w:t>An Indigenous Assessment workforce would be i</w:t>
      </w:r>
      <w:r w:rsidRPr="00F86E7D">
        <w:t>mplemented in stages</w:t>
      </w:r>
      <w:r>
        <w:t xml:space="preserve"> from 1 July 2024, e</w:t>
      </w:r>
      <w:r w:rsidRPr="00F86E7D">
        <w:t xml:space="preserve">stablished via a tender process to allow the organisations time to build and develop capacity and capability. </w:t>
      </w:r>
    </w:p>
    <w:p w:rsidR="00C628C7" w:rsidP="00C628C7" w:rsidRDefault="00C628C7" w14:paraId="7C2448E5" w14:textId="389C31F9">
      <w:pPr>
        <w:pStyle w:val="Paragraphtext"/>
        <w:numPr>
          <w:ilvl w:val="0"/>
          <w:numId w:val="22"/>
        </w:numPr>
      </w:pPr>
      <w:r>
        <w:t xml:space="preserve">A new assessment tool </w:t>
      </w:r>
      <w:r w:rsidR="00CA3FA2">
        <w:t>would better align</w:t>
      </w:r>
      <w:r>
        <w:t xml:space="preserve"> the support offered to older people against aged care needs. </w:t>
      </w:r>
    </w:p>
    <w:p w:rsidR="00C628C7" w:rsidP="00C628C7" w:rsidRDefault="00C628C7" w14:paraId="7C303B43" w14:textId="77777777">
      <w:pPr>
        <w:pStyle w:val="Paragraphtext"/>
        <w:numPr>
          <w:ilvl w:val="0"/>
          <w:numId w:val="22"/>
        </w:numPr>
      </w:pPr>
      <w:r>
        <w:t>The proposed model would implement</w:t>
      </w:r>
      <w:r w:rsidRPr="000C73E7">
        <w:t xml:space="preserve"> in full or in part Royal Commission </w:t>
      </w:r>
      <w:r>
        <w:t>r</w:t>
      </w:r>
      <w:r w:rsidRPr="000C73E7">
        <w:t xml:space="preserve">ecommendations </w:t>
      </w:r>
      <w:r w:rsidRPr="00F86E7D">
        <w:rPr>
          <w:bCs/>
        </w:rPr>
        <w:t>28</w:t>
      </w:r>
      <w:r w:rsidRPr="00D8263D">
        <w:t xml:space="preserve">, </w:t>
      </w:r>
      <w:r>
        <w:t>48(2)</w:t>
      </w:r>
    </w:p>
    <w:p w:rsidRPr="005666ED" w:rsidR="00C628C7" w:rsidP="00C628C7" w:rsidRDefault="00C628C7" w14:paraId="615E8441" w14:textId="77777777">
      <w:pPr>
        <w:rPr>
          <w:u w:val="single"/>
        </w:rPr>
      </w:pPr>
    </w:p>
    <w:p w:rsidRPr="00C96F24" w:rsidR="00C628C7" w:rsidP="00C628C7" w:rsidRDefault="007954C3" w14:paraId="0204A8D4" w14:textId="77777777">
      <w:pPr>
        <w:pStyle w:val="Heading3"/>
      </w:pPr>
      <w:r>
        <w:t>Implementation</w:t>
      </w:r>
      <w:r w:rsidRPr="00C96F24" w:rsidR="00C628C7">
        <w:t xml:space="preserve"> </w:t>
      </w:r>
    </w:p>
    <w:p w:rsidR="00C628C7" w:rsidP="00C628C7" w:rsidRDefault="00C628C7" w14:paraId="07CD801F" w14:textId="1902BD69">
      <w:pPr>
        <w:pStyle w:val="Paragraphtext"/>
        <w:ind w:right="-711"/>
        <w:rPr>
          <w:sz w:val="22"/>
          <w:szCs w:val="22"/>
        </w:rPr>
      </w:pPr>
      <w:r>
        <w:rPr>
          <w:sz w:val="22"/>
          <w:szCs w:val="22"/>
        </w:rPr>
        <w:t xml:space="preserve">The Single Assessment Workforce will start assessing older people </w:t>
      </w:r>
      <w:r w:rsidR="00CA3FA2">
        <w:rPr>
          <w:sz w:val="22"/>
          <w:szCs w:val="22"/>
        </w:rPr>
        <w:t xml:space="preserve">from </w:t>
      </w:r>
      <w:r>
        <w:rPr>
          <w:sz w:val="22"/>
          <w:szCs w:val="22"/>
        </w:rPr>
        <w:t xml:space="preserve">1 July 2024. </w:t>
      </w:r>
    </w:p>
    <w:p w:rsidR="00C628C7" w:rsidP="00C628C7" w:rsidRDefault="00C628C7" w14:paraId="71B8D417" w14:textId="77777777">
      <w:pPr>
        <w:pStyle w:val="Paragraphtext"/>
        <w:ind w:right="-711"/>
        <w:rPr>
          <w:sz w:val="22"/>
          <w:szCs w:val="22"/>
        </w:rPr>
      </w:pPr>
      <w:r>
        <w:rPr>
          <w:sz w:val="22"/>
          <w:szCs w:val="22"/>
        </w:rPr>
        <w:t xml:space="preserve">This proposal seeks to retain the knowledge and skills of the current assessment workforce by contracting in-community assessments to current organisations, while jurisdictions retain in hospital assessments. A pertinent feature of the model is to implement a minimum of two assessment organisations in each region (potentially excluding remote areas), strengthening the Commonwealth’s ability to deliver quality services to older Australians through performance management. </w:t>
      </w:r>
    </w:p>
    <w:p w:rsidR="00C628C7" w:rsidP="00C628C7" w:rsidRDefault="00C628C7" w14:paraId="5AAD7B58" w14:textId="77777777">
      <w:pPr>
        <w:pStyle w:val="Paragraphtext"/>
        <w:ind w:right="-711"/>
        <w:rPr>
          <w:sz w:val="22"/>
          <w:szCs w:val="22"/>
        </w:rPr>
      </w:pPr>
      <w:r>
        <w:rPr>
          <w:sz w:val="22"/>
          <w:szCs w:val="22"/>
        </w:rPr>
        <w:t>To achieve this,</w:t>
      </w:r>
    </w:p>
    <w:p w:rsidR="00C628C7" w:rsidP="00C628C7" w:rsidRDefault="00C628C7" w14:paraId="4C61B968" w14:textId="77777777">
      <w:pPr>
        <w:pStyle w:val="Paragraphtext"/>
        <w:numPr>
          <w:ilvl w:val="0"/>
          <w:numId w:val="28"/>
        </w:numPr>
        <w:ind w:right="-711"/>
        <w:rPr>
          <w:sz w:val="22"/>
          <w:szCs w:val="22"/>
        </w:rPr>
      </w:pPr>
      <w:r>
        <w:rPr>
          <w:sz w:val="22"/>
          <w:szCs w:val="22"/>
        </w:rPr>
        <w:t xml:space="preserve">Agreements can be reached through negotiation with states and territories, to ensure continuation of the Aged Care Assessment Team/Services (ACAT/S) in the new assessment program </w:t>
      </w:r>
    </w:p>
    <w:p w:rsidR="00C628C7" w:rsidP="00C628C7" w:rsidRDefault="00C628C7" w14:paraId="5C12ADD6" w14:textId="77777777">
      <w:pPr>
        <w:pStyle w:val="Paragraphtext"/>
        <w:numPr>
          <w:ilvl w:val="0"/>
          <w:numId w:val="28"/>
        </w:numPr>
        <w:ind w:right="-711"/>
        <w:rPr>
          <w:sz w:val="22"/>
          <w:szCs w:val="22"/>
        </w:rPr>
      </w:pPr>
      <w:r>
        <w:rPr>
          <w:sz w:val="22"/>
          <w:szCs w:val="22"/>
        </w:rPr>
        <w:t xml:space="preserve">A Limited Tender will be conducted with the Regional Assessment Service (RAS) and AN-ACC Assessment Management Organisations (AMOs) to evaluate their capability and capacity under the new assessment program so that business allocation is divided nationally based on merit. </w:t>
      </w:r>
    </w:p>
    <w:p w:rsidR="00C628C7" w:rsidP="00C628C7" w:rsidRDefault="00C628C7" w14:paraId="53A3C987" w14:textId="77777777">
      <w:pPr>
        <w:pStyle w:val="Paragraphtext"/>
        <w:ind w:right="-711"/>
        <w:rPr>
          <w:sz w:val="22"/>
          <w:szCs w:val="22"/>
        </w:rPr>
      </w:pPr>
      <w:r>
        <w:rPr>
          <w:sz w:val="22"/>
          <w:szCs w:val="22"/>
        </w:rPr>
        <w:t xml:space="preserve">Non-government organisations will have the option of transitioning out of assessment services, instead of tendering for the future arrangements. This will enable the Department to ensure a controlled close down of operations and mitigate adverse impacts on older Australians. </w:t>
      </w:r>
    </w:p>
    <w:p w:rsidR="00C628C7" w:rsidP="00C628C7" w:rsidRDefault="00C628C7" w14:paraId="4D771144" w14:textId="77777777">
      <w:pPr>
        <w:pStyle w:val="Paragraphtext"/>
        <w:ind w:right="-711"/>
        <w:rPr>
          <w:sz w:val="22"/>
          <w:szCs w:val="22"/>
        </w:rPr>
      </w:pPr>
      <w:r>
        <w:rPr>
          <w:sz w:val="22"/>
          <w:szCs w:val="22"/>
        </w:rPr>
        <w:t xml:space="preserve">A key challenge will be ensuring the Regional Assessment Services (RAS) who are a non-clinical workforce are capable of adjusting workforce composition to be approximately 40% clinical and 60% non-clinical assessors. Therefore, engagement of the workforce needs to be a collaborative approach between the Commonwealth and current assessment organisations to ensure workforce availability and readiness. </w:t>
      </w:r>
    </w:p>
    <w:p w:rsidR="00C628C7" w:rsidP="00C628C7" w:rsidRDefault="00C628C7" w14:paraId="6BDE33A5" w14:textId="77777777">
      <w:pPr>
        <w:pStyle w:val="Paragraphtext"/>
        <w:ind w:right="-711"/>
        <w:rPr>
          <w:rFonts w:ascii="Helvetica" w:hAnsi="Helvetica"/>
          <w:sz w:val="22"/>
          <w:szCs w:val="22"/>
        </w:rPr>
      </w:pPr>
      <w:r>
        <w:rPr>
          <w:sz w:val="22"/>
          <w:szCs w:val="22"/>
        </w:rPr>
        <w:t>The Department proposes to consult with each workforce for operational feedback on the new policy and Integrated Assessment Tool between February and July 2023, prior to releasing a Limited Tender.</w:t>
      </w:r>
      <w:r w:rsidRPr="00931E55">
        <w:rPr>
          <w:rFonts w:ascii="Helvetica" w:hAnsi="Helvetica"/>
          <w:sz w:val="22"/>
          <w:szCs w:val="22"/>
        </w:rPr>
        <w:t xml:space="preserve"> </w:t>
      </w:r>
    </w:p>
    <w:p w:rsidRPr="00943077" w:rsidR="00C628C7" w:rsidP="00C628C7" w:rsidRDefault="00C628C7" w14:paraId="57B745D8" w14:textId="77777777">
      <w:pPr>
        <w:pStyle w:val="Paragraphtext"/>
      </w:pPr>
    </w:p>
    <w:p w:rsidR="00C628C7" w:rsidP="00C628C7" w:rsidRDefault="007954C3" w14:paraId="2CFF5E84" w14:textId="77777777">
      <w:pPr>
        <w:pStyle w:val="Heading3"/>
      </w:pPr>
      <w:r>
        <w:lastRenderedPageBreak/>
        <w:t>Evaluation</w:t>
      </w:r>
      <w:r w:rsidR="00C628C7">
        <w:t xml:space="preserve"> </w:t>
      </w:r>
    </w:p>
    <w:p w:rsidR="00482F89" w:rsidP="00C628C7" w:rsidRDefault="00C628C7" w14:paraId="35DADFCF" w14:textId="77777777">
      <w:pPr>
        <w:pStyle w:val="CABNETParagraph"/>
        <w:ind w:right="-472"/>
      </w:pPr>
      <w:r>
        <w:t xml:space="preserve">During the initial year of the contract, the Department will be monitoring the workforce composition through data collected in the new aged care learning environment. </w:t>
      </w:r>
      <w:r w:rsidR="009816E9">
        <w:t xml:space="preserve">It will be possible to adjust business </w:t>
      </w:r>
      <w:r>
        <w:t xml:space="preserve">allocation </w:t>
      </w:r>
      <w:r w:rsidR="009816E9">
        <w:t>if there are particular workforce constraints</w:t>
      </w:r>
      <w:r w:rsidR="000E6CC4">
        <w:t xml:space="preserve"> </w:t>
      </w:r>
      <w:r w:rsidR="00C7496C">
        <w:t>to avoid</w:t>
      </w:r>
      <w:r>
        <w:t xml:space="preserve"> </w:t>
      </w:r>
      <w:r w:rsidR="009816E9">
        <w:t xml:space="preserve">excessive </w:t>
      </w:r>
      <w:r w:rsidR="000E6CC4">
        <w:t xml:space="preserve">wait times for assessment. </w:t>
      </w:r>
    </w:p>
    <w:p w:rsidR="00C628C7" w:rsidP="00C628C7" w:rsidRDefault="00CA3FA2" w14:paraId="482C7DF5" w14:textId="1F9F1AFB">
      <w:pPr>
        <w:pStyle w:val="CABNETParagraph"/>
        <w:ind w:right="-472"/>
      </w:pPr>
      <w:r>
        <w:t xml:space="preserve">Performance will be </w:t>
      </w:r>
      <w:r w:rsidR="00C628C7">
        <w:t>monitor</w:t>
      </w:r>
      <w:r>
        <w:t>ed</w:t>
      </w:r>
      <w:r w:rsidR="00C628C7">
        <w:t xml:space="preserve"> through quality and timeliness KPIs on a quarterly basis. Additionally, the Department </w:t>
      </w:r>
      <w:r w:rsidR="00756D34">
        <w:t xml:space="preserve">may </w:t>
      </w:r>
      <w:r w:rsidR="00C628C7">
        <w:t xml:space="preserve">conduct an external quality audit, annually, to provide qualitative and quantitative data to feedback into program improvement. </w:t>
      </w:r>
    </w:p>
    <w:p w:rsidRPr="00931E55" w:rsidR="00C628C7" w:rsidP="00C628C7" w:rsidRDefault="00C628C7" w14:paraId="206C069F" w14:textId="119215D1">
      <w:pPr>
        <w:pStyle w:val="Paragraphtext"/>
        <w:rPr>
          <w:sz w:val="22"/>
          <w:szCs w:val="22"/>
        </w:rPr>
      </w:pPr>
      <w:r>
        <w:rPr>
          <w:sz w:val="22"/>
          <w:szCs w:val="22"/>
        </w:rPr>
        <w:t>E</w:t>
      </w:r>
      <w:r w:rsidRPr="00931E55">
        <w:rPr>
          <w:sz w:val="22"/>
          <w:szCs w:val="22"/>
        </w:rPr>
        <w:t>valuation will be undertaken as part of the Department’s overall approach to measuring key outcomes of aged care reforms that address the Royal Commission recommendations and improve aged care service delivery to consumers</w:t>
      </w:r>
      <w:r>
        <w:rPr>
          <w:sz w:val="22"/>
          <w:szCs w:val="22"/>
        </w:rPr>
        <w:t>.</w:t>
      </w:r>
    </w:p>
    <w:p w:rsidRPr="002407FC" w:rsidR="00C628C7" w:rsidP="00C628C7" w:rsidRDefault="00C628C7" w14:paraId="6B46CDD0" w14:textId="77777777">
      <w:pPr>
        <w:rPr>
          <w:color w:val="000000" w:themeColor="text1"/>
          <w:sz w:val="21"/>
        </w:rPr>
      </w:pPr>
    </w:p>
    <w:p w:rsidR="00C628C7" w:rsidP="00C628C7" w:rsidRDefault="00C628C7" w14:paraId="16528C6A" w14:textId="77777777">
      <w:pPr>
        <w:pStyle w:val="Heading3"/>
        <w:rPr>
          <w:color w:val="3F4A75"/>
          <w:kern w:val="28"/>
          <w:sz w:val="36"/>
          <w:szCs w:val="36"/>
        </w:rPr>
      </w:pPr>
      <w:r w:rsidRPr="00091759">
        <w:rPr>
          <w:color w:val="3F4A75"/>
          <w:kern w:val="28"/>
          <w:sz w:val="36"/>
          <w:szCs w:val="36"/>
        </w:rPr>
        <w:t>Estimate of Regulatory Burden</w:t>
      </w:r>
    </w:p>
    <w:p w:rsidRPr="001A5418" w:rsidR="00C628C7" w:rsidP="00C628C7" w:rsidRDefault="00C628C7" w14:paraId="77E18F0D" w14:textId="77777777">
      <w:pPr>
        <w:pStyle w:val="BodyText"/>
        <w:rPr>
          <w:rFonts w:cs="Arial"/>
        </w:rPr>
      </w:pPr>
      <w:bookmarkStart w:name="_Hlk107907167" w:id="2"/>
      <w:r w:rsidRPr="001A5418">
        <w:rPr>
          <w:rFonts w:cs="Arial"/>
        </w:rPr>
        <w:t>The regulatory burden to business, community or individuals is quantified using the Australian Government’s Regulatory Burden Measurement Framework and is provided below.</w:t>
      </w:r>
    </w:p>
    <w:p w:rsidRPr="001A5418" w:rsidR="00C628C7" w:rsidP="00C628C7" w:rsidRDefault="00C628C7" w14:paraId="2339F00B" w14:textId="52E07107">
      <w:pPr>
        <w:pStyle w:val="BodyText"/>
        <w:rPr>
          <w:rFonts w:cs="Arial"/>
        </w:rPr>
      </w:pPr>
      <w:r w:rsidRPr="001A5418">
        <w:rPr>
          <w:rFonts w:cs="Arial"/>
        </w:rPr>
        <w:t xml:space="preserve">Implementing the Royal Commission into Aged Care Quality and Safety recommendations </w:t>
      </w:r>
      <w:r w:rsidRPr="001A5418" w:rsidR="009816E9">
        <w:rPr>
          <w:rFonts w:cs="Arial"/>
        </w:rPr>
        <w:t xml:space="preserve">to improve aged care assessment </w:t>
      </w:r>
      <w:r w:rsidRPr="001A5418">
        <w:rPr>
          <w:rFonts w:cs="Arial"/>
        </w:rPr>
        <w:t xml:space="preserve">will address the issue of </w:t>
      </w:r>
      <w:r w:rsidRPr="001A5418" w:rsidR="009816E9">
        <w:rPr>
          <w:rFonts w:cs="Arial"/>
        </w:rPr>
        <w:t>services being assigned to people who may not need them,</w:t>
      </w:r>
      <w:r w:rsidRPr="001A5418">
        <w:rPr>
          <w:rFonts w:cs="Arial"/>
        </w:rPr>
        <w:t xml:space="preserve"> </w:t>
      </w:r>
      <w:r w:rsidRPr="001A5418" w:rsidR="009816E9">
        <w:rPr>
          <w:rFonts w:cs="Arial"/>
        </w:rPr>
        <w:t xml:space="preserve">improving </w:t>
      </w:r>
      <w:r w:rsidRPr="001A5418">
        <w:rPr>
          <w:rFonts w:cs="Arial"/>
        </w:rPr>
        <w:t xml:space="preserve">the </w:t>
      </w:r>
      <w:proofErr w:type="spellStart"/>
      <w:r w:rsidRPr="001A5418">
        <w:rPr>
          <w:rFonts w:cs="Arial"/>
        </w:rPr>
        <w:t>economical</w:t>
      </w:r>
      <w:proofErr w:type="spellEnd"/>
      <w:r w:rsidRPr="001A5418">
        <w:rPr>
          <w:rFonts w:cs="Arial"/>
        </w:rPr>
        <w:t xml:space="preserve"> efficiency of the provision of aged care support services in Australia. The new assessment system will:</w:t>
      </w:r>
    </w:p>
    <w:p w:rsidRPr="001A5418" w:rsidR="00C628C7" w:rsidP="00C628C7" w:rsidRDefault="00C628C7" w14:paraId="00BA9577" w14:textId="77777777">
      <w:pPr>
        <w:pStyle w:val="ListParagraph"/>
        <w:widowControl w:val="0"/>
        <w:numPr>
          <w:ilvl w:val="0"/>
          <w:numId w:val="28"/>
        </w:numPr>
        <w:spacing w:before="100" w:beforeAutospacing="1" w:after="240"/>
        <w:contextualSpacing w:val="0"/>
        <w:rPr>
          <w:rFonts w:cs="Arial"/>
          <w:szCs w:val="22"/>
        </w:rPr>
      </w:pPr>
      <w:proofErr w:type="gramStart"/>
      <w:r w:rsidRPr="001A5418">
        <w:rPr>
          <w:rFonts w:cs="Arial"/>
          <w:szCs w:val="22"/>
        </w:rPr>
        <w:t>simplify</w:t>
      </w:r>
      <w:proofErr w:type="gramEnd"/>
      <w:r w:rsidRPr="001A5418">
        <w:rPr>
          <w:rFonts w:cs="Arial"/>
          <w:szCs w:val="22"/>
        </w:rPr>
        <w:t xml:space="preserve"> and improve the consumer experience as people will not need to move between different assessment providers as their needs change.  </w:t>
      </w:r>
    </w:p>
    <w:p w:rsidRPr="001A5418" w:rsidR="00C628C7" w:rsidP="00C628C7" w:rsidRDefault="00C628C7" w14:paraId="1104A3F1" w14:textId="075D0A64">
      <w:pPr>
        <w:pStyle w:val="ListParagraph"/>
        <w:widowControl w:val="0"/>
        <w:numPr>
          <w:ilvl w:val="0"/>
          <w:numId w:val="28"/>
        </w:numPr>
        <w:spacing w:before="100" w:beforeAutospacing="1" w:after="240"/>
        <w:contextualSpacing w:val="0"/>
        <w:rPr>
          <w:rFonts w:cs="Arial"/>
          <w:szCs w:val="22"/>
        </w:rPr>
      </w:pPr>
      <w:proofErr w:type="gramStart"/>
      <w:r w:rsidRPr="001A5418">
        <w:rPr>
          <w:rFonts w:cs="Arial"/>
          <w:szCs w:val="22"/>
        </w:rPr>
        <w:t>ensure</w:t>
      </w:r>
      <w:proofErr w:type="gramEnd"/>
      <w:r w:rsidRPr="001A5418">
        <w:rPr>
          <w:rFonts w:cs="Arial"/>
          <w:szCs w:val="22"/>
        </w:rPr>
        <w:t xml:space="preserve"> better information is collected during assessments to inform service recommendations and referrals </w:t>
      </w:r>
      <w:r w:rsidRPr="001A5418" w:rsidR="00756D34">
        <w:rPr>
          <w:rFonts w:cs="Arial"/>
          <w:szCs w:val="22"/>
        </w:rPr>
        <w:t>with</w:t>
      </w:r>
      <w:r w:rsidRPr="001A5418">
        <w:rPr>
          <w:rFonts w:cs="Arial"/>
          <w:szCs w:val="22"/>
        </w:rPr>
        <w:t xml:space="preserve"> an increased focus on supporting clients with dementia.</w:t>
      </w:r>
    </w:p>
    <w:p w:rsidRPr="001A5418" w:rsidR="00C628C7" w:rsidP="00C628C7" w:rsidRDefault="00C628C7" w14:paraId="7A120062" w14:textId="77777777">
      <w:pPr>
        <w:pStyle w:val="ListParagraph"/>
        <w:widowControl w:val="0"/>
        <w:numPr>
          <w:ilvl w:val="0"/>
          <w:numId w:val="28"/>
        </w:numPr>
        <w:spacing w:before="100" w:beforeAutospacing="1" w:after="240"/>
        <w:contextualSpacing w:val="0"/>
        <w:rPr>
          <w:rFonts w:cs="Arial"/>
          <w:szCs w:val="22"/>
        </w:rPr>
      </w:pPr>
      <w:proofErr w:type="gramStart"/>
      <w:r w:rsidRPr="001A5418">
        <w:rPr>
          <w:rFonts w:cs="Arial"/>
          <w:szCs w:val="22"/>
        </w:rPr>
        <w:t>improve</w:t>
      </w:r>
      <w:proofErr w:type="gramEnd"/>
      <w:r w:rsidRPr="001A5418">
        <w:rPr>
          <w:rFonts w:cs="Arial"/>
          <w:szCs w:val="22"/>
        </w:rPr>
        <w:t xml:space="preserve"> assurance and accountability, so that the community can be confident Commonwealth funding for aged care is targeted to care need.</w:t>
      </w:r>
    </w:p>
    <w:tbl>
      <w:tblPr>
        <w:tblW w:w="9374" w:type="dxa"/>
        <w:tblLook w:val="04A0" w:firstRow="1" w:lastRow="0" w:firstColumn="1" w:lastColumn="0" w:noHBand="0" w:noVBand="1"/>
      </w:tblPr>
      <w:tblGrid>
        <w:gridCol w:w="1838"/>
        <w:gridCol w:w="1985"/>
        <w:gridCol w:w="2126"/>
        <w:gridCol w:w="1559"/>
        <w:gridCol w:w="1866"/>
      </w:tblGrid>
      <w:tr w:rsidRPr="00270230" w:rsidR="00C628C7" w:rsidTr="004E6D83" w14:paraId="2FCE10B6" w14:textId="77777777">
        <w:trPr>
          <w:trHeight w:val="300"/>
        </w:trPr>
        <w:tc>
          <w:tcPr>
            <w:tcW w:w="9374" w:type="dxa"/>
            <w:gridSpan w:val="5"/>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270230" w:rsidR="00C628C7" w:rsidP="004E6D83" w:rsidRDefault="00C628C7" w14:paraId="1FA59EE9" w14:textId="77777777">
            <w:pPr>
              <w:jc w:val="center"/>
              <w:rPr>
                <w:rFonts w:cs="Arial"/>
                <w:color w:val="000000"/>
                <w:szCs w:val="22"/>
                <w:lang w:eastAsia="en-AU"/>
              </w:rPr>
            </w:pPr>
            <w:r w:rsidRPr="00270230">
              <w:rPr>
                <w:rFonts w:cs="Arial"/>
                <w:color w:val="000000"/>
                <w:szCs w:val="22"/>
                <w:lang w:eastAsia="en-AU"/>
              </w:rPr>
              <w:t>Average annual regulatory costs (from business as usual)</w:t>
            </w:r>
          </w:p>
        </w:tc>
      </w:tr>
      <w:tr w:rsidRPr="00270230" w:rsidR="00C628C7" w:rsidTr="004E6D83" w14:paraId="5803B938" w14:textId="77777777">
        <w:trPr>
          <w:trHeight w:val="42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2563A9" w:rsidR="00C628C7" w:rsidP="004E6D83" w:rsidRDefault="00C628C7" w14:paraId="0F63D536" w14:textId="77777777">
            <w:pPr>
              <w:rPr>
                <w:rFonts w:cs="Arial"/>
                <w:color w:val="000000"/>
                <w:szCs w:val="22"/>
                <w:lang w:eastAsia="en-AU"/>
              </w:rPr>
            </w:pPr>
            <w:r w:rsidRPr="002563A9">
              <w:rPr>
                <w:rFonts w:cs="Arial"/>
                <w:color w:val="000000"/>
                <w:szCs w:val="22"/>
                <w:lang w:eastAsia="en-AU"/>
              </w:rPr>
              <w:t>Change in costs ($ million)</w:t>
            </w:r>
          </w:p>
        </w:tc>
        <w:tc>
          <w:tcPr>
            <w:tcW w:w="1985"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03F729D9" w14:textId="77777777">
            <w:pPr>
              <w:rPr>
                <w:rFonts w:cs="Arial"/>
                <w:color w:val="000000"/>
                <w:szCs w:val="22"/>
                <w:lang w:eastAsia="en-AU"/>
              </w:rPr>
            </w:pPr>
            <w:r w:rsidRPr="002563A9">
              <w:rPr>
                <w:rFonts w:cs="Arial"/>
                <w:color w:val="000000"/>
                <w:szCs w:val="22"/>
                <w:lang w:eastAsia="en-AU"/>
              </w:rPr>
              <w:t>Business</w:t>
            </w:r>
          </w:p>
        </w:tc>
        <w:tc>
          <w:tcPr>
            <w:tcW w:w="2126"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3C0D2A45" w14:textId="77777777">
            <w:pPr>
              <w:rPr>
                <w:rFonts w:cs="Arial"/>
                <w:color w:val="000000"/>
                <w:szCs w:val="22"/>
                <w:lang w:eastAsia="en-AU"/>
              </w:rPr>
            </w:pPr>
            <w:r w:rsidRPr="002563A9">
              <w:rPr>
                <w:rFonts w:cs="Arial"/>
                <w:color w:val="000000"/>
                <w:szCs w:val="22"/>
                <w:lang w:eastAsia="en-AU"/>
              </w:rPr>
              <w:t>Community organisations</w:t>
            </w:r>
          </w:p>
        </w:tc>
        <w:tc>
          <w:tcPr>
            <w:tcW w:w="1559"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601B7AFF" w14:textId="77777777">
            <w:pPr>
              <w:rPr>
                <w:rFonts w:cs="Arial"/>
                <w:color w:val="000000"/>
                <w:szCs w:val="22"/>
                <w:lang w:eastAsia="en-AU"/>
              </w:rPr>
            </w:pPr>
            <w:r w:rsidRPr="002563A9">
              <w:rPr>
                <w:rFonts w:cs="Arial"/>
                <w:color w:val="000000"/>
                <w:szCs w:val="22"/>
                <w:lang w:eastAsia="en-AU"/>
              </w:rPr>
              <w:t>Individuals</w:t>
            </w:r>
          </w:p>
        </w:tc>
        <w:tc>
          <w:tcPr>
            <w:tcW w:w="1866"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194A71FD" w14:textId="77777777">
            <w:pPr>
              <w:rPr>
                <w:rFonts w:cs="Arial"/>
                <w:color w:val="000000"/>
                <w:szCs w:val="22"/>
                <w:lang w:eastAsia="en-AU"/>
              </w:rPr>
            </w:pPr>
            <w:r w:rsidRPr="002563A9">
              <w:rPr>
                <w:rFonts w:cs="Arial"/>
                <w:color w:val="000000"/>
                <w:szCs w:val="22"/>
                <w:lang w:eastAsia="en-AU"/>
              </w:rPr>
              <w:t>Total change in costs</w:t>
            </w:r>
          </w:p>
        </w:tc>
      </w:tr>
      <w:tr w:rsidRPr="00270230" w:rsidR="00C628C7" w:rsidTr="004E6D83" w14:paraId="36A78E47" w14:textId="77777777">
        <w:trPr>
          <w:trHeight w:val="300"/>
        </w:trPr>
        <w:tc>
          <w:tcPr>
            <w:tcW w:w="1838" w:type="dxa"/>
            <w:tcBorders>
              <w:top w:val="nil"/>
              <w:left w:val="single" w:color="auto" w:sz="4" w:space="0"/>
              <w:bottom w:val="single" w:color="auto" w:sz="4" w:space="0"/>
              <w:right w:val="single" w:color="auto" w:sz="4" w:space="0"/>
            </w:tcBorders>
            <w:shd w:val="clear" w:color="auto" w:fill="auto"/>
            <w:noWrap/>
            <w:vAlign w:val="bottom"/>
            <w:hideMark/>
          </w:tcPr>
          <w:p w:rsidRPr="002563A9" w:rsidR="00C628C7" w:rsidP="004E6D83" w:rsidRDefault="00C628C7" w14:paraId="21E59008" w14:textId="77777777">
            <w:pPr>
              <w:rPr>
                <w:rFonts w:cs="Arial"/>
                <w:color w:val="000000"/>
                <w:szCs w:val="22"/>
                <w:lang w:eastAsia="en-AU"/>
              </w:rPr>
            </w:pPr>
            <w:r w:rsidRPr="002563A9">
              <w:rPr>
                <w:rFonts w:cs="Arial"/>
                <w:color w:val="000000"/>
                <w:szCs w:val="22"/>
                <w:lang w:eastAsia="en-AU"/>
              </w:rPr>
              <w:t>Total, by sector</w:t>
            </w:r>
          </w:p>
        </w:tc>
        <w:tc>
          <w:tcPr>
            <w:tcW w:w="1985"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7ED351F4" w14:textId="77777777">
            <w:pPr>
              <w:jc w:val="center"/>
              <w:rPr>
                <w:rFonts w:ascii="Calibri" w:hAnsi="Calibri" w:cs="Calibri"/>
                <w:color w:val="000000"/>
                <w:szCs w:val="22"/>
                <w:lang w:eastAsia="en-AU"/>
              </w:rPr>
            </w:pPr>
            <w:r w:rsidRPr="002563A9">
              <w:t>$6.55m</w:t>
            </w:r>
          </w:p>
        </w:tc>
        <w:tc>
          <w:tcPr>
            <w:tcW w:w="2126"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0BFBEFAF" w14:textId="77777777">
            <w:pPr>
              <w:jc w:val="center"/>
            </w:pPr>
            <w:r w:rsidRPr="002563A9">
              <w:t>$0</w:t>
            </w:r>
          </w:p>
        </w:tc>
        <w:tc>
          <w:tcPr>
            <w:tcW w:w="1559"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5B26D1BB" w14:textId="77777777">
            <w:pPr>
              <w:jc w:val="center"/>
            </w:pPr>
            <w:r w:rsidRPr="00D66F1B">
              <w:t>-$2</w:t>
            </w:r>
            <w:r w:rsidRPr="002563A9">
              <w:t>.21m</w:t>
            </w:r>
          </w:p>
        </w:tc>
        <w:tc>
          <w:tcPr>
            <w:tcW w:w="1866" w:type="dxa"/>
            <w:tcBorders>
              <w:top w:val="nil"/>
              <w:left w:val="nil"/>
              <w:bottom w:val="single" w:color="auto" w:sz="4" w:space="0"/>
              <w:right w:val="single" w:color="auto" w:sz="4" w:space="0"/>
            </w:tcBorders>
            <w:shd w:val="clear" w:color="auto" w:fill="auto"/>
            <w:noWrap/>
            <w:vAlign w:val="bottom"/>
            <w:hideMark/>
          </w:tcPr>
          <w:p w:rsidRPr="002563A9" w:rsidR="00C628C7" w:rsidP="004E6D83" w:rsidRDefault="00C628C7" w14:paraId="7B48E5DF" w14:textId="77777777">
            <w:pPr>
              <w:jc w:val="center"/>
              <w:rPr>
                <w:rFonts w:ascii="Calibri" w:hAnsi="Calibri" w:cs="Calibri"/>
                <w:b/>
                <w:bCs/>
                <w:szCs w:val="22"/>
                <w:lang w:eastAsia="en-AU"/>
              </w:rPr>
            </w:pPr>
            <w:r w:rsidRPr="002563A9">
              <w:rPr>
                <w:b/>
              </w:rPr>
              <w:t>$4.34m</w:t>
            </w:r>
          </w:p>
        </w:tc>
      </w:tr>
      <w:bookmarkEnd w:id="2"/>
    </w:tbl>
    <w:p w:rsidR="00C628C7" w:rsidP="00C628C7" w:rsidRDefault="00C628C7" w14:paraId="550A13C8" w14:textId="77777777"/>
    <w:p w:rsidR="00C628C7" w:rsidP="00C628C7" w:rsidRDefault="00C628C7" w14:paraId="7EA5BF43" w14:textId="77777777"/>
    <w:sectPr w:rsidR="00C628C7" w:rsidSect="00A74345">
      <w:headerReference w:type="default" r:id="rId14"/>
      <w:pgSz w:w="11906" w:h="16838" w:orient="portrait"/>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E167" w16cex:dateUtc="2023-01-19T04:33:00Z"/>
  <w16cex:commentExtensible w16cex:durableId="27710053" w16cex:dateUtc="2023-01-17T00:09:00Z"/>
  <w16cex:commentExtensible w16cex:durableId="2773E4B5" w16cex:dateUtc="2023-01-19T04:48:00Z"/>
  <w16cex:commentExtensible w16cex:durableId="2773E1BA" w16cex:dateUtc="2023-01-19T04:35:00Z"/>
  <w16cex:commentExtensible w16cex:durableId="2773E216" w16cex:dateUtc="2023-01-19T04:36:00Z"/>
  <w16cex:commentExtensible w16cex:durableId="2773E1DF" w16cex:dateUtc="2023-01-19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EC478" w16cid:durableId="2773E167"/>
  <w16cid:commentId w16cid:paraId="22DD4C6D" w16cid:durableId="27710053"/>
  <w16cid:commentId w16cid:paraId="4AC43792" w16cid:durableId="2773E4B5"/>
  <w16cid:commentId w16cid:paraId="14C99F00" w16cid:durableId="2773E1BA"/>
  <w16cid:commentId w16cid:paraId="03DD3695" w16cid:durableId="2773E216"/>
  <w16cid:commentId w16cid:paraId="250FB244" w16cid:durableId="2773E1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DB" w:rsidP="006B56BB" w:rsidRDefault="003C3BDB" w14:paraId="5EDFEBA1" w14:textId="77777777">
      <w:r>
        <w:separator/>
      </w:r>
    </w:p>
    <w:p w:rsidR="003C3BDB" w:rsidRDefault="003C3BDB" w14:paraId="4F5F605F" w14:textId="77777777"/>
  </w:endnote>
  <w:endnote w:type="continuationSeparator" w:id="0">
    <w:p w:rsidR="003C3BDB" w:rsidP="006B56BB" w:rsidRDefault="003C3BDB" w14:paraId="542B958C" w14:textId="77777777">
      <w:r>
        <w:continuationSeparator/>
      </w:r>
    </w:p>
    <w:p w:rsidR="003C3BDB" w:rsidRDefault="003C3BDB" w14:paraId="27150D4D" w14:textId="77777777"/>
  </w:endnote>
  <w:endnote w:type="continuationNotice" w:id="1">
    <w:p w:rsidR="003C3BDB" w:rsidRDefault="003C3BDB" w14:paraId="7EDFE8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82" w:rsidRDefault="00026482" w14:paraId="0705EE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99289"/>
      <w:docPartObj>
        <w:docPartGallery w:val="Page Numbers (Bottom of Page)"/>
        <w:docPartUnique/>
      </w:docPartObj>
    </w:sdtPr>
    <w:sdtEndPr>
      <w:rPr>
        <w:noProof/>
      </w:rPr>
    </w:sdtEndPr>
    <w:sdtContent>
      <w:p w:rsidR="00C628C7" w:rsidRDefault="00C628C7" w14:paraId="69CB23AF" w14:textId="5F6E1B10">
        <w:pPr>
          <w:pStyle w:val="Footer"/>
          <w:jc w:val="right"/>
        </w:pPr>
        <w:r>
          <w:fldChar w:fldCharType="begin"/>
        </w:r>
        <w:r>
          <w:instrText xml:space="preserve"> PAGE   \* MERGEFORMAT </w:instrText>
        </w:r>
        <w:r>
          <w:fldChar w:fldCharType="separate"/>
        </w:r>
        <w:r w:rsidR="00026482">
          <w:rPr>
            <w:noProof/>
          </w:rPr>
          <w:t>4</w:t>
        </w:r>
        <w:r>
          <w:rPr>
            <w:noProof/>
          </w:rPr>
          <w:fldChar w:fldCharType="end"/>
        </w:r>
      </w:p>
    </w:sdtContent>
  </w:sdt>
  <w:p w:rsidR="00C628C7" w:rsidRDefault="00C628C7" w14:paraId="3124D4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82" w:rsidRDefault="00026482" w14:paraId="78261A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DB" w:rsidP="006B56BB" w:rsidRDefault="003C3BDB" w14:paraId="01FFB3EA" w14:textId="77777777">
      <w:r>
        <w:separator/>
      </w:r>
    </w:p>
    <w:p w:rsidR="003C3BDB" w:rsidRDefault="003C3BDB" w14:paraId="49A5CB42" w14:textId="77777777"/>
  </w:footnote>
  <w:footnote w:type="continuationSeparator" w:id="0">
    <w:p w:rsidR="003C3BDB" w:rsidP="006B56BB" w:rsidRDefault="003C3BDB" w14:paraId="02ECB691" w14:textId="77777777">
      <w:r>
        <w:continuationSeparator/>
      </w:r>
    </w:p>
    <w:p w:rsidR="003C3BDB" w:rsidRDefault="003C3BDB" w14:paraId="4E249CC9" w14:textId="77777777"/>
  </w:footnote>
  <w:footnote w:type="continuationNotice" w:id="1">
    <w:p w:rsidR="003C3BDB" w:rsidRDefault="003C3BDB" w14:paraId="21284D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82" w:rsidRDefault="00026482" w14:paraId="3ACD22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82" w:rsidRDefault="00026482" w14:paraId="6E5F3A6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628C7" w:rsidRDefault="00C628C7" w14:paraId="4F72AE1B" w14:textId="77777777">
    <w:pPr>
      <w:pStyle w:val="Header"/>
    </w:pPr>
    <w:r>
      <w:rPr>
        <w:noProof/>
        <w:sz w:val="28"/>
        <w:szCs w:val="28"/>
        <w:lang w:eastAsia="en-AU"/>
      </w:rPr>
      <w:drawing>
        <wp:inline distT="0" distB="0" distL="0" distR="0" wp14:anchorId="79E2CBA0" wp14:editId="0CAAB59F">
          <wp:extent cx="1583141" cy="717936"/>
          <wp:effectExtent l="0" t="0" r="0" b="6350"/>
          <wp:docPr id="5" name="Picture 5"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814" cy="749985"/>
                  </a:xfrm>
                  <a:prstGeom prst="rect">
                    <a:avLst/>
                  </a:prstGeom>
                </pic:spPr>
              </pic:pic>
            </a:graphicData>
          </a:graphic>
        </wp:inline>
      </w:drawing>
    </w:r>
    <w:r>
      <w:rPr>
        <w:noProof/>
        <w:lang w:eastAsia="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73E8B" w:rsidP="008E0C77" w:rsidRDefault="00A73E8B" w14:paraId="4F7CC457" w14:textId="77777777">
    <w:pPr>
      <w:pStyle w:val="Headertext"/>
      <w:spacing w:after="180"/>
      <w:jc w:val="left"/>
    </w:pPr>
    <w:r>
      <w:rPr>
        <w:noProof/>
        <w:lang w:eastAsia="en-AU"/>
      </w:rPr>
      <w:drawing>
        <wp:inline distT="0" distB="0" distL="0" distR="0" wp14:anchorId="0C0653A1" wp14:editId="69C30A2C">
          <wp:extent cx="1816735" cy="822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822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46D14"/>
    <w:multiLevelType w:val="hybridMultilevel"/>
    <w:tmpl w:val="C6AEAF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3F50ADC"/>
    <w:multiLevelType w:val="hybridMultilevel"/>
    <w:tmpl w:val="58BA6932"/>
    <w:lvl w:ilvl="0" w:tplc="508C6B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17469"/>
    <w:multiLevelType w:val="hybridMultilevel"/>
    <w:tmpl w:val="7870E18C"/>
    <w:lvl w:ilvl="0" w:tplc="0C09000F">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D1E99"/>
    <w:multiLevelType w:val="hybridMultilevel"/>
    <w:tmpl w:val="070EF4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E8B0F34"/>
    <w:multiLevelType w:val="hybridMultilevel"/>
    <w:tmpl w:val="C8F017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3363506"/>
    <w:multiLevelType w:val="hybridMultilevel"/>
    <w:tmpl w:val="9FEA7CEA"/>
    <w:lvl w:ilvl="0" w:tplc="E96C518A">
      <w:start w:val="1"/>
      <w:numFmt w:val="bullet"/>
      <w:pStyle w:val="ListBullet"/>
      <w:lvlText w:val=""/>
      <w:lvlJc w:val="left"/>
      <w:pPr>
        <w:ind w:left="36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4E132ED"/>
    <w:multiLevelType w:val="hybridMultilevel"/>
    <w:tmpl w:val="CBE6C0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770210F"/>
    <w:multiLevelType w:val="hybridMultilevel"/>
    <w:tmpl w:val="1B8E7A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AD5D81"/>
    <w:multiLevelType w:val="hybridMultilevel"/>
    <w:tmpl w:val="07104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CD50FD"/>
    <w:multiLevelType w:val="hybridMultilevel"/>
    <w:tmpl w:val="2EC6E5F4"/>
    <w:lvl w:ilvl="0" w:tplc="E1921B6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1" w15:restartNumberingAfterBreak="0">
    <w:nsid w:val="35967580"/>
    <w:multiLevelType w:val="hybridMultilevel"/>
    <w:tmpl w:val="365CD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AB5A5A"/>
    <w:multiLevelType w:val="hybridMultilevel"/>
    <w:tmpl w:val="F3640B8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61A0AEE"/>
    <w:multiLevelType w:val="hybridMultilevel"/>
    <w:tmpl w:val="F00819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CCFC666C">
      <w:numFmt w:val="bullet"/>
      <w:lvlText w:val="-"/>
      <w:lvlJc w:val="left"/>
      <w:pPr>
        <w:ind w:left="2160" w:hanging="360"/>
      </w:pPr>
      <w:rPr>
        <w:rFonts w:hint="default" w:ascii="Arial" w:hAnsi="Arial" w:cs="Arial" w:eastAsiaTheme="minorHAnsi"/>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6B856E3"/>
    <w:multiLevelType w:val="hybridMultilevel"/>
    <w:tmpl w:val="BD5AC136"/>
    <w:lvl w:ilvl="0" w:tplc="2C0C3634">
      <w:start w:val="1"/>
      <w:numFmt w:val="decimal"/>
      <w:lvlText w:val="%1."/>
      <w:lvlJc w:val="left"/>
      <w:pPr>
        <w:ind w:left="483" w:hanging="360"/>
      </w:pPr>
      <w:rPr>
        <w:rFonts w:hint="default" w:ascii="Arial" w:hAnsi="Arial" w:eastAsia="Arial"/>
        <w:color w:val="4F4F4F"/>
        <w:w w:val="99"/>
        <w:sz w:val="21"/>
        <w:szCs w:val="21"/>
      </w:rPr>
    </w:lvl>
    <w:lvl w:ilvl="1" w:tplc="CEB0B404">
      <w:start w:val="1"/>
      <w:numFmt w:val="bullet"/>
      <w:lvlText w:val="•"/>
      <w:lvlJc w:val="left"/>
      <w:pPr>
        <w:ind w:left="1365" w:hanging="360"/>
      </w:pPr>
      <w:rPr>
        <w:rFonts w:hint="default"/>
      </w:rPr>
    </w:lvl>
    <w:lvl w:ilvl="2" w:tplc="96B05A12">
      <w:start w:val="1"/>
      <w:numFmt w:val="bullet"/>
      <w:lvlText w:val="•"/>
      <w:lvlJc w:val="left"/>
      <w:pPr>
        <w:ind w:left="2247" w:hanging="360"/>
      </w:pPr>
      <w:rPr>
        <w:rFonts w:hint="default"/>
      </w:rPr>
    </w:lvl>
    <w:lvl w:ilvl="3" w:tplc="F18AF47C">
      <w:start w:val="1"/>
      <w:numFmt w:val="bullet"/>
      <w:lvlText w:val="•"/>
      <w:lvlJc w:val="left"/>
      <w:pPr>
        <w:ind w:left="3129" w:hanging="360"/>
      </w:pPr>
      <w:rPr>
        <w:rFonts w:hint="default"/>
      </w:rPr>
    </w:lvl>
    <w:lvl w:ilvl="4" w:tplc="DBA6F7F8">
      <w:start w:val="1"/>
      <w:numFmt w:val="bullet"/>
      <w:lvlText w:val="•"/>
      <w:lvlJc w:val="left"/>
      <w:pPr>
        <w:ind w:left="4011" w:hanging="360"/>
      </w:pPr>
      <w:rPr>
        <w:rFonts w:hint="default"/>
      </w:rPr>
    </w:lvl>
    <w:lvl w:ilvl="5" w:tplc="9874418A">
      <w:start w:val="1"/>
      <w:numFmt w:val="bullet"/>
      <w:lvlText w:val="•"/>
      <w:lvlJc w:val="left"/>
      <w:pPr>
        <w:ind w:left="4893" w:hanging="360"/>
      </w:pPr>
      <w:rPr>
        <w:rFonts w:hint="default"/>
      </w:rPr>
    </w:lvl>
    <w:lvl w:ilvl="6" w:tplc="B5840FCE">
      <w:start w:val="1"/>
      <w:numFmt w:val="bullet"/>
      <w:lvlText w:val="•"/>
      <w:lvlJc w:val="left"/>
      <w:pPr>
        <w:ind w:left="5775" w:hanging="360"/>
      </w:pPr>
      <w:rPr>
        <w:rFonts w:hint="default"/>
      </w:rPr>
    </w:lvl>
    <w:lvl w:ilvl="7" w:tplc="D94CECE6">
      <w:start w:val="1"/>
      <w:numFmt w:val="bullet"/>
      <w:lvlText w:val="•"/>
      <w:lvlJc w:val="left"/>
      <w:pPr>
        <w:ind w:left="6657" w:hanging="360"/>
      </w:pPr>
      <w:rPr>
        <w:rFonts w:hint="default"/>
      </w:rPr>
    </w:lvl>
    <w:lvl w:ilvl="8" w:tplc="E7006F20">
      <w:start w:val="1"/>
      <w:numFmt w:val="bullet"/>
      <w:lvlText w:val="•"/>
      <w:lvlJc w:val="left"/>
      <w:pPr>
        <w:ind w:left="7539" w:hanging="360"/>
      </w:pPr>
      <w:rPr>
        <w:rFonts w:hint="default"/>
      </w:rPr>
    </w:lvl>
  </w:abstractNum>
  <w:abstractNum w:abstractNumId="15" w15:restartNumberingAfterBreak="0">
    <w:nsid w:val="4F971E5C"/>
    <w:multiLevelType w:val="hybridMultilevel"/>
    <w:tmpl w:val="BE960F9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37B564E"/>
    <w:multiLevelType w:val="hybridMultilevel"/>
    <w:tmpl w:val="8B641CF2"/>
    <w:lvl w:ilvl="0" w:tplc="0C090001">
      <w:start w:val="1"/>
      <w:numFmt w:val="bullet"/>
      <w:lvlText w:val=""/>
      <w:lvlJc w:val="left"/>
      <w:pPr>
        <w:ind w:left="360" w:hanging="360"/>
      </w:pPr>
      <w:rPr>
        <w:rFonts w:hint="default" w:ascii="Symbol" w:hAnsi="Symbol"/>
      </w:rPr>
    </w:lvl>
    <w:lvl w:ilvl="1" w:tplc="0C090001">
      <w:start w:val="1"/>
      <w:numFmt w:val="bullet"/>
      <w:lvlText w:val=""/>
      <w:lvlJc w:val="left"/>
      <w:pPr>
        <w:ind w:left="1080" w:hanging="360"/>
      </w:pPr>
      <w:rPr>
        <w:rFonts w:hint="default" w:ascii="Symbol" w:hAnsi="Symbol"/>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8" w15:restartNumberingAfterBreak="0">
    <w:nsid w:val="5A274146"/>
    <w:multiLevelType w:val="hybridMultilevel"/>
    <w:tmpl w:val="FA6EDC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1D7E57"/>
    <w:multiLevelType w:val="hybridMultilevel"/>
    <w:tmpl w:val="2F7C1C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664F6"/>
    <w:multiLevelType w:val="hybridMultilevel"/>
    <w:tmpl w:val="05E0E45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DED6F2A"/>
    <w:multiLevelType w:val="hybridMultilevel"/>
    <w:tmpl w:val="4EE62F38"/>
    <w:lvl w:ilvl="0" w:tplc="1BBC7C56">
      <w:start w:val="1"/>
      <w:numFmt w:val="decimal"/>
      <w:lvlText w:val="%1."/>
      <w:lvlJc w:val="left"/>
      <w:pPr>
        <w:ind w:left="360" w:hanging="360"/>
      </w:pPr>
    </w:lvl>
    <w:lvl w:ilvl="1" w:tplc="7E62E44C">
      <w:start w:val="1"/>
      <w:numFmt w:val="lowerLetter"/>
      <w:lvlText w:val="(%2)"/>
      <w:lvlJc w:val="left"/>
      <w:pPr>
        <w:ind w:left="1080" w:hanging="360"/>
      </w:pPr>
      <w:rPr>
        <w:rFonts w:hint="default"/>
      </w:rPr>
    </w:lvl>
    <w:lvl w:ilvl="2" w:tplc="C78CD0DE">
      <w:start w:val="1"/>
      <w:numFmt w:val="lowerRoman"/>
      <w:lvlText w:val="%3."/>
      <w:lvlJc w:val="right"/>
      <w:pPr>
        <w:ind w:left="1800" w:hanging="180"/>
      </w:pPr>
    </w:lvl>
    <w:lvl w:ilvl="3" w:tplc="69566DC0">
      <w:start w:val="1"/>
      <w:numFmt w:val="decimal"/>
      <w:lvlText w:val="%4."/>
      <w:lvlJc w:val="left"/>
      <w:pPr>
        <w:ind w:left="2520" w:hanging="360"/>
      </w:pPr>
    </w:lvl>
    <w:lvl w:ilvl="4" w:tplc="D1ECC5D4" w:tentative="1">
      <w:start w:val="1"/>
      <w:numFmt w:val="lowerLetter"/>
      <w:lvlText w:val="%5."/>
      <w:lvlJc w:val="left"/>
      <w:pPr>
        <w:ind w:left="3240" w:hanging="360"/>
      </w:pPr>
    </w:lvl>
    <w:lvl w:ilvl="5" w:tplc="055CECF6" w:tentative="1">
      <w:start w:val="1"/>
      <w:numFmt w:val="lowerRoman"/>
      <w:lvlText w:val="%6."/>
      <w:lvlJc w:val="right"/>
      <w:pPr>
        <w:ind w:left="3960" w:hanging="180"/>
      </w:pPr>
    </w:lvl>
    <w:lvl w:ilvl="6" w:tplc="4C44372A" w:tentative="1">
      <w:start w:val="1"/>
      <w:numFmt w:val="decimal"/>
      <w:lvlText w:val="%7."/>
      <w:lvlJc w:val="left"/>
      <w:pPr>
        <w:ind w:left="4680" w:hanging="360"/>
      </w:pPr>
    </w:lvl>
    <w:lvl w:ilvl="7" w:tplc="AA76DD0E" w:tentative="1">
      <w:start w:val="1"/>
      <w:numFmt w:val="lowerLetter"/>
      <w:lvlText w:val="%8."/>
      <w:lvlJc w:val="left"/>
      <w:pPr>
        <w:ind w:left="5400" w:hanging="360"/>
      </w:pPr>
    </w:lvl>
    <w:lvl w:ilvl="8" w:tplc="1884C25C" w:tentative="1">
      <w:start w:val="1"/>
      <w:numFmt w:val="lowerRoman"/>
      <w:lvlText w:val="%9."/>
      <w:lvlJc w:val="right"/>
      <w:pPr>
        <w:ind w:left="6120" w:hanging="180"/>
      </w:pPr>
    </w:lvl>
  </w:abstractNum>
  <w:abstractNum w:abstractNumId="23" w15:restartNumberingAfterBreak="0">
    <w:nsid w:val="6F3F1BE0"/>
    <w:multiLevelType w:val="multilevel"/>
    <w:tmpl w:val="0BE6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2635A5"/>
    <w:multiLevelType w:val="hybridMultilevel"/>
    <w:tmpl w:val="EB5473CC"/>
    <w:lvl w:ilvl="0" w:tplc="7AE40C78">
      <w:start w:val="1"/>
      <w:numFmt w:val="bullet"/>
      <w:lvlText w:val=""/>
      <w:lvlJc w:val="left"/>
      <w:pPr>
        <w:ind w:left="360" w:hanging="360"/>
      </w:pPr>
      <w:rPr>
        <w:rFonts w:hint="default" w:ascii="Symbol" w:hAnsi="Symbol"/>
      </w:rPr>
    </w:lvl>
    <w:lvl w:ilvl="1" w:tplc="B9047CE4">
      <w:start w:val="1"/>
      <w:numFmt w:val="bullet"/>
      <w:lvlText w:val="o"/>
      <w:lvlJc w:val="left"/>
      <w:pPr>
        <w:ind w:left="1440" w:hanging="360"/>
      </w:pPr>
      <w:rPr>
        <w:rFonts w:hint="default" w:ascii="Courier New" w:hAnsi="Courier New" w:cs="Courier New"/>
        <w:color w:val="auto"/>
      </w:rPr>
    </w:lvl>
    <w:lvl w:ilvl="2" w:tplc="9DC65EBA">
      <w:start w:val="1"/>
      <w:numFmt w:val="bullet"/>
      <w:lvlText w:val=""/>
      <w:lvlJc w:val="left"/>
      <w:pPr>
        <w:ind w:left="2160" w:hanging="360"/>
      </w:pPr>
      <w:rPr>
        <w:rFonts w:hint="default" w:ascii="Wingdings" w:hAnsi="Wingdings"/>
      </w:rPr>
    </w:lvl>
    <w:lvl w:ilvl="3" w:tplc="98AEF4D4">
      <w:start w:val="1"/>
      <w:numFmt w:val="bullet"/>
      <w:lvlText w:val=""/>
      <w:lvlJc w:val="left"/>
      <w:pPr>
        <w:ind w:left="2880" w:hanging="360"/>
      </w:pPr>
      <w:rPr>
        <w:rFonts w:hint="default" w:ascii="Symbol" w:hAnsi="Symbol"/>
      </w:rPr>
    </w:lvl>
    <w:lvl w:ilvl="4" w:tplc="32067F26">
      <w:start w:val="1"/>
      <w:numFmt w:val="bullet"/>
      <w:lvlText w:val="o"/>
      <w:lvlJc w:val="left"/>
      <w:pPr>
        <w:ind w:left="3600" w:hanging="360"/>
      </w:pPr>
      <w:rPr>
        <w:rFonts w:hint="default" w:ascii="Courier New" w:hAnsi="Courier New" w:cs="Courier New"/>
      </w:rPr>
    </w:lvl>
    <w:lvl w:ilvl="5" w:tplc="71F2E8D2">
      <w:start w:val="1"/>
      <w:numFmt w:val="bullet"/>
      <w:lvlText w:val=""/>
      <w:lvlJc w:val="left"/>
      <w:pPr>
        <w:ind w:left="4320" w:hanging="360"/>
      </w:pPr>
      <w:rPr>
        <w:rFonts w:hint="default" w:ascii="Wingdings" w:hAnsi="Wingdings"/>
      </w:rPr>
    </w:lvl>
    <w:lvl w:ilvl="6" w:tplc="60AC1518">
      <w:start w:val="1"/>
      <w:numFmt w:val="bullet"/>
      <w:lvlText w:val=""/>
      <w:lvlJc w:val="left"/>
      <w:pPr>
        <w:ind w:left="5040" w:hanging="360"/>
      </w:pPr>
      <w:rPr>
        <w:rFonts w:hint="default" w:ascii="Symbol" w:hAnsi="Symbol"/>
      </w:rPr>
    </w:lvl>
    <w:lvl w:ilvl="7" w:tplc="AB60101E">
      <w:start w:val="1"/>
      <w:numFmt w:val="bullet"/>
      <w:lvlText w:val="o"/>
      <w:lvlJc w:val="left"/>
      <w:pPr>
        <w:ind w:left="5760" w:hanging="360"/>
      </w:pPr>
      <w:rPr>
        <w:rFonts w:hint="default" w:ascii="Courier New" w:hAnsi="Courier New" w:cs="Courier New"/>
      </w:rPr>
    </w:lvl>
    <w:lvl w:ilvl="8" w:tplc="D1286C14">
      <w:start w:val="1"/>
      <w:numFmt w:val="bullet"/>
      <w:lvlText w:val=""/>
      <w:lvlJc w:val="left"/>
      <w:pPr>
        <w:ind w:left="6480" w:hanging="360"/>
      </w:pPr>
      <w:rPr>
        <w:rFonts w:hint="default" w:ascii="Wingdings" w:hAnsi="Wingdings"/>
      </w:rPr>
    </w:lvl>
  </w:abstractNum>
  <w:abstractNum w:abstractNumId="25" w15:restartNumberingAfterBreak="0">
    <w:nsid w:val="7D671E28"/>
    <w:multiLevelType w:val="hybridMultilevel"/>
    <w:tmpl w:val="1EF61D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7" w15:restartNumberingAfterBreak="0">
    <w:nsid w:val="7F2745CC"/>
    <w:multiLevelType w:val="hybridMultilevel"/>
    <w:tmpl w:val="E3A4CA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FC7571B"/>
    <w:multiLevelType w:val="hybridMultilevel"/>
    <w:tmpl w:val="A9DCFE12"/>
    <w:lvl w:ilvl="0" w:tplc="E95E3D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21"/>
  </w:num>
  <w:num w:numId="3">
    <w:abstractNumId w:val="0"/>
  </w:num>
  <w:num w:numId="4">
    <w:abstractNumId w:val="26"/>
  </w:num>
  <w:num w:numId="5">
    <w:abstractNumId w:val="6"/>
  </w:num>
  <w:num w:numId="6">
    <w:abstractNumId w:val="10"/>
  </w:num>
  <w:num w:numId="7">
    <w:abstractNumId w:val="14"/>
  </w:num>
  <w:num w:numId="8">
    <w:abstractNumId w:val="1"/>
  </w:num>
  <w:num w:numId="9">
    <w:abstractNumId w:val="5"/>
  </w:num>
  <w:num w:numId="10">
    <w:abstractNumId w:val="4"/>
  </w:num>
  <w:num w:numId="11">
    <w:abstractNumId w:val="12"/>
  </w:num>
  <w:num w:numId="12">
    <w:abstractNumId w:val="9"/>
  </w:num>
  <w:num w:numId="13">
    <w:abstractNumId w:val="25"/>
  </w:num>
  <w:num w:numId="14">
    <w:abstractNumId w:val="7"/>
  </w:num>
  <w:num w:numId="15">
    <w:abstractNumId w:val="27"/>
  </w:num>
  <w:num w:numId="16">
    <w:abstractNumId w:val="1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28"/>
  </w:num>
  <w:num w:numId="21">
    <w:abstractNumId w:val="13"/>
  </w:num>
  <w:num w:numId="22">
    <w:abstractNumId w:val="1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20"/>
  </w:num>
  <w:num w:numId="29">
    <w:abstractNumId w:val="22"/>
  </w:num>
  <w:num w:numId="30">
    <w:abstractNumId w:val="24"/>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hideSpellingErrors/>
  <w:hideGrammaticalErrors/>
  <w:proofState w:spelling="clean" w:grammar="dirty"/>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8B"/>
    <w:rsid w:val="00003743"/>
    <w:rsid w:val="000047B4"/>
    <w:rsid w:val="00005712"/>
    <w:rsid w:val="0000780B"/>
    <w:rsid w:val="00007FD8"/>
    <w:rsid w:val="000117F8"/>
    <w:rsid w:val="00012A15"/>
    <w:rsid w:val="00022EF6"/>
    <w:rsid w:val="000249CD"/>
    <w:rsid w:val="00024E96"/>
    <w:rsid w:val="00026139"/>
    <w:rsid w:val="00026482"/>
    <w:rsid w:val="00027071"/>
    <w:rsid w:val="00027601"/>
    <w:rsid w:val="00031DF5"/>
    <w:rsid w:val="000321B9"/>
    <w:rsid w:val="00033321"/>
    <w:rsid w:val="000338E5"/>
    <w:rsid w:val="00033ECC"/>
    <w:rsid w:val="0003422F"/>
    <w:rsid w:val="00034AF0"/>
    <w:rsid w:val="00035E72"/>
    <w:rsid w:val="00043965"/>
    <w:rsid w:val="000444A0"/>
    <w:rsid w:val="00044B62"/>
    <w:rsid w:val="00046FF0"/>
    <w:rsid w:val="00047864"/>
    <w:rsid w:val="00050176"/>
    <w:rsid w:val="000509E2"/>
    <w:rsid w:val="000544C3"/>
    <w:rsid w:val="00062B47"/>
    <w:rsid w:val="00062B65"/>
    <w:rsid w:val="000637D1"/>
    <w:rsid w:val="00066BD2"/>
    <w:rsid w:val="00067456"/>
    <w:rsid w:val="00071506"/>
    <w:rsid w:val="0007154F"/>
    <w:rsid w:val="000722CF"/>
    <w:rsid w:val="000807F4"/>
    <w:rsid w:val="00081373"/>
    <w:rsid w:val="00081AB1"/>
    <w:rsid w:val="0008609C"/>
    <w:rsid w:val="00086106"/>
    <w:rsid w:val="00090316"/>
    <w:rsid w:val="000909EA"/>
    <w:rsid w:val="00090A57"/>
    <w:rsid w:val="00091759"/>
    <w:rsid w:val="00093381"/>
    <w:rsid w:val="00093981"/>
    <w:rsid w:val="00093CD9"/>
    <w:rsid w:val="000A0C2D"/>
    <w:rsid w:val="000A6FD9"/>
    <w:rsid w:val="000B067A"/>
    <w:rsid w:val="000B0F39"/>
    <w:rsid w:val="000B1540"/>
    <w:rsid w:val="000B1D1B"/>
    <w:rsid w:val="000B33FD"/>
    <w:rsid w:val="000B4636"/>
    <w:rsid w:val="000B4ABA"/>
    <w:rsid w:val="000C3D7D"/>
    <w:rsid w:val="000C40AD"/>
    <w:rsid w:val="000C4B16"/>
    <w:rsid w:val="000C50C3"/>
    <w:rsid w:val="000C6098"/>
    <w:rsid w:val="000C6764"/>
    <w:rsid w:val="000C73E7"/>
    <w:rsid w:val="000D0C95"/>
    <w:rsid w:val="000D21F6"/>
    <w:rsid w:val="000D2925"/>
    <w:rsid w:val="000D34FE"/>
    <w:rsid w:val="000D36C5"/>
    <w:rsid w:val="000D3DF9"/>
    <w:rsid w:val="000D42C3"/>
    <w:rsid w:val="000D4500"/>
    <w:rsid w:val="000D4926"/>
    <w:rsid w:val="000D67F2"/>
    <w:rsid w:val="000D7AEA"/>
    <w:rsid w:val="000E01A9"/>
    <w:rsid w:val="000E2C66"/>
    <w:rsid w:val="000E2DA2"/>
    <w:rsid w:val="000E3D34"/>
    <w:rsid w:val="000E6843"/>
    <w:rsid w:val="000E6CC4"/>
    <w:rsid w:val="000E6E7D"/>
    <w:rsid w:val="000F0DB9"/>
    <w:rsid w:val="000F123C"/>
    <w:rsid w:val="000F196B"/>
    <w:rsid w:val="000F2FED"/>
    <w:rsid w:val="000F6FE6"/>
    <w:rsid w:val="000F7C8E"/>
    <w:rsid w:val="00101E8A"/>
    <w:rsid w:val="001031F3"/>
    <w:rsid w:val="00104FAD"/>
    <w:rsid w:val="0010616D"/>
    <w:rsid w:val="00110478"/>
    <w:rsid w:val="00110937"/>
    <w:rsid w:val="00110C05"/>
    <w:rsid w:val="001114B5"/>
    <w:rsid w:val="0011711B"/>
    <w:rsid w:val="001179F6"/>
    <w:rsid w:val="00117F8A"/>
    <w:rsid w:val="00121B9B"/>
    <w:rsid w:val="00122ADC"/>
    <w:rsid w:val="001252A1"/>
    <w:rsid w:val="00130698"/>
    <w:rsid w:val="00130F59"/>
    <w:rsid w:val="0013160B"/>
    <w:rsid w:val="00132A41"/>
    <w:rsid w:val="00133EC0"/>
    <w:rsid w:val="00134EB9"/>
    <w:rsid w:val="00136D17"/>
    <w:rsid w:val="00141CE5"/>
    <w:rsid w:val="00144908"/>
    <w:rsid w:val="00147757"/>
    <w:rsid w:val="001528F2"/>
    <w:rsid w:val="001571C7"/>
    <w:rsid w:val="00157660"/>
    <w:rsid w:val="00161094"/>
    <w:rsid w:val="00164D74"/>
    <w:rsid w:val="001723C0"/>
    <w:rsid w:val="00172A55"/>
    <w:rsid w:val="00173990"/>
    <w:rsid w:val="00173CD7"/>
    <w:rsid w:val="00174FEB"/>
    <w:rsid w:val="001758CD"/>
    <w:rsid w:val="00176343"/>
    <w:rsid w:val="0017665C"/>
    <w:rsid w:val="0017700D"/>
    <w:rsid w:val="00177AD2"/>
    <w:rsid w:val="0018042E"/>
    <w:rsid w:val="001815A8"/>
    <w:rsid w:val="00183D66"/>
    <w:rsid w:val="001840FA"/>
    <w:rsid w:val="00187529"/>
    <w:rsid w:val="00190079"/>
    <w:rsid w:val="0019240D"/>
    <w:rsid w:val="0019275C"/>
    <w:rsid w:val="00192EC0"/>
    <w:rsid w:val="001930D0"/>
    <w:rsid w:val="0019622E"/>
    <w:rsid w:val="001966A7"/>
    <w:rsid w:val="00196776"/>
    <w:rsid w:val="001A08B2"/>
    <w:rsid w:val="001A0DE3"/>
    <w:rsid w:val="001A3CD5"/>
    <w:rsid w:val="001A4627"/>
    <w:rsid w:val="001A4979"/>
    <w:rsid w:val="001A5418"/>
    <w:rsid w:val="001B12BC"/>
    <w:rsid w:val="001B15D3"/>
    <w:rsid w:val="001B3443"/>
    <w:rsid w:val="001B4C66"/>
    <w:rsid w:val="001B7B43"/>
    <w:rsid w:val="001C0326"/>
    <w:rsid w:val="001C0EE8"/>
    <w:rsid w:val="001C192F"/>
    <w:rsid w:val="001C2D89"/>
    <w:rsid w:val="001C33F2"/>
    <w:rsid w:val="001C3C42"/>
    <w:rsid w:val="001C50B1"/>
    <w:rsid w:val="001D267F"/>
    <w:rsid w:val="001D716A"/>
    <w:rsid w:val="001D7869"/>
    <w:rsid w:val="001E333C"/>
    <w:rsid w:val="001E35E9"/>
    <w:rsid w:val="001E44A7"/>
    <w:rsid w:val="001F1592"/>
    <w:rsid w:val="001F2C23"/>
    <w:rsid w:val="001F2F78"/>
    <w:rsid w:val="001F33F9"/>
    <w:rsid w:val="001F488F"/>
    <w:rsid w:val="001F6AF0"/>
    <w:rsid w:val="001F6DA5"/>
    <w:rsid w:val="00201DFF"/>
    <w:rsid w:val="002026CD"/>
    <w:rsid w:val="002033FC"/>
    <w:rsid w:val="002044BB"/>
    <w:rsid w:val="00204568"/>
    <w:rsid w:val="00207FA4"/>
    <w:rsid w:val="00210B09"/>
    <w:rsid w:val="00210C9E"/>
    <w:rsid w:val="00211840"/>
    <w:rsid w:val="00213EBD"/>
    <w:rsid w:val="00217C8D"/>
    <w:rsid w:val="00220170"/>
    <w:rsid w:val="00220E5F"/>
    <w:rsid w:val="002212B5"/>
    <w:rsid w:val="00224F6B"/>
    <w:rsid w:val="00225614"/>
    <w:rsid w:val="00226668"/>
    <w:rsid w:val="00231017"/>
    <w:rsid w:val="00233809"/>
    <w:rsid w:val="00235B40"/>
    <w:rsid w:val="00240046"/>
    <w:rsid w:val="002407FC"/>
    <w:rsid w:val="00241416"/>
    <w:rsid w:val="0024401E"/>
    <w:rsid w:val="0024484F"/>
    <w:rsid w:val="00246A3F"/>
    <w:rsid w:val="0024797F"/>
    <w:rsid w:val="0025119E"/>
    <w:rsid w:val="00251269"/>
    <w:rsid w:val="00251AB6"/>
    <w:rsid w:val="0025307B"/>
    <w:rsid w:val="002535C0"/>
    <w:rsid w:val="002563A9"/>
    <w:rsid w:val="002579FE"/>
    <w:rsid w:val="0026053F"/>
    <w:rsid w:val="0026311C"/>
    <w:rsid w:val="00265FDB"/>
    <w:rsid w:val="0026668C"/>
    <w:rsid w:val="00266AC1"/>
    <w:rsid w:val="00270230"/>
    <w:rsid w:val="0027178C"/>
    <w:rsid w:val="002719FA"/>
    <w:rsid w:val="00271C7E"/>
    <w:rsid w:val="00272668"/>
    <w:rsid w:val="0027330B"/>
    <w:rsid w:val="00274607"/>
    <w:rsid w:val="002803AD"/>
    <w:rsid w:val="00282052"/>
    <w:rsid w:val="002833C9"/>
    <w:rsid w:val="0028519E"/>
    <w:rsid w:val="002856A5"/>
    <w:rsid w:val="002872ED"/>
    <w:rsid w:val="002905C2"/>
    <w:rsid w:val="00295AF2"/>
    <w:rsid w:val="00295C91"/>
    <w:rsid w:val="0029619B"/>
    <w:rsid w:val="00297151"/>
    <w:rsid w:val="002A239A"/>
    <w:rsid w:val="002A4261"/>
    <w:rsid w:val="002B0A5B"/>
    <w:rsid w:val="002B20E6"/>
    <w:rsid w:val="002B29C2"/>
    <w:rsid w:val="002B42A3"/>
    <w:rsid w:val="002B46DB"/>
    <w:rsid w:val="002B5949"/>
    <w:rsid w:val="002B5955"/>
    <w:rsid w:val="002C0198"/>
    <w:rsid w:val="002C0CDD"/>
    <w:rsid w:val="002C19B8"/>
    <w:rsid w:val="002C3643"/>
    <w:rsid w:val="002D07F6"/>
    <w:rsid w:val="002D0842"/>
    <w:rsid w:val="002D0CDA"/>
    <w:rsid w:val="002D1664"/>
    <w:rsid w:val="002D230F"/>
    <w:rsid w:val="002D2E41"/>
    <w:rsid w:val="002D69E5"/>
    <w:rsid w:val="002E1A1D"/>
    <w:rsid w:val="002E4081"/>
    <w:rsid w:val="002E5B78"/>
    <w:rsid w:val="002E6808"/>
    <w:rsid w:val="002F1C4D"/>
    <w:rsid w:val="002F3AE3"/>
    <w:rsid w:val="002F409A"/>
    <w:rsid w:val="00300D06"/>
    <w:rsid w:val="0030147E"/>
    <w:rsid w:val="00302B58"/>
    <w:rsid w:val="00302C94"/>
    <w:rsid w:val="00303394"/>
    <w:rsid w:val="0030464B"/>
    <w:rsid w:val="0030646F"/>
    <w:rsid w:val="0030699B"/>
    <w:rsid w:val="00306B09"/>
    <w:rsid w:val="0030786C"/>
    <w:rsid w:val="00307CA7"/>
    <w:rsid w:val="0031472C"/>
    <w:rsid w:val="00315975"/>
    <w:rsid w:val="0032030D"/>
    <w:rsid w:val="00322656"/>
    <w:rsid w:val="003233DE"/>
    <w:rsid w:val="00323E8B"/>
    <w:rsid w:val="0032466B"/>
    <w:rsid w:val="00325421"/>
    <w:rsid w:val="00327B44"/>
    <w:rsid w:val="003326BD"/>
    <w:rsid w:val="003330EB"/>
    <w:rsid w:val="003339CE"/>
    <w:rsid w:val="00336605"/>
    <w:rsid w:val="003379BE"/>
    <w:rsid w:val="003415FD"/>
    <w:rsid w:val="003429F0"/>
    <w:rsid w:val="0035097A"/>
    <w:rsid w:val="003509DA"/>
    <w:rsid w:val="0035158B"/>
    <w:rsid w:val="0035383D"/>
    <w:rsid w:val="003540A4"/>
    <w:rsid w:val="00360E4E"/>
    <w:rsid w:val="003639DD"/>
    <w:rsid w:val="00363D0D"/>
    <w:rsid w:val="003647CB"/>
    <w:rsid w:val="00370AAA"/>
    <w:rsid w:val="00375F77"/>
    <w:rsid w:val="00376EC4"/>
    <w:rsid w:val="00377A78"/>
    <w:rsid w:val="00381BBE"/>
    <w:rsid w:val="00382903"/>
    <w:rsid w:val="00382A6A"/>
    <w:rsid w:val="003846FF"/>
    <w:rsid w:val="00385AD4"/>
    <w:rsid w:val="00386308"/>
    <w:rsid w:val="003864A5"/>
    <w:rsid w:val="00387924"/>
    <w:rsid w:val="00387C64"/>
    <w:rsid w:val="003922BC"/>
    <w:rsid w:val="00392D96"/>
    <w:rsid w:val="003933EA"/>
    <w:rsid w:val="0039384D"/>
    <w:rsid w:val="00395C23"/>
    <w:rsid w:val="003A01DF"/>
    <w:rsid w:val="003A13AD"/>
    <w:rsid w:val="003A2E4F"/>
    <w:rsid w:val="003A4438"/>
    <w:rsid w:val="003A5013"/>
    <w:rsid w:val="003A5078"/>
    <w:rsid w:val="003A5AE5"/>
    <w:rsid w:val="003A62DD"/>
    <w:rsid w:val="003A775A"/>
    <w:rsid w:val="003B0DAB"/>
    <w:rsid w:val="003B2118"/>
    <w:rsid w:val="003B213A"/>
    <w:rsid w:val="003B401C"/>
    <w:rsid w:val="003B43AD"/>
    <w:rsid w:val="003B5EFE"/>
    <w:rsid w:val="003C0FEC"/>
    <w:rsid w:val="003C15B8"/>
    <w:rsid w:val="003C2AC8"/>
    <w:rsid w:val="003C3BDB"/>
    <w:rsid w:val="003C51C0"/>
    <w:rsid w:val="003D0342"/>
    <w:rsid w:val="003D17F9"/>
    <w:rsid w:val="003D21D6"/>
    <w:rsid w:val="003D2D88"/>
    <w:rsid w:val="003D41EA"/>
    <w:rsid w:val="003D4702"/>
    <w:rsid w:val="003D4850"/>
    <w:rsid w:val="003D535A"/>
    <w:rsid w:val="003E5265"/>
    <w:rsid w:val="003E6859"/>
    <w:rsid w:val="003F0955"/>
    <w:rsid w:val="003F0F0A"/>
    <w:rsid w:val="003F6FE1"/>
    <w:rsid w:val="00400424"/>
    <w:rsid w:val="00400F00"/>
    <w:rsid w:val="004012E4"/>
    <w:rsid w:val="00404F8B"/>
    <w:rsid w:val="00405256"/>
    <w:rsid w:val="004055AF"/>
    <w:rsid w:val="00407D40"/>
    <w:rsid w:val="00410031"/>
    <w:rsid w:val="004115A2"/>
    <w:rsid w:val="00413655"/>
    <w:rsid w:val="00415C81"/>
    <w:rsid w:val="00416731"/>
    <w:rsid w:val="00420B23"/>
    <w:rsid w:val="0042657B"/>
    <w:rsid w:val="00432378"/>
    <w:rsid w:val="0043799B"/>
    <w:rsid w:val="00440D65"/>
    <w:rsid w:val="004435E6"/>
    <w:rsid w:val="00447E31"/>
    <w:rsid w:val="00453923"/>
    <w:rsid w:val="00454B9B"/>
    <w:rsid w:val="00457858"/>
    <w:rsid w:val="00460B0B"/>
    <w:rsid w:val="00461023"/>
    <w:rsid w:val="00462FAC"/>
    <w:rsid w:val="00463B03"/>
    <w:rsid w:val="00464631"/>
    <w:rsid w:val="00464AE7"/>
    <w:rsid w:val="00464B79"/>
    <w:rsid w:val="004661D8"/>
    <w:rsid w:val="00467A75"/>
    <w:rsid w:val="00467BBF"/>
    <w:rsid w:val="00470005"/>
    <w:rsid w:val="00470A5E"/>
    <w:rsid w:val="004716DB"/>
    <w:rsid w:val="00472890"/>
    <w:rsid w:val="00475850"/>
    <w:rsid w:val="00482219"/>
    <w:rsid w:val="00482F89"/>
    <w:rsid w:val="00483770"/>
    <w:rsid w:val="0048655A"/>
    <w:rsid w:val="004867E2"/>
    <w:rsid w:val="004929A9"/>
    <w:rsid w:val="004943AE"/>
    <w:rsid w:val="004C2665"/>
    <w:rsid w:val="004C2FEC"/>
    <w:rsid w:val="004C6800"/>
    <w:rsid w:val="004C6BCF"/>
    <w:rsid w:val="004C7105"/>
    <w:rsid w:val="004D070C"/>
    <w:rsid w:val="004D1389"/>
    <w:rsid w:val="004D3650"/>
    <w:rsid w:val="004D58BF"/>
    <w:rsid w:val="004E2B07"/>
    <w:rsid w:val="004E4335"/>
    <w:rsid w:val="004E5ACF"/>
    <w:rsid w:val="004E7018"/>
    <w:rsid w:val="004F13EE"/>
    <w:rsid w:val="004F2022"/>
    <w:rsid w:val="004F4D25"/>
    <w:rsid w:val="004F53C6"/>
    <w:rsid w:val="004F7C05"/>
    <w:rsid w:val="00500498"/>
    <w:rsid w:val="00500BBC"/>
    <w:rsid w:val="00501C94"/>
    <w:rsid w:val="00503356"/>
    <w:rsid w:val="005033D2"/>
    <w:rsid w:val="00505388"/>
    <w:rsid w:val="00506432"/>
    <w:rsid w:val="00512336"/>
    <w:rsid w:val="0051242B"/>
    <w:rsid w:val="005167D1"/>
    <w:rsid w:val="0052051D"/>
    <w:rsid w:val="00520DF5"/>
    <w:rsid w:val="00522C31"/>
    <w:rsid w:val="00532733"/>
    <w:rsid w:val="0053327D"/>
    <w:rsid w:val="005416AF"/>
    <w:rsid w:val="00545EE6"/>
    <w:rsid w:val="005550E7"/>
    <w:rsid w:val="005564FB"/>
    <w:rsid w:val="005572C7"/>
    <w:rsid w:val="005579F9"/>
    <w:rsid w:val="005619E3"/>
    <w:rsid w:val="00563A87"/>
    <w:rsid w:val="005650ED"/>
    <w:rsid w:val="0056655A"/>
    <w:rsid w:val="00566BE8"/>
    <w:rsid w:val="00567CFE"/>
    <w:rsid w:val="0057173E"/>
    <w:rsid w:val="00573A8E"/>
    <w:rsid w:val="00575754"/>
    <w:rsid w:val="00577B26"/>
    <w:rsid w:val="00577C1D"/>
    <w:rsid w:val="00583941"/>
    <w:rsid w:val="00583B64"/>
    <w:rsid w:val="0058543F"/>
    <w:rsid w:val="00591E20"/>
    <w:rsid w:val="00595408"/>
    <w:rsid w:val="00595E84"/>
    <w:rsid w:val="00597899"/>
    <w:rsid w:val="005A0C59"/>
    <w:rsid w:val="005A1795"/>
    <w:rsid w:val="005A286A"/>
    <w:rsid w:val="005A2A11"/>
    <w:rsid w:val="005A48EB"/>
    <w:rsid w:val="005A55E4"/>
    <w:rsid w:val="005A65DC"/>
    <w:rsid w:val="005A6CFB"/>
    <w:rsid w:val="005B09B2"/>
    <w:rsid w:val="005B1466"/>
    <w:rsid w:val="005B4598"/>
    <w:rsid w:val="005B47D7"/>
    <w:rsid w:val="005B53F5"/>
    <w:rsid w:val="005B5F2F"/>
    <w:rsid w:val="005B7C66"/>
    <w:rsid w:val="005C0A41"/>
    <w:rsid w:val="005C1718"/>
    <w:rsid w:val="005C3660"/>
    <w:rsid w:val="005C3AA9"/>
    <w:rsid w:val="005C42BA"/>
    <w:rsid w:val="005C4422"/>
    <w:rsid w:val="005C48FD"/>
    <w:rsid w:val="005C5AEB"/>
    <w:rsid w:val="005C63A2"/>
    <w:rsid w:val="005C7840"/>
    <w:rsid w:val="005D0F79"/>
    <w:rsid w:val="005D18B8"/>
    <w:rsid w:val="005D28A1"/>
    <w:rsid w:val="005E0893"/>
    <w:rsid w:val="005E0A3F"/>
    <w:rsid w:val="005E6883"/>
    <w:rsid w:val="005E726D"/>
    <w:rsid w:val="005E772F"/>
    <w:rsid w:val="005F00E8"/>
    <w:rsid w:val="005F2AF1"/>
    <w:rsid w:val="005F2F8D"/>
    <w:rsid w:val="005F497C"/>
    <w:rsid w:val="005F4ECA"/>
    <w:rsid w:val="005F6D72"/>
    <w:rsid w:val="005F7FC8"/>
    <w:rsid w:val="006003BE"/>
    <w:rsid w:val="006041BE"/>
    <w:rsid w:val="006043C7"/>
    <w:rsid w:val="00606AED"/>
    <w:rsid w:val="00612931"/>
    <w:rsid w:val="00613FA2"/>
    <w:rsid w:val="0061573C"/>
    <w:rsid w:val="00616643"/>
    <w:rsid w:val="00621405"/>
    <w:rsid w:val="00622093"/>
    <w:rsid w:val="0062232F"/>
    <w:rsid w:val="00622BB7"/>
    <w:rsid w:val="00624B52"/>
    <w:rsid w:val="0062646F"/>
    <w:rsid w:val="00630B44"/>
    <w:rsid w:val="00631DD9"/>
    <w:rsid w:val="00631DF4"/>
    <w:rsid w:val="00634175"/>
    <w:rsid w:val="00635175"/>
    <w:rsid w:val="006408AC"/>
    <w:rsid w:val="00646DD9"/>
    <w:rsid w:val="006511B6"/>
    <w:rsid w:val="00652742"/>
    <w:rsid w:val="00657FF8"/>
    <w:rsid w:val="00665E13"/>
    <w:rsid w:val="0066643A"/>
    <w:rsid w:val="00670D99"/>
    <w:rsid w:val="00670E2B"/>
    <w:rsid w:val="006734BB"/>
    <w:rsid w:val="00675C33"/>
    <w:rsid w:val="00681A34"/>
    <w:rsid w:val="006821EB"/>
    <w:rsid w:val="00682B4A"/>
    <w:rsid w:val="00684E9C"/>
    <w:rsid w:val="00685F7B"/>
    <w:rsid w:val="00690E2B"/>
    <w:rsid w:val="00690FEA"/>
    <w:rsid w:val="00693638"/>
    <w:rsid w:val="006A53B8"/>
    <w:rsid w:val="006B0C8A"/>
    <w:rsid w:val="006B113A"/>
    <w:rsid w:val="006B2286"/>
    <w:rsid w:val="006B4C77"/>
    <w:rsid w:val="006B56BB"/>
    <w:rsid w:val="006B5D54"/>
    <w:rsid w:val="006B7B4D"/>
    <w:rsid w:val="006C0788"/>
    <w:rsid w:val="006C1F6A"/>
    <w:rsid w:val="006C61DD"/>
    <w:rsid w:val="006C680D"/>
    <w:rsid w:val="006C77A8"/>
    <w:rsid w:val="006D4098"/>
    <w:rsid w:val="006D6BB2"/>
    <w:rsid w:val="006D7681"/>
    <w:rsid w:val="006D7B2E"/>
    <w:rsid w:val="006E02EA"/>
    <w:rsid w:val="006E0968"/>
    <w:rsid w:val="006E2AF6"/>
    <w:rsid w:val="006E6783"/>
    <w:rsid w:val="006E68CB"/>
    <w:rsid w:val="006F54D6"/>
    <w:rsid w:val="00701135"/>
    <w:rsid w:val="00701275"/>
    <w:rsid w:val="0070454E"/>
    <w:rsid w:val="00707F56"/>
    <w:rsid w:val="00713558"/>
    <w:rsid w:val="007147E1"/>
    <w:rsid w:val="0072005C"/>
    <w:rsid w:val="00720D08"/>
    <w:rsid w:val="007239C2"/>
    <w:rsid w:val="007263B9"/>
    <w:rsid w:val="007334F8"/>
    <w:rsid w:val="007339CD"/>
    <w:rsid w:val="007359D8"/>
    <w:rsid w:val="007362D4"/>
    <w:rsid w:val="007369BA"/>
    <w:rsid w:val="00737B68"/>
    <w:rsid w:val="00740193"/>
    <w:rsid w:val="007416C6"/>
    <w:rsid w:val="0074628F"/>
    <w:rsid w:val="00750B5E"/>
    <w:rsid w:val="00751A23"/>
    <w:rsid w:val="00756C1D"/>
    <w:rsid w:val="00756D34"/>
    <w:rsid w:val="0076007D"/>
    <w:rsid w:val="00760954"/>
    <w:rsid w:val="0076420F"/>
    <w:rsid w:val="0076672A"/>
    <w:rsid w:val="00766DA7"/>
    <w:rsid w:val="007671DC"/>
    <w:rsid w:val="007702C9"/>
    <w:rsid w:val="00775007"/>
    <w:rsid w:val="00775D96"/>
    <w:rsid w:val="00775E45"/>
    <w:rsid w:val="00776E74"/>
    <w:rsid w:val="007844B4"/>
    <w:rsid w:val="007844BB"/>
    <w:rsid w:val="00784749"/>
    <w:rsid w:val="00785169"/>
    <w:rsid w:val="0079095D"/>
    <w:rsid w:val="007954AB"/>
    <w:rsid w:val="007954C3"/>
    <w:rsid w:val="007973A0"/>
    <w:rsid w:val="007A00FE"/>
    <w:rsid w:val="007A0BC5"/>
    <w:rsid w:val="007A14C5"/>
    <w:rsid w:val="007A3E38"/>
    <w:rsid w:val="007A4A10"/>
    <w:rsid w:val="007A556E"/>
    <w:rsid w:val="007A74F3"/>
    <w:rsid w:val="007B1760"/>
    <w:rsid w:val="007B17EA"/>
    <w:rsid w:val="007B1C3F"/>
    <w:rsid w:val="007B4EEF"/>
    <w:rsid w:val="007B5202"/>
    <w:rsid w:val="007B5F91"/>
    <w:rsid w:val="007C41EF"/>
    <w:rsid w:val="007C6D9C"/>
    <w:rsid w:val="007C7DDB"/>
    <w:rsid w:val="007D0708"/>
    <w:rsid w:val="007D081D"/>
    <w:rsid w:val="007D1038"/>
    <w:rsid w:val="007D2CC7"/>
    <w:rsid w:val="007D673D"/>
    <w:rsid w:val="007E2FC0"/>
    <w:rsid w:val="007E5BFC"/>
    <w:rsid w:val="007E5CDF"/>
    <w:rsid w:val="007E60D4"/>
    <w:rsid w:val="007F1300"/>
    <w:rsid w:val="007F161C"/>
    <w:rsid w:val="007F2135"/>
    <w:rsid w:val="007F2220"/>
    <w:rsid w:val="007F40E8"/>
    <w:rsid w:val="007F45E2"/>
    <w:rsid w:val="007F4B3E"/>
    <w:rsid w:val="007F588A"/>
    <w:rsid w:val="007F5D86"/>
    <w:rsid w:val="007F5E3C"/>
    <w:rsid w:val="007F7552"/>
    <w:rsid w:val="00801E25"/>
    <w:rsid w:val="00802297"/>
    <w:rsid w:val="00802CEC"/>
    <w:rsid w:val="00803DCA"/>
    <w:rsid w:val="008127AF"/>
    <w:rsid w:val="00812B46"/>
    <w:rsid w:val="008134CE"/>
    <w:rsid w:val="00814EA0"/>
    <w:rsid w:val="00815700"/>
    <w:rsid w:val="00816286"/>
    <w:rsid w:val="00816AC9"/>
    <w:rsid w:val="00817B70"/>
    <w:rsid w:val="008264EB"/>
    <w:rsid w:val="00826727"/>
    <w:rsid w:val="00826B8F"/>
    <w:rsid w:val="0083029F"/>
    <w:rsid w:val="00831E8A"/>
    <w:rsid w:val="00835C76"/>
    <w:rsid w:val="00843049"/>
    <w:rsid w:val="008468C3"/>
    <w:rsid w:val="008506A0"/>
    <w:rsid w:val="0085096D"/>
    <w:rsid w:val="0085209B"/>
    <w:rsid w:val="00852DA9"/>
    <w:rsid w:val="00856B66"/>
    <w:rsid w:val="00857963"/>
    <w:rsid w:val="00857D16"/>
    <w:rsid w:val="00861A5F"/>
    <w:rsid w:val="008640FB"/>
    <w:rsid w:val="008644AD"/>
    <w:rsid w:val="00865735"/>
    <w:rsid w:val="00865AB2"/>
    <w:rsid w:val="00865DDB"/>
    <w:rsid w:val="0086720C"/>
    <w:rsid w:val="00867538"/>
    <w:rsid w:val="008724DA"/>
    <w:rsid w:val="00873D90"/>
    <w:rsid w:val="00873EB0"/>
    <w:rsid w:val="00873FC8"/>
    <w:rsid w:val="00881C6B"/>
    <w:rsid w:val="00882B9B"/>
    <w:rsid w:val="00884C63"/>
    <w:rsid w:val="00885908"/>
    <w:rsid w:val="008864B7"/>
    <w:rsid w:val="00890EE0"/>
    <w:rsid w:val="0089150E"/>
    <w:rsid w:val="008930B4"/>
    <w:rsid w:val="0089677E"/>
    <w:rsid w:val="00896E8C"/>
    <w:rsid w:val="008A40D0"/>
    <w:rsid w:val="008A41F4"/>
    <w:rsid w:val="008A4484"/>
    <w:rsid w:val="008A48CF"/>
    <w:rsid w:val="008A6127"/>
    <w:rsid w:val="008A7438"/>
    <w:rsid w:val="008B1334"/>
    <w:rsid w:val="008B4A41"/>
    <w:rsid w:val="008C0278"/>
    <w:rsid w:val="008C03A3"/>
    <w:rsid w:val="008C126E"/>
    <w:rsid w:val="008C24E9"/>
    <w:rsid w:val="008D0533"/>
    <w:rsid w:val="008D42BE"/>
    <w:rsid w:val="008D42CB"/>
    <w:rsid w:val="008D48C9"/>
    <w:rsid w:val="008D5B79"/>
    <w:rsid w:val="008D6381"/>
    <w:rsid w:val="008E0C77"/>
    <w:rsid w:val="008E4446"/>
    <w:rsid w:val="008E4450"/>
    <w:rsid w:val="008E625F"/>
    <w:rsid w:val="008E77C9"/>
    <w:rsid w:val="008F264D"/>
    <w:rsid w:val="008F2E0B"/>
    <w:rsid w:val="009061C0"/>
    <w:rsid w:val="009074E1"/>
    <w:rsid w:val="009112F7"/>
    <w:rsid w:val="009122AF"/>
    <w:rsid w:val="009127BC"/>
    <w:rsid w:val="00912D54"/>
    <w:rsid w:val="0091389F"/>
    <w:rsid w:val="00920278"/>
    <w:rsid w:val="009208F7"/>
    <w:rsid w:val="00922517"/>
    <w:rsid w:val="00922722"/>
    <w:rsid w:val="009261E6"/>
    <w:rsid w:val="009268E1"/>
    <w:rsid w:val="00926CD7"/>
    <w:rsid w:val="00927FD0"/>
    <w:rsid w:val="009302A8"/>
    <w:rsid w:val="00931E13"/>
    <w:rsid w:val="009322F7"/>
    <w:rsid w:val="00933F71"/>
    <w:rsid w:val="009349AA"/>
    <w:rsid w:val="00935DE5"/>
    <w:rsid w:val="0093767B"/>
    <w:rsid w:val="009425FE"/>
    <w:rsid w:val="00943077"/>
    <w:rsid w:val="00945C1E"/>
    <w:rsid w:val="00945E7F"/>
    <w:rsid w:val="00946418"/>
    <w:rsid w:val="009546DE"/>
    <w:rsid w:val="009557C1"/>
    <w:rsid w:val="009576E0"/>
    <w:rsid w:val="0095788C"/>
    <w:rsid w:val="0096014D"/>
    <w:rsid w:val="00960D6E"/>
    <w:rsid w:val="0096225D"/>
    <w:rsid w:val="00965441"/>
    <w:rsid w:val="00966569"/>
    <w:rsid w:val="009713E1"/>
    <w:rsid w:val="00971CE3"/>
    <w:rsid w:val="00972BC1"/>
    <w:rsid w:val="00974B59"/>
    <w:rsid w:val="00976293"/>
    <w:rsid w:val="009764E2"/>
    <w:rsid w:val="00980137"/>
    <w:rsid w:val="0098073A"/>
    <w:rsid w:val="00980D3F"/>
    <w:rsid w:val="009816E9"/>
    <w:rsid w:val="00982AE2"/>
    <w:rsid w:val="0098340B"/>
    <w:rsid w:val="009858FE"/>
    <w:rsid w:val="0098599E"/>
    <w:rsid w:val="009862F2"/>
    <w:rsid w:val="00986830"/>
    <w:rsid w:val="009875B0"/>
    <w:rsid w:val="0099056E"/>
    <w:rsid w:val="00990CAC"/>
    <w:rsid w:val="00992025"/>
    <w:rsid w:val="009920D8"/>
    <w:rsid w:val="009924C3"/>
    <w:rsid w:val="00992735"/>
    <w:rsid w:val="00993102"/>
    <w:rsid w:val="009B12F5"/>
    <w:rsid w:val="009B5C3B"/>
    <w:rsid w:val="009B706A"/>
    <w:rsid w:val="009B7D2C"/>
    <w:rsid w:val="009C10B0"/>
    <w:rsid w:val="009C136D"/>
    <w:rsid w:val="009C2B35"/>
    <w:rsid w:val="009C4A39"/>
    <w:rsid w:val="009C6F10"/>
    <w:rsid w:val="009C6F22"/>
    <w:rsid w:val="009D148F"/>
    <w:rsid w:val="009D35D7"/>
    <w:rsid w:val="009D3D70"/>
    <w:rsid w:val="009D4DE5"/>
    <w:rsid w:val="009D5A93"/>
    <w:rsid w:val="009E4ED4"/>
    <w:rsid w:val="009E6F7E"/>
    <w:rsid w:val="009E7A57"/>
    <w:rsid w:val="009F0258"/>
    <w:rsid w:val="009F1D4A"/>
    <w:rsid w:val="009F4F6A"/>
    <w:rsid w:val="009F62D1"/>
    <w:rsid w:val="009F6919"/>
    <w:rsid w:val="00A005CF"/>
    <w:rsid w:val="00A04084"/>
    <w:rsid w:val="00A04C80"/>
    <w:rsid w:val="00A07F3A"/>
    <w:rsid w:val="00A11BFC"/>
    <w:rsid w:val="00A1470C"/>
    <w:rsid w:val="00A159F0"/>
    <w:rsid w:val="00A16E36"/>
    <w:rsid w:val="00A1768C"/>
    <w:rsid w:val="00A219E5"/>
    <w:rsid w:val="00A2313A"/>
    <w:rsid w:val="00A23219"/>
    <w:rsid w:val="00A24961"/>
    <w:rsid w:val="00A24B10"/>
    <w:rsid w:val="00A30E9B"/>
    <w:rsid w:val="00A34F3B"/>
    <w:rsid w:val="00A36333"/>
    <w:rsid w:val="00A40C2F"/>
    <w:rsid w:val="00A4237D"/>
    <w:rsid w:val="00A42DE6"/>
    <w:rsid w:val="00A43DD8"/>
    <w:rsid w:val="00A4512D"/>
    <w:rsid w:val="00A50244"/>
    <w:rsid w:val="00A5640B"/>
    <w:rsid w:val="00A56460"/>
    <w:rsid w:val="00A56F17"/>
    <w:rsid w:val="00A6224D"/>
    <w:rsid w:val="00A627D7"/>
    <w:rsid w:val="00A628A0"/>
    <w:rsid w:val="00A63CA6"/>
    <w:rsid w:val="00A656C7"/>
    <w:rsid w:val="00A66F6D"/>
    <w:rsid w:val="00A705AF"/>
    <w:rsid w:val="00A708FE"/>
    <w:rsid w:val="00A72454"/>
    <w:rsid w:val="00A73E8B"/>
    <w:rsid w:val="00A74345"/>
    <w:rsid w:val="00A74BCF"/>
    <w:rsid w:val="00A7663B"/>
    <w:rsid w:val="00A77696"/>
    <w:rsid w:val="00A80557"/>
    <w:rsid w:val="00A81D33"/>
    <w:rsid w:val="00A930AE"/>
    <w:rsid w:val="00A9494D"/>
    <w:rsid w:val="00A97251"/>
    <w:rsid w:val="00A9766F"/>
    <w:rsid w:val="00AA1A95"/>
    <w:rsid w:val="00AA260F"/>
    <w:rsid w:val="00AA3ACE"/>
    <w:rsid w:val="00AA7D55"/>
    <w:rsid w:val="00AB01DB"/>
    <w:rsid w:val="00AB1EE7"/>
    <w:rsid w:val="00AB4B37"/>
    <w:rsid w:val="00AB5762"/>
    <w:rsid w:val="00AC2679"/>
    <w:rsid w:val="00AC4BE4"/>
    <w:rsid w:val="00AC6BF9"/>
    <w:rsid w:val="00AD05E6"/>
    <w:rsid w:val="00AD0D3F"/>
    <w:rsid w:val="00AE01D1"/>
    <w:rsid w:val="00AE1D7D"/>
    <w:rsid w:val="00AE2A8B"/>
    <w:rsid w:val="00AE3F64"/>
    <w:rsid w:val="00AF052C"/>
    <w:rsid w:val="00AF05AD"/>
    <w:rsid w:val="00AF7386"/>
    <w:rsid w:val="00AF7934"/>
    <w:rsid w:val="00B00B81"/>
    <w:rsid w:val="00B034A9"/>
    <w:rsid w:val="00B036F1"/>
    <w:rsid w:val="00B03EC7"/>
    <w:rsid w:val="00B04580"/>
    <w:rsid w:val="00B04B09"/>
    <w:rsid w:val="00B065C9"/>
    <w:rsid w:val="00B113DD"/>
    <w:rsid w:val="00B1185B"/>
    <w:rsid w:val="00B14EF2"/>
    <w:rsid w:val="00B15A57"/>
    <w:rsid w:val="00B16A51"/>
    <w:rsid w:val="00B21994"/>
    <w:rsid w:val="00B231F2"/>
    <w:rsid w:val="00B23AFC"/>
    <w:rsid w:val="00B243B0"/>
    <w:rsid w:val="00B25440"/>
    <w:rsid w:val="00B32222"/>
    <w:rsid w:val="00B33960"/>
    <w:rsid w:val="00B3618D"/>
    <w:rsid w:val="00B36233"/>
    <w:rsid w:val="00B366BD"/>
    <w:rsid w:val="00B36BDC"/>
    <w:rsid w:val="00B404C4"/>
    <w:rsid w:val="00B42851"/>
    <w:rsid w:val="00B42D45"/>
    <w:rsid w:val="00B4321F"/>
    <w:rsid w:val="00B43DB9"/>
    <w:rsid w:val="00B45AC7"/>
    <w:rsid w:val="00B50FFF"/>
    <w:rsid w:val="00B5207F"/>
    <w:rsid w:val="00B53058"/>
    <w:rsid w:val="00B5372F"/>
    <w:rsid w:val="00B5537D"/>
    <w:rsid w:val="00B56527"/>
    <w:rsid w:val="00B56724"/>
    <w:rsid w:val="00B56A80"/>
    <w:rsid w:val="00B60896"/>
    <w:rsid w:val="00B61129"/>
    <w:rsid w:val="00B63BF1"/>
    <w:rsid w:val="00B642EA"/>
    <w:rsid w:val="00B67E7F"/>
    <w:rsid w:val="00B721BA"/>
    <w:rsid w:val="00B75A04"/>
    <w:rsid w:val="00B832C6"/>
    <w:rsid w:val="00B839B2"/>
    <w:rsid w:val="00B91460"/>
    <w:rsid w:val="00B94153"/>
    <w:rsid w:val="00B94252"/>
    <w:rsid w:val="00B95F68"/>
    <w:rsid w:val="00B964D7"/>
    <w:rsid w:val="00B9715A"/>
    <w:rsid w:val="00BA0437"/>
    <w:rsid w:val="00BA14BE"/>
    <w:rsid w:val="00BA2732"/>
    <w:rsid w:val="00BA293D"/>
    <w:rsid w:val="00BA49BC"/>
    <w:rsid w:val="00BA56B7"/>
    <w:rsid w:val="00BA7A1E"/>
    <w:rsid w:val="00BA7CA9"/>
    <w:rsid w:val="00BB09BF"/>
    <w:rsid w:val="00BB2F6C"/>
    <w:rsid w:val="00BB3875"/>
    <w:rsid w:val="00BB5860"/>
    <w:rsid w:val="00BB6AAD"/>
    <w:rsid w:val="00BC069F"/>
    <w:rsid w:val="00BC23F0"/>
    <w:rsid w:val="00BC3508"/>
    <w:rsid w:val="00BC4A19"/>
    <w:rsid w:val="00BC4E6D"/>
    <w:rsid w:val="00BC6AAA"/>
    <w:rsid w:val="00BC6B18"/>
    <w:rsid w:val="00BD0617"/>
    <w:rsid w:val="00BD2E9B"/>
    <w:rsid w:val="00BD3E9C"/>
    <w:rsid w:val="00BD764C"/>
    <w:rsid w:val="00BE4E08"/>
    <w:rsid w:val="00BE7DE0"/>
    <w:rsid w:val="00BF1C47"/>
    <w:rsid w:val="00BF4687"/>
    <w:rsid w:val="00BF4F2F"/>
    <w:rsid w:val="00BF5180"/>
    <w:rsid w:val="00BF5533"/>
    <w:rsid w:val="00BF7FC2"/>
    <w:rsid w:val="00C00930"/>
    <w:rsid w:val="00C05300"/>
    <w:rsid w:val="00C060AD"/>
    <w:rsid w:val="00C0670D"/>
    <w:rsid w:val="00C100EA"/>
    <w:rsid w:val="00C113BF"/>
    <w:rsid w:val="00C12E2B"/>
    <w:rsid w:val="00C156C2"/>
    <w:rsid w:val="00C15FC2"/>
    <w:rsid w:val="00C2176E"/>
    <w:rsid w:val="00C231CA"/>
    <w:rsid w:val="00C23430"/>
    <w:rsid w:val="00C27D67"/>
    <w:rsid w:val="00C313D0"/>
    <w:rsid w:val="00C33CC8"/>
    <w:rsid w:val="00C34222"/>
    <w:rsid w:val="00C42AD2"/>
    <w:rsid w:val="00C4631F"/>
    <w:rsid w:val="00C47845"/>
    <w:rsid w:val="00C50E16"/>
    <w:rsid w:val="00C513C2"/>
    <w:rsid w:val="00C53E2B"/>
    <w:rsid w:val="00C542E4"/>
    <w:rsid w:val="00C54F40"/>
    <w:rsid w:val="00C55258"/>
    <w:rsid w:val="00C56AC8"/>
    <w:rsid w:val="00C57059"/>
    <w:rsid w:val="00C6248C"/>
    <w:rsid w:val="00C628C7"/>
    <w:rsid w:val="00C63EE8"/>
    <w:rsid w:val="00C64AA8"/>
    <w:rsid w:val="00C71AC8"/>
    <w:rsid w:val="00C7496C"/>
    <w:rsid w:val="00C768B3"/>
    <w:rsid w:val="00C82EEB"/>
    <w:rsid w:val="00C84F56"/>
    <w:rsid w:val="00C85598"/>
    <w:rsid w:val="00C85938"/>
    <w:rsid w:val="00C90048"/>
    <w:rsid w:val="00C951AE"/>
    <w:rsid w:val="00C96F24"/>
    <w:rsid w:val="00C971DC"/>
    <w:rsid w:val="00CA06A1"/>
    <w:rsid w:val="00CA16B7"/>
    <w:rsid w:val="00CA17B8"/>
    <w:rsid w:val="00CA3FA2"/>
    <w:rsid w:val="00CA4BE3"/>
    <w:rsid w:val="00CA62AE"/>
    <w:rsid w:val="00CA637B"/>
    <w:rsid w:val="00CB00DE"/>
    <w:rsid w:val="00CB1518"/>
    <w:rsid w:val="00CB2DE7"/>
    <w:rsid w:val="00CB5B1A"/>
    <w:rsid w:val="00CB746E"/>
    <w:rsid w:val="00CC1549"/>
    <w:rsid w:val="00CC17B4"/>
    <w:rsid w:val="00CC220B"/>
    <w:rsid w:val="00CC5C43"/>
    <w:rsid w:val="00CC5EDA"/>
    <w:rsid w:val="00CD02AE"/>
    <w:rsid w:val="00CD090B"/>
    <w:rsid w:val="00CD125E"/>
    <w:rsid w:val="00CD2A4F"/>
    <w:rsid w:val="00CD363C"/>
    <w:rsid w:val="00CE03CA"/>
    <w:rsid w:val="00CE22F1"/>
    <w:rsid w:val="00CE3B7E"/>
    <w:rsid w:val="00CE50F2"/>
    <w:rsid w:val="00CE5EA9"/>
    <w:rsid w:val="00CE6502"/>
    <w:rsid w:val="00CF0DE8"/>
    <w:rsid w:val="00CF4694"/>
    <w:rsid w:val="00CF4E69"/>
    <w:rsid w:val="00CF7D3C"/>
    <w:rsid w:val="00D0329B"/>
    <w:rsid w:val="00D034EC"/>
    <w:rsid w:val="00D03B61"/>
    <w:rsid w:val="00D07DA3"/>
    <w:rsid w:val="00D11718"/>
    <w:rsid w:val="00D13B17"/>
    <w:rsid w:val="00D147EB"/>
    <w:rsid w:val="00D149B1"/>
    <w:rsid w:val="00D14A36"/>
    <w:rsid w:val="00D25CC6"/>
    <w:rsid w:val="00D34667"/>
    <w:rsid w:val="00D3509A"/>
    <w:rsid w:val="00D377A3"/>
    <w:rsid w:val="00D401E1"/>
    <w:rsid w:val="00D408B4"/>
    <w:rsid w:val="00D43021"/>
    <w:rsid w:val="00D45C16"/>
    <w:rsid w:val="00D45D94"/>
    <w:rsid w:val="00D47A56"/>
    <w:rsid w:val="00D51956"/>
    <w:rsid w:val="00D5209C"/>
    <w:rsid w:val="00D524C8"/>
    <w:rsid w:val="00D568B2"/>
    <w:rsid w:val="00D5726B"/>
    <w:rsid w:val="00D60E25"/>
    <w:rsid w:val="00D66F1B"/>
    <w:rsid w:val="00D70E24"/>
    <w:rsid w:val="00D72B61"/>
    <w:rsid w:val="00D77968"/>
    <w:rsid w:val="00D8263D"/>
    <w:rsid w:val="00D86850"/>
    <w:rsid w:val="00D87A47"/>
    <w:rsid w:val="00D9516F"/>
    <w:rsid w:val="00D971E2"/>
    <w:rsid w:val="00DA3697"/>
    <w:rsid w:val="00DA3D1D"/>
    <w:rsid w:val="00DB0138"/>
    <w:rsid w:val="00DB503D"/>
    <w:rsid w:val="00DB6212"/>
    <w:rsid w:val="00DB6286"/>
    <w:rsid w:val="00DB645F"/>
    <w:rsid w:val="00DB76E9"/>
    <w:rsid w:val="00DB7C5C"/>
    <w:rsid w:val="00DC0577"/>
    <w:rsid w:val="00DC0A67"/>
    <w:rsid w:val="00DC1D5E"/>
    <w:rsid w:val="00DC2313"/>
    <w:rsid w:val="00DC3C25"/>
    <w:rsid w:val="00DC5220"/>
    <w:rsid w:val="00DC7910"/>
    <w:rsid w:val="00DD2061"/>
    <w:rsid w:val="00DD7DAB"/>
    <w:rsid w:val="00DE3355"/>
    <w:rsid w:val="00DF06E9"/>
    <w:rsid w:val="00DF486F"/>
    <w:rsid w:val="00DF4BE5"/>
    <w:rsid w:val="00DF5AFB"/>
    <w:rsid w:val="00DF5B5B"/>
    <w:rsid w:val="00DF63BF"/>
    <w:rsid w:val="00DF7619"/>
    <w:rsid w:val="00E0393C"/>
    <w:rsid w:val="00E042D8"/>
    <w:rsid w:val="00E04653"/>
    <w:rsid w:val="00E069CB"/>
    <w:rsid w:val="00E07EE7"/>
    <w:rsid w:val="00E10F44"/>
    <w:rsid w:val="00E1103B"/>
    <w:rsid w:val="00E12CB2"/>
    <w:rsid w:val="00E14178"/>
    <w:rsid w:val="00E15EBB"/>
    <w:rsid w:val="00E17B44"/>
    <w:rsid w:val="00E201BC"/>
    <w:rsid w:val="00E235C9"/>
    <w:rsid w:val="00E27FEA"/>
    <w:rsid w:val="00E340DA"/>
    <w:rsid w:val="00E3562F"/>
    <w:rsid w:val="00E4086F"/>
    <w:rsid w:val="00E43B3C"/>
    <w:rsid w:val="00E47A0B"/>
    <w:rsid w:val="00E50188"/>
    <w:rsid w:val="00E515CB"/>
    <w:rsid w:val="00E52260"/>
    <w:rsid w:val="00E52D7F"/>
    <w:rsid w:val="00E54583"/>
    <w:rsid w:val="00E56764"/>
    <w:rsid w:val="00E57675"/>
    <w:rsid w:val="00E639B6"/>
    <w:rsid w:val="00E6434B"/>
    <w:rsid w:val="00E6463D"/>
    <w:rsid w:val="00E6656D"/>
    <w:rsid w:val="00E713B9"/>
    <w:rsid w:val="00E72E9B"/>
    <w:rsid w:val="00E734BC"/>
    <w:rsid w:val="00E777A4"/>
    <w:rsid w:val="00E77A72"/>
    <w:rsid w:val="00E811EC"/>
    <w:rsid w:val="00E849DA"/>
    <w:rsid w:val="00E878F5"/>
    <w:rsid w:val="00E93C3B"/>
    <w:rsid w:val="00E9462E"/>
    <w:rsid w:val="00E95587"/>
    <w:rsid w:val="00E9706E"/>
    <w:rsid w:val="00EA0191"/>
    <w:rsid w:val="00EA3209"/>
    <w:rsid w:val="00EA470E"/>
    <w:rsid w:val="00EA47A7"/>
    <w:rsid w:val="00EA49E7"/>
    <w:rsid w:val="00EA54C9"/>
    <w:rsid w:val="00EA57EB"/>
    <w:rsid w:val="00EB3226"/>
    <w:rsid w:val="00EB6CA9"/>
    <w:rsid w:val="00EC0D83"/>
    <w:rsid w:val="00EC213A"/>
    <w:rsid w:val="00EC2B9B"/>
    <w:rsid w:val="00EC44BC"/>
    <w:rsid w:val="00EC4D9F"/>
    <w:rsid w:val="00EC6603"/>
    <w:rsid w:val="00EC7592"/>
    <w:rsid w:val="00EC7744"/>
    <w:rsid w:val="00ED0DAD"/>
    <w:rsid w:val="00ED0F46"/>
    <w:rsid w:val="00ED2042"/>
    <w:rsid w:val="00ED2373"/>
    <w:rsid w:val="00ED3F68"/>
    <w:rsid w:val="00ED40DA"/>
    <w:rsid w:val="00EE2FAE"/>
    <w:rsid w:val="00EE3993"/>
    <w:rsid w:val="00EE3E8A"/>
    <w:rsid w:val="00EE68CA"/>
    <w:rsid w:val="00EF10A8"/>
    <w:rsid w:val="00EF1B26"/>
    <w:rsid w:val="00EF6ECA"/>
    <w:rsid w:val="00F0184C"/>
    <w:rsid w:val="00F02298"/>
    <w:rsid w:val="00F024E1"/>
    <w:rsid w:val="00F02DF6"/>
    <w:rsid w:val="00F06C10"/>
    <w:rsid w:val="00F1096F"/>
    <w:rsid w:val="00F12589"/>
    <w:rsid w:val="00F12595"/>
    <w:rsid w:val="00F12D6A"/>
    <w:rsid w:val="00F134D9"/>
    <w:rsid w:val="00F1403D"/>
    <w:rsid w:val="00F1463F"/>
    <w:rsid w:val="00F14B06"/>
    <w:rsid w:val="00F21302"/>
    <w:rsid w:val="00F21D6B"/>
    <w:rsid w:val="00F24416"/>
    <w:rsid w:val="00F24995"/>
    <w:rsid w:val="00F261D2"/>
    <w:rsid w:val="00F30A5A"/>
    <w:rsid w:val="00F321DE"/>
    <w:rsid w:val="00F33777"/>
    <w:rsid w:val="00F36A4C"/>
    <w:rsid w:val="00F402A3"/>
    <w:rsid w:val="00F40648"/>
    <w:rsid w:val="00F43692"/>
    <w:rsid w:val="00F44E26"/>
    <w:rsid w:val="00F4615B"/>
    <w:rsid w:val="00F47DA2"/>
    <w:rsid w:val="00F508EE"/>
    <w:rsid w:val="00F50F94"/>
    <w:rsid w:val="00F519FC"/>
    <w:rsid w:val="00F5430D"/>
    <w:rsid w:val="00F54365"/>
    <w:rsid w:val="00F543A2"/>
    <w:rsid w:val="00F54641"/>
    <w:rsid w:val="00F6239D"/>
    <w:rsid w:val="00F6670A"/>
    <w:rsid w:val="00F6786B"/>
    <w:rsid w:val="00F67C0A"/>
    <w:rsid w:val="00F701C2"/>
    <w:rsid w:val="00F715D2"/>
    <w:rsid w:val="00F7189E"/>
    <w:rsid w:val="00F7274F"/>
    <w:rsid w:val="00F76FA8"/>
    <w:rsid w:val="00F84E57"/>
    <w:rsid w:val="00F8640F"/>
    <w:rsid w:val="00F86E7D"/>
    <w:rsid w:val="00F87513"/>
    <w:rsid w:val="00F87728"/>
    <w:rsid w:val="00F9064E"/>
    <w:rsid w:val="00F93F08"/>
    <w:rsid w:val="00F94CED"/>
    <w:rsid w:val="00F95ED2"/>
    <w:rsid w:val="00F972F4"/>
    <w:rsid w:val="00FA0705"/>
    <w:rsid w:val="00FA2CEE"/>
    <w:rsid w:val="00FA318C"/>
    <w:rsid w:val="00FA4840"/>
    <w:rsid w:val="00FA5050"/>
    <w:rsid w:val="00FB66E2"/>
    <w:rsid w:val="00FB6B3C"/>
    <w:rsid w:val="00FB6F92"/>
    <w:rsid w:val="00FC026E"/>
    <w:rsid w:val="00FC1771"/>
    <w:rsid w:val="00FC1794"/>
    <w:rsid w:val="00FC4211"/>
    <w:rsid w:val="00FC5124"/>
    <w:rsid w:val="00FC714E"/>
    <w:rsid w:val="00FC75E8"/>
    <w:rsid w:val="00FD00D4"/>
    <w:rsid w:val="00FD273A"/>
    <w:rsid w:val="00FD3BF6"/>
    <w:rsid w:val="00FD4731"/>
    <w:rsid w:val="00FD5AC9"/>
    <w:rsid w:val="00FD5E11"/>
    <w:rsid w:val="00FD613E"/>
    <w:rsid w:val="00FE18FD"/>
    <w:rsid w:val="00FE1992"/>
    <w:rsid w:val="00FE1AB4"/>
    <w:rsid w:val="00FE1BDA"/>
    <w:rsid w:val="00FE2F6A"/>
    <w:rsid w:val="00FE4386"/>
    <w:rsid w:val="00FE69C2"/>
    <w:rsid w:val="00FF0AB0"/>
    <w:rsid w:val="00FF1722"/>
    <w:rsid w:val="00FF28AC"/>
    <w:rsid w:val="00FF38DE"/>
    <w:rsid w:val="00FF3969"/>
    <w:rsid w:val="00FF599E"/>
    <w:rsid w:val="00FF7F62"/>
    <w:rsid w:val="61D99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2EB9C"/>
  <w15:docId w15:val="{71B7FCBD-0FA3-4170-A939-029231525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751A23"/>
    <w:rPr>
      <w:rFonts w:ascii="Arial" w:hAnsi="Arial"/>
      <w:sz w:val="22"/>
      <w:szCs w:val="24"/>
      <w:lang w:eastAsia="en-US"/>
    </w:rPr>
  </w:style>
  <w:style w:type="paragraph" w:styleId="Heading1">
    <w:name w:val="heading 1"/>
    <w:basedOn w:val="Normal"/>
    <w:next w:val="Normal"/>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hAnsi="Arial" w:eastAsiaTheme="majorEastAsia" w:cstheme="majorBidi"/>
      <w:iCs/>
      <w:color w:val="3F4A75"/>
      <w:spacing w:val="15"/>
      <w:sz w:val="40"/>
      <w:szCs w:val="24"/>
      <w:lang w:eastAsia="en-US"/>
    </w:rPr>
  </w:style>
  <w:style w:type="character" w:styleId="SubtitleChar" w:customStyle="1">
    <w:name w:val="Subtitle Char"/>
    <w:basedOn w:val="DefaultParagraphFont"/>
    <w:link w:val="Subtitle"/>
    <w:rsid w:val="005564FB"/>
    <w:rPr>
      <w:rFonts w:ascii="Arial" w:hAnsi="Arial" w:eastAsiaTheme="majorEastAsia"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styleId="TitleChar" w:customStyle="1">
    <w:name w:val="Title Char"/>
    <w:basedOn w:val="DefaultParagraphFont"/>
    <w:link w:val="Title"/>
    <w:rsid w:val="00751A23"/>
    <w:rPr>
      <w:rFonts w:ascii="Arial" w:hAnsi="Arial" w:eastAsiaTheme="majorEastAsia"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color="3F4A75" w:themeColor="accent1" w:sz="4" w:space="4"/>
      </w:pBdr>
      <w:spacing w:before="200" w:after="280"/>
      <w:ind w:left="936" w:right="936"/>
    </w:pPr>
    <w:rPr>
      <w:b/>
      <w:bCs/>
      <w:i/>
      <w:iCs/>
      <w:color w:val="3F4A75" w:themeColor="accent1"/>
    </w:rPr>
  </w:style>
  <w:style w:type="character" w:styleId="IntenseQuoteChar" w:customStyle="1">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styleId="BalloonTextChar" w:customStyle="1">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left" w:customStyle="1">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styleId="HeaderChar" w:customStyle="1">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styleId="Headertext" w:customStyle="1">
    <w:name w:val="Header text"/>
    <w:basedOn w:val="Normal"/>
    <w:rsid w:val="006043C7"/>
    <w:pPr>
      <w:jc w:val="right"/>
    </w:pPr>
    <w:rPr>
      <w:sz w:val="20"/>
    </w:rPr>
  </w:style>
  <w:style w:type="character" w:styleId="Hyperlink">
    <w:name w:val="Hyperlink"/>
    <w:aliases w:val="Hyperlink Cab"/>
    <w:basedOn w:val="DefaultParagraphFont"/>
    <w:uiPriority w:val="99"/>
    <w:qFormat/>
    <w:rsid w:val="00224F6B"/>
    <w:rPr>
      <w:rFonts w:ascii="Helvetica" w:hAnsi="Helvetica"/>
      <w:color w:val="0000FF" w:themeColor="hyperlink"/>
      <w:sz w:val="21"/>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Heading1Purple" w:customStyle="1">
    <w:name w:val="Heading 1 Purple"/>
    <w:basedOn w:val="Heading1"/>
    <w:next w:val="Paragraphtext"/>
    <w:rsid w:val="0091389F"/>
    <w:rPr>
      <w:color w:val="8D188D"/>
    </w:rPr>
  </w:style>
  <w:style w:type="paragraph" w:styleId="Heading2Purple" w:customStyle="1">
    <w:name w:val="Heading 2 Purple"/>
    <w:basedOn w:val="Heading2"/>
    <w:next w:val="Paragraphtext"/>
    <w:rsid w:val="00922722"/>
    <w:pPr>
      <w:spacing w:before="180"/>
    </w:pPr>
    <w:rPr>
      <w:color w:val="8D188D"/>
    </w:rPr>
  </w:style>
  <w:style w:type="paragraph" w:styleId="Tablelistbullet" w:customStyle="1">
    <w:name w:val="Table list bullet"/>
    <w:basedOn w:val="Tabletextleft"/>
    <w:qFormat/>
    <w:rsid w:val="00110478"/>
    <w:pPr>
      <w:numPr>
        <w:numId w:val="2"/>
      </w:numPr>
      <w:ind w:left="284" w:hanging="284"/>
    </w:pPr>
    <w:rPr>
      <w:szCs w:val="20"/>
    </w:rPr>
  </w:style>
  <w:style w:type="paragraph" w:styleId="Tablelistnumber" w:customStyle="1">
    <w:name w:val="Table list number"/>
    <w:basedOn w:val="Tabletextleft"/>
    <w:qFormat/>
    <w:rsid w:val="00DD2061"/>
    <w:pPr>
      <w:numPr>
        <w:numId w:val="3"/>
      </w:numPr>
    </w:pPr>
    <w:rPr>
      <w:bCs/>
      <w14:numSpacing w14:val="proportional"/>
    </w:rPr>
  </w:style>
  <w:style w:type="paragraph" w:styleId="TableHeader" w:customStyle="1">
    <w:name w:val="Table Header"/>
    <w:basedOn w:val="Normal"/>
    <w:next w:val="Tabletextleft"/>
    <w:qFormat/>
    <w:rsid w:val="00DC2313"/>
    <w:pPr>
      <w:spacing w:before="80" w:after="80"/>
    </w:pPr>
    <w:rPr>
      <w:rFonts w:eastAsia="Cambria"/>
      <w:b/>
      <w:color w:val="FFFFFF" w:themeColor="background1"/>
      <w:szCs w:val="22"/>
      <w:lang w:val="en-US"/>
    </w:rPr>
  </w:style>
  <w:style w:type="paragraph" w:styleId="SectionHeading" w:customStyle="1">
    <w:name w:val="Section Heading"/>
    <w:basedOn w:val="Heading1"/>
    <w:next w:val="Paragraphtext"/>
    <w:rsid w:val="00CE6502"/>
    <w:rPr>
      <w:szCs w:val="32"/>
    </w:rPr>
  </w:style>
  <w:style w:type="paragraph" w:styleId="Heading1Orange" w:customStyle="1">
    <w:name w:val="Heading 1 Orange"/>
    <w:basedOn w:val="Heading1"/>
    <w:next w:val="Paragraphtext"/>
    <w:rsid w:val="00AB1EE7"/>
    <w:rPr>
      <w:color w:val="D72F0D"/>
    </w:rPr>
  </w:style>
  <w:style w:type="paragraph" w:styleId="Heading2Orange" w:customStyle="1">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Style1" w:customStyle="1">
    <w:name w:val="Style1"/>
    <w:next w:val="Normal"/>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table" w:styleId="DepartmentofHealthtable" w:customStyle="1">
    <w:name w:val="Department of Health table"/>
    <w:basedOn w:val="TableNormal"/>
    <w:uiPriority w:val="99"/>
    <w:rsid w:val="00DC2313"/>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TableTitleChar" w:customStyle="1">
    <w:name w:val="Table Title Char"/>
    <w:basedOn w:val="DefaultParagraphFont"/>
    <w:link w:val="TableTitle"/>
    <w:rsid w:val="00DC7910"/>
    <w:rPr>
      <w:rFonts w:ascii="Arial" w:hAnsi="Arial"/>
      <w:b/>
      <w:color w:val="000000" w:themeColor="text1"/>
      <w:sz w:val="22"/>
      <w:szCs w:val="24"/>
      <w:lang w:val="en-US" w:eastAsia="en-US"/>
    </w:rPr>
  </w:style>
  <w:style w:type="paragraph" w:styleId="IntroPara" w:customStyle="1">
    <w:name w:val="Intro Para"/>
    <w:basedOn w:val="Paragraphtext"/>
    <w:next w:val="Paragraphtext"/>
    <w:qFormat/>
    <w:rsid w:val="009127BC"/>
    <w:pPr>
      <w:spacing w:before="480" w:line="400" w:lineRule="exact"/>
    </w:pPr>
    <w:rPr>
      <w:color w:val="358189"/>
      <w:sz w:val="28"/>
    </w:rPr>
  </w:style>
  <w:style w:type="paragraph" w:styleId="TableTextright" w:customStyle="1">
    <w:name w:val="Table Text right"/>
    <w:basedOn w:val="Tabletextleft"/>
    <w:rsid w:val="009127BC"/>
    <w:pPr>
      <w:jc w:val="right"/>
    </w:pPr>
  </w:style>
  <w:style w:type="paragraph" w:styleId="Tabletextright0" w:customStyle="1">
    <w:name w:val="Table text right"/>
    <w:basedOn w:val="Tabletextleft"/>
    <w:rsid w:val="009127BC"/>
    <w:pPr>
      <w:jc w:val="right"/>
    </w:pPr>
  </w:style>
  <w:style w:type="paragraph" w:styleId="Tabletextcentre" w:customStyle="1">
    <w:name w:val="Table text centre"/>
    <w:basedOn w:val="Tabletextleft"/>
    <w:rsid w:val="009127BC"/>
    <w:pPr>
      <w:jc w:val="center"/>
    </w:pPr>
  </w:style>
  <w:style w:type="paragraph" w:styleId="Boxheading" w:customStyle="1">
    <w:name w:val="Box heading"/>
    <w:basedOn w:val="Boxtype"/>
    <w:rsid w:val="00CA4BE3"/>
    <w:pPr>
      <w:spacing w:before="240"/>
    </w:pPr>
    <w:rPr>
      <w:rFonts w:cs="Times New Roman"/>
      <w:b/>
      <w:bCs/>
      <w:caps/>
      <w:color w:val="358189"/>
      <w:szCs w:val="20"/>
    </w:rPr>
  </w:style>
  <w:style w:type="paragraph" w:styleId="Boxtype" w:customStyle="1">
    <w:name w:val="Box type"/>
    <w:next w:val="Normal"/>
    <w:qFormat/>
    <w:rsid w:val="00CA4BE3"/>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paragraph" w:styleId="BodyText">
    <w:name w:val="Body Text"/>
    <w:aliases w:val="CAB Body Text"/>
    <w:link w:val="BodyTextChar"/>
    <w:qFormat/>
    <w:rsid w:val="0074628F"/>
    <w:pPr>
      <w:spacing w:before="120"/>
    </w:pPr>
    <w:rPr>
      <w:rFonts w:ascii="Arial" w:hAnsi="Arial" w:eastAsiaTheme="minorHAnsi" w:cstheme="minorBidi"/>
      <w:sz w:val="22"/>
      <w:szCs w:val="22"/>
      <w:lang w:eastAsia="en-US"/>
    </w:rPr>
  </w:style>
  <w:style w:type="character" w:styleId="BodyTextChar" w:customStyle="1">
    <w:name w:val="Body Text Char"/>
    <w:aliases w:val="CAB Body Text Char"/>
    <w:basedOn w:val="DefaultParagraphFont"/>
    <w:link w:val="BodyText"/>
    <w:rsid w:val="0074628F"/>
    <w:rPr>
      <w:rFonts w:ascii="Arial" w:hAnsi="Arial" w:eastAsiaTheme="minorHAnsi" w:cstheme="minorBidi"/>
      <w:sz w:val="22"/>
      <w:szCs w:val="22"/>
      <w:lang w:eastAsia="en-US"/>
    </w:rPr>
  </w:style>
  <w:style w:type="character" w:styleId="UnresolvedMention1" w:customStyle="1">
    <w:name w:val="Unresolved Mention1"/>
    <w:basedOn w:val="DefaultParagraphFont"/>
    <w:uiPriority w:val="99"/>
    <w:semiHidden/>
    <w:unhideWhenUsed/>
    <w:rsid w:val="007F2135"/>
    <w:rPr>
      <w:color w:val="605E5C"/>
      <w:shd w:val="clear" w:color="auto" w:fill="E1DFDD"/>
    </w:rPr>
  </w:style>
  <w:style w:type="paragraph" w:styleId="TableText" w:customStyle="1">
    <w:name w:val="TableText"/>
    <w:basedOn w:val="Normal"/>
    <w:qFormat/>
    <w:rsid w:val="00F24416"/>
    <w:pPr>
      <w:spacing w:before="120" w:after="120"/>
    </w:pPr>
    <w:rPr>
      <w:rFonts w:ascii="Century Gothic" w:hAnsi="Century Gothic" w:cs="Calibri" w:eastAsiaTheme="minorHAnsi"/>
      <w:sz w:val="20"/>
      <w:szCs w:val="20"/>
    </w:rPr>
  </w:style>
  <w:style w:type="character" w:styleId="ListParagraphChar" w:customStyle="1">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5F2AF1"/>
    <w:rPr>
      <w:rFonts w:ascii="Arial" w:hAnsi="Arial"/>
      <w:sz w:val="22"/>
      <w:szCs w:val="24"/>
      <w:lang w:eastAsia="en-US"/>
    </w:rPr>
  </w:style>
  <w:style w:type="character" w:styleId="CommentReference">
    <w:name w:val="annotation reference"/>
    <w:basedOn w:val="DefaultParagraphFont"/>
    <w:semiHidden/>
    <w:unhideWhenUsed/>
    <w:rsid w:val="00B1185B"/>
    <w:rPr>
      <w:sz w:val="16"/>
      <w:szCs w:val="16"/>
    </w:rPr>
  </w:style>
  <w:style w:type="paragraph" w:styleId="CommentText">
    <w:name w:val="annotation text"/>
    <w:basedOn w:val="Normal"/>
    <w:link w:val="CommentTextChar"/>
    <w:unhideWhenUsed/>
    <w:rsid w:val="00B1185B"/>
    <w:rPr>
      <w:sz w:val="20"/>
      <w:szCs w:val="20"/>
    </w:rPr>
  </w:style>
  <w:style w:type="character" w:styleId="CommentTextChar" w:customStyle="1">
    <w:name w:val="Comment Text Char"/>
    <w:basedOn w:val="DefaultParagraphFont"/>
    <w:link w:val="CommentText"/>
    <w:rsid w:val="00B1185B"/>
    <w:rPr>
      <w:rFonts w:ascii="Arial" w:hAnsi="Arial"/>
      <w:lang w:eastAsia="en-US"/>
    </w:rPr>
  </w:style>
  <w:style w:type="paragraph" w:styleId="CommentSubject">
    <w:name w:val="annotation subject"/>
    <w:basedOn w:val="CommentText"/>
    <w:next w:val="CommentText"/>
    <w:link w:val="CommentSubjectChar"/>
    <w:semiHidden/>
    <w:unhideWhenUsed/>
    <w:rsid w:val="00B1185B"/>
    <w:rPr>
      <w:b/>
      <w:bCs/>
    </w:rPr>
  </w:style>
  <w:style w:type="character" w:styleId="CommentSubjectChar" w:customStyle="1">
    <w:name w:val="Comment Subject Char"/>
    <w:basedOn w:val="CommentTextChar"/>
    <w:link w:val="CommentSubject"/>
    <w:semiHidden/>
    <w:rsid w:val="00B1185B"/>
    <w:rPr>
      <w:rFonts w:ascii="Arial" w:hAnsi="Arial"/>
      <w:b/>
      <w:bCs/>
      <w:lang w:eastAsia="en-US"/>
    </w:rPr>
  </w:style>
  <w:style w:type="table" w:styleId="LightGrid-Accent2">
    <w:name w:val="Light Grid Accent 2"/>
    <w:basedOn w:val="TableNormal"/>
    <w:uiPriority w:val="62"/>
    <w:locked/>
    <w:rsid w:val="002A239A"/>
    <w:rPr>
      <w:rFonts w:asciiTheme="minorHAnsi" w:hAnsiTheme="minorHAnsi" w:eastAsiaTheme="minorEastAsia" w:cstheme="minorBidi"/>
      <w:sz w:val="24"/>
      <w:szCs w:val="24"/>
      <w:lang w:eastAsia="en-US"/>
    </w:rPr>
    <w:tblPr>
      <w:tblStyleRowBandSize w:val="1"/>
      <w:tblStyleColBandSize w:val="1"/>
      <w:tblBorders>
        <w:top w:val="single" w:color="358189" w:themeColor="accent2" w:sz="8" w:space="0"/>
        <w:left w:val="single" w:color="358189" w:themeColor="accent2" w:sz="8" w:space="0"/>
        <w:bottom w:val="single" w:color="358189" w:themeColor="accent2" w:sz="8" w:space="0"/>
        <w:right w:val="single" w:color="358189" w:themeColor="accent2" w:sz="8" w:space="0"/>
        <w:insideH w:val="single" w:color="358189" w:themeColor="accent2" w:sz="8" w:space="0"/>
        <w:insideV w:val="single" w:color="358189" w:themeColor="accent2" w:sz="8" w:space="0"/>
      </w:tblBorders>
    </w:tblPr>
    <w:tcPr>
      <w:shd w:val="clear" w:color="auto" w:fill="auto"/>
    </w:tcPr>
    <w:tblStylePr w:type="firstRow">
      <w:pPr>
        <w:spacing w:before="0" w:after="0" w:line="240" w:lineRule="auto"/>
      </w:pPr>
      <w:rPr>
        <w:rFonts w:asciiTheme="majorHAnsi" w:hAnsiTheme="majorHAnsi" w:eastAsiaTheme="majorEastAsia" w:cstheme="majorBidi"/>
        <w:b/>
        <w:bCs/>
      </w:rPr>
      <w:tblPr/>
      <w:tcPr>
        <w:shd w:val="clear" w:color="auto" w:fill="CD0920"/>
      </w:tcPr>
    </w:tblStylePr>
    <w:tblStylePr w:type="lastRow">
      <w:pPr>
        <w:spacing w:before="0" w:after="0" w:line="240" w:lineRule="auto"/>
      </w:pPr>
      <w:rPr>
        <w:rFonts w:asciiTheme="majorHAnsi" w:hAnsiTheme="majorHAnsi" w:eastAsiaTheme="majorEastAsia" w:cstheme="majorBidi"/>
        <w:b/>
        <w:bCs/>
      </w:rPr>
      <w:tblPr/>
      <w:tcPr>
        <w:tcBorders>
          <w:top w:val="double" w:color="358189" w:themeColor="accent2" w:sz="6" w:space="0"/>
          <w:left w:val="single" w:color="358189" w:themeColor="accent2" w:sz="8" w:space="0"/>
          <w:bottom w:val="single" w:color="358189" w:themeColor="accent2" w:sz="8" w:space="0"/>
          <w:right w:val="single" w:color="358189" w:themeColor="accent2" w:sz="8" w:space="0"/>
          <w:insideH w:val="nil"/>
          <w:insideV w:val="single" w:color="358189"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58189" w:themeColor="accent2" w:sz="8" w:space="0"/>
          <w:left w:val="single" w:color="358189" w:themeColor="accent2" w:sz="8" w:space="0"/>
          <w:bottom w:val="single" w:color="358189" w:themeColor="accent2" w:sz="8" w:space="0"/>
          <w:right w:val="single" w:color="358189" w:themeColor="accent2" w:sz="8" w:space="0"/>
        </w:tcBorders>
      </w:tcPr>
    </w:tblStylePr>
    <w:tblStylePr w:type="band2Horz">
      <w:tblPr/>
      <w:tcPr>
        <w:tcBorders>
          <w:top w:val="single" w:color="358189" w:themeColor="accent2" w:sz="8" w:space="0"/>
          <w:left w:val="single" w:color="358189" w:themeColor="accent2" w:sz="8" w:space="0"/>
          <w:bottom w:val="single" w:color="358189" w:themeColor="accent2" w:sz="8" w:space="0"/>
          <w:right w:val="single" w:color="358189" w:themeColor="accent2" w:sz="8" w:space="0"/>
          <w:insideV w:val="single" w:color="358189" w:themeColor="accent2" w:sz="8" w:space="0"/>
        </w:tcBorders>
      </w:tcPr>
    </w:tblStylePr>
  </w:style>
  <w:style w:type="character" w:styleId="Heading2Char" w:customStyle="1">
    <w:name w:val="Heading 2 Char"/>
    <w:basedOn w:val="DefaultParagraphFont"/>
    <w:link w:val="Heading2"/>
    <w:rsid w:val="00104FAD"/>
    <w:rPr>
      <w:rFonts w:ascii="Arial" w:hAnsi="Arial" w:cs="Arial"/>
      <w:bCs/>
      <w:iCs/>
      <w:color w:val="358189"/>
      <w:sz w:val="32"/>
      <w:szCs w:val="28"/>
      <w:lang w:eastAsia="en-US"/>
    </w:rPr>
  </w:style>
  <w:style w:type="character" w:styleId="FollowedHyperlink">
    <w:name w:val="FollowedHyperlink"/>
    <w:basedOn w:val="DefaultParagraphFont"/>
    <w:semiHidden/>
    <w:unhideWhenUsed/>
    <w:rsid w:val="001C33F2"/>
    <w:rPr>
      <w:color w:val="800080" w:themeColor="followedHyperlink"/>
      <w:u w:val="single"/>
    </w:rPr>
  </w:style>
  <w:style w:type="paragraph" w:styleId="Revision">
    <w:name w:val="Revision"/>
    <w:hidden/>
    <w:uiPriority w:val="99"/>
    <w:semiHidden/>
    <w:rsid w:val="00E069CB"/>
    <w:rPr>
      <w:rFonts w:ascii="Arial" w:hAnsi="Arial"/>
      <w:sz w:val="22"/>
      <w:szCs w:val="24"/>
      <w:lang w:eastAsia="en-US"/>
    </w:rPr>
  </w:style>
  <w:style w:type="character" w:styleId="FootnoteReference">
    <w:name w:val="footnote reference"/>
    <w:basedOn w:val="DefaultParagraphFont"/>
    <w:semiHidden/>
    <w:unhideWhenUsed/>
    <w:rsid w:val="00FF1722"/>
    <w:rPr>
      <w:vertAlign w:val="superscript"/>
    </w:rPr>
  </w:style>
  <w:style w:type="paragraph" w:styleId="paragraph" w:customStyle="1">
    <w:name w:val="paragraph"/>
    <w:basedOn w:val="Normal"/>
    <w:rsid w:val="00086106"/>
    <w:pPr>
      <w:spacing w:before="100" w:beforeAutospacing="1" w:after="100" w:afterAutospacing="1"/>
    </w:pPr>
    <w:rPr>
      <w:rFonts w:ascii="Times New Roman" w:hAnsi="Times New Roman"/>
      <w:sz w:val="24"/>
      <w:lang w:eastAsia="en-AU"/>
    </w:rPr>
  </w:style>
  <w:style w:type="character" w:styleId="normaltextrun" w:customStyle="1">
    <w:name w:val="normaltextrun"/>
    <w:basedOn w:val="DefaultParagraphFont"/>
    <w:rsid w:val="00086106"/>
  </w:style>
  <w:style w:type="character" w:styleId="scxw205342516" w:customStyle="1">
    <w:name w:val="scxw205342516"/>
    <w:basedOn w:val="DefaultParagraphFont"/>
    <w:rsid w:val="00086106"/>
  </w:style>
  <w:style w:type="character" w:styleId="eop" w:customStyle="1">
    <w:name w:val="eop"/>
    <w:basedOn w:val="DefaultParagraphFont"/>
    <w:rsid w:val="00086106"/>
  </w:style>
  <w:style w:type="paragraph" w:styleId="Recommendationheading" w:customStyle="1">
    <w:name w:val="Recommendation heading"/>
    <w:basedOn w:val="Normal"/>
    <w:qFormat/>
    <w:rsid w:val="00EC4D9F"/>
    <w:rPr>
      <w:rFonts w:asciiTheme="minorHAnsi" w:hAnsiTheme="minorHAnsi" w:eastAsiaTheme="minorHAnsi" w:cstheme="minorBidi"/>
      <w:b/>
      <w:color w:val="AB2070"/>
      <w:sz w:val="20"/>
      <w:szCs w:val="20"/>
      <w:lang w:val="en-US"/>
    </w:rPr>
  </w:style>
  <w:style w:type="character" w:styleId="Heading1Char" w:customStyle="1">
    <w:name w:val="Heading 1 Char"/>
    <w:basedOn w:val="DefaultParagraphFont"/>
    <w:link w:val="Heading1"/>
    <w:rsid w:val="00A73E8B"/>
    <w:rPr>
      <w:rFonts w:ascii="Arial" w:hAnsi="Arial" w:cs="Arial"/>
      <w:bCs/>
      <w:color w:val="3F4A75"/>
      <w:kern w:val="28"/>
      <w:sz w:val="36"/>
      <w:szCs w:val="36"/>
      <w:lang w:eastAsia="en-US"/>
    </w:rPr>
  </w:style>
  <w:style w:type="paragraph" w:styleId="TableName" w:customStyle="1">
    <w:name w:val="TableName"/>
    <w:basedOn w:val="Normal"/>
    <w:qFormat/>
    <w:rsid w:val="00A73E8B"/>
    <w:pPr>
      <w:keepNext/>
      <w:spacing w:after="120"/>
    </w:pPr>
    <w:rPr>
      <w:rFonts w:cs="Arial" w:eastAsiaTheme="minorEastAsia"/>
      <w:szCs w:val="22"/>
    </w:rPr>
  </w:style>
  <w:style w:type="character" w:styleId="UnresolvedMention" w:customStyle="1">
    <w:name w:val="Unresolved Mention"/>
    <w:basedOn w:val="DefaultParagraphFont"/>
    <w:uiPriority w:val="99"/>
    <w:semiHidden/>
    <w:unhideWhenUsed/>
    <w:rsid w:val="00C57059"/>
    <w:rPr>
      <w:color w:val="605E5C"/>
      <w:shd w:val="clear" w:color="auto" w:fill="E1DFDD"/>
    </w:rPr>
  </w:style>
  <w:style w:type="paragraph" w:styleId="CABNETParagraph" w:customStyle="1">
    <w:name w:val="CABNET Paragraph."/>
    <w:basedOn w:val="Normal"/>
    <w:link w:val="CABNETParagraphChar"/>
    <w:uiPriority w:val="98"/>
    <w:qFormat/>
    <w:rsid w:val="00D8263D"/>
    <w:pPr>
      <w:spacing w:before="120" w:after="120"/>
    </w:pPr>
    <w:rPr>
      <w:rFonts w:eastAsiaTheme="minorHAnsi" w:cstheme="minorHAnsi"/>
      <w:szCs w:val="22"/>
    </w:rPr>
  </w:style>
  <w:style w:type="character" w:styleId="CABNETParagraphChar" w:customStyle="1">
    <w:name w:val="CABNET Paragraph. Char"/>
    <w:basedOn w:val="DefaultParagraphFont"/>
    <w:link w:val="CABNETParagraph"/>
    <w:uiPriority w:val="98"/>
    <w:rsid w:val="00D8263D"/>
    <w:rPr>
      <w:rFonts w:ascii="Arial" w:hAnsi="Arial" w:eastAsiaTheme="minorHAnsi" w:cstheme="minorHAnsi"/>
      <w:sz w:val="22"/>
      <w:szCs w:val="22"/>
      <w:lang w:eastAsia="en-US"/>
    </w:rPr>
  </w:style>
  <w:style w:type="paragraph" w:styleId="Default" w:customStyle="1">
    <w:name w:val="Default"/>
    <w:rsid w:val="00AA7D55"/>
    <w:pPr>
      <w:autoSpaceDE w:val="0"/>
      <w:autoSpaceDN w:val="0"/>
      <w:adjustRightInd w:val="0"/>
    </w:pPr>
    <w:rPr>
      <w:rFonts w:ascii="Arial" w:hAnsi="Arial" w:cs="Arial"/>
      <w:color w:val="000000"/>
      <w:sz w:val="24"/>
      <w:szCs w:val="24"/>
    </w:rPr>
  </w:style>
  <w:style w:type="paragraph" w:styleId="CM10" w:customStyle="1">
    <w:name w:val="CM10"/>
    <w:basedOn w:val="Default"/>
    <w:next w:val="Default"/>
    <w:uiPriority w:val="99"/>
    <w:rsid w:val="00AA7D55"/>
    <w:rPr>
      <w:color w:val="auto"/>
    </w:rPr>
  </w:style>
  <w:style w:type="paragraph" w:styleId="CM13" w:customStyle="1">
    <w:name w:val="CM13"/>
    <w:basedOn w:val="Default"/>
    <w:next w:val="Default"/>
    <w:uiPriority w:val="99"/>
    <w:rsid w:val="00AA7D55"/>
    <w:rPr>
      <w:color w:val="auto"/>
    </w:rPr>
  </w:style>
  <w:style w:type="paragraph" w:styleId="CM11" w:customStyle="1">
    <w:name w:val="CM11"/>
    <w:basedOn w:val="Default"/>
    <w:next w:val="Default"/>
    <w:uiPriority w:val="99"/>
    <w:rsid w:val="00AA7D55"/>
    <w:rPr>
      <w:color w:val="auto"/>
    </w:rPr>
  </w:style>
  <w:style w:type="paragraph" w:styleId="CM14" w:customStyle="1">
    <w:name w:val="CM14"/>
    <w:basedOn w:val="Default"/>
    <w:next w:val="Default"/>
    <w:uiPriority w:val="99"/>
    <w:rsid w:val="00AA7D5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2580">
      <w:bodyDiv w:val="1"/>
      <w:marLeft w:val="0"/>
      <w:marRight w:val="0"/>
      <w:marTop w:val="0"/>
      <w:marBottom w:val="0"/>
      <w:divBdr>
        <w:top w:val="none" w:sz="0" w:space="0" w:color="auto"/>
        <w:left w:val="none" w:sz="0" w:space="0" w:color="auto"/>
        <w:bottom w:val="none" w:sz="0" w:space="0" w:color="auto"/>
        <w:right w:val="none" w:sz="0" w:space="0" w:color="auto"/>
      </w:divBdr>
    </w:div>
    <w:div w:id="223370811">
      <w:bodyDiv w:val="1"/>
      <w:marLeft w:val="0"/>
      <w:marRight w:val="0"/>
      <w:marTop w:val="0"/>
      <w:marBottom w:val="0"/>
      <w:divBdr>
        <w:top w:val="none" w:sz="0" w:space="0" w:color="auto"/>
        <w:left w:val="none" w:sz="0" w:space="0" w:color="auto"/>
        <w:bottom w:val="none" w:sz="0" w:space="0" w:color="auto"/>
        <w:right w:val="none" w:sz="0" w:space="0" w:color="auto"/>
      </w:divBdr>
    </w:div>
    <w:div w:id="31052650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138548">
      <w:bodyDiv w:val="1"/>
      <w:marLeft w:val="0"/>
      <w:marRight w:val="0"/>
      <w:marTop w:val="0"/>
      <w:marBottom w:val="0"/>
      <w:divBdr>
        <w:top w:val="none" w:sz="0" w:space="0" w:color="auto"/>
        <w:left w:val="none" w:sz="0" w:space="0" w:color="auto"/>
        <w:bottom w:val="none" w:sz="0" w:space="0" w:color="auto"/>
        <w:right w:val="none" w:sz="0" w:space="0" w:color="auto"/>
      </w:divBdr>
    </w:div>
    <w:div w:id="392966554">
      <w:bodyDiv w:val="1"/>
      <w:marLeft w:val="0"/>
      <w:marRight w:val="0"/>
      <w:marTop w:val="0"/>
      <w:marBottom w:val="0"/>
      <w:divBdr>
        <w:top w:val="none" w:sz="0" w:space="0" w:color="auto"/>
        <w:left w:val="none" w:sz="0" w:space="0" w:color="auto"/>
        <w:bottom w:val="none" w:sz="0" w:space="0" w:color="auto"/>
        <w:right w:val="none" w:sz="0" w:space="0" w:color="auto"/>
      </w:divBdr>
    </w:div>
    <w:div w:id="41081198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352971">
      <w:bodyDiv w:val="1"/>
      <w:marLeft w:val="0"/>
      <w:marRight w:val="0"/>
      <w:marTop w:val="0"/>
      <w:marBottom w:val="0"/>
      <w:divBdr>
        <w:top w:val="none" w:sz="0" w:space="0" w:color="auto"/>
        <w:left w:val="none" w:sz="0" w:space="0" w:color="auto"/>
        <w:bottom w:val="none" w:sz="0" w:space="0" w:color="auto"/>
        <w:right w:val="none" w:sz="0" w:space="0" w:color="auto"/>
      </w:divBdr>
    </w:div>
    <w:div w:id="700278920">
      <w:bodyDiv w:val="1"/>
      <w:marLeft w:val="0"/>
      <w:marRight w:val="0"/>
      <w:marTop w:val="0"/>
      <w:marBottom w:val="0"/>
      <w:divBdr>
        <w:top w:val="none" w:sz="0" w:space="0" w:color="auto"/>
        <w:left w:val="none" w:sz="0" w:space="0" w:color="auto"/>
        <w:bottom w:val="none" w:sz="0" w:space="0" w:color="auto"/>
        <w:right w:val="none" w:sz="0" w:space="0" w:color="auto"/>
      </w:divBdr>
    </w:div>
    <w:div w:id="72444924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19418910">
      <w:bodyDiv w:val="1"/>
      <w:marLeft w:val="0"/>
      <w:marRight w:val="0"/>
      <w:marTop w:val="0"/>
      <w:marBottom w:val="0"/>
      <w:divBdr>
        <w:top w:val="none" w:sz="0" w:space="0" w:color="auto"/>
        <w:left w:val="none" w:sz="0" w:space="0" w:color="auto"/>
        <w:bottom w:val="none" w:sz="0" w:space="0" w:color="auto"/>
        <w:right w:val="none" w:sz="0" w:space="0" w:color="auto"/>
      </w:divBdr>
    </w:div>
    <w:div w:id="821893511">
      <w:bodyDiv w:val="1"/>
      <w:marLeft w:val="0"/>
      <w:marRight w:val="0"/>
      <w:marTop w:val="0"/>
      <w:marBottom w:val="0"/>
      <w:divBdr>
        <w:top w:val="none" w:sz="0" w:space="0" w:color="auto"/>
        <w:left w:val="none" w:sz="0" w:space="0" w:color="auto"/>
        <w:bottom w:val="none" w:sz="0" w:space="0" w:color="auto"/>
        <w:right w:val="none" w:sz="0" w:space="0" w:color="auto"/>
      </w:divBdr>
      <w:divsChild>
        <w:div w:id="1711489482">
          <w:marLeft w:val="0"/>
          <w:marRight w:val="0"/>
          <w:marTop w:val="0"/>
          <w:marBottom w:val="0"/>
          <w:divBdr>
            <w:top w:val="none" w:sz="0" w:space="0" w:color="auto"/>
            <w:left w:val="none" w:sz="0" w:space="0" w:color="auto"/>
            <w:bottom w:val="none" w:sz="0" w:space="0" w:color="auto"/>
            <w:right w:val="none" w:sz="0" w:space="0" w:color="auto"/>
          </w:divBdr>
        </w:div>
        <w:div w:id="60639754">
          <w:marLeft w:val="0"/>
          <w:marRight w:val="0"/>
          <w:marTop w:val="0"/>
          <w:marBottom w:val="0"/>
          <w:divBdr>
            <w:top w:val="none" w:sz="0" w:space="0" w:color="auto"/>
            <w:left w:val="none" w:sz="0" w:space="0" w:color="auto"/>
            <w:bottom w:val="none" w:sz="0" w:space="0" w:color="auto"/>
            <w:right w:val="none" w:sz="0" w:space="0" w:color="auto"/>
          </w:divBdr>
        </w:div>
        <w:div w:id="73401108">
          <w:marLeft w:val="0"/>
          <w:marRight w:val="0"/>
          <w:marTop w:val="0"/>
          <w:marBottom w:val="0"/>
          <w:divBdr>
            <w:top w:val="none" w:sz="0" w:space="0" w:color="auto"/>
            <w:left w:val="none" w:sz="0" w:space="0" w:color="auto"/>
            <w:bottom w:val="none" w:sz="0" w:space="0" w:color="auto"/>
            <w:right w:val="none" w:sz="0" w:space="0" w:color="auto"/>
          </w:divBdr>
        </w:div>
        <w:div w:id="815412244">
          <w:marLeft w:val="0"/>
          <w:marRight w:val="0"/>
          <w:marTop w:val="0"/>
          <w:marBottom w:val="0"/>
          <w:divBdr>
            <w:top w:val="none" w:sz="0" w:space="0" w:color="auto"/>
            <w:left w:val="none" w:sz="0" w:space="0" w:color="auto"/>
            <w:bottom w:val="none" w:sz="0" w:space="0" w:color="auto"/>
            <w:right w:val="none" w:sz="0" w:space="0" w:color="auto"/>
          </w:divBdr>
        </w:div>
        <w:div w:id="2052606583">
          <w:marLeft w:val="0"/>
          <w:marRight w:val="0"/>
          <w:marTop w:val="0"/>
          <w:marBottom w:val="0"/>
          <w:divBdr>
            <w:top w:val="none" w:sz="0" w:space="0" w:color="auto"/>
            <w:left w:val="none" w:sz="0" w:space="0" w:color="auto"/>
            <w:bottom w:val="none" w:sz="0" w:space="0" w:color="auto"/>
            <w:right w:val="none" w:sz="0" w:space="0" w:color="auto"/>
          </w:divBdr>
        </w:div>
        <w:div w:id="1158694340">
          <w:marLeft w:val="0"/>
          <w:marRight w:val="0"/>
          <w:marTop w:val="0"/>
          <w:marBottom w:val="0"/>
          <w:divBdr>
            <w:top w:val="none" w:sz="0" w:space="0" w:color="auto"/>
            <w:left w:val="none" w:sz="0" w:space="0" w:color="auto"/>
            <w:bottom w:val="none" w:sz="0" w:space="0" w:color="auto"/>
            <w:right w:val="none" w:sz="0" w:space="0" w:color="auto"/>
          </w:divBdr>
        </w:div>
        <w:div w:id="2044013133">
          <w:marLeft w:val="0"/>
          <w:marRight w:val="0"/>
          <w:marTop w:val="0"/>
          <w:marBottom w:val="0"/>
          <w:divBdr>
            <w:top w:val="none" w:sz="0" w:space="0" w:color="auto"/>
            <w:left w:val="none" w:sz="0" w:space="0" w:color="auto"/>
            <w:bottom w:val="none" w:sz="0" w:space="0" w:color="auto"/>
            <w:right w:val="none" w:sz="0" w:space="0" w:color="auto"/>
          </w:divBdr>
        </w:div>
        <w:div w:id="1530988118">
          <w:marLeft w:val="0"/>
          <w:marRight w:val="0"/>
          <w:marTop w:val="0"/>
          <w:marBottom w:val="0"/>
          <w:divBdr>
            <w:top w:val="none" w:sz="0" w:space="0" w:color="auto"/>
            <w:left w:val="none" w:sz="0" w:space="0" w:color="auto"/>
            <w:bottom w:val="none" w:sz="0" w:space="0" w:color="auto"/>
            <w:right w:val="none" w:sz="0" w:space="0" w:color="auto"/>
          </w:divBdr>
        </w:div>
        <w:div w:id="522279966">
          <w:marLeft w:val="0"/>
          <w:marRight w:val="0"/>
          <w:marTop w:val="0"/>
          <w:marBottom w:val="0"/>
          <w:divBdr>
            <w:top w:val="none" w:sz="0" w:space="0" w:color="auto"/>
            <w:left w:val="none" w:sz="0" w:space="0" w:color="auto"/>
            <w:bottom w:val="none" w:sz="0" w:space="0" w:color="auto"/>
            <w:right w:val="none" w:sz="0" w:space="0" w:color="auto"/>
          </w:divBdr>
        </w:div>
        <w:div w:id="372461558">
          <w:marLeft w:val="0"/>
          <w:marRight w:val="0"/>
          <w:marTop w:val="0"/>
          <w:marBottom w:val="0"/>
          <w:divBdr>
            <w:top w:val="none" w:sz="0" w:space="0" w:color="auto"/>
            <w:left w:val="none" w:sz="0" w:space="0" w:color="auto"/>
            <w:bottom w:val="none" w:sz="0" w:space="0" w:color="auto"/>
            <w:right w:val="none" w:sz="0" w:space="0" w:color="auto"/>
          </w:divBdr>
        </w:div>
      </w:divsChild>
    </w:div>
    <w:div w:id="971330230">
      <w:bodyDiv w:val="1"/>
      <w:marLeft w:val="0"/>
      <w:marRight w:val="0"/>
      <w:marTop w:val="0"/>
      <w:marBottom w:val="0"/>
      <w:divBdr>
        <w:top w:val="none" w:sz="0" w:space="0" w:color="auto"/>
        <w:left w:val="none" w:sz="0" w:space="0" w:color="auto"/>
        <w:bottom w:val="none" w:sz="0" w:space="0" w:color="auto"/>
        <w:right w:val="none" w:sz="0" w:space="0" w:color="auto"/>
      </w:divBdr>
    </w:div>
    <w:div w:id="1089160050">
      <w:bodyDiv w:val="1"/>
      <w:marLeft w:val="0"/>
      <w:marRight w:val="0"/>
      <w:marTop w:val="0"/>
      <w:marBottom w:val="0"/>
      <w:divBdr>
        <w:top w:val="none" w:sz="0" w:space="0" w:color="auto"/>
        <w:left w:val="none" w:sz="0" w:space="0" w:color="auto"/>
        <w:bottom w:val="none" w:sz="0" w:space="0" w:color="auto"/>
        <w:right w:val="none" w:sz="0" w:space="0" w:color="auto"/>
      </w:divBdr>
    </w:div>
    <w:div w:id="1117718643">
      <w:bodyDiv w:val="1"/>
      <w:marLeft w:val="0"/>
      <w:marRight w:val="0"/>
      <w:marTop w:val="0"/>
      <w:marBottom w:val="0"/>
      <w:divBdr>
        <w:top w:val="none" w:sz="0" w:space="0" w:color="auto"/>
        <w:left w:val="none" w:sz="0" w:space="0" w:color="auto"/>
        <w:bottom w:val="none" w:sz="0" w:space="0" w:color="auto"/>
        <w:right w:val="none" w:sz="0" w:space="0" w:color="auto"/>
      </w:divBdr>
    </w:div>
    <w:div w:id="113109231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2922813">
      <w:bodyDiv w:val="1"/>
      <w:marLeft w:val="0"/>
      <w:marRight w:val="0"/>
      <w:marTop w:val="0"/>
      <w:marBottom w:val="0"/>
      <w:divBdr>
        <w:top w:val="none" w:sz="0" w:space="0" w:color="auto"/>
        <w:left w:val="none" w:sz="0" w:space="0" w:color="auto"/>
        <w:bottom w:val="none" w:sz="0" w:space="0" w:color="auto"/>
        <w:right w:val="none" w:sz="0" w:space="0" w:color="auto"/>
      </w:divBdr>
    </w:div>
    <w:div w:id="1452505873">
      <w:bodyDiv w:val="1"/>
      <w:marLeft w:val="0"/>
      <w:marRight w:val="0"/>
      <w:marTop w:val="0"/>
      <w:marBottom w:val="0"/>
      <w:divBdr>
        <w:top w:val="none" w:sz="0" w:space="0" w:color="auto"/>
        <w:left w:val="none" w:sz="0" w:space="0" w:color="auto"/>
        <w:bottom w:val="none" w:sz="0" w:space="0" w:color="auto"/>
        <w:right w:val="none" w:sz="0" w:space="0" w:color="auto"/>
      </w:divBdr>
    </w:div>
    <w:div w:id="1461730848">
      <w:bodyDiv w:val="1"/>
      <w:marLeft w:val="0"/>
      <w:marRight w:val="0"/>
      <w:marTop w:val="0"/>
      <w:marBottom w:val="0"/>
      <w:divBdr>
        <w:top w:val="none" w:sz="0" w:space="0" w:color="auto"/>
        <w:left w:val="none" w:sz="0" w:space="0" w:color="auto"/>
        <w:bottom w:val="none" w:sz="0" w:space="0" w:color="auto"/>
        <w:right w:val="none" w:sz="0" w:space="0" w:color="auto"/>
      </w:divBdr>
    </w:div>
    <w:div w:id="1490173070">
      <w:bodyDiv w:val="1"/>
      <w:marLeft w:val="0"/>
      <w:marRight w:val="0"/>
      <w:marTop w:val="0"/>
      <w:marBottom w:val="0"/>
      <w:divBdr>
        <w:top w:val="none" w:sz="0" w:space="0" w:color="auto"/>
        <w:left w:val="none" w:sz="0" w:space="0" w:color="auto"/>
        <w:bottom w:val="none" w:sz="0" w:space="0" w:color="auto"/>
        <w:right w:val="none" w:sz="0" w:space="0" w:color="auto"/>
      </w:divBdr>
    </w:div>
    <w:div w:id="1529756925">
      <w:bodyDiv w:val="1"/>
      <w:marLeft w:val="0"/>
      <w:marRight w:val="0"/>
      <w:marTop w:val="0"/>
      <w:marBottom w:val="0"/>
      <w:divBdr>
        <w:top w:val="none" w:sz="0" w:space="0" w:color="auto"/>
        <w:left w:val="none" w:sz="0" w:space="0" w:color="auto"/>
        <w:bottom w:val="none" w:sz="0" w:space="0" w:color="auto"/>
        <w:right w:val="none" w:sz="0" w:space="0" w:color="auto"/>
      </w:divBdr>
    </w:div>
    <w:div w:id="1664119737">
      <w:bodyDiv w:val="1"/>
      <w:marLeft w:val="0"/>
      <w:marRight w:val="0"/>
      <w:marTop w:val="0"/>
      <w:marBottom w:val="0"/>
      <w:divBdr>
        <w:top w:val="none" w:sz="0" w:space="0" w:color="auto"/>
        <w:left w:val="none" w:sz="0" w:space="0" w:color="auto"/>
        <w:bottom w:val="none" w:sz="0" w:space="0" w:color="auto"/>
        <w:right w:val="none" w:sz="0" w:space="0" w:color="auto"/>
      </w:divBdr>
    </w:div>
    <w:div w:id="1755324958">
      <w:bodyDiv w:val="1"/>
      <w:marLeft w:val="0"/>
      <w:marRight w:val="0"/>
      <w:marTop w:val="0"/>
      <w:marBottom w:val="0"/>
      <w:divBdr>
        <w:top w:val="none" w:sz="0" w:space="0" w:color="auto"/>
        <w:left w:val="none" w:sz="0" w:space="0" w:color="auto"/>
        <w:bottom w:val="none" w:sz="0" w:space="0" w:color="auto"/>
        <w:right w:val="none" w:sz="0" w:space="0" w:color="auto"/>
      </w:divBdr>
    </w:div>
    <w:div w:id="1782188420">
      <w:bodyDiv w:val="1"/>
      <w:marLeft w:val="0"/>
      <w:marRight w:val="0"/>
      <w:marTop w:val="0"/>
      <w:marBottom w:val="0"/>
      <w:divBdr>
        <w:top w:val="none" w:sz="0" w:space="0" w:color="auto"/>
        <w:left w:val="none" w:sz="0" w:space="0" w:color="auto"/>
        <w:bottom w:val="none" w:sz="0" w:space="0" w:color="auto"/>
        <w:right w:val="none" w:sz="0" w:space="0" w:color="auto"/>
      </w:divBdr>
    </w:div>
    <w:div w:id="1789814866">
      <w:bodyDiv w:val="1"/>
      <w:marLeft w:val="0"/>
      <w:marRight w:val="0"/>
      <w:marTop w:val="0"/>
      <w:marBottom w:val="0"/>
      <w:divBdr>
        <w:top w:val="none" w:sz="0" w:space="0" w:color="auto"/>
        <w:left w:val="none" w:sz="0" w:space="0" w:color="auto"/>
        <w:bottom w:val="none" w:sz="0" w:space="0" w:color="auto"/>
        <w:right w:val="none" w:sz="0" w:space="0" w:color="auto"/>
      </w:divBdr>
    </w:div>
    <w:div w:id="1836189203">
      <w:bodyDiv w:val="1"/>
      <w:marLeft w:val="0"/>
      <w:marRight w:val="0"/>
      <w:marTop w:val="0"/>
      <w:marBottom w:val="0"/>
      <w:divBdr>
        <w:top w:val="none" w:sz="0" w:space="0" w:color="auto"/>
        <w:left w:val="none" w:sz="0" w:space="0" w:color="auto"/>
        <w:bottom w:val="none" w:sz="0" w:space="0" w:color="auto"/>
        <w:right w:val="none" w:sz="0" w:space="0" w:color="auto"/>
      </w:divBdr>
    </w:div>
    <w:div w:id="1938714619">
      <w:bodyDiv w:val="1"/>
      <w:marLeft w:val="0"/>
      <w:marRight w:val="0"/>
      <w:marTop w:val="0"/>
      <w:marBottom w:val="0"/>
      <w:divBdr>
        <w:top w:val="none" w:sz="0" w:space="0" w:color="auto"/>
        <w:left w:val="none" w:sz="0" w:space="0" w:color="auto"/>
        <w:bottom w:val="none" w:sz="0" w:space="0" w:color="auto"/>
        <w:right w:val="none" w:sz="0" w:space="0" w:color="auto"/>
      </w:divBdr>
    </w:div>
    <w:div w:id="21413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16/09/relationships/commentsIds" Target="commentsIds.xml" Id="rId26" /><Relationship Type="http://schemas.openxmlformats.org/officeDocument/2006/relationships/settings" Target="settings.xml" Id="rId3" /><Relationship Type="http://schemas.openxmlformats.org/officeDocument/2006/relationships/header" Target="header3.xml" Id="rId12" /><Relationship Type="http://schemas.microsoft.com/office/2018/08/relationships/commentsExtensible" Target="commentsExtensible.xml" Id="rId25"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customXml" Target="../customXml/item3.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28"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1.xml" Id="rId27" /><Relationship Type="http://schemas.openxmlformats.org/officeDocument/2006/relationships/customXml" Target="../customXml/item4.xml" Id="rId30" /><Relationship Type="http://schemas.openxmlformats.org/officeDocument/2006/relationships/glossaryDocument" Target="glossary/document.xml" Id="Rcb0534242c944dae"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5b27d5-eb66-4bbf-9834-6b0c62a647b7}"/>
      </w:docPartPr>
      <w:docPartBody>
        <w:p w14:paraId="48DDCF60">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DOCID-322795542-32469</_dlc_DocId>
    <_dlc_DocIdUrl xmlns="4195ad5f-cdf2-4c4a-8d9b-b7944a108e98">
      <Url>https://pmc01.sharepoint.com/sites/CRMOBPR/_layouts/15/DocIdRedir.aspx?ID=DOCID-322795542-32469</Url>
      <Description>DOCID-322795542-32469</Description>
    </_dlc_DocIdUrl>
  </documentManagement>
</p:properties>
</file>

<file path=customXml/itemProps1.xml><?xml version="1.0" encoding="utf-8"?>
<ds:datastoreItem xmlns:ds="http://schemas.openxmlformats.org/officeDocument/2006/customXml" ds:itemID="{21748DA1-7B87-421C-8487-0A752596D7F8}"/>
</file>

<file path=customXml/itemProps2.xml><?xml version="1.0" encoding="utf-8"?>
<ds:datastoreItem xmlns:ds="http://schemas.openxmlformats.org/officeDocument/2006/customXml" ds:itemID="{2DD25734-C089-4B96-ABCA-5894D6D3F10E}"/>
</file>

<file path=customXml/itemProps3.xml><?xml version="1.0" encoding="utf-8"?>
<ds:datastoreItem xmlns:ds="http://schemas.openxmlformats.org/officeDocument/2006/customXml" ds:itemID="{61885589-9BB3-4A4A-85A7-DBBF9735AB31}"/>
</file>

<file path=customXml/itemProps4.xml><?xml version="1.0" encoding="utf-8"?>
<ds:datastoreItem xmlns:ds="http://schemas.openxmlformats.org/officeDocument/2006/customXml" ds:itemID="{2BEC6FAC-A7F2-4CF8-90F9-FBBBDA388F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Chivers, Carmela</cp:lastModifiedBy>
  <cp:revision>2</cp:revision>
  <dcterms:created xsi:type="dcterms:W3CDTF">2023-05-09T08:48:00Z</dcterms:created>
  <dcterms:modified xsi:type="dcterms:W3CDTF">2023-05-10T02:36:01Z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76cc402e-0e30-481c-883a-dd88342cef20</vt:lpwstr>
  </property>
  <property fmtid="{D5CDD505-2E9C-101B-9397-08002B2CF9AE}" pid="4" name="MediaServiceImageTags">
    <vt:lpwstr/>
  </property>
</Properties>
</file>