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41690" w14:textId="5279F9A8" w:rsidR="00612E57" w:rsidRPr="00A461B6" w:rsidRDefault="0023294E" w:rsidP="003F50C0">
      <w:pPr>
        <w:pStyle w:val="BodyText"/>
        <w:rPr>
          <w:rFonts w:cs="Arial"/>
          <w:smallCaps/>
          <w:sz w:val="36"/>
          <w:szCs w:val="36"/>
        </w:rPr>
      </w:pPr>
      <w:r w:rsidRPr="00A461B6">
        <w:rPr>
          <w:noProof/>
          <w:lang w:eastAsia="en-AU"/>
        </w:rPr>
        <mc:AlternateContent>
          <mc:Choice Requires="wps">
            <w:drawing>
              <wp:anchor distT="0" distB="0" distL="114300" distR="114300" simplePos="0" relativeHeight="251693056" behindDoc="0" locked="1" layoutInCell="1" allowOverlap="1" wp14:anchorId="6925EE86" wp14:editId="6F3C7826">
                <wp:simplePos x="0" y="0"/>
                <wp:positionH relativeFrom="page">
                  <wp:align>right</wp:align>
                </wp:positionH>
                <wp:positionV relativeFrom="page">
                  <wp:align>top</wp:align>
                </wp:positionV>
                <wp:extent cx="108000" cy="10710000"/>
                <wp:effectExtent l="0" t="0" r="6350" b="0"/>
                <wp:wrapNone/>
                <wp:docPr id="70" name="Rectangle 70"/>
                <wp:cNvGraphicFramePr/>
                <a:graphic xmlns:a="http://schemas.openxmlformats.org/drawingml/2006/main">
                  <a:graphicData uri="http://schemas.microsoft.com/office/word/2010/wordprocessingShape">
                    <wps:wsp>
                      <wps:cNvSpPr/>
                      <wps:spPr>
                        <a:xfrm>
                          <a:off x="0" y="0"/>
                          <a:ext cx="108000" cy="10710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1A336" id="Rectangle 70" o:spid="_x0000_s1026" style="position:absolute;margin-left:-42.7pt;margin-top:0;width:8.5pt;height:843.3pt;z-index:25169305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" fillcolor="white [3212]" stroked="f" strokeweight="1pt">
                <w10:wrap anchorx="page" anchory="page"/>
                <w10:anchorlock/>
              </v:rect>
            </w:pict>
          </mc:Fallback>
        </mc:AlternateContent>
      </w:r>
      <w:r w:rsidRPr="00A461B6">
        <w:rPr>
          <w:noProof/>
          <w:lang w:eastAsia="en-AU"/>
        </w:rPr>
        <mc:AlternateContent>
          <mc:Choice Requires="wps">
            <w:drawing>
              <wp:anchor distT="45720" distB="45720" distL="114300" distR="114300" simplePos="0" relativeHeight="251694080" behindDoc="1" locked="1" layoutInCell="1" allowOverlap="1" wp14:anchorId="7DDA321A" wp14:editId="36C109A7">
                <wp:simplePos x="0" y="0"/>
                <wp:positionH relativeFrom="page">
                  <wp:posOffset>0</wp:posOffset>
                </wp:positionH>
                <wp:positionV relativeFrom="page">
                  <wp:posOffset>9970770</wp:posOffset>
                </wp:positionV>
                <wp:extent cx="7560945" cy="719455"/>
                <wp:effectExtent l="0" t="0" r="1905" b="4445"/>
                <wp:wrapNone/>
                <wp:docPr id="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719455"/>
                        </a:xfrm>
                        <a:prstGeom prst="rect">
                          <a:avLst/>
                        </a:prstGeom>
                        <a:solidFill>
                          <a:sysClr val="window" lastClr="FFFFFF"/>
                        </a:solidFill>
                        <a:ln w="9525">
                          <a:noFill/>
                          <a:miter lim="800000"/>
                          <a:headEnd/>
                          <a:tailEnd/>
                        </a:ln>
                      </wps:spPr>
                      <wps:txbx>
                        <w:txbxContent>
                          <w:p w14:paraId="0360B3B7" w14:textId="77777777" w:rsidR="008A555F" w:rsidRPr="00543FDE" w:rsidRDefault="008A555F"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DA321A" id="_x0000_t202" coordsize="21600,21600" o:spt="202" path="m,l,21600r21600,l21600,xe">
                <v:stroke joinstyle="miter"/>
                <v:path gradientshapeok="t" o:connecttype="rect"/>
              </v:shapetype>
              <v:shape id="Text Box 2" o:spid="_x0000_s1026" type="#_x0000_t202" style="position:absolute;margin-left:0;margin-top:785.1pt;width:595.3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" fillcolor="window" stroked="f">
                <v:textbox inset="0,0,0,0">
                  <w:txbxContent>
                    <w:p w14:paraId="0360B3B7" w14:textId="77777777" w:rsidR="008A555F" w:rsidRPr="00543FDE" w:rsidRDefault="008A555F" w:rsidP="004616FF">
                      <w:pPr>
                        <w:pStyle w:val="ProtectiveMarking"/>
                      </w:pPr>
                    </w:p>
                  </w:txbxContent>
                </v:textbox>
                <w10:wrap anchorx="page" anchory="page"/>
                <w10:anchorlock/>
              </v:shape>
            </w:pict>
          </mc:Fallback>
        </mc:AlternateContent>
      </w:r>
    </w:p>
    <w:p w14:paraId="02DE4144" w14:textId="5FBC98CB" w:rsidR="00612E57" w:rsidRPr="00A461B6" w:rsidRDefault="00612E57" w:rsidP="00245F35">
      <w:pPr>
        <w:pStyle w:val="Title"/>
        <w:jc w:val="both"/>
        <w:outlineLvl w:val="9"/>
        <w:rPr>
          <w:rFonts w:cs="Arial"/>
          <w:smallCaps/>
          <w:sz w:val="36"/>
          <w:szCs w:val="36"/>
        </w:rPr>
      </w:pPr>
      <w:bookmarkStart w:id="0" w:name="_Toc130753982"/>
      <w:bookmarkStart w:id="1" w:name="_Toc130754156"/>
      <w:bookmarkStart w:id="2" w:name="_Toc131356034"/>
      <w:bookmarkStart w:id="3" w:name="_Toc131364596"/>
      <w:bookmarkStart w:id="4" w:name="_Toc131364969"/>
      <w:bookmarkStart w:id="5" w:name="_Toc131445559"/>
      <w:bookmarkStart w:id="6" w:name="_Toc131450850"/>
      <w:bookmarkStart w:id="7" w:name="_Toc132192283"/>
      <w:bookmarkStart w:id="8" w:name="_Toc132273280"/>
      <w:bookmarkStart w:id="9" w:name="_Toc132284447"/>
      <w:bookmarkStart w:id="10" w:name="_Toc133840767"/>
      <w:bookmarkStart w:id="11" w:name="_Toc134009945"/>
      <w:bookmarkStart w:id="12" w:name="_Toc134426510"/>
      <w:bookmarkStart w:id="13" w:name="_Toc134426720"/>
      <w:bookmarkStart w:id="14" w:name="_Toc134441421"/>
      <w:r w:rsidRPr="00A461B6">
        <w:rPr>
          <w:rFonts w:cs="Arial"/>
          <w:smallCaps/>
          <w:sz w:val="36"/>
          <w:szCs w:val="36"/>
        </w:rPr>
        <w:t xml:space="preserve">Impact </w:t>
      </w:r>
      <w:r w:rsidR="0054736A" w:rsidRPr="00A461B6">
        <w:rPr>
          <w:rFonts w:cs="Arial"/>
          <w:smallCaps/>
          <w:sz w:val="36"/>
          <w:szCs w:val="36"/>
        </w:rPr>
        <w:t>A</w:t>
      </w:r>
      <w:r w:rsidR="00664043" w:rsidRPr="00A461B6">
        <w:rPr>
          <w:rFonts w:cs="Arial"/>
          <w:smallCaps/>
          <w:sz w:val="36"/>
          <w:szCs w:val="36"/>
        </w:rPr>
        <w:t>nalysis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37A6FDF" w14:textId="77777777" w:rsidR="00612E57" w:rsidRPr="00A461B6" w:rsidRDefault="00612E57" w:rsidP="003F50C0">
      <w:pPr>
        <w:pStyle w:val="BodyText"/>
        <w:rPr>
          <w:color w:val="014463" w:themeColor="text2"/>
        </w:rPr>
      </w:pPr>
    </w:p>
    <w:p w14:paraId="2B229143" w14:textId="4E1CE146" w:rsidR="00612E57" w:rsidRPr="00A461B6" w:rsidRDefault="00612E57" w:rsidP="003F50C0">
      <w:pPr>
        <w:pStyle w:val="BodyText"/>
        <w:rPr>
          <w:rFonts w:cs="Arial"/>
          <w:b/>
          <w:smallCaps/>
          <w:color w:val="014463" w:themeColor="text2"/>
          <w:sz w:val="36"/>
          <w:szCs w:val="36"/>
        </w:rPr>
      </w:pPr>
      <w:bookmarkStart w:id="15" w:name="_Toc130753983"/>
      <w:r w:rsidRPr="00A461B6">
        <w:rPr>
          <w:rFonts w:cs="Arial"/>
          <w:b/>
          <w:smallCaps/>
          <w:color w:val="014463" w:themeColor="text2"/>
          <w:sz w:val="36"/>
          <w:szCs w:val="36"/>
        </w:rPr>
        <w:t>Lowering the Costs of Medicines Through Changes to Maximum Dispensing Quantities</w:t>
      </w:r>
      <w:bookmarkEnd w:id="15"/>
    </w:p>
    <w:p w14:paraId="682B7A40" w14:textId="77777777" w:rsidR="00612E57" w:rsidRPr="00A461B6" w:rsidRDefault="00612E57" w:rsidP="003F50C0">
      <w:pPr>
        <w:pStyle w:val="BodyText"/>
        <w:rPr>
          <w:rFonts w:cs="Arial"/>
          <w:b/>
          <w:smallCaps/>
          <w:color w:val="014463" w:themeColor="text2"/>
          <w:sz w:val="36"/>
          <w:szCs w:val="36"/>
        </w:rPr>
      </w:pPr>
    </w:p>
    <w:p w14:paraId="22E5DD70" w14:textId="21E3CC14" w:rsidR="00612E57" w:rsidRPr="00A461B6" w:rsidRDefault="00612E57" w:rsidP="00245F35">
      <w:pPr>
        <w:pStyle w:val="BodyText"/>
        <w:rPr>
          <w:rFonts w:cs="Arial"/>
          <w:b/>
          <w:smallCaps/>
          <w:color w:val="014463" w:themeColor="text2"/>
          <w:sz w:val="36"/>
          <w:szCs w:val="36"/>
        </w:rPr>
      </w:pPr>
      <w:r w:rsidRPr="00A461B6">
        <w:rPr>
          <w:rFonts w:cs="Arial"/>
          <w:b/>
          <w:smallCaps/>
          <w:color w:val="014463" w:themeColor="text2"/>
          <w:sz w:val="36"/>
          <w:szCs w:val="36"/>
        </w:rPr>
        <w:t xml:space="preserve">Office of </w:t>
      </w:r>
      <w:r w:rsidR="0056439C" w:rsidRPr="00A461B6">
        <w:rPr>
          <w:rFonts w:cs="Arial"/>
          <w:b/>
          <w:smallCaps/>
          <w:color w:val="014463" w:themeColor="text2"/>
          <w:sz w:val="36"/>
          <w:szCs w:val="36"/>
        </w:rPr>
        <w:t xml:space="preserve">Impact </w:t>
      </w:r>
      <w:r w:rsidR="00BB2EE5" w:rsidRPr="00A461B6">
        <w:rPr>
          <w:rFonts w:cs="Arial"/>
          <w:b/>
          <w:smallCaps/>
          <w:color w:val="014463" w:themeColor="text2"/>
          <w:sz w:val="36"/>
          <w:szCs w:val="36"/>
        </w:rPr>
        <w:t>A</w:t>
      </w:r>
      <w:r w:rsidR="0039527B" w:rsidRPr="00A461B6">
        <w:rPr>
          <w:rFonts w:cs="Arial"/>
          <w:b/>
          <w:smallCaps/>
          <w:color w:val="014463" w:themeColor="text2"/>
          <w:sz w:val="36"/>
          <w:szCs w:val="36"/>
        </w:rPr>
        <w:t>nalysis</w:t>
      </w:r>
      <w:r w:rsidRPr="00A461B6">
        <w:rPr>
          <w:rFonts w:cs="Arial"/>
          <w:b/>
          <w:smallCaps/>
          <w:color w:val="014463" w:themeColor="text2"/>
          <w:sz w:val="36"/>
          <w:szCs w:val="36"/>
        </w:rPr>
        <w:t xml:space="preserve"> ID: 22-03771</w:t>
      </w:r>
    </w:p>
    <w:p w14:paraId="3F571AB9" w14:textId="77777777" w:rsidR="00612E57" w:rsidRPr="00A461B6" w:rsidRDefault="00612E57">
      <w:pPr>
        <w:rPr>
          <w:rFonts w:cs="Arial"/>
          <w:smallCaps/>
          <w:sz w:val="36"/>
          <w:szCs w:val="36"/>
        </w:rPr>
      </w:pPr>
      <w:r w:rsidRPr="00A461B6">
        <w:rPr>
          <w:rFonts w:cs="Arial"/>
          <w:smallCaps/>
          <w:sz w:val="36"/>
          <w:szCs w:val="36"/>
        </w:rPr>
        <w:br w:type="page"/>
      </w:r>
    </w:p>
    <w:bookmarkStart w:id="16" w:name="_Toc134603915" w:displacedByCustomXml="next"/>
    <w:bookmarkStart w:id="17" w:name="_Toc134426721" w:displacedByCustomXml="next"/>
    <w:bookmarkStart w:id="18" w:name="_Toc134426511" w:displacedByCustomXml="next"/>
    <w:bookmarkStart w:id="19" w:name="_Toc133840768" w:displacedByCustomXml="next"/>
    <w:bookmarkStart w:id="20" w:name="_Toc131450851" w:displacedByCustomXml="next"/>
    <w:bookmarkStart w:id="21" w:name="_Toc132192284" w:displacedByCustomXml="next"/>
    <w:bookmarkStart w:id="22" w:name="_Toc132273281" w:displacedByCustomXml="next"/>
    <w:bookmarkStart w:id="23" w:name="_Toc132284448" w:displacedByCustomXml="next"/>
    <w:bookmarkStart w:id="24" w:name="_Toc134009946" w:displacedByCustomXml="next"/>
    <w:bookmarkStart w:id="25" w:name="_Toc134441422" w:displacedByCustomXml="next"/>
    <w:sdt>
      <w:sdtPr>
        <w:rPr>
          <w:rFonts w:asciiTheme="minorHAnsi" w:hAnsiTheme="minorHAnsi"/>
          <w:b w:val="0"/>
          <w:color w:val="262626" w:themeColor="text1" w:themeTint="D9"/>
          <w:sz w:val="20"/>
          <w:szCs w:val="20"/>
        </w:rPr>
        <w:id w:val="157821423"/>
        <w:docPartObj>
          <w:docPartGallery w:val="Table of Contents"/>
          <w:docPartUnique/>
        </w:docPartObj>
      </w:sdtPr>
      <w:sdtEndPr>
        <w:rPr>
          <w:bCs/>
          <w:color w:val="0D0D0D" w:themeColor="text1" w:themeTint="F2"/>
        </w:rPr>
      </w:sdtEndPr>
      <w:sdtContent>
        <w:p w14:paraId="5B48FDBB" w14:textId="77777777" w:rsidR="0030678C" w:rsidRDefault="00C51D1D" w:rsidP="00DA60A4">
          <w:pPr>
            <w:pStyle w:val="Heading1"/>
            <w:spacing w:after="0" w:line="240" w:lineRule="auto"/>
            <w:rPr>
              <w:noProof/>
            </w:rPr>
          </w:pPr>
          <w:r w:rsidRPr="00A461B6">
            <w:t>Contents</w:t>
          </w:r>
          <w:bookmarkStart w:id="26" w:name="_GoBack"/>
          <w:bookmarkEnd w:id="25"/>
          <w:bookmarkEnd w:id="24"/>
          <w:bookmarkEnd w:id="23"/>
          <w:bookmarkEnd w:id="22"/>
          <w:bookmarkEnd w:id="21"/>
          <w:bookmarkEnd w:id="20"/>
          <w:bookmarkEnd w:id="19"/>
          <w:bookmarkEnd w:id="18"/>
          <w:bookmarkEnd w:id="17"/>
          <w:bookmarkEnd w:id="16"/>
          <w:bookmarkEnd w:id="26"/>
          <w:r w:rsidRPr="00A461B6">
            <w:rPr>
              <w:color w:val="0D0D0D" w:themeColor="text1" w:themeTint="F2"/>
            </w:rPr>
            <w:fldChar w:fldCharType="begin"/>
          </w:r>
          <w:r w:rsidRPr="00A461B6">
            <w:rPr>
              <w:color w:val="0D0D0D" w:themeColor="text1" w:themeTint="F2"/>
            </w:rPr>
            <w:instrText xml:space="preserve"> TOC \o "1-3" \h \z \u </w:instrText>
          </w:r>
          <w:r w:rsidRPr="00A461B6">
            <w:rPr>
              <w:color w:val="0D0D0D" w:themeColor="text1" w:themeTint="F2"/>
            </w:rPr>
            <w:fldChar w:fldCharType="separate"/>
          </w:r>
        </w:p>
        <w:p w14:paraId="1A3AE014" w14:textId="14885A43" w:rsidR="0030678C" w:rsidRDefault="0030678C">
          <w:pPr>
            <w:pStyle w:val="TOC1"/>
            <w:rPr>
              <w:rFonts w:eastAsiaTheme="minorEastAsia"/>
              <w:noProof/>
              <w:color w:val="auto"/>
              <w:sz w:val="22"/>
              <w:szCs w:val="22"/>
              <w:lang w:eastAsia="en-AU"/>
            </w:rPr>
          </w:pPr>
          <w:hyperlink w:anchor="_Toc134603915" w:history="1">
            <w:r w:rsidRPr="00FF2625">
              <w:rPr>
                <w:rStyle w:val="Hyperlink"/>
                <w:noProof/>
              </w:rPr>
              <w:t>Contents</w:t>
            </w:r>
            <w:r>
              <w:rPr>
                <w:noProof/>
                <w:webHidden/>
              </w:rPr>
              <w:tab/>
            </w:r>
            <w:r>
              <w:rPr>
                <w:noProof/>
                <w:webHidden/>
              </w:rPr>
              <w:fldChar w:fldCharType="begin"/>
            </w:r>
            <w:r>
              <w:rPr>
                <w:noProof/>
                <w:webHidden/>
              </w:rPr>
              <w:instrText xml:space="preserve"> PAGEREF _Toc134603915 \h </w:instrText>
            </w:r>
            <w:r>
              <w:rPr>
                <w:noProof/>
                <w:webHidden/>
              </w:rPr>
            </w:r>
            <w:r>
              <w:rPr>
                <w:noProof/>
                <w:webHidden/>
              </w:rPr>
              <w:fldChar w:fldCharType="separate"/>
            </w:r>
            <w:r>
              <w:rPr>
                <w:noProof/>
                <w:webHidden/>
              </w:rPr>
              <w:t>2</w:t>
            </w:r>
            <w:r>
              <w:rPr>
                <w:noProof/>
                <w:webHidden/>
              </w:rPr>
              <w:fldChar w:fldCharType="end"/>
            </w:r>
          </w:hyperlink>
        </w:p>
        <w:p w14:paraId="5FB31D61" w14:textId="2170C482" w:rsidR="0030678C" w:rsidRDefault="0030678C">
          <w:pPr>
            <w:pStyle w:val="TOC1"/>
            <w:rPr>
              <w:rFonts w:eastAsiaTheme="minorEastAsia"/>
              <w:noProof/>
              <w:color w:val="auto"/>
              <w:sz w:val="22"/>
              <w:szCs w:val="22"/>
              <w:lang w:eastAsia="en-AU"/>
            </w:rPr>
          </w:pPr>
          <w:hyperlink w:anchor="_Toc134603916" w:history="1">
            <w:r w:rsidRPr="00FF2625">
              <w:rPr>
                <w:rStyle w:val="Hyperlink"/>
                <w:noProof/>
              </w:rPr>
              <w:t>Executive Summary</w:t>
            </w:r>
            <w:r>
              <w:rPr>
                <w:noProof/>
                <w:webHidden/>
              </w:rPr>
              <w:tab/>
            </w:r>
            <w:r>
              <w:rPr>
                <w:noProof/>
                <w:webHidden/>
              </w:rPr>
              <w:fldChar w:fldCharType="begin"/>
            </w:r>
            <w:r>
              <w:rPr>
                <w:noProof/>
                <w:webHidden/>
              </w:rPr>
              <w:instrText xml:space="preserve"> PAGEREF _Toc134603916 \h </w:instrText>
            </w:r>
            <w:r>
              <w:rPr>
                <w:noProof/>
                <w:webHidden/>
              </w:rPr>
            </w:r>
            <w:r>
              <w:rPr>
                <w:noProof/>
                <w:webHidden/>
              </w:rPr>
              <w:fldChar w:fldCharType="separate"/>
            </w:r>
            <w:r>
              <w:rPr>
                <w:noProof/>
                <w:webHidden/>
              </w:rPr>
              <w:t>3</w:t>
            </w:r>
            <w:r>
              <w:rPr>
                <w:noProof/>
                <w:webHidden/>
              </w:rPr>
              <w:fldChar w:fldCharType="end"/>
            </w:r>
          </w:hyperlink>
        </w:p>
        <w:p w14:paraId="757B0254" w14:textId="7F300813" w:rsidR="0030678C" w:rsidRDefault="0030678C">
          <w:pPr>
            <w:pStyle w:val="TOC1"/>
            <w:rPr>
              <w:rFonts w:eastAsiaTheme="minorEastAsia"/>
              <w:noProof/>
              <w:color w:val="auto"/>
              <w:sz w:val="22"/>
              <w:szCs w:val="22"/>
              <w:lang w:eastAsia="en-AU"/>
            </w:rPr>
          </w:pPr>
          <w:hyperlink w:anchor="_Toc134603917" w:history="1">
            <w:r w:rsidRPr="00FF2625">
              <w:rPr>
                <w:rStyle w:val="Hyperlink"/>
                <w:noProof/>
              </w:rPr>
              <w:t>Background</w:t>
            </w:r>
            <w:r>
              <w:rPr>
                <w:noProof/>
                <w:webHidden/>
              </w:rPr>
              <w:tab/>
            </w:r>
            <w:r>
              <w:rPr>
                <w:noProof/>
                <w:webHidden/>
              </w:rPr>
              <w:fldChar w:fldCharType="begin"/>
            </w:r>
            <w:r>
              <w:rPr>
                <w:noProof/>
                <w:webHidden/>
              </w:rPr>
              <w:instrText xml:space="preserve"> PAGEREF _Toc134603917 \h </w:instrText>
            </w:r>
            <w:r>
              <w:rPr>
                <w:noProof/>
                <w:webHidden/>
              </w:rPr>
            </w:r>
            <w:r>
              <w:rPr>
                <w:noProof/>
                <w:webHidden/>
              </w:rPr>
              <w:fldChar w:fldCharType="separate"/>
            </w:r>
            <w:r>
              <w:rPr>
                <w:noProof/>
                <w:webHidden/>
              </w:rPr>
              <w:t>5</w:t>
            </w:r>
            <w:r>
              <w:rPr>
                <w:noProof/>
                <w:webHidden/>
              </w:rPr>
              <w:fldChar w:fldCharType="end"/>
            </w:r>
          </w:hyperlink>
        </w:p>
        <w:p w14:paraId="0B154688" w14:textId="07F2A544" w:rsidR="0030678C" w:rsidRDefault="0030678C">
          <w:pPr>
            <w:pStyle w:val="TOC3"/>
            <w:tabs>
              <w:tab w:val="left" w:pos="880"/>
              <w:tab w:val="right" w:leader="dot" w:pos="10194"/>
            </w:tabs>
            <w:rPr>
              <w:rFonts w:eastAsiaTheme="minorEastAsia"/>
              <w:noProof/>
              <w:color w:val="auto"/>
              <w:sz w:val="22"/>
              <w:szCs w:val="22"/>
              <w:lang w:eastAsia="en-AU"/>
            </w:rPr>
          </w:pPr>
          <w:hyperlink w:anchor="_Toc134603918" w:history="1">
            <w:r w:rsidRPr="00FF2625">
              <w:rPr>
                <w:rStyle w:val="Hyperlink"/>
                <w:noProof/>
              </w:rPr>
              <w:t>1.1</w:t>
            </w:r>
            <w:r>
              <w:rPr>
                <w:rFonts w:eastAsiaTheme="minorEastAsia"/>
                <w:noProof/>
                <w:color w:val="auto"/>
                <w:sz w:val="22"/>
                <w:szCs w:val="22"/>
                <w:lang w:eastAsia="en-AU"/>
              </w:rPr>
              <w:tab/>
            </w:r>
            <w:r w:rsidRPr="00FF2625">
              <w:rPr>
                <w:rStyle w:val="Hyperlink"/>
                <w:noProof/>
              </w:rPr>
              <w:t>The PBS</w:t>
            </w:r>
            <w:r>
              <w:rPr>
                <w:noProof/>
                <w:webHidden/>
              </w:rPr>
              <w:tab/>
            </w:r>
            <w:r>
              <w:rPr>
                <w:noProof/>
                <w:webHidden/>
              </w:rPr>
              <w:fldChar w:fldCharType="begin"/>
            </w:r>
            <w:r>
              <w:rPr>
                <w:noProof/>
                <w:webHidden/>
              </w:rPr>
              <w:instrText xml:space="preserve"> PAGEREF _Toc134603918 \h </w:instrText>
            </w:r>
            <w:r>
              <w:rPr>
                <w:noProof/>
                <w:webHidden/>
              </w:rPr>
            </w:r>
            <w:r>
              <w:rPr>
                <w:noProof/>
                <w:webHidden/>
              </w:rPr>
              <w:fldChar w:fldCharType="separate"/>
            </w:r>
            <w:r>
              <w:rPr>
                <w:noProof/>
                <w:webHidden/>
              </w:rPr>
              <w:t>5</w:t>
            </w:r>
            <w:r>
              <w:rPr>
                <w:noProof/>
                <w:webHidden/>
              </w:rPr>
              <w:fldChar w:fldCharType="end"/>
            </w:r>
          </w:hyperlink>
        </w:p>
        <w:p w14:paraId="4A3F862E" w14:textId="10A44796" w:rsidR="0030678C" w:rsidRDefault="0030678C">
          <w:pPr>
            <w:pStyle w:val="TOC3"/>
            <w:tabs>
              <w:tab w:val="left" w:pos="880"/>
              <w:tab w:val="right" w:leader="dot" w:pos="10194"/>
            </w:tabs>
            <w:rPr>
              <w:rFonts w:eastAsiaTheme="minorEastAsia"/>
              <w:noProof/>
              <w:color w:val="auto"/>
              <w:sz w:val="22"/>
              <w:szCs w:val="22"/>
              <w:lang w:eastAsia="en-AU"/>
            </w:rPr>
          </w:pPr>
          <w:hyperlink w:anchor="_Toc134603919" w:history="1">
            <w:r w:rsidRPr="00FF2625">
              <w:rPr>
                <w:rStyle w:val="Hyperlink"/>
                <w:noProof/>
              </w:rPr>
              <w:t>1.2</w:t>
            </w:r>
            <w:r>
              <w:rPr>
                <w:rFonts w:eastAsiaTheme="minorEastAsia"/>
                <w:noProof/>
                <w:color w:val="auto"/>
                <w:sz w:val="22"/>
                <w:szCs w:val="22"/>
                <w:lang w:eastAsia="en-AU"/>
              </w:rPr>
              <w:tab/>
            </w:r>
            <w:r w:rsidRPr="00FF2625">
              <w:rPr>
                <w:rStyle w:val="Hyperlink"/>
                <w:noProof/>
              </w:rPr>
              <w:t>The role of the PBAC</w:t>
            </w:r>
            <w:r>
              <w:rPr>
                <w:noProof/>
                <w:webHidden/>
              </w:rPr>
              <w:tab/>
            </w:r>
            <w:r>
              <w:rPr>
                <w:noProof/>
                <w:webHidden/>
              </w:rPr>
              <w:fldChar w:fldCharType="begin"/>
            </w:r>
            <w:r>
              <w:rPr>
                <w:noProof/>
                <w:webHidden/>
              </w:rPr>
              <w:instrText xml:space="preserve"> PAGEREF _Toc134603919 \h </w:instrText>
            </w:r>
            <w:r>
              <w:rPr>
                <w:noProof/>
                <w:webHidden/>
              </w:rPr>
            </w:r>
            <w:r>
              <w:rPr>
                <w:noProof/>
                <w:webHidden/>
              </w:rPr>
              <w:fldChar w:fldCharType="separate"/>
            </w:r>
            <w:r>
              <w:rPr>
                <w:noProof/>
                <w:webHidden/>
              </w:rPr>
              <w:t>6</w:t>
            </w:r>
            <w:r>
              <w:rPr>
                <w:noProof/>
                <w:webHidden/>
              </w:rPr>
              <w:fldChar w:fldCharType="end"/>
            </w:r>
          </w:hyperlink>
        </w:p>
        <w:p w14:paraId="020B6416" w14:textId="57D9A106" w:rsidR="0030678C" w:rsidRDefault="0030678C">
          <w:pPr>
            <w:pStyle w:val="TOC3"/>
            <w:tabs>
              <w:tab w:val="left" w:pos="880"/>
              <w:tab w:val="right" w:leader="dot" w:pos="10194"/>
            </w:tabs>
            <w:rPr>
              <w:rFonts w:eastAsiaTheme="minorEastAsia"/>
              <w:noProof/>
              <w:color w:val="auto"/>
              <w:sz w:val="22"/>
              <w:szCs w:val="22"/>
              <w:lang w:eastAsia="en-AU"/>
            </w:rPr>
          </w:pPr>
          <w:hyperlink w:anchor="_Toc134603920" w:history="1">
            <w:r w:rsidRPr="00FF2625">
              <w:rPr>
                <w:rStyle w:val="Hyperlink"/>
                <w:noProof/>
              </w:rPr>
              <w:t>1.3</w:t>
            </w:r>
            <w:r>
              <w:rPr>
                <w:rFonts w:eastAsiaTheme="minorEastAsia"/>
                <w:noProof/>
                <w:color w:val="auto"/>
                <w:sz w:val="22"/>
                <w:szCs w:val="22"/>
                <w:lang w:eastAsia="en-AU"/>
              </w:rPr>
              <w:tab/>
            </w:r>
            <w:r w:rsidRPr="00FF2625">
              <w:rPr>
                <w:rStyle w:val="Hyperlink"/>
                <w:noProof/>
              </w:rPr>
              <w:t>Which medicines does the government subsidise?</w:t>
            </w:r>
            <w:r>
              <w:rPr>
                <w:noProof/>
                <w:webHidden/>
              </w:rPr>
              <w:tab/>
            </w:r>
            <w:r>
              <w:rPr>
                <w:noProof/>
                <w:webHidden/>
              </w:rPr>
              <w:fldChar w:fldCharType="begin"/>
            </w:r>
            <w:r>
              <w:rPr>
                <w:noProof/>
                <w:webHidden/>
              </w:rPr>
              <w:instrText xml:space="preserve"> PAGEREF _Toc134603920 \h </w:instrText>
            </w:r>
            <w:r>
              <w:rPr>
                <w:noProof/>
                <w:webHidden/>
              </w:rPr>
            </w:r>
            <w:r>
              <w:rPr>
                <w:noProof/>
                <w:webHidden/>
              </w:rPr>
              <w:fldChar w:fldCharType="separate"/>
            </w:r>
            <w:r>
              <w:rPr>
                <w:noProof/>
                <w:webHidden/>
              </w:rPr>
              <w:t>6</w:t>
            </w:r>
            <w:r>
              <w:rPr>
                <w:noProof/>
                <w:webHidden/>
              </w:rPr>
              <w:fldChar w:fldCharType="end"/>
            </w:r>
          </w:hyperlink>
        </w:p>
        <w:p w14:paraId="0A0B5D83" w14:textId="17428D76" w:rsidR="0030678C" w:rsidRDefault="0030678C">
          <w:pPr>
            <w:pStyle w:val="TOC3"/>
            <w:tabs>
              <w:tab w:val="left" w:pos="880"/>
              <w:tab w:val="right" w:leader="dot" w:pos="10194"/>
            </w:tabs>
            <w:rPr>
              <w:rFonts w:eastAsiaTheme="minorEastAsia"/>
              <w:noProof/>
              <w:color w:val="auto"/>
              <w:sz w:val="22"/>
              <w:szCs w:val="22"/>
              <w:lang w:eastAsia="en-AU"/>
            </w:rPr>
          </w:pPr>
          <w:hyperlink w:anchor="_Toc134603921" w:history="1">
            <w:r w:rsidRPr="00FF2625">
              <w:rPr>
                <w:rStyle w:val="Hyperlink"/>
                <w:noProof/>
              </w:rPr>
              <w:t>1.4</w:t>
            </w:r>
            <w:r>
              <w:rPr>
                <w:rFonts w:eastAsiaTheme="minorEastAsia"/>
                <w:noProof/>
                <w:color w:val="auto"/>
                <w:sz w:val="22"/>
                <w:szCs w:val="22"/>
                <w:lang w:eastAsia="en-AU"/>
              </w:rPr>
              <w:tab/>
            </w:r>
            <w:r w:rsidRPr="00FF2625">
              <w:rPr>
                <w:rStyle w:val="Hyperlink"/>
                <w:noProof/>
              </w:rPr>
              <w:t>What are the current patient fees and charges?</w:t>
            </w:r>
            <w:r>
              <w:rPr>
                <w:noProof/>
                <w:webHidden/>
              </w:rPr>
              <w:tab/>
            </w:r>
            <w:r>
              <w:rPr>
                <w:noProof/>
                <w:webHidden/>
              </w:rPr>
              <w:fldChar w:fldCharType="begin"/>
            </w:r>
            <w:r>
              <w:rPr>
                <w:noProof/>
                <w:webHidden/>
              </w:rPr>
              <w:instrText xml:space="preserve"> PAGEREF _Toc134603921 \h </w:instrText>
            </w:r>
            <w:r>
              <w:rPr>
                <w:noProof/>
                <w:webHidden/>
              </w:rPr>
            </w:r>
            <w:r>
              <w:rPr>
                <w:noProof/>
                <w:webHidden/>
              </w:rPr>
              <w:fldChar w:fldCharType="separate"/>
            </w:r>
            <w:r>
              <w:rPr>
                <w:noProof/>
                <w:webHidden/>
              </w:rPr>
              <w:t>7</w:t>
            </w:r>
            <w:r>
              <w:rPr>
                <w:noProof/>
                <w:webHidden/>
              </w:rPr>
              <w:fldChar w:fldCharType="end"/>
            </w:r>
          </w:hyperlink>
        </w:p>
        <w:p w14:paraId="710F22F0" w14:textId="441EC691" w:rsidR="0030678C" w:rsidRDefault="0030678C">
          <w:pPr>
            <w:pStyle w:val="TOC3"/>
            <w:tabs>
              <w:tab w:val="left" w:pos="880"/>
              <w:tab w:val="right" w:leader="dot" w:pos="10194"/>
            </w:tabs>
            <w:rPr>
              <w:rFonts w:eastAsiaTheme="minorEastAsia"/>
              <w:noProof/>
              <w:color w:val="auto"/>
              <w:sz w:val="22"/>
              <w:szCs w:val="22"/>
              <w:lang w:eastAsia="en-AU"/>
            </w:rPr>
          </w:pPr>
          <w:hyperlink w:anchor="_Toc134603922" w:history="1">
            <w:r w:rsidRPr="00FF2625">
              <w:rPr>
                <w:rStyle w:val="Hyperlink"/>
                <w:noProof/>
              </w:rPr>
              <w:t>1.5</w:t>
            </w:r>
            <w:r>
              <w:rPr>
                <w:rFonts w:eastAsiaTheme="minorEastAsia"/>
                <w:noProof/>
                <w:color w:val="auto"/>
                <w:sz w:val="22"/>
                <w:szCs w:val="22"/>
                <w:lang w:eastAsia="en-AU"/>
              </w:rPr>
              <w:tab/>
            </w:r>
            <w:r w:rsidRPr="00FF2625">
              <w:rPr>
                <w:rStyle w:val="Hyperlink"/>
                <w:noProof/>
              </w:rPr>
              <w:t>The PBS Safety Net supports patients with high medicine costs</w:t>
            </w:r>
            <w:r>
              <w:rPr>
                <w:noProof/>
                <w:webHidden/>
              </w:rPr>
              <w:tab/>
            </w:r>
            <w:r>
              <w:rPr>
                <w:noProof/>
                <w:webHidden/>
              </w:rPr>
              <w:fldChar w:fldCharType="begin"/>
            </w:r>
            <w:r>
              <w:rPr>
                <w:noProof/>
                <w:webHidden/>
              </w:rPr>
              <w:instrText xml:space="preserve"> PAGEREF _Toc134603922 \h </w:instrText>
            </w:r>
            <w:r>
              <w:rPr>
                <w:noProof/>
                <w:webHidden/>
              </w:rPr>
            </w:r>
            <w:r>
              <w:rPr>
                <w:noProof/>
                <w:webHidden/>
              </w:rPr>
              <w:fldChar w:fldCharType="separate"/>
            </w:r>
            <w:r>
              <w:rPr>
                <w:noProof/>
                <w:webHidden/>
              </w:rPr>
              <w:t>7</w:t>
            </w:r>
            <w:r>
              <w:rPr>
                <w:noProof/>
                <w:webHidden/>
              </w:rPr>
              <w:fldChar w:fldCharType="end"/>
            </w:r>
          </w:hyperlink>
        </w:p>
        <w:p w14:paraId="6CBC326F" w14:textId="2BAE2D04" w:rsidR="0030678C" w:rsidRDefault="0030678C">
          <w:pPr>
            <w:pStyle w:val="TOC3"/>
            <w:tabs>
              <w:tab w:val="left" w:pos="880"/>
              <w:tab w:val="right" w:leader="dot" w:pos="10194"/>
            </w:tabs>
            <w:rPr>
              <w:rFonts w:eastAsiaTheme="minorEastAsia"/>
              <w:noProof/>
              <w:color w:val="auto"/>
              <w:sz w:val="22"/>
              <w:szCs w:val="22"/>
              <w:lang w:eastAsia="en-AU"/>
            </w:rPr>
          </w:pPr>
          <w:hyperlink w:anchor="_Toc134603923" w:history="1">
            <w:r w:rsidRPr="00FF2625">
              <w:rPr>
                <w:rStyle w:val="Hyperlink"/>
                <w:noProof/>
              </w:rPr>
              <w:t>1.6</w:t>
            </w:r>
            <w:r>
              <w:rPr>
                <w:rFonts w:eastAsiaTheme="minorEastAsia"/>
                <w:noProof/>
                <w:color w:val="auto"/>
                <w:sz w:val="22"/>
                <w:szCs w:val="22"/>
                <w:lang w:eastAsia="en-AU"/>
              </w:rPr>
              <w:tab/>
            </w:r>
            <w:r w:rsidRPr="00FF2625">
              <w:rPr>
                <w:rStyle w:val="Hyperlink"/>
                <w:noProof/>
              </w:rPr>
              <w:t>Seventh Community Pharmacy Agreement (7CPA)</w:t>
            </w:r>
            <w:r>
              <w:rPr>
                <w:noProof/>
                <w:webHidden/>
              </w:rPr>
              <w:tab/>
            </w:r>
            <w:r>
              <w:rPr>
                <w:noProof/>
                <w:webHidden/>
              </w:rPr>
              <w:fldChar w:fldCharType="begin"/>
            </w:r>
            <w:r>
              <w:rPr>
                <w:noProof/>
                <w:webHidden/>
              </w:rPr>
              <w:instrText xml:space="preserve"> PAGEREF _Toc134603923 \h </w:instrText>
            </w:r>
            <w:r>
              <w:rPr>
                <w:noProof/>
                <w:webHidden/>
              </w:rPr>
            </w:r>
            <w:r>
              <w:rPr>
                <w:noProof/>
                <w:webHidden/>
              </w:rPr>
              <w:fldChar w:fldCharType="separate"/>
            </w:r>
            <w:r>
              <w:rPr>
                <w:noProof/>
                <w:webHidden/>
              </w:rPr>
              <w:t>8</w:t>
            </w:r>
            <w:r>
              <w:rPr>
                <w:noProof/>
                <w:webHidden/>
              </w:rPr>
              <w:fldChar w:fldCharType="end"/>
            </w:r>
          </w:hyperlink>
        </w:p>
        <w:p w14:paraId="0AE7B48E" w14:textId="470279C6" w:rsidR="0030678C" w:rsidRDefault="0030678C">
          <w:pPr>
            <w:pStyle w:val="TOC3"/>
            <w:tabs>
              <w:tab w:val="left" w:pos="880"/>
              <w:tab w:val="right" w:leader="dot" w:pos="10194"/>
            </w:tabs>
            <w:rPr>
              <w:rFonts w:eastAsiaTheme="minorEastAsia"/>
              <w:noProof/>
              <w:color w:val="auto"/>
              <w:sz w:val="22"/>
              <w:szCs w:val="22"/>
              <w:lang w:eastAsia="en-AU"/>
            </w:rPr>
          </w:pPr>
          <w:hyperlink w:anchor="_Toc134603924" w:history="1">
            <w:r w:rsidRPr="00FF2625">
              <w:rPr>
                <w:rStyle w:val="Hyperlink"/>
                <w:noProof/>
              </w:rPr>
              <w:t>1.7</w:t>
            </w:r>
            <w:r>
              <w:rPr>
                <w:rFonts w:eastAsiaTheme="minorEastAsia"/>
                <w:noProof/>
                <w:color w:val="auto"/>
                <w:sz w:val="22"/>
                <w:szCs w:val="22"/>
                <w:lang w:eastAsia="en-AU"/>
              </w:rPr>
              <w:tab/>
            </w:r>
            <w:r w:rsidRPr="00FF2625">
              <w:rPr>
                <w:rStyle w:val="Hyperlink"/>
                <w:noProof/>
              </w:rPr>
              <w:t>Current PBS fees, co-payment and safety net arrangements</w:t>
            </w:r>
            <w:r>
              <w:rPr>
                <w:noProof/>
                <w:webHidden/>
              </w:rPr>
              <w:tab/>
            </w:r>
            <w:r>
              <w:rPr>
                <w:noProof/>
                <w:webHidden/>
              </w:rPr>
              <w:fldChar w:fldCharType="begin"/>
            </w:r>
            <w:r>
              <w:rPr>
                <w:noProof/>
                <w:webHidden/>
              </w:rPr>
              <w:instrText xml:space="preserve"> PAGEREF _Toc134603924 \h </w:instrText>
            </w:r>
            <w:r>
              <w:rPr>
                <w:noProof/>
                <w:webHidden/>
              </w:rPr>
            </w:r>
            <w:r>
              <w:rPr>
                <w:noProof/>
                <w:webHidden/>
              </w:rPr>
              <w:fldChar w:fldCharType="separate"/>
            </w:r>
            <w:r>
              <w:rPr>
                <w:noProof/>
                <w:webHidden/>
              </w:rPr>
              <w:t>9</w:t>
            </w:r>
            <w:r>
              <w:rPr>
                <w:noProof/>
                <w:webHidden/>
              </w:rPr>
              <w:fldChar w:fldCharType="end"/>
            </w:r>
          </w:hyperlink>
        </w:p>
        <w:p w14:paraId="7606522C" w14:textId="2A0F9BAD" w:rsidR="0030678C" w:rsidRDefault="0030678C">
          <w:pPr>
            <w:pStyle w:val="TOC3"/>
            <w:tabs>
              <w:tab w:val="left" w:pos="880"/>
              <w:tab w:val="right" w:leader="dot" w:pos="10194"/>
            </w:tabs>
            <w:rPr>
              <w:rFonts w:eastAsiaTheme="minorEastAsia"/>
              <w:noProof/>
              <w:color w:val="auto"/>
              <w:sz w:val="22"/>
              <w:szCs w:val="22"/>
              <w:lang w:eastAsia="en-AU"/>
            </w:rPr>
          </w:pPr>
          <w:hyperlink w:anchor="_Toc134603925" w:history="1">
            <w:r w:rsidRPr="00FF2625">
              <w:rPr>
                <w:rStyle w:val="Hyperlink"/>
                <w:noProof/>
              </w:rPr>
              <w:t>1.8</w:t>
            </w:r>
            <w:r>
              <w:rPr>
                <w:rFonts w:eastAsiaTheme="minorEastAsia"/>
                <w:noProof/>
                <w:color w:val="auto"/>
                <w:sz w:val="22"/>
                <w:szCs w:val="22"/>
                <w:lang w:eastAsia="en-AU"/>
              </w:rPr>
              <w:tab/>
            </w:r>
            <w:r w:rsidRPr="00FF2625">
              <w:rPr>
                <w:rStyle w:val="Hyperlink"/>
                <w:noProof/>
              </w:rPr>
              <w:t>PBAC Recommendation</w:t>
            </w:r>
            <w:r>
              <w:rPr>
                <w:noProof/>
                <w:webHidden/>
              </w:rPr>
              <w:tab/>
            </w:r>
            <w:r>
              <w:rPr>
                <w:noProof/>
                <w:webHidden/>
              </w:rPr>
              <w:fldChar w:fldCharType="begin"/>
            </w:r>
            <w:r>
              <w:rPr>
                <w:noProof/>
                <w:webHidden/>
              </w:rPr>
              <w:instrText xml:space="preserve"> PAGEREF _Toc134603925 \h </w:instrText>
            </w:r>
            <w:r>
              <w:rPr>
                <w:noProof/>
                <w:webHidden/>
              </w:rPr>
            </w:r>
            <w:r>
              <w:rPr>
                <w:noProof/>
                <w:webHidden/>
              </w:rPr>
              <w:fldChar w:fldCharType="separate"/>
            </w:r>
            <w:r>
              <w:rPr>
                <w:noProof/>
                <w:webHidden/>
              </w:rPr>
              <w:t>10</w:t>
            </w:r>
            <w:r>
              <w:rPr>
                <w:noProof/>
                <w:webHidden/>
              </w:rPr>
              <w:fldChar w:fldCharType="end"/>
            </w:r>
          </w:hyperlink>
        </w:p>
        <w:p w14:paraId="6B8B50BA" w14:textId="15C91376" w:rsidR="0030678C" w:rsidRDefault="0030678C">
          <w:pPr>
            <w:pStyle w:val="TOC1"/>
            <w:rPr>
              <w:rFonts w:eastAsiaTheme="minorEastAsia"/>
              <w:noProof/>
              <w:color w:val="auto"/>
              <w:sz w:val="22"/>
              <w:szCs w:val="22"/>
              <w:lang w:eastAsia="en-AU"/>
            </w:rPr>
          </w:pPr>
          <w:hyperlink w:anchor="_Toc134603926" w:history="1">
            <w:r w:rsidRPr="00FF2625">
              <w:rPr>
                <w:rStyle w:val="Hyperlink"/>
                <w:noProof/>
              </w:rPr>
              <w:t>Impact Analysis</w:t>
            </w:r>
            <w:r>
              <w:rPr>
                <w:noProof/>
                <w:webHidden/>
              </w:rPr>
              <w:tab/>
            </w:r>
            <w:r>
              <w:rPr>
                <w:noProof/>
                <w:webHidden/>
              </w:rPr>
              <w:fldChar w:fldCharType="begin"/>
            </w:r>
            <w:r>
              <w:rPr>
                <w:noProof/>
                <w:webHidden/>
              </w:rPr>
              <w:instrText xml:space="preserve"> PAGEREF _Toc134603926 \h </w:instrText>
            </w:r>
            <w:r>
              <w:rPr>
                <w:noProof/>
                <w:webHidden/>
              </w:rPr>
            </w:r>
            <w:r>
              <w:rPr>
                <w:noProof/>
                <w:webHidden/>
              </w:rPr>
              <w:fldChar w:fldCharType="separate"/>
            </w:r>
            <w:r>
              <w:rPr>
                <w:noProof/>
                <w:webHidden/>
              </w:rPr>
              <w:t>12</w:t>
            </w:r>
            <w:r>
              <w:rPr>
                <w:noProof/>
                <w:webHidden/>
              </w:rPr>
              <w:fldChar w:fldCharType="end"/>
            </w:r>
          </w:hyperlink>
        </w:p>
        <w:p w14:paraId="5AA4DB64" w14:textId="0A31ED31" w:rsidR="0030678C" w:rsidRDefault="0030678C">
          <w:pPr>
            <w:pStyle w:val="TOC2"/>
            <w:tabs>
              <w:tab w:val="right" w:leader="dot" w:pos="10194"/>
            </w:tabs>
            <w:rPr>
              <w:rFonts w:eastAsiaTheme="minorEastAsia"/>
              <w:noProof/>
              <w:color w:val="auto"/>
              <w:sz w:val="22"/>
              <w:szCs w:val="22"/>
              <w:lang w:eastAsia="en-AU"/>
            </w:rPr>
          </w:pPr>
          <w:hyperlink w:anchor="_Toc134603927" w:history="1">
            <w:r w:rsidRPr="00FF2625">
              <w:rPr>
                <w:rStyle w:val="Hyperlink"/>
                <w:noProof/>
              </w:rPr>
              <w:t>1. What is the problem this proposal will solve?</w:t>
            </w:r>
            <w:r>
              <w:rPr>
                <w:noProof/>
                <w:webHidden/>
              </w:rPr>
              <w:tab/>
            </w:r>
            <w:r>
              <w:rPr>
                <w:noProof/>
                <w:webHidden/>
              </w:rPr>
              <w:fldChar w:fldCharType="begin"/>
            </w:r>
            <w:r>
              <w:rPr>
                <w:noProof/>
                <w:webHidden/>
              </w:rPr>
              <w:instrText xml:space="preserve"> PAGEREF _Toc134603927 \h </w:instrText>
            </w:r>
            <w:r>
              <w:rPr>
                <w:noProof/>
                <w:webHidden/>
              </w:rPr>
            </w:r>
            <w:r>
              <w:rPr>
                <w:noProof/>
                <w:webHidden/>
              </w:rPr>
              <w:fldChar w:fldCharType="separate"/>
            </w:r>
            <w:r>
              <w:rPr>
                <w:noProof/>
                <w:webHidden/>
              </w:rPr>
              <w:t>12</w:t>
            </w:r>
            <w:r>
              <w:rPr>
                <w:noProof/>
                <w:webHidden/>
              </w:rPr>
              <w:fldChar w:fldCharType="end"/>
            </w:r>
          </w:hyperlink>
        </w:p>
        <w:p w14:paraId="018173DB" w14:textId="117E766E" w:rsidR="0030678C" w:rsidRDefault="0030678C">
          <w:pPr>
            <w:pStyle w:val="TOC3"/>
            <w:tabs>
              <w:tab w:val="right" w:leader="dot" w:pos="10194"/>
            </w:tabs>
            <w:rPr>
              <w:rFonts w:eastAsiaTheme="minorEastAsia"/>
              <w:noProof/>
              <w:color w:val="auto"/>
              <w:sz w:val="22"/>
              <w:szCs w:val="22"/>
              <w:lang w:eastAsia="en-AU"/>
            </w:rPr>
          </w:pPr>
          <w:hyperlink w:anchor="_Toc134603928" w:history="1">
            <w:r w:rsidRPr="00FF2625">
              <w:rPr>
                <w:rStyle w:val="Hyperlink"/>
                <w:noProof/>
              </w:rPr>
              <w:t>Cost of living pressures</w:t>
            </w:r>
            <w:r>
              <w:rPr>
                <w:noProof/>
                <w:webHidden/>
              </w:rPr>
              <w:tab/>
            </w:r>
            <w:r>
              <w:rPr>
                <w:noProof/>
                <w:webHidden/>
              </w:rPr>
              <w:fldChar w:fldCharType="begin"/>
            </w:r>
            <w:r>
              <w:rPr>
                <w:noProof/>
                <w:webHidden/>
              </w:rPr>
              <w:instrText xml:space="preserve"> PAGEREF _Toc134603928 \h </w:instrText>
            </w:r>
            <w:r>
              <w:rPr>
                <w:noProof/>
                <w:webHidden/>
              </w:rPr>
            </w:r>
            <w:r>
              <w:rPr>
                <w:noProof/>
                <w:webHidden/>
              </w:rPr>
              <w:fldChar w:fldCharType="separate"/>
            </w:r>
            <w:r>
              <w:rPr>
                <w:noProof/>
                <w:webHidden/>
              </w:rPr>
              <w:t>12</w:t>
            </w:r>
            <w:r>
              <w:rPr>
                <w:noProof/>
                <w:webHidden/>
              </w:rPr>
              <w:fldChar w:fldCharType="end"/>
            </w:r>
          </w:hyperlink>
        </w:p>
        <w:p w14:paraId="5E465AF2" w14:textId="24416322" w:rsidR="0030678C" w:rsidRDefault="0030678C">
          <w:pPr>
            <w:pStyle w:val="TOC3"/>
            <w:tabs>
              <w:tab w:val="right" w:leader="dot" w:pos="10194"/>
            </w:tabs>
            <w:rPr>
              <w:rFonts w:eastAsiaTheme="minorEastAsia"/>
              <w:noProof/>
              <w:color w:val="auto"/>
              <w:sz w:val="22"/>
              <w:szCs w:val="22"/>
              <w:lang w:eastAsia="en-AU"/>
            </w:rPr>
          </w:pPr>
          <w:hyperlink w:anchor="_Toc134603929" w:history="1">
            <w:r w:rsidRPr="00FF2625">
              <w:rPr>
                <w:rStyle w:val="Hyperlink"/>
                <w:noProof/>
              </w:rPr>
              <w:t>Access and convenience</w:t>
            </w:r>
            <w:r>
              <w:rPr>
                <w:noProof/>
                <w:webHidden/>
              </w:rPr>
              <w:tab/>
            </w:r>
            <w:r>
              <w:rPr>
                <w:noProof/>
                <w:webHidden/>
              </w:rPr>
              <w:fldChar w:fldCharType="begin"/>
            </w:r>
            <w:r>
              <w:rPr>
                <w:noProof/>
                <w:webHidden/>
              </w:rPr>
              <w:instrText xml:space="preserve"> PAGEREF _Toc134603929 \h </w:instrText>
            </w:r>
            <w:r>
              <w:rPr>
                <w:noProof/>
                <w:webHidden/>
              </w:rPr>
            </w:r>
            <w:r>
              <w:rPr>
                <w:noProof/>
                <w:webHidden/>
              </w:rPr>
              <w:fldChar w:fldCharType="separate"/>
            </w:r>
            <w:r>
              <w:rPr>
                <w:noProof/>
                <w:webHidden/>
              </w:rPr>
              <w:t>13</w:t>
            </w:r>
            <w:r>
              <w:rPr>
                <w:noProof/>
                <w:webHidden/>
              </w:rPr>
              <w:fldChar w:fldCharType="end"/>
            </w:r>
          </w:hyperlink>
        </w:p>
        <w:p w14:paraId="4C1BCD35" w14:textId="1BF3871C" w:rsidR="0030678C" w:rsidRDefault="0030678C">
          <w:pPr>
            <w:pStyle w:val="TOC3"/>
            <w:tabs>
              <w:tab w:val="right" w:leader="dot" w:pos="10194"/>
            </w:tabs>
            <w:rPr>
              <w:rFonts w:eastAsiaTheme="minorEastAsia"/>
              <w:noProof/>
              <w:color w:val="auto"/>
              <w:sz w:val="22"/>
              <w:szCs w:val="22"/>
              <w:lang w:eastAsia="en-AU"/>
            </w:rPr>
          </w:pPr>
          <w:hyperlink w:anchor="_Toc134603930" w:history="1">
            <w:r w:rsidRPr="00FF2625">
              <w:rPr>
                <w:rStyle w:val="Hyperlink"/>
                <w:noProof/>
              </w:rPr>
              <w:t>Sustainability of the PBS</w:t>
            </w:r>
            <w:r>
              <w:rPr>
                <w:noProof/>
                <w:webHidden/>
              </w:rPr>
              <w:tab/>
            </w:r>
            <w:r>
              <w:rPr>
                <w:noProof/>
                <w:webHidden/>
              </w:rPr>
              <w:fldChar w:fldCharType="begin"/>
            </w:r>
            <w:r>
              <w:rPr>
                <w:noProof/>
                <w:webHidden/>
              </w:rPr>
              <w:instrText xml:space="preserve"> PAGEREF _Toc134603930 \h </w:instrText>
            </w:r>
            <w:r>
              <w:rPr>
                <w:noProof/>
                <w:webHidden/>
              </w:rPr>
            </w:r>
            <w:r>
              <w:rPr>
                <w:noProof/>
                <w:webHidden/>
              </w:rPr>
              <w:fldChar w:fldCharType="separate"/>
            </w:r>
            <w:r>
              <w:rPr>
                <w:noProof/>
                <w:webHidden/>
              </w:rPr>
              <w:t>13</w:t>
            </w:r>
            <w:r>
              <w:rPr>
                <w:noProof/>
                <w:webHidden/>
              </w:rPr>
              <w:fldChar w:fldCharType="end"/>
            </w:r>
          </w:hyperlink>
        </w:p>
        <w:p w14:paraId="619C40A5" w14:textId="170744FC" w:rsidR="0030678C" w:rsidRDefault="0030678C">
          <w:pPr>
            <w:pStyle w:val="TOC2"/>
            <w:tabs>
              <w:tab w:val="right" w:leader="dot" w:pos="10194"/>
            </w:tabs>
            <w:rPr>
              <w:rFonts w:eastAsiaTheme="minorEastAsia"/>
              <w:noProof/>
              <w:color w:val="auto"/>
              <w:sz w:val="22"/>
              <w:szCs w:val="22"/>
              <w:lang w:eastAsia="en-AU"/>
            </w:rPr>
          </w:pPr>
          <w:hyperlink w:anchor="_Toc134603931" w:history="1">
            <w:r w:rsidRPr="00FF2625">
              <w:rPr>
                <w:rStyle w:val="Hyperlink"/>
                <w:noProof/>
              </w:rPr>
              <w:t>2. Why is government action needed?</w:t>
            </w:r>
            <w:r>
              <w:rPr>
                <w:noProof/>
                <w:webHidden/>
              </w:rPr>
              <w:tab/>
            </w:r>
            <w:r>
              <w:rPr>
                <w:noProof/>
                <w:webHidden/>
              </w:rPr>
              <w:fldChar w:fldCharType="begin"/>
            </w:r>
            <w:r>
              <w:rPr>
                <w:noProof/>
                <w:webHidden/>
              </w:rPr>
              <w:instrText xml:space="preserve"> PAGEREF _Toc134603931 \h </w:instrText>
            </w:r>
            <w:r>
              <w:rPr>
                <w:noProof/>
                <w:webHidden/>
              </w:rPr>
            </w:r>
            <w:r>
              <w:rPr>
                <w:noProof/>
                <w:webHidden/>
              </w:rPr>
              <w:fldChar w:fldCharType="separate"/>
            </w:r>
            <w:r>
              <w:rPr>
                <w:noProof/>
                <w:webHidden/>
              </w:rPr>
              <w:t>15</w:t>
            </w:r>
            <w:r>
              <w:rPr>
                <w:noProof/>
                <w:webHidden/>
              </w:rPr>
              <w:fldChar w:fldCharType="end"/>
            </w:r>
          </w:hyperlink>
        </w:p>
        <w:p w14:paraId="4268E457" w14:textId="04D9B4F2" w:rsidR="0030678C" w:rsidRDefault="0030678C">
          <w:pPr>
            <w:pStyle w:val="TOC2"/>
            <w:tabs>
              <w:tab w:val="right" w:leader="dot" w:pos="10194"/>
            </w:tabs>
            <w:rPr>
              <w:rFonts w:eastAsiaTheme="minorEastAsia"/>
              <w:noProof/>
              <w:color w:val="auto"/>
              <w:sz w:val="22"/>
              <w:szCs w:val="22"/>
              <w:lang w:eastAsia="en-AU"/>
            </w:rPr>
          </w:pPr>
          <w:hyperlink w:anchor="_Toc134603932" w:history="1">
            <w:r w:rsidRPr="00FF2625">
              <w:rPr>
                <w:rStyle w:val="Hyperlink"/>
                <w:noProof/>
              </w:rPr>
              <w:t>3. What policy options are you considering?</w:t>
            </w:r>
            <w:r>
              <w:rPr>
                <w:noProof/>
                <w:webHidden/>
              </w:rPr>
              <w:tab/>
            </w:r>
            <w:r>
              <w:rPr>
                <w:noProof/>
                <w:webHidden/>
              </w:rPr>
              <w:fldChar w:fldCharType="begin"/>
            </w:r>
            <w:r>
              <w:rPr>
                <w:noProof/>
                <w:webHidden/>
              </w:rPr>
              <w:instrText xml:space="preserve"> PAGEREF _Toc134603932 \h </w:instrText>
            </w:r>
            <w:r>
              <w:rPr>
                <w:noProof/>
                <w:webHidden/>
              </w:rPr>
            </w:r>
            <w:r>
              <w:rPr>
                <w:noProof/>
                <w:webHidden/>
              </w:rPr>
              <w:fldChar w:fldCharType="separate"/>
            </w:r>
            <w:r>
              <w:rPr>
                <w:noProof/>
                <w:webHidden/>
              </w:rPr>
              <w:t>17</w:t>
            </w:r>
            <w:r>
              <w:rPr>
                <w:noProof/>
                <w:webHidden/>
              </w:rPr>
              <w:fldChar w:fldCharType="end"/>
            </w:r>
          </w:hyperlink>
        </w:p>
        <w:p w14:paraId="4D0CB4BF" w14:textId="229FCDEE" w:rsidR="0030678C" w:rsidRDefault="0030678C">
          <w:pPr>
            <w:pStyle w:val="TOC3"/>
            <w:tabs>
              <w:tab w:val="right" w:leader="dot" w:pos="10194"/>
            </w:tabs>
            <w:rPr>
              <w:rFonts w:eastAsiaTheme="minorEastAsia"/>
              <w:noProof/>
              <w:color w:val="auto"/>
              <w:sz w:val="22"/>
              <w:szCs w:val="22"/>
              <w:lang w:eastAsia="en-AU"/>
            </w:rPr>
          </w:pPr>
          <w:hyperlink w:anchor="_Toc134603933" w:history="1">
            <w:r w:rsidRPr="00FF2625">
              <w:rPr>
                <w:rStyle w:val="Hyperlink"/>
                <w:noProof/>
              </w:rPr>
              <w:t>Option 1: Status quo</w:t>
            </w:r>
            <w:r>
              <w:rPr>
                <w:noProof/>
                <w:webHidden/>
              </w:rPr>
              <w:tab/>
            </w:r>
            <w:r>
              <w:rPr>
                <w:noProof/>
                <w:webHidden/>
              </w:rPr>
              <w:fldChar w:fldCharType="begin"/>
            </w:r>
            <w:r>
              <w:rPr>
                <w:noProof/>
                <w:webHidden/>
              </w:rPr>
              <w:instrText xml:space="preserve"> PAGEREF _Toc134603933 \h </w:instrText>
            </w:r>
            <w:r>
              <w:rPr>
                <w:noProof/>
                <w:webHidden/>
              </w:rPr>
            </w:r>
            <w:r>
              <w:rPr>
                <w:noProof/>
                <w:webHidden/>
              </w:rPr>
              <w:fldChar w:fldCharType="separate"/>
            </w:r>
            <w:r>
              <w:rPr>
                <w:noProof/>
                <w:webHidden/>
              </w:rPr>
              <w:t>17</w:t>
            </w:r>
            <w:r>
              <w:rPr>
                <w:noProof/>
                <w:webHidden/>
              </w:rPr>
              <w:fldChar w:fldCharType="end"/>
            </w:r>
          </w:hyperlink>
        </w:p>
        <w:p w14:paraId="7B7EE6BD" w14:textId="11A50FFF" w:rsidR="0030678C" w:rsidRDefault="0030678C">
          <w:pPr>
            <w:pStyle w:val="TOC3"/>
            <w:tabs>
              <w:tab w:val="right" w:leader="dot" w:pos="10194"/>
            </w:tabs>
            <w:rPr>
              <w:rFonts w:eastAsiaTheme="minorEastAsia"/>
              <w:noProof/>
              <w:color w:val="auto"/>
              <w:sz w:val="22"/>
              <w:szCs w:val="22"/>
              <w:lang w:eastAsia="en-AU"/>
            </w:rPr>
          </w:pPr>
          <w:hyperlink w:anchor="_Toc134603934" w:history="1">
            <w:r w:rsidRPr="00FF2625">
              <w:rPr>
                <w:rStyle w:val="Hyperlink"/>
                <w:noProof/>
              </w:rPr>
              <w:t>Option 2: Implement MDQ changes for medicines – 2 months’ supply</w:t>
            </w:r>
            <w:r>
              <w:rPr>
                <w:noProof/>
                <w:webHidden/>
              </w:rPr>
              <w:tab/>
            </w:r>
            <w:r>
              <w:rPr>
                <w:noProof/>
                <w:webHidden/>
              </w:rPr>
              <w:fldChar w:fldCharType="begin"/>
            </w:r>
            <w:r>
              <w:rPr>
                <w:noProof/>
                <w:webHidden/>
              </w:rPr>
              <w:instrText xml:space="preserve"> PAGEREF _Toc134603934 \h </w:instrText>
            </w:r>
            <w:r>
              <w:rPr>
                <w:noProof/>
                <w:webHidden/>
              </w:rPr>
            </w:r>
            <w:r>
              <w:rPr>
                <w:noProof/>
                <w:webHidden/>
              </w:rPr>
              <w:fldChar w:fldCharType="separate"/>
            </w:r>
            <w:r>
              <w:rPr>
                <w:noProof/>
                <w:webHidden/>
              </w:rPr>
              <w:t>19</w:t>
            </w:r>
            <w:r>
              <w:rPr>
                <w:noProof/>
                <w:webHidden/>
              </w:rPr>
              <w:fldChar w:fldCharType="end"/>
            </w:r>
          </w:hyperlink>
        </w:p>
        <w:p w14:paraId="4E66DB51" w14:textId="61073076" w:rsidR="0030678C" w:rsidRDefault="0030678C">
          <w:pPr>
            <w:pStyle w:val="TOC3"/>
            <w:tabs>
              <w:tab w:val="right" w:leader="dot" w:pos="10194"/>
            </w:tabs>
            <w:rPr>
              <w:rFonts w:eastAsiaTheme="minorEastAsia"/>
              <w:noProof/>
              <w:color w:val="auto"/>
              <w:sz w:val="22"/>
              <w:szCs w:val="22"/>
              <w:lang w:eastAsia="en-AU"/>
            </w:rPr>
          </w:pPr>
          <w:hyperlink w:anchor="_Toc134603935" w:history="1">
            <w:r w:rsidRPr="00FF2625">
              <w:rPr>
                <w:rStyle w:val="Hyperlink"/>
                <w:noProof/>
              </w:rPr>
              <w:t>Option 3: Implement MDQ changes for medicines – 3 months’ supply</w:t>
            </w:r>
            <w:r>
              <w:rPr>
                <w:noProof/>
                <w:webHidden/>
              </w:rPr>
              <w:tab/>
            </w:r>
            <w:r>
              <w:rPr>
                <w:noProof/>
                <w:webHidden/>
              </w:rPr>
              <w:fldChar w:fldCharType="begin"/>
            </w:r>
            <w:r>
              <w:rPr>
                <w:noProof/>
                <w:webHidden/>
              </w:rPr>
              <w:instrText xml:space="preserve"> PAGEREF _Toc134603935 \h </w:instrText>
            </w:r>
            <w:r>
              <w:rPr>
                <w:noProof/>
                <w:webHidden/>
              </w:rPr>
            </w:r>
            <w:r>
              <w:rPr>
                <w:noProof/>
                <w:webHidden/>
              </w:rPr>
              <w:fldChar w:fldCharType="separate"/>
            </w:r>
            <w:r>
              <w:rPr>
                <w:noProof/>
                <w:webHidden/>
              </w:rPr>
              <w:t>21</w:t>
            </w:r>
            <w:r>
              <w:rPr>
                <w:noProof/>
                <w:webHidden/>
              </w:rPr>
              <w:fldChar w:fldCharType="end"/>
            </w:r>
          </w:hyperlink>
        </w:p>
        <w:p w14:paraId="5AF8999A" w14:textId="18FAC927" w:rsidR="0030678C" w:rsidRDefault="0030678C">
          <w:pPr>
            <w:pStyle w:val="TOC2"/>
            <w:tabs>
              <w:tab w:val="right" w:leader="dot" w:pos="10194"/>
            </w:tabs>
            <w:rPr>
              <w:rFonts w:eastAsiaTheme="minorEastAsia"/>
              <w:noProof/>
              <w:color w:val="auto"/>
              <w:sz w:val="22"/>
              <w:szCs w:val="22"/>
              <w:lang w:eastAsia="en-AU"/>
            </w:rPr>
          </w:pPr>
          <w:hyperlink w:anchor="_Toc134603936" w:history="1">
            <w:r w:rsidRPr="00FF2625">
              <w:rPr>
                <w:rStyle w:val="Hyperlink"/>
                <w:noProof/>
              </w:rPr>
              <w:t>4. What is the likely net benefit of each option?</w:t>
            </w:r>
            <w:r>
              <w:rPr>
                <w:noProof/>
                <w:webHidden/>
              </w:rPr>
              <w:tab/>
            </w:r>
            <w:r>
              <w:rPr>
                <w:noProof/>
                <w:webHidden/>
              </w:rPr>
              <w:fldChar w:fldCharType="begin"/>
            </w:r>
            <w:r>
              <w:rPr>
                <w:noProof/>
                <w:webHidden/>
              </w:rPr>
              <w:instrText xml:space="preserve"> PAGEREF _Toc134603936 \h </w:instrText>
            </w:r>
            <w:r>
              <w:rPr>
                <w:noProof/>
                <w:webHidden/>
              </w:rPr>
            </w:r>
            <w:r>
              <w:rPr>
                <w:noProof/>
                <w:webHidden/>
              </w:rPr>
              <w:fldChar w:fldCharType="separate"/>
            </w:r>
            <w:r>
              <w:rPr>
                <w:noProof/>
                <w:webHidden/>
              </w:rPr>
              <w:t>24</w:t>
            </w:r>
            <w:r>
              <w:rPr>
                <w:noProof/>
                <w:webHidden/>
              </w:rPr>
              <w:fldChar w:fldCharType="end"/>
            </w:r>
          </w:hyperlink>
        </w:p>
        <w:p w14:paraId="0E29875C" w14:textId="009732EA" w:rsidR="0030678C" w:rsidRDefault="0030678C">
          <w:pPr>
            <w:pStyle w:val="TOC3"/>
            <w:tabs>
              <w:tab w:val="right" w:leader="dot" w:pos="10194"/>
            </w:tabs>
            <w:rPr>
              <w:rFonts w:eastAsiaTheme="minorEastAsia"/>
              <w:noProof/>
              <w:color w:val="auto"/>
              <w:sz w:val="22"/>
              <w:szCs w:val="22"/>
              <w:lang w:eastAsia="en-AU"/>
            </w:rPr>
          </w:pPr>
          <w:hyperlink w:anchor="_Toc134603937" w:history="1">
            <w:r w:rsidRPr="00FF2625">
              <w:rPr>
                <w:rStyle w:val="Hyperlink"/>
                <w:noProof/>
              </w:rPr>
              <w:t>Option 1: Status quo</w:t>
            </w:r>
            <w:r>
              <w:rPr>
                <w:noProof/>
                <w:webHidden/>
              </w:rPr>
              <w:tab/>
            </w:r>
            <w:r>
              <w:rPr>
                <w:noProof/>
                <w:webHidden/>
              </w:rPr>
              <w:fldChar w:fldCharType="begin"/>
            </w:r>
            <w:r>
              <w:rPr>
                <w:noProof/>
                <w:webHidden/>
              </w:rPr>
              <w:instrText xml:space="preserve"> PAGEREF _Toc134603937 \h </w:instrText>
            </w:r>
            <w:r>
              <w:rPr>
                <w:noProof/>
                <w:webHidden/>
              </w:rPr>
            </w:r>
            <w:r>
              <w:rPr>
                <w:noProof/>
                <w:webHidden/>
              </w:rPr>
              <w:fldChar w:fldCharType="separate"/>
            </w:r>
            <w:r>
              <w:rPr>
                <w:noProof/>
                <w:webHidden/>
              </w:rPr>
              <w:t>24</w:t>
            </w:r>
            <w:r>
              <w:rPr>
                <w:noProof/>
                <w:webHidden/>
              </w:rPr>
              <w:fldChar w:fldCharType="end"/>
            </w:r>
          </w:hyperlink>
        </w:p>
        <w:p w14:paraId="6A3A82CD" w14:textId="15EF4BE6" w:rsidR="0030678C" w:rsidRDefault="0030678C">
          <w:pPr>
            <w:pStyle w:val="TOC3"/>
            <w:tabs>
              <w:tab w:val="right" w:leader="dot" w:pos="10194"/>
            </w:tabs>
            <w:rPr>
              <w:rFonts w:eastAsiaTheme="minorEastAsia"/>
              <w:noProof/>
              <w:color w:val="auto"/>
              <w:sz w:val="22"/>
              <w:szCs w:val="22"/>
              <w:lang w:eastAsia="en-AU"/>
            </w:rPr>
          </w:pPr>
          <w:hyperlink w:anchor="_Toc134603938" w:history="1">
            <w:r w:rsidRPr="00FF2625">
              <w:rPr>
                <w:rStyle w:val="Hyperlink"/>
                <w:noProof/>
              </w:rPr>
              <w:t>Option 2: Implement MDQ changes for medicines – 2 months’ supply</w:t>
            </w:r>
            <w:r>
              <w:rPr>
                <w:noProof/>
                <w:webHidden/>
              </w:rPr>
              <w:tab/>
            </w:r>
            <w:r>
              <w:rPr>
                <w:noProof/>
                <w:webHidden/>
              </w:rPr>
              <w:fldChar w:fldCharType="begin"/>
            </w:r>
            <w:r>
              <w:rPr>
                <w:noProof/>
                <w:webHidden/>
              </w:rPr>
              <w:instrText xml:space="preserve"> PAGEREF _Toc134603938 \h </w:instrText>
            </w:r>
            <w:r>
              <w:rPr>
                <w:noProof/>
                <w:webHidden/>
              </w:rPr>
            </w:r>
            <w:r>
              <w:rPr>
                <w:noProof/>
                <w:webHidden/>
              </w:rPr>
              <w:fldChar w:fldCharType="separate"/>
            </w:r>
            <w:r>
              <w:rPr>
                <w:noProof/>
                <w:webHidden/>
              </w:rPr>
              <w:t>24</w:t>
            </w:r>
            <w:r>
              <w:rPr>
                <w:noProof/>
                <w:webHidden/>
              </w:rPr>
              <w:fldChar w:fldCharType="end"/>
            </w:r>
          </w:hyperlink>
        </w:p>
        <w:p w14:paraId="61B8DD05" w14:textId="660624EC" w:rsidR="0030678C" w:rsidRDefault="0030678C">
          <w:pPr>
            <w:pStyle w:val="TOC3"/>
            <w:tabs>
              <w:tab w:val="right" w:leader="dot" w:pos="10194"/>
            </w:tabs>
            <w:rPr>
              <w:rFonts w:eastAsiaTheme="minorEastAsia"/>
              <w:noProof/>
              <w:color w:val="auto"/>
              <w:sz w:val="22"/>
              <w:szCs w:val="22"/>
              <w:lang w:eastAsia="en-AU"/>
            </w:rPr>
          </w:pPr>
          <w:hyperlink w:anchor="_Toc134603939" w:history="1">
            <w:r w:rsidRPr="00FF2625">
              <w:rPr>
                <w:rStyle w:val="Hyperlink"/>
                <w:noProof/>
              </w:rPr>
              <w:t>Regulatory burden estimate (RBE) table – Option 2</w:t>
            </w:r>
            <w:r>
              <w:rPr>
                <w:noProof/>
                <w:webHidden/>
              </w:rPr>
              <w:tab/>
            </w:r>
            <w:r>
              <w:rPr>
                <w:noProof/>
                <w:webHidden/>
              </w:rPr>
              <w:fldChar w:fldCharType="begin"/>
            </w:r>
            <w:r>
              <w:rPr>
                <w:noProof/>
                <w:webHidden/>
              </w:rPr>
              <w:instrText xml:space="preserve"> PAGEREF _Toc134603939 \h </w:instrText>
            </w:r>
            <w:r>
              <w:rPr>
                <w:noProof/>
                <w:webHidden/>
              </w:rPr>
            </w:r>
            <w:r>
              <w:rPr>
                <w:noProof/>
                <w:webHidden/>
              </w:rPr>
              <w:fldChar w:fldCharType="separate"/>
            </w:r>
            <w:r>
              <w:rPr>
                <w:noProof/>
                <w:webHidden/>
              </w:rPr>
              <w:t>34</w:t>
            </w:r>
            <w:r>
              <w:rPr>
                <w:noProof/>
                <w:webHidden/>
              </w:rPr>
              <w:fldChar w:fldCharType="end"/>
            </w:r>
          </w:hyperlink>
        </w:p>
        <w:p w14:paraId="0C03EDE6" w14:textId="52149124" w:rsidR="0030678C" w:rsidRDefault="0030678C">
          <w:pPr>
            <w:pStyle w:val="TOC3"/>
            <w:tabs>
              <w:tab w:val="right" w:leader="dot" w:pos="10194"/>
            </w:tabs>
            <w:rPr>
              <w:rFonts w:eastAsiaTheme="minorEastAsia"/>
              <w:noProof/>
              <w:color w:val="auto"/>
              <w:sz w:val="22"/>
              <w:szCs w:val="22"/>
              <w:lang w:eastAsia="en-AU"/>
            </w:rPr>
          </w:pPr>
          <w:hyperlink w:anchor="_Toc134603940" w:history="1">
            <w:r w:rsidRPr="00FF2625">
              <w:rPr>
                <w:rStyle w:val="Hyperlink"/>
                <w:noProof/>
              </w:rPr>
              <w:t>Option 3: Implement MDQ changes for medicines – 3 months’ supply</w:t>
            </w:r>
            <w:r>
              <w:rPr>
                <w:noProof/>
                <w:webHidden/>
              </w:rPr>
              <w:tab/>
            </w:r>
            <w:r>
              <w:rPr>
                <w:noProof/>
                <w:webHidden/>
              </w:rPr>
              <w:fldChar w:fldCharType="begin"/>
            </w:r>
            <w:r>
              <w:rPr>
                <w:noProof/>
                <w:webHidden/>
              </w:rPr>
              <w:instrText xml:space="preserve"> PAGEREF _Toc134603940 \h </w:instrText>
            </w:r>
            <w:r>
              <w:rPr>
                <w:noProof/>
                <w:webHidden/>
              </w:rPr>
            </w:r>
            <w:r>
              <w:rPr>
                <w:noProof/>
                <w:webHidden/>
              </w:rPr>
              <w:fldChar w:fldCharType="separate"/>
            </w:r>
            <w:r>
              <w:rPr>
                <w:noProof/>
                <w:webHidden/>
              </w:rPr>
              <w:t>34</w:t>
            </w:r>
            <w:r>
              <w:rPr>
                <w:noProof/>
                <w:webHidden/>
              </w:rPr>
              <w:fldChar w:fldCharType="end"/>
            </w:r>
          </w:hyperlink>
        </w:p>
        <w:p w14:paraId="0DCA454F" w14:textId="4EC95601" w:rsidR="0030678C" w:rsidRDefault="0030678C">
          <w:pPr>
            <w:pStyle w:val="TOC3"/>
            <w:tabs>
              <w:tab w:val="right" w:leader="dot" w:pos="10194"/>
            </w:tabs>
            <w:rPr>
              <w:rFonts w:eastAsiaTheme="minorEastAsia"/>
              <w:noProof/>
              <w:color w:val="auto"/>
              <w:sz w:val="22"/>
              <w:szCs w:val="22"/>
              <w:lang w:eastAsia="en-AU"/>
            </w:rPr>
          </w:pPr>
          <w:hyperlink w:anchor="_Toc134603941" w:history="1">
            <w:r w:rsidRPr="00FF2625">
              <w:rPr>
                <w:rStyle w:val="Hyperlink"/>
                <w:noProof/>
              </w:rPr>
              <w:t>Regulatory burden estimate (RBE) table – Option 3</w:t>
            </w:r>
            <w:r>
              <w:rPr>
                <w:noProof/>
                <w:webHidden/>
              </w:rPr>
              <w:tab/>
            </w:r>
            <w:r>
              <w:rPr>
                <w:noProof/>
                <w:webHidden/>
              </w:rPr>
              <w:fldChar w:fldCharType="begin"/>
            </w:r>
            <w:r>
              <w:rPr>
                <w:noProof/>
                <w:webHidden/>
              </w:rPr>
              <w:instrText xml:space="preserve"> PAGEREF _Toc134603941 \h </w:instrText>
            </w:r>
            <w:r>
              <w:rPr>
                <w:noProof/>
                <w:webHidden/>
              </w:rPr>
            </w:r>
            <w:r>
              <w:rPr>
                <w:noProof/>
                <w:webHidden/>
              </w:rPr>
              <w:fldChar w:fldCharType="separate"/>
            </w:r>
            <w:r>
              <w:rPr>
                <w:noProof/>
                <w:webHidden/>
              </w:rPr>
              <w:t>38</w:t>
            </w:r>
            <w:r>
              <w:rPr>
                <w:noProof/>
                <w:webHidden/>
              </w:rPr>
              <w:fldChar w:fldCharType="end"/>
            </w:r>
          </w:hyperlink>
        </w:p>
        <w:p w14:paraId="23D19662" w14:textId="581A6D94" w:rsidR="0030678C" w:rsidRDefault="0030678C">
          <w:pPr>
            <w:pStyle w:val="TOC2"/>
            <w:tabs>
              <w:tab w:val="right" w:leader="dot" w:pos="10194"/>
            </w:tabs>
            <w:rPr>
              <w:rFonts w:eastAsiaTheme="minorEastAsia"/>
              <w:noProof/>
              <w:color w:val="auto"/>
              <w:sz w:val="22"/>
              <w:szCs w:val="22"/>
              <w:lang w:eastAsia="en-AU"/>
            </w:rPr>
          </w:pPr>
          <w:hyperlink w:anchor="_Toc134603942" w:history="1">
            <w:r w:rsidRPr="00FF2625">
              <w:rPr>
                <w:rStyle w:val="Hyperlink"/>
                <w:noProof/>
              </w:rPr>
              <w:t>5. Who will you consult about these options and how will you consult them?</w:t>
            </w:r>
            <w:r>
              <w:rPr>
                <w:noProof/>
                <w:webHidden/>
              </w:rPr>
              <w:tab/>
            </w:r>
            <w:r>
              <w:rPr>
                <w:noProof/>
                <w:webHidden/>
              </w:rPr>
              <w:fldChar w:fldCharType="begin"/>
            </w:r>
            <w:r>
              <w:rPr>
                <w:noProof/>
                <w:webHidden/>
              </w:rPr>
              <w:instrText xml:space="preserve"> PAGEREF _Toc134603942 \h </w:instrText>
            </w:r>
            <w:r>
              <w:rPr>
                <w:noProof/>
                <w:webHidden/>
              </w:rPr>
            </w:r>
            <w:r>
              <w:rPr>
                <w:noProof/>
                <w:webHidden/>
              </w:rPr>
              <w:fldChar w:fldCharType="separate"/>
            </w:r>
            <w:r>
              <w:rPr>
                <w:noProof/>
                <w:webHidden/>
              </w:rPr>
              <w:t>39</w:t>
            </w:r>
            <w:r>
              <w:rPr>
                <w:noProof/>
                <w:webHidden/>
              </w:rPr>
              <w:fldChar w:fldCharType="end"/>
            </w:r>
          </w:hyperlink>
        </w:p>
        <w:p w14:paraId="3A82E74C" w14:textId="35E486AD" w:rsidR="0030678C" w:rsidRDefault="0030678C">
          <w:pPr>
            <w:pStyle w:val="TOC2"/>
            <w:tabs>
              <w:tab w:val="right" w:leader="dot" w:pos="10194"/>
            </w:tabs>
            <w:rPr>
              <w:rFonts w:eastAsiaTheme="minorEastAsia"/>
              <w:noProof/>
              <w:color w:val="auto"/>
              <w:sz w:val="22"/>
              <w:szCs w:val="22"/>
              <w:lang w:eastAsia="en-AU"/>
            </w:rPr>
          </w:pPr>
          <w:hyperlink w:anchor="_Toc134603943" w:history="1">
            <w:r w:rsidRPr="00FF2625">
              <w:rPr>
                <w:rStyle w:val="Hyperlink"/>
                <w:noProof/>
              </w:rPr>
              <w:t>6. What is the best option from those you have considered and how will it be implemented?</w:t>
            </w:r>
            <w:r>
              <w:rPr>
                <w:noProof/>
                <w:webHidden/>
              </w:rPr>
              <w:tab/>
            </w:r>
            <w:r>
              <w:rPr>
                <w:noProof/>
                <w:webHidden/>
              </w:rPr>
              <w:fldChar w:fldCharType="begin"/>
            </w:r>
            <w:r>
              <w:rPr>
                <w:noProof/>
                <w:webHidden/>
              </w:rPr>
              <w:instrText xml:space="preserve"> PAGEREF _Toc134603943 \h </w:instrText>
            </w:r>
            <w:r>
              <w:rPr>
                <w:noProof/>
                <w:webHidden/>
              </w:rPr>
            </w:r>
            <w:r>
              <w:rPr>
                <w:noProof/>
                <w:webHidden/>
              </w:rPr>
              <w:fldChar w:fldCharType="separate"/>
            </w:r>
            <w:r>
              <w:rPr>
                <w:noProof/>
                <w:webHidden/>
              </w:rPr>
              <w:t>42</w:t>
            </w:r>
            <w:r>
              <w:rPr>
                <w:noProof/>
                <w:webHidden/>
              </w:rPr>
              <w:fldChar w:fldCharType="end"/>
            </w:r>
          </w:hyperlink>
        </w:p>
        <w:p w14:paraId="4AF02334" w14:textId="4DFEEF3C" w:rsidR="0030678C" w:rsidRDefault="0030678C">
          <w:pPr>
            <w:pStyle w:val="TOC3"/>
            <w:tabs>
              <w:tab w:val="right" w:leader="dot" w:pos="10194"/>
            </w:tabs>
            <w:rPr>
              <w:rFonts w:eastAsiaTheme="minorEastAsia"/>
              <w:noProof/>
              <w:color w:val="auto"/>
              <w:sz w:val="22"/>
              <w:szCs w:val="22"/>
              <w:lang w:eastAsia="en-AU"/>
            </w:rPr>
          </w:pPr>
          <w:hyperlink w:anchor="_Toc134603944" w:history="1">
            <w:r w:rsidRPr="00FF2625">
              <w:rPr>
                <w:rStyle w:val="Hyperlink"/>
                <w:noProof/>
              </w:rPr>
              <w:t>Preferred option</w:t>
            </w:r>
            <w:r>
              <w:rPr>
                <w:noProof/>
                <w:webHidden/>
              </w:rPr>
              <w:tab/>
            </w:r>
            <w:r>
              <w:rPr>
                <w:noProof/>
                <w:webHidden/>
              </w:rPr>
              <w:fldChar w:fldCharType="begin"/>
            </w:r>
            <w:r>
              <w:rPr>
                <w:noProof/>
                <w:webHidden/>
              </w:rPr>
              <w:instrText xml:space="preserve"> PAGEREF _Toc134603944 \h </w:instrText>
            </w:r>
            <w:r>
              <w:rPr>
                <w:noProof/>
                <w:webHidden/>
              </w:rPr>
            </w:r>
            <w:r>
              <w:rPr>
                <w:noProof/>
                <w:webHidden/>
              </w:rPr>
              <w:fldChar w:fldCharType="separate"/>
            </w:r>
            <w:r>
              <w:rPr>
                <w:noProof/>
                <w:webHidden/>
              </w:rPr>
              <w:t>43</w:t>
            </w:r>
            <w:r>
              <w:rPr>
                <w:noProof/>
                <w:webHidden/>
              </w:rPr>
              <w:fldChar w:fldCharType="end"/>
            </w:r>
          </w:hyperlink>
        </w:p>
        <w:p w14:paraId="79835E80" w14:textId="4306FFF6" w:rsidR="0030678C" w:rsidRDefault="0030678C">
          <w:pPr>
            <w:pStyle w:val="TOC3"/>
            <w:tabs>
              <w:tab w:val="right" w:leader="dot" w:pos="10194"/>
            </w:tabs>
            <w:rPr>
              <w:rFonts w:eastAsiaTheme="minorEastAsia"/>
              <w:noProof/>
              <w:color w:val="auto"/>
              <w:sz w:val="22"/>
              <w:szCs w:val="22"/>
              <w:lang w:eastAsia="en-AU"/>
            </w:rPr>
          </w:pPr>
          <w:hyperlink w:anchor="_Toc134603945" w:history="1">
            <w:r w:rsidRPr="00FF2625">
              <w:rPr>
                <w:rStyle w:val="Hyperlink"/>
                <w:noProof/>
              </w:rPr>
              <w:t>Implementation</w:t>
            </w:r>
            <w:r>
              <w:rPr>
                <w:noProof/>
                <w:webHidden/>
              </w:rPr>
              <w:tab/>
            </w:r>
            <w:r>
              <w:rPr>
                <w:noProof/>
                <w:webHidden/>
              </w:rPr>
              <w:fldChar w:fldCharType="begin"/>
            </w:r>
            <w:r>
              <w:rPr>
                <w:noProof/>
                <w:webHidden/>
              </w:rPr>
              <w:instrText xml:space="preserve"> PAGEREF _Toc134603945 \h </w:instrText>
            </w:r>
            <w:r>
              <w:rPr>
                <w:noProof/>
                <w:webHidden/>
              </w:rPr>
            </w:r>
            <w:r>
              <w:rPr>
                <w:noProof/>
                <w:webHidden/>
              </w:rPr>
              <w:fldChar w:fldCharType="separate"/>
            </w:r>
            <w:r>
              <w:rPr>
                <w:noProof/>
                <w:webHidden/>
              </w:rPr>
              <w:t>44</w:t>
            </w:r>
            <w:r>
              <w:rPr>
                <w:noProof/>
                <w:webHidden/>
              </w:rPr>
              <w:fldChar w:fldCharType="end"/>
            </w:r>
          </w:hyperlink>
        </w:p>
        <w:p w14:paraId="3FCD41D2" w14:textId="7844532E" w:rsidR="0030678C" w:rsidRDefault="0030678C">
          <w:pPr>
            <w:pStyle w:val="TOC2"/>
            <w:tabs>
              <w:tab w:val="right" w:leader="dot" w:pos="10194"/>
            </w:tabs>
            <w:rPr>
              <w:rFonts w:eastAsiaTheme="minorEastAsia"/>
              <w:noProof/>
              <w:color w:val="auto"/>
              <w:sz w:val="22"/>
              <w:szCs w:val="22"/>
              <w:lang w:eastAsia="en-AU"/>
            </w:rPr>
          </w:pPr>
          <w:hyperlink w:anchor="_Toc134603946" w:history="1">
            <w:r w:rsidRPr="00FF2625">
              <w:rPr>
                <w:rStyle w:val="Hyperlink"/>
                <w:noProof/>
              </w:rPr>
              <w:t>7. How will you evaluate the chosen option against the success metrics?</w:t>
            </w:r>
            <w:r>
              <w:rPr>
                <w:noProof/>
                <w:webHidden/>
              </w:rPr>
              <w:tab/>
            </w:r>
            <w:r>
              <w:rPr>
                <w:noProof/>
                <w:webHidden/>
              </w:rPr>
              <w:fldChar w:fldCharType="begin"/>
            </w:r>
            <w:r>
              <w:rPr>
                <w:noProof/>
                <w:webHidden/>
              </w:rPr>
              <w:instrText xml:space="preserve"> PAGEREF _Toc134603946 \h </w:instrText>
            </w:r>
            <w:r>
              <w:rPr>
                <w:noProof/>
                <w:webHidden/>
              </w:rPr>
            </w:r>
            <w:r>
              <w:rPr>
                <w:noProof/>
                <w:webHidden/>
              </w:rPr>
              <w:fldChar w:fldCharType="separate"/>
            </w:r>
            <w:r>
              <w:rPr>
                <w:noProof/>
                <w:webHidden/>
              </w:rPr>
              <w:t>46</w:t>
            </w:r>
            <w:r>
              <w:rPr>
                <w:noProof/>
                <w:webHidden/>
              </w:rPr>
              <w:fldChar w:fldCharType="end"/>
            </w:r>
          </w:hyperlink>
        </w:p>
        <w:p w14:paraId="4062EFBA" w14:textId="5D8C0D72" w:rsidR="0030678C" w:rsidRDefault="0030678C">
          <w:pPr>
            <w:pStyle w:val="TOC3"/>
            <w:tabs>
              <w:tab w:val="right" w:leader="dot" w:pos="10194"/>
            </w:tabs>
            <w:rPr>
              <w:rFonts w:eastAsiaTheme="minorEastAsia"/>
              <w:noProof/>
              <w:color w:val="auto"/>
              <w:sz w:val="22"/>
              <w:szCs w:val="22"/>
              <w:lang w:eastAsia="en-AU"/>
            </w:rPr>
          </w:pPr>
          <w:hyperlink w:anchor="_Toc134603947" w:history="1">
            <w:r w:rsidRPr="00FF2625">
              <w:rPr>
                <w:rStyle w:val="Hyperlink"/>
                <w:noProof/>
              </w:rPr>
              <w:t>Comprehensive evaluation framework</w:t>
            </w:r>
            <w:r>
              <w:rPr>
                <w:noProof/>
                <w:webHidden/>
              </w:rPr>
              <w:tab/>
            </w:r>
            <w:r>
              <w:rPr>
                <w:noProof/>
                <w:webHidden/>
              </w:rPr>
              <w:fldChar w:fldCharType="begin"/>
            </w:r>
            <w:r>
              <w:rPr>
                <w:noProof/>
                <w:webHidden/>
              </w:rPr>
              <w:instrText xml:space="preserve"> PAGEREF _Toc134603947 \h </w:instrText>
            </w:r>
            <w:r>
              <w:rPr>
                <w:noProof/>
                <w:webHidden/>
              </w:rPr>
            </w:r>
            <w:r>
              <w:rPr>
                <w:noProof/>
                <w:webHidden/>
              </w:rPr>
              <w:fldChar w:fldCharType="separate"/>
            </w:r>
            <w:r>
              <w:rPr>
                <w:noProof/>
                <w:webHidden/>
              </w:rPr>
              <w:t>46</w:t>
            </w:r>
            <w:r>
              <w:rPr>
                <w:noProof/>
                <w:webHidden/>
              </w:rPr>
              <w:fldChar w:fldCharType="end"/>
            </w:r>
          </w:hyperlink>
        </w:p>
        <w:p w14:paraId="2E9395A0" w14:textId="47417699" w:rsidR="0030678C" w:rsidRDefault="0030678C">
          <w:pPr>
            <w:pStyle w:val="TOC3"/>
            <w:tabs>
              <w:tab w:val="right" w:leader="dot" w:pos="10194"/>
            </w:tabs>
            <w:rPr>
              <w:rFonts w:eastAsiaTheme="minorEastAsia"/>
              <w:noProof/>
              <w:color w:val="auto"/>
              <w:sz w:val="22"/>
              <w:szCs w:val="22"/>
              <w:lang w:eastAsia="en-AU"/>
            </w:rPr>
          </w:pPr>
          <w:hyperlink w:anchor="_Toc134603948" w:history="1">
            <w:r w:rsidRPr="00FF2625">
              <w:rPr>
                <w:rStyle w:val="Hyperlink"/>
                <w:noProof/>
              </w:rPr>
              <w:t>Monitoring stakeholder impacts</w:t>
            </w:r>
            <w:r>
              <w:rPr>
                <w:noProof/>
                <w:webHidden/>
              </w:rPr>
              <w:tab/>
            </w:r>
            <w:r>
              <w:rPr>
                <w:noProof/>
                <w:webHidden/>
              </w:rPr>
              <w:fldChar w:fldCharType="begin"/>
            </w:r>
            <w:r>
              <w:rPr>
                <w:noProof/>
                <w:webHidden/>
              </w:rPr>
              <w:instrText xml:space="preserve"> PAGEREF _Toc134603948 \h </w:instrText>
            </w:r>
            <w:r>
              <w:rPr>
                <w:noProof/>
                <w:webHidden/>
              </w:rPr>
            </w:r>
            <w:r>
              <w:rPr>
                <w:noProof/>
                <w:webHidden/>
              </w:rPr>
              <w:fldChar w:fldCharType="separate"/>
            </w:r>
            <w:r>
              <w:rPr>
                <w:noProof/>
                <w:webHidden/>
              </w:rPr>
              <w:t>48</w:t>
            </w:r>
            <w:r>
              <w:rPr>
                <w:noProof/>
                <w:webHidden/>
              </w:rPr>
              <w:fldChar w:fldCharType="end"/>
            </w:r>
          </w:hyperlink>
        </w:p>
        <w:p w14:paraId="64FCB343" w14:textId="79346A9A" w:rsidR="00C51D1D" w:rsidRPr="00A461B6" w:rsidRDefault="00C51D1D">
          <w:r w:rsidRPr="00A461B6">
            <w:rPr>
              <w:b/>
              <w:bCs/>
              <w:color w:val="0D0D0D" w:themeColor="text1" w:themeTint="F2"/>
            </w:rPr>
            <w:fldChar w:fldCharType="end"/>
          </w:r>
        </w:p>
      </w:sdtContent>
    </w:sdt>
    <w:p w14:paraId="571EBC87" w14:textId="2AA05C2B" w:rsidR="0011200A" w:rsidRPr="00A461B6" w:rsidRDefault="009970A6" w:rsidP="0097798F">
      <w:pPr>
        <w:pStyle w:val="Heading1"/>
      </w:pPr>
      <w:bookmarkStart w:id="27" w:name="_Toc132192285"/>
      <w:bookmarkStart w:id="28" w:name="_Toc134603916"/>
      <w:r w:rsidRPr="00A461B6">
        <w:t>Executive Summary</w:t>
      </w:r>
      <w:bookmarkEnd w:id="27"/>
      <w:bookmarkEnd w:id="28"/>
    </w:p>
    <w:p w14:paraId="3718587A" w14:textId="46F723A0" w:rsidR="00A33415" w:rsidRPr="00A461B6" w:rsidRDefault="00C21022" w:rsidP="000E1233">
      <w:pPr>
        <w:pStyle w:val="CABNETParagraph"/>
        <w:rPr>
          <w:rFonts w:ascii="Calibri" w:eastAsiaTheme="majorEastAsia" w:hAnsi="Calibri" w:cs="Calibri"/>
          <w:bCs/>
          <w:color w:val="0D0D0D" w:themeColor="text1" w:themeTint="F2"/>
          <w:sz w:val="24"/>
          <w:szCs w:val="24"/>
        </w:rPr>
      </w:pPr>
      <w:r w:rsidRPr="00A461B6">
        <w:rPr>
          <w:rFonts w:ascii="Calibri" w:eastAsiaTheme="majorEastAsia" w:hAnsi="Calibri" w:cs="Calibri"/>
          <w:bCs/>
          <w:color w:val="0D0D0D" w:themeColor="text1" w:themeTint="F2"/>
          <w:sz w:val="24"/>
          <w:szCs w:val="24"/>
        </w:rPr>
        <w:t>Th</w:t>
      </w:r>
      <w:r w:rsidR="00F84452" w:rsidRPr="00A461B6">
        <w:rPr>
          <w:rFonts w:ascii="Calibri" w:eastAsiaTheme="majorEastAsia" w:hAnsi="Calibri" w:cs="Calibri"/>
          <w:bCs/>
          <w:color w:val="0D0D0D" w:themeColor="text1" w:themeTint="F2"/>
          <w:sz w:val="24"/>
          <w:szCs w:val="24"/>
        </w:rPr>
        <w:t>is</w:t>
      </w:r>
      <w:r w:rsidR="00B43C4B" w:rsidRPr="00A461B6">
        <w:rPr>
          <w:rFonts w:ascii="Calibri" w:eastAsiaTheme="majorEastAsia" w:hAnsi="Calibri" w:cs="Calibri"/>
          <w:bCs/>
          <w:color w:val="0D0D0D" w:themeColor="text1" w:themeTint="F2"/>
          <w:sz w:val="24"/>
          <w:szCs w:val="24"/>
        </w:rPr>
        <w:t xml:space="preserve"> </w:t>
      </w:r>
      <w:r w:rsidR="00575BE2" w:rsidRPr="00A461B6">
        <w:rPr>
          <w:rFonts w:ascii="Calibri" w:eastAsiaTheme="majorEastAsia" w:hAnsi="Calibri" w:cs="Calibri"/>
          <w:bCs/>
          <w:color w:val="0D0D0D" w:themeColor="text1" w:themeTint="F2"/>
          <w:sz w:val="24"/>
          <w:szCs w:val="24"/>
        </w:rPr>
        <w:t xml:space="preserve">proposal will enable </w:t>
      </w:r>
      <w:r w:rsidR="0080415F" w:rsidRPr="00A461B6">
        <w:rPr>
          <w:rFonts w:ascii="Calibri" w:eastAsiaTheme="majorEastAsia" w:hAnsi="Calibri" w:cs="Calibri"/>
          <w:bCs/>
          <w:color w:val="0D0D0D" w:themeColor="text1" w:themeTint="F2"/>
          <w:sz w:val="24"/>
          <w:szCs w:val="24"/>
        </w:rPr>
        <w:t>consumers</w:t>
      </w:r>
      <w:r w:rsidR="00575BE2" w:rsidRPr="00A461B6">
        <w:rPr>
          <w:rFonts w:ascii="Calibri" w:eastAsiaTheme="majorEastAsia" w:hAnsi="Calibri" w:cs="Calibri"/>
          <w:bCs/>
          <w:color w:val="0D0D0D" w:themeColor="text1" w:themeTint="F2"/>
          <w:sz w:val="24"/>
          <w:szCs w:val="24"/>
        </w:rPr>
        <w:t xml:space="preserve"> to have an increased maximum dispensed quantity (MDQ) of certain Pharmaceutical Benefits Scheme (PBS) medicines, </w:t>
      </w:r>
      <w:r w:rsidR="000E1233" w:rsidRPr="00A461B6">
        <w:rPr>
          <w:rFonts w:ascii="Calibri" w:eastAsiaTheme="majorEastAsia" w:hAnsi="Calibri" w:cs="Calibri"/>
          <w:bCs/>
          <w:color w:val="0D0D0D" w:themeColor="text1" w:themeTint="F2"/>
          <w:sz w:val="24"/>
          <w:szCs w:val="24"/>
        </w:rPr>
        <w:t xml:space="preserve">used for many common and chronic diseases as recommended by the </w:t>
      </w:r>
      <w:r w:rsidRPr="00A461B6">
        <w:rPr>
          <w:rFonts w:ascii="Calibri" w:eastAsiaTheme="majorEastAsia" w:hAnsi="Calibri" w:cs="Calibri"/>
          <w:bCs/>
          <w:color w:val="0D0D0D" w:themeColor="text1" w:themeTint="F2"/>
          <w:sz w:val="24"/>
          <w:szCs w:val="24"/>
        </w:rPr>
        <w:t xml:space="preserve">independent </w:t>
      </w:r>
      <w:r w:rsidR="000E1233" w:rsidRPr="00A461B6">
        <w:rPr>
          <w:rFonts w:ascii="Calibri" w:eastAsiaTheme="majorEastAsia" w:hAnsi="Calibri" w:cs="Calibri"/>
          <w:bCs/>
          <w:color w:val="0D0D0D" w:themeColor="text1" w:themeTint="F2"/>
          <w:sz w:val="24"/>
          <w:szCs w:val="24"/>
        </w:rPr>
        <w:t xml:space="preserve">Pharmaceutical Benefits Advisory Committee (PBAC). </w:t>
      </w:r>
    </w:p>
    <w:p w14:paraId="3C071A9C" w14:textId="41FE3834" w:rsidR="00A33415" w:rsidRPr="00A461B6" w:rsidRDefault="00A33415" w:rsidP="00A33415">
      <w:pPr>
        <w:pStyle w:val="CABNETParagraph"/>
        <w:rPr>
          <w:rFonts w:asciiTheme="minorHAnsi" w:eastAsiaTheme="majorEastAsia" w:hAnsiTheme="minorHAnsi"/>
          <w:bCs/>
          <w:color w:val="0D0D0D" w:themeColor="text1" w:themeTint="F2"/>
          <w:sz w:val="24"/>
          <w:szCs w:val="24"/>
        </w:rPr>
      </w:pPr>
      <w:r w:rsidRPr="00A461B6">
        <w:rPr>
          <w:rFonts w:asciiTheme="minorHAnsi" w:eastAsiaTheme="majorEastAsia" w:hAnsiTheme="minorHAnsi"/>
          <w:bCs/>
          <w:color w:val="0D0D0D" w:themeColor="text1" w:themeTint="F2"/>
          <w:sz w:val="24"/>
          <w:szCs w:val="24"/>
        </w:rPr>
        <w:t xml:space="preserve">There are </w:t>
      </w:r>
      <w:r w:rsidR="00A74037" w:rsidRPr="00A461B6">
        <w:rPr>
          <w:rFonts w:asciiTheme="minorHAnsi" w:eastAsiaTheme="majorEastAsia" w:hAnsiTheme="minorHAnsi"/>
          <w:bCs/>
          <w:color w:val="0D0D0D" w:themeColor="text1" w:themeTint="F2"/>
          <w:sz w:val="24"/>
          <w:szCs w:val="24"/>
        </w:rPr>
        <w:t>t</w:t>
      </w:r>
      <w:r w:rsidR="00C37443" w:rsidRPr="00A461B6">
        <w:rPr>
          <w:rFonts w:asciiTheme="minorHAnsi" w:eastAsiaTheme="majorEastAsia" w:hAnsiTheme="minorHAnsi"/>
          <w:bCs/>
          <w:color w:val="0D0D0D" w:themeColor="text1" w:themeTint="F2"/>
          <w:sz w:val="24"/>
          <w:szCs w:val="24"/>
        </w:rPr>
        <w:t>hree</w:t>
      </w:r>
      <w:r w:rsidR="00A74037" w:rsidRPr="00A461B6">
        <w:rPr>
          <w:rFonts w:asciiTheme="minorHAnsi" w:eastAsiaTheme="majorEastAsia" w:hAnsiTheme="minorHAnsi"/>
          <w:bCs/>
          <w:color w:val="0D0D0D" w:themeColor="text1" w:themeTint="F2"/>
          <w:sz w:val="24"/>
          <w:szCs w:val="24"/>
        </w:rPr>
        <w:t xml:space="preserve"> </w:t>
      </w:r>
      <w:r w:rsidRPr="00A461B6">
        <w:rPr>
          <w:rFonts w:asciiTheme="minorHAnsi" w:eastAsiaTheme="majorEastAsia" w:hAnsiTheme="minorHAnsi"/>
          <w:bCs/>
          <w:color w:val="0D0D0D" w:themeColor="text1" w:themeTint="F2"/>
          <w:sz w:val="24"/>
          <w:szCs w:val="24"/>
        </w:rPr>
        <w:t>options for consideration:</w:t>
      </w:r>
    </w:p>
    <w:p w14:paraId="7794A7CA" w14:textId="3B611251" w:rsidR="007A33C4" w:rsidRPr="00A461B6" w:rsidRDefault="007A33C4" w:rsidP="00B30EE8">
      <w:pPr>
        <w:pStyle w:val="CABNETParagraph"/>
        <w:numPr>
          <w:ilvl w:val="0"/>
          <w:numId w:val="11"/>
        </w:numPr>
        <w:rPr>
          <w:rFonts w:asciiTheme="minorHAnsi" w:eastAsiaTheme="majorEastAsia" w:hAnsiTheme="minorHAnsi"/>
          <w:bCs/>
          <w:color w:val="0D0D0D" w:themeColor="text1" w:themeTint="F2"/>
          <w:sz w:val="24"/>
          <w:szCs w:val="24"/>
        </w:rPr>
      </w:pPr>
      <w:r w:rsidRPr="00A461B6">
        <w:rPr>
          <w:rFonts w:asciiTheme="minorHAnsi" w:eastAsiaTheme="majorEastAsia" w:hAnsiTheme="minorHAnsi"/>
          <w:bCs/>
          <w:color w:val="0D0D0D" w:themeColor="text1" w:themeTint="F2"/>
          <w:sz w:val="24"/>
          <w:szCs w:val="24"/>
        </w:rPr>
        <w:t>Make no change to MDQ of one month’s supply</w:t>
      </w:r>
      <w:r w:rsidR="00C37443" w:rsidRPr="00A461B6">
        <w:rPr>
          <w:rFonts w:asciiTheme="minorHAnsi" w:eastAsiaTheme="majorEastAsia" w:hAnsiTheme="minorHAnsi"/>
          <w:bCs/>
          <w:color w:val="0D0D0D" w:themeColor="text1" w:themeTint="F2"/>
          <w:sz w:val="24"/>
          <w:szCs w:val="24"/>
        </w:rPr>
        <w:t>;</w:t>
      </w:r>
    </w:p>
    <w:p w14:paraId="1CF5D769" w14:textId="63A628D8" w:rsidR="00A33415" w:rsidRPr="00A461B6" w:rsidRDefault="00A33415" w:rsidP="00B30EE8">
      <w:pPr>
        <w:pStyle w:val="CABNETParagraph"/>
        <w:numPr>
          <w:ilvl w:val="0"/>
          <w:numId w:val="11"/>
        </w:numPr>
        <w:rPr>
          <w:rFonts w:asciiTheme="minorHAnsi" w:eastAsiaTheme="majorEastAsia" w:hAnsiTheme="minorHAnsi"/>
          <w:bCs/>
          <w:color w:val="0D0D0D" w:themeColor="text1" w:themeTint="F2"/>
          <w:sz w:val="24"/>
          <w:szCs w:val="24"/>
        </w:rPr>
      </w:pPr>
      <w:r w:rsidRPr="00A461B6">
        <w:rPr>
          <w:rFonts w:asciiTheme="minorHAnsi" w:eastAsiaTheme="majorEastAsia" w:hAnsiTheme="minorHAnsi"/>
          <w:bCs/>
          <w:color w:val="0D0D0D" w:themeColor="text1" w:themeTint="F2"/>
          <w:sz w:val="24"/>
          <w:szCs w:val="24"/>
        </w:rPr>
        <w:t xml:space="preserve">Increase </w:t>
      </w:r>
      <w:r w:rsidR="009A06EB" w:rsidRPr="00A461B6">
        <w:rPr>
          <w:rFonts w:asciiTheme="minorHAnsi" w:eastAsiaTheme="majorEastAsia" w:hAnsiTheme="minorHAnsi"/>
          <w:bCs/>
          <w:color w:val="0D0D0D" w:themeColor="text1" w:themeTint="F2"/>
          <w:sz w:val="24"/>
          <w:szCs w:val="24"/>
        </w:rPr>
        <w:t>the</w:t>
      </w:r>
      <w:r w:rsidRPr="00A461B6">
        <w:rPr>
          <w:rFonts w:asciiTheme="minorHAnsi" w:eastAsiaTheme="majorEastAsia" w:hAnsiTheme="minorHAnsi"/>
          <w:bCs/>
          <w:color w:val="0D0D0D" w:themeColor="text1" w:themeTint="F2"/>
          <w:sz w:val="24"/>
          <w:szCs w:val="24"/>
        </w:rPr>
        <w:t xml:space="preserve"> MDQ to two months</w:t>
      </w:r>
      <w:r w:rsidR="00DE22ED" w:rsidRPr="00A461B6">
        <w:rPr>
          <w:rFonts w:asciiTheme="minorHAnsi" w:eastAsiaTheme="majorEastAsia" w:hAnsiTheme="minorHAnsi"/>
          <w:bCs/>
          <w:color w:val="0D0D0D" w:themeColor="text1" w:themeTint="F2"/>
          <w:sz w:val="24"/>
          <w:szCs w:val="24"/>
        </w:rPr>
        <w:t>’</w:t>
      </w:r>
      <w:r w:rsidRPr="00A461B6">
        <w:rPr>
          <w:rFonts w:asciiTheme="minorHAnsi" w:eastAsiaTheme="majorEastAsia" w:hAnsiTheme="minorHAnsi"/>
          <w:bCs/>
          <w:color w:val="0D0D0D" w:themeColor="text1" w:themeTint="F2"/>
          <w:sz w:val="24"/>
          <w:szCs w:val="24"/>
        </w:rPr>
        <w:t xml:space="preserve"> supply</w:t>
      </w:r>
      <w:r w:rsidR="00C37443" w:rsidRPr="00A461B6">
        <w:rPr>
          <w:rFonts w:asciiTheme="minorHAnsi" w:eastAsiaTheme="majorEastAsia" w:hAnsiTheme="minorHAnsi"/>
          <w:bCs/>
          <w:color w:val="0D0D0D" w:themeColor="text1" w:themeTint="F2"/>
          <w:sz w:val="24"/>
          <w:szCs w:val="24"/>
        </w:rPr>
        <w:t>; or</w:t>
      </w:r>
      <w:r w:rsidRPr="00A461B6">
        <w:rPr>
          <w:rFonts w:asciiTheme="minorHAnsi" w:hAnsiTheme="minorHAnsi"/>
          <w:color w:val="0D0D0D" w:themeColor="text1" w:themeTint="F2"/>
          <w:sz w:val="24"/>
          <w:szCs w:val="24"/>
        </w:rPr>
        <w:t xml:space="preserve"> </w:t>
      </w:r>
    </w:p>
    <w:p w14:paraId="38619442" w14:textId="6814C71C" w:rsidR="00C37443" w:rsidRPr="00A461B6" w:rsidRDefault="00C37443" w:rsidP="00B30EE8">
      <w:pPr>
        <w:pStyle w:val="CABNETParagraph"/>
        <w:numPr>
          <w:ilvl w:val="0"/>
          <w:numId w:val="11"/>
        </w:numPr>
        <w:rPr>
          <w:rFonts w:asciiTheme="minorHAnsi" w:eastAsiaTheme="majorEastAsia" w:hAnsiTheme="minorHAnsi"/>
          <w:bCs/>
          <w:color w:val="0D0D0D" w:themeColor="text1" w:themeTint="F2"/>
          <w:sz w:val="24"/>
          <w:szCs w:val="24"/>
        </w:rPr>
      </w:pPr>
      <w:r w:rsidRPr="00A461B6">
        <w:rPr>
          <w:rFonts w:asciiTheme="minorHAnsi" w:eastAsiaTheme="majorEastAsia" w:hAnsiTheme="minorHAnsi"/>
          <w:bCs/>
          <w:color w:val="0D0D0D" w:themeColor="text1" w:themeTint="F2"/>
          <w:sz w:val="24"/>
          <w:szCs w:val="24"/>
        </w:rPr>
        <w:t>Increase the MDQ to three months</w:t>
      </w:r>
      <w:r w:rsidR="00DE22ED" w:rsidRPr="00A461B6">
        <w:rPr>
          <w:rFonts w:asciiTheme="minorHAnsi" w:eastAsiaTheme="majorEastAsia" w:hAnsiTheme="minorHAnsi"/>
          <w:bCs/>
          <w:color w:val="0D0D0D" w:themeColor="text1" w:themeTint="F2"/>
          <w:sz w:val="24"/>
          <w:szCs w:val="24"/>
        </w:rPr>
        <w:t>’</w:t>
      </w:r>
      <w:r w:rsidRPr="00A461B6">
        <w:rPr>
          <w:rFonts w:asciiTheme="minorHAnsi" w:eastAsiaTheme="majorEastAsia" w:hAnsiTheme="minorHAnsi"/>
          <w:bCs/>
          <w:color w:val="0D0D0D" w:themeColor="text1" w:themeTint="F2"/>
          <w:sz w:val="24"/>
          <w:szCs w:val="24"/>
        </w:rPr>
        <w:t xml:space="preserve"> supply</w:t>
      </w:r>
      <w:r w:rsidR="00BA6C64" w:rsidRPr="00A461B6">
        <w:rPr>
          <w:rFonts w:asciiTheme="minorHAnsi" w:eastAsiaTheme="majorEastAsia" w:hAnsiTheme="minorHAnsi"/>
          <w:bCs/>
          <w:color w:val="0D0D0D" w:themeColor="text1" w:themeTint="F2"/>
          <w:sz w:val="24"/>
          <w:szCs w:val="24"/>
        </w:rPr>
        <w:t>.</w:t>
      </w:r>
    </w:p>
    <w:p w14:paraId="5A44832B" w14:textId="7C0846AF" w:rsidR="00D96BCE" w:rsidRPr="00A461B6" w:rsidRDefault="00DA60A4" w:rsidP="00D2693C">
      <w:pPr>
        <w:rPr>
          <w:rFonts w:eastAsiaTheme="majorEastAsia" w:cs="Arial"/>
          <w:bCs/>
          <w:color w:val="0D0D0D" w:themeColor="text1" w:themeTint="F2"/>
          <w:sz w:val="24"/>
          <w:szCs w:val="24"/>
        </w:rPr>
      </w:pPr>
      <w:r w:rsidRPr="00A461B6">
        <w:rPr>
          <w:rFonts w:eastAsiaTheme="majorEastAsia" w:cs="Arial"/>
          <w:bCs/>
          <w:color w:val="0D0D0D" w:themeColor="text1" w:themeTint="F2"/>
          <w:sz w:val="24"/>
          <w:szCs w:val="24"/>
        </w:rPr>
        <w:t xml:space="preserve">The Impact Analysis contained in this document was prepared in line with the </w:t>
      </w:r>
      <w:r w:rsidRPr="00A461B6">
        <w:rPr>
          <w:rFonts w:eastAsiaTheme="majorEastAsia" w:cs="Arial"/>
          <w:bCs/>
          <w:i/>
          <w:color w:val="0D0D0D" w:themeColor="text1" w:themeTint="F2"/>
          <w:sz w:val="24"/>
          <w:szCs w:val="24"/>
        </w:rPr>
        <w:t>Australian Government Guide to Policy Impact Analysis</w:t>
      </w:r>
      <w:r w:rsidRPr="00A461B6">
        <w:rPr>
          <w:rStyle w:val="FootnoteReference"/>
          <w:rFonts w:eastAsiaTheme="majorEastAsia" w:cs="Arial"/>
          <w:bCs/>
          <w:color w:val="0D0D0D" w:themeColor="text1" w:themeTint="F2"/>
          <w:sz w:val="24"/>
          <w:szCs w:val="24"/>
        </w:rPr>
        <w:footnoteReference w:id="2"/>
      </w:r>
      <w:r w:rsidRPr="00A461B6">
        <w:rPr>
          <w:rFonts w:eastAsiaTheme="majorEastAsia" w:cs="Arial"/>
          <w:bCs/>
          <w:color w:val="0D0D0D" w:themeColor="text1" w:themeTint="F2"/>
          <w:sz w:val="24"/>
          <w:szCs w:val="24"/>
        </w:rPr>
        <w:t xml:space="preserve"> to inform consideration of the proposal in the 2023-24 Budget. </w:t>
      </w:r>
      <w:r w:rsidR="00D96BCE" w:rsidRPr="00A461B6">
        <w:rPr>
          <w:rFonts w:eastAsiaTheme="majorEastAsia" w:cs="Arial"/>
          <w:bCs/>
          <w:color w:val="0D0D0D" w:themeColor="text1" w:themeTint="F2"/>
          <w:sz w:val="24"/>
          <w:szCs w:val="24"/>
        </w:rPr>
        <w:t xml:space="preserve">Financial estimates in this Impact Analysis assume that Option 2 </w:t>
      </w:r>
      <w:r w:rsidR="00994263" w:rsidRPr="00A461B6">
        <w:rPr>
          <w:rFonts w:eastAsiaTheme="majorEastAsia" w:cs="Arial"/>
          <w:bCs/>
          <w:color w:val="0D0D0D" w:themeColor="text1" w:themeTint="F2"/>
          <w:sz w:val="24"/>
          <w:szCs w:val="24"/>
        </w:rPr>
        <w:t>or</w:t>
      </w:r>
      <w:r w:rsidR="00D96BCE" w:rsidRPr="00A461B6">
        <w:rPr>
          <w:rFonts w:eastAsiaTheme="majorEastAsia" w:cs="Arial"/>
          <w:bCs/>
          <w:color w:val="0D0D0D" w:themeColor="text1" w:themeTint="F2"/>
          <w:sz w:val="24"/>
          <w:szCs w:val="24"/>
        </w:rPr>
        <w:t xml:space="preserve"> Option 3 would be implemented on a single date in 2023-24. </w:t>
      </w:r>
    </w:p>
    <w:p w14:paraId="30CD3033" w14:textId="511EDAFE" w:rsidR="00DA60A4" w:rsidRPr="00A461B6" w:rsidRDefault="00D96BCE" w:rsidP="00D2693C">
      <w:pPr>
        <w:rPr>
          <w:rFonts w:eastAsiaTheme="majorEastAsia" w:cs="Arial"/>
          <w:bCs/>
          <w:color w:val="0D0D0D" w:themeColor="text1" w:themeTint="F2"/>
          <w:sz w:val="24"/>
          <w:szCs w:val="24"/>
        </w:rPr>
      </w:pPr>
      <w:r w:rsidRPr="00A461B6">
        <w:rPr>
          <w:rFonts w:eastAsiaTheme="majorEastAsia" w:cs="Arial"/>
          <w:bCs/>
          <w:color w:val="0D0D0D" w:themeColor="text1" w:themeTint="F2"/>
          <w:sz w:val="24"/>
          <w:szCs w:val="24"/>
        </w:rPr>
        <w:t>The Hon Mark Butler MP, Minister for Health and Aged Care, announced the Government’s decision to implement this proposal on 26 April 2023.</w:t>
      </w:r>
      <w:r w:rsidRPr="00A461B6">
        <w:rPr>
          <w:rStyle w:val="FootnoteReference"/>
          <w:rFonts w:eastAsiaTheme="majorEastAsia" w:cs="Arial"/>
          <w:bCs/>
          <w:color w:val="0D0D0D" w:themeColor="text1" w:themeTint="F2"/>
          <w:sz w:val="24"/>
          <w:szCs w:val="24"/>
        </w:rPr>
        <w:footnoteReference w:id="3"/>
      </w:r>
      <w:r w:rsidRPr="00A461B6">
        <w:rPr>
          <w:rFonts w:eastAsiaTheme="majorEastAsia" w:cs="Arial"/>
          <w:bCs/>
          <w:color w:val="0D0D0D" w:themeColor="text1" w:themeTint="F2"/>
          <w:sz w:val="24"/>
          <w:szCs w:val="24"/>
        </w:rPr>
        <w:t xml:space="preserve"> </w:t>
      </w:r>
      <w:r w:rsidR="007A35C8" w:rsidRPr="00A461B6">
        <w:rPr>
          <w:rFonts w:eastAsiaTheme="majorEastAsia" w:cs="Arial"/>
          <w:bCs/>
          <w:color w:val="0D0D0D" w:themeColor="text1" w:themeTint="F2"/>
          <w:sz w:val="24"/>
          <w:szCs w:val="24"/>
        </w:rPr>
        <w:t>The Minister announced the Government’s decision to</w:t>
      </w:r>
      <w:r w:rsidRPr="00A461B6">
        <w:rPr>
          <w:rFonts w:eastAsiaTheme="majorEastAsia" w:cs="Arial"/>
          <w:bCs/>
          <w:color w:val="0D0D0D" w:themeColor="text1" w:themeTint="F2"/>
          <w:sz w:val="24"/>
          <w:szCs w:val="24"/>
        </w:rPr>
        <w:t xml:space="preserve"> implement this policy in three </w:t>
      </w:r>
      <w:r w:rsidR="00DE38A6">
        <w:rPr>
          <w:rFonts w:eastAsiaTheme="majorEastAsia" w:cs="Arial"/>
          <w:bCs/>
          <w:color w:val="0D0D0D" w:themeColor="text1" w:themeTint="F2"/>
          <w:sz w:val="24"/>
          <w:szCs w:val="24"/>
        </w:rPr>
        <w:t>stages</w:t>
      </w:r>
      <w:r w:rsidRPr="00A461B6">
        <w:rPr>
          <w:rFonts w:eastAsiaTheme="majorEastAsia" w:cs="Arial"/>
          <w:bCs/>
          <w:color w:val="0D0D0D" w:themeColor="text1" w:themeTint="F2"/>
          <w:sz w:val="24"/>
          <w:szCs w:val="24"/>
        </w:rPr>
        <w:t xml:space="preserve">, with the first operating from 1 September 2023, the second from March 2024 and the third </w:t>
      </w:r>
      <w:r w:rsidR="00DE38A6">
        <w:rPr>
          <w:rFonts w:eastAsiaTheme="majorEastAsia" w:cs="Arial"/>
          <w:bCs/>
          <w:color w:val="0D0D0D" w:themeColor="text1" w:themeTint="F2"/>
          <w:sz w:val="24"/>
          <w:szCs w:val="24"/>
        </w:rPr>
        <w:t>stage</w:t>
      </w:r>
      <w:r w:rsidR="008B610F">
        <w:rPr>
          <w:rFonts w:eastAsiaTheme="majorEastAsia" w:cs="Arial"/>
          <w:bCs/>
          <w:color w:val="0D0D0D" w:themeColor="text1" w:themeTint="F2"/>
          <w:sz w:val="24"/>
          <w:szCs w:val="24"/>
        </w:rPr>
        <w:t xml:space="preserve"> from 1 September 2024.</w:t>
      </w:r>
      <w:r w:rsidRPr="00A461B6">
        <w:rPr>
          <w:rStyle w:val="FootnoteReference"/>
          <w:rFonts w:eastAsiaTheme="majorEastAsia" w:cs="Arial"/>
          <w:bCs/>
          <w:color w:val="0D0D0D" w:themeColor="text1" w:themeTint="F2"/>
          <w:sz w:val="24"/>
          <w:szCs w:val="24"/>
        </w:rPr>
        <w:footnoteReference w:id="4"/>
      </w:r>
      <w:r w:rsidRPr="00A461B6">
        <w:rPr>
          <w:rFonts w:eastAsiaTheme="majorEastAsia" w:cs="Arial"/>
          <w:bCs/>
          <w:color w:val="0D0D0D" w:themeColor="text1" w:themeTint="F2"/>
          <w:sz w:val="24"/>
          <w:szCs w:val="24"/>
        </w:rPr>
        <w:t xml:space="preserve">  </w:t>
      </w:r>
    </w:p>
    <w:p w14:paraId="20EEF774" w14:textId="6B18C868" w:rsidR="002F03B5" w:rsidRPr="00A461B6" w:rsidRDefault="009A06EB" w:rsidP="00D2693C">
      <w:pPr>
        <w:rPr>
          <w:color w:val="0D0D0D" w:themeColor="text1" w:themeTint="F2"/>
          <w:sz w:val="24"/>
          <w:szCs w:val="24"/>
        </w:rPr>
      </w:pPr>
      <w:r w:rsidRPr="00A461B6">
        <w:rPr>
          <w:rFonts w:eastAsiaTheme="majorEastAsia" w:cs="Arial"/>
          <w:bCs/>
          <w:color w:val="0D0D0D" w:themeColor="text1" w:themeTint="F2"/>
          <w:sz w:val="24"/>
          <w:szCs w:val="24"/>
        </w:rPr>
        <w:t>An increase in MDQ</w:t>
      </w:r>
      <w:r w:rsidR="009A586E" w:rsidRPr="00A461B6">
        <w:rPr>
          <w:rFonts w:eastAsiaTheme="majorEastAsia" w:cs="Arial"/>
          <w:bCs/>
          <w:color w:val="0D0D0D" w:themeColor="text1" w:themeTint="F2"/>
          <w:sz w:val="24"/>
          <w:szCs w:val="24"/>
        </w:rPr>
        <w:t xml:space="preserve"> for certain medicines treating chronic conditions </w:t>
      </w:r>
      <w:r w:rsidR="00F54942" w:rsidRPr="00A461B6">
        <w:rPr>
          <w:rFonts w:eastAsiaTheme="majorEastAsia" w:cs="Arial"/>
          <w:bCs/>
          <w:color w:val="0D0D0D" w:themeColor="text1" w:themeTint="F2"/>
          <w:sz w:val="24"/>
          <w:szCs w:val="24"/>
        </w:rPr>
        <w:t xml:space="preserve">will improve access </w:t>
      </w:r>
      <w:r w:rsidR="00F84452" w:rsidRPr="00A461B6">
        <w:rPr>
          <w:rFonts w:eastAsiaTheme="majorEastAsia" w:cs="Arial"/>
          <w:bCs/>
          <w:color w:val="0D0D0D" w:themeColor="text1" w:themeTint="F2"/>
          <w:sz w:val="24"/>
          <w:szCs w:val="24"/>
        </w:rPr>
        <w:t xml:space="preserve">to </w:t>
      </w:r>
      <w:r w:rsidR="00F54942" w:rsidRPr="00A461B6">
        <w:rPr>
          <w:rFonts w:eastAsiaTheme="majorEastAsia" w:cs="Arial"/>
          <w:bCs/>
          <w:color w:val="0D0D0D" w:themeColor="text1" w:themeTint="F2"/>
          <w:sz w:val="24"/>
          <w:szCs w:val="24"/>
        </w:rPr>
        <w:t>and affordability of PBS medicines and build on the recent PBS General Patient Co</w:t>
      </w:r>
      <w:r w:rsidR="00F54942" w:rsidRPr="00A461B6">
        <w:rPr>
          <w:rFonts w:eastAsiaTheme="majorEastAsia" w:cs="Arial"/>
          <w:bCs/>
          <w:color w:val="0D0D0D" w:themeColor="text1" w:themeTint="F2"/>
          <w:sz w:val="24"/>
          <w:szCs w:val="24"/>
        </w:rPr>
        <w:noBreakHyphen/>
        <w:t xml:space="preserve">Payment reduction to $30 on 1 January 2023. An increase to the MDQ will </w:t>
      </w:r>
      <w:r w:rsidR="002F03B5" w:rsidRPr="00A461B6">
        <w:rPr>
          <w:rFonts w:ascii="Calibri" w:eastAsiaTheme="majorEastAsia" w:hAnsi="Calibri" w:cs="Calibri"/>
          <w:bCs/>
          <w:color w:val="0D0D0D" w:themeColor="text1" w:themeTint="F2"/>
          <w:sz w:val="24"/>
          <w:szCs w:val="24"/>
        </w:rPr>
        <w:t xml:space="preserve">mean that </w:t>
      </w:r>
      <w:r w:rsidR="002F03B5" w:rsidRPr="00A461B6">
        <w:rPr>
          <w:rFonts w:ascii="Calibri" w:hAnsi="Calibri" w:cs="Calibri"/>
          <w:color w:val="0D0D0D" w:themeColor="text1" w:themeTint="F2"/>
          <w:sz w:val="24"/>
          <w:szCs w:val="24"/>
        </w:rPr>
        <w:t xml:space="preserve">consumers with chronic, stable medical conditions will need to make less visits to a pharmacy to fill their prescriptions for some common PBS medicines. This will result in </w:t>
      </w:r>
      <w:r w:rsidR="00F54942" w:rsidRPr="00A461B6">
        <w:rPr>
          <w:rFonts w:eastAsiaTheme="majorEastAsia" w:cs="Arial"/>
          <w:bCs/>
          <w:color w:val="0D0D0D" w:themeColor="text1" w:themeTint="F2"/>
          <w:sz w:val="24"/>
          <w:szCs w:val="24"/>
        </w:rPr>
        <w:t>reduce</w:t>
      </w:r>
      <w:r w:rsidR="002F03B5" w:rsidRPr="00A461B6">
        <w:rPr>
          <w:rFonts w:eastAsiaTheme="majorEastAsia" w:cs="Arial"/>
          <w:bCs/>
          <w:color w:val="0D0D0D" w:themeColor="text1" w:themeTint="F2"/>
          <w:sz w:val="24"/>
          <w:szCs w:val="24"/>
        </w:rPr>
        <w:t>d</w:t>
      </w:r>
      <w:r w:rsidR="00F54942" w:rsidRPr="00A461B6">
        <w:rPr>
          <w:rFonts w:eastAsiaTheme="majorEastAsia" w:cs="Arial"/>
          <w:bCs/>
          <w:color w:val="0D0D0D" w:themeColor="text1" w:themeTint="F2"/>
          <w:sz w:val="24"/>
          <w:szCs w:val="24"/>
        </w:rPr>
        <w:t xml:space="preserve"> ‘out of pocket costs’ for both concessional and general patients and provide added convenience for many people.</w:t>
      </w:r>
      <w:r w:rsidR="00F54942" w:rsidRPr="00A461B6">
        <w:rPr>
          <w:color w:val="0D0D0D" w:themeColor="text1" w:themeTint="F2"/>
          <w:sz w:val="24"/>
          <w:szCs w:val="24"/>
        </w:rPr>
        <w:t xml:space="preserve"> </w:t>
      </w:r>
    </w:p>
    <w:p w14:paraId="525D33FE" w14:textId="59FD7E31" w:rsidR="007D6F85" w:rsidRPr="00A461B6" w:rsidRDefault="007D6F85" w:rsidP="00D2693C">
      <w:pPr>
        <w:rPr>
          <w:rFonts w:ascii="Calibri" w:hAnsi="Calibri" w:cs="Calibri"/>
          <w:color w:val="0D0D0D" w:themeColor="text1" w:themeTint="F2"/>
          <w:sz w:val="24"/>
          <w:szCs w:val="24"/>
        </w:rPr>
      </w:pPr>
      <w:r w:rsidRPr="00A461B6">
        <w:rPr>
          <w:rFonts w:ascii="Calibri" w:hAnsi="Calibri" w:cs="Calibri"/>
          <w:color w:val="0D0D0D" w:themeColor="text1" w:themeTint="F2"/>
          <w:sz w:val="24"/>
          <w:szCs w:val="24"/>
        </w:rPr>
        <w:t xml:space="preserve">For example, under the </w:t>
      </w:r>
      <w:r w:rsidRPr="00A461B6">
        <w:rPr>
          <w:rFonts w:ascii="Calibri" w:hAnsi="Calibri"/>
          <w:b/>
          <w:color w:val="0D0D0D" w:themeColor="text1" w:themeTint="F2"/>
          <w:sz w:val="24"/>
        </w:rPr>
        <w:t>two month</w:t>
      </w:r>
      <w:r w:rsidRPr="00A461B6">
        <w:rPr>
          <w:rFonts w:ascii="Calibri" w:hAnsi="Calibri" w:cs="Calibri"/>
          <w:color w:val="0D0D0D" w:themeColor="text1" w:themeTint="F2"/>
          <w:sz w:val="24"/>
          <w:szCs w:val="24"/>
        </w:rPr>
        <w:t xml:space="preserve"> </w:t>
      </w:r>
      <w:r w:rsidR="00F84452" w:rsidRPr="00A461B6">
        <w:rPr>
          <w:rFonts w:ascii="Calibri" w:hAnsi="Calibri" w:cs="Calibri"/>
          <w:color w:val="0D0D0D" w:themeColor="text1" w:themeTint="F2"/>
          <w:sz w:val="24"/>
          <w:szCs w:val="24"/>
        </w:rPr>
        <w:t xml:space="preserve">maximum dispensing quantity </w:t>
      </w:r>
      <w:r w:rsidRPr="00A461B6">
        <w:rPr>
          <w:rFonts w:ascii="Calibri" w:hAnsi="Calibri" w:cs="Calibri"/>
          <w:color w:val="0D0D0D" w:themeColor="text1" w:themeTint="F2"/>
          <w:sz w:val="24"/>
          <w:szCs w:val="24"/>
        </w:rPr>
        <w:t>option:</w:t>
      </w:r>
    </w:p>
    <w:p w14:paraId="5CA076E1" w14:textId="422C1E5F" w:rsidR="007D6F85" w:rsidRPr="00A461B6" w:rsidRDefault="007D6F85" w:rsidP="00B30EE8">
      <w:pPr>
        <w:pStyle w:val="CABParagraph"/>
        <w:numPr>
          <w:ilvl w:val="0"/>
          <w:numId w:val="46"/>
        </w:numPr>
        <w:spacing w:before="0" w:after="120"/>
        <w:rPr>
          <w:rFonts w:ascii="Calibri" w:hAnsi="Calibri" w:cs="Calibri"/>
          <w:color w:val="0D0D0D" w:themeColor="text1" w:themeTint="F2"/>
          <w:sz w:val="24"/>
          <w:szCs w:val="24"/>
        </w:rPr>
      </w:pPr>
      <w:r w:rsidRPr="00A461B6">
        <w:rPr>
          <w:rFonts w:ascii="Calibri" w:hAnsi="Calibri" w:cs="Calibri"/>
          <w:color w:val="0D0D0D" w:themeColor="text1" w:themeTint="F2"/>
          <w:sz w:val="24"/>
          <w:szCs w:val="24"/>
        </w:rPr>
        <w:t xml:space="preserve">Concessional </w:t>
      </w:r>
      <w:r w:rsidR="007E6C41" w:rsidRPr="00A461B6">
        <w:rPr>
          <w:rFonts w:ascii="Calibri" w:hAnsi="Calibri" w:cs="Calibri"/>
          <w:color w:val="0D0D0D" w:themeColor="text1" w:themeTint="F2"/>
          <w:sz w:val="24"/>
          <w:szCs w:val="24"/>
        </w:rPr>
        <w:t>beneficiaries</w:t>
      </w:r>
      <w:r w:rsidR="00F3017A" w:rsidRPr="00A461B6">
        <w:rPr>
          <w:rFonts w:ascii="Calibri" w:hAnsi="Calibri" w:cs="Calibri"/>
          <w:color w:val="0D0D0D" w:themeColor="text1" w:themeTint="F2"/>
          <w:sz w:val="24"/>
          <w:szCs w:val="24"/>
        </w:rPr>
        <w:t xml:space="preserve"> (non-Safety Net) </w:t>
      </w:r>
      <w:r w:rsidRPr="00A461B6">
        <w:rPr>
          <w:rFonts w:ascii="Calibri" w:hAnsi="Calibri" w:cs="Calibri"/>
          <w:color w:val="0D0D0D" w:themeColor="text1" w:themeTint="F2"/>
          <w:sz w:val="24"/>
          <w:szCs w:val="24"/>
        </w:rPr>
        <w:t xml:space="preserve">currently pay $14.60 for two months’ supply for medicines requiring a monthly </w:t>
      </w:r>
      <w:r w:rsidR="00816BF5">
        <w:rPr>
          <w:rFonts w:ascii="Calibri" w:hAnsi="Calibri" w:cs="Calibri"/>
          <w:color w:val="0D0D0D" w:themeColor="text1" w:themeTint="F2"/>
          <w:sz w:val="24"/>
          <w:szCs w:val="24"/>
        </w:rPr>
        <w:t>prescription</w:t>
      </w:r>
      <w:r w:rsidR="00816BF5" w:rsidRPr="00A461B6">
        <w:rPr>
          <w:rFonts w:ascii="Calibri" w:hAnsi="Calibri" w:cs="Calibri"/>
          <w:color w:val="0D0D0D" w:themeColor="text1" w:themeTint="F2"/>
          <w:sz w:val="24"/>
          <w:szCs w:val="24"/>
        </w:rPr>
        <w:t xml:space="preserve"> </w:t>
      </w:r>
      <w:r w:rsidRPr="00A461B6">
        <w:rPr>
          <w:rFonts w:ascii="Calibri" w:hAnsi="Calibri" w:cs="Calibri"/>
          <w:color w:val="0D0D0D" w:themeColor="text1" w:themeTint="F2"/>
          <w:sz w:val="24"/>
          <w:szCs w:val="24"/>
        </w:rPr>
        <w:t>(</w:t>
      </w:r>
      <w:r w:rsidR="00846003" w:rsidRPr="00A461B6">
        <w:rPr>
          <w:rFonts w:ascii="Calibri" w:hAnsi="Calibri" w:cs="Calibri"/>
          <w:color w:val="0D0D0D" w:themeColor="text1" w:themeTint="F2"/>
          <w:sz w:val="24"/>
          <w:szCs w:val="24"/>
        </w:rPr>
        <w:t xml:space="preserve">two </w:t>
      </w:r>
      <w:r w:rsidRPr="00A461B6">
        <w:rPr>
          <w:rFonts w:ascii="Calibri" w:hAnsi="Calibri" w:cs="Calibri"/>
          <w:color w:val="0D0D0D" w:themeColor="text1" w:themeTint="F2"/>
          <w:sz w:val="24"/>
          <w:szCs w:val="24"/>
        </w:rPr>
        <w:t>co-payments of $7.30)</w:t>
      </w:r>
      <w:r w:rsidR="007E6C41" w:rsidRPr="00A461B6">
        <w:rPr>
          <w:rFonts w:ascii="Calibri" w:hAnsi="Calibri" w:cs="Calibri"/>
          <w:color w:val="0D0D0D" w:themeColor="text1" w:themeTint="F2"/>
          <w:sz w:val="24"/>
          <w:szCs w:val="24"/>
        </w:rPr>
        <w:t>. I</w:t>
      </w:r>
      <w:r w:rsidRPr="00A461B6">
        <w:rPr>
          <w:rFonts w:ascii="Calibri" w:hAnsi="Calibri" w:cs="Calibri"/>
          <w:color w:val="0D0D0D" w:themeColor="text1" w:themeTint="F2"/>
          <w:sz w:val="24"/>
          <w:szCs w:val="24"/>
        </w:rPr>
        <w:t>f this proposal is accepted they will only pay $7.30</w:t>
      </w:r>
      <w:r w:rsidR="007E6C41" w:rsidRPr="00A461B6">
        <w:rPr>
          <w:rFonts w:ascii="Calibri" w:hAnsi="Calibri" w:cs="Calibri"/>
          <w:color w:val="0D0D0D" w:themeColor="text1" w:themeTint="F2"/>
          <w:sz w:val="24"/>
          <w:szCs w:val="24"/>
        </w:rPr>
        <w:t xml:space="preserve"> for two months’ supply of the same medicines</w:t>
      </w:r>
      <w:r w:rsidRPr="00A461B6">
        <w:rPr>
          <w:rFonts w:ascii="Calibri" w:hAnsi="Calibri" w:cs="Calibri"/>
          <w:color w:val="0D0D0D" w:themeColor="text1" w:themeTint="F2"/>
          <w:sz w:val="24"/>
          <w:szCs w:val="24"/>
        </w:rPr>
        <w:t xml:space="preserve">. For a patient who needs 12 months’ supply </w:t>
      </w:r>
      <w:r w:rsidR="007E6C41" w:rsidRPr="00A461B6">
        <w:rPr>
          <w:rFonts w:ascii="Calibri" w:hAnsi="Calibri" w:cs="Calibri"/>
          <w:color w:val="0D0D0D" w:themeColor="text1" w:themeTint="F2"/>
          <w:sz w:val="24"/>
          <w:szCs w:val="24"/>
        </w:rPr>
        <w:t xml:space="preserve">of medicine </w:t>
      </w:r>
      <w:r w:rsidRPr="00A461B6">
        <w:rPr>
          <w:rFonts w:ascii="Calibri" w:hAnsi="Calibri" w:cs="Calibri"/>
          <w:color w:val="0D0D0D" w:themeColor="text1" w:themeTint="F2"/>
          <w:sz w:val="24"/>
          <w:szCs w:val="24"/>
        </w:rPr>
        <w:t xml:space="preserve">every year </w:t>
      </w:r>
      <w:r w:rsidR="00F3017A" w:rsidRPr="00A461B6">
        <w:rPr>
          <w:rFonts w:ascii="Calibri" w:hAnsi="Calibri" w:cs="Calibri"/>
          <w:color w:val="0D0D0D" w:themeColor="text1" w:themeTint="F2"/>
          <w:sz w:val="24"/>
          <w:szCs w:val="24"/>
        </w:rPr>
        <w:t>and does not reach the PBS concessional Safety Net</w:t>
      </w:r>
      <w:r w:rsidR="007E6C41" w:rsidRPr="00A461B6">
        <w:rPr>
          <w:rFonts w:ascii="Calibri" w:hAnsi="Calibri" w:cs="Calibri"/>
          <w:color w:val="0D0D0D" w:themeColor="text1" w:themeTint="F2"/>
          <w:sz w:val="24"/>
          <w:szCs w:val="24"/>
        </w:rPr>
        <w:t>,</w:t>
      </w:r>
      <w:r w:rsidR="00F3017A" w:rsidRPr="00A461B6">
        <w:rPr>
          <w:rFonts w:ascii="Calibri" w:hAnsi="Calibri" w:cs="Calibri"/>
          <w:color w:val="0D0D0D" w:themeColor="text1" w:themeTint="F2"/>
          <w:sz w:val="24"/>
          <w:szCs w:val="24"/>
        </w:rPr>
        <w:t xml:space="preserve"> after the MDQ changes </w:t>
      </w:r>
      <w:r w:rsidR="007E6C41" w:rsidRPr="00A461B6">
        <w:rPr>
          <w:rFonts w:ascii="Calibri" w:hAnsi="Calibri" w:cs="Calibri"/>
          <w:color w:val="0D0D0D" w:themeColor="text1" w:themeTint="F2"/>
          <w:sz w:val="24"/>
          <w:szCs w:val="24"/>
        </w:rPr>
        <w:t xml:space="preserve">they will save </w:t>
      </w:r>
      <w:r w:rsidR="00F3017A" w:rsidRPr="00A461B6">
        <w:rPr>
          <w:rFonts w:ascii="Calibri" w:hAnsi="Calibri" w:cs="Calibri"/>
          <w:color w:val="0D0D0D" w:themeColor="text1" w:themeTint="F2"/>
          <w:sz w:val="24"/>
          <w:szCs w:val="24"/>
        </w:rPr>
        <w:t xml:space="preserve">up to </w:t>
      </w:r>
      <w:r w:rsidRPr="00A461B6">
        <w:rPr>
          <w:rFonts w:ascii="Calibri" w:hAnsi="Calibri" w:cs="Calibri"/>
          <w:color w:val="0D0D0D" w:themeColor="text1" w:themeTint="F2"/>
          <w:sz w:val="24"/>
          <w:szCs w:val="24"/>
        </w:rPr>
        <w:t xml:space="preserve">$43.80 per year </w:t>
      </w:r>
      <w:r w:rsidR="00846003" w:rsidRPr="00A461B6">
        <w:rPr>
          <w:rFonts w:ascii="Calibri" w:hAnsi="Calibri" w:cs="Calibri"/>
          <w:color w:val="0D0D0D" w:themeColor="text1" w:themeTint="F2"/>
          <w:sz w:val="24"/>
          <w:szCs w:val="24"/>
        </w:rPr>
        <w:t xml:space="preserve">per </w:t>
      </w:r>
      <w:r w:rsidRPr="00A461B6">
        <w:rPr>
          <w:rFonts w:ascii="Calibri" w:hAnsi="Calibri" w:cs="Calibri"/>
          <w:color w:val="0D0D0D" w:themeColor="text1" w:themeTint="F2"/>
          <w:sz w:val="24"/>
          <w:szCs w:val="24"/>
        </w:rPr>
        <w:t>medicine.</w:t>
      </w:r>
    </w:p>
    <w:p w14:paraId="1E2C8D74" w14:textId="059BB0BC" w:rsidR="00A74037" w:rsidRPr="00A461B6" w:rsidRDefault="007D6F85" w:rsidP="00B30EE8">
      <w:pPr>
        <w:pStyle w:val="CABParagraph"/>
        <w:numPr>
          <w:ilvl w:val="0"/>
          <w:numId w:val="46"/>
        </w:numPr>
        <w:spacing w:before="0" w:after="120"/>
        <w:rPr>
          <w:rFonts w:asciiTheme="minorHAnsi" w:hAnsiTheme="minorHAnsi" w:cstheme="minorHAnsi"/>
          <w:color w:val="0D0D0D" w:themeColor="text1" w:themeTint="F2"/>
          <w:sz w:val="24"/>
          <w:szCs w:val="24"/>
        </w:rPr>
      </w:pPr>
      <w:r w:rsidRPr="00A461B6">
        <w:rPr>
          <w:rFonts w:ascii="Calibri" w:hAnsi="Calibri" w:cs="Calibri"/>
          <w:color w:val="0D0D0D" w:themeColor="text1" w:themeTint="F2"/>
          <w:sz w:val="24"/>
          <w:szCs w:val="24"/>
        </w:rPr>
        <w:t xml:space="preserve">General </w:t>
      </w:r>
      <w:r w:rsidR="00885DA0" w:rsidRPr="00A461B6">
        <w:rPr>
          <w:rFonts w:ascii="Calibri" w:hAnsi="Calibri" w:cs="Calibri"/>
          <w:color w:val="0D0D0D" w:themeColor="text1" w:themeTint="F2"/>
          <w:sz w:val="24"/>
          <w:szCs w:val="24"/>
        </w:rPr>
        <w:t>beneficiaries</w:t>
      </w:r>
      <w:r w:rsidR="007E6C41" w:rsidRPr="00A461B6">
        <w:rPr>
          <w:rFonts w:ascii="Calibri" w:hAnsi="Calibri" w:cs="Calibri"/>
          <w:color w:val="0D0D0D" w:themeColor="text1" w:themeTint="F2"/>
          <w:sz w:val="24"/>
          <w:szCs w:val="24"/>
        </w:rPr>
        <w:t xml:space="preserve"> </w:t>
      </w:r>
      <w:r w:rsidR="009A7187" w:rsidRPr="00A461B6">
        <w:rPr>
          <w:rFonts w:ascii="Calibri" w:hAnsi="Calibri" w:cs="Calibri"/>
          <w:color w:val="0D0D0D" w:themeColor="text1" w:themeTint="F2"/>
          <w:sz w:val="24"/>
          <w:szCs w:val="24"/>
        </w:rPr>
        <w:t>(non</w:t>
      </w:r>
      <w:r w:rsidR="00F3017A" w:rsidRPr="00A461B6">
        <w:rPr>
          <w:rFonts w:ascii="Calibri" w:hAnsi="Calibri" w:cs="Calibri"/>
          <w:color w:val="0D0D0D" w:themeColor="text1" w:themeTint="F2"/>
          <w:sz w:val="24"/>
          <w:szCs w:val="24"/>
        </w:rPr>
        <w:t xml:space="preserve">-Safety Net) </w:t>
      </w:r>
      <w:r w:rsidRPr="00A461B6">
        <w:rPr>
          <w:rFonts w:ascii="Calibri" w:hAnsi="Calibri" w:cs="Calibri"/>
          <w:color w:val="0D0D0D" w:themeColor="text1" w:themeTint="F2"/>
          <w:sz w:val="24"/>
          <w:szCs w:val="24"/>
        </w:rPr>
        <w:t xml:space="preserve">currently pay up to $30 per </w:t>
      </w:r>
      <w:r w:rsidR="002535B2">
        <w:rPr>
          <w:rFonts w:ascii="Calibri" w:hAnsi="Calibri" w:cs="Calibri"/>
          <w:color w:val="0D0D0D" w:themeColor="text1" w:themeTint="F2"/>
          <w:sz w:val="24"/>
          <w:szCs w:val="24"/>
        </w:rPr>
        <w:t>prescription</w:t>
      </w:r>
      <w:r w:rsidR="002535B2" w:rsidRPr="00A461B6">
        <w:rPr>
          <w:rFonts w:ascii="Calibri" w:hAnsi="Calibri" w:cs="Calibri"/>
          <w:color w:val="0D0D0D" w:themeColor="text1" w:themeTint="F2"/>
          <w:sz w:val="24"/>
          <w:szCs w:val="24"/>
        </w:rPr>
        <w:t xml:space="preserve"> </w:t>
      </w:r>
      <w:r w:rsidRPr="00A461B6">
        <w:rPr>
          <w:rFonts w:ascii="Calibri" w:hAnsi="Calibri" w:cs="Calibri"/>
          <w:color w:val="0D0D0D" w:themeColor="text1" w:themeTint="F2"/>
          <w:sz w:val="24"/>
          <w:szCs w:val="24"/>
        </w:rPr>
        <w:t xml:space="preserve">for their PBS medicines. Some medicines are priced below the general PBS co-payment, however for those medicines that require 12 </w:t>
      </w:r>
      <w:r w:rsidR="00816BF5">
        <w:rPr>
          <w:rFonts w:ascii="Calibri" w:hAnsi="Calibri" w:cs="Calibri"/>
          <w:color w:val="0D0D0D" w:themeColor="text1" w:themeTint="F2"/>
          <w:sz w:val="24"/>
          <w:szCs w:val="24"/>
        </w:rPr>
        <w:t>prescriptions</w:t>
      </w:r>
      <w:r w:rsidR="00816BF5" w:rsidRPr="00A461B6">
        <w:rPr>
          <w:color w:val="0D0D0D" w:themeColor="text1" w:themeTint="F2"/>
        </w:rPr>
        <w:t xml:space="preserve"> </w:t>
      </w:r>
      <w:r w:rsidRPr="00A461B6">
        <w:rPr>
          <w:rFonts w:asciiTheme="minorHAnsi" w:hAnsiTheme="minorHAnsi" w:cstheme="minorHAnsi"/>
          <w:color w:val="0D0D0D" w:themeColor="text1" w:themeTint="F2"/>
          <w:sz w:val="24"/>
          <w:szCs w:val="24"/>
        </w:rPr>
        <w:t xml:space="preserve">per year and where the dispensed price of the medicine exceeds $30, general </w:t>
      </w:r>
      <w:r w:rsidR="00885DA0" w:rsidRPr="00A461B6">
        <w:rPr>
          <w:rFonts w:asciiTheme="minorHAnsi" w:hAnsiTheme="minorHAnsi" w:cstheme="minorHAnsi"/>
          <w:color w:val="0D0D0D" w:themeColor="text1" w:themeTint="F2"/>
          <w:sz w:val="24"/>
          <w:szCs w:val="24"/>
        </w:rPr>
        <w:t>beneficiaries</w:t>
      </w:r>
      <w:r w:rsidRPr="00A461B6">
        <w:rPr>
          <w:rFonts w:asciiTheme="minorHAnsi" w:hAnsiTheme="minorHAnsi" w:cstheme="minorHAnsi"/>
          <w:color w:val="0D0D0D" w:themeColor="text1" w:themeTint="F2"/>
          <w:sz w:val="24"/>
          <w:szCs w:val="24"/>
        </w:rPr>
        <w:t xml:space="preserve"> could save up to $180 per year</w:t>
      </w:r>
      <w:r w:rsidR="00885DA0" w:rsidRPr="00A461B6">
        <w:rPr>
          <w:rFonts w:asciiTheme="minorHAnsi" w:hAnsiTheme="minorHAnsi" w:cstheme="minorHAnsi"/>
          <w:color w:val="0D0D0D" w:themeColor="text1" w:themeTint="F2"/>
          <w:sz w:val="24"/>
          <w:szCs w:val="24"/>
        </w:rPr>
        <w:t xml:space="preserve"> per medicine</w:t>
      </w:r>
      <w:r w:rsidRPr="00A461B6">
        <w:rPr>
          <w:rFonts w:asciiTheme="minorHAnsi" w:hAnsiTheme="minorHAnsi" w:cstheme="minorHAnsi"/>
          <w:color w:val="0D0D0D" w:themeColor="text1" w:themeTint="F2"/>
          <w:sz w:val="24"/>
          <w:szCs w:val="24"/>
        </w:rPr>
        <w:t>.</w:t>
      </w:r>
    </w:p>
    <w:p w14:paraId="46099FC6" w14:textId="05A7EBC8" w:rsidR="002F03B5" w:rsidRPr="00A461B6" w:rsidRDefault="00F54942" w:rsidP="00D2693C">
      <w:pPr>
        <w:pStyle w:val="CABNETParagraph"/>
        <w:rPr>
          <w:rFonts w:asciiTheme="minorHAnsi" w:hAnsiTheme="minorHAnsi"/>
          <w:b/>
          <w:color w:val="0D0D0D" w:themeColor="text1" w:themeTint="F2"/>
          <w:sz w:val="24"/>
        </w:rPr>
      </w:pPr>
      <w:r w:rsidRPr="00A461B6">
        <w:rPr>
          <w:rFonts w:asciiTheme="minorHAnsi" w:hAnsiTheme="minorHAnsi"/>
          <w:color w:val="0D0D0D" w:themeColor="text1" w:themeTint="F2"/>
          <w:sz w:val="24"/>
          <w:szCs w:val="24"/>
        </w:rPr>
        <w:t>This proposal, if adopted by clinicians and consumers, will redu</w:t>
      </w:r>
      <w:r w:rsidR="000A1249" w:rsidRPr="00A461B6">
        <w:rPr>
          <w:rFonts w:asciiTheme="minorHAnsi" w:hAnsiTheme="minorHAnsi"/>
          <w:color w:val="0D0D0D" w:themeColor="text1" w:themeTint="F2"/>
          <w:sz w:val="24"/>
          <w:szCs w:val="24"/>
        </w:rPr>
        <w:t>ce the volume of PBS dispensing</w:t>
      </w:r>
      <w:r w:rsidRPr="00A461B6">
        <w:rPr>
          <w:rFonts w:asciiTheme="minorHAnsi" w:hAnsiTheme="minorHAnsi"/>
          <w:color w:val="0D0D0D" w:themeColor="text1" w:themeTint="F2"/>
          <w:sz w:val="24"/>
          <w:szCs w:val="24"/>
        </w:rPr>
        <w:t xml:space="preserve"> by pharmacies</w:t>
      </w:r>
      <w:r w:rsidR="00E67145" w:rsidRPr="00A461B6">
        <w:rPr>
          <w:rFonts w:asciiTheme="minorHAnsi" w:hAnsiTheme="minorHAnsi"/>
          <w:color w:val="0D0D0D" w:themeColor="text1" w:themeTint="F2"/>
          <w:sz w:val="24"/>
          <w:szCs w:val="24"/>
        </w:rPr>
        <w:t>.</w:t>
      </w:r>
      <w:r w:rsidRPr="00A461B6">
        <w:rPr>
          <w:rFonts w:asciiTheme="minorHAnsi" w:hAnsiTheme="minorHAnsi"/>
          <w:color w:val="0D0D0D" w:themeColor="text1" w:themeTint="F2"/>
          <w:sz w:val="24"/>
          <w:szCs w:val="24"/>
        </w:rPr>
        <w:t xml:space="preserve"> </w:t>
      </w:r>
      <w:r w:rsidR="00E67145" w:rsidRPr="00A461B6">
        <w:rPr>
          <w:rFonts w:asciiTheme="minorHAnsi" w:hAnsiTheme="minorHAnsi"/>
          <w:color w:val="0D0D0D" w:themeColor="text1" w:themeTint="F2"/>
          <w:sz w:val="24"/>
          <w:szCs w:val="24"/>
        </w:rPr>
        <w:t xml:space="preserve">Pharmacy owners will receive significantly less </w:t>
      </w:r>
      <w:r w:rsidR="000A1249" w:rsidRPr="00A461B6">
        <w:rPr>
          <w:rFonts w:asciiTheme="minorHAnsi" w:hAnsiTheme="minorHAnsi"/>
          <w:color w:val="0D0D0D" w:themeColor="text1" w:themeTint="F2"/>
          <w:sz w:val="24"/>
          <w:szCs w:val="24"/>
        </w:rPr>
        <w:t xml:space="preserve">PBS </w:t>
      </w:r>
      <w:r w:rsidR="00E67145" w:rsidRPr="00A461B6">
        <w:rPr>
          <w:rFonts w:asciiTheme="minorHAnsi" w:hAnsiTheme="minorHAnsi"/>
          <w:color w:val="0D0D0D" w:themeColor="text1" w:themeTint="F2"/>
          <w:sz w:val="24"/>
          <w:szCs w:val="24"/>
        </w:rPr>
        <w:t xml:space="preserve">income due to the decrease in the volume of dispensing related remuneration resulting from the proposed </w:t>
      </w:r>
      <w:r w:rsidR="000A1249" w:rsidRPr="00A461B6">
        <w:rPr>
          <w:rFonts w:asciiTheme="minorHAnsi" w:hAnsiTheme="minorHAnsi"/>
          <w:color w:val="0D0D0D" w:themeColor="text1" w:themeTint="F2"/>
          <w:sz w:val="24"/>
          <w:szCs w:val="24"/>
        </w:rPr>
        <w:t xml:space="preserve">PBS </w:t>
      </w:r>
      <w:r w:rsidR="00E67145" w:rsidRPr="00A461B6">
        <w:rPr>
          <w:rFonts w:asciiTheme="minorHAnsi" w:hAnsiTheme="minorHAnsi"/>
          <w:color w:val="0D0D0D" w:themeColor="text1" w:themeTint="F2"/>
          <w:sz w:val="24"/>
          <w:szCs w:val="24"/>
        </w:rPr>
        <w:t>changes.</w:t>
      </w:r>
      <w:r w:rsidR="00F84452" w:rsidRPr="00A461B6">
        <w:rPr>
          <w:rFonts w:asciiTheme="minorHAnsi" w:hAnsiTheme="minorHAnsi"/>
          <w:color w:val="0D0D0D" w:themeColor="text1" w:themeTint="F2"/>
          <w:sz w:val="24"/>
          <w:szCs w:val="24"/>
        </w:rPr>
        <w:t xml:space="preserve"> This includes less dispensing payments </w:t>
      </w:r>
      <w:r w:rsidR="007304FE" w:rsidRPr="00A461B6">
        <w:rPr>
          <w:rFonts w:asciiTheme="minorHAnsi" w:hAnsiTheme="minorHAnsi"/>
          <w:color w:val="0D0D0D" w:themeColor="text1" w:themeTint="F2"/>
          <w:sz w:val="24"/>
          <w:szCs w:val="24"/>
        </w:rPr>
        <w:t>from</w:t>
      </w:r>
      <w:r w:rsidR="00F84452" w:rsidRPr="00A461B6">
        <w:rPr>
          <w:rFonts w:asciiTheme="minorHAnsi" w:hAnsiTheme="minorHAnsi"/>
          <w:color w:val="0D0D0D" w:themeColor="text1" w:themeTint="F2"/>
          <w:sz w:val="24"/>
          <w:szCs w:val="24"/>
        </w:rPr>
        <w:t xml:space="preserve"> the Government and fewer co</w:t>
      </w:r>
      <w:r w:rsidR="009A586E" w:rsidRPr="00A461B6">
        <w:rPr>
          <w:rFonts w:asciiTheme="minorHAnsi" w:hAnsiTheme="minorHAnsi"/>
          <w:color w:val="0D0D0D" w:themeColor="text1" w:themeTint="F2"/>
          <w:sz w:val="24"/>
          <w:szCs w:val="24"/>
        </w:rPr>
        <w:t>-</w:t>
      </w:r>
      <w:r w:rsidR="00F84452" w:rsidRPr="00A461B6">
        <w:rPr>
          <w:rFonts w:asciiTheme="minorHAnsi" w:hAnsiTheme="minorHAnsi"/>
          <w:color w:val="0D0D0D" w:themeColor="text1" w:themeTint="F2"/>
          <w:sz w:val="24"/>
          <w:szCs w:val="24"/>
        </w:rPr>
        <w:t>payments by patients.</w:t>
      </w:r>
      <w:r w:rsidR="00E67145" w:rsidRPr="00A461B6">
        <w:rPr>
          <w:rFonts w:asciiTheme="minorHAnsi" w:hAnsiTheme="minorHAnsi"/>
          <w:color w:val="0D0D0D" w:themeColor="text1" w:themeTint="F2"/>
          <w:sz w:val="24"/>
          <w:szCs w:val="24"/>
        </w:rPr>
        <w:t xml:space="preserve"> However</w:t>
      </w:r>
      <w:r w:rsidR="002F03B5" w:rsidRPr="00A461B6">
        <w:rPr>
          <w:color w:val="0D0D0D" w:themeColor="text1" w:themeTint="F2"/>
          <w:sz w:val="24"/>
          <w:szCs w:val="24"/>
        </w:rPr>
        <w:t>,</w:t>
      </w:r>
      <w:r w:rsidR="00E67145" w:rsidRPr="00A461B6">
        <w:rPr>
          <w:rFonts w:asciiTheme="minorHAnsi" w:hAnsiTheme="minorHAnsi"/>
          <w:color w:val="0D0D0D" w:themeColor="text1" w:themeTint="F2"/>
          <w:sz w:val="24"/>
          <w:szCs w:val="24"/>
        </w:rPr>
        <w:t xml:space="preserve"> pharmacy remuneration for all other medicines and from other sources (e.g. commercial sales) will </w:t>
      </w:r>
      <w:r w:rsidR="00E67145" w:rsidRPr="00A461B6">
        <w:rPr>
          <w:rFonts w:asciiTheme="minorHAnsi" w:hAnsiTheme="minorHAnsi"/>
          <w:color w:val="0D0D0D" w:themeColor="text1" w:themeTint="F2"/>
          <w:sz w:val="24"/>
        </w:rPr>
        <w:t xml:space="preserve">continue. </w:t>
      </w:r>
    </w:p>
    <w:p w14:paraId="58001B83" w14:textId="24E9026C" w:rsidR="006C5182" w:rsidRPr="00A461B6" w:rsidRDefault="006C5182" w:rsidP="006C5182">
      <w:pPr>
        <w:rPr>
          <w:rFonts w:cstheme="minorHAnsi"/>
          <w:color w:val="0D0D0D" w:themeColor="text1" w:themeTint="F2"/>
          <w:sz w:val="24"/>
          <w:szCs w:val="24"/>
        </w:rPr>
      </w:pPr>
      <w:r w:rsidRPr="00A461B6">
        <w:rPr>
          <w:rFonts w:cstheme="minorHAnsi"/>
          <w:color w:val="0D0D0D" w:themeColor="text1" w:themeTint="F2"/>
          <w:sz w:val="24"/>
          <w:szCs w:val="24"/>
        </w:rPr>
        <w:t xml:space="preserve">The impact on specific pharmacies will vary depending on the location of the pharmacy and its operating model. </w:t>
      </w:r>
      <w:r w:rsidR="00D96BCE" w:rsidRPr="00A461B6">
        <w:rPr>
          <w:rFonts w:cstheme="minorHAnsi"/>
          <w:color w:val="0D0D0D" w:themeColor="text1" w:themeTint="F2"/>
          <w:sz w:val="24"/>
          <w:szCs w:val="24"/>
        </w:rPr>
        <w:t xml:space="preserve">The Government’s decision to implement this proposal in three </w:t>
      </w:r>
      <w:r w:rsidR="00DE38A6">
        <w:rPr>
          <w:rFonts w:cstheme="minorHAnsi"/>
          <w:color w:val="0D0D0D" w:themeColor="text1" w:themeTint="F2"/>
          <w:sz w:val="24"/>
          <w:szCs w:val="24"/>
        </w:rPr>
        <w:t>stages</w:t>
      </w:r>
      <w:r w:rsidR="00D96BCE" w:rsidRPr="00A461B6">
        <w:rPr>
          <w:rFonts w:cstheme="minorHAnsi"/>
          <w:color w:val="0D0D0D" w:themeColor="text1" w:themeTint="F2"/>
          <w:sz w:val="24"/>
          <w:szCs w:val="24"/>
        </w:rPr>
        <w:t xml:space="preserve"> </w:t>
      </w:r>
      <w:r w:rsidR="007A35C8" w:rsidRPr="00A461B6">
        <w:rPr>
          <w:rFonts w:cstheme="minorHAnsi"/>
          <w:color w:val="0D0D0D" w:themeColor="text1" w:themeTint="F2"/>
          <w:sz w:val="24"/>
          <w:szCs w:val="24"/>
        </w:rPr>
        <w:t>may</w:t>
      </w:r>
      <w:r w:rsidR="00D96BCE" w:rsidRPr="00A461B6">
        <w:rPr>
          <w:rFonts w:cstheme="minorHAnsi"/>
          <w:color w:val="0D0D0D" w:themeColor="text1" w:themeTint="F2"/>
          <w:sz w:val="24"/>
          <w:szCs w:val="24"/>
        </w:rPr>
        <w:t xml:space="preserve"> lessen the immediate financial impact on individual pharmacies and allow time for businesses to adjust to changes in revenue. </w:t>
      </w:r>
      <w:r w:rsidR="00BB037E">
        <w:rPr>
          <w:rFonts w:cstheme="minorHAnsi"/>
          <w:color w:val="0D0D0D" w:themeColor="text1" w:themeTint="F2"/>
          <w:sz w:val="24"/>
          <w:szCs w:val="24"/>
        </w:rPr>
        <w:t>The estimated average impact per pharmacy in the first year of implementation based on the Government’s decision to implement this proposal in three stages may be up to $49,000 reduction in remuneration derived from Government paid PBS fees, which is estimated to be a reduction of approximately 6% of the baseline remuneration of community pharmacy Government paid PBS fees (estimated to be $775,000 in the first year).</w:t>
      </w:r>
      <w:r w:rsidR="00BB037E" w:rsidRPr="00A461B6">
        <w:rPr>
          <w:rFonts w:cstheme="minorHAnsi"/>
          <w:color w:val="0D0D0D" w:themeColor="text1" w:themeTint="F2"/>
          <w:sz w:val="24"/>
          <w:szCs w:val="24"/>
        </w:rPr>
        <w:t xml:space="preserve"> </w:t>
      </w:r>
      <w:r w:rsidRPr="00A461B6">
        <w:rPr>
          <w:rFonts w:cstheme="minorHAnsi"/>
          <w:color w:val="0D0D0D" w:themeColor="text1" w:themeTint="F2"/>
          <w:sz w:val="24"/>
          <w:szCs w:val="24"/>
        </w:rPr>
        <w:t>For the two month option, the estimated average impact per pharmacy in the fourth year following implementation may be up to $158,000 reduction in remuneration</w:t>
      </w:r>
      <w:r w:rsidR="000A1249" w:rsidRPr="00A461B6">
        <w:rPr>
          <w:rFonts w:cstheme="minorHAnsi"/>
          <w:color w:val="0D0D0D" w:themeColor="text1" w:themeTint="F2"/>
          <w:sz w:val="24"/>
          <w:szCs w:val="24"/>
        </w:rPr>
        <w:t xml:space="preserve"> derived from Government paid PBS fees</w:t>
      </w:r>
      <w:r w:rsidRPr="00A461B6">
        <w:rPr>
          <w:rFonts w:cstheme="minorHAnsi"/>
          <w:color w:val="0D0D0D" w:themeColor="text1" w:themeTint="F2"/>
          <w:sz w:val="24"/>
          <w:szCs w:val="24"/>
        </w:rPr>
        <w:t xml:space="preserve">, which is estimated to be a reduction of approximately 18% of the baseline remuneration of community pharmacy </w:t>
      </w:r>
      <w:r w:rsidR="000A1249" w:rsidRPr="00A461B6">
        <w:rPr>
          <w:rFonts w:cstheme="minorHAnsi"/>
          <w:color w:val="0D0D0D" w:themeColor="text1" w:themeTint="F2"/>
          <w:sz w:val="24"/>
          <w:szCs w:val="24"/>
        </w:rPr>
        <w:t xml:space="preserve">Government paid PBS </w:t>
      </w:r>
      <w:r w:rsidRPr="00A461B6">
        <w:rPr>
          <w:rFonts w:cstheme="minorHAnsi"/>
          <w:color w:val="0D0D0D" w:themeColor="text1" w:themeTint="F2"/>
          <w:sz w:val="24"/>
          <w:szCs w:val="24"/>
        </w:rPr>
        <w:t>fees (estimated to be $867,000 in the fourth year). For the three month option, the estimated average impact per pharmacy in the fourth year following implementation may be up to $210,000 reduction in</w:t>
      </w:r>
      <w:r w:rsidR="00C37443" w:rsidRPr="00A461B6">
        <w:rPr>
          <w:rFonts w:cstheme="minorHAnsi"/>
          <w:color w:val="0D0D0D" w:themeColor="text1" w:themeTint="F2"/>
          <w:sz w:val="24"/>
          <w:szCs w:val="24"/>
        </w:rPr>
        <w:t xml:space="preserve"> Government</w:t>
      </w:r>
      <w:r w:rsidRPr="00A461B6">
        <w:rPr>
          <w:rFonts w:cstheme="minorHAnsi"/>
          <w:color w:val="0D0D0D" w:themeColor="text1" w:themeTint="F2"/>
          <w:sz w:val="24"/>
          <w:szCs w:val="24"/>
        </w:rPr>
        <w:t xml:space="preserve"> remuneration, which is estimated to be a reduction of 24% of the baseline remuneration of community pharmacy fees (estimated to be $867,000 in the fourth year). PBS revenue is only one of the revenue sources for community pharmacies, </w:t>
      </w:r>
      <w:r w:rsidR="00A40D1B" w:rsidRPr="00A461B6">
        <w:rPr>
          <w:rFonts w:cstheme="minorHAnsi"/>
          <w:color w:val="0D0D0D" w:themeColor="text1" w:themeTint="F2"/>
          <w:sz w:val="24"/>
          <w:szCs w:val="24"/>
        </w:rPr>
        <w:t>but is the focus of the financial analysis presented.</w:t>
      </w:r>
      <w:r w:rsidRPr="00A461B6">
        <w:rPr>
          <w:rFonts w:cstheme="minorHAnsi"/>
          <w:color w:val="0D0D0D" w:themeColor="text1" w:themeTint="F2"/>
          <w:sz w:val="24"/>
          <w:szCs w:val="24"/>
        </w:rPr>
        <w:t> </w:t>
      </w:r>
    </w:p>
    <w:p w14:paraId="6F1C72A1" w14:textId="32CEEAA7" w:rsidR="00F84452" w:rsidRPr="00A461B6" w:rsidRDefault="00AF66EE" w:rsidP="00F84452">
      <w:pPr>
        <w:pStyle w:val="CABNETParagraph"/>
        <w:rPr>
          <w:rFonts w:ascii="Calibri" w:hAnsi="Calibri" w:cs="Calibri"/>
          <w:bCs/>
          <w:color w:val="0D0D0D" w:themeColor="text1" w:themeTint="F2"/>
          <w:sz w:val="24"/>
          <w:szCs w:val="24"/>
        </w:rPr>
      </w:pPr>
      <w:r w:rsidRPr="00A461B6">
        <w:rPr>
          <w:rFonts w:asciiTheme="minorHAnsi" w:eastAsiaTheme="majorEastAsia" w:hAnsiTheme="minorHAnsi"/>
          <w:bCs/>
          <w:color w:val="0D0D0D" w:themeColor="text1" w:themeTint="F2"/>
          <w:sz w:val="24"/>
          <w:szCs w:val="24"/>
        </w:rPr>
        <w:t>This proposal</w:t>
      </w:r>
      <w:r w:rsidR="00E67145" w:rsidRPr="00A461B6">
        <w:rPr>
          <w:rFonts w:asciiTheme="minorHAnsi" w:eastAsiaTheme="majorEastAsia" w:hAnsiTheme="minorHAnsi"/>
          <w:bCs/>
          <w:color w:val="0D0D0D" w:themeColor="text1" w:themeTint="F2"/>
          <w:sz w:val="24"/>
          <w:szCs w:val="24"/>
        </w:rPr>
        <w:t xml:space="preserve"> supports </w:t>
      </w:r>
      <w:r w:rsidR="00F84452" w:rsidRPr="00A461B6">
        <w:rPr>
          <w:rFonts w:asciiTheme="minorHAnsi" w:eastAsiaTheme="majorEastAsia" w:hAnsiTheme="minorHAnsi"/>
          <w:bCs/>
          <w:color w:val="0D0D0D" w:themeColor="text1" w:themeTint="F2"/>
          <w:sz w:val="24"/>
          <w:szCs w:val="24"/>
        </w:rPr>
        <w:t>consumers to access medicines at lower prices, addressing cost of living pressures</w:t>
      </w:r>
      <w:r w:rsidR="00E67145" w:rsidRPr="00A461B6">
        <w:rPr>
          <w:rFonts w:asciiTheme="minorHAnsi" w:eastAsiaTheme="majorEastAsia" w:hAnsiTheme="minorHAnsi"/>
          <w:bCs/>
          <w:color w:val="0D0D0D" w:themeColor="text1" w:themeTint="F2"/>
          <w:sz w:val="24"/>
          <w:szCs w:val="24"/>
        </w:rPr>
        <w:t xml:space="preserve">. </w:t>
      </w:r>
      <w:r w:rsidR="00F14E8C" w:rsidRPr="00A461B6">
        <w:rPr>
          <w:rFonts w:asciiTheme="minorHAnsi" w:eastAsiaTheme="majorEastAsia" w:hAnsiTheme="minorHAnsi"/>
          <w:bCs/>
          <w:color w:val="0D0D0D" w:themeColor="text1" w:themeTint="F2"/>
          <w:sz w:val="24"/>
          <w:szCs w:val="24"/>
        </w:rPr>
        <w:t xml:space="preserve">In total, it is estimated that patients who are prescribed </w:t>
      </w:r>
      <w:r w:rsidR="00816BF5">
        <w:rPr>
          <w:rFonts w:asciiTheme="minorHAnsi" w:eastAsiaTheme="majorEastAsia" w:hAnsiTheme="minorHAnsi"/>
          <w:bCs/>
          <w:color w:val="0D0D0D" w:themeColor="text1" w:themeTint="F2"/>
          <w:sz w:val="24"/>
          <w:szCs w:val="24"/>
        </w:rPr>
        <w:t>prescriptions</w:t>
      </w:r>
      <w:r w:rsidR="00816BF5" w:rsidRPr="00A461B6">
        <w:rPr>
          <w:rFonts w:asciiTheme="minorHAnsi" w:eastAsiaTheme="majorEastAsia" w:hAnsiTheme="minorHAnsi"/>
          <w:bCs/>
          <w:color w:val="0D0D0D" w:themeColor="text1" w:themeTint="F2"/>
          <w:sz w:val="24"/>
          <w:szCs w:val="24"/>
        </w:rPr>
        <w:t xml:space="preserve"> </w:t>
      </w:r>
      <w:r w:rsidR="00F14E8C" w:rsidRPr="00A461B6">
        <w:rPr>
          <w:rFonts w:asciiTheme="minorHAnsi" w:eastAsiaTheme="majorEastAsia" w:hAnsiTheme="minorHAnsi"/>
          <w:bCs/>
          <w:color w:val="0D0D0D" w:themeColor="text1" w:themeTint="F2"/>
          <w:sz w:val="24"/>
          <w:szCs w:val="24"/>
        </w:rPr>
        <w:t xml:space="preserve">that allow 2 months’ supply per dispense will save around $540 million in PBS patient contributions in 2026-27, and approximately $1.8 billion between 2023-24 and 2026-27. </w:t>
      </w:r>
      <w:r w:rsidR="00CD64D1" w:rsidRPr="00A461B6">
        <w:rPr>
          <w:rFonts w:asciiTheme="minorHAnsi" w:eastAsiaTheme="majorEastAsia" w:hAnsiTheme="minorHAnsi"/>
          <w:bCs/>
          <w:color w:val="0D0D0D" w:themeColor="text1" w:themeTint="F2"/>
          <w:sz w:val="24"/>
          <w:szCs w:val="24"/>
        </w:rPr>
        <w:t xml:space="preserve">For the 3 month option, the total estimated save to patients is $740 million in PBS patient contributions in 2026-27, and approximately $2.5 billion between 2023-24 and 2026-27. </w:t>
      </w:r>
      <w:r w:rsidR="0026392D" w:rsidRPr="0026392D">
        <w:rPr>
          <w:rFonts w:asciiTheme="minorHAnsi" w:eastAsiaTheme="majorEastAsia" w:hAnsiTheme="minorHAnsi"/>
          <w:bCs/>
          <w:color w:val="0D0D0D" w:themeColor="text1" w:themeTint="F2"/>
          <w:sz w:val="24"/>
          <w:szCs w:val="24"/>
        </w:rPr>
        <w:t>The</w:t>
      </w:r>
      <w:r w:rsidR="0026392D">
        <w:rPr>
          <w:rFonts w:asciiTheme="minorHAnsi" w:eastAsiaTheme="majorEastAsia" w:hAnsiTheme="minorHAnsi"/>
          <w:bCs/>
          <w:color w:val="0D0D0D" w:themeColor="text1" w:themeTint="F2"/>
          <w:sz w:val="24"/>
          <w:szCs w:val="24"/>
        </w:rPr>
        <w:t>se financial estimates assume a single implementation date of all MDQ changes in 2023-24 and the</w:t>
      </w:r>
      <w:r w:rsidR="0026392D" w:rsidRPr="0026392D">
        <w:rPr>
          <w:rFonts w:asciiTheme="minorHAnsi" w:eastAsiaTheme="majorEastAsia" w:hAnsiTheme="minorHAnsi"/>
          <w:bCs/>
          <w:color w:val="0D0D0D" w:themeColor="text1" w:themeTint="F2"/>
          <w:sz w:val="24"/>
          <w:szCs w:val="24"/>
        </w:rPr>
        <w:t xml:space="preserve"> Government’s decision to implement this proposal in three </w:t>
      </w:r>
      <w:r w:rsidR="00DE38A6">
        <w:rPr>
          <w:rFonts w:asciiTheme="minorHAnsi" w:eastAsiaTheme="majorEastAsia" w:hAnsiTheme="minorHAnsi"/>
          <w:bCs/>
          <w:color w:val="0D0D0D" w:themeColor="text1" w:themeTint="F2"/>
          <w:sz w:val="24"/>
          <w:szCs w:val="24"/>
        </w:rPr>
        <w:t>stages</w:t>
      </w:r>
      <w:r w:rsidR="0026392D" w:rsidRPr="0026392D">
        <w:rPr>
          <w:rFonts w:asciiTheme="minorHAnsi" w:eastAsiaTheme="majorEastAsia" w:hAnsiTheme="minorHAnsi"/>
          <w:bCs/>
          <w:color w:val="0D0D0D" w:themeColor="text1" w:themeTint="F2"/>
          <w:sz w:val="24"/>
          <w:szCs w:val="24"/>
        </w:rPr>
        <w:t xml:space="preserve"> may lessen the immediate </w:t>
      </w:r>
      <w:r w:rsidR="0026392D">
        <w:rPr>
          <w:rFonts w:asciiTheme="minorHAnsi" w:eastAsiaTheme="majorEastAsia" w:hAnsiTheme="minorHAnsi"/>
          <w:bCs/>
          <w:color w:val="0D0D0D" w:themeColor="text1" w:themeTint="F2"/>
          <w:sz w:val="24"/>
          <w:szCs w:val="24"/>
        </w:rPr>
        <w:t>savings to patients</w:t>
      </w:r>
      <w:r w:rsidR="0026392D" w:rsidRPr="0026392D">
        <w:rPr>
          <w:rFonts w:asciiTheme="minorHAnsi" w:eastAsiaTheme="majorEastAsia" w:hAnsiTheme="minorHAnsi"/>
          <w:bCs/>
          <w:color w:val="0D0D0D" w:themeColor="text1" w:themeTint="F2"/>
          <w:sz w:val="24"/>
          <w:szCs w:val="24"/>
        </w:rPr>
        <w:t xml:space="preserve">. </w:t>
      </w:r>
      <w:r w:rsidR="0026392D">
        <w:rPr>
          <w:rFonts w:ascii="Calibri" w:hAnsi="Calibri" w:cs="Calibri"/>
          <w:bCs/>
          <w:color w:val="0D0D0D" w:themeColor="text1" w:themeTint="F2"/>
          <w:sz w:val="24"/>
          <w:szCs w:val="24"/>
        </w:rPr>
        <w:t>Once fully implemented</w:t>
      </w:r>
      <w:r w:rsidR="00F84452" w:rsidRPr="00A461B6">
        <w:rPr>
          <w:rFonts w:ascii="Calibri" w:hAnsi="Calibri" w:cs="Calibri"/>
          <w:bCs/>
          <w:color w:val="0D0D0D" w:themeColor="text1" w:themeTint="F2"/>
          <w:sz w:val="24"/>
          <w:szCs w:val="24"/>
        </w:rPr>
        <w:t xml:space="preserve">, </w:t>
      </w:r>
      <w:r w:rsidR="0026392D">
        <w:rPr>
          <w:rFonts w:ascii="Calibri" w:hAnsi="Calibri" w:cs="Calibri"/>
          <w:bCs/>
          <w:color w:val="0D0D0D" w:themeColor="text1" w:themeTint="F2"/>
          <w:sz w:val="24"/>
          <w:szCs w:val="24"/>
        </w:rPr>
        <w:t xml:space="preserve">some </w:t>
      </w:r>
      <w:r w:rsidR="00F84452" w:rsidRPr="00A461B6">
        <w:rPr>
          <w:rFonts w:ascii="Calibri" w:hAnsi="Calibri" w:cs="Calibri"/>
          <w:bCs/>
          <w:color w:val="0D0D0D" w:themeColor="text1" w:themeTint="F2"/>
          <w:sz w:val="24"/>
          <w:szCs w:val="24"/>
        </w:rPr>
        <w:t xml:space="preserve">patients </w:t>
      </w:r>
      <w:r w:rsidR="0026392D">
        <w:rPr>
          <w:rFonts w:ascii="Calibri" w:hAnsi="Calibri" w:cs="Calibri"/>
          <w:bCs/>
          <w:color w:val="0D0D0D" w:themeColor="text1" w:themeTint="F2"/>
          <w:sz w:val="24"/>
          <w:szCs w:val="24"/>
        </w:rPr>
        <w:t xml:space="preserve">using MDQ medicines (approximately 1.8 million per year) </w:t>
      </w:r>
      <w:r w:rsidR="00F84452" w:rsidRPr="00A461B6">
        <w:rPr>
          <w:rFonts w:ascii="Calibri" w:hAnsi="Calibri" w:cs="Calibri"/>
          <w:bCs/>
          <w:color w:val="0D0D0D" w:themeColor="text1" w:themeTint="F2"/>
          <w:sz w:val="24"/>
          <w:szCs w:val="24"/>
        </w:rPr>
        <w:t>may avoid visits to a general practitioner (GP) or other prescriber solely for the purpose of obtaining repeat prescriptions for medicines covered under the proposal.</w:t>
      </w:r>
    </w:p>
    <w:p w14:paraId="2FE523AD" w14:textId="4C658ECE" w:rsidR="00F84452" w:rsidRPr="00A461B6" w:rsidRDefault="00AF66EE" w:rsidP="00D2693C">
      <w:pPr>
        <w:pStyle w:val="CABNETParagraph"/>
        <w:rPr>
          <w:rFonts w:ascii="Calibri" w:hAnsi="Calibri" w:cs="Calibri"/>
          <w:bCs/>
          <w:color w:val="0D0D0D" w:themeColor="text1" w:themeTint="F2"/>
          <w:sz w:val="24"/>
          <w:szCs w:val="24"/>
        </w:rPr>
      </w:pPr>
      <w:r w:rsidRPr="00A461B6">
        <w:rPr>
          <w:rFonts w:ascii="Calibri" w:hAnsi="Calibri" w:cs="Calibri"/>
          <w:color w:val="0D0D0D" w:themeColor="text1" w:themeTint="F2"/>
          <w:sz w:val="24"/>
          <w:szCs w:val="24"/>
        </w:rPr>
        <w:t xml:space="preserve">It will </w:t>
      </w:r>
      <w:r w:rsidR="00F84452" w:rsidRPr="00A461B6">
        <w:rPr>
          <w:rFonts w:ascii="Calibri" w:hAnsi="Calibri" w:cs="Calibri"/>
          <w:color w:val="0D0D0D" w:themeColor="text1" w:themeTint="F2"/>
          <w:sz w:val="24"/>
          <w:szCs w:val="24"/>
        </w:rPr>
        <w:t xml:space="preserve">also </w:t>
      </w:r>
      <w:r w:rsidRPr="00A461B6">
        <w:rPr>
          <w:rFonts w:ascii="Calibri" w:hAnsi="Calibri" w:cs="Calibri"/>
          <w:color w:val="0D0D0D" w:themeColor="text1" w:themeTint="F2"/>
          <w:sz w:val="24"/>
          <w:szCs w:val="24"/>
        </w:rPr>
        <w:t xml:space="preserve">provide savings to Government </w:t>
      </w:r>
      <w:r w:rsidR="000A1249" w:rsidRPr="00A461B6">
        <w:rPr>
          <w:rFonts w:ascii="Calibri" w:hAnsi="Calibri" w:cs="Calibri"/>
          <w:color w:val="0D0D0D" w:themeColor="text1" w:themeTint="F2"/>
          <w:sz w:val="24"/>
          <w:szCs w:val="24"/>
        </w:rPr>
        <w:t xml:space="preserve">to reinvest in other priorities </w:t>
      </w:r>
      <w:r w:rsidR="002E2DD9" w:rsidRPr="00A461B6">
        <w:rPr>
          <w:rFonts w:ascii="Calibri" w:hAnsi="Calibri" w:cs="Calibri"/>
          <w:color w:val="0D0D0D" w:themeColor="text1" w:themeTint="F2"/>
          <w:sz w:val="24"/>
          <w:szCs w:val="24"/>
        </w:rPr>
        <w:t>by</w:t>
      </w:r>
      <w:r w:rsidRPr="00A461B6">
        <w:rPr>
          <w:rFonts w:ascii="Calibri" w:hAnsi="Calibri" w:cs="Calibri"/>
          <w:color w:val="0D0D0D" w:themeColor="text1" w:themeTint="F2"/>
          <w:sz w:val="24"/>
          <w:szCs w:val="24"/>
        </w:rPr>
        <w:t xml:space="preserve"> </w:t>
      </w:r>
      <w:r w:rsidRPr="00A461B6">
        <w:rPr>
          <w:rFonts w:ascii="Calibri" w:hAnsi="Calibri" w:cs="Calibri"/>
          <w:bCs/>
          <w:color w:val="0D0D0D" w:themeColor="text1" w:themeTint="F2"/>
          <w:sz w:val="24"/>
          <w:szCs w:val="24"/>
        </w:rPr>
        <w:t>reducing dispensing related remuneration paid to pharmacy owners</w:t>
      </w:r>
      <w:r w:rsidR="00F84452" w:rsidRPr="00A461B6">
        <w:rPr>
          <w:rFonts w:ascii="Calibri" w:hAnsi="Calibri" w:cs="Calibri"/>
          <w:bCs/>
          <w:color w:val="0D0D0D" w:themeColor="text1" w:themeTint="F2"/>
          <w:sz w:val="24"/>
          <w:szCs w:val="24"/>
        </w:rPr>
        <w:t>, which will help to keep the costs of the PBS sustainable</w:t>
      </w:r>
      <w:r w:rsidRPr="00A461B6">
        <w:rPr>
          <w:rFonts w:ascii="Calibri" w:hAnsi="Calibri" w:cs="Calibri"/>
          <w:bCs/>
          <w:color w:val="0D0D0D" w:themeColor="text1" w:themeTint="F2"/>
          <w:sz w:val="24"/>
          <w:szCs w:val="24"/>
        </w:rPr>
        <w:t xml:space="preserve">. </w:t>
      </w:r>
    </w:p>
    <w:p w14:paraId="166975FB" w14:textId="470CE44E" w:rsidR="004F5E93" w:rsidRPr="00A461B6" w:rsidRDefault="00AF66EE" w:rsidP="00D2693C">
      <w:pPr>
        <w:pStyle w:val="CABNETParagraph"/>
        <w:rPr>
          <w:color w:val="0D0D0D" w:themeColor="text1" w:themeTint="F2"/>
        </w:rPr>
      </w:pPr>
      <w:r w:rsidRPr="00A461B6">
        <w:rPr>
          <w:rFonts w:ascii="Calibri" w:hAnsi="Calibri" w:cs="Calibri"/>
          <w:bCs/>
          <w:color w:val="0D0D0D" w:themeColor="text1" w:themeTint="F2"/>
          <w:sz w:val="24"/>
          <w:szCs w:val="24"/>
        </w:rPr>
        <w:t>T</w:t>
      </w:r>
      <w:r w:rsidR="00E67145" w:rsidRPr="00A461B6">
        <w:rPr>
          <w:rFonts w:ascii="Calibri" w:hAnsi="Calibri" w:cs="Calibri"/>
          <w:bCs/>
          <w:color w:val="0D0D0D" w:themeColor="text1" w:themeTint="F2"/>
          <w:sz w:val="24"/>
          <w:szCs w:val="24"/>
        </w:rPr>
        <w:t xml:space="preserve">he Government intends to reinvest savings </w:t>
      </w:r>
      <w:r w:rsidR="00994521" w:rsidRPr="00A461B6">
        <w:rPr>
          <w:rFonts w:ascii="Calibri" w:hAnsi="Calibri" w:cs="Calibri"/>
          <w:bCs/>
          <w:color w:val="0D0D0D" w:themeColor="text1" w:themeTint="F2"/>
          <w:sz w:val="24"/>
          <w:szCs w:val="24"/>
        </w:rPr>
        <w:t xml:space="preserve">from the proposal </w:t>
      </w:r>
      <w:r w:rsidR="002853F2" w:rsidRPr="00A461B6">
        <w:rPr>
          <w:rFonts w:ascii="Calibri" w:hAnsi="Calibri" w:cs="Calibri"/>
          <w:bCs/>
          <w:color w:val="0D0D0D" w:themeColor="text1" w:themeTint="F2"/>
          <w:sz w:val="24"/>
          <w:szCs w:val="24"/>
        </w:rPr>
        <w:t xml:space="preserve">to support </w:t>
      </w:r>
      <w:r w:rsidR="0072458C" w:rsidRPr="00A461B6">
        <w:rPr>
          <w:rFonts w:ascii="Calibri" w:hAnsi="Calibri" w:cs="Calibri"/>
          <w:bCs/>
          <w:color w:val="0D0D0D" w:themeColor="text1" w:themeTint="F2"/>
          <w:sz w:val="24"/>
          <w:szCs w:val="24"/>
        </w:rPr>
        <w:t>the development of new</w:t>
      </w:r>
      <w:r w:rsidR="00816BF5">
        <w:rPr>
          <w:rFonts w:ascii="Calibri" w:hAnsi="Calibri" w:cs="Calibri"/>
          <w:bCs/>
          <w:color w:val="0D0D0D" w:themeColor="text1" w:themeTint="F2"/>
          <w:sz w:val="24"/>
          <w:szCs w:val="24"/>
        </w:rPr>
        <w:t>,</w:t>
      </w:r>
      <w:r w:rsidR="0072458C" w:rsidRPr="00A461B6">
        <w:rPr>
          <w:rFonts w:ascii="Calibri" w:hAnsi="Calibri" w:cs="Calibri"/>
          <w:bCs/>
          <w:color w:val="0D0D0D" w:themeColor="text1" w:themeTint="F2"/>
          <w:sz w:val="24"/>
          <w:szCs w:val="24"/>
        </w:rPr>
        <w:t xml:space="preserve"> and expansion of existing programs and services by </w:t>
      </w:r>
      <w:r w:rsidR="002853F2" w:rsidRPr="00A461B6">
        <w:rPr>
          <w:rFonts w:ascii="Calibri" w:hAnsi="Calibri" w:cs="Calibri"/>
          <w:bCs/>
          <w:color w:val="0D0D0D" w:themeColor="text1" w:themeTint="F2"/>
          <w:sz w:val="24"/>
          <w:szCs w:val="24"/>
        </w:rPr>
        <w:t xml:space="preserve">community </w:t>
      </w:r>
      <w:r w:rsidR="00E67145" w:rsidRPr="00A461B6">
        <w:rPr>
          <w:rFonts w:ascii="Calibri" w:hAnsi="Calibri" w:cs="Calibri"/>
          <w:bCs/>
          <w:color w:val="0D0D0D" w:themeColor="text1" w:themeTint="F2"/>
          <w:sz w:val="24"/>
          <w:szCs w:val="24"/>
        </w:rPr>
        <w:t>pharmacy</w:t>
      </w:r>
      <w:r w:rsidR="00816BF5">
        <w:rPr>
          <w:rFonts w:ascii="Calibri" w:hAnsi="Calibri" w:cs="Calibri"/>
          <w:bCs/>
          <w:color w:val="0D0D0D" w:themeColor="text1" w:themeTint="F2"/>
          <w:sz w:val="24"/>
          <w:szCs w:val="24"/>
        </w:rPr>
        <w:t>. This</w:t>
      </w:r>
      <w:r w:rsidR="0072458C" w:rsidRPr="00A461B6">
        <w:rPr>
          <w:rFonts w:ascii="Calibri" w:hAnsi="Calibri" w:cs="Calibri"/>
          <w:bCs/>
          <w:color w:val="0D0D0D" w:themeColor="text1" w:themeTint="F2"/>
          <w:sz w:val="24"/>
          <w:szCs w:val="24"/>
        </w:rPr>
        <w:t xml:space="preserve"> will also help to practically expand the scope of practice for community pharmacists, as well as supporting more clinical services for patients in pharmacy</w:t>
      </w:r>
      <w:r w:rsidR="002853F2" w:rsidRPr="00A461B6">
        <w:rPr>
          <w:rFonts w:ascii="Calibri" w:hAnsi="Calibri" w:cs="Calibri"/>
          <w:bCs/>
          <w:color w:val="0D0D0D" w:themeColor="text1" w:themeTint="F2"/>
          <w:sz w:val="24"/>
          <w:szCs w:val="24"/>
        </w:rPr>
        <w:t>.</w:t>
      </w:r>
      <w:r w:rsidR="0072458C" w:rsidRPr="00A461B6">
        <w:rPr>
          <w:rFonts w:ascii="Calibri" w:hAnsi="Calibri" w:cs="Calibri"/>
          <w:bCs/>
          <w:color w:val="0D0D0D" w:themeColor="text1" w:themeTint="F2"/>
          <w:sz w:val="24"/>
          <w:szCs w:val="24"/>
        </w:rPr>
        <w:t xml:space="preserve"> </w:t>
      </w:r>
      <w:r w:rsidR="002853F2" w:rsidRPr="00A461B6">
        <w:rPr>
          <w:rFonts w:ascii="Calibri" w:hAnsi="Calibri" w:cs="Calibri"/>
          <w:bCs/>
          <w:color w:val="0D0D0D" w:themeColor="text1" w:themeTint="F2"/>
          <w:sz w:val="24"/>
          <w:szCs w:val="24"/>
        </w:rPr>
        <w:t>This includes proposals that seek to increase funding to pharmacy programs over the</w:t>
      </w:r>
      <w:r w:rsidR="0072458C" w:rsidRPr="00A461B6">
        <w:rPr>
          <w:rFonts w:ascii="Calibri" w:hAnsi="Calibri" w:cs="Calibri"/>
          <w:bCs/>
          <w:color w:val="0D0D0D" w:themeColor="text1" w:themeTint="F2"/>
          <w:sz w:val="24"/>
          <w:szCs w:val="24"/>
        </w:rPr>
        <w:t xml:space="preserve"> term of the</w:t>
      </w:r>
      <w:r w:rsidR="002853F2" w:rsidRPr="00A461B6">
        <w:rPr>
          <w:rFonts w:ascii="Calibri" w:hAnsi="Calibri" w:cs="Calibri"/>
          <w:bCs/>
          <w:color w:val="0D0D0D" w:themeColor="text1" w:themeTint="F2"/>
          <w:sz w:val="24"/>
          <w:szCs w:val="24"/>
        </w:rPr>
        <w:t xml:space="preserve"> Seventh Community Pharmacy Agreement</w:t>
      </w:r>
      <w:r w:rsidR="00B66298" w:rsidRPr="00A461B6">
        <w:rPr>
          <w:rFonts w:ascii="Calibri" w:hAnsi="Calibri" w:cs="Calibri"/>
          <w:bCs/>
          <w:color w:val="0D0D0D" w:themeColor="text1" w:themeTint="F2"/>
          <w:sz w:val="24"/>
          <w:szCs w:val="24"/>
        </w:rPr>
        <w:t xml:space="preserve"> (7CPA)</w:t>
      </w:r>
      <w:r w:rsidR="002853F2" w:rsidRPr="00A461B6">
        <w:rPr>
          <w:rFonts w:ascii="Calibri" w:hAnsi="Calibri" w:cs="Calibri"/>
          <w:bCs/>
          <w:color w:val="0D0D0D" w:themeColor="text1" w:themeTint="F2"/>
          <w:sz w:val="24"/>
          <w:szCs w:val="24"/>
        </w:rPr>
        <w:t xml:space="preserve">, </w:t>
      </w:r>
      <w:r w:rsidR="0072458C" w:rsidRPr="00A461B6">
        <w:rPr>
          <w:rFonts w:ascii="Calibri" w:hAnsi="Calibri" w:cs="Calibri"/>
          <w:bCs/>
          <w:color w:val="0D0D0D" w:themeColor="text1" w:themeTint="F2"/>
          <w:sz w:val="24"/>
          <w:szCs w:val="24"/>
        </w:rPr>
        <w:t>fund community pharmacies</w:t>
      </w:r>
      <w:r w:rsidR="00CA44FC" w:rsidRPr="00A461B6">
        <w:rPr>
          <w:rFonts w:ascii="Calibri" w:hAnsi="Calibri" w:cs="Calibri"/>
          <w:bCs/>
          <w:color w:val="0D0D0D" w:themeColor="text1" w:themeTint="F2"/>
          <w:sz w:val="24"/>
          <w:szCs w:val="24"/>
        </w:rPr>
        <w:t xml:space="preserve"> </w:t>
      </w:r>
      <w:r w:rsidR="002853F2" w:rsidRPr="00A461B6">
        <w:rPr>
          <w:rFonts w:ascii="Calibri" w:hAnsi="Calibri" w:cs="Calibri"/>
          <w:bCs/>
          <w:color w:val="0D0D0D" w:themeColor="text1" w:themeTint="F2"/>
          <w:sz w:val="24"/>
          <w:szCs w:val="24"/>
        </w:rPr>
        <w:t xml:space="preserve">for the administration of vaccines under the National Immunisation Program (NIP) and provide additional support to remote and regional pharmacies. </w:t>
      </w:r>
    </w:p>
    <w:p w14:paraId="7B092C23" w14:textId="759F5D1E" w:rsidR="0011200A" w:rsidRPr="00A461B6" w:rsidRDefault="0011200A" w:rsidP="0016162F">
      <w:pPr>
        <w:pStyle w:val="Heading1"/>
        <w:pageBreakBefore/>
      </w:pPr>
      <w:bookmarkStart w:id="29" w:name="_Toc132192286"/>
      <w:bookmarkStart w:id="30" w:name="_Toc134603917"/>
      <w:r w:rsidRPr="00A461B6">
        <w:t>Background</w:t>
      </w:r>
      <w:bookmarkEnd w:id="29"/>
      <w:bookmarkEnd w:id="30"/>
      <w:r w:rsidRPr="00A461B6">
        <w:t xml:space="preserve"> </w:t>
      </w:r>
    </w:p>
    <w:p w14:paraId="61A9EFA8" w14:textId="4069C98A" w:rsidR="00095F74" w:rsidRPr="00A461B6" w:rsidRDefault="0094072A" w:rsidP="0097798F">
      <w:pPr>
        <w:pStyle w:val="Heading3"/>
      </w:pPr>
      <w:bookmarkStart w:id="31" w:name="_Toc132192287"/>
      <w:bookmarkStart w:id="32" w:name="_Toc134603918"/>
      <w:r w:rsidRPr="00A461B6">
        <w:t>1.1</w:t>
      </w:r>
      <w:r w:rsidR="000D0C1E">
        <w:tab/>
      </w:r>
      <w:r w:rsidR="00095F74" w:rsidRPr="00A461B6">
        <w:t>The PBS</w:t>
      </w:r>
      <w:bookmarkEnd w:id="31"/>
      <w:bookmarkEnd w:id="32"/>
    </w:p>
    <w:p w14:paraId="162E9EBB" w14:textId="549F63CB" w:rsidR="00095F74" w:rsidRPr="00A461B6" w:rsidRDefault="00095F74" w:rsidP="00095F74">
      <w:pPr>
        <w:rPr>
          <w:color w:val="auto"/>
          <w:sz w:val="24"/>
          <w:szCs w:val="24"/>
        </w:rPr>
      </w:pPr>
      <w:r w:rsidRPr="00A461B6">
        <w:rPr>
          <w:color w:val="auto"/>
          <w:sz w:val="24"/>
          <w:szCs w:val="24"/>
        </w:rPr>
        <w:t xml:space="preserve">The PBS is a national, Government-funded scheme that subsidises the cost of a wide range of medicines for all Australians to help them afford effective treatments. The PBS lists all the medicinal products available under the </w:t>
      </w:r>
      <w:r w:rsidR="002E2DD9" w:rsidRPr="00A461B6">
        <w:rPr>
          <w:color w:val="auto"/>
          <w:sz w:val="24"/>
          <w:szCs w:val="24"/>
        </w:rPr>
        <w:t xml:space="preserve">scheme </w:t>
      </w:r>
      <w:r w:rsidRPr="00A461B6">
        <w:rPr>
          <w:color w:val="auto"/>
          <w:sz w:val="24"/>
          <w:szCs w:val="24"/>
        </w:rPr>
        <w:t xml:space="preserve">and explains the </w:t>
      </w:r>
      <w:r w:rsidR="00816BF5">
        <w:rPr>
          <w:color w:val="auto"/>
          <w:sz w:val="24"/>
          <w:szCs w:val="24"/>
        </w:rPr>
        <w:t>conditions</w:t>
      </w:r>
      <w:r w:rsidR="00816BF5" w:rsidRPr="00A461B6">
        <w:rPr>
          <w:color w:val="auto"/>
          <w:sz w:val="24"/>
          <w:szCs w:val="24"/>
        </w:rPr>
        <w:t xml:space="preserve"> </w:t>
      </w:r>
      <w:r w:rsidRPr="00A461B6">
        <w:rPr>
          <w:color w:val="auto"/>
          <w:sz w:val="24"/>
          <w:szCs w:val="24"/>
        </w:rPr>
        <w:t>for which they can be subsidised.</w:t>
      </w:r>
      <w:r w:rsidRPr="00A461B6">
        <w:rPr>
          <w:rStyle w:val="FootnoteReference"/>
          <w:color w:val="auto"/>
          <w:sz w:val="24"/>
          <w:szCs w:val="24"/>
        </w:rPr>
        <w:footnoteReference w:id="5"/>
      </w:r>
    </w:p>
    <w:p w14:paraId="158C38E3" w14:textId="774D62D3" w:rsidR="00095F74" w:rsidRPr="00A461B6" w:rsidRDefault="00095F74" w:rsidP="00095F74">
      <w:pPr>
        <w:rPr>
          <w:color w:val="auto"/>
          <w:sz w:val="24"/>
          <w:szCs w:val="24"/>
        </w:rPr>
      </w:pPr>
      <w:r w:rsidRPr="00A461B6">
        <w:rPr>
          <w:color w:val="auto"/>
          <w:sz w:val="24"/>
          <w:szCs w:val="24"/>
        </w:rPr>
        <w:t xml:space="preserve">The PBS is a key </w:t>
      </w:r>
      <w:r w:rsidR="0072458C" w:rsidRPr="00A461B6">
        <w:rPr>
          <w:color w:val="0D0D0D" w:themeColor="text1" w:themeTint="F2"/>
          <w:sz w:val="24"/>
          <w:szCs w:val="24"/>
        </w:rPr>
        <w:t>program supporting delivery of</w:t>
      </w:r>
      <w:r w:rsidRPr="00A461B6">
        <w:rPr>
          <w:color w:val="0D0D0D" w:themeColor="text1" w:themeTint="F2"/>
          <w:sz w:val="24"/>
          <w:szCs w:val="24"/>
        </w:rPr>
        <w:t xml:space="preserve"> the </w:t>
      </w:r>
      <w:r w:rsidRPr="00A461B6">
        <w:rPr>
          <w:color w:val="auto"/>
          <w:sz w:val="24"/>
          <w:szCs w:val="24"/>
        </w:rPr>
        <w:t xml:space="preserve">Government’s </w:t>
      </w:r>
      <w:hyperlink r:id="rId8" w:history="1">
        <w:r w:rsidRPr="00A461B6">
          <w:rPr>
            <w:rStyle w:val="Hyperlink"/>
            <w:sz w:val="24"/>
            <w:szCs w:val="24"/>
          </w:rPr>
          <w:t>National Medicines Policy</w:t>
        </w:r>
      </w:hyperlink>
      <w:r w:rsidRPr="00A461B6">
        <w:rPr>
          <w:sz w:val="24"/>
          <w:szCs w:val="24"/>
        </w:rPr>
        <w:t xml:space="preserve"> </w:t>
      </w:r>
      <w:r w:rsidRPr="00A461B6">
        <w:rPr>
          <w:color w:val="auto"/>
          <w:sz w:val="24"/>
          <w:szCs w:val="24"/>
        </w:rPr>
        <w:t>(NMP)</w:t>
      </w:r>
      <w:r w:rsidR="00FA03B2" w:rsidRPr="00A461B6">
        <w:rPr>
          <w:rStyle w:val="FootnoteReference"/>
          <w:color w:val="auto"/>
          <w:sz w:val="24"/>
          <w:szCs w:val="24"/>
        </w:rPr>
        <w:footnoteReference w:id="6"/>
      </w:r>
      <w:r w:rsidRPr="00A461B6">
        <w:rPr>
          <w:color w:val="auto"/>
          <w:sz w:val="24"/>
          <w:szCs w:val="24"/>
        </w:rPr>
        <w:t xml:space="preserve"> which </w:t>
      </w:r>
      <w:r w:rsidR="00FA03B2" w:rsidRPr="00A461B6">
        <w:rPr>
          <w:color w:val="auto"/>
          <w:sz w:val="24"/>
          <w:szCs w:val="24"/>
        </w:rPr>
        <w:t xml:space="preserve">aims to </w:t>
      </w:r>
      <w:r w:rsidR="009A06EB" w:rsidRPr="00A461B6">
        <w:rPr>
          <w:color w:val="auto"/>
          <w:sz w:val="24"/>
          <w:szCs w:val="24"/>
        </w:rPr>
        <w:t>“</w:t>
      </w:r>
      <w:r w:rsidR="002E2DD9" w:rsidRPr="00A461B6">
        <w:rPr>
          <w:color w:val="auto"/>
          <w:sz w:val="24"/>
          <w:szCs w:val="24"/>
        </w:rPr>
        <w:t xml:space="preserve">focus </w:t>
      </w:r>
      <w:r w:rsidR="00FA03B2" w:rsidRPr="00A461B6">
        <w:rPr>
          <w:color w:val="auto"/>
          <w:sz w:val="24"/>
          <w:szCs w:val="24"/>
        </w:rPr>
        <w:t xml:space="preserve">on </w:t>
      </w:r>
      <w:r w:rsidR="00FA03B2" w:rsidRPr="00A461B6" w:rsidDel="08A71801">
        <w:rPr>
          <w:color w:val="auto"/>
          <w:sz w:val="24"/>
          <w:szCs w:val="24"/>
        </w:rPr>
        <w:t xml:space="preserve">achieving </w:t>
      </w:r>
      <w:r w:rsidR="00FA03B2" w:rsidRPr="00A461B6">
        <w:rPr>
          <w:color w:val="auto"/>
          <w:sz w:val="24"/>
          <w:szCs w:val="24"/>
        </w:rPr>
        <w:t xml:space="preserve">positive health results that matter to people and their communities and make sure all Australians have timely, safe and reliable access to effective, high-quality medicines.” </w:t>
      </w:r>
      <w:r w:rsidRPr="00A461B6">
        <w:rPr>
          <w:color w:val="auto"/>
          <w:sz w:val="24"/>
          <w:szCs w:val="24"/>
        </w:rPr>
        <w:t xml:space="preserve">The PBS is available to all Australian residents who hold a current Medicare card. Overseas visitors from countries with which Australia has a Reciprocal Health Care Agreement are also eligible to access the Scheme. </w:t>
      </w:r>
    </w:p>
    <w:p w14:paraId="25E55E25" w14:textId="4A1BA0ED" w:rsidR="00095F74" w:rsidRPr="00A461B6" w:rsidRDefault="00095F74" w:rsidP="00095F74">
      <w:pPr>
        <w:rPr>
          <w:color w:val="auto"/>
          <w:sz w:val="24"/>
          <w:szCs w:val="24"/>
        </w:rPr>
      </w:pPr>
      <w:r w:rsidRPr="00A461B6">
        <w:rPr>
          <w:color w:val="auto"/>
          <w:sz w:val="24"/>
          <w:szCs w:val="24"/>
        </w:rPr>
        <w:t xml:space="preserve">The operation of the PBS is established by the </w:t>
      </w:r>
      <w:r w:rsidRPr="00A461B6">
        <w:rPr>
          <w:i/>
          <w:iCs/>
          <w:color w:val="auto"/>
          <w:sz w:val="24"/>
          <w:szCs w:val="24"/>
        </w:rPr>
        <w:t>National Health Act 1953</w:t>
      </w:r>
      <w:r w:rsidRPr="00A461B6">
        <w:rPr>
          <w:color w:val="auto"/>
          <w:sz w:val="24"/>
          <w:szCs w:val="24"/>
        </w:rPr>
        <w:t xml:space="preserve"> (the Act). This Act establishes the responsibility of the statutory independent expert advisory committee, the PBAC</w:t>
      </w:r>
      <w:r w:rsidR="0072458C" w:rsidRPr="00A461B6">
        <w:rPr>
          <w:color w:val="auto"/>
          <w:sz w:val="24"/>
          <w:szCs w:val="24"/>
        </w:rPr>
        <w:t>,</w:t>
      </w:r>
      <w:r w:rsidRPr="00A461B6">
        <w:rPr>
          <w:color w:val="auto"/>
          <w:sz w:val="24"/>
          <w:szCs w:val="24"/>
        </w:rPr>
        <w:t xml:space="preserve"> in its primary role of recommending, to the Minister for Health</w:t>
      </w:r>
      <w:r w:rsidR="002E2DD9" w:rsidRPr="00A461B6">
        <w:rPr>
          <w:color w:val="auto"/>
          <w:sz w:val="24"/>
          <w:szCs w:val="24"/>
        </w:rPr>
        <w:t xml:space="preserve"> and Aged Care</w:t>
      </w:r>
      <w:r w:rsidRPr="00A461B6">
        <w:rPr>
          <w:color w:val="auto"/>
          <w:sz w:val="24"/>
          <w:szCs w:val="24"/>
        </w:rPr>
        <w:t>, which medicines and medicinal preparations should be subsidised under the PBS and which vaccines are subsidised under the National Immunisation Program.</w:t>
      </w:r>
    </w:p>
    <w:p w14:paraId="5F9B3BE1" w14:textId="1AD14F05" w:rsidR="00095F74" w:rsidRPr="00A461B6" w:rsidRDefault="00095F74" w:rsidP="00095F74">
      <w:pPr>
        <w:rPr>
          <w:color w:val="0D0D0D" w:themeColor="text1" w:themeTint="F2"/>
          <w:sz w:val="24"/>
          <w:szCs w:val="24"/>
        </w:rPr>
      </w:pPr>
      <w:r w:rsidRPr="00A461B6">
        <w:rPr>
          <w:color w:val="auto"/>
          <w:sz w:val="24"/>
          <w:szCs w:val="24"/>
        </w:rPr>
        <w:t xml:space="preserve">Under the PBS, the Australian Government subsidises the cost of medicine for most medical conditions. Most PBS medicines are dispensed by community pharmacies and used by patients at </w:t>
      </w:r>
      <w:r w:rsidRPr="00A461B6">
        <w:rPr>
          <w:color w:val="0D0D0D" w:themeColor="text1" w:themeTint="F2"/>
          <w:sz w:val="24"/>
          <w:szCs w:val="24"/>
        </w:rPr>
        <w:t xml:space="preserve">home. These are known as ‘General Schedule’ or ‘section 85’ medicines because </w:t>
      </w:r>
      <w:hyperlink r:id="rId9" w:history="1">
        <w:r w:rsidR="0072458C" w:rsidRPr="00A461B6">
          <w:rPr>
            <w:rStyle w:val="Hyperlink"/>
            <w:b/>
            <w:color w:val="0D0D0D" w:themeColor="text1" w:themeTint="F2"/>
            <w:sz w:val="24"/>
          </w:rPr>
          <w:t>s</w:t>
        </w:r>
        <w:r w:rsidR="00664043" w:rsidRPr="00A461B6">
          <w:rPr>
            <w:rStyle w:val="Hyperlink"/>
            <w:b/>
            <w:color w:val="0D0D0D" w:themeColor="text1" w:themeTint="F2"/>
            <w:sz w:val="24"/>
          </w:rPr>
          <w:t>ection 85</w:t>
        </w:r>
      </w:hyperlink>
      <w:r w:rsidRPr="00A461B6">
        <w:rPr>
          <w:color w:val="0D0D0D" w:themeColor="text1" w:themeTint="F2"/>
          <w:sz w:val="24"/>
          <w:szCs w:val="24"/>
        </w:rPr>
        <w:t xml:space="preserve"> of the Act</w:t>
      </w:r>
      <w:r w:rsidR="00B73D45" w:rsidRPr="00A461B6">
        <w:rPr>
          <w:color w:val="0D0D0D" w:themeColor="text1" w:themeTint="F2"/>
          <w:sz w:val="24"/>
          <w:szCs w:val="24"/>
        </w:rPr>
        <w:t xml:space="preserve"> establishes the ability for the Minister for Health </w:t>
      </w:r>
      <w:r w:rsidR="00DD090A" w:rsidRPr="00A461B6">
        <w:rPr>
          <w:color w:val="0D0D0D" w:themeColor="text1" w:themeTint="F2"/>
          <w:sz w:val="24"/>
          <w:szCs w:val="24"/>
        </w:rPr>
        <w:t xml:space="preserve">and Aged Care </w:t>
      </w:r>
      <w:r w:rsidR="00B73D45" w:rsidRPr="00A461B6">
        <w:rPr>
          <w:color w:val="0D0D0D" w:themeColor="text1" w:themeTint="F2"/>
          <w:sz w:val="24"/>
          <w:szCs w:val="24"/>
        </w:rPr>
        <w:t xml:space="preserve">to list medicines on the PBS and for the Commonwealth </w:t>
      </w:r>
      <w:r w:rsidR="00BD4EE1" w:rsidRPr="00A461B6">
        <w:rPr>
          <w:color w:val="0D0D0D" w:themeColor="text1" w:themeTint="F2"/>
          <w:sz w:val="24"/>
          <w:szCs w:val="24"/>
        </w:rPr>
        <w:t>to supply the pharmaceutical benefit</w:t>
      </w:r>
      <w:r w:rsidRPr="00A461B6">
        <w:rPr>
          <w:color w:val="0D0D0D" w:themeColor="text1" w:themeTint="F2"/>
          <w:sz w:val="24"/>
          <w:szCs w:val="24"/>
        </w:rPr>
        <w:t xml:space="preserve">. </w:t>
      </w:r>
    </w:p>
    <w:p w14:paraId="00B83BC5" w14:textId="338BBFBD" w:rsidR="00095F74" w:rsidRPr="00A461B6" w:rsidRDefault="00095F74" w:rsidP="00095F74">
      <w:pPr>
        <w:rPr>
          <w:color w:val="0D0D0D" w:themeColor="text1" w:themeTint="F2"/>
          <w:sz w:val="24"/>
          <w:szCs w:val="24"/>
        </w:rPr>
      </w:pPr>
      <w:r w:rsidRPr="00A461B6">
        <w:rPr>
          <w:color w:val="0D0D0D" w:themeColor="text1" w:themeTint="F2"/>
          <w:sz w:val="24"/>
          <w:szCs w:val="24"/>
        </w:rPr>
        <w:t xml:space="preserve">In addition to the medicines and medicinal preparations available under normal PBS arrangements (section 85), a number of medicines are also available as pharmaceutical benefits but are distributed under alternative arrangements. Section 100 of the Act provides for alternative ways of providing a medicine when the usual supply through community pharmacies is unsuitable. There are several programs funded under this provision including the Highly Specialised Drugs Program; </w:t>
      </w:r>
      <w:r w:rsidR="002853F2" w:rsidRPr="00A461B6">
        <w:rPr>
          <w:color w:val="0D0D0D" w:themeColor="text1" w:themeTint="F2"/>
          <w:sz w:val="24"/>
          <w:szCs w:val="24"/>
        </w:rPr>
        <w:t>t</w:t>
      </w:r>
      <w:r w:rsidRPr="00A461B6">
        <w:rPr>
          <w:color w:val="0D0D0D" w:themeColor="text1" w:themeTint="F2"/>
          <w:sz w:val="24"/>
          <w:szCs w:val="24"/>
        </w:rPr>
        <w:t xml:space="preserve">he Botulinum Toxin Program; </w:t>
      </w:r>
      <w:r w:rsidR="002853F2" w:rsidRPr="00A461B6">
        <w:rPr>
          <w:color w:val="0D0D0D" w:themeColor="text1" w:themeTint="F2"/>
          <w:sz w:val="24"/>
          <w:szCs w:val="24"/>
        </w:rPr>
        <w:t>t</w:t>
      </w:r>
      <w:r w:rsidRPr="00A461B6">
        <w:rPr>
          <w:color w:val="0D0D0D" w:themeColor="text1" w:themeTint="F2"/>
          <w:sz w:val="24"/>
          <w:szCs w:val="24"/>
        </w:rPr>
        <w:t xml:space="preserve">he Human Growth Hormone Program; and </w:t>
      </w:r>
      <w:r w:rsidR="002853F2" w:rsidRPr="00A461B6">
        <w:rPr>
          <w:color w:val="0D0D0D" w:themeColor="text1" w:themeTint="F2"/>
          <w:sz w:val="24"/>
          <w:szCs w:val="24"/>
        </w:rPr>
        <w:t>t</w:t>
      </w:r>
      <w:r w:rsidRPr="00A461B6">
        <w:rPr>
          <w:color w:val="0D0D0D" w:themeColor="text1" w:themeTint="F2"/>
          <w:sz w:val="24"/>
          <w:szCs w:val="24"/>
        </w:rPr>
        <w:t>he IVF program.</w:t>
      </w:r>
    </w:p>
    <w:p w14:paraId="55FF6BF4" w14:textId="3C04A968" w:rsidR="00095F74" w:rsidRPr="00A461B6" w:rsidRDefault="00095F74" w:rsidP="00095F74">
      <w:pPr>
        <w:rPr>
          <w:color w:val="0D0D0D" w:themeColor="text1" w:themeTint="F2"/>
          <w:sz w:val="24"/>
          <w:szCs w:val="24"/>
        </w:rPr>
      </w:pPr>
      <w:r w:rsidRPr="00A461B6">
        <w:rPr>
          <w:color w:val="0D0D0D" w:themeColor="text1" w:themeTint="F2"/>
          <w:sz w:val="24"/>
          <w:szCs w:val="24"/>
        </w:rPr>
        <w:t xml:space="preserve">The Government pays pharmacists to procure, supply and dispense all PBS medicines to consumers throughout Australia. A dispensing fee paid to pharmacists is set by the Government and forms part of the total price paid for a PBS medicine. The dispensing fee is adjusted on the first of July each year. </w:t>
      </w:r>
    </w:p>
    <w:p w14:paraId="412D24C4" w14:textId="07CD6D47" w:rsidR="00095F74" w:rsidRPr="00A461B6" w:rsidRDefault="00095F74" w:rsidP="00095F74">
      <w:pPr>
        <w:rPr>
          <w:color w:val="0D0D0D" w:themeColor="text1" w:themeTint="F2"/>
          <w:sz w:val="24"/>
          <w:szCs w:val="24"/>
        </w:rPr>
      </w:pPr>
      <w:r w:rsidRPr="00A461B6">
        <w:rPr>
          <w:color w:val="0D0D0D" w:themeColor="text1" w:themeTint="F2"/>
          <w:sz w:val="24"/>
          <w:szCs w:val="24"/>
        </w:rPr>
        <w:t>The cost of a medicine is negotiated between the government and the supplier of the medicine. The agreed price becomes the basis of the dispensed price of the medicine. Pharmacists purchase PBS-listed</w:t>
      </w:r>
      <w:r w:rsidR="0072458C" w:rsidRPr="00A461B6">
        <w:rPr>
          <w:color w:val="0D0D0D" w:themeColor="text1" w:themeTint="F2"/>
          <w:sz w:val="24"/>
          <w:szCs w:val="24"/>
        </w:rPr>
        <w:t xml:space="preserve"> medicines</w:t>
      </w:r>
      <w:r w:rsidRPr="00A461B6">
        <w:rPr>
          <w:color w:val="0D0D0D" w:themeColor="text1" w:themeTint="F2"/>
          <w:sz w:val="24"/>
          <w:szCs w:val="24"/>
        </w:rPr>
        <w:t xml:space="preserve"> from the wholesaler or supplier. The price of the medicine to pharmacy includes the wholesaler’s mark-up. </w:t>
      </w:r>
      <w:r w:rsidR="00FA03B2" w:rsidRPr="00A461B6">
        <w:rPr>
          <w:color w:val="0D0D0D" w:themeColor="text1" w:themeTint="F2"/>
          <w:sz w:val="24"/>
          <w:szCs w:val="24"/>
        </w:rPr>
        <w:t>The Dispensed Price for Maximum Quantity (</w:t>
      </w:r>
      <w:r w:rsidR="00FA03B2" w:rsidRPr="00A461B6">
        <w:rPr>
          <w:bCs/>
          <w:color w:val="0D0D0D" w:themeColor="text1" w:themeTint="F2"/>
          <w:sz w:val="24"/>
          <w:szCs w:val="24"/>
        </w:rPr>
        <w:t>DPMQ</w:t>
      </w:r>
      <w:r w:rsidR="00FA03B2" w:rsidRPr="00A461B6">
        <w:rPr>
          <w:color w:val="0D0D0D" w:themeColor="text1" w:themeTint="F2"/>
          <w:sz w:val="24"/>
          <w:szCs w:val="24"/>
        </w:rPr>
        <w:t>) listed on the </w:t>
      </w:r>
      <w:r w:rsidR="00FA03B2" w:rsidRPr="00A461B6">
        <w:rPr>
          <w:bCs/>
          <w:color w:val="0D0D0D" w:themeColor="text1" w:themeTint="F2"/>
          <w:sz w:val="24"/>
          <w:szCs w:val="24"/>
        </w:rPr>
        <w:t>PBS</w:t>
      </w:r>
      <w:r w:rsidR="00FA03B2" w:rsidRPr="00A461B6">
        <w:rPr>
          <w:color w:val="0D0D0D" w:themeColor="text1" w:themeTint="F2"/>
          <w:sz w:val="24"/>
          <w:szCs w:val="24"/>
        </w:rPr>
        <w:t> website is the price for dispensing the maximum quantity of a product under a given prescribing rule. The </w:t>
      </w:r>
      <w:r w:rsidR="00FA03B2" w:rsidRPr="00A461B6">
        <w:rPr>
          <w:bCs/>
          <w:color w:val="0D0D0D" w:themeColor="text1" w:themeTint="F2"/>
          <w:sz w:val="24"/>
          <w:szCs w:val="24"/>
        </w:rPr>
        <w:t>DPMQ</w:t>
      </w:r>
      <w:r w:rsidR="00FA03B2" w:rsidRPr="00A461B6">
        <w:rPr>
          <w:color w:val="0D0D0D" w:themeColor="text1" w:themeTint="F2"/>
          <w:sz w:val="24"/>
          <w:szCs w:val="24"/>
        </w:rPr>
        <w:t xml:space="preserve"> incorporates the approved ex-manufacturer price (AEMP) and all relevant dispensing fees and mark-ups (wholesale and pharmacy). </w:t>
      </w:r>
      <w:r w:rsidRPr="00A461B6">
        <w:rPr>
          <w:color w:val="0D0D0D" w:themeColor="text1" w:themeTint="F2"/>
          <w:sz w:val="24"/>
          <w:szCs w:val="24"/>
        </w:rPr>
        <w:t>Pharmacists claim the difference between the dispensed price and the patient co</w:t>
      </w:r>
      <w:r w:rsidR="00595D3A" w:rsidRPr="00A461B6">
        <w:rPr>
          <w:color w:val="0D0D0D" w:themeColor="text1" w:themeTint="F2"/>
          <w:sz w:val="24"/>
          <w:szCs w:val="24"/>
        </w:rPr>
        <w:noBreakHyphen/>
      </w:r>
      <w:r w:rsidRPr="00A461B6">
        <w:rPr>
          <w:color w:val="0D0D0D" w:themeColor="text1" w:themeTint="F2"/>
          <w:sz w:val="24"/>
          <w:szCs w:val="24"/>
        </w:rPr>
        <w:t>payment contribution from Services Australia</w:t>
      </w:r>
      <w:r w:rsidR="00FA03B2" w:rsidRPr="00A461B6">
        <w:rPr>
          <w:color w:val="0D0D0D" w:themeColor="text1" w:themeTint="F2"/>
          <w:sz w:val="24"/>
          <w:szCs w:val="24"/>
        </w:rPr>
        <w:t>.</w:t>
      </w:r>
      <w:r w:rsidRPr="00A461B6">
        <w:rPr>
          <w:color w:val="0D0D0D" w:themeColor="text1" w:themeTint="F2"/>
          <w:sz w:val="24"/>
          <w:szCs w:val="24"/>
        </w:rPr>
        <w:t xml:space="preserve"> </w:t>
      </w:r>
    </w:p>
    <w:p w14:paraId="7BE849E4" w14:textId="061E8A96" w:rsidR="00095F74" w:rsidRPr="00A461B6" w:rsidRDefault="00095F74" w:rsidP="00095F74">
      <w:pPr>
        <w:rPr>
          <w:color w:val="0D0D0D" w:themeColor="text1" w:themeTint="F2"/>
          <w:sz w:val="24"/>
          <w:szCs w:val="24"/>
        </w:rPr>
      </w:pPr>
      <w:r w:rsidRPr="00A461B6">
        <w:rPr>
          <w:color w:val="0D0D0D" w:themeColor="text1" w:themeTint="F2"/>
          <w:sz w:val="24"/>
          <w:szCs w:val="24"/>
        </w:rPr>
        <w:t xml:space="preserve">The PBS Schedule lists all of the medicines available to be prescribed and dispensed to patients at a Government-subsidised price. The Schedule is part of the wider PBS managed by the Department of Health </w:t>
      </w:r>
      <w:r w:rsidR="00595D3A" w:rsidRPr="00A461B6">
        <w:rPr>
          <w:color w:val="0D0D0D" w:themeColor="text1" w:themeTint="F2"/>
          <w:sz w:val="24"/>
          <w:szCs w:val="24"/>
        </w:rPr>
        <w:t xml:space="preserve">and Aged Care </w:t>
      </w:r>
      <w:r w:rsidRPr="00A461B6">
        <w:rPr>
          <w:color w:val="0D0D0D" w:themeColor="text1" w:themeTint="F2"/>
          <w:sz w:val="24"/>
          <w:szCs w:val="24"/>
        </w:rPr>
        <w:t xml:space="preserve">and administered by Services Australia. This schedule is </w:t>
      </w:r>
      <w:r w:rsidR="00595D3A" w:rsidRPr="00A461B6">
        <w:rPr>
          <w:color w:val="0D0D0D" w:themeColor="text1" w:themeTint="F2"/>
          <w:sz w:val="24"/>
          <w:szCs w:val="24"/>
        </w:rPr>
        <w:t xml:space="preserve">published </w:t>
      </w:r>
      <w:r w:rsidRPr="00A461B6">
        <w:rPr>
          <w:color w:val="0D0D0D" w:themeColor="text1" w:themeTint="F2"/>
          <w:sz w:val="24"/>
          <w:szCs w:val="24"/>
        </w:rPr>
        <w:t>online and updated on a monthly basis. Th</w:t>
      </w:r>
      <w:r w:rsidR="00595D3A" w:rsidRPr="00A461B6">
        <w:rPr>
          <w:color w:val="0D0D0D" w:themeColor="text1" w:themeTint="F2"/>
          <w:sz w:val="24"/>
          <w:szCs w:val="24"/>
        </w:rPr>
        <w:t>e</w:t>
      </w:r>
      <w:r w:rsidRPr="00A461B6">
        <w:rPr>
          <w:color w:val="0D0D0D" w:themeColor="text1" w:themeTint="F2"/>
          <w:sz w:val="24"/>
          <w:szCs w:val="24"/>
        </w:rPr>
        <w:t xml:space="preserve"> online searchable version contains: </w:t>
      </w:r>
    </w:p>
    <w:p w14:paraId="1967B61A" w14:textId="77777777" w:rsidR="00095F74" w:rsidRPr="00A461B6" w:rsidRDefault="00095F74" w:rsidP="00B30EE8">
      <w:pPr>
        <w:pStyle w:val="ListParagraph"/>
        <w:numPr>
          <w:ilvl w:val="0"/>
          <w:numId w:val="22"/>
        </w:numPr>
        <w:spacing w:after="0" w:line="240" w:lineRule="auto"/>
        <w:rPr>
          <w:color w:val="0D0D0D" w:themeColor="text1" w:themeTint="F2"/>
          <w:sz w:val="24"/>
          <w:szCs w:val="24"/>
        </w:rPr>
      </w:pPr>
      <w:r w:rsidRPr="00A461B6">
        <w:rPr>
          <w:color w:val="0D0D0D" w:themeColor="text1" w:themeTint="F2"/>
          <w:sz w:val="24"/>
          <w:szCs w:val="24"/>
        </w:rPr>
        <w:t xml:space="preserve">all of the medicines listed on the PBS </w:t>
      </w:r>
    </w:p>
    <w:p w14:paraId="3AC1CA1A" w14:textId="77777777" w:rsidR="00095F74" w:rsidRPr="00A461B6" w:rsidRDefault="00095F74" w:rsidP="00B30EE8">
      <w:pPr>
        <w:pStyle w:val="ListParagraph"/>
        <w:numPr>
          <w:ilvl w:val="0"/>
          <w:numId w:val="22"/>
        </w:numPr>
        <w:spacing w:after="0" w:line="240" w:lineRule="auto"/>
        <w:rPr>
          <w:color w:val="0D0D0D" w:themeColor="text1" w:themeTint="F2"/>
          <w:sz w:val="24"/>
          <w:szCs w:val="24"/>
        </w:rPr>
      </w:pPr>
      <w:r w:rsidRPr="00A461B6">
        <w:rPr>
          <w:color w:val="0D0D0D" w:themeColor="text1" w:themeTint="F2"/>
          <w:sz w:val="24"/>
          <w:szCs w:val="24"/>
        </w:rPr>
        <w:t>the form, strength, quantity of medicines supplied and number of prescription repeats allowed</w:t>
      </w:r>
    </w:p>
    <w:p w14:paraId="37732C4D" w14:textId="77777777" w:rsidR="00095F74" w:rsidRPr="00A461B6" w:rsidRDefault="00095F74" w:rsidP="00B30EE8">
      <w:pPr>
        <w:pStyle w:val="ListParagraph"/>
        <w:numPr>
          <w:ilvl w:val="0"/>
          <w:numId w:val="22"/>
        </w:numPr>
        <w:spacing w:after="0" w:line="240" w:lineRule="auto"/>
        <w:rPr>
          <w:color w:val="0D0D0D" w:themeColor="text1" w:themeTint="F2"/>
          <w:sz w:val="24"/>
          <w:szCs w:val="24"/>
        </w:rPr>
      </w:pPr>
      <w:r w:rsidRPr="00A461B6">
        <w:rPr>
          <w:color w:val="0D0D0D" w:themeColor="text1" w:themeTint="F2"/>
          <w:sz w:val="24"/>
          <w:szCs w:val="24"/>
        </w:rPr>
        <w:t xml:space="preserve">information on the conditions of use for the prescribing of PBS medicines </w:t>
      </w:r>
    </w:p>
    <w:p w14:paraId="58774C2E" w14:textId="77777777" w:rsidR="00095F74" w:rsidRPr="00A461B6" w:rsidRDefault="00095F74" w:rsidP="00B30EE8">
      <w:pPr>
        <w:pStyle w:val="ListParagraph"/>
        <w:numPr>
          <w:ilvl w:val="0"/>
          <w:numId w:val="22"/>
        </w:numPr>
        <w:spacing w:after="0" w:line="240" w:lineRule="auto"/>
        <w:rPr>
          <w:color w:val="0D0D0D" w:themeColor="text1" w:themeTint="F2"/>
          <w:sz w:val="24"/>
          <w:szCs w:val="24"/>
        </w:rPr>
      </w:pPr>
      <w:r w:rsidRPr="00A461B6">
        <w:rPr>
          <w:color w:val="0D0D0D" w:themeColor="text1" w:themeTint="F2"/>
          <w:sz w:val="24"/>
          <w:szCs w:val="24"/>
        </w:rPr>
        <w:t xml:space="preserve">detailed consumer information for medicines that have been prescribed by their  doctor or dentist </w:t>
      </w:r>
    </w:p>
    <w:p w14:paraId="1D6AF7D6" w14:textId="5CB7548A" w:rsidR="00095F74" w:rsidRPr="00A461B6" w:rsidRDefault="00095F74" w:rsidP="00B30EE8">
      <w:pPr>
        <w:pStyle w:val="ListParagraph"/>
        <w:numPr>
          <w:ilvl w:val="0"/>
          <w:numId w:val="22"/>
        </w:numPr>
        <w:spacing w:after="0" w:line="240" w:lineRule="auto"/>
        <w:rPr>
          <w:color w:val="0D0D0D" w:themeColor="text1" w:themeTint="F2"/>
          <w:sz w:val="24"/>
          <w:szCs w:val="24"/>
        </w:rPr>
      </w:pPr>
      <w:r w:rsidRPr="00A461B6">
        <w:rPr>
          <w:color w:val="0D0D0D" w:themeColor="text1" w:themeTint="F2"/>
          <w:sz w:val="24"/>
          <w:szCs w:val="24"/>
        </w:rPr>
        <w:t>what consumers can expect to pay for medicines.</w:t>
      </w:r>
    </w:p>
    <w:p w14:paraId="2BB2859D" w14:textId="77777777" w:rsidR="00095F74" w:rsidRPr="00A461B6" w:rsidRDefault="00095F74" w:rsidP="0097798F">
      <w:pPr>
        <w:pStyle w:val="Heading3"/>
      </w:pPr>
      <w:bookmarkStart w:id="33" w:name="_Toc132192288"/>
      <w:bookmarkStart w:id="34" w:name="_Toc134603919"/>
      <w:r w:rsidRPr="00A461B6">
        <w:t>1.2</w:t>
      </w:r>
      <w:r w:rsidRPr="00A461B6">
        <w:tab/>
        <w:t>The role of the PBAC</w:t>
      </w:r>
      <w:bookmarkEnd w:id="33"/>
      <w:bookmarkEnd w:id="34"/>
    </w:p>
    <w:p w14:paraId="333A58F9" w14:textId="15D54BC5" w:rsidR="00095F74" w:rsidRPr="00A461B6" w:rsidRDefault="00095F74" w:rsidP="00095F74">
      <w:pPr>
        <w:rPr>
          <w:color w:val="0D0D0D" w:themeColor="text1" w:themeTint="F2"/>
          <w:sz w:val="24"/>
          <w:szCs w:val="24"/>
        </w:rPr>
      </w:pPr>
      <w:r w:rsidRPr="00A461B6">
        <w:rPr>
          <w:color w:val="0D0D0D" w:themeColor="text1" w:themeTint="F2"/>
          <w:sz w:val="24"/>
          <w:szCs w:val="24"/>
        </w:rPr>
        <w:t>The PBAC is an independent expert body appointed by the Australian Government. Members include doctors, health professionals, health economists and consumer representatives</w:t>
      </w:r>
      <w:r w:rsidR="00C51D1D" w:rsidRPr="00A461B6">
        <w:rPr>
          <w:color w:val="0D0D0D" w:themeColor="text1" w:themeTint="F2"/>
          <w:sz w:val="24"/>
          <w:szCs w:val="24"/>
        </w:rPr>
        <w:t>.</w:t>
      </w:r>
      <w:r w:rsidRPr="00A461B6">
        <w:rPr>
          <w:color w:val="0D0D0D" w:themeColor="text1" w:themeTint="F2"/>
          <w:sz w:val="24"/>
          <w:szCs w:val="24"/>
        </w:rPr>
        <w:t xml:space="preserve"> When recommending a medicine for listing, the PBAC takes into account the medical conditions for which the medicine was registered for use in Australia, its clinical effectiveness, safety and cost-effectiveness (‘value for money’) compared with other treatments. </w:t>
      </w:r>
    </w:p>
    <w:p w14:paraId="5EE4F6DA" w14:textId="484BF03C" w:rsidR="00095F74" w:rsidRPr="00A461B6" w:rsidRDefault="00095F74" w:rsidP="00095F74">
      <w:pPr>
        <w:rPr>
          <w:color w:val="0D0D0D" w:themeColor="text1" w:themeTint="F2"/>
          <w:sz w:val="24"/>
          <w:szCs w:val="24"/>
        </w:rPr>
      </w:pPr>
      <w:r w:rsidRPr="00A461B6">
        <w:rPr>
          <w:color w:val="0D0D0D" w:themeColor="text1" w:themeTint="F2"/>
          <w:sz w:val="24"/>
          <w:szCs w:val="24"/>
        </w:rPr>
        <w:t xml:space="preserve">A new medicine cannot be listed on the PBS unless the PBAC makes a positive recommendation for its listing. Under </w:t>
      </w:r>
      <w:hyperlink r:id="rId10" w:history="1">
        <w:r w:rsidRPr="00A461B6">
          <w:rPr>
            <w:rStyle w:val="Hyperlink"/>
            <w:b/>
            <w:color w:val="0D0D0D" w:themeColor="text1" w:themeTint="F2"/>
            <w:sz w:val="24"/>
          </w:rPr>
          <w:t>section 101</w:t>
        </w:r>
      </w:hyperlink>
      <w:r w:rsidRPr="00A461B6">
        <w:rPr>
          <w:color w:val="0D0D0D" w:themeColor="text1" w:themeTint="F2"/>
          <w:sz w:val="24"/>
          <w:szCs w:val="24"/>
        </w:rPr>
        <w:t xml:space="preserve"> the Act, the PBAC must take into account both the cost and clinical effectiveness of the medicine when compared with other treatments for the same condition. The PBAC recommends maximum quantities and repeats of a pharmaceutical benefit or pharmaceutical item. </w:t>
      </w:r>
    </w:p>
    <w:p w14:paraId="56A96909" w14:textId="244C1AAB" w:rsidR="00095F74" w:rsidRPr="00A461B6" w:rsidRDefault="00095F74" w:rsidP="00D2693C">
      <w:pPr>
        <w:rPr>
          <w:color w:val="0D0D0D" w:themeColor="text1" w:themeTint="F2"/>
        </w:rPr>
      </w:pPr>
      <w:r w:rsidRPr="00A461B6">
        <w:rPr>
          <w:color w:val="0D0D0D" w:themeColor="text1" w:themeTint="F2"/>
          <w:sz w:val="24"/>
          <w:szCs w:val="24"/>
        </w:rPr>
        <w:t>Under Part VII, Division 1, of the Act, the maximum quantity (MQ) is the ‘quantity or number of units of that pharmaceutical benefit or pharmaceutical item that is determined by the Minister, under paragraph 85A(2)(a), to be the maximum quantity, or the maximum number of units, of that pharmaceutical benefit or pharmaceutical item that may, in one prescription, be directed to be supplied on any one occasion.</w:t>
      </w:r>
      <w:r w:rsidRPr="00A461B6">
        <w:rPr>
          <w:rStyle w:val="FootnoteReference"/>
          <w:color w:val="0D0D0D" w:themeColor="text1" w:themeTint="F2"/>
          <w:sz w:val="24"/>
          <w:szCs w:val="24"/>
        </w:rPr>
        <w:footnoteReference w:id="7"/>
      </w:r>
    </w:p>
    <w:p w14:paraId="3C2F73D5" w14:textId="77777777" w:rsidR="00095F74" w:rsidRPr="00A461B6" w:rsidRDefault="00095F74" w:rsidP="0097798F">
      <w:pPr>
        <w:pStyle w:val="Heading3"/>
      </w:pPr>
      <w:bookmarkStart w:id="35" w:name="_Toc132192289"/>
      <w:bookmarkStart w:id="36" w:name="_Toc134603920"/>
      <w:r w:rsidRPr="00A461B6">
        <w:t>1.3</w:t>
      </w:r>
      <w:r w:rsidRPr="00A461B6">
        <w:tab/>
        <w:t>Which medicines does the government subsidise?</w:t>
      </w:r>
      <w:bookmarkEnd w:id="35"/>
      <w:bookmarkEnd w:id="36"/>
      <w:r w:rsidRPr="00A461B6">
        <w:t xml:space="preserve"> </w:t>
      </w:r>
    </w:p>
    <w:p w14:paraId="3F006374" w14:textId="01C44C53" w:rsidR="00A779C3" w:rsidRPr="00A461B6" w:rsidRDefault="00095F74" w:rsidP="00A779C3">
      <w:pPr>
        <w:spacing w:after="240"/>
        <w:rPr>
          <w:color w:val="auto"/>
          <w:sz w:val="24"/>
          <w:szCs w:val="24"/>
        </w:rPr>
      </w:pPr>
      <w:r w:rsidRPr="00A461B6">
        <w:rPr>
          <w:color w:val="auto"/>
          <w:sz w:val="24"/>
          <w:szCs w:val="24"/>
        </w:rPr>
        <w:t xml:space="preserve">The Government subsidises medicines that are necessary to maintain the health of the community in a way that is </w:t>
      </w:r>
      <w:r w:rsidR="00C02E4B" w:rsidRPr="00A461B6">
        <w:rPr>
          <w:color w:val="auto"/>
          <w:sz w:val="24"/>
          <w:szCs w:val="24"/>
        </w:rPr>
        <w:t>cost</w:t>
      </w:r>
      <w:r w:rsidR="00C02E4B">
        <w:rPr>
          <w:color w:val="auto"/>
          <w:sz w:val="24"/>
          <w:szCs w:val="24"/>
        </w:rPr>
        <w:t>-</w:t>
      </w:r>
      <w:r w:rsidRPr="00A461B6">
        <w:rPr>
          <w:color w:val="auto"/>
          <w:sz w:val="24"/>
          <w:szCs w:val="24"/>
        </w:rPr>
        <w:t>effective. This is achieved by carefully assessing the therapeutic benefits and costs of medicines, including comparisons with other treatments where appropriate. If a medicine is found to be acceptably cost-effective, then government negotiates its price with the supplier</w:t>
      </w:r>
      <w:r w:rsidR="00E50D6C" w:rsidRPr="00A461B6">
        <w:rPr>
          <w:color w:val="auto"/>
          <w:sz w:val="24"/>
          <w:szCs w:val="24"/>
        </w:rPr>
        <w:t>.</w:t>
      </w:r>
    </w:p>
    <w:p w14:paraId="352A0352" w14:textId="33CC7B03" w:rsidR="00A779C3" w:rsidRPr="00A461B6" w:rsidRDefault="00A779C3" w:rsidP="00A779C3">
      <w:pPr>
        <w:spacing w:after="240"/>
        <w:rPr>
          <w:color w:val="auto"/>
          <w:sz w:val="24"/>
          <w:szCs w:val="24"/>
        </w:rPr>
      </w:pPr>
      <w:r w:rsidRPr="00A461B6">
        <w:rPr>
          <w:color w:val="auto"/>
          <w:sz w:val="24"/>
          <w:szCs w:val="24"/>
        </w:rPr>
        <w:t>The PBAC</w:t>
      </w:r>
      <w:r w:rsidR="00256BC0" w:rsidRPr="00A461B6">
        <w:rPr>
          <w:rStyle w:val="FootnoteReference"/>
          <w:color w:val="auto"/>
          <w:sz w:val="24"/>
          <w:szCs w:val="24"/>
        </w:rPr>
        <w:footnoteReference w:id="8"/>
      </w:r>
      <w:r w:rsidRPr="00A461B6">
        <w:rPr>
          <w:color w:val="auto"/>
          <w:sz w:val="24"/>
          <w:szCs w:val="24"/>
          <w:vertAlign w:val="superscript"/>
        </w:rPr>
        <w:t xml:space="preserve"> </w:t>
      </w:r>
      <w:r w:rsidRPr="00A461B6">
        <w:rPr>
          <w:color w:val="auto"/>
          <w:sz w:val="24"/>
          <w:szCs w:val="24"/>
        </w:rPr>
        <w:t xml:space="preserve">has a broad statutory function under the </w:t>
      </w:r>
      <w:r w:rsidR="00C51D1D" w:rsidRPr="00A461B6">
        <w:rPr>
          <w:color w:val="auto"/>
          <w:sz w:val="24"/>
        </w:rPr>
        <w:t>Act</w:t>
      </w:r>
      <w:r w:rsidRPr="00A461B6">
        <w:rPr>
          <w:color w:val="auto"/>
          <w:sz w:val="24"/>
          <w:szCs w:val="24"/>
        </w:rPr>
        <w:t xml:space="preserve">, to advise the Minister for Health and Aged Care on any matters concerning the operation of the PBS, which includes making further recommendations regarding the safety, effectiveness, and cost-effectiveness of medicines after they have been listed. </w:t>
      </w:r>
    </w:p>
    <w:p w14:paraId="35B67268" w14:textId="4EF8236C" w:rsidR="00095F74" w:rsidRPr="00A461B6" w:rsidRDefault="00A779C3" w:rsidP="0086200B">
      <w:pPr>
        <w:spacing w:after="240"/>
        <w:rPr>
          <w:color w:val="0D0D0D" w:themeColor="text1" w:themeTint="F2"/>
          <w:sz w:val="24"/>
          <w:szCs w:val="24"/>
        </w:rPr>
      </w:pPr>
      <w:r w:rsidRPr="00A461B6">
        <w:rPr>
          <w:color w:val="auto"/>
          <w:sz w:val="24"/>
          <w:szCs w:val="24"/>
        </w:rPr>
        <w:t xml:space="preserve">The PBAC is responsible for evaluating the clinical and cost-effectiveness of medicines in order to make recommendations relating to listing on the </w:t>
      </w:r>
      <w:r w:rsidRPr="00A461B6">
        <w:rPr>
          <w:color w:val="0D0D0D" w:themeColor="text1" w:themeTint="F2"/>
          <w:sz w:val="24"/>
          <w:szCs w:val="24"/>
        </w:rPr>
        <w:t>PBS. Recommendations for new listings are informed by evidence of a medicine’s clinical effectiveness (how well it works), safety, and cost-effectiveness (‘value for money’) compared with other treatments</w:t>
      </w:r>
      <w:r w:rsidR="0072458C" w:rsidRPr="00A461B6">
        <w:rPr>
          <w:color w:val="0D0D0D" w:themeColor="text1" w:themeTint="F2"/>
          <w:sz w:val="24"/>
          <w:szCs w:val="24"/>
        </w:rPr>
        <w:t xml:space="preserve"> for a particular group of patients with a health condition, including but not limited to other medicines to treat those patients for that condition.</w:t>
      </w:r>
    </w:p>
    <w:p w14:paraId="1565C817" w14:textId="314FB9B1" w:rsidR="00095F74" w:rsidRPr="00A461B6" w:rsidRDefault="00095F74" w:rsidP="00095F74">
      <w:pPr>
        <w:rPr>
          <w:color w:val="0D0D0D" w:themeColor="text1" w:themeTint="F2"/>
        </w:rPr>
      </w:pPr>
      <w:r w:rsidRPr="00A461B6">
        <w:rPr>
          <w:color w:val="0D0D0D" w:themeColor="text1" w:themeTint="F2"/>
          <w:sz w:val="24"/>
          <w:szCs w:val="24"/>
        </w:rPr>
        <w:t>The PBS covers life-saving and life-changing medicines across a broad range of conditions, from asthma and arthritis to diabetes and cancer. The P</w:t>
      </w:r>
      <w:r w:rsidR="006B7799" w:rsidRPr="00A461B6">
        <w:rPr>
          <w:color w:val="0D0D0D" w:themeColor="text1" w:themeTint="F2"/>
          <w:sz w:val="24"/>
          <w:szCs w:val="24"/>
        </w:rPr>
        <w:t>BAC takes into account if the</w:t>
      </w:r>
      <w:r w:rsidRPr="00A461B6">
        <w:rPr>
          <w:color w:val="0D0D0D" w:themeColor="text1" w:themeTint="F2"/>
          <w:sz w:val="24"/>
          <w:szCs w:val="24"/>
        </w:rPr>
        <w:t xml:space="preserve"> medicine will </w:t>
      </w:r>
      <w:r w:rsidR="0072458C" w:rsidRPr="00A461B6">
        <w:rPr>
          <w:color w:val="0D0D0D" w:themeColor="text1" w:themeTint="F2"/>
          <w:sz w:val="24"/>
          <w:szCs w:val="24"/>
        </w:rPr>
        <w:t>a</w:t>
      </w:r>
      <w:r w:rsidRPr="00A461B6">
        <w:rPr>
          <w:color w:val="0D0D0D" w:themeColor="text1" w:themeTint="F2"/>
          <w:sz w:val="24"/>
          <w:szCs w:val="24"/>
        </w:rPr>
        <w:t xml:space="preserve">ffect the use of other healthcare and related resources (e.g. reduced GP visits, shorter or no hospitalisation, </w:t>
      </w:r>
      <w:r w:rsidR="00C02E4B">
        <w:rPr>
          <w:color w:val="0D0D0D" w:themeColor="text1" w:themeTint="F2"/>
          <w:sz w:val="24"/>
          <w:szCs w:val="24"/>
        </w:rPr>
        <w:t>improved</w:t>
      </w:r>
      <w:r w:rsidR="00C02E4B" w:rsidRPr="00A461B6">
        <w:rPr>
          <w:color w:val="0D0D0D" w:themeColor="text1" w:themeTint="F2"/>
          <w:sz w:val="24"/>
          <w:szCs w:val="24"/>
        </w:rPr>
        <w:t xml:space="preserve"> </w:t>
      </w:r>
      <w:r w:rsidRPr="00A461B6">
        <w:rPr>
          <w:color w:val="0D0D0D" w:themeColor="text1" w:themeTint="F2"/>
          <w:sz w:val="24"/>
          <w:szCs w:val="24"/>
        </w:rPr>
        <w:t xml:space="preserve">quality of life etc.). A </w:t>
      </w:r>
      <w:r w:rsidR="00C02E4B" w:rsidRPr="00A461B6">
        <w:rPr>
          <w:color w:val="0D0D0D" w:themeColor="text1" w:themeTint="F2"/>
          <w:sz w:val="24"/>
          <w:szCs w:val="24"/>
        </w:rPr>
        <w:t>cost</w:t>
      </w:r>
      <w:r w:rsidR="00C02E4B">
        <w:rPr>
          <w:color w:val="0D0D0D" w:themeColor="text1" w:themeTint="F2"/>
          <w:sz w:val="24"/>
          <w:szCs w:val="24"/>
        </w:rPr>
        <w:t>-</w:t>
      </w:r>
      <w:r w:rsidR="0072458C" w:rsidRPr="00A461B6">
        <w:rPr>
          <w:color w:val="0D0D0D" w:themeColor="text1" w:themeTint="F2"/>
          <w:sz w:val="24"/>
          <w:szCs w:val="24"/>
        </w:rPr>
        <w:t xml:space="preserve">effective </w:t>
      </w:r>
      <w:r w:rsidRPr="00A461B6">
        <w:rPr>
          <w:color w:val="0D0D0D" w:themeColor="text1" w:themeTint="F2"/>
          <w:sz w:val="24"/>
          <w:szCs w:val="24"/>
        </w:rPr>
        <w:t xml:space="preserve">and clinically-effective PBS medicine </w:t>
      </w:r>
      <w:r w:rsidR="006B7799" w:rsidRPr="00A461B6">
        <w:rPr>
          <w:color w:val="0D0D0D" w:themeColor="text1" w:themeTint="F2"/>
          <w:sz w:val="24"/>
          <w:szCs w:val="24"/>
        </w:rPr>
        <w:t>may</w:t>
      </w:r>
      <w:r w:rsidRPr="00A461B6">
        <w:rPr>
          <w:color w:val="0D0D0D" w:themeColor="text1" w:themeTint="F2"/>
          <w:sz w:val="24"/>
          <w:szCs w:val="24"/>
        </w:rPr>
        <w:t xml:space="preserve"> </w:t>
      </w:r>
      <w:r w:rsidRPr="00A461B6">
        <w:rPr>
          <w:iCs/>
          <w:color w:val="0D0D0D" w:themeColor="text1" w:themeTint="F2"/>
          <w:sz w:val="24"/>
          <w:szCs w:val="24"/>
        </w:rPr>
        <w:t>reduce</w:t>
      </w:r>
      <w:r w:rsidRPr="00A461B6">
        <w:rPr>
          <w:color w:val="0D0D0D" w:themeColor="text1" w:themeTint="F2"/>
          <w:sz w:val="24"/>
          <w:szCs w:val="24"/>
        </w:rPr>
        <w:t xml:space="preserve"> expenditure in other areas of the healthcare system</w:t>
      </w:r>
      <w:r w:rsidR="00A14C91" w:rsidRPr="00A461B6">
        <w:rPr>
          <w:color w:val="0D0D0D" w:themeColor="text1" w:themeTint="F2"/>
          <w:sz w:val="24"/>
          <w:szCs w:val="24"/>
        </w:rPr>
        <w:t>.</w:t>
      </w:r>
    </w:p>
    <w:p w14:paraId="7CB9CA4E" w14:textId="77777777" w:rsidR="00095F74" w:rsidRPr="00A461B6" w:rsidRDefault="00095F74" w:rsidP="0097798F">
      <w:pPr>
        <w:pStyle w:val="Heading3"/>
      </w:pPr>
      <w:bookmarkStart w:id="37" w:name="_Toc132192290"/>
      <w:bookmarkStart w:id="38" w:name="_Toc134603921"/>
      <w:r w:rsidRPr="00A461B6">
        <w:t>1.4</w:t>
      </w:r>
      <w:r w:rsidRPr="00A461B6">
        <w:tab/>
        <w:t>What are the current patient fees and charges?</w:t>
      </w:r>
      <w:bookmarkEnd w:id="37"/>
      <w:bookmarkEnd w:id="38"/>
    </w:p>
    <w:p w14:paraId="6CAAF953" w14:textId="29136845" w:rsidR="00095F74" w:rsidRPr="00A461B6" w:rsidRDefault="00095F74" w:rsidP="00095F74">
      <w:pPr>
        <w:rPr>
          <w:sz w:val="24"/>
          <w:szCs w:val="24"/>
        </w:rPr>
      </w:pPr>
      <w:r w:rsidRPr="00A461B6">
        <w:rPr>
          <w:color w:val="auto"/>
          <w:sz w:val="24"/>
          <w:szCs w:val="24"/>
        </w:rPr>
        <w:t xml:space="preserve">To help meet the cost of the scheme, patients pay a ‘co-payment’ for PBS medicines and the Government pays the remainder of </w:t>
      </w:r>
      <w:r w:rsidRPr="00A461B6">
        <w:rPr>
          <w:color w:val="0D0D0D" w:themeColor="text1" w:themeTint="F2"/>
          <w:sz w:val="24"/>
          <w:szCs w:val="24"/>
        </w:rPr>
        <w:t xml:space="preserve">the </w:t>
      </w:r>
      <w:r w:rsidR="0072458C" w:rsidRPr="00A461B6">
        <w:rPr>
          <w:color w:val="0D0D0D" w:themeColor="text1" w:themeTint="F2"/>
          <w:sz w:val="24"/>
          <w:szCs w:val="24"/>
        </w:rPr>
        <w:t xml:space="preserve">listed </w:t>
      </w:r>
      <w:r w:rsidRPr="00A461B6">
        <w:rPr>
          <w:color w:val="0D0D0D" w:themeColor="text1" w:themeTint="F2"/>
          <w:sz w:val="24"/>
          <w:szCs w:val="24"/>
        </w:rPr>
        <w:t>cost. Many PBS medicines cost significantly more than the co-payment amount. From 1 January 202</w:t>
      </w:r>
      <w:r w:rsidR="0094072A" w:rsidRPr="00A461B6">
        <w:rPr>
          <w:color w:val="0D0D0D" w:themeColor="text1" w:themeTint="F2"/>
          <w:sz w:val="24"/>
          <w:szCs w:val="24"/>
        </w:rPr>
        <w:t>3</w:t>
      </w:r>
      <w:r w:rsidRPr="00A461B6">
        <w:rPr>
          <w:color w:val="0D0D0D" w:themeColor="text1" w:themeTint="F2"/>
          <w:sz w:val="24"/>
          <w:szCs w:val="24"/>
        </w:rPr>
        <w:t xml:space="preserve">, </w:t>
      </w:r>
      <w:r w:rsidR="00CA44FC" w:rsidRPr="00A461B6">
        <w:rPr>
          <w:color w:val="0D0D0D" w:themeColor="text1" w:themeTint="F2"/>
          <w:sz w:val="24"/>
          <w:szCs w:val="24"/>
        </w:rPr>
        <w:t xml:space="preserve">the </w:t>
      </w:r>
      <w:r w:rsidRPr="00A461B6">
        <w:rPr>
          <w:color w:val="auto"/>
          <w:sz w:val="24"/>
          <w:szCs w:val="24"/>
        </w:rPr>
        <w:t>general beneficiary patient</w:t>
      </w:r>
      <w:r w:rsidR="00CA44FC" w:rsidRPr="00A461B6">
        <w:rPr>
          <w:color w:val="auto"/>
          <w:sz w:val="24"/>
          <w:szCs w:val="24"/>
        </w:rPr>
        <w:t xml:space="preserve"> co-payment was reduced from $42.50 to $30.00. Also from 1 January 2023, medicines for general patients with a dispensed price between $30.00 and $45.60 may be discounted to any price (including a price below $30.00). Patient</w:t>
      </w:r>
      <w:r w:rsidRPr="00A461B6">
        <w:rPr>
          <w:color w:val="auto"/>
          <w:sz w:val="24"/>
          <w:szCs w:val="24"/>
        </w:rPr>
        <w:t>s may pay up to $</w:t>
      </w:r>
      <w:r w:rsidR="0094072A" w:rsidRPr="00A461B6">
        <w:rPr>
          <w:color w:val="auto"/>
          <w:sz w:val="24"/>
          <w:szCs w:val="24"/>
        </w:rPr>
        <w:t>30</w:t>
      </w:r>
      <w:r w:rsidRPr="00A461B6">
        <w:rPr>
          <w:color w:val="auto"/>
          <w:sz w:val="24"/>
          <w:szCs w:val="24"/>
        </w:rPr>
        <w:t>.00 for most PBS medicines or $</w:t>
      </w:r>
      <w:r w:rsidR="0094072A" w:rsidRPr="00A461B6">
        <w:rPr>
          <w:color w:val="auto"/>
          <w:sz w:val="24"/>
          <w:szCs w:val="24"/>
        </w:rPr>
        <w:t>7</w:t>
      </w:r>
      <w:r w:rsidRPr="00A461B6">
        <w:rPr>
          <w:color w:val="auto"/>
          <w:sz w:val="24"/>
          <w:szCs w:val="24"/>
        </w:rPr>
        <w:t>.</w:t>
      </w:r>
      <w:r w:rsidR="0094072A" w:rsidRPr="00A461B6">
        <w:rPr>
          <w:color w:val="auto"/>
          <w:sz w:val="24"/>
          <w:szCs w:val="24"/>
        </w:rPr>
        <w:t>30</w:t>
      </w:r>
      <w:r w:rsidRPr="00A461B6">
        <w:rPr>
          <w:color w:val="auto"/>
          <w:sz w:val="24"/>
          <w:szCs w:val="24"/>
        </w:rPr>
        <w:t xml:space="preserve"> if they are a concession card holder. Co-payment amounts are adjusted in line with indexation on 1 January each year. </w:t>
      </w:r>
    </w:p>
    <w:p w14:paraId="09B7CC17" w14:textId="59E66071" w:rsidR="00095F74" w:rsidRPr="00A461B6" w:rsidRDefault="00095F74" w:rsidP="00095F74">
      <w:r w:rsidRPr="00A461B6">
        <w:rPr>
          <w:color w:val="auto"/>
          <w:sz w:val="24"/>
          <w:szCs w:val="24"/>
        </w:rPr>
        <w:t xml:space="preserve">Since 1 January 2016, pharmacists may choose to discount the PBS patient co-payment by up to $1.00. This is not mandatory and it is the pharmacist’s choice whether or not to provide a discount. </w:t>
      </w:r>
    </w:p>
    <w:p w14:paraId="6B1D40A1" w14:textId="77777777" w:rsidR="00095F74" w:rsidRPr="00A461B6" w:rsidRDefault="00095F74" w:rsidP="0097798F">
      <w:pPr>
        <w:pStyle w:val="Heading3"/>
      </w:pPr>
      <w:bookmarkStart w:id="39" w:name="_Toc132192291"/>
      <w:bookmarkStart w:id="40" w:name="_Toc134603922"/>
      <w:r w:rsidRPr="00A461B6">
        <w:t>1.5</w:t>
      </w:r>
      <w:r w:rsidRPr="00A461B6">
        <w:tab/>
        <w:t>The PBS Safety Net supports patients with high medicine costs</w:t>
      </w:r>
      <w:bookmarkEnd w:id="39"/>
      <w:bookmarkEnd w:id="40"/>
    </w:p>
    <w:p w14:paraId="6BEBE002" w14:textId="02B89B80" w:rsidR="00095F74" w:rsidRPr="00A461B6" w:rsidRDefault="00095F74" w:rsidP="00095F74">
      <w:pPr>
        <w:rPr>
          <w:color w:val="auto"/>
          <w:sz w:val="24"/>
          <w:szCs w:val="24"/>
        </w:rPr>
      </w:pPr>
      <w:r w:rsidRPr="00A461B6">
        <w:rPr>
          <w:color w:val="auto"/>
          <w:sz w:val="24"/>
          <w:szCs w:val="24"/>
        </w:rPr>
        <w:t xml:space="preserve">The PBS Safety </w:t>
      </w:r>
      <w:r w:rsidRPr="00A461B6">
        <w:rPr>
          <w:color w:val="0D0D0D" w:themeColor="text1" w:themeTint="F2"/>
          <w:sz w:val="24"/>
          <w:szCs w:val="24"/>
        </w:rPr>
        <w:t>Net protects patients and their families requiring a large number of PBS or Repatriation</w:t>
      </w:r>
      <w:r w:rsidR="00281DE6" w:rsidRPr="00A461B6">
        <w:rPr>
          <w:color w:val="0D0D0D" w:themeColor="text1" w:themeTint="F2"/>
          <w:sz w:val="24"/>
          <w:szCs w:val="24"/>
        </w:rPr>
        <w:t xml:space="preserve"> PBS</w:t>
      </w:r>
      <w:r w:rsidRPr="00A461B6">
        <w:rPr>
          <w:color w:val="0D0D0D" w:themeColor="text1" w:themeTint="F2"/>
          <w:sz w:val="24"/>
          <w:szCs w:val="24"/>
        </w:rPr>
        <w:t xml:space="preserve"> (RPBS) medicines. The Safety Net threshold is reached by accumulating eligible patient contributions for PBS </w:t>
      </w:r>
      <w:r w:rsidR="00281DE6" w:rsidRPr="00A461B6">
        <w:rPr>
          <w:color w:val="0D0D0D" w:themeColor="text1" w:themeTint="F2"/>
          <w:sz w:val="24"/>
          <w:szCs w:val="24"/>
        </w:rPr>
        <w:t xml:space="preserve">or RPBS </w:t>
      </w:r>
      <w:r w:rsidRPr="00A461B6">
        <w:rPr>
          <w:color w:val="0D0D0D" w:themeColor="text1" w:themeTint="F2"/>
          <w:sz w:val="24"/>
          <w:szCs w:val="24"/>
        </w:rPr>
        <w:t xml:space="preserve">prescriptions </w:t>
      </w:r>
      <w:r w:rsidRPr="00A461B6">
        <w:rPr>
          <w:color w:val="auto"/>
          <w:sz w:val="24"/>
          <w:szCs w:val="24"/>
        </w:rPr>
        <w:t>supplied through community pharmacies and private hospitals and for out-patient medication</w:t>
      </w:r>
      <w:r w:rsidR="0097798F" w:rsidRPr="00A461B6">
        <w:rPr>
          <w:color w:val="auto"/>
          <w:sz w:val="24"/>
          <w:szCs w:val="24"/>
        </w:rPr>
        <w:t xml:space="preserve"> supplied by public hospitals. </w:t>
      </w:r>
    </w:p>
    <w:p w14:paraId="68531E9E" w14:textId="309E3704" w:rsidR="00095F74" w:rsidRPr="00A461B6" w:rsidRDefault="00095F74" w:rsidP="00095F74">
      <w:pPr>
        <w:rPr>
          <w:sz w:val="24"/>
          <w:szCs w:val="24"/>
        </w:rPr>
      </w:pPr>
      <w:r w:rsidRPr="00A461B6">
        <w:rPr>
          <w:color w:val="auto"/>
          <w:sz w:val="24"/>
          <w:szCs w:val="24"/>
        </w:rPr>
        <w:t xml:space="preserve">The scheme requires pharmacists, on request by patients, to record the supply of PBS and RPBS items on prescription record forms. When a patient </w:t>
      </w:r>
      <w:r w:rsidR="00774D6E" w:rsidRPr="00A461B6">
        <w:rPr>
          <w:color w:val="auto"/>
          <w:sz w:val="24"/>
          <w:szCs w:val="24"/>
        </w:rPr>
        <w:t xml:space="preserve">and their family </w:t>
      </w:r>
      <w:r w:rsidRPr="00A461B6">
        <w:rPr>
          <w:color w:val="auto"/>
          <w:sz w:val="24"/>
          <w:szCs w:val="24"/>
        </w:rPr>
        <w:t xml:space="preserve">reaches the Safety Net threshold within a calendar year, they qualify to receive PBS or RPBS items at a cheaper price or free of charge for the remainder of that calendar year. Any applicable special patient contributions, brand premiums or therapeutic group premiums must still be met by the patient. </w:t>
      </w:r>
    </w:p>
    <w:p w14:paraId="57CA84D7" w14:textId="3E1A4981" w:rsidR="00095F74" w:rsidRPr="00A461B6" w:rsidRDefault="0094072A" w:rsidP="00095F74">
      <w:pPr>
        <w:rPr>
          <w:color w:val="auto"/>
          <w:sz w:val="24"/>
          <w:szCs w:val="24"/>
        </w:rPr>
      </w:pPr>
      <w:r w:rsidRPr="00A461B6">
        <w:rPr>
          <w:color w:val="auto"/>
          <w:sz w:val="24"/>
          <w:szCs w:val="24"/>
        </w:rPr>
        <w:t xml:space="preserve">As at </w:t>
      </w:r>
      <w:r w:rsidR="00095F74" w:rsidRPr="00A461B6">
        <w:rPr>
          <w:color w:val="auto"/>
          <w:sz w:val="24"/>
          <w:szCs w:val="24"/>
        </w:rPr>
        <w:t>1 January 202</w:t>
      </w:r>
      <w:r w:rsidRPr="00A461B6">
        <w:rPr>
          <w:color w:val="auto"/>
          <w:sz w:val="24"/>
          <w:szCs w:val="24"/>
        </w:rPr>
        <w:t>3</w:t>
      </w:r>
      <w:r w:rsidR="00095F74" w:rsidRPr="00A461B6">
        <w:rPr>
          <w:color w:val="auto"/>
          <w:sz w:val="24"/>
          <w:szCs w:val="24"/>
        </w:rPr>
        <w:t xml:space="preserve">, the Safety Net thresholds were </w:t>
      </w:r>
      <w:r w:rsidRPr="00A461B6">
        <w:rPr>
          <w:color w:val="auto"/>
          <w:sz w:val="24"/>
          <w:szCs w:val="24"/>
        </w:rPr>
        <w:t>$262.80</w:t>
      </w:r>
      <w:r w:rsidR="00095F74" w:rsidRPr="00A461B6">
        <w:rPr>
          <w:color w:val="auto"/>
          <w:sz w:val="24"/>
          <w:szCs w:val="24"/>
        </w:rPr>
        <w:t xml:space="preserve"> (for concession card holders) and $</w:t>
      </w:r>
      <w:r w:rsidRPr="00A461B6">
        <w:rPr>
          <w:color w:val="auto"/>
          <w:sz w:val="24"/>
          <w:szCs w:val="24"/>
        </w:rPr>
        <w:t>1,563.50</w:t>
      </w:r>
      <w:r w:rsidR="00095F74" w:rsidRPr="00A461B6">
        <w:rPr>
          <w:color w:val="auto"/>
          <w:sz w:val="24"/>
          <w:szCs w:val="24"/>
        </w:rPr>
        <w:t xml:space="preserve"> (for all general beneficiary patients). After reaching the Safety Net threshold, general patients pay for subsequent PBS prescriptions at the concessional co-payment rate and concession card holders are not charged the PBS co-payment for medicines dispensed over the remainder of that calendar year. </w:t>
      </w:r>
    </w:p>
    <w:p w14:paraId="38CF59B5" w14:textId="4F5FCE5B" w:rsidR="00095F74" w:rsidRPr="00A461B6" w:rsidRDefault="00095F74" w:rsidP="0097798F">
      <w:pPr>
        <w:pStyle w:val="Heading3"/>
      </w:pPr>
      <w:bookmarkStart w:id="41" w:name="_Toc132192292"/>
      <w:bookmarkStart w:id="42" w:name="_Toc134603923"/>
      <w:r w:rsidRPr="00A461B6">
        <w:t>1.</w:t>
      </w:r>
      <w:r w:rsidR="00612E57" w:rsidRPr="00A461B6">
        <w:t>6</w:t>
      </w:r>
      <w:r w:rsidRPr="00A461B6">
        <w:tab/>
        <w:t>S</w:t>
      </w:r>
      <w:r w:rsidR="00FC1C70" w:rsidRPr="00A461B6">
        <w:t>eventh</w:t>
      </w:r>
      <w:r w:rsidRPr="00A461B6">
        <w:t xml:space="preserve"> Community Pharmacy Agreement (</w:t>
      </w:r>
      <w:r w:rsidR="00FC1C70" w:rsidRPr="00A461B6">
        <w:t>7</w:t>
      </w:r>
      <w:r w:rsidRPr="00A461B6">
        <w:t>CPA)</w:t>
      </w:r>
      <w:r w:rsidR="00CD3F4A" w:rsidRPr="00A461B6">
        <w:rPr>
          <w:rStyle w:val="FootnoteReference"/>
          <w:b/>
        </w:rPr>
        <w:footnoteReference w:id="9"/>
      </w:r>
      <w:bookmarkEnd w:id="41"/>
      <w:bookmarkEnd w:id="42"/>
    </w:p>
    <w:p w14:paraId="603332DD" w14:textId="77777777" w:rsidR="00CD3F4A" w:rsidRPr="00A461B6" w:rsidRDefault="00CD3F4A" w:rsidP="00CD3F4A">
      <w:pPr>
        <w:pStyle w:val="NormalWeb"/>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 xml:space="preserve">The Seventh Community Pharmacy Agreement (7CPA) is an agreement between the Commonwealth of Australia, the Pharmacy Guild of Australia and the Pharmaceutical Society of Australia. It supports consumer access to PBS subsidised medicines through community pharmacies across Australia. </w:t>
      </w:r>
    </w:p>
    <w:p w14:paraId="7CD49C6C" w14:textId="77777777" w:rsidR="00CD3F4A" w:rsidRPr="00A461B6" w:rsidRDefault="00CD3F4A" w:rsidP="00CD3F4A">
      <w:pPr>
        <w:pStyle w:val="NormalWeb"/>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 xml:space="preserve">The 7CPA has an overall funding envelope of $18.35 billion, comprising: </w:t>
      </w:r>
    </w:p>
    <w:p w14:paraId="577A73A4" w14:textId="7AC7D670" w:rsidR="00F62767" w:rsidRPr="00A461B6" w:rsidRDefault="00CD3F4A" w:rsidP="00501CE8">
      <w:pPr>
        <w:pStyle w:val="NormalWeb"/>
        <w:numPr>
          <w:ilvl w:val="0"/>
          <w:numId w:val="19"/>
        </w:numPr>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 xml:space="preserve">$16.00 billion in </w:t>
      </w:r>
      <w:r w:rsidR="00281DE6" w:rsidRPr="00A461B6">
        <w:rPr>
          <w:rFonts w:asciiTheme="minorHAnsi" w:hAnsiTheme="minorHAnsi" w:cstheme="minorHAnsi"/>
          <w:color w:val="0D0D0D" w:themeColor="text1" w:themeTint="F2"/>
        </w:rPr>
        <w:t xml:space="preserve">estimated </w:t>
      </w:r>
      <w:r w:rsidRPr="00A461B6">
        <w:rPr>
          <w:rFonts w:asciiTheme="minorHAnsi" w:hAnsiTheme="minorHAnsi" w:cstheme="minorHAnsi"/>
          <w:color w:val="0D0D0D" w:themeColor="text1" w:themeTint="F2"/>
        </w:rPr>
        <w:t xml:space="preserve">pharmacy remuneration for dispensing PBS subsidised medicines </w:t>
      </w:r>
    </w:p>
    <w:p w14:paraId="71D77C41" w14:textId="640654B6" w:rsidR="00F62767" w:rsidRPr="00A461B6" w:rsidRDefault="00CD3F4A" w:rsidP="00501CE8">
      <w:pPr>
        <w:pStyle w:val="NormalWeb"/>
        <w:numPr>
          <w:ilvl w:val="0"/>
          <w:numId w:val="19"/>
        </w:numPr>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 xml:space="preserve">$1.20 billion for professional pharmacy programs </w:t>
      </w:r>
    </w:p>
    <w:p w14:paraId="0DD9FD8E" w14:textId="77777777" w:rsidR="00C51D1D" w:rsidRPr="00A461B6" w:rsidRDefault="00CD3F4A" w:rsidP="00C51D1D">
      <w:pPr>
        <w:pStyle w:val="NormalWeb"/>
        <w:numPr>
          <w:ilvl w:val="0"/>
          <w:numId w:val="19"/>
        </w:numPr>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$1.15 billion for the Community Service Obligation and National Diabetes Services Scheme product distribution arrangements</w:t>
      </w:r>
      <w:r w:rsidR="00F62767" w:rsidRPr="00A461B6">
        <w:rPr>
          <w:rFonts w:asciiTheme="minorHAnsi" w:hAnsiTheme="minorHAnsi" w:cstheme="minorHAnsi"/>
          <w:color w:val="0D0D0D" w:themeColor="text1" w:themeTint="F2"/>
        </w:rPr>
        <w:t>.</w:t>
      </w:r>
    </w:p>
    <w:p w14:paraId="44B3B1B0" w14:textId="402CB2F3" w:rsidR="00F62767" w:rsidRPr="00A461B6" w:rsidRDefault="00CD3F4A" w:rsidP="00CD3F4A">
      <w:pPr>
        <w:pStyle w:val="NormalWeb"/>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 xml:space="preserve">The 7CPA </w:t>
      </w:r>
      <w:r w:rsidR="00F62767" w:rsidRPr="00A461B6">
        <w:rPr>
          <w:rFonts w:asciiTheme="minorHAnsi" w:hAnsiTheme="minorHAnsi" w:cstheme="minorHAnsi"/>
          <w:color w:val="0D0D0D" w:themeColor="text1" w:themeTint="F2"/>
        </w:rPr>
        <w:t xml:space="preserve">commenced </w:t>
      </w:r>
      <w:r w:rsidRPr="00A461B6">
        <w:rPr>
          <w:rFonts w:asciiTheme="minorHAnsi" w:hAnsiTheme="minorHAnsi" w:cstheme="minorHAnsi"/>
          <w:color w:val="0D0D0D" w:themeColor="text1" w:themeTint="F2"/>
        </w:rPr>
        <w:t>1 July 2020 and will be in place until 30 June 2025</w:t>
      </w:r>
      <w:r w:rsidR="00F62767" w:rsidRPr="00A461B6">
        <w:rPr>
          <w:rFonts w:asciiTheme="minorHAnsi" w:hAnsiTheme="minorHAnsi" w:cstheme="minorHAnsi"/>
          <w:color w:val="0D0D0D" w:themeColor="text1" w:themeTint="F2"/>
        </w:rPr>
        <w:t>.</w:t>
      </w:r>
    </w:p>
    <w:p w14:paraId="62D830EE" w14:textId="50367D5D" w:rsidR="00BB0EDA" w:rsidRPr="00A461B6" w:rsidRDefault="00B81DA2" w:rsidP="00CD3F4A">
      <w:pPr>
        <w:pStyle w:val="NormalWeb"/>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The 7CPA</w:t>
      </w:r>
      <w:r w:rsidR="00B30EE8" w:rsidRPr="00A461B6">
        <w:rPr>
          <w:rStyle w:val="FootnoteReference"/>
          <w:rFonts w:asciiTheme="minorHAnsi" w:hAnsiTheme="minorHAnsi" w:cstheme="minorHAnsi"/>
          <w:color w:val="0D0D0D" w:themeColor="text1" w:themeTint="F2"/>
        </w:rPr>
        <w:footnoteReference w:id="10"/>
      </w:r>
      <w:r w:rsidRPr="00A461B6">
        <w:rPr>
          <w:rFonts w:asciiTheme="minorHAnsi" w:hAnsiTheme="minorHAnsi" w:cstheme="minorHAnsi"/>
          <w:color w:val="0D0D0D" w:themeColor="text1" w:themeTint="F2"/>
        </w:rPr>
        <w:t xml:space="preserve"> recognises that community pharmacy is an integral part of the Australian health care system through its role in supporting the PBS</w:t>
      </w:r>
      <w:r w:rsidR="00E412B9" w:rsidRPr="00A461B6">
        <w:rPr>
          <w:rFonts w:asciiTheme="minorHAnsi" w:hAnsiTheme="minorHAnsi" w:cstheme="minorHAnsi"/>
          <w:color w:val="0D0D0D" w:themeColor="text1" w:themeTint="F2"/>
        </w:rPr>
        <w:t>, and can provide a broader range of clinical services to the community beyond medicine dispensing services</w:t>
      </w:r>
      <w:r w:rsidRPr="00A461B6">
        <w:rPr>
          <w:rFonts w:asciiTheme="minorHAnsi" w:hAnsiTheme="minorHAnsi" w:cstheme="minorHAnsi"/>
          <w:color w:val="0D0D0D" w:themeColor="text1" w:themeTint="F2"/>
        </w:rPr>
        <w:t>. To further support Austr</w:t>
      </w:r>
      <w:r w:rsidR="00B27208" w:rsidRPr="00A461B6">
        <w:rPr>
          <w:rFonts w:asciiTheme="minorHAnsi" w:hAnsiTheme="minorHAnsi" w:cstheme="minorHAnsi"/>
          <w:color w:val="0D0D0D" w:themeColor="text1" w:themeTint="F2"/>
        </w:rPr>
        <w:t>a</w:t>
      </w:r>
      <w:r w:rsidRPr="00A461B6">
        <w:rPr>
          <w:rFonts w:asciiTheme="minorHAnsi" w:hAnsiTheme="minorHAnsi" w:cstheme="minorHAnsi"/>
          <w:color w:val="0D0D0D" w:themeColor="text1" w:themeTint="F2"/>
        </w:rPr>
        <w:t>lians</w:t>
      </w:r>
      <w:r w:rsidR="00281DE6" w:rsidRPr="00A461B6">
        <w:rPr>
          <w:rFonts w:asciiTheme="minorHAnsi" w:hAnsiTheme="minorHAnsi" w:cstheme="minorHAnsi"/>
          <w:color w:val="0D0D0D" w:themeColor="text1" w:themeTint="F2"/>
        </w:rPr>
        <w:t>’</w:t>
      </w:r>
      <w:r w:rsidRPr="00A461B6">
        <w:rPr>
          <w:rFonts w:asciiTheme="minorHAnsi" w:hAnsiTheme="minorHAnsi" w:cstheme="minorHAnsi"/>
          <w:color w:val="0D0D0D" w:themeColor="text1" w:themeTint="F2"/>
        </w:rPr>
        <w:t xml:space="preserve"> access to PBS and RPBS medicines</w:t>
      </w:r>
      <w:r w:rsidR="00E412B9" w:rsidRPr="00A461B6">
        <w:rPr>
          <w:rFonts w:asciiTheme="minorHAnsi" w:hAnsiTheme="minorHAnsi" w:cstheme="minorHAnsi"/>
          <w:color w:val="0D0D0D" w:themeColor="text1" w:themeTint="F2"/>
        </w:rPr>
        <w:t xml:space="preserve"> and</w:t>
      </w:r>
      <w:r w:rsidRPr="00A461B6">
        <w:rPr>
          <w:rFonts w:asciiTheme="minorHAnsi" w:hAnsiTheme="minorHAnsi" w:cstheme="minorHAnsi"/>
          <w:color w:val="0D0D0D" w:themeColor="text1" w:themeTint="F2"/>
        </w:rPr>
        <w:t xml:space="preserve"> appropriately remunerating community pharmacy for services</w:t>
      </w:r>
      <w:r w:rsidR="00BB0EDA" w:rsidRPr="00A461B6">
        <w:rPr>
          <w:rFonts w:asciiTheme="minorHAnsi" w:hAnsiTheme="minorHAnsi" w:cstheme="minorHAnsi"/>
          <w:color w:val="0D0D0D" w:themeColor="text1" w:themeTint="F2"/>
        </w:rPr>
        <w:t xml:space="preserve">, the </w:t>
      </w:r>
      <w:r w:rsidR="00B27208" w:rsidRPr="00A461B6">
        <w:rPr>
          <w:rFonts w:asciiTheme="minorHAnsi" w:hAnsiTheme="minorHAnsi" w:cstheme="minorHAnsi"/>
          <w:color w:val="0D0D0D" w:themeColor="text1" w:themeTint="F2"/>
        </w:rPr>
        <w:t>signatories</w:t>
      </w:r>
      <w:r w:rsidR="00BB0EDA" w:rsidRPr="00A461B6">
        <w:rPr>
          <w:rFonts w:asciiTheme="minorHAnsi" w:hAnsiTheme="minorHAnsi" w:cstheme="minorHAnsi"/>
          <w:color w:val="0D0D0D" w:themeColor="text1" w:themeTint="F2"/>
        </w:rPr>
        <w:t xml:space="preserve"> to the agreement are committed to:</w:t>
      </w:r>
    </w:p>
    <w:p w14:paraId="1E0BC949" w14:textId="7D5F0B17" w:rsidR="00B81DA2" w:rsidRPr="00A461B6" w:rsidRDefault="00BB0EDA" w:rsidP="00501CE8">
      <w:pPr>
        <w:pStyle w:val="NormalWeb"/>
        <w:numPr>
          <w:ilvl w:val="0"/>
          <w:numId w:val="29"/>
        </w:numPr>
        <w:spacing w:before="0" w:beforeAutospacing="0" w:after="240" w:afterAutospacing="0" w:line="300" w:lineRule="atLeast"/>
        <w:rPr>
          <w:rFonts w:asciiTheme="minorHAnsi" w:hAnsiTheme="minorHAnsi" w:cstheme="minorHAnsi"/>
        </w:rPr>
      </w:pPr>
      <w:r w:rsidRPr="00A461B6">
        <w:rPr>
          <w:rFonts w:asciiTheme="minorHAnsi" w:hAnsiTheme="minorHAnsi" w:cstheme="minorHAnsi"/>
        </w:rPr>
        <w:t>Ensuring Australians have access to patient focused, outcome oriented professional pharmacy services and programs that support the safe and quality use of medicines</w:t>
      </w:r>
    </w:p>
    <w:p w14:paraId="42395C81" w14:textId="7AF24290" w:rsidR="006679AE" w:rsidRPr="00A461B6" w:rsidRDefault="006679AE" w:rsidP="00501CE8">
      <w:pPr>
        <w:pStyle w:val="NormalWeb"/>
        <w:numPr>
          <w:ilvl w:val="0"/>
          <w:numId w:val="29"/>
        </w:numPr>
        <w:spacing w:before="0" w:beforeAutospacing="0" w:after="240" w:afterAutospacing="0" w:line="300" w:lineRule="atLeast"/>
        <w:rPr>
          <w:rFonts w:asciiTheme="minorHAnsi" w:hAnsiTheme="minorHAnsi" w:cstheme="minorHAnsi"/>
        </w:rPr>
      </w:pPr>
      <w:r w:rsidRPr="00A461B6">
        <w:rPr>
          <w:rFonts w:asciiTheme="minorHAnsi" w:hAnsiTheme="minorHAnsi" w:cstheme="minorHAnsi"/>
        </w:rPr>
        <w:t>Predictable remuneration</w:t>
      </w:r>
      <w:r w:rsidR="00256BC0" w:rsidRPr="00A461B6">
        <w:rPr>
          <w:rFonts w:asciiTheme="minorHAnsi" w:hAnsiTheme="minorHAnsi" w:cstheme="minorHAnsi"/>
        </w:rPr>
        <w:t xml:space="preserve"> </w:t>
      </w:r>
      <w:r w:rsidRPr="00A461B6">
        <w:rPr>
          <w:rFonts w:asciiTheme="minorHAnsi" w:hAnsiTheme="minorHAnsi" w:cstheme="minorHAnsi"/>
        </w:rPr>
        <w:t xml:space="preserve">for community pharmacies to support their viability and allow for an efficient and effective network of </w:t>
      </w:r>
      <w:r w:rsidR="00E412B9" w:rsidRPr="00A461B6">
        <w:rPr>
          <w:rFonts w:asciiTheme="minorHAnsi" w:hAnsiTheme="minorHAnsi" w:cstheme="minorHAnsi"/>
        </w:rPr>
        <w:t>a</w:t>
      </w:r>
      <w:r w:rsidRPr="00A461B6">
        <w:rPr>
          <w:rFonts w:asciiTheme="minorHAnsi" w:hAnsiTheme="minorHAnsi" w:cstheme="minorHAnsi"/>
        </w:rPr>
        <w:t xml:space="preserve">pproved </w:t>
      </w:r>
      <w:r w:rsidR="00E412B9" w:rsidRPr="00A461B6">
        <w:rPr>
          <w:rFonts w:asciiTheme="minorHAnsi" w:hAnsiTheme="minorHAnsi" w:cstheme="minorHAnsi"/>
        </w:rPr>
        <w:t>p</w:t>
      </w:r>
      <w:r w:rsidRPr="00A461B6">
        <w:rPr>
          <w:rFonts w:asciiTheme="minorHAnsi" w:hAnsiTheme="minorHAnsi" w:cstheme="minorHAnsi"/>
        </w:rPr>
        <w:t>harmaci</w:t>
      </w:r>
      <w:r w:rsidR="00E412B9" w:rsidRPr="00A461B6">
        <w:rPr>
          <w:rFonts w:asciiTheme="minorHAnsi" w:hAnsiTheme="minorHAnsi" w:cstheme="minorHAnsi"/>
        </w:rPr>
        <w:t>es and pharmaci</w:t>
      </w:r>
      <w:r w:rsidRPr="00A461B6">
        <w:rPr>
          <w:rFonts w:asciiTheme="minorHAnsi" w:hAnsiTheme="minorHAnsi" w:cstheme="minorHAnsi"/>
        </w:rPr>
        <w:t xml:space="preserve">sts across Australia, while ensuring the </w:t>
      </w:r>
      <w:r w:rsidR="00E412B9" w:rsidRPr="00A461B6">
        <w:rPr>
          <w:rFonts w:asciiTheme="minorHAnsi" w:hAnsiTheme="minorHAnsi" w:cstheme="minorHAnsi"/>
        </w:rPr>
        <w:t>p</w:t>
      </w:r>
      <w:r w:rsidRPr="00A461B6">
        <w:rPr>
          <w:rFonts w:asciiTheme="minorHAnsi" w:hAnsiTheme="minorHAnsi" w:cstheme="minorHAnsi"/>
        </w:rPr>
        <w:t xml:space="preserve">roper use of </w:t>
      </w:r>
      <w:r w:rsidR="00E412B9" w:rsidRPr="00A461B6">
        <w:rPr>
          <w:rFonts w:asciiTheme="minorHAnsi" w:hAnsiTheme="minorHAnsi" w:cstheme="minorHAnsi"/>
        </w:rPr>
        <w:t>p</w:t>
      </w:r>
      <w:r w:rsidRPr="00A461B6">
        <w:rPr>
          <w:rFonts w:asciiTheme="minorHAnsi" w:hAnsiTheme="minorHAnsi" w:cstheme="minorHAnsi"/>
        </w:rPr>
        <w:t xml:space="preserve">ublic </w:t>
      </w:r>
      <w:r w:rsidR="00E412B9" w:rsidRPr="00A461B6">
        <w:rPr>
          <w:rFonts w:asciiTheme="minorHAnsi" w:hAnsiTheme="minorHAnsi" w:cstheme="minorHAnsi"/>
        </w:rPr>
        <w:t>r</w:t>
      </w:r>
      <w:r w:rsidRPr="00A461B6">
        <w:rPr>
          <w:rFonts w:asciiTheme="minorHAnsi" w:hAnsiTheme="minorHAnsi" w:cstheme="minorHAnsi"/>
        </w:rPr>
        <w:t>esources</w:t>
      </w:r>
    </w:p>
    <w:p w14:paraId="2DF5A929" w14:textId="25FF2ACF" w:rsidR="006679AE" w:rsidRPr="00A461B6" w:rsidRDefault="006679AE" w:rsidP="00AF42E0">
      <w:pPr>
        <w:pStyle w:val="NormalWeb"/>
        <w:numPr>
          <w:ilvl w:val="0"/>
          <w:numId w:val="29"/>
        </w:numPr>
        <w:spacing w:before="0" w:beforeAutospacing="0" w:after="240" w:afterAutospacing="0" w:line="300" w:lineRule="atLeast"/>
        <w:rPr>
          <w:rFonts w:asciiTheme="minorHAnsi" w:hAnsiTheme="minorHAnsi" w:cstheme="minorHAnsi"/>
        </w:rPr>
      </w:pPr>
      <w:r w:rsidRPr="00A461B6">
        <w:rPr>
          <w:rFonts w:asciiTheme="minorHAnsi" w:hAnsiTheme="minorHAnsi" w:cstheme="minorHAnsi"/>
        </w:rPr>
        <w:t>Ensuring that out of pocket expenses for PBS and pharmacy programs are transparent and appropriate</w:t>
      </w:r>
      <w:r w:rsidR="009A06EB" w:rsidRPr="00A461B6">
        <w:rPr>
          <w:rFonts w:asciiTheme="minorHAnsi" w:hAnsiTheme="minorHAnsi" w:cstheme="minorHAnsi"/>
        </w:rPr>
        <w:t xml:space="preserve"> </w:t>
      </w:r>
      <w:r w:rsidR="00B30EE8" w:rsidRPr="00A461B6">
        <w:tab/>
      </w:r>
    </w:p>
    <w:p w14:paraId="53D59D52" w14:textId="53F62597" w:rsidR="006679AE" w:rsidRPr="00A461B6" w:rsidRDefault="006679AE" w:rsidP="00501CE8">
      <w:pPr>
        <w:pStyle w:val="NormalWeb"/>
        <w:numPr>
          <w:ilvl w:val="0"/>
          <w:numId w:val="29"/>
        </w:numPr>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rPr>
        <w:t xml:space="preserve">Maintaining a co-operative relationship between the </w:t>
      </w:r>
      <w:r w:rsidR="00E412B9" w:rsidRPr="00A461B6">
        <w:rPr>
          <w:rFonts w:asciiTheme="minorHAnsi" w:hAnsiTheme="minorHAnsi" w:cstheme="minorHAnsi"/>
        </w:rPr>
        <w:t>s</w:t>
      </w:r>
      <w:r w:rsidRPr="00A461B6">
        <w:rPr>
          <w:rFonts w:asciiTheme="minorHAnsi" w:hAnsiTheme="minorHAnsi" w:cstheme="minorHAnsi"/>
        </w:rPr>
        <w:t>ignatories and a broader more inclusive set of key stakeholders, to ensure that Australian patients rec</w:t>
      </w:r>
      <w:r w:rsidR="00256BC0" w:rsidRPr="00A461B6">
        <w:rPr>
          <w:rFonts w:asciiTheme="minorHAnsi" w:hAnsiTheme="minorHAnsi" w:cstheme="minorHAnsi"/>
        </w:rPr>
        <w:t>e</w:t>
      </w:r>
      <w:r w:rsidRPr="00A461B6">
        <w:rPr>
          <w:rFonts w:asciiTheme="minorHAnsi" w:hAnsiTheme="minorHAnsi" w:cstheme="minorHAnsi"/>
        </w:rPr>
        <w:t xml:space="preserve">ive the best possible outcomes from the PBS and associated </w:t>
      </w:r>
      <w:r w:rsidR="00E412B9" w:rsidRPr="00A461B6">
        <w:rPr>
          <w:rFonts w:asciiTheme="minorHAnsi" w:hAnsiTheme="minorHAnsi" w:cstheme="minorHAnsi"/>
          <w:color w:val="0D0D0D" w:themeColor="text1" w:themeTint="F2"/>
        </w:rPr>
        <w:t>c</w:t>
      </w:r>
      <w:r w:rsidRPr="00A461B6">
        <w:rPr>
          <w:rFonts w:asciiTheme="minorHAnsi" w:hAnsiTheme="minorHAnsi" w:cstheme="minorHAnsi"/>
          <w:color w:val="0D0D0D" w:themeColor="text1" w:themeTint="F2"/>
        </w:rPr>
        <w:t xml:space="preserve">ommunity </w:t>
      </w:r>
      <w:r w:rsidR="00E412B9" w:rsidRPr="00A461B6">
        <w:rPr>
          <w:rFonts w:asciiTheme="minorHAnsi" w:hAnsiTheme="minorHAnsi" w:cstheme="minorHAnsi"/>
          <w:color w:val="0D0D0D" w:themeColor="text1" w:themeTint="F2"/>
        </w:rPr>
        <w:t>p</w:t>
      </w:r>
      <w:r w:rsidRPr="00A461B6">
        <w:rPr>
          <w:rFonts w:asciiTheme="minorHAnsi" w:hAnsiTheme="minorHAnsi" w:cstheme="minorHAnsi"/>
          <w:color w:val="0D0D0D" w:themeColor="text1" w:themeTint="F2"/>
        </w:rPr>
        <w:t xml:space="preserve">harmacy </w:t>
      </w:r>
      <w:r w:rsidR="00E412B9" w:rsidRPr="00A461B6">
        <w:rPr>
          <w:rFonts w:asciiTheme="minorHAnsi" w:hAnsiTheme="minorHAnsi" w:cstheme="minorHAnsi"/>
          <w:color w:val="0D0D0D" w:themeColor="text1" w:themeTint="F2"/>
        </w:rPr>
        <w:t>p</w:t>
      </w:r>
      <w:r w:rsidRPr="00A461B6">
        <w:rPr>
          <w:rFonts w:asciiTheme="minorHAnsi" w:hAnsiTheme="minorHAnsi" w:cstheme="minorHAnsi"/>
          <w:color w:val="0D0D0D" w:themeColor="text1" w:themeTint="F2"/>
        </w:rPr>
        <w:t>rograms.</w:t>
      </w:r>
    </w:p>
    <w:p w14:paraId="1423BC8F" w14:textId="5D7A3DF7" w:rsidR="00B0442F" w:rsidRPr="00A461B6" w:rsidRDefault="00B0442F" w:rsidP="00CD3F4A">
      <w:pPr>
        <w:pStyle w:val="NormalWeb"/>
        <w:spacing w:before="0" w:beforeAutospacing="0" w:after="240" w:afterAutospacing="0" w:line="300" w:lineRule="atLeast"/>
        <w:rPr>
          <w:rFonts w:asciiTheme="minorHAnsi" w:hAnsiTheme="minorHAnsi" w:cstheme="minorHAnsi"/>
        </w:rPr>
      </w:pPr>
      <w:r w:rsidRPr="00A461B6">
        <w:rPr>
          <w:rFonts w:asciiTheme="minorHAnsi" w:hAnsiTheme="minorHAnsi" w:cstheme="minorHAnsi"/>
          <w:color w:val="0D0D0D" w:themeColor="text1" w:themeTint="F2"/>
        </w:rPr>
        <w:t>The delivery of professional pharmacy programs is forecast to expend mo</w:t>
      </w:r>
      <w:r w:rsidR="0051575B" w:rsidRPr="00A461B6">
        <w:rPr>
          <w:rFonts w:asciiTheme="minorHAnsi" w:hAnsiTheme="minorHAnsi" w:cstheme="minorHAnsi"/>
          <w:color w:val="0D0D0D" w:themeColor="text1" w:themeTint="F2"/>
        </w:rPr>
        <w:t>re than the agreed $1.2 billion. T</w:t>
      </w:r>
      <w:r w:rsidRPr="00A461B6">
        <w:rPr>
          <w:rFonts w:asciiTheme="minorHAnsi" w:hAnsiTheme="minorHAnsi" w:cstheme="minorHAnsi"/>
          <w:color w:val="0D0D0D" w:themeColor="text1" w:themeTint="F2"/>
        </w:rPr>
        <w:t xml:space="preserve">his proposal </w:t>
      </w:r>
      <w:r w:rsidR="00DD090A" w:rsidRPr="00A461B6">
        <w:rPr>
          <w:rFonts w:asciiTheme="minorHAnsi" w:hAnsiTheme="minorHAnsi" w:cstheme="minorHAnsi"/>
          <w:color w:val="0D0D0D" w:themeColor="text1" w:themeTint="F2"/>
        </w:rPr>
        <w:t>is part of a package of measures seeking</w:t>
      </w:r>
      <w:r w:rsidRPr="00A461B6">
        <w:rPr>
          <w:rFonts w:asciiTheme="minorHAnsi" w:hAnsiTheme="minorHAnsi" w:cstheme="minorHAnsi"/>
          <w:color w:val="0D0D0D" w:themeColor="text1" w:themeTint="F2"/>
        </w:rPr>
        <w:t xml:space="preserve"> to re-invest </w:t>
      </w:r>
      <w:r w:rsidR="0051575B" w:rsidRPr="00A461B6">
        <w:rPr>
          <w:rFonts w:asciiTheme="minorHAnsi" w:hAnsiTheme="minorHAnsi" w:cstheme="minorHAnsi"/>
          <w:color w:val="0D0D0D" w:themeColor="text1" w:themeTint="F2"/>
        </w:rPr>
        <w:t xml:space="preserve">savings realised </w:t>
      </w:r>
      <w:r w:rsidRPr="00A461B6">
        <w:rPr>
          <w:rFonts w:asciiTheme="minorHAnsi" w:hAnsiTheme="minorHAnsi" w:cstheme="minorHAnsi"/>
          <w:color w:val="0D0D0D" w:themeColor="text1" w:themeTint="F2"/>
        </w:rPr>
        <w:t xml:space="preserve">by implementation of </w:t>
      </w:r>
      <w:r w:rsidR="00E412B9" w:rsidRPr="00A461B6">
        <w:rPr>
          <w:rFonts w:asciiTheme="minorHAnsi" w:hAnsiTheme="minorHAnsi" w:cstheme="minorHAnsi"/>
          <w:color w:val="0D0D0D" w:themeColor="text1" w:themeTint="F2"/>
        </w:rPr>
        <w:t>changes in maximum dispensing quantities for medicines, as recommended by the PBAC,</w:t>
      </w:r>
      <w:r w:rsidR="00CA44FC" w:rsidRPr="00A461B6">
        <w:rPr>
          <w:rFonts w:asciiTheme="minorHAnsi" w:hAnsiTheme="minorHAnsi" w:cstheme="minorHAnsi"/>
          <w:color w:val="0D0D0D" w:themeColor="text1" w:themeTint="F2"/>
        </w:rPr>
        <w:t xml:space="preserve"> </w:t>
      </w:r>
      <w:r w:rsidRPr="00A461B6">
        <w:rPr>
          <w:rFonts w:asciiTheme="minorHAnsi" w:hAnsiTheme="minorHAnsi" w:cstheme="minorHAnsi"/>
          <w:color w:val="0D0D0D" w:themeColor="text1" w:themeTint="F2"/>
        </w:rPr>
        <w:t xml:space="preserve">back </w:t>
      </w:r>
      <w:r w:rsidR="009A06EB" w:rsidRPr="00A461B6">
        <w:rPr>
          <w:rFonts w:asciiTheme="minorHAnsi" w:hAnsiTheme="minorHAnsi" w:cstheme="minorHAnsi"/>
          <w:color w:val="0D0D0D" w:themeColor="text1" w:themeTint="F2"/>
        </w:rPr>
        <w:t>in</w:t>
      </w:r>
      <w:r w:rsidRPr="00A461B6">
        <w:rPr>
          <w:rFonts w:asciiTheme="minorHAnsi" w:hAnsiTheme="minorHAnsi" w:cstheme="minorHAnsi"/>
          <w:color w:val="0D0D0D" w:themeColor="text1" w:themeTint="F2"/>
        </w:rPr>
        <w:t xml:space="preserve">to </w:t>
      </w:r>
      <w:r w:rsidR="009A06EB" w:rsidRPr="00A461B6">
        <w:rPr>
          <w:rFonts w:asciiTheme="minorHAnsi" w:hAnsiTheme="minorHAnsi" w:cstheme="minorHAnsi"/>
        </w:rPr>
        <w:t>the</w:t>
      </w:r>
      <w:r w:rsidRPr="00A461B6">
        <w:rPr>
          <w:rFonts w:asciiTheme="minorHAnsi" w:hAnsiTheme="minorHAnsi" w:cstheme="minorHAnsi"/>
        </w:rPr>
        <w:t xml:space="preserve"> community </w:t>
      </w:r>
      <w:r w:rsidRPr="00A461B6">
        <w:rPr>
          <w:rFonts w:asciiTheme="minorHAnsi" w:hAnsiTheme="minorHAnsi" w:cstheme="minorHAnsi"/>
          <w:color w:val="0D0D0D" w:themeColor="text1" w:themeTint="F2"/>
        </w:rPr>
        <w:t xml:space="preserve">pharmacy to </w:t>
      </w:r>
      <w:r w:rsidR="00CA44FC" w:rsidRPr="00A461B6">
        <w:rPr>
          <w:rFonts w:asciiTheme="minorHAnsi" w:hAnsiTheme="minorHAnsi" w:cstheme="minorHAnsi"/>
          <w:color w:val="0D0D0D" w:themeColor="text1" w:themeTint="F2"/>
        </w:rPr>
        <w:t>support</w:t>
      </w:r>
      <w:r w:rsidR="00256BC0" w:rsidRPr="00A461B6">
        <w:rPr>
          <w:rFonts w:asciiTheme="minorHAnsi" w:hAnsiTheme="minorHAnsi" w:cstheme="minorHAnsi"/>
          <w:color w:val="0D0D0D" w:themeColor="text1" w:themeTint="F2"/>
        </w:rPr>
        <w:t xml:space="preserve"> </w:t>
      </w:r>
      <w:r w:rsidR="00E412B9" w:rsidRPr="00A461B6">
        <w:rPr>
          <w:rFonts w:asciiTheme="minorHAnsi" w:hAnsiTheme="minorHAnsi" w:cstheme="minorHAnsi"/>
          <w:color w:val="0D0D0D" w:themeColor="text1" w:themeTint="F2"/>
        </w:rPr>
        <w:t xml:space="preserve">the delivery of new and expanded services by </w:t>
      </w:r>
      <w:r w:rsidR="0051575B" w:rsidRPr="00A461B6">
        <w:rPr>
          <w:rFonts w:asciiTheme="minorHAnsi" w:hAnsiTheme="minorHAnsi" w:cstheme="minorHAnsi"/>
          <w:color w:val="0D0D0D" w:themeColor="text1" w:themeTint="F2"/>
        </w:rPr>
        <w:t>pharmacy</w:t>
      </w:r>
      <w:r w:rsidR="00CA44FC" w:rsidRPr="00A461B6">
        <w:rPr>
          <w:rFonts w:asciiTheme="minorHAnsi" w:hAnsiTheme="minorHAnsi" w:cstheme="minorHAnsi"/>
          <w:color w:val="0D0D0D" w:themeColor="text1" w:themeTint="F2"/>
        </w:rPr>
        <w:t>.</w:t>
      </w:r>
      <w:r w:rsidR="00256BC0" w:rsidRPr="00A461B6">
        <w:rPr>
          <w:rFonts w:asciiTheme="minorHAnsi" w:hAnsiTheme="minorHAnsi" w:cstheme="minorHAnsi"/>
          <w:color w:val="0D0D0D" w:themeColor="text1" w:themeTint="F2"/>
        </w:rPr>
        <w:t xml:space="preserve"> </w:t>
      </w:r>
      <w:r w:rsidR="00F14242" w:rsidRPr="00A461B6">
        <w:rPr>
          <w:rFonts w:asciiTheme="minorHAnsi" w:hAnsiTheme="minorHAnsi" w:cstheme="minorHAnsi"/>
          <w:color w:val="0D0D0D" w:themeColor="text1" w:themeTint="F2"/>
        </w:rPr>
        <w:t>This includes proposals that seek to increase funding for pharmacy programs over the</w:t>
      </w:r>
      <w:r w:rsidR="00E412B9" w:rsidRPr="00A461B6">
        <w:rPr>
          <w:rFonts w:asciiTheme="minorHAnsi" w:hAnsiTheme="minorHAnsi" w:cstheme="minorHAnsi"/>
          <w:color w:val="0D0D0D" w:themeColor="text1" w:themeTint="F2"/>
        </w:rPr>
        <w:t xml:space="preserve"> term of the</w:t>
      </w:r>
      <w:r w:rsidR="00F14242" w:rsidRPr="00A461B6">
        <w:rPr>
          <w:rFonts w:asciiTheme="minorHAnsi" w:hAnsiTheme="minorHAnsi" w:cstheme="minorHAnsi"/>
          <w:color w:val="0D0D0D" w:themeColor="text1" w:themeTint="F2"/>
        </w:rPr>
        <w:t xml:space="preserve"> 7CPA, </w:t>
      </w:r>
      <w:r w:rsidR="00E412B9" w:rsidRPr="00A461B6">
        <w:rPr>
          <w:rFonts w:ascii="Calibri" w:hAnsi="Calibri" w:cs="Calibri"/>
          <w:bCs/>
          <w:color w:val="0D0D0D" w:themeColor="text1" w:themeTint="F2"/>
        </w:rPr>
        <w:t>fund</w:t>
      </w:r>
      <w:r w:rsidR="00CA44FC" w:rsidRPr="00A461B6">
        <w:rPr>
          <w:rFonts w:ascii="Calibri" w:hAnsi="Calibri" w:cs="Calibri"/>
          <w:bCs/>
          <w:color w:val="0D0D0D" w:themeColor="text1" w:themeTint="F2"/>
        </w:rPr>
        <w:t xml:space="preserve"> the administration of vaccines under the N</w:t>
      </w:r>
      <w:r w:rsidR="00B27208" w:rsidRPr="00A461B6">
        <w:rPr>
          <w:rFonts w:ascii="Calibri" w:hAnsi="Calibri" w:cs="Calibri"/>
          <w:bCs/>
          <w:color w:val="0D0D0D" w:themeColor="text1" w:themeTint="F2"/>
        </w:rPr>
        <w:t xml:space="preserve">ational </w:t>
      </w:r>
      <w:r w:rsidR="00CA44FC" w:rsidRPr="00A461B6">
        <w:rPr>
          <w:rFonts w:ascii="Calibri" w:hAnsi="Calibri" w:cs="Calibri"/>
          <w:bCs/>
          <w:color w:val="0D0D0D" w:themeColor="text1" w:themeTint="F2"/>
        </w:rPr>
        <w:t>I</w:t>
      </w:r>
      <w:r w:rsidR="00B27208" w:rsidRPr="00A461B6">
        <w:rPr>
          <w:rFonts w:ascii="Calibri" w:hAnsi="Calibri" w:cs="Calibri"/>
          <w:bCs/>
          <w:color w:val="0D0D0D" w:themeColor="text1" w:themeTint="F2"/>
        </w:rPr>
        <w:t xml:space="preserve">mmunisation </w:t>
      </w:r>
      <w:r w:rsidR="00CA44FC" w:rsidRPr="00A461B6">
        <w:rPr>
          <w:rFonts w:ascii="Calibri" w:hAnsi="Calibri" w:cs="Calibri"/>
          <w:bCs/>
          <w:color w:val="0D0D0D" w:themeColor="text1" w:themeTint="F2"/>
        </w:rPr>
        <w:t>P</w:t>
      </w:r>
      <w:r w:rsidR="00B27208" w:rsidRPr="00A461B6">
        <w:rPr>
          <w:rFonts w:ascii="Calibri" w:hAnsi="Calibri" w:cs="Calibri"/>
          <w:bCs/>
          <w:color w:val="0D0D0D" w:themeColor="text1" w:themeTint="F2"/>
        </w:rPr>
        <w:t>rogram (NIP)</w:t>
      </w:r>
      <w:r w:rsidR="00E412B9" w:rsidRPr="00A461B6">
        <w:rPr>
          <w:rFonts w:ascii="Calibri" w:hAnsi="Calibri" w:cs="Calibri"/>
          <w:bCs/>
          <w:color w:val="0D0D0D" w:themeColor="text1" w:themeTint="F2"/>
        </w:rPr>
        <w:t xml:space="preserve"> by pharmacies</w:t>
      </w:r>
      <w:r w:rsidR="00CA44FC" w:rsidRPr="00A461B6">
        <w:rPr>
          <w:rFonts w:ascii="Calibri" w:hAnsi="Calibri" w:cs="Calibri"/>
          <w:bCs/>
          <w:color w:val="0D0D0D" w:themeColor="text1" w:themeTint="F2"/>
        </w:rPr>
        <w:t xml:space="preserve"> </w:t>
      </w:r>
      <w:r w:rsidR="00F14242" w:rsidRPr="00A461B6">
        <w:rPr>
          <w:rFonts w:asciiTheme="minorHAnsi" w:hAnsiTheme="minorHAnsi" w:cstheme="minorHAnsi"/>
          <w:color w:val="0D0D0D" w:themeColor="text1" w:themeTint="F2"/>
        </w:rPr>
        <w:t xml:space="preserve">and provide additional support to </w:t>
      </w:r>
      <w:r w:rsidR="0051575B" w:rsidRPr="00A461B6">
        <w:rPr>
          <w:rFonts w:asciiTheme="minorHAnsi" w:hAnsiTheme="minorHAnsi" w:cstheme="minorHAnsi"/>
          <w:color w:val="0D0D0D" w:themeColor="text1" w:themeTint="F2"/>
        </w:rPr>
        <w:t>remote</w:t>
      </w:r>
      <w:r w:rsidR="00DD090A" w:rsidRPr="00A461B6">
        <w:rPr>
          <w:rFonts w:asciiTheme="minorHAnsi" w:hAnsiTheme="minorHAnsi" w:cstheme="minorHAnsi"/>
          <w:color w:val="0D0D0D" w:themeColor="text1" w:themeTint="F2"/>
        </w:rPr>
        <w:t xml:space="preserve"> and </w:t>
      </w:r>
      <w:r w:rsidR="0051575B" w:rsidRPr="00A461B6">
        <w:rPr>
          <w:rFonts w:asciiTheme="minorHAnsi" w:hAnsiTheme="minorHAnsi" w:cstheme="minorHAnsi"/>
          <w:color w:val="0D0D0D" w:themeColor="text1" w:themeTint="F2"/>
        </w:rPr>
        <w:t>r</w:t>
      </w:r>
      <w:r w:rsidR="00F14242" w:rsidRPr="00A461B6">
        <w:rPr>
          <w:rFonts w:asciiTheme="minorHAnsi" w:hAnsiTheme="minorHAnsi" w:cstheme="minorHAnsi"/>
          <w:color w:val="0D0D0D" w:themeColor="text1" w:themeTint="F2"/>
        </w:rPr>
        <w:t>egional pharmacies.</w:t>
      </w:r>
    </w:p>
    <w:p w14:paraId="6BF222A9" w14:textId="14ACF4D2" w:rsidR="00095F74" w:rsidRPr="00A461B6" w:rsidRDefault="00095F74" w:rsidP="0097798F">
      <w:pPr>
        <w:pStyle w:val="Heading3"/>
      </w:pPr>
      <w:bookmarkStart w:id="43" w:name="_Toc132192293"/>
      <w:bookmarkStart w:id="44" w:name="_Toc134603924"/>
      <w:r w:rsidRPr="00A461B6">
        <w:t>1.</w:t>
      </w:r>
      <w:r w:rsidR="00612E57" w:rsidRPr="00A461B6">
        <w:t>7</w:t>
      </w:r>
      <w:r w:rsidR="000D0C1E">
        <w:tab/>
      </w:r>
      <w:r w:rsidRPr="00A461B6">
        <w:t>Current PBS fees, co</w:t>
      </w:r>
      <w:r w:rsidR="00FC1C70" w:rsidRPr="00A461B6">
        <w:t>-</w:t>
      </w:r>
      <w:r w:rsidRPr="00A461B6">
        <w:t>payment and safety net arrangements</w:t>
      </w:r>
      <w:bookmarkEnd w:id="43"/>
      <w:bookmarkEnd w:id="44"/>
    </w:p>
    <w:p w14:paraId="4328A08F" w14:textId="24B16FB1" w:rsidR="00095F74" w:rsidRPr="00A461B6" w:rsidRDefault="00095F74" w:rsidP="00095F74">
      <w:pPr>
        <w:rPr>
          <w:color w:val="0D0D0D" w:themeColor="text1" w:themeTint="F2"/>
          <w:sz w:val="24"/>
          <w:szCs w:val="24"/>
        </w:rPr>
      </w:pPr>
      <w:r w:rsidRPr="00A461B6">
        <w:rPr>
          <w:color w:val="0D0D0D" w:themeColor="text1" w:themeTint="F2"/>
          <w:sz w:val="24"/>
          <w:szCs w:val="24"/>
        </w:rPr>
        <w:t>The co-payment arrangements help to ensure that medicines remain affordable</w:t>
      </w:r>
      <w:r w:rsidR="00E412B9" w:rsidRPr="00A461B6">
        <w:rPr>
          <w:color w:val="0D0D0D" w:themeColor="text1" w:themeTint="F2"/>
          <w:sz w:val="24"/>
          <w:szCs w:val="24"/>
        </w:rPr>
        <w:t xml:space="preserve"> and are valued by patients, improving sustainability of the PBS</w:t>
      </w:r>
      <w:r w:rsidRPr="00A461B6">
        <w:rPr>
          <w:color w:val="0D0D0D" w:themeColor="text1" w:themeTint="F2"/>
          <w:sz w:val="24"/>
          <w:szCs w:val="24"/>
        </w:rPr>
        <w:t>. The full cost of medicines is shown on pbs.gov.au. The full cost is also shown on the dispensing label. The following fees, patient contributions and Safety Net thresholds apply as at 1 January 202</w:t>
      </w:r>
      <w:r w:rsidR="00067FE9" w:rsidRPr="00A461B6">
        <w:rPr>
          <w:color w:val="0D0D0D" w:themeColor="text1" w:themeTint="F2"/>
          <w:sz w:val="24"/>
          <w:szCs w:val="24"/>
        </w:rPr>
        <w:t>3</w:t>
      </w:r>
      <w:r w:rsidRPr="00A461B6">
        <w:rPr>
          <w:color w:val="0D0D0D" w:themeColor="text1" w:themeTint="F2"/>
          <w:sz w:val="24"/>
          <w:szCs w:val="24"/>
        </w:rPr>
        <w:t xml:space="preserve"> are included, where applicable, in prices published in the Schedule.</w:t>
      </w:r>
    </w:p>
    <w:p w14:paraId="273CB5E6" w14:textId="57CEBD33" w:rsidR="00095F74" w:rsidRPr="00A461B6" w:rsidRDefault="00095F74" w:rsidP="0097798F">
      <w:pPr>
        <w:pStyle w:val="Heading4"/>
        <w:keepNext/>
        <w:keepLines/>
      </w:pPr>
      <w:r w:rsidRPr="00A461B6">
        <w:t>Table 1</w:t>
      </w:r>
      <w:r w:rsidR="00313BA6" w:rsidRPr="00A461B6">
        <w:t>.1</w:t>
      </w:r>
      <w:r w:rsidRPr="00A461B6">
        <w:t xml:space="preserve"> PBS Fees, Patient Contributions and Safety Net Thresholds 1 January 202</w:t>
      </w:r>
      <w:r w:rsidR="00067FE9" w:rsidRPr="00A461B6">
        <w:t>3</w:t>
      </w:r>
    </w:p>
    <w:tbl>
      <w:tblPr>
        <w:tblStyle w:val="TableGridLight"/>
        <w:tblW w:w="9493" w:type="dxa"/>
        <w:tblLayout w:type="fixed"/>
        <w:tblLook w:val="04A0" w:firstRow="1" w:lastRow="0" w:firstColumn="1" w:lastColumn="0" w:noHBand="0" w:noVBand="1"/>
        <w:tblCaption w:val="Table 1.1 PBS Fees, Patient Contributions and Safety Net Thresholds 1 January 2023"/>
      </w:tblPr>
      <w:tblGrid>
        <w:gridCol w:w="2268"/>
        <w:gridCol w:w="4253"/>
        <w:gridCol w:w="2972"/>
      </w:tblGrid>
      <w:tr w:rsidR="00095F74" w:rsidRPr="00A461B6" w14:paraId="04A0F439" w14:textId="77777777" w:rsidTr="00320BF2">
        <w:tc>
          <w:tcPr>
            <w:tcW w:w="2268" w:type="dxa"/>
            <w:hideMark/>
          </w:tcPr>
          <w:p w14:paraId="5F1B0E32" w14:textId="77777777" w:rsidR="00095F74" w:rsidRPr="00A461B6" w:rsidRDefault="00095F74">
            <w:pPr>
              <w:keepNext/>
              <w:keepLines/>
              <w:spacing w:before="40" w:after="40"/>
              <w:rPr>
                <w:rFonts w:cstheme="minorHAnsi"/>
                <w:b/>
                <w:color w:val="0D0D0D" w:themeColor="text1" w:themeTint="F2"/>
              </w:rPr>
            </w:pPr>
            <w:r w:rsidRPr="00A461B6">
              <w:rPr>
                <w:rFonts w:cstheme="minorHAnsi"/>
                <w:b/>
                <w:color w:val="0D0D0D" w:themeColor="text1" w:themeTint="F2"/>
              </w:rPr>
              <w:t>Dispensing Fees:</w:t>
            </w:r>
          </w:p>
        </w:tc>
        <w:tc>
          <w:tcPr>
            <w:tcW w:w="4253" w:type="dxa"/>
            <w:hideMark/>
          </w:tcPr>
          <w:p w14:paraId="2BFC859B"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Ready-prepared</w:t>
            </w:r>
          </w:p>
        </w:tc>
        <w:tc>
          <w:tcPr>
            <w:tcW w:w="2972" w:type="dxa"/>
            <w:hideMark/>
          </w:tcPr>
          <w:p w14:paraId="119E654D" w14:textId="7AED91A9" w:rsidR="00095F74" w:rsidRPr="00A461B6" w:rsidRDefault="00095F74" w:rsidP="00885DA0">
            <w:pPr>
              <w:keepNext/>
              <w:keepLines/>
              <w:spacing w:before="40" w:after="40"/>
              <w:rPr>
                <w:rFonts w:cstheme="minorHAnsi"/>
                <w:color w:val="0D0D0D" w:themeColor="text1" w:themeTint="F2"/>
              </w:rPr>
            </w:pPr>
            <w:r w:rsidRPr="00A461B6">
              <w:rPr>
                <w:rFonts w:cstheme="minorHAnsi"/>
                <w:color w:val="0D0D0D" w:themeColor="text1" w:themeTint="F2"/>
              </w:rPr>
              <w:t>$</w:t>
            </w:r>
            <w:r w:rsidR="00067FE9" w:rsidRPr="00A461B6">
              <w:rPr>
                <w:rFonts w:cstheme="minorHAnsi"/>
                <w:color w:val="0D0D0D" w:themeColor="text1" w:themeTint="F2"/>
                <w:lang w:eastAsia="en-AU"/>
              </w:rPr>
              <w:t>7.82</w:t>
            </w:r>
          </w:p>
        </w:tc>
      </w:tr>
      <w:tr w:rsidR="00095F74" w:rsidRPr="00A461B6" w14:paraId="75E806FF" w14:textId="77777777" w:rsidTr="00320BF2">
        <w:tc>
          <w:tcPr>
            <w:tcW w:w="2268" w:type="dxa"/>
          </w:tcPr>
          <w:p w14:paraId="2DC5D97E" w14:textId="77777777" w:rsidR="00095F74" w:rsidRPr="00A461B6" w:rsidRDefault="00095F74">
            <w:pPr>
              <w:keepNext/>
              <w:keepLines/>
              <w:spacing w:before="40" w:after="40"/>
              <w:rPr>
                <w:rFonts w:cstheme="minorHAnsi"/>
                <w:b/>
                <w:color w:val="0D0D0D" w:themeColor="text1" w:themeTint="F2"/>
              </w:rPr>
            </w:pPr>
          </w:p>
        </w:tc>
        <w:tc>
          <w:tcPr>
            <w:tcW w:w="4253" w:type="dxa"/>
            <w:hideMark/>
          </w:tcPr>
          <w:p w14:paraId="1A3585C0"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Dangerous drug fee</w:t>
            </w:r>
          </w:p>
        </w:tc>
        <w:tc>
          <w:tcPr>
            <w:tcW w:w="2972" w:type="dxa"/>
            <w:hideMark/>
          </w:tcPr>
          <w:p w14:paraId="1258DB76" w14:textId="06F9FB0E" w:rsidR="00095F74" w:rsidRPr="00A461B6" w:rsidRDefault="00095F74" w:rsidP="00885DA0">
            <w:pPr>
              <w:keepNext/>
              <w:keepLines/>
              <w:spacing w:before="40" w:after="40"/>
              <w:rPr>
                <w:rFonts w:cstheme="minorHAnsi"/>
                <w:color w:val="0D0D0D" w:themeColor="text1" w:themeTint="F2"/>
              </w:rPr>
            </w:pPr>
            <w:r w:rsidRPr="00A461B6">
              <w:rPr>
                <w:rFonts w:cstheme="minorHAnsi"/>
                <w:color w:val="0D0D0D" w:themeColor="text1" w:themeTint="F2"/>
              </w:rPr>
              <w:t>$</w:t>
            </w:r>
            <w:r w:rsidR="00067FE9" w:rsidRPr="00A461B6">
              <w:rPr>
                <w:rFonts w:cstheme="minorHAnsi"/>
                <w:color w:val="0D0D0D" w:themeColor="text1" w:themeTint="F2"/>
                <w:lang w:eastAsia="en-AU"/>
              </w:rPr>
              <w:t>4.84</w:t>
            </w:r>
          </w:p>
        </w:tc>
      </w:tr>
      <w:tr w:rsidR="00095F74" w:rsidRPr="00A461B6" w14:paraId="35A44B39" w14:textId="77777777" w:rsidTr="00320BF2">
        <w:tc>
          <w:tcPr>
            <w:tcW w:w="2268" w:type="dxa"/>
          </w:tcPr>
          <w:p w14:paraId="61614944" w14:textId="77777777" w:rsidR="00095F74" w:rsidRPr="00A461B6" w:rsidRDefault="00095F74">
            <w:pPr>
              <w:keepNext/>
              <w:keepLines/>
              <w:spacing w:before="40" w:after="40"/>
              <w:rPr>
                <w:rFonts w:cstheme="minorHAnsi"/>
                <w:b/>
                <w:color w:val="0D0D0D" w:themeColor="text1" w:themeTint="F2"/>
              </w:rPr>
            </w:pPr>
          </w:p>
        </w:tc>
        <w:tc>
          <w:tcPr>
            <w:tcW w:w="4253" w:type="dxa"/>
            <w:hideMark/>
          </w:tcPr>
          <w:p w14:paraId="6C448D71"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Extemporaneously-prepared</w:t>
            </w:r>
          </w:p>
        </w:tc>
        <w:tc>
          <w:tcPr>
            <w:tcW w:w="2972" w:type="dxa"/>
            <w:hideMark/>
          </w:tcPr>
          <w:p w14:paraId="1CF31CCB" w14:textId="2CF0AFC1" w:rsidR="00095F74" w:rsidRPr="00A461B6" w:rsidRDefault="00095F74" w:rsidP="00885DA0">
            <w:pPr>
              <w:keepNext/>
              <w:keepLines/>
              <w:spacing w:before="40" w:after="40"/>
              <w:rPr>
                <w:rFonts w:cstheme="minorHAnsi"/>
                <w:color w:val="0D0D0D" w:themeColor="text1" w:themeTint="F2"/>
              </w:rPr>
            </w:pPr>
            <w:r w:rsidRPr="00A461B6">
              <w:rPr>
                <w:rFonts w:cstheme="minorHAnsi"/>
                <w:color w:val="0D0D0D" w:themeColor="text1" w:themeTint="F2"/>
              </w:rPr>
              <w:t>$</w:t>
            </w:r>
            <w:r w:rsidR="00067FE9" w:rsidRPr="00A461B6">
              <w:rPr>
                <w:rFonts w:cstheme="minorHAnsi"/>
                <w:color w:val="0D0D0D" w:themeColor="text1" w:themeTint="F2"/>
              </w:rPr>
              <w:t>9.86</w:t>
            </w:r>
          </w:p>
        </w:tc>
      </w:tr>
      <w:tr w:rsidR="00095F74" w:rsidRPr="00A461B6" w14:paraId="615C872D" w14:textId="77777777" w:rsidTr="00320BF2">
        <w:tc>
          <w:tcPr>
            <w:tcW w:w="2268" w:type="dxa"/>
          </w:tcPr>
          <w:p w14:paraId="7AE69B60" w14:textId="77777777" w:rsidR="00095F74" w:rsidRPr="00A461B6" w:rsidRDefault="00095F74">
            <w:pPr>
              <w:keepNext/>
              <w:keepLines/>
              <w:spacing w:before="40" w:after="40"/>
              <w:rPr>
                <w:rFonts w:cstheme="minorHAnsi"/>
                <w:b/>
                <w:color w:val="0D0D0D" w:themeColor="text1" w:themeTint="F2"/>
              </w:rPr>
            </w:pPr>
          </w:p>
        </w:tc>
        <w:tc>
          <w:tcPr>
            <w:tcW w:w="4253" w:type="dxa"/>
            <w:hideMark/>
          </w:tcPr>
          <w:p w14:paraId="7BE3B1A0"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Allowable additional patient charge*</w:t>
            </w:r>
          </w:p>
        </w:tc>
        <w:tc>
          <w:tcPr>
            <w:tcW w:w="2972" w:type="dxa"/>
            <w:hideMark/>
          </w:tcPr>
          <w:p w14:paraId="69223BC9" w14:textId="761DC7A3" w:rsidR="00095F74" w:rsidRPr="00A461B6" w:rsidRDefault="00095F74" w:rsidP="00885DA0">
            <w:pPr>
              <w:keepNext/>
              <w:keepLines/>
              <w:spacing w:before="40" w:after="40"/>
              <w:rPr>
                <w:rFonts w:cstheme="minorHAnsi"/>
                <w:color w:val="0D0D0D" w:themeColor="text1" w:themeTint="F2"/>
              </w:rPr>
            </w:pPr>
            <w:r w:rsidRPr="00A461B6">
              <w:rPr>
                <w:rFonts w:cstheme="minorHAnsi"/>
                <w:color w:val="0D0D0D" w:themeColor="text1" w:themeTint="F2"/>
              </w:rPr>
              <w:t>$</w:t>
            </w:r>
            <w:r w:rsidR="00067FE9" w:rsidRPr="00A461B6">
              <w:rPr>
                <w:rFonts w:cstheme="minorHAnsi"/>
                <w:color w:val="0D0D0D" w:themeColor="text1" w:themeTint="F2"/>
              </w:rPr>
              <w:t>3.29</w:t>
            </w:r>
          </w:p>
        </w:tc>
      </w:tr>
      <w:tr w:rsidR="00095F74" w:rsidRPr="00A461B6" w14:paraId="06AEEA93" w14:textId="77777777" w:rsidTr="00320BF2">
        <w:tc>
          <w:tcPr>
            <w:tcW w:w="2268" w:type="dxa"/>
            <w:hideMark/>
          </w:tcPr>
          <w:p w14:paraId="35BABE89" w14:textId="77777777" w:rsidR="00095F74" w:rsidRPr="00A461B6" w:rsidRDefault="00095F74">
            <w:pPr>
              <w:keepNext/>
              <w:keepLines/>
              <w:spacing w:before="40" w:after="40"/>
              <w:rPr>
                <w:rFonts w:cstheme="minorHAnsi"/>
                <w:b/>
                <w:color w:val="0D0D0D" w:themeColor="text1" w:themeTint="F2"/>
              </w:rPr>
            </w:pPr>
            <w:r w:rsidRPr="00A461B6">
              <w:rPr>
                <w:rFonts w:cstheme="minorHAnsi"/>
                <w:b/>
                <w:color w:val="0D0D0D" w:themeColor="text1" w:themeTint="F2"/>
              </w:rPr>
              <w:t xml:space="preserve">Administration, Handling and Infrastructure Fee </w:t>
            </w:r>
          </w:p>
          <w:p w14:paraId="582C6AE7" w14:textId="77777777" w:rsidR="00095F74" w:rsidRPr="00A461B6" w:rsidRDefault="00095F74">
            <w:pPr>
              <w:keepNext/>
              <w:keepLines/>
              <w:spacing w:before="40" w:after="40"/>
              <w:rPr>
                <w:rFonts w:cstheme="minorHAnsi"/>
                <w:b/>
                <w:color w:val="0D0D0D" w:themeColor="text1" w:themeTint="F2"/>
              </w:rPr>
            </w:pPr>
            <w:r w:rsidRPr="00A461B6">
              <w:rPr>
                <w:rFonts w:cstheme="minorHAnsi"/>
                <w:b/>
                <w:color w:val="0D0D0D" w:themeColor="text1" w:themeTint="F2"/>
              </w:rPr>
              <w:t>(AHI Fee):</w:t>
            </w:r>
          </w:p>
        </w:tc>
        <w:tc>
          <w:tcPr>
            <w:tcW w:w="4253" w:type="dxa"/>
            <w:hideMark/>
          </w:tcPr>
          <w:p w14:paraId="3967262D" w14:textId="77777777" w:rsidR="00F62767" w:rsidRPr="00A461B6" w:rsidRDefault="00067FE9" w:rsidP="00F62767">
            <w:pPr>
              <w:keepNext/>
              <w:keepLines/>
              <w:spacing w:before="40" w:after="40"/>
              <w:rPr>
                <w:rFonts w:cstheme="minorHAnsi"/>
                <w:color w:val="0D0D0D" w:themeColor="text1" w:themeTint="F2"/>
              </w:rPr>
            </w:pPr>
            <w:r w:rsidRPr="00A461B6">
              <w:rPr>
                <w:rFonts w:cstheme="minorHAnsi"/>
                <w:color w:val="0D0D0D" w:themeColor="text1" w:themeTint="F2"/>
              </w:rPr>
              <w:t>Tier One:</w:t>
            </w:r>
          </w:p>
          <w:p w14:paraId="1855E637" w14:textId="21223C11" w:rsidR="00067FE9" w:rsidRPr="00A461B6" w:rsidRDefault="00067FE9" w:rsidP="00F62767">
            <w:pPr>
              <w:keepNext/>
              <w:keepLines/>
              <w:spacing w:before="40" w:after="40"/>
              <w:rPr>
                <w:rFonts w:cstheme="minorHAnsi"/>
                <w:color w:val="0D0D0D" w:themeColor="text1" w:themeTint="F2"/>
                <w:lang w:eastAsia="en-AU"/>
              </w:rPr>
            </w:pPr>
            <w:r w:rsidRPr="00A461B6">
              <w:rPr>
                <w:rFonts w:cstheme="minorHAnsi"/>
                <w:color w:val="0D0D0D" w:themeColor="text1" w:themeTint="F2"/>
                <w:lang w:eastAsia="en-AU"/>
              </w:rPr>
              <w:t>For a Listed Brand with a Price to Pharmacists for Maximum Quantity less than $100</w:t>
            </w:r>
          </w:p>
          <w:p w14:paraId="3B0E17A7" w14:textId="66B1F76D" w:rsidR="00095F74" w:rsidRPr="00A461B6" w:rsidRDefault="00095F74" w:rsidP="00067FE9">
            <w:pPr>
              <w:keepNext/>
              <w:keepLines/>
              <w:spacing w:before="40" w:after="40"/>
              <w:rPr>
                <w:rFonts w:cstheme="minorHAnsi"/>
                <w:color w:val="0D0D0D" w:themeColor="text1" w:themeTint="F2"/>
              </w:rPr>
            </w:pPr>
          </w:p>
        </w:tc>
        <w:tc>
          <w:tcPr>
            <w:tcW w:w="2972" w:type="dxa"/>
            <w:hideMark/>
          </w:tcPr>
          <w:p w14:paraId="26AE458D" w14:textId="3F2108E6" w:rsidR="00095F74" w:rsidRPr="00A461B6" w:rsidRDefault="00067FE9" w:rsidP="00067FE9">
            <w:pPr>
              <w:keepNext/>
              <w:keepLines/>
              <w:spacing w:before="40" w:after="40"/>
              <w:rPr>
                <w:rFonts w:cstheme="minorHAnsi"/>
                <w:color w:val="0D0D0D" w:themeColor="text1" w:themeTint="F2"/>
              </w:rPr>
            </w:pPr>
            <w:r w:rsidRPr="00A461B6">
              <w:rPr>
                <w:rFonts w:cstheme="minorHAnsi"/>
                <w:color w:val="0D0D0D" w:themeColor="text1" w:themeTint="F2"/>
                <w:lang w:eastAsia="en-AU"/>
              </w:rPr>
              <w:t>$4.32 per dispense of Maximum Quantity</w:t>
            </w:r>
          </w:p>
        </w:tc>
      </w:tr>
      <w:tr w:rsidR="00095F74" w:rsidRPr="00A461B6" w14:paraId="7A45498F" w14:textId="77777777" w:rsidTr="00320BF2">
        <w:tc>
          <w:tcPr>
            <w:tcW w:w="2268" w:type="dxa"/>
          </w:tcPr>
          <w:p w14:paraId="7F69AD4A" w14:textId="77777777" w:rsidR="00095F74" w:rsidRPr="00A461B6" w:rsidRDefault="00095F74">
            <w:pPr>
              <w:keepNext/>
              <w:keepLines/>
              <w:spacing w:before="40" w:after="40"/>
              <w:rPr>
                <w:rFonts w:cstheme="minorHAnsi"/>
                <w:b/>
                <w:color w:val="0D0D0D" w:themeColor="text1" w:themeTint="F2"/>
              </w:rPr>
            </w:pPr>
          </w:p>
        </w:tc>
        <w:tc>
          <w:tcPr>
            <w:tcW w:w="4253" w:type="dxa"/>
            <w:hideMark/>
          </w:tcPr>
          <w:p w14:paraId="542AB49F" w14:textId="77777777" w:rsidR="00067FE9" w:rsidRPr="00A461B6" w:rsidRDefault="00067FE9">
            <w:pPr>
              <w:keepNext/>
              <w:keepLines/>
              <w:spacing w:before="40" w:after="40"/>
              <w:rPr>
                <w:rFonts w:cstheme="minorHAnsi"/>
                <w:color w:val="0D0D0D" w:themeColor="text1" w:themeTint="F2"/>
              </w:rPr>
            </w:pPr>
            <w:r w:rsidRPr="00A461B6">
              <w:rPr>
                <w:rFonts w:cstheme="minorHAnsi"/>
                <w:color w:val="0D0D0D" w:themeColor="text1" w:themeTint="F2"/>
              </w:rPr>
              <w:t>Tier Two:</w:t>
            </w:r>
          </w:p>
          <w:p w14:paraId="1429F050" w14:textId="1F24FE46" w:rsidR="00095F74" w:rsidRPr="00A461B6" w:rsidRDefault="00067FE9">
            <w:pPr>
              <w:keepNext/>
              <w:keepLines/>
              <w:spacing w:before="40" w:after="40"/>
              <w:rPr>
                <w:rFonts w:cstheme="minorHAnsi"/>
                <w:color w:val="0D0D0D" w:themeColor="text1" w:themeTint="F2"/>
              </w:rPr>
            </w:pPr>
            <w:r w:rsidRPr="00A461B6">
              <w:rPr>
                <w:rFonts w:cstheme="minorHAnsi"/>
                <w:color w:val="0D0D0D" w:themeColor="text1" w:themeTint="F2"/>
                <w:lang w:eastAsia="en-AU"/>
              </w:rPr>
              <w:t>For a Listed Brand with a Price to Pharmacists for Maximum Quantity from $100 and up to and including $2,000</w:t>
            </w:r>
          </w:p>
        </w:tc>
        <w:tc>
          <w:tcPr>
            <w:tcW w:w="2972" w:type="dxa"/>
            <w:hideMark/>
          </w:tcPr>
          <w:p w14:paraId="27F4ED6D" w14:textId="3D8CEF21" w:rsidR="00095F74" w:rsidRPr="00A461B6" w:rsidRDefault="00067FE9" w:rsidP="00067FE9">
            <w:pPr>
              <w:keepNext/>
              <w:keepLines/>
              <w:spacing w:before="40" w:after="40"/>
              <w:rPr>
                <w:rFonts w:cstheme="minorHAnsi"/>
                <w:color w:val="0D0D0D" w:themeColor="text1" w:themeTint="F2"/>
              </w:rPr>
            </w:pPr>
            <w:r w:rsidRPr="00A461B6">
              <w:rPr>
                <w:rFonts w:cstheme="minorHAnsi"/>
                <w:color w:val="0D0D0D" w:themeColor="text1" w:themeTint="F2"/>
                <w:lang w:eastAsia="en-AU"/>
              </w:rPr>
              <w:t>Tier One AHI Fee plus 5% of the amount by which the Price to Pharmacists for Maximum Quantity exceeds $100, per dispense of Maximum Quantity</w:t>
            </w:r>
          </w:p>
        </w:tc>
      </w:tr>
      <w:tr w:rsidR="00095F74" w:rsidRPr="00A461B6" w14:paraId="6ABC8A8F" w14:textId="77777777" w:rsidTr="00320BF2">
        <w:tc>
          <w:tcPr>
            <w:tcW w:w="2268" w:type="dxa"/>
          </w:tcPr>
          <w:p w14:paraId="4F23E06B" w14:textId="77777777" w:rsidR="00095F74" w:rsidRPr="00A461B6" w:rsidRDefault="00095F74">
            <w:pPr>
              <w:keepNext/>
              <w:keepLines/>
              <w:spacing w:before="40" w:after="40"/>
              <w:rPr>
                <w:rFonts w:cstheme="minorHAnsi"/>
                <w:b/>
                <w:color w:val="0D0D0D" w:themeColor="text1" w:themeTint="F2"/>
              </w:rPr>
            </w:pPr>
          </w:p>
        </w:tc>
        <w:tc>
          <w:tcPr>
            <w:tcW w:w="4253" w:type="dxa"/>
            <w:hideMark/>
          </w:tcPr>
          <w:p w14:paraId="1D457757" w14:textId="77777777" w:rsidR="00067FE9" w:rsidRPr="00A461B6" w:rsidRDefault="00067FE9">
            <w:pPr>
              <w:keepNext/>
              <w:keepLines/>
              <w:spacing w:before="40" w:after="40"/>
              <w:rPr>
                <w:rFonts w:cstheme="minorHAnsi"/>
                <w:color w:val="0D0D0D" w:themeColor="text1" w:themeTint="F2"/>
              </w:rPr>
            </w:pPr>
            <w:r w:rsidRPr="00A461B6">
              <w:rPr>
                <w:rFonts w:cstheme="minorHAnsi"/>
                <w:color w:val="0D0D0D" w:themeColor="text1" w:themeTint="F2"/>
              </w:rPr>
              <w:t>Tier Three:</w:t>
            </w:r>
          </w:p>
          <w:p w14:paraId="2E65513F" w14:textId="2CB08CFB" w:rsidR="00095F74" w:rsidRPr="00A461B6" w:rsidRDefault="00067FE9">
            <w:pPr>
              <w:keepNext/>
              <w:keepLines/>
              <w:spacing w:before="40" w:after="40"/>
              <w:rPr>
                <w:rFonts w:cstheme="minorHAnsi"/>
                <w:color w:val="0D0D0D" w:themeColor="text1" w:themeTint="F2"/>
              </w:rPr>
            </w:pPr>
            <w:r w:rsidRPr="00A461B6">
              <w:rPr>
                <w:rFonts w:cstheme="minorHAnsi"/>
                <w:color w:val="0D0D0D" w:themeColor="text1" w:themeTint="F2"/>
                <w:lang w:eastAsia="en-AU"/>
              </w:rPr>
              <w:t>For a Listed Brand with a Price to Pharmacists for Maximum Quantity over $2,000</w:t>
            </w:r>
          </w:p>
        </w:tc>
        <w:tc>
          <w:tcPr>
            <w:tcW w:w="2972" w:type="dxa"/>
            <w:hideMark/>
          </w:tcPr>
          <w:p w14:paraId="7FEAB8B2" w14:textId="6C450365" w:rsidR="00095F74" w:rsidRPr="00A461B6" w:rsidRDefault="00067FE9">
            <w:pPr>
              <w:keepNext/>
              <w:keepLines/>
              <w:spacing w:before="40" w:after="40"/>
              <w:rPr>
                <w:rFonts w:cstheme="minorHAnsi"/>
                <w:color w:val="0D0D0D" w:themeColor="text1" w:themeTint="F2"/>
              </w:rPr>
            </w:pPr>
            <w:r w:rsidRPr="00A461B6">
              <w:rPr>
                <w:rFonts w:cstheme="minorHAnsi"/>
                <w:color w:val="0D0D0D" w:themeColor="text1" w:themeTint="F2"/>
                <w:lang w:eastAsia="en-AU"/>
              </w:rPr>
              <w:t>Tier One AHI Fee and $95 per dispense of Maximum Quantity.</w:t>
            </w:r>
          </w:p>
        </w:tc>
      </w:tr>
      <w:tr w:rsidR="00095F74" w:rsidRPr="00A461B6" w14:paraId="737E5A2F" w14:textId="77777777" w:rsidTr="00320BF2">
        <w:tc>
          <w:tcPr>
            <w:tcW w:w="2268" w:type="dxa"/>
            <w:hideMark/>
          </w:tcPr>
          <w:p w14:paraId="5E1C8091" w14:textId="77777777" w:rsidR="00095F74" w:rsidRPr="00A461B6" w:rsidRDefault="00095F74">
            <w:pPr>
              <w:keepNext/>
              <w:keepLines/>
              <w:spacing w:before="40" w:after="40"/>
              <w:rPr>
                <w:rFonts w:cstheme="minorHAnsi"/>
                <w:b/>
                <w:color w:val="0D0D0D" w:themeColor="text1" w:themeTint="F2"/>
              </w:rPr>
            </w:pPr>
            <w:r w:rsidRPr="00A461B6">
              <w:rPr>
                <w:rFonts w:cstheme="minorHAnsi"/>
                <w:b/>
                <w:color w:val="0D0D0D" w:themeColor="text1" w:themeTint="F2"/>
              </w:rPr>
              <w:t>Additional Fees (for Safety Net prices):</w:t>
            </w:r>
          </w:p>
        </w:tc>
        <w:tc>
          <w:tcPr>
            <w:tcW w:w="4253" w:type="dxa"/>
            <w:hideMark/>
          </w:tcPr>
          <w:p w14:paraId="067D14BE"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Ready-prepared</w:t>
            </w:r>
          </w:p>
        </w:tc>
        <w:tc>
          <w:tcPr>
            <w:tcW w:w="2972" w:type="dxa"/>
            <w:hideMark/>
          </w:tcPr>
          <w:p w14:paraId="07917D3E" w14:textId="0CCF47D3" w:rsidR="00095F74" w:rsidRPr="00A461B6" w:rsidRDefault="00067FE9" w:rsidP="00B01D98">
            <w:pPr>
              <w:keepNext/>
              <w:keepLines/>
              <w:spacing w:before="40" w:after="40"/>
              <w:rPr>
                <w:rFonts w:cstheme="minorHAnsi"/>
                <w:color w:val="0D0D0D" w:themeColor="text1" w:themeTint="F2"/>
              </w:rPr>
            </w:pPr>
            <w:r w:rsidRPr="00A461B6">
              <w:rPr>
                <w:rFonts w:cstheme="minorHAnsi"/>
                <w:color w:val="0D0D0D" w:themeColor="text1" w:themeTint="F2"/>
              </w:rPr>
              <w:t>$1.31</w:t>
            </w:r>
          </w:p>
        </w:tc>
      </w:tr>
      <w:tr w:rsidR="00095F74" w:rsidRPr="00A461B6" w14:paraId="26CDF37E" w14:textId="77777777" w:rsidTr="00320BF2">
        <w:tc>
          <w:tcPr>
            <w:tcW w:w="2268" w:type="dxa"/>
          </w:tcPr>
          <w:p w14:paraId="5156B2C9" w14:textId="77777777" w:rsidR="00095F74" w:rsidRPr="00A461B6" w:rsidRDefault="00095F74">
            <w:pPr>
              <w:keepNext/>
              <w:keepLines/>
              <w:spacing w:before="40" w:after="40"/>
              <w:rPr>
                <w:rFonts w:cstheme="minorHAnsi"/>
                <w:b/>
                <w:color w:val="0D0D0D" w:themeColor="text1" w:themeTint="F2"/>
              </w:rPr>
            </w:pPr>
          </w:p>
        </w:tc>
        <w:tc>
          <w:tcPr>
            <w:tcW w:w="4253" w:type="dxa"/>
            <w:hideMark/>
          </w:tcPr>
          <w:p w14:paraId="0615B0A6"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Extemporaneously-prepared</w:t>
            </w:r>
          </w:p>
        </w:tc>
        <w:tc>
          <w:tcPr>
            <w:tcW w:w="2972" w:type="dxa"/>
            <w:hideMark/>
          </w:tcPr>
          <w:p w14:paraId="09268BCD" w14:textId="550A427E" w:rsidR="00095F74" w:rsidRPr="00A461B6" w:rsidRDefault="00067FE9" w:rsidP="00B01D98">
            <w:pPr>
              <w:keepNext/>
              <w:keepLines/>
              <w:spacing w:before="40" w:after="40"/>
              <w:rPr>
                <w:rFonts w:cstheme="minorHAnsi"/>
                <w:color w:val="0D0D0D" w:themeColor="text1" w:themeTint="F2"/>
              </w:rPr>
            </w:pPr>
            <w:r w:rsidRPr="00A461B6">
              <w:rPr>
                <w:rFonts w:cstheme="minorHAnsi"/>
                <w:color w:val="0D0D0D" w:themeColor="text1" w:themeTint="F2"/>
              </w:rPr>
              <w:t>$1.68</w:t>
            </w:r>
          </w:p>
        </w:tc>
      </w:tr>
      <w:tr w:rsidR="00985133" w:rsidRPr="00A461B6" w14:paraId="394DF7ED" w14:textId="77777777" w:rsidTr="00320BF2">
        <w:tc>
          <w:tcPr>
            <w:tcW w:w="2268" w:type="dxa"/>
          </w:tcPr>
          <w:p w14:paraId="12019311" w14:textId="7AF9F1A1" w:rsidR="00985133" w:rsidRPr="00A461B6" w:rsidRDefault="00985133" w:rsidP="00985133">
            <w:pPr>
              <w:keepNext/>
              <w:keepLines/>
              <w:spacing w:before="40" w:after="40"/>
              <w:rPr>
                <w:rFonts w:cstheme="minorHAnsi"/>
                <w:b/>
                <w:color w:val="0D0D0D" w:themeColor="text1" w:themeTint="F2"/>
              </w:rPr>
            </w:pPr>
            <w:r w:rsidRPr="00A461B6">
              <w:rPr>
                <w:rFonts w:cstheme="minorHAnsi"/>
                <w:b/>
                <w:color w:val="0D0D0D" w:themeColor="text1" w:themeTint="F2"/>
              </w:rPr>
              <w:t>Wholesale Mark-Up:</w:t>
            </w:r>
          </w:p>
        </w:tc>
        <w:tc>
          <w:tcPr>
            <w:tcW w:w="4253" w:type="dxa"/>
          </w:tcPr>
          <w:p w14:paraId="6173B676" w14:textId="66CABE2E" w:rsidR="00985133" w:rsidRPr="00A461B6" w:rsidRDefault="00985133">
            <w:pPr>
              <w:keepNext/>
              <w:keepLines/>
              <w:spacing w:before="40" w:after="40"/>
              <w:rPr>
                <w:rFonts w:cstheme="minorHAnsi"/>
                <w:color w:val="0D0D0D" w:themeColor="text1" w:themeTint="F2"/>
              </w:rPr>
            </w:pPr>
            <w:r w:rsidRPr="00A461B6">
              <w:rPr>
                <w:rFonts w:cstheme="minorHAnsi"/>
                <w:color w:val="0D0D0D" w:themeColor="text1" w:themeTint="F2"/>
              </w:rPr>
              <w:t>When the Ex-Manufacturer Price is up to and including $5.50</w:t>
            </w:r>
          </w:p>
        </w:tc>
        <w:tc>
          <w:tcPr>
            <w:tcW w:w="2972" w:type="dxa"/>
          </w:tcPr>
          <w:p w14:paraId="2F2BAB0E" w14:textId="776C8385" w:rsidR="00985133" w:rsidRPr="00A461B6" w:rsidRDefault="00985133">
            <w:pPr>
              <w:keepNext/>
              <w:keepLines/>
              <w:spacing w:before="40" w:after="40"/>
              <w:rPr>
                <w:rFonts w:cstheme="minorHAnsi"/>
                <w:color w:val="0D0D0D" w:themeColor="text1" w:themeTint="F2"/>
              </w:rPr>
            </w:pPr>
            <w:r w:rsidRPr="00A461B6">
              <w:rPr>
                <w:rFonts w:cstheme="minorHAnsi"/>
                <w:color w:val="0D0D0D" w:themeColor="text1" w:themeTint="F2"/>
              </w:rPr>
              <w:t>$0.41 per dispense</w:t>
            </w:r>
          </w:p>
        </w:tc>
      </w:tr>
      <w:tr w:rsidR="00985133" w:rsidRPr="00A461B6" w14:paraId="670629E1" w14:textId="77777777" w:rsidTr="00320BF2">
        <w:tc>
          <w:tcPr>
            <w:tcW w:w="2268" w:type="dxa"/>
          </w:tcPr>
          <w:p w14:paraId="0B3285EE" w14:textId="77777777" w:rsidR="00985133" w:rsidRPr="00A461B6" w:rsidRDefault="00985133">
            <w:pPr>
              <w:keepNext/>
              <w:keepLines/>
              <w:spacing w:before="40" w:after="40"/>
              <w:rPr>
                <w:rFonts w:cstheme="minorHAnsi"/>
                <w:b/>
                <w:color w:val="0D0D0D" w:themeColor="text1" w:themeTint="F2"/>
              </w:rPr>
            </w:pPr>
          </w:p>
        </w:tc>
        <w:tc>
          <w:tcPr>
            <w:tcW w:w="4253" w:type="dxa"/>
          </w:tcPr>
          <w:p w14:paraId="2C48BDA0" w14:textId="59676F9C" w:rsidR="00985133" w:rsidRPr="00A461B6" w:rsidRDefault="00985133">
            <w:pPr>
              <w:keepNext/>
              <w:keepLines/>
              <w:spacing w:before="40" w:after="40"/>
              <w:rPr>
                <w:rFonts w:cstheme="minorHAnsi"/>
                <w:color w:val="0D0D0D" w:themeColor="text1" w:themeTint="F2"/>
              </w:rPr>
            </w:pPr>
            <w:r w:rsidRPr="00A461B6">
              <w:rPr>
                <w:rFonts w:cstheme="minorHAnsi"/>
                <w:color w:val="0D0D0D" w:themeColor="text1" w:themeTint="F2"/>
              </w:rPr>
              <w:t>Where the Ex-Manufacturer Price is over $5.50 and up to and including $720</w:t>
            </w:r>
          </w:p>
        </w:tc>
        <w:tc>
          <w:tcPr>
            <w:tcW w:w="2972" w:type="dxa"/>
          </w:tcPr>
          <w:p w14:paraId="7D9F6582" w14:textId="2C40F7D4" w:rsidR="00985133" w:rsidRPr="00A461B6" w:rsidRDefault="00985133">
            <w:pPr>
              <w:keepNext/>
              <w:keepLines/>
              <w:spacing w:before="40" w:after="40"/>
              <w:rPr>
                <w:rFonts w:cstheme="minorHAnsi"/>
                <w:color w:val="0D0D0D" w:themeColor="text1" w:themeTint="F2"/>
              </w:rPr>
            </w:pPr>
            <w:r w:rsidRPr="00A461B6">
              <w:rPr>
                <w:rFonts w:cstheme="minorHAnsi"/>
                <w:color w:val="0D0D0D" w:themeColor="text1" w:themeTint="F2"/>
              </w:rPr>
              <w:t>7.52 per cent of the Ex-Manufacturer Price per dispense</w:t>
            </w:r>
          </w:p>
        </w:tc>
      </w:tr>
      <w:tr w:rsidR="00985133" w:rsidRPr="00A461B6" w14:paraId="682A25F0" w14:textId="77777777" w:rsidTr="00320BF2">
        <w:tc>
          <w:tcPr>
            <w:tcW w:w="2268" w:type="dxa"/>
          </w:tcPr>
          <w:p w14:paraId="19C704E6" w14:textId="77777777" w:rsidR="00985133" w:rsidRPr="00A461B6" w:rsidRDefault="00985133">
            <w:pPr>
              <w:keepNext/>
              <w:keepLines/>
              <w:spacing w:before="40" w:after="40"/>
              <w:rPr>
                <w:rFonts w:cstheme="minorHAnsi"/>
                <w:b/>
                <w:color w:val="0D0D0D" w:themeColor="text1" w:themeTint="F2"/>
              </w:rPr>
            </w:pPr>
          </w:p>
        </w:tc>
        <w:tc>
          <w:tcPr>
            <w:tcW w:w="4253" w:type="dxa"/>
          </w:tcPr>
          <w:p w14:paraId="03139F2F" w14:textId="31D06C4A" w:rsidR="00985133" w:rsidRPr="00A461B6" w:rsidRDefault="00985133">
            <w:pPr>
              <w:keepNext/>
              <w:keepLines/>
              <w:spacing w:before="40" w:after="40"/>
              <w:rPr>
                <w:rFonts w:cstheme="minorHAnsi"/>
                <w:color w:val="0D0D0D" w:themeColor="text1" w:themeTint="F2"/>
              </w:rPr>
            </w:pPr>
            <w:r w:rsidRPr="00A461B6">
              <w:rPr>
                <w:rFonts w:cstheme="minorHAnsi"/>
                <w:color w:val="0D0D0D" w:themeColor="text1" w:themeTint="F2"/>
              </w:rPr>
              <w:t>Where the Ex-Manufacturer Price is over $720</w:t>
            </w:r>
          </w:p>
        </w:tc>
        <w:tc>
          <w:tcPr>
            <w:tcW w:w="2972" w:type="dxa"/>
          </w:tcPr>
          <w:p w14:paraId="22CE8752" w14:textId="786F31AE" w:rsidR="00985133" w:rsidRPr="00A461B6" w:rsidRDefault="00985133">
            <w:pPr>
              <w:keepNext/>
              <w:keepLines/>
              <w:spacing w:before="40" w:after="40"/>
              <w:rPr>
                <w:rFonts w:cstheme="minorHAnsi"/>
                <w:color w:val="0D0D0D" w:themeColor="text1" w:themeTint="F2"/>
              </w:rPr>
            </w:pPr>
            <w:r w:rsidRPr="00A461B6">
              <w:rPr>
                <w:rFonts w:cstheme="minorHAnsi"/>
                <w:color w:val="0D0D0D" w:themeColor="text1" w:themeTint="F2"/>
              </w:rPr>
              <w:t>$54.14 per dispense</w:t>
            </w:r>
          </w:p>
        </w:tc>
      </w:tr>
      <w:tr w:rsidR="00095F74" w:rsidRPr="00A461B6" w14:paraId="3B78CC4D" w14:textId="77777777" w:rsidTr="00320BF2">
        <w:tc>
          <w:tcPr>
            <w:tcW w:w="2268" w:type="dxa"/>
            <w:hideMark/>
          </w:tcPr>
          <w:p w14:paraId="4602EF35" w14:textId="77777777" w:rsidR="00095F74" w:rsidRPr="00A461B6" w:rsidRDefault="00095F74">
            <w:pPr>
              <w:keepNext/>
              <w:keepLines/>
              <w:spacing w:before="40" w:after="40"/>
              <w:rPr>
                <w:rFonts w:cstheme="minorHAnsi"/>
                <w:b/>
                <w:color w:val="0D0D0D" w:themeColor="text1" w:themeTint="F2"/>
              </w:rPr>
            </w:pPr>
            <w:r w:rsidRPr="00A461B6">
              <w:rPr>
                <w:rFonts w:cstheme="minorHAnsi"/>
                <w:b/>
                <w:color w:val="0D0D0D" w:themeColor="text1" w:themeTint="F2"/>
              </w:rPr>
              <w:t>Patient Co-payments:</w:t>
            </w:r>
          </w:p>
        </w:tc>
        <w:tc>
          <w:tcPr>
            <w:tcW w:w="4253" w:type="dxa"/>
            <w:hideMark/>
          </w:tcPr>
          <w:p w14:paraId="799F9433" w14:textId="35336299"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General</w:t>
            </w:r>
            <w:r w:rsidR="00E412B9" w:rsidRPr="00A461B6">
              <w:rPr>
                <w:rFonts w:cstheme="minorHAnsi"/>
                <w:color w:val="0D0D0D" w:themeColor="text1" w:themeTint="F2"/>
              </w:rPr>
              <w:t xml:space="preserve"> (maximum)</w:t>
            </w:r>
          </w:p>
        </w:tc>
        <w:tc>
          <w:tcPr>
            <w:tcW w:w="2972" w:type="dxa"/>
            <w:hideMark/>
          </w:tcPr>
          <w:p w14:paraId="7A056175" w14:textId="72D0B06E" w:rsidR="00095F74" w:rsidRPr="00A461B6" w:rsidRDefault="00095F74" w:rsidP="00B01D98">
            <w:pPr>
              <w:keepNext/>
              <w:keepLines/>
              <w:spacing w:before="40" w:after="40"/>
              <w:rPr>
                <w:rFonts w:cstheme="minorHAnsi"/>
                <w:color w:val="0D0D0D" w:themeColor="text1" w:themeTint="F2"/>
              </w:rPr>
            </w:pPr>
            <w:r w:rsidRPr="00A461B6">
              <w:rPr>
                <w:rFonts w:cstheme="minorHAnsi"/>
                <w:color w:val="0D0D0D" w:themeColor="text1" w:themeTint="F2"/>
              </w:rPr>
              <w:t>$</w:t>
            </w:r>
            <w:r w:rsidR="00067FE9" w:rsidRPr="00A461B6">
              <w:rPr>
                <w:rFonts w:cstheme="minorHAnsi"/>
                <w:color w:val="0D0D0D" w:themeColor="text1" w:themeTint="F2"/>
              </w:rPr>
              <w:t>30.00</w:t>
            </w:r>
          </w:p>
        </w:tc>
      </w:tr>
      <w:tr w:rsidR="00095F74" w:rsidRPr="00A461B6" w14:paraId="192FE325" w14:textId="77777777" w:rsidTr="00320BF2">
        <w:tc>
          <w:tcPr>
            <w:tcW w:w="2268" w:type="dxa"/>
          </w:tcPr>
          <w:p w14:paraId="2442771F" w14:textId="77777777" w:rsidR="00095F74" w:rsidRPr="00A461B6" w:rsidRDefault="00095F74">
            <w:pPr>
              <w:keepNext/>
              <w:keepLines/>
              <w:spacing w:before="40" w:after="40"/>
              <w:rPr>
                <w:rFonts w:cstheme="minorHAnsi"/>
                <w:b/>
                <w:color w:val="0D0D0D" w:themeColor="text1" w:themeTint="F2"/>
              </w:rPr>
            </w:pPr>
          </w:p>
        </w:tc>
        <w:tc>
          <w:tcPr>
            <w:tcW w:w="4253" w:type="dxa"/>
            <w:hideMark/>
          </w:tcPr>
          <w:p w14:paraId="24E0AF3D"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Concessional</w:t>
            </w:r>
          </w:p>
        </w:tc>
        <w:tc>
          <w:tcPr>
            <w:tcW w:w="2972" w:type="dxa"/>
            <w:hideMark/>
          </w:tcPr>
          <w:p w14:paraId="5AAF7BDE" w14:textId="5FC02A59" w:rsidR="00095F74" w:rsidRPr="00A461B6" w:rsidRDefault="00095F74" w:rsidP="00B01D98">
            <w:pPr>
              <w:keepNext/>
              <w:keepLines/>
              <w:spacing w:before="40" w:after="40"/>
              <w:rPr>
                <w:rFonts w:cstheme="minorHAnsi"/>
                <w:color w:val="0D0D0D" w:themeColor="text1" w:themeTint="F2"/>
              </w:rPr>
            </w:pPr>
            <w:r w:rsidRPr="00A461B6">
              <w:rPr>
                <w:rFonts w:cstheme="minorHAnsi"/>
                <w:color w:val="0D0D0D" w:themeColor="text1" w:themeTint="F2"/>
              </w:rPr>
              <w:t>$</w:t>
            </w:r>
            <w:r w:rsidR="00067FE9" w:rsidRPr="00A461B6">
              <w:rPr>
                <w:rFonts w:cstheme="minorHAnsi"/>
                <w:color w:val="0D0D0D" w:themeColor="text1" w:themeTint="F2"/>
              </w:rPr>
              <w:t>7.30</w:t>
            </w:r>
          </w:p>
        </w:tc>
      </w:tr>
      <w:tr w:rsidR="00095F74" w:rsidRPr="00A461B6" w14:paraId="0DBB7E64" w14:textId="77777777" w:rsidTr="00320BF2">
        <w:tc>
          <w:tcPr>
            <w:tcW w:w="2268" w:type="dxa"/>
            <w:hideMark/>
          </w:tcPr>
          <w:p w14:paraId="5D29C0B5" w14:textId="77777777" w:rsidR="00095F74" w:rsidRPr="00A461B6" w:rsidRDefault="00095F74">
            <w:pPr>
              <w:keepNext/>
              <w:keepLines/>
              <w:spacing w:before="40" w:after="40"/>
              <w:rPr>
                <w:rFonts w:cstheme="minorHAnsi"/>
                <w:b/>
                <w:color w:val="0D0D0D" w:themeColor="text1" w:themeTint="F2"/>
              </w:rPr>
            </w:pPr>
            <w:r w:rsidRPr="00A461B6">
              <w:rPr>
                <w:rFonts w:cstheme="minorHAnsi"/>
                <w:b/>
                <w:color w:val="0D0D0D" w:themeColor="text1" w:themeTint="F2"/>
              </w:rPr>
              <w:t>Safety Net Thresholds:</w:t>
            </w:r>
          </w:p>
        </w:tc>
        <w:tc>
          <w:tcPr>
            <w:tcW w:w="4253" w:type="dxa"/>
            <w:hideMark/>
          </w:tcPr>
          <w:p w14:paraId="25D2B76C"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General</w:t>
            </w:r>
          </w:p>
        </w:tc>
        <w:tc>
          <w:tcPr>
            <w:tcW w:w="2972" w:type="dxa"/>
            <w:hideMark/>
          </w:tcPr>
          <w:p w14:paraId="1FD371A5" w14:textId="5D12CD60" w:rsidR="00095F74" w:rsidRPr="00A461B6" w:rsidRDefault="00095F74" w:rsidP="00B01D98">
            <w:pPr>
              <w:keepNext/>
              <w:keepLines/>
              <w:spacing w:before="40" w:after="40"/>
              <w:rPr>
                <w:rFonts w:cstheme="minorHAnsi"/>
                <w:color w:val="0D0D0D" w:themeColor="text1" w:themeTint="F2"/>
              </w:rPr>
            </w:pPr>
            <w:r w:rsidRPr="00A461B6">
              <w:rPr>
                <w:rFonts w:cstheme="minorHAnsi"/>
                <w:color w:val="0D0D0D" w:themeColor="text1" w:themeTint="F2"/>
              </w:rPr>
              <w:t>$</w:t>
            </w:r>
            <w:r w:rsidR="00067FE9" w:rsidRPr="00A461B6">
              <w:rPr>
                <w:rFonts w:cstheme="minorHAnsi"/>
                <w:color w:val="0D0D0D" w:themeColor="text1" w:themeTint="F2"/>
                <w:lang w:eastAsia="en-AU"/>
              </w:rPr>
              <w:t>1,563.50</w:t>
            </w:r>
          </w:p>
        </w:tc>
      </w:tr>
      <w:tr w:rsidR="00095F74" w:rsidRPr="00A461B6" w14:paraId="2ED6A35A" w14:textId="77777777" w:rsidTr="00320BF2">
        <w:tc>
          <w:tcPr>
            <w:tcW w:w="2268" w:type="dxa"/>
          </w:tcPr>
          <w:p w14:paraId="6CEC85B0" w14:textId="77777777" w:rsidR="00095F74" w:rsidRPr="00A461B6" w:rsidRDefault="00095F74">
            <w:pPr>
              <w:keepNext/>
              <w:keepLines/>
              <w:spacing w:before="40" w:after="40"/>
              <w:rPr>
                <w:rFonts w:cstheme="minorHAnsi"/>
                <w:b/>
                <w:color w:val="0D0D0D" w:themeColor="text1" w:themeTint="F2"/>
              </w:rPr>
            </w:pPr>
          </w:p>
        </w:tc>
        <w:tc>
          <w:tcPr>
            <w:tcW w:w="4253" w:type="dxa"/>
            <w:hideMark/>
          </w:tcPr>
          <w:p w14:paraId="48D19617" w14:textId="77777777" w:rsidR="00095F74" w:rsidRPr="00A461B6" w:rsidRDefault="00095F74">
            <w:pPr>
              <w:keepNext/>
              <w:keepLines/>
              <w:spacing w:before="40" w:after="40"/>
              <w:rPr>
                <w:rFonts w:cstheme="minorHAnsi"/>
                <w:color w:val="0D0D0D" w:themeColor="text1" w:themeTint="F2"/>
              </w:rPr>
            </w:pPr>
            <w:r w:rsidRPr="00A461B6">
              <w:rPr>
                <w:rFonts w:cstheme="minorHAnsi"/>
                <w:color w:val="0D0D0D" w:themeColor="text1" w:themeTint="F2"/>
              </w:rPr>
              <w:t>Concessional</w:t>
            </w:r>
          </w:p>
        </w:tc>
        <w:tc>
          <w:tcPr>
            <w:tcW w:w="2972" w:type="dxa"/>
            <w:hideMark/>
          </w:tcPr>
          <w:p w14:paraId="2B77D297" w14:textId="7408AE7E" w:rsidR="00095F74" w:rsidRPr="00A461B6" w:rsidRDefault="00095F74" w:rsidP="00B01D98">
            <w:pPr>
              <w:keepNext/>
              <w:keepLines/>
              <w:spacing w:before="40" w:after="40"/>
              <w:rPr>
                <w:rFonts w:cstheme="minorHAnsi"/>
                <w:color w:val="0D0D0D" w:themeColor="text1" w:themeTint="F2"/>
              </w:rPr>
            </w:pPr>
            <w:r w:rsidRPr="00A461B6">
              <w:rPr>
                <w:rFonts w:cstheme="minorHAnsi"/>
                <w:color w:val="0D0D0D" w:themeColor="text1" w:themeTint="F2"/>
              </w:rPr>
              <w:t>$</w:t>
            </w:r>
            <w:r w:rsidR="00067FE9" w:rsidRPr="00A461B6">
              <w:rPr>
                <w:rFonts w:cstheme="minorHAnsi"/>
                <w:color w:val="0D0D0D" w:themeColor="text1" w:themeTint="F2"/>
                <w:lang w:eastAsia="en-AU"/>
              </w:rPr>
              <w:t>262.80</w:t>
            </w:r>
          </w:p>
        </w:tc>
      </w:tr>
      <w:tr w:rsidR="00095F74" w:rsidRPr="00A461B6" w14:paraId="607822D0" w14:textId="77777777" w:rsidTr="00320BF2">
        <w:tc>
          <w:tcPr>
            <w:tcW w:w="2268" w:type="dxa"/>
            <w:hideMark/>
          </w:tcPr>
          <w:p w14:paraId="7B458BE2" w14:textId="77777777" w:rsidR="00095F74" w:rsidRPr="00A461B6" w:rsidRDefault="00095F74">
            <w:pPr>
              <w:keepNext/>
              <w:keepLines/>
              <w:spacing w:before="40" w:after="40"/>
              <w:rPr>
                <w:rFonts w:cstheme="minorHAnsi"/>
                <w:b/>
                <w:color w:val="0D0D0D" w:themeColor="text1" w:themeTint="F2"/>
              </w:rPr>
            </w:pPr>
            <w:r w:rsidRPr="00A461B6">
              <w:rPr>
                <w:rFonts w:cstheme="minorHAnsi"/>
                <w:b/>
                <w:color w:val="0D0D0D" w:themeColor="text1" w:themeTint="F2"/>
              </w:rPr>
              <w:t>Safety Net Card Issue Fee:</w:t>
            </w:r>
          </w:p>
        </w:tc>
        <w:tc>
          <w:tcPr>
            <w:tcW w:w="4253" w:type="dxa"/>
          </w:tcPr>
          <w:p w14:paraId="3614554A" w14:textId="77777777" w:rsidR="00095F74" w:rsidRPr="00A461B6" w:rsidRDefault="00095F74">
            <w:pPr>
              <w:keepNext/>
              <w:keepLines/>
              <w:spacing w:before="40" w:after="40"/>
              <w:rPr>
                <w:rFonts w:cstheme="minorHAnsi"/>
                <w:color w:val="0D0D0D" w:themeColor="text1" w:themeTint="F2"/>
              </w:rPr>
            </w:pPr>
          </w:p>
        </w:tc>
        <w:tc>
          <w:tcPr>
            <w:tcW w:w="2972" w:type="dxa"/>
            <w:hideMark/>
          </w:tcPr>
          <w:p w14:paraId="4518B8D8" w14:textId="6AAD2854" w:rsidR="00095F74" w:rsidRPr="00A461B6" w:rsidRDefault="00095F74" w:rsidP="00B01D98">
            <w:pPr>
              <w:keepNext/>
              <w:keepLines/>
              <w:spacing w:before="40" w:after="40"/>
              <w:rPr>
                <w:rFonts w:cstheme="minorHAnsi"/>
                <w:color w:val="0D0D0D" w:themeColor="text1" w:themeTint="F2"/>
              </w:rPr>
            </w:pPr>
            <w:r w:rsidRPr="00A461B6">
              <w:rPr>
                <w:rFonts w:cstheme="minorHAnsi"/>
                <w:color w:val="0D0D0D" w:themeColor="text1" w:themeTint="F2"/>
              </w:rPr>
              <w:t>$1</w:t>
            </w:r>
            <w:r w:rsidR="00067FE9" w:rsidRPr="00A461B6">
              <w:rPr>
                <w:rFonts w:cstheme="minorHAnsi"/>
                <w:color w:val="0D0D0D" w:themeColor="text1" w:themeTint="F2"/>
              </w:rPr>
              <w:t>1</w:t>
            </w:r>
            <w:r w:rsidRPr="00A461B6">
              <w:rPr>
                <w:rFonts w:cstheme="minorHAnsi"/>
                <w:color w:val="0D0D0D" w:themeColor="text1" w:themeTint="F2"/>
              </w:rPr>
              <w:t>.</w:t>
            </w:r>
            <w:r w:rsidR="00067FE9" w:rsidRPr="00A461B6">
              <w:rPr>
                <w:rFonts w:cstheme="minorHAnsi"/>
                <w:color w:val="0D0D0D" w:themeColor="text1" w:themeTint="F2"/>
              </w:rPr>
              <w:t>42</w:t>
            </w:r>
          </w:p>
        </w:tc>
      </w:tr>
    </w:tbl>
    <w:p w14:paraId="7BDC786D" w14:textId="6D833A83" w:rsidR="00095F74" w:rsidRPr="00BB037E" w:rsidRDefault="00095F74" w:rsidP="00095F74">
      <w:pPr>
        <w:pStyle w:val="FootnoteText"/>
        <w:keepNext/>
        <w:keepLines/>
        <w:rPr>
          <w:rFonts w:ascii="Calibri" w:hAnsi="Calibri" w:cs="Calibri"/>
          <w:lang w:val="fr-FR"/>
        </w:rPr>
      </w:pPr>
      <w:r w:rsidRPr="00BB037E">
        <w:rPr>
          <w:rFonts w:ascii="Calibri" w:hAnsi="Calibri" w:cs="Calibri"/>
          <w:color w:val="0D0D0D" w:themeColor="text1" w:themeTint="F2"/>
          <w:lang w:val="fr-FR"/>
        </w:rPr>
        <w:t xml:space="preserve">Source: </w:t>
      </w:r>
      <w:hyperlink r:id="rId11" w:history="1">
        <w:r w:rsidR="00E92B81" w:rsidRPr="00BB037E">
          <w:rPr>
            <w:rStyle w:val="Hyperlink"/>
            <w:rFonts w:ascii="Calibri" w:hAnsi="Calibri" w:cs="Calibri"/>
            <w:lang w:val="fr-FR"/>
          </w:rPr>
          <w:t>http://www.pbs.gov.au/info/healthpro/explanatory-notes/front/fee</w:t>
        </w:r>
      </w:hyperlink>
    </w:p>
    <w:p w14:paraId="7E1DF8F1" w14:textId="6A63738E" w:rsidR="00DC5650" w:rsidRPr="00A461B6" w:rsidRDefault="00095F74" w:rsidP="00067FE9">
      <w:pPr>
        <w:shd w:val="clear" w:color="auto" w:fill="FFFFFF"/>
        <w:spacing w:before="240" w:after="240" w:line="300" w:lineRule="atLeast"/>
        <w:rPr>
          <w:color w:val="0D0D0D" w:themeColor="text1" w:themeTint="F2"/>
        </w:rPr>
      </w:pPr>
      <w:r w:rsidRPr="00A461B6">
        <w:rPr>
          <w:color w:val="0D0D0D" w:themeColor="text1" w:themeTint="F2"/>
        </w:rPr>
        <w:t>*</w:t>
      </w:r>
      <w:r w:rsidR="00067FE9" w:rsidRPr="00A461B6">
        <w:rPr>
          <w:color w:val="0D0D0D" w:themeColor="text1" w:themeTint="F2"/>
        </w:rPr>
        <w:t>The allowable additional patient charge is a discretionary charge to general patients if a pharmaceutical item has a dispensed price for maximum quantity less than the general patient co-payment amount. The pharmacist may charge general patients the allowable additional fee but the fee cannot take the cost of the prescription above the general patient co</w:t>
      </w:r>
      <w:r w:rsidR="003F02A1" w:rsidRPr="00A461B6">
        <w:rPr>
          <w:color w:val="0D0D0D" w:themeColor="text1" w:themeTint="F2"/>
        </w:rPr>
        <w:noBreakHyphen/>
      </w:r>
      <w:r w:rsidR="00067FE9" w:rsidRPr="00A461B6">
        <w:rPr>
          <w:color w:val="0D0D0D" w:themeColor="text1" w:themeTint="F2"/>
        </w:rPr>
        <w:t>payment amount for the medicine</w:t>
      </w:r>
      <w:r w:rsidR="00FC1C70" w:rsidRPr="00A461B6">
        <w:rPr>
          <w:color w:val="0D0D0D" w:themeColor="text1" w:themeTint="F2"/>
        </w:rPr>
        <w:t>.</w:t>
      </w:r>
    </w:p>
    <w:p w14:paraId="611B93D7" w14:textId="01FD1311" w:rsidR="00B26978" w:rsidRPr="00A461B6" w:rsidRDefault="00B26978" w:rsidP="00DC5650">
      <w:pPr>
        <w:pStyle w:val="Heading3"/>
      </w:pPr>
      <w:bookmarkStart w:id="45" w:name="_Toc132192294"/>
      <w:bookmarkStart w:id="46" w:name="_Toc134603925"/>
      <w:r w:rsidRPr="00A461B6">
        <w:t>1.8</w:t>
      </w:r>
      <w:r w:rsidR="000D0C1E">
        <w:tab/>
      </w:r>
      <w:r w:rsidRPr="00A461B6">
        <w:t>PBAC R</w:t>
      </w:r>
      <w:r w:rsidR="0097798F" w:rsidRPr="00A461B6">
        <w:t>ecommendation</w:t>
      </w:r>
      <w:bookmarkEnd w:id="45"/>
      <w:bookmarkEnd w:id="46"/>
    </w:p>
    <w:p w14:paraId="7F4AA05B" w14:textId="6F5A5E2C" w:rsidR="0029407A" w:rsidRPr="00A461B6" w:rsidRDefault="0029407A" w:rsidP="00D2693C">
      <w:pPr>
        <w:pStyle w:val="NormalWeb"/>
        <w:spacing w:before="0" w:beforeAutospacing="0" w:after="240" w:afterAutospacing="0" w:line="300" w:lineRule="atLeast"/>
        <w:rPr>
          <w:rFonts w:cstheme="minorHAnsi"/>
          <w:color w:val="0D0D0D" w:themeColor="text1" w:themeTint="F2"/>
        </w:rPr>
      </w:pPr>
      <w:r w:rsidRPr="00A461B6">
        <w:rPr>
          <w:rFonts w:asciiTheme="minorHAnsi" w:hAnsiTheme="minorHAnsi" w:cstheme="minorHAnsi"/>
          <w:color w:val="0D0D0D" w:themeColor="text1" w:themeTint="F2"/>
        </w:rPr>
        <w:t xml:space="preserve">In August 2018, the PBAC </w:t>
      </w:r>
      <w:r w:rsidR="008A7D01" w:rsidRPr="00A461B6">
        <w:rPr>
          <w:rFonts w:asciiTheme="minorHAnsi" w:hAnsiTheme="minorHAnsi" w:cstheme="minorHAnsi"/>
          <w:color w:val="0D0D0D" w:themeColor="text1" w:themeTint="F2"/>
        </w:rPr>
        <w:t>considered</w:t>
      </w:r>
      <w:r w:rsidR="006327E9" w:rsidRPr="00A461B6">
        <w:rPr>
          <w:rFonts w:asciiTheme="minorHAnsi" w:hAnsiTheme="minorHAnsi" w:cstheme="minorHAnsi"/>
          <w:color w:val="0D0D0D" w:themeColor="text1" w:themeTint="F2"/>
        </w:rPr>
        <w:t xml:space="preserve"> a proposal for doctors to be given the choice to prescribe larger medicine quantities (two months’ supply) for some patients who have chronic stable </w:t>
      </w:r>
      <w:r w:rsidR="00295441" w:rsidRPr="00A461B6">
        <w:rPr>
          <w:rFonts w:asciiTheme="minorHAnsi" w:hAnsiTheme="minorHAnsi" w:cstheme="minorHAnsi"/>
          <w:color w:val="0D0D0D" w:themeColor="text1" w:themeTint="F2"/>
        </w:rPr>
        <w:t xml:space="preserve">medical </w:t>
      </w:r>
      <w:r w:rsidR="006327E9" w:rsidRPr="00A461B6">
        <w:rPr>
          <w:rFonts w:asciiTheme="minorHAnsi" w:hAnsiTheme="minorHAnsi" w:cstheme="minorHAnsi"/>
          <w:color w:val="0D0D0D" w:themeColor="text1" w:themeTint="F2"/>
        </w:rPr>
        <w:t>conditions</w:t>
      </w:r>
      <w:r w:rsidR="00E412B9" w:rsidRPr="00A461B6">
        <w:rPr>
          <w:rFonts w:asciiTheme="minorHAnsi" w:hAnsiTheme="minorHAnsi" w:cstheme="minorHAnsi"/>
          <w:color w:val="0D0D0D" w:themeColor="text1" w:themeTint="F2"/>
        </w:rPr>
        <w:t>, for particular medicines listed on the PBS</w:t>
      </w:r>
      <w:r w:rsidR="006327E9" w:rsidRPr="00A461B6">
        <w:rPr>
          <w:rFonts w:asciiTheme="minorHAnsi" w:hAnsiTheme="minorHAnsi" w:cstheme="minorHAnsi"/>
          <w:color w:val="0D0D0D" w:themeColor="text1" w:themeTint="F2"/>
        </w:rPr>
        <w:t xml:space="preserve">. The PBAC outcome statement related to this proposal </w:t>
      </w:r>
      <w:r w:rsidR="008A7D01" w:rsidRPr="00A461B6">
        <w:rPr>
          <w:rFonts w:asciiTheme="minorHAnsi" w:hAnsiTheme="minorHAnsi" w:cstheme="minorHAnsi"/>
          <w:color w:val="0D0D0D" w:themeColor="text1" w:themeTint="F2"/>
        </w:rPr>
        <w:t>was</w:t>
      </w:r>
      <w:r w:rsidR="006327E9" w:rsidRPr="00A461B6">
        <w:rPr>
          <w:rFonts w:asciiTheme="minorHAnsi" w:hAnsiTheme="minorHAnsi" w:cstheme="minorHAnsi"/>
          <w:color w:val="0D0D0D" w:themeColor="text1" w:themeTint="F2"/>
        </w:rPr>
        <w:t xml:space="preserve"> published by the Department of Health</w:t>
      </w:r>
      <w:r w:rsidR="009C73A8" w:rsidRPr="00A461B6">
        <w:rPr>
          <w:rFonts w:asciiTheme="minorHAnsi" w:hAnsiTheme="minorHAnsi" w:cstheme="minorHAnsi"/>
          <w:color w:val="0D0D0D" w:themeColor="text1" w:themeTint="F2"/>
        </w:rPr>
        <w:t>.</w:t>
      </w:r>
      <w:r w:rsidR="009C73A8" w:rsidRPr="00A461B6">
        <w:rPr>
          <w:rStyle w:val="FootnoteReference"/>
          <w:rFonts w:asciiTheme="minorHAnsi" w:hAnsiTheme="minorHAnsi" w:cstheme="minorHAnsi"/>
          <w:color w:val="0D0D0D" w:themeColor="text1" w:themeTint="F2"/>
        </w:rPr>
        <w:footnoteReference w:id="11"/>
      </w:r>
      <w:r w:rsidR="008A7D01" w:rsidRPr="00A461B6">
        <w:rPr>
          <w:rFonts w:asciiTheme="minorHAnsi" w:hAnsiTheme="minorHAnsi" w:cstheme="minorHAnsi"/>
          <w:color w:val="0D0D0D" w:themeColor="text1" w:themeTint="F2"/>
        </w:rPr>
        <w:t xml:space="preserve"> </w:t>
      </w:r>
      <w:r w:rsidR="006327E9" w:rsidRPr="00A461B6">
        <w:rPr>
          <w:rFonts w:asciiTheme="minorHAnsi" w:hAnsiTheme="minorHAnsi" w:cstheme="minorHAnsi"/>
          <w:color w:val="0D0D0D" w:themeColor="text1" w:themeTint="F2"/>
        </w:rPr>
        <w:t xml:space="preserve">The Government did not proceed with changes to </w:t>
      </w:r>
      <w:r w:rsidR="00C51D1D" w:rsidRPr="00A461B6">
        <w:rPr>
          <w:rFonts w:asciiTheme="minorHAnsi" w:hAnsiTheme="minorHAnsi" w:cstheme="minorHAnsi"/>
          <w:color w:val="0D0D0D" w:themeColor="text1" w:themeTint="F2"/>
        </w:rPr>
        <w:t xml:space="preserve">the </w:t>
      </w:r>
      <w:r w:rsidR="006327E9" w:rsidRPr="00A461B6">
        <w:rPr>
          <w:rFonts w:asciiTheme="minorHAnsi" w:hAnsiTheme="minorHAnsi" w:cstheme="minorHAnsi"/>
          <w:color w:val="0D0D0D" w:themeColor="text1" w:themeTint="F2"/>
        </w:rPr>
        <w:t>quantities for PBS medicines at that time.</w:t>
      </w:r>
    </w:p>
    <w:p w14:paraId="31BBB6AA" w14:textId="63701C4B" w:rsidR="00B26978" w:rsidRPr="00A461B6" w:rsidRDefault="00B26978" w:rsidP="00D2693C">
      <w:pPr>
        <w:pStyle w:val="BodyText"/>
        <w:rPr>
          <w:color w:val="0D0D0D" w:themeColor="text1" w:themeTint="F2"/>
          <w:sz w:val="24"/>
          <w:szCs w:val="24"/>
        </w:rPr>
      </w:pPr>
      <w:r w:rsidRPr="00A461B6">
        <w:rPr>
          <w:color w:val="0D0D0D" w:themeColor="text1" w:themeTint="F2"/>
          <w:sz w:val="24"/>
          <w:szCs w:val="24"/>
        </w:rPr>
        <w:t>In December 2022, the PBAC consider</w:t>
      </w:r>
      <w:r w:rsidR="00295441" w:rsidRPr="00A461B6">
        <w:rPr>
          <w:color w:val="0D0D0D" w:themeColor="text1" w:themeTint="F2"/>
          <w:sz w:val="24"/>
          <w:szCs w:val="24"/>
        </w:rPr>
        <w:t>ed</w:t>
      </w:r>
      <w:r w:rsidR="002A1C97" w:rsidRPr="00A461B6">
        <w:rPr>
          <w:color w:val="0D0D0D" w:themeColor="text1" w:themeTint="F2"/>
          <w:sz w:val="24"/>
          <w:szCs w:val="24"/>
        </w:rPr>
        <w:t xml:space="preserve"> </w:t>
      </w:r>
      <w:r w:rsidRPr="00A461B6">
        <w:rPr>
          <w:color w:val="0D0D0D" w:themeColor="text1" w:themeTint="F2"/>
          <w:sz w:val="24"/>
          <w:szCs w:val="24"/>
        </w:rPr>
        <w:t>and provide</w:t>
      </w:r>
      <w:r w:rsidR="00295441" w:rsidRPr="00A461B6">
        <w:rPr>
          <w:color w:val="0D0D0D" w:themeColor="text1" w:themeTint="F2"/>
          <w:sz w:val="24"/>
          <w:szCs w:val="24"/>
        </w:rPr>
        <w:t>d</w:t>
      </w:r>
      <w:r w:rsidRPr="00A461B6">
        <w:rPr>
          <w:color w:val="0D0D0D" w:themeColor="text1" w:themeTint="F2"/>
          <w:sz w:val="24"/>
          <w:szCs w:val="24"/>
        </w:rPr>
        <w:t xml:space="preserve"> advice on a proposal that would improve access to PBS medicines </w:t>
      </w:r>
      <w:r w:rsidR="00295441" w:rsidRPr="00A461B6">
        <w:rPr>
          <w:color w:val="0D0D0D" w:themeColor="text1" w:themeTint="F2"/>
          <w:sz w:val="24"/>
          <w:szCs w:val="24"/>
        </w:rPr>
        <w:t xml:space="preserve">for </w:t>
      </w:r>
      <w:r w:rsidRPr="00A461B6">
        <w:rPr>
          <w:color w:val="0D0D0D" w:themeColor="text1" w:themeTint="F2"/>
          <w:sz w:val="24"/>
          <w:szCs w:val="24"/>
        </w:rPr>
        <w:t xml:space="preserve">patients </w:t>
      </w:r>
      <w:r w:rsidR="00295441" w:rsidRPr="00A461B6">
        <w:rPr>
          <w:color w:val="0D0D0D" w:themeColor="text1" w:themeTint="F2"/>
          <w:sz w:val="24"/>
          <w:szCs w:val="24"/>
        </w:rPr>
        <w:t xml:space="preserve">with </w:t>
      </w:r>
      <w:r w:rsidRPr="00A461B6">
        <w:rPr>
          <w:color w:val="0D0D0D" w:themeColor="text1" w:themeTint="F2"/>
          <w:sz w:val="24"/>
          <w:szCs w:val="24"/>
        </w:rPr>
        <w:t>stable, chronic medical conditions</w:t>
      </w:r>
      <w:r w:rsidR="00295441" w:rsidRPr="00A461B6">
        <w:rPr>
          <w:color w:val="0D0D0D" w:themeColor="text1" w:themeTint="F2"/>
          <w:sz w:val="24"/>
          <w:szCs w:val="24"/>
        </w:rPr>
        <w:t xml:space="preserve"> by providing prescribers the choice to prescribe</w:t>
      </w:r>
      <w:r w:rsidRPr="00A461B6">
        <w:rPr>
          <w:color w:val="0D0D0D" w:themeColor="text1" w:themeTint="F2"/>
          <w:sz w:val="24"/>
          <w:szCs w:val="24"/>
        </w:rPr>
        <w:t xml:space="preserve"> an increased dispensed quantity for selected PBS medicines</w:t>
      </w:r>
      <w:r w:rsidR="00295441" w:rsidRPr="00A461B6">
        <w:rPr>
          <w:color w:val="0D0D0D" w:themeColor="text1" w:themeTint="F2"/>
          <w:sz w:val="24"/>
          <w:szCs w:val="24"/>
        </w:rPr>
        <w:t>;</w:t>
      </w:r>
      <w:r w:rsidRPr="00A461B6">
        <w:rPr>
          <w:color w:val="0D0D0D" w:themeColor="text1" w:themeTint="F2"/>
          <w:sz w:val="24"/>
          <w:szCs w:val="24"/>
        </w:rPr>
        <w:t xml:space="preserve"> two months’ or three months’ supply instead of the current one month’s supply at each dispensing. </w:t>
      </w:r>
    </w:p>
    <w:p w14:paraId="14BD0546" w14:textId="4B9B8A48" w:rsidR="00B26978" w:rsidRPr="00A461B6" w:rsidRDefault="00B26978" w:rsidP="00D2693C">
      <w:pPr>
        <w:pStyle w:val="NormalWeb"/>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The PBAC considered a list of medicines from the General Schedule (section 85) listed for use in chronic conditions for suitability for the proposal. Based on an assessment of clinical safety and ongoing cost</w:t>
      </w:r>
      <w:r w:rsidRPr="00A461B6">
        <w:rPr>
          <w:rFonts w:asciiTheme="minorHAnsi" w:hAnsiTheme="minorHAnsi" w:cstheme="minorHAnsi"/>
          <w:color w:val="0D0D0D" w:themeColor="text1" w:themeTint="F2"/>
        </w:rPr>
        <w:noBreakHyphen/>
        <w:t>effectiveness, the PBAC recommended that</w:t>
      </w:r>
      <w:r w:rsidR="00B27208" w:rsidRPr="00A461B6">
        <w:rPr>
          <w:rFonts w:asciiTheme="minorHAnsi" w:hAnsiTheme="minorHAnsi" w:cstheme="minorHAnsi"/>
          <w:color w:val="0D0D0D" w:themeColor="text1" w:themeTint="F2"/>
        </w:rPr>
        <w:t xml:space="preserve"> some</w:t>
      </w:r>
      <w:r w:rsidRPr="00A461B6">
        <w:rPr>
          <w:rFonts w:asciiTheme="minorHAnsi" w:hAnsiTheme="minorHAnsi" w:cstheme="minorHAnsi"/>
          <w:color w:val="0D0D0D" w:themeColor="text1" w:themeTint="F2"/>
        </w:rPr>
        <w:t xml:space="preserve"> 3</w:t>
      </w:r>
      <w:r w:rsidR="00C328FF" w:rsidRPr="00A461B6">
        <w:rPr>
          <w:rFonts w:asciiTheme="minorHAnsi" w:hAnsiTheme="minorHAnsi" w:cstheme="minorHAnsi"/>
          <w:color w:val="0D0D0D" w:themeColor="text1" w:themeTint="F2"/>
        </w:rPr>
        <w:t>00 plus</w:t>
      </w:r>
      <w:r w:rsidR="00B27208" w:rsidRPr="00A461B6">
        <w:rPr>
          <w:rFonts w:asciiTheme="minorHAnsi" w:hAnsiTheme="minorHAnsi" w:cstheme="minorHAnsi"/>
          <w:color w:val="0D0D0D" w:themeColor="text1" w:themeTint="F2"/>
        </w:rPr>
        <w:t xml:space="preserve"> </w:t>
      </w:r>
      <w:r w:rsidRPr="00A461B6">
        <w:rPr>
          <w:rFonts w:asciiTheme="minorHAnsi" w:hAnsiTheme="minorHAnsi" w:cstheme="minorHAnsi"/>
          <w:color w:val="0D0D0D" w:themeColor="text1" w:themeTint="F2"/>
        </w:rPr>
        <w:t xml:space="preserve">medicines were acceptable for listing with increased maximum quantities. The PBAC also agreed on a criterion and standard restriction wording for all medicines included in this proposal, to ensure the higher maximum dispensed quantity items are only prescribed to patients whose condition is stable. The PBS items with the increased maximum dispensed quantities would be in addition to the medicine’s corresponding current PBS items that provide one month’s supply and five repeats. Prescriptions for smaller quantities could still be prescribed for patients as clinically appropriate, avoiding medicine wastage and supporting closer clinical monitoring of patients where required. </w:t>
      </w:r>
    </w:p>
    <w:p w14:paraId="74E9E689" w14:textId="759A15B0" w:rsidR="00B26978" w:rsidRPr="00A461B6" w:rsidRDefault="00B26978" w:rsidP="00D2693C">
      <w:pPr>
        <w:pStyle w:val="NormalWeb"/>
        <w:spacing w:before="0" w:beforeAutospacing="0" w:after="240" w:afterAutospacing="0" w:line="300" w:lineRule="atLeast"/>
        <w:rPr>
          <w:rFonts w:asciiTheme="minorHAnsi" w:hAnsiTheme="minorHAnsi" w:cstheme="minorHAnsi"/>
          <w:color w:val="0D0D0D" w:themeColor="text1" w:themeTint="F2"/>
        </w:rPr>
      </w:pPr>
      <w:r w:rsidRPr="00A461B6">
        <w:rPr>
          <w:rFonts w:asciiTheme="minorHAnsi" w:hAnsiTheme="minorHAnsi" w:cstheme="minorHAnsi"/>
          <w:color w:val="0D0D0D" w:themeColor="text1" w:themeTint="F2"/>
        </w:rPr>
        <w:t xml:space="preserve">The PBAC considered that this proposal would allow clinicians to exercise greater choice and provide patients both financial and convenience benefits through choosing to prescribe the increased maximum quantity if clinically appropriate. The PBAC also considered that allowing two or three months’ supply per dispensing was safe for the list of recommended medicines and that the implementation of increased maximum quantities allowing two or three months’ supply was </w:t>
      </w:r>
      <w:r w:rsidR="00FE0FE5" w:rsidRPr="00A461B6">
        <w:rPr>
          <w:rFonts w:asciiTheme="minorHAnsi" w:hAnsiTheme="minorHAnsi" w:cstheme="minorHAnsi"/>
          <w:color w:val="0D0D0D" w:themeColor="text1" w:themeTint="F2"/>
        </w:rPr>
        <w:t xml:space="preserve">a decision </w:t>
      </w:r>
      <w:r w:rsidRPr="00A461B6">
        <w:rPr>
          <w:rFonts w:asciiTheme="minorHAnsi" w:hAnsiTheme="minorHAnsi" w:cstheme="minorHAnsi"/>
          <w:color w:val="0D0D0D" w:themeColor="text1" w:themeTint="F2"/>
        </w:rPr>
        <w:t>for Government</w:t>
      </w:r>
      <w:r w:rsidR="00FE0FE5" w:rsidRPr="00A461B6">
        <w:rPr>
          <w:rFonts w:asciiTheme="minorHAnsi" w:hAnsiTheme="minorHAnsi" w:cstheme="minorHAnsi"/>
          <w:color w:val="0D0D0D" w:themeColor="text1" w:themeTint="F2"/>
        </w:rPr>
        <w:t>.</w:t>
      </w:r>
      <w:r w:rsidRPr="00A461B6">
        <w:rPr>
          <w:rFonts w:asciiTheme="minorHAnsi" w:hAnsiTheme="minorHAnsi" w:cstheme="minorHAnsi"/>
          <w:color w:val="0D0D0D" w:themeColor="text1" w:themeTint="F2"/>
        </w:rPr>
        <w:t xml:space="preserve"> </w:t>
      </w:r>
      <w:r w:rsidR="009064BA" w:rsidRPr="00A461B6">
        <w:rPr>
          <w:rFonts w:asciiTheme="minorHAnsi" w:hAnsiTheme="minorHAnsi"/>
          <w:color w:val="000000" w:themeColor="text1"/>
        </w:rPr>
        <w:t>The PBAC did not express a preference for either option and considered that allowing two or three months’ supply per dispensing was safe for the list of recommended medicines.</w:t>
      </w:r>
    </w:p>
    <w:p w14:paraId="030098AD" w14:textId="01E6BCC9" w:rsidR="00B26978" w:rsidRPr="00A461B6" w:rsidRDefault="00B26978" w:rsidP="00D2693C">
      <w:pPr>
        <w:pStyle w:val="BodyText"/>
        <w:rPr>
          <w:color w:val="0D0D0D" w:themeColor="text1" w:themeTint="F2"/>
          <w:sz w:val="24"/>
        </w:rPr>
      </w:pPr>
      <w:r w:rsidRPr="00A461B6">
        <w:rPr>
          <w:color w:val="0D0D0D" w:themeColor="text1" w:themeTint="F2"/>
          <w:sz w:val="24"/>
        </w:rPr>
        <w:t xml:space="preserve">The list of medicines </w:t>
      </w:r>
      <w:r w:rsidR="00FE0FE5" w:rsidRPr="00A461B6">
        <w:rPr>
          <w:color w:val="0D0D0D" w:themeColor="text1" w:themeTint="F2"/>
          <w:sz w:val="24"/>
        </w:rPr>
        <w:t xml:space="preserve">recommended </w:t>
      </w:r>
      <w:r w:rsidRPr="00A461B6">
        <w:rPr>
          <w:color w:val="0D0D0D" w:themeColor="text1" w:themeTint="F2"/>
          <w:sz w:val="24"/>
        </w:rPr>
        <w:t xml:space="preserve">by the PBAC as suitable for increased maximum dispensed quantities includes medicines for asthma, cardiovascular disease, chronic obstructive pulmonary disease (COPD), constipation, chronic renal failure, Crohn disease, depression, diabetes, epilepsy, eye drops for glaucoma and dry eyes, gout, heart failure, high cholesterol, hormonal replacement and modulation therapy, hypertension, osteoporosis, Parkinson disease and ulcerative colitis. There are some medicines for conditions that require frequent clinical monitoring or dose titration that are not considered by PBAC as safe and suitable for dispensing in higher quantities. </w:t>
      </w:r>
    </w:p>
    <w:p w14:paraId="679399B2" w14:textId="5576F38A" w:rsidR="00B26978" w:rsidRPr="00A461B6" w:rsidRDefault="00B26978" w:rsidP="00D2693C">
      <w:pPr>
        <w:pStyle w:val="NormalWeb"/>
        <w:spacing w:before="0" w:beforeAutospacing="0" w:after="240" w:afterAutospacing="0" w:line="300" w:lineRule="atLeast"/>
        <w:rPr>
          <w:color w:val="0D0D0D" w:themeColor="text1" w:themeTint="F2"/>
        </w:rPr>
      </w:pPr>
      <w:r w:rsidRPr="00A461B6">
        <w:rPr>
          <w:rFonts w:asciiTheme="minorHAnsi" w:hAnsiTheme="minorHAnsi" w:cstheme="minorHAnsi"/>
          <w:color w:val="0D0D0D" w:themeColor="text1" w:themeTint="F2"/>
        </w:rPr>
        <w:t xml:space="preserve">The PBAC outcome statement </w:t>
      </w:r>
      <w:r w:rsidR="005572C5" w:rsidRPr="00A461B6">
        <w:rPr>
          <w:rFonts w:asciiTheme="minorHAnsi" w:hAnsiTheme="minorHAnsi" w:cstheme="minorHAnsi"/>
          <w:color w:val="0D0D0D" w:themeColor="text1" w:themeTint="F2"/>
        </w:rPr>
        <w:t>from December 2022</w:t>
      </w:r>
      <w:r w:rsidR="00432E65">
        <w:rPr>
          <w:rStyle w:val="FootnoteReference"/>
          <w:rFonts w:asciiTheme="minorHAnsi" w:hAnsiTheme="minorHAnsi" w:cstheme="minorHAnsi"/>
          <w:color w:val="0D0D0D" w:themeColor="text1" w:themeTint="F2"/>
        </w:rPr>
        <w:footnoteReference w:id="12"/>
      </w:r>
      <w:r w:rsidR="005572C5" w:rsidRPr="00A461B6">
        <w:rPr>
          <w:rFonts w:asciiTheme="minorHAnsi" w:hAnsiTheme="minorHAnsi" w:cstheme="minorHAnsi"/>
          <w:color w:val="0D0D0D" w:themeColor="text1" w:themeTint="F2"/>
        </w:rPr>
        <w:t xml:space="preserve"> </w:t>
      </w:r>
      <w:r w:rsidRPr="00A461B6">
        <w:rPr>
          <w:rFonts w:asciiTheme="minorHAnsi" w:hAnsiTheme="minorHAnsi" w:cstheme="minorHAnsi"/>
          <w:color w:val="0D0D0D" w:themeColor="text1" w:themeTint="F2"/>
        </w:rPr>
        <w:t xml:space="preserve">and list of medicines </w:t>
      </w:r>
      <w:r w:rsidR="00007043">
        <w:rPr>
          <w:rFonts w:asciiTheme="minorHAnsi" w:hAnsiTheme="minorHAnsi" w:cstheme="minorHAnsi"/>
          <w:color w:val="0D0D0D" w:themeColor="text1" w:themeTint="F2"/>
        </w:rPr>
        <w:t>recommended by the PBAC for an</w:t>
      </w:r>
      <w:r w:rsidR="005572C5" w:rsidRPr="00A461B6">
        <w:rPr>
          <w:rFonts w:asciiTheme="minorHAnsi" w:hAnsiTheme="minorHAnsi" w:cstheme="minorHAnsi"/>
          <w:color w:val="0D0D0D" w:themeColor="text1" w:themeTint="F2"/>
        </w:rPr>
        <w:t xml:space="preserve"> increase in MDQ</w:t>
      </w:r>
      <w:r w:rsidR="00432E65">
        <w:rPr>
          <w:rStyle w:val="FootnoteReference"/>
          <w:rFonts w:asciiTheme="minorHAnsi" w:hAnsiTheme="minorHAnsi" w:cstheme="minorHAnsi"/>
          <w:color w:val="0D0D0D" w:themeColor="text1" w:themeTint="F2"/>
        </w:rPr>
        <w:footnoteReference w:id="13"/>
      </w:r>
      <w:r w:rsidRPr="00A461B6">
        <w:rPr>
          <w:rFonts w:asciiTheme="minorHAnsi" w:hAnsiTheme="minorHAnsi" w:cstheme="minorHAnsi"/>
          <w:color w:val="0D0D0D" w:themeColor="text1" w:themeTint="F2"/>
        </w:rPr>
        <w:t xml:space="preserve"> </w:t>
      </w:r>
      <w:r w:rsidR="00432E65">
        <w:rPr>
          <w:rFonts w:asciiTheme="minorHAnsi" w:hAnsiTheme="minorHAnsi" w:cstheme="minorHAnsi"/>
          <w:color w:val="0D0D0D" w:themeColor="text1" w:themeTint="F2"/>
        </w:rPr>
        <w:t>was published</w:t>
      </w:r>
      <w:r w:rsidR="005572C5" w:rsidRPr="00A461B6">
        <w:rPr>
          <w:rFonts w:asciiTheme="minorHAnsi" w:hAnsiTheme="minorHAnsi" w:cstheme="minorHAnsi"/>
          <w:color w:val="0D0D0D" w:themeColor="text1" w:themeTint="F2"/>
        </w:rPr>
        <w:t xml:space="preserve"> at</w:t>
      </w:r>
      <w:r w:rsidRPr="00A461B6">
        <w:rPr>
          <w:rFonts w:asciiTheme="minorHAnsi" w:hAnsiTheme="minorHAnsi" w:cstheme="minorHAnsi"/>
          <w:color w:val="0D0D0D" w:themeColor="text1" w:themeTint="F2"/>
        </w:rPr>
        <w:t xml:space="preserve"> pbs.gov.au.</w:t>
      </w:r>
    </w:p>
    <w:p w14:paraId="0350E47E" w14:textId="14B54CBF" w:rsidR="0097798F" w:rsidRPr="00A461B6" w:rsidRDefault="0097798F" w:rsidP="00290876">
      <w:pPr>
        <w:pStyle w:val="Heading1"/>
        <w:pageBreakBefore/>
      </w:pPr>
      <w:bookmarkStart w:id="47" w:name="_Toc132192295"/>
      <w:bookmarkStart w:id="48" w:name="_Toc134603926"/>
      <w:r w:rsidRPr="00A461B6">
        <w:t xml:space="preserve">Impact </w:t>
      </w:r>
      <w:bookmarkEnd w:id="47"/>
      <w:r w:rsidR="00705663" w:rsidRPr="00A461B6">
        <w:t>Analysis</w:t>
      </w:r>
      <w:bookmarkEnd w:id="48"/>
    </w:p>
    <w:p w14:paraId="29EF3C58" w14:textId="14BEA160" w:rsidR="00C51551" w:rsidRPr="00A461B6" w:rsidRDefault="000D0C1E" w:rsidP="000D0C1E">
      <w:pPr>
        <w:pStyle w:val="Heading2"/>
      </w:pPr>
      <w:bookmarkStart w:id="49" w:name="_Toc132192296"/>
      <w:bookmarkStart w:id="50" w:name="_Toc134603927"/>
      <w:r>
        <w:t xml:space="preserve">1. </w:t>
      </w:r>
      <w:r w:rsidR="00663F85" w:rsidRPr="00A461B6">
        <w:t xml:space="preserve">What is the problem </w:t>
      </w:r>
      <w:r w:rsidR="00774EAC" w:rsidRPr="00A461B6">
        <w:t>this proposal will solve</w:t>
      </w:r>
      <w:r w:rsidR="00663F85" w:rsidRPr="00A461B6">
        <w:t>?</w:t>
      </w:r>
      <w:bookmarkEnd w:id="49"/>
      <w:bookmarkEnd w:id="50"/>
    </w:p>
    <w:p w14:paraId="31A0A703" w14:textId="608F365D" w:rsidR="0054736A" w:rsidRPr="00A461B6" w:rsidRDefault="0054736A" w:rsidP="0097798F">
      <w:pPr>
        <w:pStyle w:val="Heading3"/>
      </w:pPr>
      <w:bookmarkStart w:id="51" w:name="_Toc132192297"/>
      <w:bookmarkStart w:id="52" w:name="_Toc134603928"/>
      <w:r w:rsidRPr="00A461B6">
        <w:t>Cost of living pressures</w:t>
      </w:r>
      <w:bookmarkEnd w:id="51"/>
      <w:bookmarkEnd w:id="52"/>
    </w:p>
    <w:p w14:paraId="02ACBA87" w14:textId="51F92288" w:rsidR="00884E14" w:rsidRPr="00A461B6" w:rsidRDefault="00663F85" w:rsidP="00284AAB">
      <w:pPr>
        <w:rPr>
          <w:rFonts w:eastAsiaTheme="majorEastAsia" w:cs="Arial"/>
          <w:bCs/>
          <w:color w:val="0D0D0D" w:themeColor="text1" w:themeTint="F2"/>
          <w:sz w:val="24"/>
          <w:szCs w:val="24"/>
        </w:rPr>
      </w:pPr>
      <w:r w:rsidRPr="00A461B6">
        <w:rPr>
          <w:rFonts w:eastAsiaTheme="majorEastAsia" w:cs="Arial"/>
          <w:bCs/>
          <w:color w:val="0D0D0D" w:themeColor="text1" w:themeTint="F2"/>
          <w:sz w:val="24"/>
          <w:szCs w:val="24"/>
        </w:rPr>
        <w:t>The PBS, funded by the</w:t>
      </w:r>
      <w:r w:rsidR="008A4D67" w:rsidRPr="00A461B6">
        <w:rPr>
          <w:rFonts w:eastAsiaTheme="majorEastAsia" w:cs="Arial"/>
          <w:bCs/>
          <w:color w:val="0D0D0D" w:themeColor="text1" w:themeTint="F2"/>
          <w:sz w:val="24"/>
          <w:szCs w:val="24"/>
        </w:rPr>
        <w:t xml:space="preserve"> Australian</w:t>
      </w:r>
      <w:r w:rsidRPr="00A461B6">
        <w:rPr>
          <w:rFonts w:eastAsiaTheme="majorEastAsia" w:cs="Arial"/>
          <w:bCs/>
          <w:color w:val="0D0D0D" w:themeColor="text1" w:themeTint="F2"/>
          <w:sz w:val="24"/>
          <w:szCs w:val="24"/>
        </w:rPr>
        <w:t xml:space="preserve"> Government, subsidises the cost of most prescription medicines for all eligible Australians. </w:t>
      </w:r>
      <w:r w:rsidR="0054736A" w:rsidRPr="00A461B6">
        <w:rPr>
          <w:rFonts w:eastAsiaTheme="majorEastAsia" w:cs="Arial"/>
          <w:bCs/>
          <w:color w:val="0D0D0D" w:themeColor="text1" w:themeTint="F2"/>
          <w:sz w:val="24"/>
          <w:szCs w:val="24"/>
        </w:rPr>
        <w:t xml:space="preserve">Consumers </w:t>
      </w:r>
      <w:r w:rsidRPr="00A461B6">
        <w:rPr>
          <w:rFonts w:eastAsiaTheme="majorEastAsia" w:cs="Arial"/>
          <w:bCs/>
          <w:color w:val="0D0D0D" w:themeColor="text1" w:themeTint="F2"/>
          <w:sz w:val="24"/>
          <w:szCs w:val="24"/>
        </w:rPr>
        <w:t>pay</w:t>
      </w:r>
      <w:r w:rsidR="00710823" w:rsidRPr="00A461B6">
        <w:rPr>
          <w:rFonts w:eastAsiaTheme="majorEastAsia" w:cs="Arial"/>
          <w:bCs/>
          <w:color w:val="0D0D0D" w:themeColor="text1" w:themeTint="F2"/>
          <w:sz w:val="24"/>
          <w:szCs w:val="24"/>
        </w:rPr>
        <w:t xml:space="preserve"> </w:t>
      </w:r>
      <w:r w:rsidRPr="00A461B6">
        <w:rPr>
          <w:rFonts w:eastAsiaTheme="majorEastAsia" w:cs="Arial"/>
          <w:bCs/>
          <w:color w:val="0D0D0D" w:themeColor="text1" w:themeTint="F2"/>
          <w:sz w:val="24"/>
          <w:szCs w:val="24"/>
        </w:rPr>
        <w:t>a PBS co-payment to the pharmacist for each dispensing of their medicine.</w:t>
      </w:r>
      <w:r w:rsidR="00BB6DCB" w:rsidRPr="00A461B6">
        <w:rPr>
          <w:rFonts w:eastAsiaTheme="majorEastAsia" w:cs="Arial"/>
          <w:bCs/>
          <w:color w:val="0D0D0D" w:themeColor="text1" w:themeTint="F2"/>
          <w:sz w:val="24"/>
          <w:szCs w:val="24"/>
        </w:rPr>
        <w:t xml:space="preserve"> </w:t>
      </w:r>
      <w:r w:rsidR="00284AAB" w:rsidRPr="00A461B6">
        <w:rPr>
          <w:rFonts w:eastAsiaTheme="majorEastAsia" w:cs="Arial"/>
          <w:bCs/>
          <w:color w:val="0D0D0D" w:themeColor="text1" w:themeTint="F2"/>
          <w:sz w:val="24"/>
          <w:szCs w:val="24"/>
        </w:rPr>
        <w:t xml:space="preserve">Following changes introduced on 1 January 2023, the PBS co-payment is $7.30 </w:t>
      </w:r>
      <w:r w:rsidR="0054736A" w:rsidRPr="00A461B6">
        <w:rPr>
          <w:rFonts w:eastAsiaTheme="majorEastAsia" w:cs="Arial"/>
          <w:bCs/>
          <w:color w:val="0D0D0D" w:themeColor="text1" w:themeTint="F2"/>
          <w:sz w:val="24"/>
          <w:szCs w:val="24"/>
        </w:rPr>
        <w:t xml:space="preserve">for </w:t>
      </w:r>
      <w:r w:rsidR="00284AAB" w:rsidRPr="00A461B6">
        <w:rPr>
          <w:rFonts w:eastAsiaTheme="majorEastAsia" w:cs="Arial"/>
          <w:bCs/>
          <w:color w:val="0D0D0D" w:themeColor="text1" w:themeTint="F2"/>
          <w:sz w:val="24"/>
          <w:szCs w:val="24"/>
        </w:rPr>
        <w:t xml:space="preserve">concessional patients and $30 </w:t>
      </w:r>
      <w:r w:rsidR="0054736A" w:rsidRPr="00A461B6">
        <w:rPr>
          <w:rFonts w:eastAsiaTheme="majorEastAsia" w:cs="Arial"/>
          <w:bCs/>
          <w:color w:val="0D0D0D" w:themeColor="text1" w:themeTint="F2"/>
          <w:sz w:val="24"/>
          <w:szCs w:val="24"/>
        </w:rPr>
        <w:t xml:space="preserve">for </w:t>
      </w:r>
      <w:r w:rsidR="00284AAB" w:rsidRPr="00A461B6">
        <w:rPr>
          <w:rFonts w:eastAsiaTheme="majorEastAsia" w:cs="Arial"/>
          <w:bCs/>
          <w:color w:val="0D0D0D" w:themeColor="text1" w:themeTint="F2"/>
          <w:sz w:val="24"/>
          <w:szCs w:val="24"/>
        </w:rPr>
        <w:t xml:space="preserve">general patients per dispensing. </w:t>
      </w:r>
    </w:p>
    <w:p w14:paraId="377C8205" w14:textId="43A73BC2" w:rsidR="00884E14" w:rsidRPr="00A461B6" w:rsidRDefault="0054736A" w:rsidP="00284AAB">
      <w:pPr>
        <w:rPr>
          <w:rFonts w:eastAsiaTheme="majorEastAsia" w:cs="Arial"/>
          <w:bCs/>
          <w:color w:val="0D0D0D" w:themeColor="text1" w:themeTint="F2"/>
          <w:sz w:val="24"/>
          <w:szCs w:val="24"/>
        </w:rPr>
      </w:pPr>
      <w:r w:rsidRPr="00A461B6">
        <w:rPr>
          <w:rFonts w:eastAsiaTheme="majorEastAsia" w:cs="Arial"/>
          <w:bCs/>
          <w:color w:val="0D0D0D" w:themeColor="text1" w:themeTint="F2"/>
          <w:sz w:val="24"/>
          <w:szCs w:val="24"/>
        </w:rPr>
        <w:t>R</w:t>
      </w:r>
      <w:r w:rsidRPr="00A461B6">
        <w:rPr>
          <w:rFonts w:ascii="Calibri" w:hAnsi="Calibri" w:cs="Calibri"/>
          <w:color w:val="0D0D0D" w:themeColor="text1" w:themeTint="F2"/>
          <w:sz w:val="24"/>
          <w:szCs w:val="24"/>
        </w:rPr>
        <w:t>esearchers</w:t>
      </w:r>
      <w:r w:rsidRPr="00A461B6">
        <w:rPr>
          <w:rStyle w:val="FootnoteReference"/>
          <w:rFonts w:ascii="Calibri" w:hAnsi="Calibri" w:cs="Calibri"/>
          <w:color w:val="0D0D0D" w:themeColor="text1" w:themeTint="F2"/>
          <w:sz w:val="24"/>
          <w:szCs w:val="24"/>
        </w:rPr>
        <w:footnoteReference w:id="14"/>
      </w:r>
      <w:r w:rsidRPr="00A461B6">
        <w:rPr>
          <w:rFonts w:ascii="Calibri" w:hAnsi="Calibri" w:cs="Calibri"/>
          <w:color w:val="0D0D0D" w:themeColor="text1" w:themeTint="F2"/>
          <w:sz w:val="24"/>
          <w:szCs w:val="24"/>
        </w:rPr>
        <w:t xml:space="preserve"> </w:t>
      </w:r>
      <w:r w:rsidR="00FB2EB9" w:rsidRPr="00A461B6">
        <w:rPr>
          <w:rStyle w:val="FootnoteReference"/>
          <w:rFonts w:ascii="Calibri" w:hAnsi="Calibri" w:cs="Calibri"/>
          <w:color w:val="0D0D0D" w:themeColor="text1" w:themeTint="F2"/>
          <w:sz w:val="24"/>
          <w:szCs w:val="24"/>
        </w:rPr>
        <w:footnoteReference w:id="15"/>
      </w:r>
      <w:r w:rsidR="007B67CE" w:rsidRPr="00A461B6">
        <w:rPr>
          <w:rFonts w:ascii="Calibri" w:hAnsi="Calibri" w:cs="Calibri"/>
          <w:color w:val="0D0D0D" w:themeColor="text1" w:themeTint="F2"/>
          <w:sz w:val="24"/>
          <w:szCs w:val="24"/>
        </w:rPr>
        <w:t xml:space="preserve"> </w:t>
      </w:r>
      <w:r w:rsidRPr="00A461B6">
        <w:rPr>
          <w:rFonts w:ascii="Calibri" w:hAnsi="Calibri" w:cs="Calibri"/>
          <w:color w:val="0D0D0D" w:themeColor="text1" w:themeTint="F2"/>
          <w:sz w:val="24"/>
          <w:szCs w:val="24"/>
        </w:rPr>
        <w:t xml:space="preserve">and consumers have raised concerns regarding the monthly cost of PBS medicines. </w:t>
      </w:r>
      <w:r w:rsidR="00BB6DCB" w:rsidRPr="00A461B6">
        <w:rPr>
          <w:rFonts w:eastAsiaTheme="majorEastAsia" w:cs="Arial"/>
          <w:bCs/>
          <w:color w:val="0D0D0D" w:themeColor="text1" w:themeTint="F2"/>
          <w:sz w:val="24"/>
          <w:szCs w:val="24"/>
        </w:rPr>
        <w:t xml:space="preserve">In November 2019, the Consumers Health Forum of Australia stated that </w:t>
      </w:r>
      <w:r w:rsidR="00284AAB" w:rsidRPr="00A461B6">
        <w:rPr>
          <w:rFonts w:eastAsiaTheme="majorEastAsia" w:cs="Arial"/>
          <w:bCs/>
          <w:color w:val="0D0D0D" w:themeColor="text1" w:themeTint="F2"/>
          <w:sz w:val="24"/>
          <w:szCs w:val="24"/>
        </w:rPr>
        <w:t>reducing the requirement</w:t>
      </w:r>
      <w:r w:rsidR="00BB6DCB" w:rsidRPr="00A461B6">
        <w:rPr>
          <w:rFonts w:eastAsiaTheme="majorEastAsia" w:cs="Arial"/>
          <w:bCs/>
          <w:color w:val="0D0D0D" w:themeColor="text1" w:themeTint="F2"/>
          <w:sz w:val="24"/>
          <w:szCs w:val="24"/>
        </w:rPr>
        <w:t xml:space="preserve"> </w:t>
      </w:r>
      <w:r w:rsidR="00284AAB" w:rsidRPr="00A461B6">
        <w:rPr>
          <w:rFonts w:eastAsiaTheme="majorEastAsia" w:cs="Arial"/>
          <w:bCs/>
          <w:color w:val="0D0D0D" w:themeColor="text1" w:themeTint="F2"/>
          <w:sz w:val="24"/>
          <w:szCs w:val="24"/>
        </w:rPr>
        <w:t xml:space="preserve">for consumers </w:t>
      </w:r>
      <w:r w:rsidRPr="00A461B6">
        <w:rPr>
          <w:rFonts w:eastAsiaTheme="majorEastAsia" w:cs="Arial"/>
          <w:bCs/>
          <w:color w:val="0D0D0D" w:themeColor="text1" w:themeTint="F2"/>
          <w:sz w:val="24"/>
          <w:szCs w:val="24"/>
        </w:rPr>
        <w:t xml:space="preserve">on routine medication </w:t>
      </w:r>
      <w:r w:rsidR="00BB6DCB" w:rsidRPr="00A461B6">
        <w:rPr>
          <w:rFonts w:eastAsiaTheme="majorEastAsia" w:cs="Arial"/>
          <w:bCs/>
          <w:color w:val="0D0D0D" w:themeColor="text1" w:themeTint="F2"/>
          <w:sz w:val="24"/>
          <w:szCs w:val="24"/>
        </w:rPr>
        <w:t xml:space="preserve">to </w:t>
      </w:r>
      <w:r w:rsidR="00284AAB" w:rsidRPr="00A461B6">
        <w:rPr>
          <w:rFonts w:eastAsiaTheme="majorEastAsia" w:cs="Arial"/>
          <w:bCs/>
          <w:color w:val="0D0D0D" w:themeColor="text1" w:themeTint="F2"/>
          <w:sz w:val="24"/>
          <w:szCs w:val="24"/>
        </w:rPr>
        <w:t xml:space="preserve">visit </w:t>
      </w:r>
      <w:r w:rsidR="00BB6DCB" w:rsidRPr="00A461B6">
        <w:rPr>
          <w:rFonts w:eastAsiaTheme="majorEastAsia" w:cs="Arial"/>
          <w:bCs/>
          <w:color w:val="0D0D0D" w:themeColor="text1" w:themeTint="F2"/>
          <w:sz w:val="24"/>
          <w:szCs w:val="24"/>
        </w:rPr>
        <w:t>a pharmacy each month would improve accessibility, convenience and affordability for consumers</w:t>
      </w:r>
      <w:r w:rsidR="0038157F" w:rsidRPr="00A461B6">
        <w:rPr>
          <w:rFonts w:eastAsiaTheme="majorEastAsia" w:cs="Arial"/>
          <w:bCs/>
          <w:color w:val="0D0D0D" w:themeColor="text1" w:themeTint="F2"/>
          <w:sz w:val="24"/>
          <w:szCs w:val="24"/>
        </w:rPr>
        <w:t>.</w:t>
      </w:r>
      <w:r w:rsidR="00BB6DCB" w:rsidRPr="00A461B6">
        <w:rPr>
          <w:rFonts w:eastAsiaTheme="majorEastAsia" w:cs="Arial"/>
          <w:bCs/>
          <w:color w:val="0D0D0D" w:themeColor="text1" w:themeTint="F2"/>
          <w:sz w:val="24"/>
          <w:szCs w:val="24"/>
          <w:vertAlign w:val="superscript"/>
        </w:rPr>
        <w:footnoteReference w:id="16"/>
      </w:r>
    </w:p>
    <w:p w14:paraId="12D08E2C" w14:textId="2862AE2C" w:rsidR="005C0D57" w:rsidRPr="00A461B6" w:rsidRDefault="005C0D57" w:rsidP="00D2693C">
      <w:pPr>
        <w:rPr>
          <w:rFonts w:ascii="Calibri" w:eastAsiaTheme="majorEastAsia" w:hAnsi="Calibri" w:cs="Calibri"/>
          <w:bCs/>
          <w:color w:val="auto"/>
          <w:sz w:val="24"/>
          <w:szCs w:val="24"/>
        </w:rPr>
      </w:pPr>
      <w:r w:rsidRPr="00A461B6">
        <w:rPr>
          <w:rFonts w:ascii="Calibri" w:hAnsi="Calibri" w:cs="Calibri"/>
          <w:color w:val="0D0D0D" w:themeColor="text1" w:themeTint="F2"/>
          <w:sz w:val="24"/>
          <w:szCs w:val="24"/>
        </w:rPr>
        <w:t>Research suggests that 1 in 5 Australians aged 18-64 find prescription medicines to be unaffordable and that more than 900,000 Australians delayed or did not fill their prescriptions due to cost in 2019-2020</w:t>
      </w:r>
      <w:r w:rsidRPr="00A461B6">
        <w:rPr>
          <w:rFonts w:ascii="Calibri" w:hAnsi="Calibri"/>
          <w:color w:val="0D0D0D" w:themeColor="text1" w:themeTint="F2"/>
          <w:sz w:val="24"/>
        </w:rPr>
        <w:t>.</w:t>
      </w:r>
      <w:r w:rsidRPr="00A461B6">
        <w:rPr>
          <w:rFonts w:ascii="Calibri" w:hAnsi="Calibri" w:cs="Calibri"/>
          <w:color w:val="0D0D0D" w:themeColor="text1" w:themeTint="F2"/>
          <w:sz w:val="24"/>
          <w:szCs w:val="24"/>
          <w:vertAlign w:val="superscript"/>
        </w:rPr>
        <w:footnoteReference w:id="17"/>
      </w:r>
      <w:r w:rsidR="00284AAB" w:rsidRPr="00A461B6">
        <w:rPr>
          <w:rFonts w:ascii="Calibri" w:hAnsi="Calibri" w:cs="Calibri"/>
          <w:color w:val="0D0D0D" w:themeColor="text1" w:themeTint="F2"/>
          <w:sz w:val="24"/>
          <w:szCs w:val="24"/>
          <w:vertAlign w:val="superscript"/>
        </w:rPr>
        <w:t xml:space="preserve"> </w:t>
      </w:r>
      <w:r w:rsidRPr="00A461B6">
        <w:rPr>
          <w:rFonts w:ascii="Calibri" w:eastAsiaTheme="majorEastAsia" w:hAnsi="Calibri" w:cs="Calibri"/>
          <w:bCs/>
          <w:color w:val="0D0D0D" w:themeColor="text1" w:themeTint="F2"/>
          <w:sz w:val="24"/>
          <w:szCs w:val="24"/>
        </w:rPr>
        <w:t xml:space="preserve">The Australian Bureau of Statistics Report, </w:t>
      </w:r>
      <w:r w:rsidRPr="00A461B6">
        <w:rPr>
          <w:rFonts w:ascii="Calibri" w:hAnsi="Calibri"/>
          <w:i/>
          <w:color w:val="0D0D0D" w:themeColor="text1" w:themeTint="F2"/>
          <w:sz w:val="24"/>
        </w:rPr>
        <w:t>Patient Experiences</w:t>
      </w:r>
      <w:r w:rsidRPr="00A461B6">
        <w:rPr>
          <w:rFonts w:ascii="Calibri" w:eastAsiaTheme="majorEastAsia" w:hAnsi="Calibri" w:cs="Calibri"/>
          <w:bCs/>
          <w:color w:val="0D0D0D" w:themeColor="text1" w:themeTint="F2"/>
          <w:sz w:val="24"/>
          <w:szCs w:val="24"/>
        </w:rPr>
        <w:t xml:space="preserve"> (2021-22)</w:t>
      </w:r>
      <w:r w:rsidRPr="00A461B6">
        <w:rPr>
          <w:rFonts w:ascii="Calibri" w:eastAsiaTheme="majorEastAsia" w:hAnsi="Calibri" w:cs="Calibri"/>
          <w:bCs/>
          <w:color w:val="0D0D0D" w:themeColor="text1" w:themeTint="F2"/>
          <w:sz w:val="24"/>
          <w:szCs w:val="24"/>
          <w:vertAlign w:val="superscript"/>
        </w:rPr>
        <w:footnoteReference w:id="18"/>
      </w:r>
      <w:r w:rsidRPr="00A461B6">
        <w:rPr>
          <w:rFonts w:ascii="Calibri" w:eastAsiaTheme="majorEastAsia" w:hAnsi="Calibri" w:cs="Calibri"/>
          <w:bCs/>
          <w:color w:val="0D0D0D" w:themeColor="text1" w:themeTint="F2"/>
          <w:sz w:val="24"/>
          <w:szCs w:val="24"/>
        </w:rPr>
        <w:t xml:space="preserve"> found over 771,000 Australians did not fill their prescriptions or delayed having their prescribed medicine </w:t>
      </w:r>
      <w:r w:rsidRPr="00A461B6">
        <w:rPr>
          <w:rFonts w:ascii="Calibri" w:eastAsiaTheme="majorEastAsia" w:hAnsi="Calibri" w:cs="Calibri"/>
          <w:bCs/>
          <w:color w:val="auto"/>
          <w:sz w:val="24"/>
          <w:szCs w:val="24"/>
        </w:rPr>
        <w:t>dispensed due to cost. The proportion of people who delayed or did not get prescription medication when needed due to cost increased to 5.6% in 2021-22, from 4.4% in 2020-21. In addition, those Australians with a long-term health condition were more likely to delay or not get prescription medication dispensed due to cost than those without a long term health condition (6.4% compared to 3.8%).</w:t>
      </w:r>
    </w:p>
    <w:p w14:paraId="1261A5B4" w14:textId="330F0055" w:rsidR="000B3CBA" w:rsidRPr="00A461B6" w:rsidRDefault="005C0D57" w:rsidP="005C0D57">
      <w:pPr>
        <w:autoSpaceDE w:val="0"/>
        <w:autoSpaceDN w:val="0"/>
        <w:rPr>
          <w:rFonts w:ascii="Calibri" w:eastAsiaTheme="majorEastAsia" w:hAnsi="Calibri" w:cs="Calibri"/>
          <w:bCs/>
          <w:color w:val="auto"/>
          <w:sz w:val="24"/>
          <w:szCs w:val="24"/>
        </w:rPr>
      </w:pPr>
      <w:r w:rsidRPr="00A461B6">
        <w:rPr>
          <w:rFonts w:ascii="Calibri" w:eastAsiaTheme="majorEastAsia" w:hAnsi="Calibri" w:cs="Calibri"/>
          <w:bCs/>
          <w:color w:val="auto"/>
          <w:sz w:val="24"/>
          <w:szCs w:val="24"/>
        </w:rPr>
        <w:t>The Australian Patient’s Association (APA) 2022 Australian Healthcare Index Report</w:t>
      </w:r>
      <w:r w:rsidRPr="00A461B6">
        <w:rPr>
          <w:rStyle w:val="FootnoteReference"/>
          <w:rFonts w:ascii="Calibri" w:eastAsiaTheme="majorEastAsia" w:hAnsi="Calibri" w:cs="Calibri"/>
          <w:bCs/>
          <w:color w:val="auto"/>
          <w:sz w:val="24"/>
          <w:szCs w:val="24"/>
        </w:rPr>
        <w:footnoteReference w:id="19"/>
      </w:r>
      <w:r w:rsidRPr="00A461B6">
        <w:rPr>
          <w:rFonts w:ascii="Calibri" w:eastAsiaTheme="majorEastAsia" w:hAnsi="Calibri" w:cs="Calibri"/>
          <w:bCs/>
          <w:color w:val="auto"/>
          <w:sz w:val="24"/>
          <w:szCs w:val="24"/>
        </w:rPr>
        <w:t xml:space="preserve"> showed that of people taking prescription medicine, 24% disagreed when asked whether medicine was affordable to them, increase</w:t>
      </w:r>
      <w:r w:rsidR="00A412BC" w:rsidRPr="00A461B6">
        <w:rPr>
          <w:rFonts w:ascii="Calibri" w:eastAsiaTheme="majorEastAsia" w:hAnsi="Calibri" w:cs="Calibri"/>
          <w:bCs/>
          <w:color w:val="auto"/>
          <w:sz w:val="24"/>
          <w:szCs w:val="24"/>
        </w:rPr>
        <w:t>d</w:t>
      </w:r>
      <w:r w:rsidRPr="00A461B6">
        <w:rPr>
          <w:rFonts w:ascii="Calibri" w:eastAsiaTheme="majorEastAsia" w:hAnsi="Calibri" w:cs="Calibri"/>
          <w:bCs/>
          <w:color w:val="auto"/>
          <w:sz w:val="24"/>
          <w:szCs w:val="24"/>
        </w:rPr>
        <w:t xml:space="preserve"> </w:t>
      </w:r>
      <w:r w:rsidR="00A412BC" w:rsidRPr="00A461B6">
        <w:rPr>
          <w:rFonts w:ascii="Calibri" w:eastAsiaTheme="majorEastAsia" w:hAnsi="Calibri" w:cs="Calibri"/>
          <w:bCs/>
          <w:color w:val="auto"/>
          <w:sz w:val="24"/>
          <w:szCs w:val="24"/>
        </w:rPr>
        <w:t xml:space="preserve">from </w:t>
      </w:r>
      <w:r w:rsidRPr="00A461B6">
        <w:rPr>
          <w:rFonts w:ascii="Calibri" w:eastAsiaTheme="majorEastAsia" w:hAnsi="Calibri" w:cs="Calibri"/>
          <w:bCs/>
          <w:color w:val="auto"/>
          <w:sz w:val="24"/>
          <w:szCs w:val="24"/>
        </w:rPr>
        <w:t xml:space="preserve">19% </w:t>
      </w:r>
      <w:r w:rsidR="002A1C97" w:rsidRPr="00A461B6">
        <w:rPr>
          <w:rFonts w:ascii="Calibri" w:eastAsiaTheme="majorEastAsia" w:hAnsi="Calibri" w:cs="Calibri"/>
          <w:bCs/>
          <w:color w:val="auto"/>
          <w:sz w:val="24"/>
          <w:szCs w:val="24"/>
        </w:rPr>
        <w:t xml:space="preserve">in </w:t>
      </w:r>
      <w:r w:rsidRPr="00A461B6">
        <w:rPr>
          <w:rFonts w:ascii="Calibri" w:eastAsiaTheme="majorEastAsia" w:hAnsi="Calibri" w:cs="Calibri"/>
          <w:bCs/>
          <w:color w:val="auto"/>
          <w:sz w:val="24"/>
          <w:szCs w:val="24"/>
        </w:rPr>
        <w:t>the previous survey</w:t>
      </w:r>
      <w:r w:rsidR="00A412BC" w:rsidRPr="00A461B6">
        <w:rPr>
          <w:rFonts w:ascii="Calibri" w:eastAsiaTheme="majorEastAsia" w:hAnsi="Calibri" w:cs="Calibri"/>
          <w:bCs/>
          <w:color w:val="auto"/>
          <w:sz w:val="24"/>
          <w:szCs w:val="24"/>
        </w:rPr>
        <w:t xml:space="preserve"> (October 2021)</w:t>
      </w:r>
      <w:r w:rsidR="00A412BC" w:rsidRPr="00A461B6">
        <w:rPr>
          <w:rStyle w:val="FootnoteReference"/>
          <w:rFonts w:ascii="Calibri" w:eastAsiaTheme="majorEastAsia" w:hAnsi="Calibri" w:cs="Calibri"/>
          <w:bCs/>
          <w:color w:val="auto"/>
          <w:sz w:val="24"/>
          <w:szCs w:val="24"/>
        </w:rPr>
        <w:footnoteReference w:id="20"/>
      </w:r>
      <w:r w:rsidRPr="00A461B6">
        <w:rPr>
          <w:rFonts w:ascii="Calibri" w:eastAsiaTheme="majorEastAsia" w:hAnsi="Calibri" w:cs="Calibri"/>
          <w:bCs/>
          <w:color w:val="auto"/>
          <w:sz w:val="24"/>
          <w:szCs w:val="24"/>
        </w:rPr>
        <w:t>. The medicines affordability issue is a concern for both the non-concessional (largely under 65) population and the older population, with 29% of people aged 50 to 64 disagreeing that medicines were affordable, along with 13% of people aged 65 or over.</w:t>
      </w:r>
    </w:p>
    <w:p w14:paraId="618C8B07" w14:textId="0C1A4FA9" w:rsidR="008C43A0" w:rsidRPr="00A461B6" w:rsidRDefault="0022633F" w:rsidP="005C0D57">
      <w:pPr>
        <w:autoSpaceDE w:val="0"/>
        <w:autoSpaceDN w:val="0"/>
        <w:rPr>
          <w:rFonts w:ascii="Calibri" w:eastAsiaTheme="majorEastAsia" w:hAnsi="Calibri" w:cs="Calibri"/>
          <w:bCs/>
          <w:color w:val="auto"/>
          <w:sz w:val="24"/>
          <w:szCs w:val="24"/>
        </w:rPr>
      </w:pPr>
      <w:r w:rsidRPr="00A461B6">
        <w:rPr>
          <w:rFonts w:ascii="Calibri" w:eastAsiaTheme="majorEastAsia" w:hAnsi="Calibri" w:cs="Calibri"/>
          <w:bCs/>
          <w:color w:val="auto"/>
          <w:sz w:val="24"/>
          <w:szCs w:val="24"/>
        </w:rPr>
        <w:t>People with chronic health conditions have an ongoing burden of health care costs. If they do</w:t>
      </w:r>
      <w:r w:rsidR="003D79A5" w:rsidRPr="00A461B6">
        <w:rPr>
          <w:rFonts w:ascii="Calibri" w:eastAsiaTheme="majorEastAsia" w:hAnsi="Calibri" w:cs="Calibri"/>
          <w:bCs/>
          <w:color w:val="auto"/>
          <w:sz w:val="24"/>
          <w:szCs w:val="24"/>
        </w:rPr>
        <w:t xml:space="preserve"> </w:t>
      </w:r>
      <w:r w:rsidRPr="00A461B6">
        <w:rPr>
          <w:rFonts w:ascii="Calibri" w:eastAsiaTheme="majorEastAsia" w:hAnsi="Calibri" w:cs="Calibri"/>
          <w:bCs/>
          <w:color w:val="auto"/>
          <w:sz w:val="24"/>
          <w:szCs w:val="24"/>
        </w:rPr>
        <w:t>n</w:t>
      </w:r>
      <w:r w:rsidR="003D79A5" w:rsidRPr="00A461B6">
        <w:rPr>
          <w:rFonts w:ascii="Calibri" w:eastAsiaTheme="majorEastAsia" w:hAnsi="Calibri" w:cs="Calibri"/>
          <w:bCs/>
          <w:color w:val="auto"/>
          <w:sz w:val="24"/>
          <w:szCs w:val="24"/>
        </w:rPr>
        <w:t>o</w:t>
      </w:r>
      <w:r w:rsidRPr="00A461B6">
        <w:rPr>
          <w:rFonts w:ascii="Calibri" w:eastAsiaTheme="majorEastAsia" w:hAnsi="Calibri" w:cs="Calibri"/>
          <w:bCs/>
          <w:color w:val="auto"/>
          <w:sz w:val="24"/>
          <w:szCs w:val="24"/>
        </w:rPr>
        <w:t xml:space="preserve">t take their medicines because they cannot afford to fill a prescription their condition </w:t>
      </w:r>
      <w:r w:rsidR="006C087B" w:rsidRPr="00A461B6">
        <w:rPr>
          <w:rFonts w:ascii="Calibri" w:eastAsiaTheme="majorEastAsia" w:hAnsi="Calibri" w:cs="Calibri"/>
          <w:bCs/>
          <w:color w:val="auto"/>
          <w:sz w:val="24"/>
          <w:szCs w:val="24"/>
        </w:rPr>
        <w:t>is likely to d</w:t>
      </w:r>
      <w:r w:rsidRPr="00A461B6">
        <w:rPr>
          <w:rFonts w:ascii="Calibri" w:eastAsiaTheme="majorEastAsia" w:hAnsi="Calibri" w:cs="Calibri"/>
          <w:bCs/>
          <w:color w:val="auto"/>
          <w:sz w:val="24"/>
          <w:szCs w:val="24"/>
        </w:rPr>
        <w:t>eteriorate, which impact</w:t>
      </w:r>
      <w:r w:rsidR="006C087B" w:rsidRPr="00A461B6">
        <w:rPr>
          <w:rFonts w:ascii="Calibri" w:eastAsiaTheme="majorEastAsia" w:hAnsi="Calibri" w:cs="Calibri"/>
          <w:bCs/>
          <w:color w:val="auto"/>
          <w:sz w:val="24"/>
          <w:szCs w:val="24"/>
        </w:rPr>
        <w:t>s</w:t>
      </w:r>
      <w:r w:rsidRPr="00A461B6">
        <w:rPr>
          <w:rFonts w:ascii="Calibri" w:eastAsiaTheme="majorEastAsia" w:hAnsi="Calibri" w:cs="Calibri"/>
          <w:bCs/>
          <w:color w:val="auto"/>
          <w:sz w:val="24"/>
          <w:szCs w:val="24"/>
        </w:rPr>
        <w:t xml:space="preserve"> not only the individual</w:t>
      </w:r>
      <w:r w:rsidR="00DC2CC3" w:rsidRPr="00A461B6">
        <w:rPr>
          <w:rFonts w:ascii="Calibri" w:eastAsiaTheme="majorEastAsia" w:hAnsi="Calibri" w:cs="Calibri"/>
          <w:bCs/>
          <w:color w:val="auto"/>
          <w:sz w:val="24"/>
          <w:szCs w:val="24"/>
        </w:rPr>
        <w:t xml:space="preserve"> through a change in clinical outcomes, quality of life</w:t>
      </w:r>
      <w:r w:rsidRPr="00A461B6">
        <w:rPr>
          <w:rFonts w:ascii="Calibri" w:eastAsiaTheme="majorEastAsia" w:hAnsi="Calibri" w:cs="Calibri"/>
          <w:bCs/>
          <w:color w:val="auto"/>
          <w:sz w:val="24"/>
          <w:szCs w:val="24"/>
        </w:rPr>
        <w:t>,</w:t>
      </w:r>
      <w:r w:rsidR="00B01D98" w:rsidRPr="00A461B6">
        <w:rPr>
          <w:rFonts w:ascii="Calibri" w:eastAsiaTheme="majorEastAsia" w:hAnsi="Calibri" w:cs="Calibri"/>
          <w:bCs/>
          <w:color w:val="auto"/>
          <w:sz w:val="24"/>
          <w:szCs w:val="24"/>
        </w:rPr>
        <w:t xml:space="preserve"> and</w:t>
      </w:r>
      <w:r w:rsidRPr="00A461B6">
        <w:rPr>
          <w:rFonts w:ascii="Calibri" w:eastAsiaTheme="majorEastAsia" w:hAnsi="Calibri" w:cs="Calibri"/>
          <w:bCs/>
          <w:color w:val="auto"/>
          <w:sz w:val="24"/>
          <w:szCs w:val="24"/>
        </w:rPr>
        <w:t xml:space="preserve"> </w:t>
      </w:r>
      <w:r w:rsidR="00DC2CC3" w:rsidRPr="00A461B6">
        <w:rPr>
          <w:rFonts w:ascii="Calibri" w:eastAsiaTheme="majorEastAsia" w:hAnsi="Calibri" w:cs="Calibri"/>
          <w:bCs/>
          <w:color w:val="auto"/>
          <w:sz w:val="24"/>
          <w:szCs w:val="24"/>
        </w:rPr>
        <w:t>the ability to earn an income</w:t>
      </w:r>
      <w:r w:rsidR="00F14E8C" w:rsidRPr="00A461B6">
        <w:rPr>
          <w:rFonts w:ascii="Calibri" w:eastAsiaTheme="majorEastAsia" w:hAnsi="Calibri" w:cs="Calibri"/>
          <w:bCs/>
          <w:color w:val="auto"/>
          <w:sz w:val="24"/>
          <w:szCs w:val="24"/>
        </w:rPr>
        <w:t>,</w:t>
      </w:r>
      <w:r w:rsidR="00DC2CC3" w:rsidRPr="00A461B6">
        <w:rPr>
          <w:rFonts w:ascii="Calibri" w:eastAsiaTheme="majorEastAsia" w:hAnsi="Calibri" w:cs="Calibri"/>
          <w:bCs/>
          <w:color w:val="auto"/>
          <w:sz w:val="24"/>
          <w:szCs w:val="24"/>
        </w:rPr>
        <w:t xml:space="preserve"> </w:t>
      </w:r>
      <w:r w:rsidRPr="00A461B6">
        <w:rPr>
          <w:rFonts w:ascii="Calibri" w:eastAsiaTheme="majorEastAsia" w:hAnsi="Calibri" w:cs="Calibri"/>
          <w:bCs/>
          <w:color w:val="auto"/>
          <w:sz w:val="24"/>
          <w:szCs w:val="24"/>
        </w:rPr>
        <w:t xml:space="preserve">but </w:t>
      </w:r>
      <w:r w:rsidR="00DC2CC3" w:rsidRPr="00A461B6">
        <w:rPr>
          <w:rFonts w:ascii="Calibri" w:eastAsiaTheme="majorEastAsia" w:hAnsi="Calibri" w:cs="Calibri"/>
          <w:bCs/>
          <w:color w:val="auto"/>
          <w:sz w:val="24"/>
          <w:szCs w:val="24"/>
        </w:rPr>
        <w:t xml:space="preserve">also on </w:t>
      </w:r>
      <w:r w:rsidRPr="00A461B6">
        <w:rPr>
          <w:rFonts w:ascii="Calibri" w:eastAsiaTheme="majorEastAsia" w:hAnsi="Calibri" w:cs="Calibri"/>
          <w:bCs/>
          <w:color w:val="auto"/>
          <w:sz w:val="24"/>
          <w:szCs w:val="24"/>
        </w:rPr>
        <w:t>the taxpayer</w:t>
      </w:r>
      <w:r w:rsidR="00A13244" w:rsidRPr="00A461B6">
        <w:rPr>
          <w:rFonts w:ascii="Calibri" w:eastAsiaTheme="majorEastAsia" w:hAnsi="Calibri" w:cs="Calibri"/>
          <w:bCs/>
          <w:color w:val="auto"/>
          <w:sz w:val="24"/>
          <w:szCs w:val="24"/>
        </w:rPr>
        <w:t>s</w:t>
      </w:r>
      <w:r w:rsidRPr="00A461B6">
        <w:rPr>
          <w:rFonts w:ascii="Calibri" w:eastAsiaTheme="majorEastAsia" w:hAnsi="Calibri" w:cs="Calibri"/>
          <w:bCs/>
          <w:color w:val="auto"/>
          <w:sz w:val="24"/>
          <w:szCs w:val="24"/>
        </w:rPr>
        <w:t xml:space="preserve"> and the broader economy. When people are unwell they </w:t>
      </w:r>
      <w:r w:rsidR="00A13244" w:rsidRPr="00A461B6">
        <w:rPr>
          <w:rFonts w:ascii="Calibri" w:eastAsiaTheme="majorEastAsia" w:hAnsi="Calibri" w:cs="Calibri"/>
          <w:bCs/>
          <w:color w:val="auto"/>
          <w:sz w:val="24"/>
          <w:szCs w:val="24"/>
        </w:rPr>
        <w:t xml:space="preserve">need </w:t>
      </w:r>
      <w:r w:rsidRPr="00A461B6">
        <w:rPr>
          <w:rFonts w:ascii="Calibri" w:eastAsiaTheme="majorEastAsia" w:hAnsi="Calibri" w:cs="Calibri"/>
          <w:bCs/>
          <w:color w:val="auto"/>
          <w:sz w:val="24"/>
          <w:szCs w:val="24"/>
        </w:rPr>
        <w:t>more health services and cannot contribute productively to the economy.</w:t>
      </w:r>
    </w:p>
    <w:p w14:paraId="2E95D946" w14:textId="77777777" w:rsidR="000B3CBA" w:rsidRPr="00A461B6" w:rsidRDefault="000B3CBA" w:rsidP="005556BD">
      <w:pPr>
        <w:pStyle w:val="Heading3"/>
      </w:pPr>
      <w:bookmarkStart w:id="53" w:name="_Toc132192298"/>
      <w:bookmarkStart w:id="54" w:name="_Toc134603929"/>
      <w:r w:rsidRPr="00A461B6">
        <w:t>Access and convenience</w:t>
      </w:r>
      <w:bookmarkEnd w:id="53"/>
      <w:bookmarkEnd w:id="54"/>
      <w:r w:rsidRPr="00A461B6">
        <w:t xml:space="preserve"> </w:t>
      </w:r>
    </w:p>
    <w:p w14:paraId="04891666" w14:textId="33219BC9" w:rsidR="00710823" w:rsidRPr="00A461B6" w:rsidRDefault="000B3CBA" w:rsidP="000B3CBA">
      <w:pPr>
        <w:rPr>
          <w:rFonts w:eastAsiaTheme="majorEastAsia" w:cs="Arial"/>
          <w:bCs/>
          <w:color w:val="0D0D0D" w:themeColor="text1" w:themeTint="F2"/>
          <w:sz w:val="24"/>
          <w:szCs w:val="24"/>
        </w:rPr>
      </w:pPr>
      <w:r w:rsidRPr="00A461B6">
        <w:rPr>
          <w:rFonts w:eastAsiaTheme="majorEastAsia" w:cs="Arial"/>
          <w:bCs/>
          <w:color w:val="auto"/>
          <w:sz w:val="24"/>
          <w:szCs w:val="24"/>
        </w:rPr>
        <w:t xml:space="preserve">Patients in the community, who have chronic medical conditions and are prescribed medicines listed on the PBS, obtain their medication through community pharmacies. A valid PBS prescription for a chronic condition usually provides six months of medication supply, dispensed monthly by the pharmacist. This means patients with a </w:t>
      </w:r>
      <w:r w:rsidRPr="00A461B6">
        <w:rPr>
          <w:rFonts w:eastAsiaTheme="majorEastAsia" w:cs="Arial"/>
          <w:bCs/>
          <w:color w:val="0D0D0D" w:themeColor="text1" w:themeTint="F2"/>
          <w:sz w:val="24"/>
          <w:szCs w:val="24"/>
        </w:rPr>
        <w:t>chronic stable condition are required to visit their doctor every six months to obtain a new prescription.</w:t>
      </w:r>
    </w:p>
    <w:p w14:paraId="5C08B9D2" w14:textId="64798FD8" w:rsidR="000B3CBA" w:rsidRPr="00A461B6" w:rsidRDefault="000B3CBA" w:rsidP="00D2693C">
      <w:pPr>
        <w:rPr>
          <w:rFonts w:ascii="Calibri" w:eastAsiaTheme="majorEastAsia" w:hAnsi="Calibri" w:cs="Calibri"/>
          <w:bCs/>
          <w:color w:val="FF0000"/>
          <w:sz w:val="24"/>
          <w:szCs w:val="24"/>
        </w:rPr>
      </w:pPr>
      <w:r w:rsidRPr="00A461B6">
        <w:rPr>
          <w:rFonts w:eastAsiaTheme="majorEastAsia" w:cs="Arial"/>
          <w:bCs/>
          <w:color w:val="0D0D0D" w:themeColor="text1" w:themeTint="F2"/>
          <w:sz w:val="24"/>
          <w:szCs w:val="24"/>
        </w:rPr>
        <w:t>While there are some exemptions to reduce the burden on consumers to return to the pharmacy to access prescription medicines, these are limited in scope. Under current PBS regulations, original prescriptions and the maximum number of repeat supplies allowed of pharmaceutical benefits can only be supplied at the one time if a prescriber is satisfied that the maximum dispensing quantity is insufficient for the patient's treatment; the patient has a chronic illness and lives in a remote area where access to PBS supplies is limited; or the patient would suffer great hardship trying to get the pharmaceutical benefit on separate occasions. A co-payment is still required for each original and repeat supply of the PBS medicine</w:t>
      </w:r>
      <w:r w:rsidRPr="00A461B6">
        <w:rPr>
          <w:color w:val="0D0D0D" w:themeColor="text1" w:themeTint="F2"/>
          <w:sz w:val="24"/>
        </w:rPr>
        <w:t xml:space="preserve">. </w:t>
      </w:r>
      <w:r w:rsidR="002A1C97" w:rsidRPr="00A461B6">
        <w:rPr>
          <w:color w:val="0D0D0D" w:themeColor="text1" w:themeTint="F2"/>
          <w:sz w:val="24"/>
        </w:rPr>
        <w:t>For example, a single</w:t>
      </w:r>
      <w:r w:rsidR="00694D20" w:rsidRPr="00A461B6">
        <w:rPr>
          <w:color w:val="0D0D0D" w:themeColor="text1" w:themeTint="F2"/>
          <w:sz w:val="24"/>
        </w:rPr>
        <w:t xml:space="preserve"> month’s</w:t>
      </w:r>
      <w:r w:rsidR="002A1C97" w:rsidRPr="00A461B6">
        <w:rPr>
          <w:color w:val="0D0D0D" w:themeColor="text1" w:themeTint="F2"/>
          <w:sz w:val="24"/>
        </w:rPr>
        <w:t xml:space="preserve"> supply of </w:t>
      </w:r>
      <w:r w:rsidR="00694D20" w:rsidRPr="00A461B6">
        <w:rPr>
          <w:color w:val="0D0D0D" w:themeColor="text1" w:themeTint="F2"/>
          <w:sz w:val="24"/>
        </w:rPr>
        <w:t>simvastatin 10 mg tablets would cost a concessional patient one co-payment of $7.30. If the patient filled five repeat prescriptions</w:t>
      </w:r>
      <w:r w:rsidR="007653D5" w:rsidRPr="00A461B6">
        <w:rPr>
          <w:color w:val="0D0D0D" w:themeColor="text1" w:themeTint="F2"/>
          <w:sz w:val="24"/>
        </w:rPr>
        <w:t xml:space="preserve"> on separate occasions, six months</w:t>
      </w:r>
      <w:r w:rsidR="009315B0" w:rsidRPr="00A461B6">
        <w:rPr>
          <w:color w:val="0D0D0D" w:themeColor="text1" w:themeTint="F2"/>
          <w:sz w:val="24"/>
        </w:rPr>
        <w:t>’</w:t>
      </w:r>
      <w:r w:rsidR="007653D5" w:rsidRPr="00A461B6">
        <w:rPr>
          <w:color w:val="0D0D0D" w:themeColor="text1" w:themeTint="F2"/>
          <w:sz w:val="24"/>
        </w:rPr>
        <w:t xml:space="preserve"> supply of the medicine would cost 6 x $7.30 = $43.80. If the pharmacy applied the optional $1 discount at each dispensing, the cost reduces to $37.80. If the same patient satisfies the conditions above and receives</w:t>
      </w:r>
      <w:r w:rsidR="007653D5" w:rsidRPr="00A461B6">
        <w:rPr>
          <w:rFonts w:eastAsiaTheme="majorEastAsia" w:cs="Arial"/>
          <w:bCs/>
          <w:color w:val="0D0D0D" w:themeColor="text1" w:themeTint="F2"/>
          <w:sz w:val="24"/>
          <w:szCs w:val="24"/>
        </w:rPr>
        <w:t xml:space="preserve"> </w:t>
      </w:r>
      <w:r w:rsidR="0038157F" w:rsidRPr="00A461B6">
        <w:rPr>
          <w:rFonts w:eastAsiaTheme="majorEastAsia" w:cs="Arial"/>
          <w:bCs/>
          <w:color w:val="0D0D0D" w:themeColor="text1" w:themeTint="F2"/>
          <w:sz w:val="24"/>
          <w:szCs w:val="24"/>
        </w:rPr>
        <w:t>the</w:t>
      </w:r>
      <w:r w:rsidR="007653D5" w:rsidRPr="00A461B6">
        <w:rPr>
          <w:color w:val="0D0D0D" w:themeColor="text1" w:themeTint="F2"/>
          <w:sz w:val="24"/>
        </w:rPr>
        <w:t xml:space="preserve"> same medicine and has the original prescription and five repeats dispensed at the one time, the cost would still be 6 x</w:t>
      </w:r>
      <w:r w:rsidR="00E50D6C" w:rsidRPr="00A461B6">
        <w:rPr>
          <w:color w:val="0D0D0D" w:themeColor="text1" w:themeTint="F2"/>
          <w:sz w:val="24"/>
        </w:rPr>
        <w:t xml:space="preserve"> </w:t>
      </w:r>
      <w:r w:rsidR="007653D5" w:rsidRPr="00A461B6">
        <w:rPr>
          <w:color w:val="0D0D0D" w:themeColor="text1" w:themeTint="F2"/>
          <w:sz w:val="24"/>
        </w:rPr>
        <w:t>$</w:t>
      </w:r>
      <w:r w:rsidR="007653D5" w:rsidRPr="00A461B6">
        <w:rPr>
          <w:color w:val="auto"/>
          <w:sz w:val="24"/>
        </w:rPr>
        <w:t>7.30 =</w:t>
      </w:r>
      <w:r w:rsidR="00E50D6C" w:rsidRPr="00A461B6">
        <w:rPr>
          <w:color w:val="auto"/>
          <w:sz w:val="24"/>
        </w:rPr>
        <w:t xml:space="preserve"> </w:t>
      </w:r>
      <w:r w:rsidR="007653D5" w:rsidRPr="00A461B6">
        <w:rPr>
          <w:color w:val="auto"/>
          <w:sz w:val="24"/>
        </w:rPr>
        <w:t xml:space="preserve">$43.80 or $37.80 if the $1 discount per dispensing is applied. </w:t>
      </w:r>
    </w:p>
    <w:p w14:paraId="1577D243" w14:textId="53626E18" w:rsidR="00663F85" w:rsidRPr="00A461B6" w:rsidRDefault="00663F85" w:rsidP="00284AAB">
      <w:pPr>
        <w:autoSpaceDE w:val="0"/>
        <w:autoSpaceDN w:val="0"/>
        <w:rPr>
          <w:rFonts w:ascii="Calibri" w:eastAsiaTheme="majorEastAsia" w:hAnsi="Calibri" w:cs="Calibri"/>
          <w:bCs/>
          <w:color w:val="0D0D0D" w:themeColor="text1" w:themeTint="F2"/>
          <w:sz w:val="24"/>
          <w:szCs w:val="24"/>
        </w:rPr>
      </w:pPr>
      <w:r w:rsidRPr="00A461B6">
        <w:rPr>
          <w:color w:val="0D0D0D" w:themeColor="text1" w:themeTint="F2"/>
          <w:sz w:val="24"/>
          <w:szCs w:val="24"/>
        </w:rPr>
        <w:t>Through the MBS Review</w:t>
      </w:r>
      <w:r w:rsidRPr="00A461B6">
        <w:rPr>
          <w:rStyle w:val="FootnoteReference"/>
          <w:color w:val="0D0D0D" w:themeColor="text1" w:themeTint="F2"/>
          <w:sz w:val="24"/>
          <w:szCs w:val="24"/>
        </w:rPr>
        <w:footnoteReference w:id="21"/>
      </w:r>
      <w:r w:rsidRPr="00A461B6">
        <w:rPr>
          <w:color w:val="0D0D0D" w:themeColor="text1" w:themeTint="F2"/>
          <w:sz w:val="24"/>
          <w:szCs w:val="24"/>
        </w:rPr>
        <w:t>, the CHF raised consumer concerns about patient access to repeat prescriptions for continuing medications</w:t>
      </w:r>
      <w:r w:rsidR="00256BC0" w:rsidRPr="00A461B6">
        <w:rPr>
          <w:color w:val="0D0D0D" w:themeColor="text1" w:themeTint="F2"/>
          <w:sz w:val="24"/>
          <w:szCs w:val="24"/>
        </w:rPr>
        <w:t xml:space="preserve"> </w:t>
      </w:r>
      <w:r w:rsidRPr="00A461B6">
        <w:rPr>
          <w:color w:val="0D0D0D" w:themeColor="text1" w:themeTint="F2"/>
          <w:sz w:val="24"/>
          <w:szCs w:val="24"/>
        </w:rPr>
        <w:t xml:space="preserve">and </w:t>
      </w:r>
      <w:r w:rsidR="00FB2EB9" w:rsidRPr="00A461B6">
        <w:rPr>
          <w:color w:val="0D0D0D" w:themeColor="text1" w:themeTint="F2"/>
          <w:sz w:val="24"/>
          <w:szCs w:val="24"/>
        </w:rPr>
        <w:t xml:space="preserve">that </w:t>
      </w:r>
      <w:r w:rsidRPr="00A461B6">
        <w:rPr>
          <w:rFonts w:ascii="Calibri" w:eastAsiaTheme="majorEastAsia" w:hAnsi="Calibri" w:cs="Calibri"/>
          <w:bCs/>
          <w:color w:val="0D0D0D" w:themeColor="text1" w:themeTint="F2"/>
          <w:sz w:val="24"/>
          <w:szCs w:val="24"/>
        </w:rPr>
        <w:t>the current PBS restrictions limited flexibility with regard to prescriptions for medicines to treat many chronic conditions.</w:t>
      </w:r>
    </w:p>
    <w:p w14:paraId="736CAB27" w14:textId="626A8136" w:rsidR="000B3CBA" w:rsidRPr="00A461B6" w:rsidRDefault="000B3CBA" w:rsidP="00D7597A">
      <w:pPr>
        <w:pStyle w:val="Heading3"/>
        <w:keepNext w:val="0"/>
        <w:keepLines w:val="0"/>
      </w:pPr>
      <w:bookmarkStart w:id="55" w:name="_Toc132192299"/>
      <w:bookmarkStart w:id="56" w:name="_Toc134603930"/>
      <w:r w:rsidRPr="00A461B6">
        <w:t>Sustainability of the PBS</w:t>
      </w:r>
      <w:bookmarkEnd w:id="55"/>
      <w:bookmarkEnd w:id="56"/>
    </w:p>
    <w:p w14:paraId="172B21C1" w14:textId="1B0A468E" w:rsidR="00D3445B" w:rsidRPr="00A461B6" w:rsidRDefault="004F5E93" w:rsidP="00D7597A">
      <w:pPr>
        <w:pStyle w:val="NormalWeb"/>
        <w:shd w:val="clear" w:color="auto" w:fill="FFFFFF"/>
        <w:spacing w:before="0" w:beforeAutospacing="0" w:after="240" w:afterAutospacing="0" w:line="300" w:lineRule="atLeast"/>
        <w:rPr>
          <w:rFonts w:ascii="Calibri" w:hAnsi="Calibri" w:cs="Calibri"/>
          <w:color w:val="0D0D0D" w:themeColor="text1" w:themeTint="F2"/>
        </w:rPr>
      </w:pPr>
      <w:r w:rsidRPr="00A461B6">
        <w:rPr>
          <w:rFonts w:asciiTheme="minorHAnsi" w:hAnsiTheme="minorHAnsi" w:cstheme="minorBidi"/>
          <w:color w:val="0D0D0D" w:themeColor="text1" w:themeTint="F2"/>
          <w:lang w:eastAsia="en-US"/>
        </w:rPr>
        <w:t>The</w:t>
      </w:r>
      <w:r w:rsidRPr="00A461B6">
        <w:rPr>
          <w:rFonts w:ascii="Calibri" w:hAnsi="Calibri" w:cs="Calibri"/>
          <w:color w:val="0D0D0D" w:themeColor="text1" w:themeTint="F2"/>
        </w:rPr>
        <w:t xml:space="preserve"> cost of the PBS is expected to continue to grow, and this will put increased pressure on the health budget.</w:t>
      </w:r>
      <w:r w:rsidRPr="00A461B6">
        <w:rPr>
          <w:rStyle w:val="FootnoteReference"/>
          <w:rFonts w:ascii="Calibri" w:hAnsi="Calibri" w:cs="Calibri"/>
          <w:color w:val="0D0D0D" w:themeColor="text1" w:themeTint="F2"/>
        </w:rPr>
        <w:footnoteReference w:id="22"/>
      </w:r>
      <w:r w:rsidRPr="00A461B6">
        <w:rPr>
          <w:rFonts w:ascii="Calibri" w:hAnsi="Calibri" w:cs="Calibri"/>
          <w:color w:val="0D0D0D" w:themeColor="text1" w:themeTint="F2"/>
        </w:rPr>
        <w:t xml:space="preserve"> Total PBS Government expense for the supply of medicines for the 2021-22 financial year was </w:t>
      </w:r>
      <w:r w:rsidRPr="00A461B6">
        <w:rPr>
          <w:rFonts w:ascii="Calibri" w:hAnsi="Calibri" w:cs="Calibri"/>
          <w:bCs/>
          <w:color w:val="0D0D0D" w:themeColor="text1" w:themeTint="F2"/>
        </w:rPr>
        <w:t>$14.7</w:t>
      </w:r>
      <w:r w:rsidRPr="00A461B6">
        <w:rPr>
          <w:rFonts w:ascii="Calibri" w:hAnsi="Calibri" w:cs="Calibri"/>
          <w:color w:val="0D0D0D" w:themeColor="text1" w:themeTint="F2"/>
        </w:rPr>
        <w:t> </w:t>
      </w:r>
      <w:r w:rsidRPr="00A461B6">
        <w:rPr>
          <w:rFonts w:ascii="Calibri" w:hAnsi="Calibri" w:cs="Calibri"/>
          <w:bCs/>
          <w:color w:val="0D0D0D" w:themeColor="text1" w:themeTint="F2"/>
        </w:rPr>
        <w:t>billion</w:t>
      </w:r>
      <w:r w:rsidRPr="00A461B6">
        <w:rPr>
          <w:rFonts w:ascii="Calibri" w:hAnsi="Calibri" w:cs="Calibri"/>
          <w:color w:val="0D0D0D" w:themeColor="text1" w:themeTint="F2"/>
        </w:rPr>
        <w:t> (excluding revenue</w:t>
      </w:r>
      <w:r w:rsidR="0004110B" w:rsidRPr="00A461B6">
        <w:rPr>
          <w:rFonts w:ascii="Calibri" w:hAnsi="Calibri" w:cs="Calibri"/>
          <w:color w:val="0D0D0D" w:themeColor="text1" w:themeTint="F2"/>
        </w:rPr>
        <w:t xml:space="preserve"> </w:t>
      </w:r>
      <w:r w:rsidR="004900A3" w:rsidRPr="00A461B6">
        <w:rPr>
          <w:rFonts w:ascii="Calibri" w:hAnsi="Calibri" w:cs="Calibri"/>
          <w:color w:val="0D0D0D" w:themeColor="text1" w:themeTint="F2"/>
        </w:rPr>
        <w:t>from rebates paid to Government for medicines with special pricing arrangements and/or risk sharing arrangements</w:t>
      </w:r>
      <w:r w:rsidRPr="00A461B6">
        <w:rPr>
          <w:rFonts w:ascii="Calibri" w:hAnsi="Calibri"/>
          <w:color w:val="0D0D0D" w:themeColor="text1" w:themeTint="F2"/>
        </w:rPr>
        <w:t xml:space="preserve">), </w:t>
      </w:r>
      <w:r w:rsidRPr="00A461B6">
        <w:rPr>
          <w:rFonts w:ascii="Calibri" w:hAnsi="Calibri" w:cs="Calibri"/>
          <w:color w:val="0D0D0D" w:themeColor="text1" w:themeTint="F2"/>
        </w:rPr>
        <w:t>compared with </w:t>
      </w:r>
      <w:r w:rsidRPr="00A461B6">
        <w:rPr>
          <w:rFonts w:ascii="Calibri" w:hAnsi="Calibri" w:cs="Calibri"/>
          <w:bCs/>
          <w:color w:val="0D0D0D" w:themeColor="text1" w:themeTint="F2"/>
        </w:rPr>
        <w:t>$13.8</w:t>
      </w:r>
      <w:r w:rsidRPr="00A461B6">
        <w:rPr>
          <w:rFonts w:ascii="Calibri" w:hAnsi="Calibri" w:cs="Calibri"/>
          <w:color w:val="0D0D0D" w:themeColor="text1" w:themeTint="F2"/>
        </w:rPr>
        <w:t> </w:t>
      </w:r>
      <w:r w:rsidRPr="00A461B6">
        <w:rPr>
          <w:rFonts w:ascii="Calibri" w:hAnsi="Calibri" w:cs="Calibri"/>
          <w:bCs/>
          <w:color w:val="0D0D0D" w:themeColor="text1" w:themeTint="F2"/>
        </w:rPr>
        <w:t>billion</w:t>
      </w:r>
      <w:r w:rsidRPr="00A461B6">
        <w:rPr>
          <w:rFonts w:ascii="Calibri" w:hAnsi="Calibri" w:cs="Calibri"/>
          <w:color w:val="0D0D0D" w:themeColor="text1" w:themeTint="F2"/>
        </w:rPr>
        <w:t> for the previous year. This is an increase of </w:t>
      </w:r>
      <w:r w:rsidRPr="00A461B6">
        <w:rPr>
          <w:rFonts w:ascii="Calibri" w:hAnsi="Calibri" w:cs="Calibri"/>
          <w:bCs/>
          <w:color w:val="0D0D0D" w:themeColor="text1" w:themeTint="F2"/>
        </w:rPr>
        <w:t>6.7%.</w:t>
      </w:r>
      <w:r w:rsidRPr="00A461B6">
        <w:rPr>
          <w:rStyle w:val="FootnoteReference"/>
          <w:rFonts w:ascii="Calibri" w:hAnsi="Calibri" w:cs="Calibri"/>
          <w:bCs/>
          <w:color w:val="0D0D0D" w:themeColor="text1" w:themeTint="F2"/>
        </w:rPr>
        <w:footnoteReference w:id="23"/>
      </w:r>
      <w:r w:rsidRPr="00A461B6">
        <w:rPr>
          <w:rFonts w:ascii="Calibri" w:hAnsi="Calibri" w:cs="Calibri"/>
          <w:bCs/>
          <w:color w:val="0D0D0D" w:themeColor="text1" w:themeTint="F2"/>
        </w:rPr>
        <w:t xml:space="preserve"> </w:t>
      </w:r>
      <w:r w:rsidRPr="00A461B6">
        <w:rPr>
          <w:rFonts w:ascii="Calibri" w:hAnsi="Calibri" w:cs="Calibri"/>
          <w:color w:val="0D0D0D" w:themeColor="text1" w:themeTint="F2"/>
        </w:rPr>
        <w:t>To ensure the ongoing sustainability of the PBS, both the medicines subsidised and the programs through which medicines are supplied and accessed are reviewed regularly by Government</w:t>
      </w:r>
      <w:r w:rsidR="00E50D6C" w:rsidRPr="00A461B6">
        <w:rPr>
          <w:rFonts w:ascii="Calibri" w:hAnsi="Calibri" w:cs="Calibri"/>
          <w:color w:val="0D0D0D" w:themeColor="text1" w:themeTint="F2"/>
        </w:rPr>
        <w:t>.</w:t>
      </w:r>
    </w:p>
    <w:p w14:paraId="4EDF5579" w14:textId="77777777" w:rsidR="00C51551" w:rsidRPr="00A461B6" w:rsidRDefault="00C51551" w:rsidP="00705663">
      <w:pPr>
        <w:pStyle w:val="Heading2"/>
        <w:pageBreakBefore/>
      </w:pPr>
      <w:bookmarkStart w:id="57" w:name="_Toc132192300"/>
      <w:bookmarkStart w:id="58" w:name="_Toc134603931"/>
      <w:r w:rsidRPr="00A461B6">
        <w:t xml:space="preserve">2. </w:t>
      </w:r>
      <w:r w:rsidR="00663F85" w:rsidRPr="00A461B6">
        <w:t xml:space="preserve">Why is government </w:t>
      </w:r>
      <w:r w:rsidR="00774EAC" w:rsidRPr="00A461B6">
        <w:t>action</w:t>
      </w:r>
      <w:r w:rsidR="00663F85" w:rsidRPr="00A461B6">
        <w:t xml:space="preserve"> needed?</w:t>
      </w:r>
      <w:bookmarkEnd w:id="57"/>
      <w:bookmarkEnd w:id="58"/>
    </w:p>
    <w:p w14:paraId="5F4BA1AD" w14:textId="77777777" w:rsidR="0003758D" w:rsidRPr="00A461B6" w:rsidRDefault="0003758D" w:rsidP="0003758D">
      <w:pPr>
        <w:pStyle w:val="paragraph"/>
        <w:spacing w:before="0" w:beforeAutospacing="0" w:after="0" w:afterAutospacing="0"/>
        <w:textAlignment w:val="baseline"/>
        <w:rPr>
          <w:rStyle w:val="normaltextrun"/>
          <w:rFonts w:ascii="Calibri" w:hAnsi="Calibri"/>
          <w:color w:val="000000"/>
        </w:rPr>
      </w:pPr>
      <w:r w:rsidRPr="00A461B6">
        <w:rPr>
          <w:rStyle w:val="normaltextrun"/>
          <w:rFonts w:ascii="Calibri" w:hAnsi="Calibri" w:cs="Calibri"/>
          <w:color w:val="000000"/>
        </w:rPr>
        <w:t>The central pillars of the refreshed 2022 National Medicines Policy</w:t>
      </w:r>
      <w:r w:rsidRPr="00A461B6">
        <w:rPr>
          <w:rStyle w:val="FootnoteReference"/>
          <w:rFonts w:ascii="Calibri" w:hAnsi="Calibri" w:cs="Calibri"/>
          <w:color w:val="000000"/>
        </w:rPr>
        <w:footnoteReference w:id="24"/>
      </w:r>
      <w:r w:rsidRPr="00A461B6">
        <w:rPr>
          <w:rStyle w:val="normaltextrun"/>
          <w:rFonts w:ascii="Calibri" w:hAnsi="Calibri" w:cs="Calibri"/>
          <w:color w:val="000000"/>
        </w:rPr>
        <w:t xml:space="preserve"> are:</w:t>
      </w:r>
    </w:p>
    <w:p w14:paraId="61E6350E" w14:textId="77777777" w:rsidR="0003758D" w:rsidRPr="00A461B6" w:rsidRDefault="0003758D" w:rsidP="00501CE8">
      <w:pPr>
        <w:pStyle w:val="Paragraphtext"/>
        <w:numPr>
          <w:ilvl w:val="0"/>
          <w:numId w:val="28"/>
        </w:numPr>
        <w:rPr>
          <w:rFonts w:ascii="Calibri" w:eastAsia="Times New Roman" w:hAnsi="Calibri" w:cs="Calibri"/>
          <w:sz w:val="24"/>
          <w:szCs w:val="24"/>
        </w:rPr>
      </w:pPr>
      <w:r w:rsidRPr="00A461B6">
        <w:rPr>
          <w:rFonts w:ascii="Calibri" w:eastAsia="Times New Roman" w:hAnsi="Calibri" w:cs="Calibri"/>
          <w:sz w:val="24"/>
          <w:szCs w:val="24"/>
        </w:rPr>
        <w:t>equitable, timely, safe and reliable access to medicines and medicines-related services, at a cost that individuals and the community can afford</w:t>
      </w:r>
    </w:p>
    <w:p w14:paraId="578E4A2D" w14:textId="77777777" w:rsidR="0003758D" w:rsidRPr="00A461B6" w:rsidRDefault="0003758D" w:rsidP="00501CE8">
      <w:pPr>
        <w:pStyle w:val="Paragraphtext"/>
        <w:numPr>
          <w:ilvl w:val="0"/>
          <w:numId w:val="28"/>
        </w:numPr>
        <w:rPr>
          <w:rFonts w:ascii="Calibri" w:eastAsia="Times New Roman" w:hAnsi="Calibri" w:cs="Calibri"/>
          <w:sz w:val="24"/>
          <w:szCs w:val="24"/>
        </w:rPr>
      </w:pPr>
      <w:r w:rsidRPr="00A461B6">
        <w:rPr>
          <w:rFonts w:ascii="Calibri" w:eastAsia="Times New Roman" w:hAnsi="Calibri" w:cs="Calibri"/>
          <w:sz w:val="24"/>
          <w:szCs w:val="24"/>
        </w:rPr>
        <w:t>medicines meet the required standards of quality, safety and efficacy</w:t>
      </w:r>
    </w:p>
    <w:p w14:paraId="08C0965D" w14:textId="77777777" w:rsidR="0003758D" w:rsidRPr="00A461B6" w:rsidRDefault="0003758D" w:rsidP="00501CE8">
      <w:pPr>
        <w:pStyle w:val="Paragraphtext"/>
        <w:numPr>
          <w:ilvl w:val="0"/>
          <w:numId w:val="28"/>
        </w:numPr>
        <w:rPr>
          <w:rFonts w:ascii="Calibri" w:eastAsia="Times New Roman" w:hAnsi="Calibri" w:cs="Calibri"/>
          <w:sz w:val="24"/>
          <w:szCs w:val="24"/>
        </w:rPr>
      </w:pPr>
      <w:r w:rsidRPr="00A461B6">
        <w:rPr>
          <w:rFonts w:ascii="Calibri" w:eastAsia="Times New Roman" w:hAnsi="Calibri" w:cs="Calibri"/>
          <w:sz w:val="24"/>
          <w:szCs w:val="24"/>
        </w:rPr>
        <w:t>quality use of medicines and medicines safety</w:t>
      </w:r>
    </w:p>
    <w:p w14:paraId="5F55247B" w14:textId="77777777" w:rsidR="0003758D" w:rsidRPr="00A461B6" w:rsidRDefault="0003758D" w:rsidP="009A586E">
      <w:pPr>
        <w:pStyle w:val="Paragraphtext"/>
        <w:numPr>
          <w:ilvl w:val="0"/>
          <w:numId w:val="28"/>
        </w:numPr>
        <w:spacing w:after="120"/>
        <w:ind w:left="714" w:hanging="357"/>
        <w:rPr>
          <w:rFonts w:ascii="Calibri" w:eastAsia="Times New Roman" w:hAnsi="Calibri" w:cs="Calibri"/>
          <w:sz w:val="24"/>
          <w:szCs w:val="24"/>
        </w:rPr>
      </w:pPr>
      <w:r w:rsidRPr="00A461B6">
        <w:rPr>
          <w:rFonts w:ascii="Calibri" w:eastAsia="Times New Roman" w:hAnsi="Calibri" w:cs="Calibri"/>
          <w:sz w:val="24"/>
          <w:szCs w:val="24"/>
        </w:rPr>
        <w:t>collaborative, innovative and sustainable medicines industry and research sectors with the capability, capacity and expertise to respond to current and future health needs.</w:t>
      </w:r>
    </w:p>
    <w:p w14:paraId="709D08B1" w14:textId="6528DD11" w:rsidR="0003758D" w:rsidRPr="00A461B6" w:rsidRDefault="0003758D" w:rsidP="00663F85">
      <w:pPr>
        <w:rPr>
          <w:color w:val="0D0D0D" w:themeColor="text1" w:themeTint="F2"/>
          <w:sz w:val="24"/>
        </w:rPr>
      </w:pPr>
      <w:r w:rsidRPr="00A461B6">
        <w:rPr>
          <w:color w:val="0D0D0D" w:themeColor="text1" w:themeTint="F2"/>
          <w:sz w:val="24"/>
        </w:rPr>
        <w:t>The intended outcome of the first pillar is that medicines and medicine related services are affordable and accessible in an equitable, timely and safe manner, leading to the achievement of the best health, social and economic benefits.</w:t>
      </w:r>
    </w:p>
    <w:p w14:paraId="79D3D939" w14:textId="308177DC" w:rsidR="00264499" w:rsidRPr="00A461B6" w:rsidRDefault="006C087B" w:rsidP="00663F85">
      <w:pPr>
        <w:rPr>
          <w:color w:val="0D0D0D" w:themeColor="text1" w:themeTint="F2"/>
          <w:sz w:val="24"/>
        </w:rPr>
      </w:pPr>
      <w:r w:rsidRPr="00A461B6">
        <w:rPr>
          <w:color w:val="0D0D0D" w:themeColor="text1" w:themeTint="F2"/>
          <w:sz w:val="24"/>
        </w:rPr>
        <w:t xml:space="preserve">Ensuring equity of access to medicines and medicine-related services for all Australians involves considering </w:t>
      </w:r>
      <w:r w:rsidR="00A13244" w:rsidRPr="00A461B6">
        <w:rPr>
          <w:color w:val="0D0D0D" w:themeColor="text1" w:themeTint="F2"/>
          <w:sz w:val="24"/>
        </w:rPr>
        <w:t xml:space="preserve">effectiveness, </w:t>
      </w:r>
      <w:r w:rsidRPr="00A461B6">
        <w:rPr>
          <w:color w:val="0D0D0D" w:themeColor="text1" w:themeTint="F2"/>
          <w:sz w:val="24"/>
        </w:rPr>
        <w:t xml:space="preserve">safety, affordability and the health, social and economic benefits. </w:t>
      </w:r>
      <w:r w:rsidR="00CD64D1" w:rsidRPr="00A461B6">
        <w:rPr>
          <w:color w:val="0D0D0D" w:themeColor="text1" w:themeTint="F2"/>
          <w:sz w:val="24"/>
        </w:rPr>
        <w:t xml:space="preserve">The Australian Government </w:t>
      </w:r>
      <w:r w:rsidRPr="00A461B6">
        <w:rPr>
          <w:color w:val="0D0D0D" w:themeColor="text1" w:themeTint="F2"/>
          <w:sz w:val="24"/>
        </w:rPr>
        <w:t>provide</w:t>
      </w:r>
      <w:r w:rsidR="00CD64D1" w:rsidRPr="00A461B6">
        <w:rPr>
          <w:color w:val="0D0D0D" w:themeColor="text1" w:themeTint="F2"/>
          <w:sz w:val="24"/>
        </w:rPr>
        <w:t>s</w:t>
      </w:r>
      <w:r w:rsidRPr="00A461B6">
        <w:rPr>
          <w:color w:val="0D0D0D" w:themeColor="text1" w:themeTint="F2"/>
          <w:sz w:val="24"/>
        </w:rPr>
        <w:t xml:space="preserve"> subsidised access to medicines</w:t>
      </w:r>
      <w:r w:rsidR="00A13244" w:rsidRPr="00A461B6">
        <w:rPr>
          <w:color w:val="0D0D0D" w:themeColor="text1" w:themeTint="F2"/>
          <w:sz w:val="24"/>
        </w:rPr>
        <w:t xml:space="preserve"> and vaccines</w:t>
      </w:r>
      <w:r w:rsidRPr="00A461B6">
        <w:rPr>
          <w:color w:val="0D0D0D" w:themeColor="text1" w:themeTint="F2"/>
          <w:sz w:val="24"/>
        </w:rPr>
        <w:t xml:space="preserve"> </w:t>
      </w:r>
      <w:r w:rsidR="00CD64D1" w:rsidRPr="00A461B6">
        <w:rPr>
          <w:color w:val="0D0D0D" w:themeColor="text1" w:themeTint="F2"/>
          <w:sz w:val="24"/>
        </w:rPr>
        <w:t>through</w:t>
      </w:r>
      <w:r w:rsidRPr="00A461B6">
        <w:rPr>
          <w:color w:val="0D0D0D" w:themeColor="text1" w:themeTint="F2"/>
          <w:sz w:val="24"/>
        </w:rPr>
        <w:t xml:space="preserve"> the PBS, </w:t>
      </w:r>
      <w:r w:rsidR="00CD64D1" w:rsidRPr="00A461B6">
        <w:rPr>
          <w:color w:val="0D0D0D" w:themeColor="text1" w:themeTint="F2"/>
          <w:sz w:val="24"/>
        </w:rPr>
        <w:t>the</w:t>
      </w:r>
      <w:r w:rsidRPr="00A461B6">
        <w:rPr>
          <w:color w:val="0D0D0D" w:themeColor="text1" w:themeTint="F2"/>
          <w:sz w:val="24"/>
        </w:rPr>
        <w:t xml:space="preserve"> RPBS and </w:t>
      </w:r>
      <w:r w:rsidR="00CD64D1" w:rsidRPr="00A461B6">
        <w:rPr>
          <w:color w:val="0D0D0D" w:themeColor="text1" w:themeTint="F2"/>
          <w:sz w:val="24"/>
        </w:rPr>
        <w:t xml:space="preserve">the </w:t>
      </w:r>
      <w:r w:rsidRPr="00A461B6">
        <w:rPr>
          <w:color w:val="0D0D0D" w:themeColor="text1" w:themeTint="F2"/>
          <w:sz w:val="24"/>
        </w:rPr>
        <w:t>NIP. Medicines are also accessed through public and private hospitals, clinical trials, compassionate access programs, or privately purchased (including non-prescription medicines). This is supported by access arrangements between federal, state and territory governments for certain technologies.</w:t>
      </w:r>
    </w:p>
    <w:p w14:paraId="509226E0" w14:textId="12E9C69B" w:rsidR="00710823" w:rsidRPr="00A461B6" w:rsidRDefault="00663F85" w:rsidP="00DD090A">
      <w:pPr>
        <w:rPr>
          <w:color w:val="0D0D0D" w:themeColor="text1" w:themeTint="F2"/>
          <w:sz w:val="24"/>
          <w:szCs w:val="24"/>
        </w:rPr>
      </w:pPr>
      <w:r w:rsidRPr="00A461B6">
        <w:rPr>
          <w:color w:val="0D0D0D" w:themeColor="text1" w:themeTint="F2"/>
          <w:sz w:val="24"/>
        </w:rPr>
        <w:t xml:space="preserve">The </w:t>
      </w:r>
      <w:r w:rsidR="00AF0E99" w:rsidRPr="00A461B6">
        <w:rPr>
          <w:color w:val="0D0D0D" w:themeColor="text1" w:themeTint="F2"/>
          <w:sz w:val="24"/>
        </w:rPr>
        <w:t xml:space="preserve">Australian </w:t>
      </w:r>
      <w:r w:rsidRPr="00A461B6">
        <w:rPr>
          <w:color w:val="0D0D0D" w:themeColor="text1" w:themeTint="F2"/>
          <w:sz w:val="24"/>
        </w:rPr>
        <w:t xml:space="preserve">Government is solely responsible for the administration and management of the PBS, to provide timely, reliable and affordable access to necessary medicines for Australians at a cost the community can afford. </w:t>
      </w:r>
      <w:r w:rsidR="00AF0E99" w:rsidRPr="00A461B6">
        <w:rPr>
          <w:color w:val="0D0D0D" w:themeColor="text1" w:themeTint="F2"/>
          <w:sz w:val="24"/>
          <w:szCs w:val="24"/>
        </w:rPr>
        <w:t>The Government takes advice from medical experts, including those on the PBAC, on all medical and medicine matters related to the PBS</w:t>
      </w:r>
      <w:r w:rsidR="007263B0" w:rsidRPr="00A461B6">
        <w:rPr>
          <w:color w:val="0D0D0D" w:themeColor="text1" w:themeTint="F2"/>
          <w:sz w:val="24"/>
          <w:szCs w:val="24"/>
        </w:rPr>
        <w:t xml:space="preserve">, and </w:t>
      </w:r>
      <w:r w:rsidR="00AF0E99" w:rsidRPr="00A461B6">
        <w:rPr>
          <w:color w:val="0D0D0D" w:themeColor="text1" w:themeTint="F2"/>
          <w:sz w:val="24"/>
          <w:szCs w:val="24"/>
        </w:rPr>
        <w:t xml:space="preserve">makes the final decision on the implementation and timing of PBAC recommendations. </w:t>
      </w:r>
    </w:p>
    <w:p w14:paraId="4B34047B" w14:textId="77777777" w:rsidR="00264499" w:rsidRPr="00A461B6" w:rsidRDefault="00264499" w:rsidP="00264499">
      <w:pPr>
        <w:rPr>
          <w:color w:val="0D0D0D" w:themeColor="text1" w:themeTint="F2"/>
          <w:sz w:val="24"/>
          <w:szCs w:val="24"/>
        </w:rPr>
      </w:pPr>
      <w:r w:rsidRPr="00A461B6">
        <w:rPr>
          <w:color w:val="0D0D0D" w:themeColor="text1" w:themeTint="F2"/>
          <w:sz w:val="24"/>
          <w:szCs w:val="24"/>
        </w:rPr>
        <w:t>The Government is committed to:</w:t>
      </w:r>
    </w:p>
    <w:p w14:paraId="259CC4D7" w14:textId="7A591EB5" w:rsidR="00264499" w:rsidRPr="00A461B6" w:rsidRDefault="00264499" w:rsidP="00264499">
      <w:pPr>
        <w:numPr>
          <w:ilvl w:val="0"/>
          <w:numId w:val="8"/>
        </w:numPr>
        <w:rPr>
          <w:color w:val="0D0D0D" w:themeColor="text1" w:themeTint="F2"/>
          <w:sz w:val="24"/>
          <w:szCs w:val="24"/>
        </w:rPr>
      </w:pPr>
      <w:r w:rsidRPr="00A461B6">
        <w:rPr>
          <w:color w:val="0D0D0D" w:themeColor="text1" w:themeTint="F2"/>
          <w:sz w:val="24"/>
          <w:szCs w:val="24"/>
        </w:rPr>
        <w:t>Convenient and affordable access for consumers to PBS medicines for many chronic conditions</w:t>
      </w:r>
    </w:p>
    <w:p w14:paraId="0A384400" w14:textId="47FC0176" w:rsidR="00264499" w:rsidRPr="00A461B6" w:rsidRDefault="00264499" w:rsidP="00264499">
      <w:pPr>
        <w:numPr>
          <w:ilvl w:val="0"/>
          <w:numId w:val="8"/>
        </w:numPr>
        <w:rPr>
          <w:color w:val="0D0D0D" w:themeColor="text1" w:themeTint="F2"/>
          <w:sz w:val="24"/>
          <w:szCs w:val="24"/>
        </w:rPr>
      </w:pPr>
      <w:r w:rsidRPr="00A461B6">
        <w:rPr>
          <w:color w:val="0D0D0D" w:themeColor="text1" w:themeTint="F2"/>
          <w:sz w:val="24"/>
          <w:szCs w:val="24"/>
        </w:rPr>
        <w:t>Lower healthcare costs for consumers and Government without compromising patient safety</w:t>
      </w:r>
    </w:p>
    <w:p w14:paraId="2B9569F3" w14:textId="29D0E183" w:rsidR="00264499" w:rsidRPr="00A461B6" w:rsidRDefault="00264499" w:rsidP="00264499">
      <w:pPr>
        <w:numPr>
          <w:ilvl w:val="0"/>
          <w:numId w:val="8"/>
        </w:numPr>
        <w:rPr>
          <w:color w:val="0D0D0D" w:themeColor="text1" w:themeTint="F2"/>
          <w:sz w:val="24"/>
          <w:szCs w:val="24"/>
        </w:rPr>
      </w:pPr>
      <w:r w:rsidRPr="00A461B6">
        <w:rPr>
          <w:color w:val="0D0D0D" w:themeColor="text1" w:themeTint="F2"/>
          <w:sz w:val="24"/>
          <w:szCs w:val="24"/>
        </w:rPr>
        <w:t>Improvements to the PBS to provide more choice for doctors and consumers</w:t>
      </w:r>
    </w:p>
    <w:p w14:paraId="1E0E60BA" w14:textId="4D6829AB" w:rsidR="00264499" w:rsidRPr="00A461B6" w:rsidRDefault="00264499" w:rsidP="00264499">
      <w:pPr>
        <w:numPr>
          <w:ilvl w:val="0"/>
          <w:numId w:val="8"/>
        </w:numPr>
        <w:rPr>
          <w:color w:val="0D0D0D" w:themeColor="text1" w:themeTint="F2"/>
          <w:sz w:val="24"/>
          <w:szCs w:val="24"/>
        </w:rPr>
      </w:pPr>
      <w:r w:rsidRPr="00A461B6">
        <w:rPr>
          <w:color w:val="0D0D0D" w:themeColor="text1" w:themeTint="F2"/>
          <w:sz w:val="24"/>
          <w:szCs w:val="24"/>
        </w:rPr>
        <w:t>Consistently implementing the recommendations of the independent PBAC</w:t>
      </w:r>
    </w:p>
    <w:p w14:paraId="28A1840E" w14:textId="77777777" w:rsidR="00264499" w:rsidRPr="00A461B6" w:rsidRDefault="00264499" w:rsidP="00264499">
      <w:pPr>
        <w:numPr>
          <w:ilvl w:val="0"/>
          <w:numId w:val="8"/>
        </w:numPr>
        <w:rPr>
          <w:color w:val="0D0D0D" w:themeColor="text1" w:themeTint="F2"/>
          <w:sz w:val="24"/>
          <w:szCs w:val="24"/>
        </w:rPr>
      </w:pPr>
      <w:r w:rsidRPr="00A461B6">
        <w:rPr>
          <w:color w:val="0D0D0D" w:themeColor="text1" w:themeTint="F2"/>
          <w:sz w:val="24"/>
          <w:szCs w:val="24"/>
        </w:rPr>
        <w:t>Maintaining the sustainability of the PBS.</w:t>
      </w:r>
    </w:p>
    <w:p w14:paraId="02AA1977" w14:textId="614B0FA2" w:rsidR="009457AB" w:rsidRPr="00A461B6" w:rsidRDefault="009457AB" w:rsidP="00D2693C">
      <w:pPr>
        <w:pStyle w:val="BodyText"/>
        <w:rPr>
          <w:color w:val="0D0D0D" w:themeColor="text1" w:themeTint="F2"/>
        </w:rPr>
      </w:pPr>
      <w:r w:rsidRPr="00A461B6">
        <w:rPr>
          <w:color w:val="0D0D0D" w:themeColor="text1" w:themeTint="F2"/>
          <w:sz w:val="24"/>
          <w:szCs w:val="24"/>
        </w:rPr>
        <w:t>There</w:t>
      </w:r>
      <w:r w:rsidR="002F5811" w:rsidRPr="00A461B6">
        <w:rPr>
          <w:color w:val="0D0D0D" w:themeColor="text1" w:themeTint="F2"/>
          <w:sz w:val="24"/>
          <w:szCs w:val="24"/>
        </w:rPr>
        <w:t xml:space="preserve"> are some constraints </w:t>
      </w:r>
      <w:r w:rsidR="00C37B7A" w:rsidRPr="00A461B6">
        <w:rPr>
          <w:color w:val="0D0D0D" w:themeColor="text1" w:themeTint="F2"/>
          <w:sz w:val="24"/>
          <w:szCs w:val="24"/>
        </w:rPr>
        <w:t xml:space="preserve">to the Government taking action. There </w:t>
      </w:r>
      <w:r w:rsidRPr="00A461B6">
        <w:rPr>
          <w:color w:val="0D0D0D" w:themeColor="text1" w:themeTint="F2"/>
          <w:sz w:val="24"/>
          <w:szCs w:val="24"/>
        </w:rPr>
        <w:t>is a risk that the proposal will</w:t>
      </w:r>
      <w:r w:rsidR="00FB2EB9" w:rsidRPr="00A461B6">
        <w:rPr>
          <w:color w:val="0D0D0D" w:themeColor="text1" w:themeTint="F2"/>
          <w:sz w:val="24"/>
          <w:szCs w:val="24"/>
        </w:rPr>
        <w:t xml:space="preserve"> raise concerns for </w:t>
      </w:r>
      <w:r w:rsidRPr="00A461B6">
        <w:rPr>
          <w:color w:val="0D0D0D" w:themeColor="text1" w:themeTint="F2"/>
          <w:sz w:val="24"/>
          <w:szCs w:val="24"/>
        </w:rPr>
        <w:t xml:space="preserve">pharmacy stakeholders. However, </w:t>
      </w:r>
      <w:r w:rsidR="00985133" w:rsidRPr="00A461B6">
        <w:rPr>
          <w:color w:val="0D0D0D" w:themeColor="text1" w:themeTint="F2"/>
          <w:sz w:val="24"/>
          <w:szCs w:val="24"/>
        </w:rPr>
        <w:t>based on recent public representations</w:t>
      </w:r>
      <w:r w:rsidR="00157AAE" w:rsidRPr="00A461B6">
        <w:rPr>
          <w:color w:val="0D0D0D" w:themeColor="text1" w:themeTint="F2"/>
          <w:sz w:val="24"/>
          <w:szCs w:val="24"/>
        </w:rPr>
        <w:t xml:space="preserve"> and discussion</w:t>
      </w:r>
      <w:r w:rsidR="00985133" w:rsidRPr="00A461B6">
        <w:rPr>
          <w:color w:val="0D0D0D" w:themeColor="text1" w:themeTint="F2"/>
          <w:sz w:val="24"/>
          <w:szCs w:val="24"/>
        </w:rPr>
        <w:t xml:space="preserve">, </w:t>
      </w:r>
      <w:r w:rsidR="007263B0" w:rsidRPr="00A461B6">
        <w:rPr>
          <w:color w:val="0D0D0D" w:themeColor="text1" w:themeTint="F2"/>
          <w:sz w:val="24"/>
          <w:szCs w:val="24"/>
        </w:rPr>
        <w:t xml:space="preserve">the proposal </w:t>
      </w:r>
      <w:r w:rsidRPr="00A461B6">
        <w:rPr>
          <w:color w:val="0D0D0D" w:themeColor="text1" w:themeTint="F2"/>
          <w:sz w:val="24"/>
          <w:szCs w:val="24"/>
        </w:rPr>
        <w:t xml:space="preserve">has support from prescribers and consumers and will reduce the out of pocket costs </w:t>
      </w:r>
      <w:r w:rsidR="001575A0" w:rsidRPr="00A461B6">
        <w:rPr>
          <w:color w:val="0D0D0D" w:themeColor="text1" w:themeTint="F2"/>
          <w:sz w:val="24"/>
          <w:szCs w:val="24"/>
        </w:rPr>
        <w:t>of</w:t>
      </w:r>
      <w:r w:rsidRPr="00A461B6">
        <w:rPr>
          <w:color w:val="0D0D0D" w:themeColor="text1" w:themeTint="F2"/>
          <w:sz w:val="24"/>
          <w:szCs w:val="24"/>
        </w:rPr>
        <w:t xml:space="preserve"> PBS medicines for millions of Australians. A </w:t>
      </w:r>
      <w:r w:rsidR="007263B0" w:rsidRPr="00A461B6">
        <w:rPr>
          <w:color w:val="0D0D0D" w:themeColor="text1" w:themeTint="F2"/>
          <w:sz w:val="24"/>
          <w:szCs w:val="24"/>
        </w:rPr>
        <w:t xml:space="preserve">comprehensive </w:t>
      </w:r>
      <w:r w:rsidRPr="00A461B6">
        <w:rPr>
          <w:color w:val="0D0D0D" w:themeColor="text1" w:themeTint="F2"/>
          <w:sz w:val="24"/>
          <w:szCs w:val="24"/>
        </w:rPr>
        <w:t xml:space="preserve">public education campaign </w:t>
      </w:r>
      <w:r w:rsidR="007263B0" w:rsidRPr="00A461B6">
        <w:rPr>
          <w:color w:val="0D0D0D" w:themeColor="text1" w:themeTint="F2"/>
          <w:sz w:val="24"/>
          <w:szCs w:val="24"/>
        </w:rPr>
        <w:t>will be</w:t>
      </w:r>
      <w:r w:rsidR="007263B0" w:rsidRPr="00A461B6">
        <w:rPr>
          <w:color w:val="0D0D0D" w:themeColor="text1" w:themeTint="F2"/>
        </w:rPr>
        <w:t xml:space="preserve"> </w:t>
      </w:r>
      <w:r w:rsidR="007263B0" w:rsidRPr="00A461B6">
        <w:rPr>
          <w:color w:val="0D0D0D" w:themeColor="text1" w:themeTint="F2"/>
          <w:sz w:val="24"/>
          <w:szCs w:val="24"/>
        </w:rPr>
        <w:t xml:space="preserve">required to </w:t>
      </w:r>
      <w:r w:rsidR="00157AAE" w:rsidRPr="00A461B6">
        <w:rPr>
          <w:color w:val="0D0D0D" w:themeColor="text1" w:themeTint="F2"/>
          <w:sz w:val="24"/>
          <w:szCs w:val="24"/>
        </w:rPr>
        <w:t>clearly explain</w:t>
      </w:r>
      <w:r w:rsidRPr="00A461B6">
        <w:rPr>
          <w:color w:val="0D0D0D" w:themeColor="text1" w:themeTint="F2"/>
          <w:sz w:val="24"/>
          <w:szCs w:val="24"/>
        </w:rPr>
        <w:t xml:space="preserve"> </w:t>
      </w:r>
      <w:r w:rsidR="00157AAE" w:rsidRPr="00A461B6">
        <w:rPr>
          <w:color w:val="0D0D0D" w:themeColor="text1" w:themeTint="F2"/>
          <w:sz w:val="24"/>
          <w:szCs w:val="24"/>
        </w:rPr>
        <w:t xml:space="preserve">how </w:t>
      </w:r>
      <w:r w:rsidRPr="00A461B6">
        <w:rPr>
          <w:color w:val="0D0D0D" w:themeColor="text1" w:themeTint="F2"/>
          <w:sz w:val="24"/>
          <w:szCs w:val="24"/>
        </w:rPr>
        <w:t>th</w:t>
      </w:r>
      <w:r w:rsidR="009A586E" w:rsidRPr="00A461B6">
        <w:rPr>
          <w:color w:val="0D0D0D" w:themeColor="text1" w:themeTint="F2"/>
          <w:sz w:val="24"/>
          <w:szCs w:val="24"/>
        </w:rPr>
        <w:t>e changes will work</w:t>
      </w:r>
      <w:r w:rsidRPr="00A461B6">
        <w:rPr>
          <w:color w:val="0D0D0D" w:themeColor="text1" w:themeTint="F2"/>
          <w:sz w:val="24"/>
          <w:szCs w:val="24"/>
        </w:rPr>
        <w:t xml:space="preserve"> for patients</w:t>
      </w:r>
      <w:r w:rsidR="007263B0" w:rsidRPr="00A461B6">
        <w:rPr>
          <w:color w:val="0D0D0D" w:themeColor="text1" w:themeTint="F2"/>
          <w:sz w:val="24"/>
          <w:szCs w:val="24"/>
        </w:rPr>
        <w:t xml:space="preserve"> </w:t>
      </w:r>
      <w:r w:rsidRPr="00A461B6">
        <w:rPr>
          <w:color w:val="0D0D0D" w:themeColor="text1" w:themeTint="F2"/>
          <w:sz w:val="24"/>
          <w:szCs w:val="24"/>
        </w:rPr>
        <w:t>and</w:t>
      </w:r>
      <w:r w:rsidR="00157AAE" w:rsidRPr="00A461B6">
        <w:rPr>
          <w:color w:val="0D0D0D" w:themeColor="text1" w:themeTint="F2"/>
          <w:sz w:val="24"/>
          <w:szCs w:val="24"/>
        </w:rPr>
        <w:t xml:space="preserve"> how these PBS changes will interact with other PBS policy and legislation, including the PBS safety net</w:t>
      </w:r>
      <w:r w:rsidR="007263B0" w:rsidRPr="00A461B6">
        <w:rPr>
          <w:color w:val="0D0D0D" w:themeColor="text1" w:themeTint="F2"/>
          <w:sz w:val="24"/>
          <w:szCs w:val="24"/>
        </w:rPr>
        <w:t>. This</w:t>
      </w:r>
      <w:r w:rsidR="00157AAE" w:rsidRPr="00A461B6">
        <w:rPr>
          <w:color w:val="0D0D0D" w:themeColor="text1" w:themeTint="F2"/>
          <w:sz w:val="24"/>
          <w:szCs w:val="24"/>
        </w:rPr>
        <w:t xml:space="preserve"> will also explain the expanded role for pharmacies in the delivery of clinical services and programs, which will also support </w:t>
      </w:r>
      <w:r w:rsidRPr="00A461B6">
        <w:rPr>
          <w:color w:val="0D0D0D" w:themeColor="text1" w:themeTint="F2"/>
          <w:sz w:val="24"/>
          <w:szCs w:val="24"/>
        </w:rPr>
        <w:t>the viability of this important part of the health</w:t>
      </w:r>
      <w:r w:rsidR="00157AAE" w:rsidRPr="00A461B6">
        <w:rPr>
          <w:color w:val="0D0D0D" w:themeColor="text1" w:themeTint="F2"/>
          <w:sz w:val="24"/>
          <w:szCs w:val="24"/>
        </w:rPr>
        <w:t xml:space="preserve"> </w:t>
      </w:r>
      <w:r w:rsidRPr="00A461B6">
        <w:rPr>
          <w:color w:val="0D0D0D" w:themeColor="text1" w:themeTint="F2"/>
          <w:sz w:val="24"/>
          <w:szCs w:val="24"/>
        </w:rPr>
        <w:t xml:space="preserve">care </w:t>
      </w:r>
      <w:r w:rsidR="00157AAE" w:rsidRPr="00A461B6">
        <w:rPr>
          <w:color w:val="0D0D0D" w:themeColor="text1" w:themeTint="F2"/>
          <w:sz w:val="24"/>
          <w:szCs w:val="24"/>
        </w:rPr>
        <w:t>system</w:t>
      </w:r>
      <w:r w:rsidR="007263B0" w:rsidRPr="00A461B6">
        <w:rPr>
          <w:color w:val="0D0D0D" w:themeColor="text1" w:themeTint="F2"/>
          <w:sz w:val="24"/>
          <w:szCs w:val="24"/>
        </w:rPr>
        <w:t>.</w:t>
      </w:r>
      <w:r w:rsidR="0071233F" w:rsidRPr="00A461B6">
        <w:rPr>
          <w:color w:val="0D0D0D" w:themeColor="text1" w:themeTint="F2"/>
          <w:sz w:val="24"/>
          <w:szCs w:val="24"/>
        </w:rPr>
        <w:t xml:space="preserve"> Consumers with chronic conditions will need to be informed and encouraged to raise this opportunity to be considered for a prescription for an increased MDQ </w:t>
      </w:r>
      <w:r w:rsidR="00157AAE" w:rsidRPr="00A461B6">
        <w:rPr>
          <w:color w:val="0D0D0D" w:themeColor="text1" w:themeTint="F2"/>
          <w:sz w:val="24"/>
          <w:szCs w:val="24"/>
        </w:rPr>
        <w:t xml:space="preserve">for </w:t>
      </w:r>
      <w:r w:rsidR="0071233F" w:rsidRPr="00A461B6">
        <w:rPr>
          <w:color w:val="0D0D0D" w:themeColor="text1" w:themeTint="F2"/>
          <w:sz w:val="24"/>
          <w:szCs w:val="24"/>
        </w:rPr>
        <w:t xml:space="preserve">their medicine with their </w:t>
      </w:r>
      <w:r w:rsidR="00157AAE" w:rsidRPr="00A461B6">
        <w:rPr>
          <w:color w:val="0D0D0D" w:themeColor="text1" w:themeTint="F2"/>
          <w:sz w:val="24"/>
          <w:szCs w:val="24"/>
        </w:rPr>
        <w:t>prescriber</w:t>
      </w:r>
      <w:r w:rsidR="0071233F" w:rsidRPr="00A461B6">
        <w:rPr>
          <w:color w:val="0D0D0D" w:themeColor="text1" w:themeTint="F2"/>
          <w:sz w:val="24"/>
          <w:szCs w:val="24"/>
        </w:rPr>
        <w:t>.</w:t>
      </w:r>
    </w:p>
    <w:p w14:paraId="2943BD64" w14:textId="66F2360F" w:rsidR="00D3445B" w:rsidRPr="00A461B6" w:rsidRDefault="0071233F">
      <w:pPr>
        <w:rPr>
          <w:color w:val="0D0D0D" w:themeColor="text1" w:themeTint="F2"/>
          <w:sz w:val="24"/>
          <w:szCs w:val="24"/>
        </w:rPr>
      </w:pPr>
      <w:r w:rsidRPr="00A461B6">
        <w:rPr>
          <w:color w:val="0D0D0D" w:themeColor="text1" w:themeTint="F2"/>
          <w:sz w:val="24"/>
          <w:szCs w:val="24"/>
        </w:rPr>
        <w:t xml:space="preserve">Prescribing and dispensing </w:t>
      </w:r>
      <w:r w:rsidR="000256EF" w:rsidRPr="00A461B6">
        <w:rPr>
          <w:color w:val="0D0D0D" w:themeColor="text1" w:themeTint="F2"/>
          <w:sz w:val="24"/>
          <w:szCs w:val="24"/>
        </w:rPr>
        <w:t>software vendor</w:t>
      </w:r>
      <w:r w:rsidR="00FB2EB9" w:rsidRPr="00A461B6">
        <w:rPr>
          <w:color w:val="0D0D0D" w:themeColor="text1" w:themeTint="F2"/>
          <w:sz w:val="24"/>
          <w:szCs w:val="24"/>
        </w:rPr>
        <w:t>s</w:t>
      </w:r>
      <w:r w:rsidR="000256EF" w:rsidRPr="00A461B6">
        <w:rPr>
          <w:color w:val="0D0D0D" w:themeColor="text1" w:themeTint="F2"/>
          <w:sz w:val="24"/>
          <w:szCs w:val="24"/>
        </w:rPr>
        <w:t xml:space="preserve"> </w:t>
      </w:r>
      <w:r w:rsidR="001575A0" w:rsidRPr="00A461B6">
        <w:rPr>
          <w:color w:val="0D0D0D" w:themeColor="text1" w:themeTint="F2"/>
          <w:sz w:val="24"/>
          <w:szCs w:val="24"/>
        </w:rPr>
        <w:t>will be consulted</w:t>
      </w:r>
      <w:r w:rsidR="000256EF" w:rsidRPr="00A461B6">
        <w:rPr>
          <w:color w:val="0D0D0D" w:themeColor="text1" w:themeTint="F2"/>
          <w:sz w:val="24"/>
          <w:szCs w:val="24"/>
        </w:rPr>
        <w:t xml:space="preserve"> prior to </w:t>
      </w:r>
      <w:r w:rsidRPr="00A461B6">
        <w:rPr>
          <w:color w:val="0D0D0D" w:themeColor="text1" w:themeTint="F2"/>
          <w:sz w:val="24"/>
          <w:szCs w:val="24"/>
        </w:rPr>
        <w:t xml:space="preserve">implementation of the proposal </w:t>
      </w:r>
      <w:r w:rsidR="000256EF" w:rsidRPr="00A461B6">
        <w:rPr>
          <w:color w:val="0D0D0D" w:themeColor="text1" w:themeTint="F2"/>
          <w:sz w:val="24"/>
          <w:szCs w:val="24"/>
        </w:rPr>
        <w:t xml:space="preserve">to </w:t>
      </w:r>
      <w:r w:rsidR="002F5811" w:rsidRPr="00A461B6">
        <w:rPr>
          <w:color w:val="0D0D0D" w:themeColor="text1" w:themeTint="F2"/>
          <w:sz w:val="24"/>
          <w:szCs w:val="24"/>
        </w:rPr>
        <w:t>ensure the new arrangements will be reflected in the software update</w:t>
      </w:r>
      <w:r w:rsidR="00FB2EB9" w:rsidRPr="00A461B6">
        <w:rPr>
          <w:color w:val="0D0D0D" w:themeColor="text1" w:themeTint="F2"/>
          <w:sz w:val="24"/>
          <w:szCs w:val="24"/>
        </w:rPr>
        <w:t xml:space="preserve"> from the start date.</w:t>
      </w:r>
      <w:r w:rsidR="002F5811" w:rsidRPr="00A461B6">
        <w:rPr>
          <w:color w:val="0D0D0D" w:themeColor="text1" w:themeTint="F2"/>
          <w:sz w:val="24"/>
          <w:szCs w:val="24"/>
        </w:rPr>
        <w:t xml:space="preserve"> Inclusion </w:t>
      </w:r>
      <w:r w:rsidR="006C6802" w:rsidRPr="00A461B6">
        <w:rPr>
          <w:color w:val="0D0D0D" w:themeColor="text1" w:themeTint="F2"/>
          <w:sz w:val="24"/>
          <w:szCs w:val="24"/>
        </w:rPr>
        <w:t xml:space="preserve">of the large volume of </w:t>
      </w:r>
      <w:r w:rsidR="002F5811" w:rsidRPr="00A461B6">
        <w:rPr>
          <w:color w:val="0D0D0D" w:themeColor="text1" w:themeTint="F2"/>
          <w:sz w:val="24"/>
          <w:szCs w:val="24"/>
        </w:rPr>
        <w:t xml:space="preserve">PBS Schedule </w:t>
      </w:r>
      <w:r w:rsidR="006C6802" w:rsidRPr="00A461B6">
        <w:rPr>
          <w:color w:val="0D0D0D" w:themeColor="text1" w:themeTint="F2"/>
          <w:sz w:val="24"/>
          <w:szCs w:val="24"/>
        </w:rPr>
        <w:t xml:space="preserve">changes (new PBS items and amended PBS items) </w:t>
      </w:r>
      <w:r w:rsidR="002F5811" w:rsidRPr="00A461B6">
        <w:rPr>
          <w:color w:val="0D0D0D" w:themeColor="text1" w:themeTint="F2"/>
          <w:sz w:val="24"/>
          <w:szCs w:val="24"/>
        </w:rPr>
        <w:t xml:space="preserve">into one </w:t>
      </w:r>
      <w:r w:rsidR="006C6802" w:rsidRPr="00A461B6">
        <w:rPr>
          <w:color w:val="0D0D0D" w:themeColor="text1" w:themeTint="F2"/>
          <w:sz w:val="24"/>
          <w:szCs w:val="24"/>
        </w:rPr>
        <w:t xml:space="preserve">monthly software update </w:t>
      </w:r>
      <w:r w:rsidR="002F5811" w:rsidRPr="00A461B6">
        <w:rPr>
          <w:color w:val="0D0D0D" w:themeColor="text1" w:themeTint="F2"/>
          <w:sz w:val="24"/>
          <w:szCs w:val="24"/>
        </w:rPr>
        <w:t>may mean that o</w:t>
      </w:r>
      <w:r w:rsidR="006C6802" w:rsidRPr="00A461B6">
        <w:rPr>
          <w:color w:val="0D0D0D" w:themeColor="text1" w:themeTint="F2"/>
          <w:sz w:val="24"/>
          <w:szCs w:val="24"/>
        </w:rPr>
        <w:t xml:space="preserve">ther </w:t>
      </w:r>
      <w:r w:rsidR="00C37B7A" w:rsidRPr="00A461B6">
        <w:rPr>
          <w:color w:val="0D0D0D" w:themeColor="text1" w:themeTint="F2"/>
          <w:sz w:val="24"/>
          <w:szCs w:val="24"/>
        </w:rPr>
        <w:t xml:space="preserve">PBS </w:t>
      </w:r>
      <w:r w:rsidR="006C6802" w:rsidRPr="00A461B6">
        <w:rPr>
          <w:color w:val="0D0D0D" w:themeColor="text1" w:themeTint="F2"/>
          <w:sz w:val="24"/>
          <w:szCs w:val="24"/>
        </w:rPr>
        <w:t>changes may not be progressed in that specific PBS listing month</w:t>
      </w:r>
      <w:r w:rsidR="002F5811" w:rsidRPr="00A461B6">
        <w:rPr>
          <w:color w:val="0D0D0D" w:themeColor="text1" w:themeTint="F2"/>
          <w:sz w:val="24"/>
          <w:szCs w:val="24"/>
        </w:rPr>
        <w:t xml:space="preserve">. This will </w:t>
      </w:r>
      <w:r w:rsidR="006C6802" w:rsidRPr="00A461B6">
        <w:rPr>
          <w:color w:val="0D0D0D" w:themeColor="text1" w:themeTint="F2"/>
          <w:sz w:val="24"/>
          <w:szCs w:val="24"/>
        </w:rPr>
        <w:t xml:space="preserve">allow the high volume of changes to be made and to ensure that no errors are created in the PBS data where other changes may affect the same medicines as the </w:t>
      </w:r>
      <w:r w:rsidR="00157AAE" w:rsidRPr="00A461B6">
        <w:rPr>
          <w:color w:val="0D0D0D" w:themeColor="text1" w:themeTint="F2"/>
          <w:sz w:val="24"/>
          <w:szCs w:val="24"/>
        </w:rPr>
        <w:t>MDQ changes</w:t>
      </w:r>
      <w:r w:rsidR="006C6802" w:rsidRPr="00A461B6">
        <w:rPr>
          <w:color w:val="0D0D0D" w:themeColor="text1" w:themeTint="F2"/>
          <w:sz w:val="24"/>
          <w:szCs w:val="24"/>
        </w:rPr>
        <w:t>.</w:t>
      </w:r>
      <w:r w:rsidR="0053325B" w:rsidRPr="00A461B6">
        <w:rPr>
          <w:color w:val="0D0D0D" w:themeColor="text1" w:themeTint="F2"/>
          <w:sz w:val="24"/>
          <w:szCs w:val="24"/>
        </w:rPr>
        <w:t xml:space="preserve"> </w:t>
      </w:r>
    </w:p>
    <w:p w14:paraId="2C285CCF" w14:textId="67F85EB0" w:rsidR="001D11CD" w:rsidRPr="00A461B6" w:rsidRDefault="00C51551" w:rsidP="00CD64D1">
      <w:pPr>
        <w:pStyle w:val="Heading2"/>
        <w:pageBreakBefore/>
      </w:pPr>
      <w:bookmarkStart w:id="59" w:name="_Toc132192301"/>
      <w:bookmarkStart w:id="60" w:name="_Toc134603932"/>
      <w:r w:rsidRPr="00A461B6">
        <w:t xml:space="preserve">3. What policy options </w:t>
      </w:r>
      <w:r w:rsidR="00827DBE" w:rsidRPr="00A461B6">
        <w:t xml:space="preserve">are you </w:t>
      </w:r>
      <w:r w:rsidRPr="00A461B6">
        <w:t>considering?</w:t>
      </w:r>
      <w:bookmarkEnd w:id="59"/>
      <w:bookmarkEnd w:id="60"/>
    </w:p>
    <w:p w14:paraId="45DDF3E3" w14:textId="77777777" w:rsidR="00614847" w:rsidRPr="00A461B6" w:rsidRDefault="001D11CD" w:rsidP="00522795">
      <w:pPr>
        <w:pStyle w:val="BodyText"/>
        <w:rPr>
          <w:sz w:val="24"/>
          <w:szCs w:val="24"/>
        </w:rPr>
      </w:pPr>
      <w:r w:rsidRPr="00A461B6">
        <w:rPr>
          <w:sz w:val="24"/>
          <w:szCs w:val="24"/>
        </w:rPr>
        <w:t xml:space="preserve">The Government is considering the advice provided by the PBAC to increase the maximum dispensed quantities of certain PBS medicines. </w:t>
      </w:r>
    </w:p>
    <w:p w14:paraId="34CABB3A" w14:textId="331EB484" w:rsidR="00614847" w:rsidRPr="00A461B6" w:rsidRDefault="00614847" w:rsidP="00522795">
      <w:pPr>
        <w:pStyle w:val="BodyText"/>
        <w:rPr>
          <w:rFonts w:ascii="Calibri" w:hAnsi="Calibri" w:cs="Calibri"/>
          <w:sz w:val="24"/>
          <w:szCs w:val="24"/>
        </w:rPr>
      </w:pPr>
      <w:r w:rsidRPr="00A461B6">
        <w:rPr>
          <w:sz w:val="24"/>
          <w:szCs w:val="24"/>
        </w:rPr>
        <w:t>The options being considered in this</w:t>
      </w:r>
      <w:r w:rsidRPr="00A461B6">
        <w:rPr>
          <w:rFonts w:ascii="Calibri" w:hAnsi="Calibri" w:cs="Calibri"/>
          <w:sz w:val="24"/>
          <w:szCs w:val="24"/>
        </w:rPr>
        <w:t xml:space="preserve"> Impact Analysis are:</w:t>
      </w:r>
    </w:p>
    <w:p w14:paraId="5706CD35" w14:textId="64BC9357" w:rsidR="00614847" w:rsidRPr="00A461B6" w:rsidRDefault="001D11CD" w:rsidP="00501CE8">
      <w:pPr>
        <w:pStyle w:val="ListParagraph"/>
        <w:numPr>
          <w:ilvl w:val="0"/>
          <w:numId w:val="22"/>
        </w:numPr>
        <w:autoSpaceDE w:val="0"/>
        <w:autoSpaceDN w:val="0"/>
        <w:adjustRightInd w:val="0"/>
        <w:spacing w:after="0" w:line="240" w:lineRule="auto"/>
        <w:rPr>
          <w:rFonts w:ascii="Calibri" w:hAnsi="Calibri" w:cs="Calibri"/>
          <w:color w:val="0D0D0D" w:themeColor="text1" w:themeTint="F2"/>
          <w:sz w:val="24"/>
          <w:szCs w:val="24"/>
        </w:rPr>
      </w:pPr>
      <w:r w:rsidRPr="00A461B6">
        <w:rPr>
          <w:rFonts w:ascii="Calibri" w:hAnsi="Calibri" w:cs="Calibri"/>
          <w:sz w:val="24"/>
          <w:szCs w:val="24"/>
        </w:rPr>
        <w:t xml:space="preserve">Option 1 - </w:t>
      </w:r>
      <w:r w:rsidR="006132D5" w:rsidRPr="00A461B6">
        <w:rPr>
          <w:rFonts w:ascii="Calibri" w:hAnsi="Calibri" w:cs="Calibri"/>
          <w:sz w:val="24"/>
          <w:szCs w:val="24"/>
        </w:rPr>
        <w:t xml:space="preserve">maintain the </w:t>
      </w:r>
      <w:r w:rsidR="006132D5" w:rsidRPr="00A461B6">
        <w:rPr>
          <w:rFonts w:ascii="Calibri" w:hAnsi="Calibri" w:cs="Calibri"/>
          <w:color w:val="0D0D0D" w:themeColor="text1" w:themeTint="F2"/>
          <w:sz w:val="24"/>
          <w:szCs w:val="24"/>
        </w:rPr>
        <w:t>status quo</w:t>
      </w:r>
    </w:p>
    <w:p w14:paraId="3C794ED8" w14:textId="264FA145" w:rsidR="00614847" w:rsidRPr="00A461B6" w:rsidRDefault="006132D5" w:rsidP="00501CE8">
      <w:pPr>
        <w:pStyle w:val="ListParagraph"/>
        <w:numPr>
          <w:ilvl w:val="0"/>
          <w:numId w:val="22"/>
        </w:numPr>
        <w:autoSpaceDE w:val="0"/>
        <w:autoSpaceDN w:val="0"/>
        <w:adjustRightInd w:val="0"/>
        <w:spacing w:after="0" w:line="240" w:lineRule="auto"/>
        <w:rPr>
          <w:rFonts w:ascii="Calibri" w:hAnsi="Calibri" w:cs="Calibri"/>
          <w:color w:val="0D0D0D" w:themeColor="text1" w:themeTint="F2"/>
          <w:sz w:val="24"/>
          <w:szCs w:val="24"/>
        </w:rPr>
      </w:pPr>
      <w:r w:rsidRPr="00A461B6">
        <w:rPr>
          <w:rFonts w:eastAsiaTheme="majorEastAsia" w:cs="Arial"/>
          <w:bCs/>
          <w:color w:val="0D0D0D" w:themeColor="text1" w:themeTint="F2"/>
          <w:sz w:val="24"/>
          <w:szCs w:val="24"/>
        </w:rPr>
        <w:t xml:space="preserve">Option 2 - </w:t>
      </w:r>
      <w:r w:rsidR="001D11CD" w:rsidRPr="00A461B6">
        <w:rPr>
          <w:rFonts w:eastAsiaTheme="majorEastAsia" w:cs="Arial"/>
          <w:bCs/>
          <w:color w:val="0D0D0D" w:themeColor="text1" w:themeTint="F2"/>
          <w:sz w:val="24"/>
          <w:szCs w:val="24"/>
        </w:rPr>
        <w:t xml:space="preserve">Implement </w:t>
      </w:r>
      <w:r w:rsidR="007304FE" w:rsidRPr="00A461B6">
        <w:rPr>
          <w:rFonts w:eastAsiaTheme="majorEastAsia" w:cs="Arial"/>
          <w:bCs/>
          <w:color w:val="0D0D0D" w:themeColor="text1" w:themeTint="F2"/>
          <w:sz w:val="24"/>
          <w:szCs w:val="24"/>
        </w:rPr>
        <w:t>M</w:t>
      </w:r>
      <w:r w:rsidR="001D11CD" w:rsidRPr="00A461B6">
        <w:rPr>
          <w:rFonts w:eastAsiaTheme="majorEastAsia" w:cs="Arial"/>
          <w:bCs/>
          <w:color w:val="0D0D0D" w:themeColor="text1" w:themeTint="F2"/>
          <w:sz w:val="24"/>
          <w:szCs w:val="24"/>
        </w:rPr>
        <w:t>D</w:t>
      </w:r>
      <w:r w:rsidR="007304FE" w:rsidRPr="00A461B6">
        <w:rPr>
          <w:rFonts w:eastAsiaTheme="majorEastAsia" w:cs="Arial"/>
          <w:bCs/>
          <w:color w:val="0D0D0D" w:themeColor="text1" w:themeTint="F2"/>
          <w:sz w:val="24"/>
          <w:szCs w:val="24"/>
        </w:rPr>
        <w:t>Q changes</w:t>
      </w:r>
      <w:r w:rsidR="001D11CD" w:rsidRPr="00A461B6">
        <w:rPr>
          <w:rFonts w:eastAsiaTheme="majorEastAsia" w:cs="Arial"/>
          <w:bCs/>
          <w:color w:val="0D0D0D" w:themeColor="text1" w:themeTint="F2"/>
          <w:sz w:val="24"/>
          <w:szCs w:val="24"/>
        </w:rPr>
        <w:t xml:space="preserve"> for medicines</w:t>
      </w:r>
      <w:r w:rsidR="001316D5" w:rsidRPr="00A461B6">
        <w:rPr>
          <w:rFonts w:eastAsiaTheme="majorEastAsia" w:cs="Arial"/>
          <w:bCs/>
          <w:color w:val="0D0D0D" w:themeColor="text1" w:themeTint="F2"/>
          <w:sz w:val="24"/>
          <w:szCs w:val="24"/>
        </w:rPr>
        <w:t xml:space="preserve"> </w:t>
      </w:r>
      <w:r w:rsidR="001D11CD" w:rsidRPr="00A461B6">
        <w:rPr>
          <w:rFonts w:eastAsiaTheme="majorEastAsia" w:cs="Arial"/>
          <w:bCs/>
          <w:color w:val="0D0D0D" w:themeColor="text1" w:themeTint="F2"/>
          <w:sz w:val="24"/>
          <w:szCs w:val="24"/>
        </w:rPr>
        <w:t>-</w:t>
      </w:r>
      <w:r w:rsidR="001316D5" w:rsidRPr="00A461B6">
        <w:rPr>
          <w:rFonts w:eastAsiaTheme="majorEastAsia" w:cs="Arial"/>
          <w:bCs/>
          <w:color w:val="0D0D0D" w:themeColor="text1" w:themeTint="F2"/>
          <w:sz w:val="24"/>
          <w:szCs w:val="24"/>
        </w:rPr>
        <w:t xml:space="preserve"> </w:t>
      </w:r>
      <w:r w:rsidR="001D11CD" w:rsidRPr="00A461B6">
        <w:rPr>
          <w:rFonts w:eastAsiaTheme="majorEastAsia" w:cs="Arial"/>
          <w:bCs/>
          <w:color w:val="0D0D0D" w:themeColor="text1" w:themeTint="F2"/>
          <w:sz w:val="24"/>
          <w:szCs w:val="24"/>
        </w:rPr>
        <w:t>2 months’ supply</w:t>
      </w:r>
    </w:p>
    <w:p w14:paraId="017899FA" w14:textId="448865C3" w:rsidR="001575A0" w:rsidRPr="00A461B6" w:rsidRDefault="001D11CD" w:rsidP="00522795">
      <w:pPr>
        <w:pStyle w:val="ListParagraph"/>
        <w:numPr>
          <w:ilvl w:val="0"/>
          <w:numId w:val="22"/>
        </w:numPr>
        <w:autoSpaceDE w:val="0"/>
        <w:autoSpaceDN w:val="0"/>
        <w:adjustRightInd w:val="0"/>
        <w:contextualSpacing w:val="0"/>
        <w:rPr>
          <w:sz w:val="24"/>
          <w:szCs w:val="24"/>
        </w:rPr>
      </w:pPr>
      <w:r w:rsidRPr="00A461B6">
        <w:rPr>
          <w:rFonts w:ascii="Calibri" w:hAnsi="Calibri" w:cs="Calibri"/>
          <w:color w:val="0D0D0D" w:themeColor="text1" w:themeTint="F2"/>
          <w:sz w:val="24"/>
          <w:szCs w:val="24"/>
        </w:rPr>
        <w:t xml:space="preserve">Option </w:t>
      </w:r>
      <w:r w:rsidR="006132D5" w:rsidRPr="00A461B6">
        <w:rPr>
          <w:rFonts w:ascii="Calibri" w:hAnsi="Calibri" w:cs="Calibri"/>
          <w:color w:val="0D0D0D" w:themeColor="text1" w:themeTint="F2"/>
          <w:sz w:val="24"/>
          <w:szCs w:val="24"/>
        </w:rPr>
        <w:t>3</w:t>
      </w:r>
      <w:r w:rsidRPr="00A461B6">
        <w:rPr>
          <w:rFonts w:ascii="Calibri" w:hAnsi="Calibri" w:cs="Calibri"/>
          <w:color w:val="0D0D0D" w:themeColor="text1" w:themeTint="F2"/>
          <w:sz w:val="24"/>
          <w:szCs w:val="24"/>
        </w:rPr>
        <w:t xml:space="preserve"> - </w:t>
      </w:r>
      <w:r w:rsidRPr="00A461B6">
        <w:rPr>
          <w:rFonts w:eastAsiaTheme="majorEastAsia" w:cs="Arial"/>
          <w:bCs/>
          <w:color w:val="0D0D0D" w:themeColor="text1" w:themeTint="F2"/>
          <w:sz w:val="24"/>
          <w:szCs w:val="24"/>
        </w:rPr>
        <w:t xml:space="preserve">Implement </w:t>
      </w:r>
      <w:r w:rsidR="007304FE" w:rsidRPr="00A461B6">
        <w:rPr>
          <w:rFonts w:eastAsiaTheme="majorEastAsia" w:cs="Arial"/>
          <w:bCs/>
          <w:color w:val="0D0D0D" w:themeColor="text1" w:themeTint="F2"/>
          <w:sz w:val="24"/>
          <w:szCs w:val="24"/>
        </w:rPr>
        <w:t>M</w:t>
      </w:r>
      <w:r w:rsidRPr="00A461B6">
        <w:rPr>
          <w:rFonts w:eastAsiaTheme="majorEastAsia" w:cs="Arial"/>
          <w:bCs/>
          <w:color w:val="0D0D0D" w:themeColor="text1" w:themeTint="F2"/>
          <w:sz w:val="24"/>
          <w:szCs w:val="24"/>
        </w:rPr>
        <w:t>D</w:t>
      </w:r>
      <w:r w:rsidR="007304FE" w:rsidRPr="00A461B6">
        <w:rPr>
          <w:rFonts w:eastAsiaTheme="majorEastAsia" w:cs="Arial"/>
          <w:bCs/>
          <w:color w:val="0D0D0D" w:themeColor="text1" w:themeTint="F2"/>
          <w:sz w:val="24"/>
          <w:szCs w:val="24"/>
        </w:rPr>
        <w:t>Q changes</w:t>
      </w:r>
      <w:r w:rsidRPr="00A461B6">
        <w:rPr>
          <w:rFonts w:eastAsiaTheme="majorEastAsia" w:cs="Arial"/>
          <w:bCs/>
          <w:color w:val="0D0D0D" w:themeColor="text1" w:themeTint="F2"/>
          <w:sz w:val="24"/>
          <w:szCs w:val="24"/>
        </w:rPr>
        <w:t xml:space="preserve"> for medicines</w:t>
      </w:r>
      <w:r w:rsidR="001316D5" w:rsidRPr="00A461B6">
        <w:rPr>
          <w:rFonts w:eastAsiaTheme="majorEastAsia" w:cs="Arial"/>
          <w:bCs/>
          <w:color w:val="0D0D0D" w:themeColor="text1" w:themeTint="F2"/>
          <w:sz w:val="24"/>
          <w:szCs w:val="24"/>
        </w:rPr>
        <w:t xml:space="preserve"> </w:t>
      </w:r>
      <w:r w:rsidRPr="00A461B6">
        <w:rPr>
          <w:rFonts w:eastAsiaTheme="majorEastAsia" w:cs="Arial"/>
          <w:bCs/>
          <w:color w:val="0D0D0D" w:themeColor="text1" w:themeTint="F2"/>
          <w:sz w:val="24"/>
          <w:szCs w:val="24"/>
        </w:rPr>
        <w:t>-</w:t>
      </w:r>
      <w:r w:rsidR="001316D5" w:rsidRPr="00A461B6">
        <w:rPr>
          <w:rFonts w:eastAsiaTheme="majorEastAsia" w:cs="Arial"/>
          <w:bCs/>
          <w:color w:val="0D0D0D" w:themeColor="text1" w:themeTint="F2"/>
          <w:sz w:val="24"/>
          <w:szCs w:val="24"/>
        </w:rPr>
        <w:t xml:space="preserve"> </w:t>
      </w:r>
      <w:r w:rsidRPr="00A461B6">
        <w:rPr>
          <w:rFonts w:eastAsiaTheme="majorEastAsia" w:cs="Arial"/>
          <w:bCs/>
          <w:color w:val="0D0D0D" w:themeColor="text1" w:themeTint="F2"/>
          <w:sz w:val="24"/>
          <w:szCs w:val="24"/>
        </w:rPr>
        <w:t xml:space="preserve">3 months’ supply </w:t>
      </w:r>
    </w:p>
    <w:p w14:paraId="7852E69A" w14:textId="2F376583" w:rsidR="006132D5" w:rsidRPr="00A461B6" w:rsidRDefault="006132D5" w:rsidP="0097798F">
      <w:pPr>
        <w:pStyle w:val="Heading3"/>
      </w:pPr>
      <w:bookmarkStart w:id="61" w:name="_Toc132192302"/>
      <w:bookmarkStart w:id="62" w:name="_Toc134603933"/>
      <w:r w:rsidRPr="00A461B6">
        <w:t>Option 1:</w:t>
      </w:r>
      <w:r w:rsidR="001575A0" w:rsidRPr="00A461B6">
        <w:t xml:space="preserve"> Status </w:t>
      </w:r>
      <w:r w:rsidR="00F64EAD" w:rsidRPr="00A461B6">
        <w:t>q</w:t>
      </w:r>
      <w:r w:rsidR="001575A0" w:rsidRPr="00A461B6">
        <w:t>uo</w:t>
      </w:r>
      <w:bookmarkEnd w:id="61"/>
      <w:bookmarkEnd w:id="62"/>
    </w:p>
    <w:p w14:paraId="1F65921E" w14:textId="283D3ECA" w:rsidR="006132D5" w:rsidRPr="00A461B6" w:rsidRDefault="006132D5" w:rsidP="00501CE8">
      <w:pPr>
        <w:pStyle w:val="ListParagraph"/>
        <w:numPr>
          <w:ilvl w:val="0"/>
          <w:numId w:val="13"/>
        </w:numPr>
        <w:autoSpaceDE w:val="0"/>
        <w:autoSpaceDN w:val="0"/>
        <w:adjustRightInd w:val="0"/>
        <w:spacing w:line="240" w:lineRule="auto"/>
        <w:rPr>
          <w:iCs/>
          <w:sz w:val="24"/>
          <w:szCs w:val="24"/>
        </w:rPr>
      </w:pPr>
      <w:r w:rsidRPr="00A461B6">
        <w:rPr>
          <w:sz w:val="24"/>
          <w:szCs w:val="24"/>
        </w:rPr>
        <w:t>In general, one</w:t>
      </w:r>
      <w:r w:rsidRPr="00A461B6">
        <w:rPr>
          <w:i/>
          <w:sz w:val="24"/>
          <w:szCs w:val="24"/>
        </w:rPr>
        <w:t xml:space="preserve"> </w:t>
      </w:r>
      <w:r w:rsidRPr="00A461B6">
        <w:rPr>
          <w:iCs/>
          <w:sz w:val="24"/>
          <w:szCs w:val="24"/>
        </w:rPr>
        <w:t>month</w:t>
      </w:r>
      <w:r w:rsidR="0013551D" w:rsidRPr="00A461B6">
        <w:rPr>
          <w:sz w:val="24"/>
        </w:rPr>
        <w:t>’</w:t>
      </w:r>
      <w:r w:rsidRPr="00A461B6">
        <w:rPr>
          <w:sz w:val="24"/>
        </w:rPr>
        <w:t>s</w:t>
      </w:r>
      <w:r w:rsidRPr="00A461B6">
        <w:rPr>
          <w:iCs/>
          <w:sz w:val="24"/>
          <w:szCs w:val="24"/>
        </w:rPr>
        <w:t xml:space="preserve"> supply of PBS medicine per dispense</w:t>
      </w:r>
      <w:r w:rsidR="00614847" w:rsidRPr="00A461B6">
        <w:rPr>
          <w:iCs/>
          <w:sz w:val="24"/>
          <w:szCs w:val="24"/>
        </w:rPr>
        <w:t xml:space="preserve"> by a pharmacist</w:t>
      </w:r>
      <w:r w:rsidR="009902E2" w:rsidRPr="00A461B6">
        <w:rPr>
          <w:iCs/>
          <w:sz w:val="24"/>
          <w:szCs w:val="24"/>
        </w:rPr>
        <w:t>.</w:t>
      </w:r>
    </w:p>
    <w:p w14:paraId="16A3393B" w14:textId="6ADBD2AB" w:rsidR="006132D5" w:rsidRPr="00A461B6" w:rsidRDefault="00614847" w:rsidP="00501CE8">
      <w:pPr>
        <w:pStyle w:val="ListParagraph"/>
        <w:numPr>
          <w:ilvl w:val="0"/>
          <w:numId w:val="13"/>
        </w:numPr>
        <w:autoSpaceDE w:val="0"/>
        <w:autoSpaceDN w:val="0"/>
        <w:adjustRightInd w:val="0"/>
        <w:spacing w:line="240" w:lineRule="auto"/>
        <w:rPr>
          <w:iCs/>
          <w:sz w:val="24"/>
          <w:szCs w:val="24"/>
        </w:rPr>
      </w:pPr>
      <w:r w:rsidRPr="00A461B6">
        <w:rPr>
          <w:iCs/>
          <w:sz w:val="24"/>
          <w:szCs w:val="24"/>
        </w:rPr>
        <w:t>E</w:t>
      </w:r>
      <w:r w:rsidR="006132D5" w:rsidRPr="00A461B6">
        <w:rPr>
          <w:iCs/>
          <w:sz w:val="24"/>
          <w:szCs w:val="24"/>
        </w:rPr>
        <w:t>ach prescription provides six months’ supply of medicine</w:t>
      </w:r>
      <w:r w:rsidRPr="00A461B6">
        <w:rPr>
          <w:iCs/>
          <w:sz w:val="24"/>
          <w:szCs w:val="24"/>
        </w:rPr>
        <w:t>, there will be six dispense events per prescription</w:t>
      </w:r>
      <w:r w:rsidR="009902E2" w:rsidRPr="00A461B6">
        <w:rPr>
          <w:iCs/>
          <w:sz w:val="24"/>
          <w:szCs w:val="24"/>
        </w:rPr>
        <w:t>.</w:t>
      </w:r>
      <w:r w:rsidR="006132D5" w:rsidRPr="00A461B6">
        <w:rPr>
          <w:iCs/>
          <w:sz w:val="24"/>
          <w:szCs w:val="24"/>
        </w:rPr>
        <w:t xml:space="preserve"> </w:t>
      </w:r>
    </w:p>
    <w:p w14:paraId="072340F6" w14:textId="64FFD192" w:rsidR="006132D5" w:rsidRPr="00A461B6" w:rsidRDefault="006132D5" w:rsidP="00D3445B">
      <w:pPr>
        <w:pStyle w:val="Heading4"/>
      </w:pPr>
      <w:r w:rsidRPr="00A461B6">
        <w:t>Stakeholder</w:t>
      </w:r>
      <w:r w:rsidR="008E01B6" w:rsidRPr="00A461B6">
        <w:t xml:space="preserve"> </w:t>
      </w:r>
      <w:r w:rsidRPr="00A461B6">
        <w:t>roles and responsibilities</w:t>
      </w:r>
    </w:p>
    <w:p w14:paraId="6E7FE3B9" w14:textId="77777777" w:rsidR="006132D5" w:rsidRPr="00A461B6" w:rsidRDefault="006132D5" w:rsidP="009A586E">
      <w:pPr>
        <w:pStyle w:val="Subtitle"/>
        <w:spacing w:after="0"/>
      </w:pPr>
      <w:r w:rsidRPr="00A461B6">
        <w:t>Consumers</w:t>
      </w:r>
    </w:p>
    <w:p w14:paraId="3B501F8D" w14:textId="4A4404CC" w:rsidR="006132D5" w:rsidRPr="00A461B6" w:rsidRDefault="004C56DC" w:rsidP="009A586E">
      <w:pPr>
        <w:pStyle w:val="ListParagraph"/>
        <w:numPr>
          <w:ilvl w:val="0"/>
          <w:numId w:val="13"/>
        </w:numPr>
        <w:spacing w:before="240"/>
        <w:rPr>
          <w:b/>
          <w:color w:val="0D0D0D" w:themeColor="text1" w:themeTint="F2"/>
          <w:sz w:val="24"/>
          <w:u w:val="single"/>
        </w:rPr>
      </w:pPr>
      <w:r w:rsidRPr="00A461B6">
        <w:rPr>
          <w:color w:val="0D0D0D" w:themeColor="text1" w:themeTint="F2"/>
          <w:sz w:val="24"/>
          <w:szCs w:val="24"/>
        </w:rPr>
        <w:t>Under the status quo, there is n</w:t>
      </w:r>
      <w:r w:rsidR="00243684" w:rsidRPr="00A461B6">
        <w:rPr>
          <w:color w:val="0D0D0D" w:themeColor="text1" w:themeTint="F2"/>
          <w:sz w:val="24"/>
          <w:szCs w:val="24"/>
        </w:rPr>
        <w:t xml:space="preserve">o change to existing process. Consumers </w:t>
      </w:r>
      <w:r w:rsidR="006132D5" w:rsidRPr="00A461B6">
        <w:rPr>
          <w:color w:val="0D0D0D" w:themeColor="text1" w:themeTint="F2"/>
          <w:sz w:val="24"/>
          <w:szCs w:val="24"/>
        </w:rPr>
        <w:t>will visit a pharmacy each month to have their prescription dispensed and visit the GP</w:t>
      </w:r>
      <w:r w:rsidR="00157AAE" w:rsidRPr="00A461B6">
        <w:rPr>
          <w:color w:val="0D0D0D" w:themeColor="text1" w:themeTint="F2"/>
          <w:sz w:val="24"/>
          <w:szCs w:val="24"/>
        </w:rPr>
        <w:t xml:space="preserve"> or other prescriber</w:t>
      </w:r>
      <w:r w:rsidR="006132D5" w:rsidRPr="00A461B6">
        <w:rPr>
          <w:color w:val="0D0D0D" w:themeColor="text1" w:themeTint="F2"/>
          <w:sz w:val="24"/>
          <w:szCs w:val="24"/>
        </w:rPr>
        <w:t xml:space="preserve"> for a new prescription every six months</w:t>
      </w:r>
      <w:r w:rsidR="00157AAE" w:rsidRPr="00A461B6">
        <w:rPr>
          <w:color w:val="0D0D0D" w:themeColor="text1" w:themeTint="F2"/>
          <w:sz w:val="24"/>
          <w:szCs w:val="24"/>
        </w:rPr>
        <w:t>,</w:t>
      </w:r>
      <w:r w:rsidR="006132D5" w:rsidRPr="00A461B6">
        <w:rPr>
          <w:color w:val="0D0D0D" w:themeColor="text1" w:themeTint="F2"/>
          <w:sz w:val="24"/>
          <w:szCs w:val="24"/>
        </w:rPr>
        <w:t xml:space="preserve"> depending on the medicines they take and the stability of their medical conditions</w:t>
      </w:r>
      <w:r w:rsidR="001575A0" w:rsidRPr="00A461B6">
        <w:rPr>
          <w:color w:val="0D0D0D" w:themeColor="text1" w:themeTint="F2"/>
          <w:sz w:val="24"/>
          <w:szCs w:val="24"/>
        </w:rPr>
        <w:t>.</w:t>
      </w:r>
    </w:p>
    <w:p w14:paraId="74B8D191" w14:textId="19AAB284" w:rsidR="00DD3E37" w:rsidRPr="00A461B6" w:rsidRDefault="00DD3E37" w:rsidP="00501CE8">
      <w:pPr>
        <w:pStyle w:val="ListParagraph"/>
        <w:numPr>
          <w:ilvl w:val="0"/>
          <w:numId w:val="13"/>
        </w:numPr>
        <w:rPr>
          <w:b/>
          <w:color w:val="0D0D0D" w:themeColor="text1" w:themeTint="F2"/>
          <w:sz w:val="24"/>
          <w:szCs w:val="24"/>
          <w:u w:val="single"/>
        </w:rPr>
      </w:pPr>
      <w:r w:rsidRPr="00A461B6">
        <w:rPr>
          <w:color w:val="0D0D0D" w:themeColor="text1" w:themeTint="F2"/>
          <w:sz w:val="24"/>
          <w:szCs w:val="24"/>
        </w:rPr>
        <w:t>Reduced access to pharmacy programs to cut program expenditure on programs such as Dose Administration Aids and Medication Management Reviews to the level agreed in the 7CPA.</w:t>
      </w:r>
    </w:p>
    <w:p w14:paraId="0BD73B11" w14:textId="77777777" w:rsidR="006132D5" w:rsidRPr="00A461B6" w:rsidRDefault="006132D5" w:rsidP="009A586E">
      <w:pPr>
        <w:pStyle w:val="Subtitle"/>
        <w:keepNext/>
        <w:keepLines/>
        <w:spacing w:before="0" w:after="0"/>
      </w:pPr>
      <w:r w:rsidRPr="00A461B6">
        <w:t>Pharmacies</w:t>
      </w:r>
    </w:p>
    <w:p w14:paraId="408CCE7D" w14:textId="6A954846" w:rsidR="009642C8" w:rsidRPr="00A461B6" w:rsidRDefault="0092528D" w:rsidP="009A586E">
      <w:pPr>
        <w:pStyle w:val="ListParagraph"/>
        <w:numPr>
          <w:ilvl w:val="0"/>
          <w:numId w:val="13"/>
        </w:numPr>
        <w:spacing w:before="240"/>
        <w:rPr>
          <w:color w:val="0D0D0D" w:themeColor="text1" w:themeTint="F2"/>
          <w:sz w:val="24"/>
        </w:rPr>
      </w:pPr>
      <w:r w:rsidRPr="00A461B6">
        <w:rPr>
          <w:iCs/>
          <w:color w:val="0D0D0D" w:themeColor="text1" w:themeTint="F2"/>
          <w:sz w:val="24"/>
          <w:szCs w:val="24"/>
        </w:rPr>
        <w:t xml:space="preserve">Pharmaceutical benefits are mainly supplied by approved pharmacists, who are approved to dispense medicines from particular pharmacy premises. </w:t>
      </w:r>
      <w:r w:rsidR="004C56DC" w:rsidRPr="00A461B6">
        <w:rPr>
          <w:iCs/>
          <w:color w:val="0D0D0D" w:themeColor="text1" w:themeTint="F2"/>
          <w:sz w:val="24"/>
          <w:szCs w:val="24"/>
        </w:rPr>
        <w:t xml:space="preserve">All approved pharmacists are subject to certain conditions under the Act related to pricing, record keeping, supply and advertising. </w:t>
      </w:r>
      <w:r w:rsidR="009642C8" w:rsidRPr="00A461B6">
        <w:rPr>
          <w:iCs/>
          <w:color w:val="0D0D0D" w:themeColor="text1" w:themeTint="F2"/>
          <w:sz w:val="24"/>
          <w:szCs w:val="24"/>
        </w:rPr>
        <w:t xml:space="preserve">The roles of the </w:t>
      </w:r>
      <w:r w:rsidR="00157AAE" w:rsidRPr="00A461B6">
        <w:rPr>
          <w:iCs/>
          <w:color w:val="0D0D0D" w:themeColor="text1" w:themeTint="F2"/>
          <w:sz w:val="24"/>
          <w:szCs w:val="24"/>
        </w:rPr>
        <w:t>prescriber</w:t>
      </w:r>
      <w:r w:rsidR="009642C8" w:rsidRPr="00A461B6">
        <w:rPr>
          <w:iCs/>
          <w:color w:val="0D0D0D" w:themeColor="text1" w:themeTint="F2"/>
          <w:sz w:val="24"/>
          <w:szCs w:val="24"/>
        </w:rPr>
        <w:t xml:space="preserve"> and </w:t>
      </w:r>
      <w:r w:rsidR="00157AAE" w:rsidRPr="00A461B6">
        <w:rPr>
          <w:iCs/>
          <w:color w:val="0D0D0D" w:themeColor="text1" w:themeTint="F2"/>
          <w:sz w:val="24"/>
          <w:szCs w:val="24"/>
        </w:rPr>
        <w:t xml:space="preserve">dispensing </w:t>
      </w:r>
      <w:r w:rsidR="009642C8" w:rsidRPr="00A461B6">
        <w:rPr>
          <w:iCs/>
          <w:color w:val="0D0D0D" w:themeColor="text1" w:themeTint="F2"/>
          <w:sz w:val="24"/>
          <w:szCs w:val="24"/>
        </w:rPr>
        <w:t>pharmacist are complementary and these health care professionals work together to improve patient outcomes.</w:t>
      </w:r>
      <w:r w:rsidR="00C90899" w:rsidRPr="00A461B6">
        <w:rPr>
          <w:rStyle w:val="FootnoteReference"/>
          <w:iCs/>
          <w:color w:val="0D0D0D" w:themeColor="text1" w:themeTint="F2"/>
          <w:sz w:val="24"/>
          <w:szCs w:val="24"/>
        </w:rPr>
        <w:footnoteReference w:id="25"/>
      </w:r>
    </w:p>
    <w:p w14:paraId="5B01C2A8" w14:textId="2F9409CC" w:rsidR="006132D5" w:rsidRPr="00A461B6" w:rsidRDefault="004C56DC" w:rsidP="00501CE8">
      <w:pPr>
        <w:pStyle w:val="ListParagraph"/>
        <w:numPr>
          <w:ilvl w:val="0"/>
          <w:numId w:val="13"/>
        </w:numPr>
        <w:autoSpaceDE w:val="0"/>
        <w:autoSpaceDN w:val="0"/>
        <w:adjustRightInd w:val="0"/>
        <w:spacing w:line="240" w:lineRule="auto"/>
        <w:rPr>
          <w:iCs/>
          <w:color w:val="0D0D0D" w:themeColor="text1" w:themeTint="F2"/>
          <w:sz w:val="24"/>
          <w:szCs w:val="24"/>
        </w:rPr>
      </w:pPr>
      <w:r w:rsidRPr="00A461B6">
        <w:rPr>
          <w:color w:val="0D0D0D" w:themeColor="text1" w:themeTint="F2"/>
          <w:sz w:val="24"/>
          <w:szCs w:val="24"/>
        </w:rPr>
        <w:t>Under the status quo, there is n</w:t>
      </w:r>
      <w:r w:rsidR="00243684" w:rsidRPr="00A461B6">
        <w:rPr>
          <w:color w:val="0D0D0D" w:themeColor="text1" w:themeTint="F2"/>
          <w:sz w:val="24"/>
          <w:szCs w:val="24"/>
        </w:rPr>
        <w:t>o change to existing process</w:t>
      </w:r>
      <w:r w:rsidR="00243684" w:rsidRPr="00A461B6">
        <w:rPr>
          <w:iCs/>
          <w:color w:val="0D0D0D" w:themeColor="text1" w:themeTint="F2"/>
          <w:sz w:val="24"/>
          <w:szCs w:val="24"/>
        </w:rPr>
        <w:t>.</w:t>
      </w:r>
      <w:r w:rsidR="00D61146" w:rsidRPr="00A461B6">
        <w:rPr>
          <w:iCs/>
          <w:color w:val="0D0D0D" w:themeColor="text1" w:themeTint="F2"/>
          <w:sz w:val="24"/>
          <w:szCs w:val="24"/>
        </w:rPr>
        <w:t xml:space="preserve"> </w:t>
      </w:r>
      <w:r w:rsidR="006132D5" w:rsidRPr="00A461B6">
        <w:rPr>
          <w:iCs/>
          <w:color w:val="0D0D0D" w:themeColor="text1" w:themeTint="F2"/>
          <w:sz w:val="24"/>
          <w:szCs w:val="24"/>
        </w:rPr>
        <w:t>Pharmacies will receive a dispensing fee ($7.82)</w:t>
      </w:r>
      <w:r w:rsidR="006132D5" w:rsidRPr="00A461B6">
        <w:rPr>
          <w:color w:val="0D0D0D" w:themeColor="text1" w:themeTint="F2"/>
          <w:vertAlign w:val="superscript"/>
        </w:rPr>
        <w:footnoteReference w:id="26"/>
      </w:r>
      <w:r w:rsidR="006132D5" w:rsidRPr="00A461B6">
        <w:rPr>
          <w:iCs/>
          <w:color w:val="0D0D0D" w:themeColor="text1" w:themeTint="F2"/>
          <w:sz w:val="24"/>
          <w:szCs w:val="24"/>
        </w:rPr>
        <w:t xml:space="preserve"> plus an Administration, Handling and Infrastructure (AHI) fee per dispense of a month’s supply of medicine</w:t>
      </w:r>
      <w:r w:rsidR="00614847" w:rsidRPr="00A461B6">
        <w:rPr>
          <w:iCs/>
          <w:color w:val="0D0D0D" w:themeColor="text1" w:themeTint="F2"/>
          <w:sz w:val="24"/>
          <w:szCs w:val="24"/>
        </w:rPr>
        <w:t xml:space="preserve">. The AHI fee ranges from Tier One: $4.32 to Tier Three: $4.32 + $95 per dispense of Maximum Quantity </w:t>
      </w:r>
      <w:r w:rsidR="001575A0" w:rsidRPr="00A461B6">
        <w:rPr>
          <w:iCs/>
          <w:color w:val="0D0D0D" w:themeColor="text1" w:themeTint="F2"/>
          <w:sz w:val="24"/>
          <w:szCs w:val="24"/>
        </w:rPr>
        <w:t>(</w:t>
      </w:r>
      <w:r w:rsidR="00614847" w:rsidRPr="00A461B6">
        <w:rPr>
          <w:iCs/>
          <w:color w:val="0D0D0D" w:themeColor="text1" w:themeTint="F2"/>
          <w:sz w:val="24"/>
          <w:szCs w:val="24"/>
        </w:rPr>
        <w:t>the tier dependent on the price of the medicine to pharmacy)</w:t>
      </w:r>
      <w:r w:rsidR="009A7187" w:rsidRPr="00A461B6">
        <w:rPr>
          <w:iCs/>
          <w:color w:val="0D0D0D" w:themeColor="text1" w:themeTint="F2"/>
          <w:sz w:val="24"/>
          <w:szCs w:val="24"/>
        </w:rPr>
        <w:t>.</w:t>
      </w:r>
      <w:r w:rsidR="00614847" w:rsidRPr="00A461B6">
        <w:rPr>
          <w:iCs/>
          <w:color w:val="0D0D0D" w:themeColor="text1" w:themeTint="F2"/>
          <w:vertAlign w:val="superscript"/>
        </w:rPr>
        <w:footnoteReference w:id="27"/>
      </w:r>
    </w:p>
    <w:p w14:paraId="392D0695" w14:textId="5F93B01A" w:rsidR="001575A0" w:rsidRPr="00A461B6" w:rsidRDefault="004C56DC" w:rsidP="00501CE8">
      <w:pPr>
        <w:pStyle w:val="ListParagraph"/>
        <w:numPr>
          <w:ilvl w:val="0"/>
          <w:numId w:val="13"/>
        </w:numPr>
        <w:rPr>
          <w:iCs/>
          <w:color w:val="0D0D0D" w:themeColor="text1" w:themeTint="F2"/>
          <w:sz w:val="24"/>
          <w:szCs w:val="24"/>
        </w:rPr>
      </w:pPr>
      <w:r w:rsidRPr="00A461B6">
        <w:rPr>
          <w:iCs/>
          <w:color w:val="0D0D0D" w:themeColor="text1" w:themeTint="F2"/>
          <w:sz w:val="24"/>
          <w:szCs w:val="24"/>
        </w:rPr>
        <w:t>There is n</w:t>
      </w:r>
      <w:r w:rsidR="006132D5" w:rsidRPr="00A461B6">
        <w:rPr>
          <w:iCs/>
          <w:color w:val="0D0D0D" w:themeColor="text1" w:themeTint="F2"/>
          <w:sz w:val="24"/>
          <w:szCs w:val="24"/>
        </w:rPr>
        <w:t xml:space="preserve">o </w:t>
      </w:r>
      <w:r w:rsidR="0097798F" w:rsidRPr="00A461B6">
        <w:rPr>
          <w:iCs/>
          <w:color w:val="0D0D0D" w:themeColor="text1" w:themeTint="F2"/>
          <w:sz w:val="24"/>
          <w:szCs w:val="24"/>
        </w:rPr>
        <w:t>expected change</w:t>
      </w:r>
      <w:r w:rsidR="006132D5" w:rsidRPr="00A461B6">
        <w:rPr>
          <w:iCs/>
          <w:color w:val="0D0D0D" w:themeColor="text1" w:themeTint="F2"/>
          <w:sz w:val="24"/>
          <w:szCs w:val="24"/>
        </w:rPr>
        <w:t xml:space="preserve"> in prescription volumes dispensed</w:t>
      </w:r>
      <w:r w:rsidR="00DD3E37" w:rsidRPr="00A461B6">
        <w:rPr>
          <w:iCs/>
          <w:color w:val="0D0D0D" w:themeColor="text1" w:themeTint="F2"/>
          <w:sz w:val="24"/>
          <w:szCs w:val="24"/>
        </w:rPr>
        <w:t>.</w:t>
      </w:r>
    </w:p>
    <w:p w14:paraId="7507EF38" w14:textId="32F1663F" w:rsidR="00DD3E37" w:rsidRPr="00A461B6" w:rsidRDefault="00DD3E37" w:rsidP="00501CE8">
      <w:pPr>
        <w:pStyle w:val="ListParagraph"/>
        <w:numPr>
          <w:ilvl w:val="0"/>
          <w:numId w:val="13"/>
        </w:numPr>
        <w:rPr>
          <w:iCs/>
          <w:color w:val="0D0D0D" w:themeColor="text1" w:themeTint="F2"/>
          <w:sz w:val="24"/>
          <w:szCs w:val="24"/>
        </w:rPr>
      </w:pPr>
      <w:r w:rsidRPr="00A461B6">
        <w:rPr>
          <w:iCs/>
          <w:color w:val="0D0D0D" w:themeColor="text1" w:themeTint="F2"/>
          <w:sz w:val="24"/>
          <w:szCs w:val="24"/>
        </w:rPr>
        <w:t>No redirection of dispensing cost savings to support expanded scope of practice and the delivery of new and expanded services and programs in community pharmacy. The current level of programs being delivered under the 7CPA will need to be reduced to fit within the $1.2 billion envelope available under the 7CPA.</w:t>
      </w:r>
    </w:p>
    <w:p w14:paraId="5C838453" w14:textId="2B9331E3" w:rsidR="001575A0" w:rsidRPr="00A461B6" w:rsidRDefault="006132D5" w:rsidP="0053325B">
      <w:pPr>
        <w:pStyle w:val="Subtitle"/>
        <w:keepNext/>
        <w:keepLines/>
        <w:spacing w:after="0"/>
        <w:rPr>
          <w:u w:val="single"/>
        </w:rPr>
      </w:pPr>
      <w:r w:rsidRPr="00A461B6">
        <w:t>Prescribers</w:t>
      </w:r>
      <w:r w:rsidR="001D17E2" w:rsidRPr="00A461B6">
        <w:rPr>
          <w:vertAlign w:val="superscript"/>
        </w:rPr>
        <w:footnoteReference w:id="28"/>
      </w:r>
      <w:r w:rsidR="00614847" w:rsidRPr="00A461B6">
        <w:rPr>
          <w:vertAlign w:val="superscript"/>
        </w:rPr>
        <w:t xml:space="preserve"> </w:t>
      </w:r>
    </w:p>
    <w:p w14:paraId="695429B1" w14:textId="6F444175" w:rsidR="009642C8" w:rsidRPr="00A461B6" w:rsidRDefault="004C56DC" w:rsidP="0053325B">
      <w:pPr>
        <w:pStyle w:val="ListParagraph"/>
        <w:numPr>
          <w:ilvl w:val="0"/>
          <w:numId w:val="13"/>
        </w:numPr>
        <w:autoSpaceDE w:val="0"/>
        <w:autoSpaceDN w:val="0"/>
        <w:adjustRightInd w:val="0"/>
        <w:spacing w:before="240" w:line="240" w:lineRule="auto"/>
        <w:rPr>
          <w:color w:val="0D0D0D" w:themeColor="text1" w:themeTint="F2"/>
          <w:sz w:val="24"/>
        </w:rPr>
      </w:pPr>
      <w:r w:rsidRPr="00A461B6">
        <w:rPr>
          <w:iCs/>
          <w:color w:val="0D0D0D" w:themeColor="text1" w:themeTint="F2"/>
          <w:sz w:val="24"/>
          <w:szCs w:val="24"/>
        </w:rPr>
        <w:t>P</w:t>
      </w:r>
      <w:r w:rsidR="0092528D" w:rsidRPr="00A461B6">
        <w:rPr>
          <w:iCs/>
          <w:color w:val="0D0D0D" w:themeColor="text1" w:themeTint="F2"/>
          <w:sz w:val="24"/>
          <w:szCs w:val="24"/>
        </w:rPr>
        <w:t>harmaceutical benefit</w:t>
      </w:r>
      <w:r w:rsidRPr="00A461B6">
        <w:rPr>
          <w:iCs/>
          <w:color w:val="0D0D0D" w:themeColor="text1" w:themeTint="F2"/>
          <w:sz w:val="24"/>
          <w:szCs w:val="24"/>
        </w:rPr>
        <w:t>s</w:t>
      </w:r>
      <w:r w:rsidR="0092528D" w:rsidRPr="00A461B6">
        <w:rPr>
          <w:iCs/>
          <w:color w:val="0D0D0D" w:themeColor="text1" w:themeTint="F2"/>
          <w:sz w:val="24"/>
          <w:szCs w:val="24"/>
        </w:rPr>
        <w:t xml:space="preserve"> can only be prescribed by doctors, dentists, optometrists, midwives and nurse practitioners who are approved under the Act</w:t>
      </w:r>
      <w:r w:rsidR="009642C8" w:rsidRPr="00A461B6">
        <w:rPr>
          <w:iCs/>
          <w:color w:val="0D0D0D" w:themeColor="text1" w:themeTint="F2"/>
          <w:sz w:val="24"/>
          <w:szCs w:val="24"/>
        </w:rPr>
        <w:t>. The roles of the</w:t>
      </w:r>
      <w:r w:rsidR="00DD3E37" w:rsidRPr="00A461B6">
        <w:rPr>
          <w:iCs/>
          <w:color w:val="0D0D0D" w:themeColor="text1" w:themeTint="F2"/>
          <w:sz w:val="24"/>
          <w:szCs w:val="24"/>
        </w:rPr>
        <w:t xml:space="preserve"> prescriber </w:t>
      </w:r>
      <w:r w:rsidR="009642C8" w:rsidRPr="00A461B6">
        <w:rPr>
          <w:iCs/>
          <w:color w:val="0D0D0D" w:themeColor="text1" w:themeTint="F2"/>
          <w:sz w:val="24"/>
          <w:szCs w:val="24"/>
        </w:rPr>
        <w:t xml:space="preserve">and </w:t>
      </w:r>
      <w:r w:rsidR="00DD3E37" w:rsidRPr="00A461B6">
        <w:rPr>
          <w:iCs/>
          <w:color w:val="0D0D0D" w:themeColor="text1" w:themeTint="F2"/>
          <w:sz w:val="24"/>
          <w:szCs w:val="24"/>
        </w:rPr>
        <w:t xml:space="preserve">dispensing </w:t>
      </w:r>
      <w:r w:rsidR="009642C8" w:rsidRPr="00A461B6">
        <w:rPr>
          <w:iCs/>
          <w:color w:val="0D0D0D" w:themeColor="text1" w:themeTint="F2"/>
          <w:sz w:val="24"/>
          <w:szCs w:val="24"/>
        </w:rPr>
        <w:t xml:space="preserve">pharmacist are complementary and these health care professionals work together to improve patient outcomes. </w:t>
      </w:r>
    </w:p>
    <w:p w14:paraId="25E4C301" w14:textId="46BD05CE" w:rsidR="00011BA6" w:rsidRPr="00A461B6" w:rsidRDefault="004C56DC" w:rsidP="00501CE8">
      <w:pPr>
        <w:pStyle w:val="ListParagraph"/>
        <w:numPr>
          <w:ilvl w:val="0"/>
          <w:numId w:val="13"/>
        </w:numPr>
        <w:autoSpaceDE w:val="0"/>
        <w:autoSpaceDN w:val="0"/>
        <w:adjustRightInd w:val="0"/>
        <w:spacing w:line="240" w:lineRule="auto"/>
        <w:rPr>
          <w:iCs/>
          <w:color w:val="0D0D0D" w:themeColor="text1" w:themeTint="F2"/>
          <w:sz w:val="24"/>
          <w:szCs w:val="24"/>
        </w:rPr>
      </w:pPr>
      <w:r w:rsidRPr="00A461B6">
        <w:rPr>
          <w:iCs/>
          <w:color w:val="0D0D0D" w:themeColor="text1" w:themeTint="F2"/>
          <w:sz w:val="24"/>
          <w:szCs w:val="24"/>
        </w:rPr>
        <w:t>Under the status quo, there is n</w:t>
      </w:r>
      <w:r w:rsidR="00243684" w:rsidRPr="00A461B6">
        <w:rPr>
          <w:iCs/>
          <w:color w:val="0D0D0D" w:themeColor="text1" w:themeTint="F2"/>
          <w:sz w:val="24"/>
          <w:szCs w:val="24"/>
        </w:rPr>
        <w:t>o change to existing process</w:t>
      </w:r>
      <w:r w:rsidR="00D61146" w:rsidRPr="00A461B6">
        <w:rPr>
          <w:iCs/>
          <w:color w:val="0D0D0D" w:themeColor="text1" w:themeTint="F2"/>
          <w:sz w:val="24"/>
          <w:szCs w:val="24"/>
        </w:rPr>
        <w:t xml:space="preserve">. </w:t>
      </w:r>
      <w:r w:rsidR="00011BA6" w:rsidRPr="00A461B6">
        <w:rPr>
          <w:iCs/>
          <w:color w:val="0D0D0D" w:themeColor="text1" w:themeTint="F2"/>
          <w:sz w:val="24"/>
          <w:szCs w:val="24"/>
        </w:rPr>
        <w:t>Prescribers can prescribe one month’s supply per dispensing and up to six months’ supply of a medicine per prescription (in general) for medicines to treat chronic stable conditions</w:t>
      </w:r>
      <w:r w:rsidR="001575A0" w:rsidRPr="00A461B6">
        <w:rPr>
          <w:iCs/>
          <w:color w:val="0D0D0D" w:themeColor="text1" w:themeTint="F2"/>
          <w:sz w:val="24"/>
          <w:szCs w:val="24"/>
        </w:rPr>
        <w:t>.</w:t>
      </w:r>
    </w:p>
    <w:p w14:paraId="5419B58F" w14:textId="77777777" w:rsidR="006132D5" w:rsidRPr="00A461B6" w:rsidRDefault="006132D5" w:rsidP="0053325B">
      <w:pPr>
        <w:pStyle w:val="Subtitle"/>
        <w:spacing w:before="0" w:after="0"/>
      </w:pPr>
      <w:r w:rsidRPr="00A461B6">
        <w:t>Government</w:t>
      </w:r>
    </w:p>
    <w:p w14:paraId="795711A0" w14:textId="09847773" w:rsidR="00011BA6" w:rsidRPr="00A461B6" w:rsidRDefault="004C56DC" w:rsidP="0053325B">
      <w:pPr>
        <w:pStyle w:val="ListParagraph"/>
        <w:numPr>
          <w:ilvl w:val="0"/>
          <w:numId w:val="15"/>
        </w:numPr>
        <w:spacing w:before="240"/>
        <w:rPr>
          <w:b/>
          <w:color w:val="0D0D0D" w:themeColor="text1" w:themeTint="F2"/>
          <w:sz w:val="24"/>
          <w:szCs w:val="24"/>
          <w:u w:val="single"/>
        </w:rPr>
      </w:pPr>
      <w:r w:rsidRPr="00A461B6">
        <w:rPr>
          <w:color w:val="0D0D0D" w:themeColor="text1" w:themeTint="F2"/>
          <w:sz w:val="24"/>
          <w:szCs w:val="24"/>
        </w:rPr>
        <w:t>There is n</w:t>
      </w:r>
      <w:r w:rsidR="00D61146" w:rsidRPr="00A461B6">
        <w:rPr>
          <w:color w:val="0D0D0D" w:themeColor="text1" w:themeTint="F2"/>
          <w:sz w:val="24"/>
          <w:szCs w:val="24"/>
        </w:rPr>
        <w:t>o change to existing process</w:t>
      </w:r>
      <w:r w:rsidR="00D3445B" w:rsidRPr="00A461B6">
        <w:rPr>
          <w:color w:val="0D0D0D" w:themeColor="text1" w:themeTint="F2"/>
          <w:sz w:val="24"/>
          <w:szCs w:val="24"/>
        </w:rPr>
        <w:t xml:space="preserve"> and no change</w:t>
      </w:r>
      <w:r w:rsidR="00011BA6" w:rsidRPr="00A461B6">
        <w:rPr>
          <w:color w:val="0D0D0D" w:themeColor="text1" w:themeTint="F2"/>
          <w:sz w:val="24"/>
          <w:szCs w:val="24"/>
        </w:rPr>
        <w:t xml:space="preserve"> in PBS </w:t>
      </w:r>
      <w:r w:rsidR="00DD3E37" w:rsidRPr="00A461B6">
        <w:rPr>
          <w:color w:val="0D0D0D" w:themeColor="text1" w:themeTint="F2"/>
          <w:sz w:val="24"/>
          <w:szCs w:val="24"/>
        </w:rPr>
        <w:t xml:space="preserve">or 7CPA </w:t>
      </w:r>
      <w:r w:rsidR="00011BA6" w:rsidRPr="00A461B6">
        <w:rPr>
          <w:color w:val="0D0D0D" w:themeColor="text1" w:themeTint="F2"/>
          <w:sz w:val="24"/>
          <w:szCs w:val="24"/>
        </w:rPr>
        <w:t xml:space="preserve">expenditure. </w:t>
      </w:r>
      <w:r w:rsidR="001575A0" w:rsidRPr="00A461B6">
        <w:rPr>
          <w:color w:val="0D0D0D" w:themeColor="text1" w:themeTint="F2"/>
          <w:sz w:val="24"/>
          <w:szCs w:val="24"/>
        </w:rPr>
        <w:t xml:space="preserve">The Government continues to pay pharmacies </w:t>
      </w:r>
      <w:r w:rsidR="00011BA6" w:rsidRPr="00A461B6">
        <w:rPr>
          <w:color w:val="0D0D0D" w:themeColor="text1" w:themeTint="F2"/>
          <w:sz w:val="24"/>
          <w:szCs w:val="24"/>
        </w:rPr>
        <w:t xml:space="preserve">handling fees for monthly dispensing of PBS medicines. No change to the numbers of consumers reaching the PBS Safety Net </w:t>
      </w:r>
      <w:r w:rsidR="001575A0" w:rsidRPr="00A461B6">
        <w:rPr>
          <w:color w:val="0D0D0D" w:themeColor="text1" w:themeTint="F2"/>
          <w:sz w:val="24"/>
          <w:szCs w:val="24"/>
        </w:rPr>
        <w:t>t</w:t>
      </w:r>
      <w:r w:rsidR="00011BA6" w:rsidRPr="00A461B6">
        <w:rPr>
          <w:color w:val="0D0D0D" w:themeColor="text1" w:themeTint="F2"/>
          <w:sz w:val="24"/>
          <w:szCs w:val="24"/>
        </w:rPr>
        <w:t>hreshold in a calendar year.</w:t>
      </w:r>
    </w:p>
    <w:p w14:paraId="1C4C2FCC" w14:textId="1777EF44" w:rsidR="006132D5" w:rsidRPr="00A461B6" w:rsidRDefault="006132D5" w:rsidP="00F14E8C">
      <w:pPr>
        <w:pStyle w:val="Subtitle"/>
        <w:keepNext/>
        <w:keepLines/>
        <w:spacing w:after="0"/>
      </w:pPr>
      <w:r w:rsidRPr="00A461B6">
        <w:t xml:space="preserve">Software </w:t>
      </w:r>
      <w:r w:rsidR="00F64EAD" w:rsidRPr="00A461B6">
        <w:t>v</w:t>
      </w:r>
      <w:r w:rsidRPr="00A461B6">
        <w:t>endors</w:t>
      </w:r>
    </w:p>
    <w:p w14:paraId="31D26493" w14:textId="37F37A16" w:rsidR="00011BA6" w:rsidRPr="00A461B6" w:rsidRDefault="004C56DC" w:rsidP="0053325B">
      <w:pPr>
        <w:pStyle w:val="ListParagraph"/>
        <w:numPr>
          <w:ilvl w:val="0"/>
          <w:numId w:val="17"/>
        </w:numPr>
        <w:spacing w:before="240"/>
        <w:rPr>
          <w:b/>
          <w:color w:val="0D0D0D" w:themeColor="text1" w:themeTint="F2"/>
          <w:sz w:val="24"/>
          <w:szCs w:val="24"/>
          <w:u w:val="single"/>
        </w:rPr>
      </w:pPr>
      <w:r w:rsidRPr="00A461B6">
        <w:rPr>
          <w:color w:val="0D0D0D" w:themeColor="text1" w:themeTint="F2"/>
          <w:sz w:val="24"/>
          <w:szCs w:val="24"/>
        </w:rPr>
        <w:t>There is n</w:t>
      </w:r>
      <w:r w:rsidR="00D61146" w:rsidRPr="00A461B6">
        <w:rPr>
          <w:color w:val="0D0D0D" w:themeColor="text1" w:themeTint="F2"/>
          <w:sz w:val="24"/>
          <w:szCs w:val="24"/>
        </w:rPr>
        <w:t xml:space="preserve">o change to </w:t>
      </w:r>
      <w:r w:rsidRPr="00A461B6">
        <w:rPr>
          <w:color w:val="0D0D0D" w:themeColor="text1" w:themeTint="F2"/>
          <w:sz w:val="24"/>
          <w:szCs w:val="24"/>
        </w:rPr>
        <w:t>the</w:t>
      </w:r>
      <w:r w:rsidR="00011BA6" w:rsidRPr="00A461B6">
        <w:rPr>
          <w:color w:val="0D0D0D" w:themeColor="text1" w:themeTint="F2"/>
          <w:sz w:val="24"/>
        </w:rPr>
        <w:t xml:space="preserve"> </w:t>
      </w:r>
      <w:r w:rsidR="00011BA6" w:rsidRPr="00A461B6">
        <w:rPr>
          <w:color w:val="0D0D0D" w:themeColor="text1" w:themeTint="F2"/>
          <w:sz w:val="24"/>
          <w:szCs w:val="24"/>
        </w:rPr>
        <w:t>business as usual monthly prescribing and dispensing software updates</w:t>
      </w:r>
      <w:r w:rsidR="00D61146" w:rsidRPr="00A461B6">
        <w:rPr>
          <w:color w:val="0D0D0D" w:themeColor="text1" w:themeTint="F2"/>
          <w:sz w:val="24"/>
          <w:szCs w:val="24"/>
        </w:rPr>
        <w:t>.</w:t>
      </w:r>
    </w:p>
    <w:p w14:paraId="6F692F78" w14:textId="77777777" w:rsidR="006132D5" w:rsidRPr="00A461B6" w:rsidRDefault="006132D5" w:rsidP="0053325B">
      <w:pPr>
        <w:pStyle w:val="Subtitle"/>
        <w:spacing w:after="0"/>
      </w:pPr>
      <w:r w:rsidRPr="00A461B6">
        <w:t xml:space="preserve">Services Australia and the Department of Health and Aged </w:t>
      </w:r>
      <w:r w:rsidR="00011BA6" w:rsidRPr="00A461B6">
        <w:t>C</w:t>
      </w:r>
      <w:r w:rsidRPr="00A461B6">
        <w:t>are</w:t>
      </w:r>
    </w:p>
    <w:p w14:paraId="314F0728" w14:textId="6DAC6A2C" w:rsidR="00011BA6" w:rsidRPr="00A461B6" w:rsidRDefault="004C56DC" w:rsidP="0053325B">
      <w:pPr>
        <w:pStyle w:val="ListParagraph"/>
        <w:numPr>
          <w:ilvl w:val="0"/>
          <w:numId w:val="16"/>
        </w:numPr>
        <w:spacing w:before="240"/>
        <w:rPr>
          <w:color w:val="0D0D0D" w:themeColor="text1" w:themeTint="F2"/>
          <w:sz w:val="24"/>
          <w:szCs w:val="24"/>
        </w:rPr>
      </w:pPr>
      <w:r w:rsidRPr="00A461B6">
        <w:rPr>
          <w:color w:val="0D0D0D" w:themeColor="text1" w:themeTint="F2"/>
          <w:sz w:val="24"/>
          <w:szCs w:val="24"/>
        </w:rPr>
        <w:t>There is n</w:t>
      </w:r>
      <w:r w:rsidR="00011BA6" w:rsidRPr="00A461B6">
        <w:rPr>
          <w:color w:val="0D0D0D" w:themeColor="text1" w:themeTint="F2"/>
          <w:sz w:val="24"/>
          <w:szCs w:val="24"/>
        </w:rPr>
        <w:t xml:space="preserve">o change to business as usual monthly listing processes. Changes and additions to the PBS can be progressed </w:t>
      </w:r>
      <w:r w:rsidR="001575A0" w:rsidRPr="00A461B6">
        <w:rPr>
          <w:color w:val="0D0D0D" w:themeColor="text1" w:themeTint="F2"/>
          <w:sz w:val="24"/>
          <w:szCs w:val="24"/>
        </w:rPr>
        <w:t>as usual</w:t>
      </w:r>
      <w:r w:rsidR="00011BA6" w:rsidRPr="00A461B6">
        <w:rPr>
          <w:color w:val="0D0D0D" w:themeColor="text1" w:themeTint="F2"/>
          <w:sz w:val="24"/>
          <w:szCs w:val="24"/>
        </w:rPr>
        <w:t>.</w:t>
      </w:r>
    </w:p>
    <w:p w14:paraId="59A2DF78" w14:textId="77777777" w:rsidR="00F43064" w:rsidRDefault="00F43064">
      <w:pPr>
        <w:rPr>
          <w:rFonts w:asciiTheme="majorHAnsi" w:hAnsiTheme="majorHAnsi"/>
          <w:i/>
          <w:color w:val="014463" w:themeColor="text2"/>
          <w:sz w:val="28"/>
          <w:szCs w:val="24"/>
        </w:rPr>
      </w:pPr>
      <w:r>
        <w:br w:type="page"/>
      </w:r>
    </w:p>
    <w:p w14:paraId="3FD2470C" w14:textId="396B04C6" w:rsidR="006132D5" w:rsidRPr="00A461B6" w:rsidRDefault="006132D5" w:rsidP="0053325B">
      <w:pPr>
        <w:pStyle w:val="Subtitle"/>
        <w:spacing w:after="0"/>
      </w:pPr>
      <w:r w:rsidRPr="00A461B6">
        <w:t xml:space="preserve">Medicine </w:t>
      </w:r>
      <w:r w:rsidR="00F64EAD" w:rsidRPr="00A461B6">
        <w:t>s</w:t>
      </w:r>
      <w:r w:rsidRPr="00A461B6">
        <w:t>ponsors</w:t>
      </w:r>
    </w:p>
    <w:p w14:paraId="2B7C7C9C" w14:textId="1097E78E" w:rsidR="007478A0" w:rsidRPr="00A461B6" w:rsidRDefault="007478A0" w:rsidP="0053325B">
      <w:pPr>
        <w:pStyle w:val="ListParagraph"/>
        <w:numPr>
          <w:ilvl w:val="0"/>
          <w:numId w:val="33"/>
        </w:numPr>
        <w:shd w:val="clear" w:color="auto" w:fill="FFFFFF"/>
        <w:spacing w:before="100" w:beforeAutospacing="1" w:after="0" w:line="240" w:lineRule="auto"/>
        <w:rPr>
          <w:color w:val="auto"/>
          <w:sz w:val="24"/>
        </w:rPr>
      </w:pPr>
      <w:r w:rsidRPr="00A461B6">
        <w:rPr>
          <w:color w:val="auto"/>
          <w:sz w:val="24"/>
        </w:rPr>
        <w:t>A sponsor</w:t>
      </w:r>
      <w:r w:rsidRPr="00A461B6">
        <w:rPr>
          <w:rStyle w:val="FootnoteReference"/>
          <w:color w:val="auto"/>
          <w:sz w:val="24"/>
        </w:rPr>
        <w:footnoteReference w:id="29"/>
      </w:r>
      <w:r w:rsidRPr="00A461B6">
        <w:rPr>
          <w:color w:val="auto"/>
          <w:sz w:val="24"/>
        </w:rPr>
        <w:t xml:space="preserve"> is a person or company who does one or more of the following: exports therapeutic goods (medicines) from Australia, imports therapeutic goods into Australia, manufactures therapeutic goods for supply in Australia or elsewhere, arranges for another party to import, export or manufacture therapeutic goods. The sponsor is responsible for applying to the Therapeutic Goods Administration (TGA) to have their medicine included on the </w:t>
      </w:r>
      <w:hyperlink r:id="rId12" w:tooltip="Australian Register of Therapeutic Goods (ARTG)" w:history="1">
        <w:r w:rsidRPr="00A461B6">
          <w:rPr>
            <w:rStyle w:val="Hyperlink"/>
            <w:color w:val="auto"/>
            <w:sz w:val="24"/>
            <w:u w:val="none"/>
          </w:rPr>
          <w:t>Australian Register of Therapeutic Goods (ARTG)</w:t>
        </w:r>
      </w:hyperlink>
      <w:r w:rsidRPr="00A461B6">
        <w:rPr>
          <w:color w:val="auto"/>
          <w:sz w:val="24"/>
        </w:rPr>
        <w:t xml:space="preserve"> and for making an application to the PBAC to list their medicine on the PBS. </w:t>
      </w:r>
    </w:p>
    <w:p w14:paraId="00FC7613" w14:textId="786F7B13" w:rsidR="006132D5" w:rsidRPr="00A461B6" w:rsidRDefault="007478A0" w:rsidP="00501CE8">
      <w:pPr>
        <w:pStyle w:val="ListParagraph"/>
        <w:numPr>
          <w:ilvl w:val="0"/>
          <w:numId w:val="16"/>
        </w:numPr>
        <w:rPr>
          <w:sz w:val="24"/>
          <w:szCs w:val="24"/>
        </w:rPr>
      </w:pPr>
      <w:r w:rsidRPr="00A461B6">
        <w:rPr>
          <w:sz w:val="24"/>
          <w:szCs w:val="24"/>
        </w:rPr>
        <w:t>Sponsors will not be required to change</w:t>
      </w:r>
      <w:r w:rsidR="006132D5" w:rsidRPr="00A461B6">
        <w:rPr>
          <w:sz w:val="24"/>
          <w:szCs w:val="24"/>
        </w:rPr>
        <w:t xml:space="preserve"> Australian on shore stock for certain PBS medicines</w:t>
      </w:r>
      <w:r w:rsidR="001575A0" w:rsidRPr="00A461B6">
        <w:rPr>
          <w:sz w:val="24"/>
          <w:szCs w:val="24"/>
        </w:rPr>
        <w:t>.</w:t>
      </w:r>
    </w:p>
    <w:p w14:paraId="704A5ACA" w14:textId="15A30589" w:rsidR="006132D5" w:rsidRPr="00A461B6" w:rsidRDefault="006132D5" w:rsidP="0053325B">
      <w:pPr>
        <w:pStyle w:val="Subtitle"/>
        <w:spacing w:after="0"/>
      </w:pPr>
      <w:r w:rsidRPr="00A461B6">
        <w:t xml:space="preserve">Pharmacy </w:t>
      </w:r>
      <w:r w:rsidR="00F64EAD" w:rsidRPr="00A461B6">
        <w:t>w</w:t>
      </w:r>
      <w:r w:rsidRPr="00A461B6">
        <w:t>holesalers</w:t>
      </w:r>
      <w:r w:rsidR="009642C8" w:rsidRPr="00A461B6">
        <w:rPr>
          <w:rStyle w:val="FootnoteReference"/>
        </w:rPr>
        <w:footnoteReference w:id="30"/>
      </w:r>
    </w:p>
    <w:p w14:paraId="50724F0D" w14:textId="77777777" w:rsidR="009642C8" w:rsidRPr="00A461B6" w:rsidRDefault="007478A0" w:rsidP="0053325B">
      <w:pPr>
        <w:pStyle w:val="ListParagraph"/>
        <w:numPr>
          <w:ilvl w:val="0"/>
          <w:numId w:val="16"/>
        </w:numPr>
        <w:spacing w:before="240"/>
        <w:rPr>
          <w:color w:val="0D0D0D" w:themeColor="text1" w:themeTint="F2"/>
          <w:sz w:val="24"/>
        </w:rPr>
      </w:pPr>
      <w:r w:rsidRPr="00A461B6">
        <w:rPr>
          <w:color w:val="auto"/>
          <w:sz w:val="24"/>
        </w:rPr>
        <w:t xml:space="preserve">Pharmaceutical wholesalers </w:t>
      </w:r>
      <w:r w:rsidRPr="00A461B6">
        <w:rPr>
          <w:color w:val="0D0D0D" w:themeColor="text1" w:themeTint="F2"/>
          <w:sz w:val="24"/>
        </w:rPr>
        <w:t xml:space="preserve">maintain distribution facilities for medicines </w:t>
      </w:r>
      <w:r w:rsidR="009642C8" w:rsidRPr="00A461B6">
        <w:rPr>
          <w:color w:val="0D0D0D" w:themeColor="text1" w:themeTint="F2"/>
          <w:sz w:val="24"/>
        </w:rPr>
        <w:t xml:space="preserve">and </w:t>
      </w:r>
      <w:r w:rsidRPr="00A461B6">
        <w:rPr>
          <w:color w:val="0D0D0D" w:themeColor="text1" w:themeTint="F2"/>
          <w:sz w:val="24"/>
        </w:rPr>
        <w:t>are the link between sponsors of medicines and community pharmacies where the medicines are dispensed to patients</w:t>
      </w:r>
      <w:r w:rsidR="009642C8" w:rsidRPr="00A461B6">
        <w:rPr>
          <w:color w:val="0D0D0D" w:themeColor="text1" w:themeTint="F2"/>
          <w:sz w:val="24"/>
        </w:rPr>
        <w:t>.</w:t>
      </w:r>
    </w:p>
    <w:p w14:paraId="3869997B" w14:textId="6F1D25AC" w:rsidR="00FA1A0B" w:rsidRPr="00A461B6" w:rsidRDefault="009642C8" w:rsidP="00501CE8">
      <w:pPr>
        <w:pStyle w:val="ListParagraph"/>
        <w:numPr>
          <w:ilvl w:val="0"/>
          <w:numId w:val="16"/>
        </w:numPr>
        <w:rPr>
          <w:color w:val="0D0D0D" w:themeColor="text1" w:themeTint="F2"/>
          <w:sz w:val="24"/>
          <w:szCs w:val="24"/>
        </w:rPr>
      </w:pPr>
      <w:r w:rsidRPr="00A461B6">
        <w:rPr>
          <w:color w:val="0D0D0D" w:themeColor="text1" w:themeTint="F2"/>
          <w:sz w:val="24"/>
          <w:szCs w:val="24"/>
        </w:rPr>
        <w:t xml:space="preserve">Pharmaceutical wholesalers will not be required </w:t>
      </w:r>
      <w:r w:rsidR="006132D5" w:rsidRPr="00A461B6">
        <w:rPr>
          <w:color w:val="0D0D0D" w:themeColor="text1" w:themeTint="F2"/>
          <w:sz w:val="24"/>
          <w:szCs w:val="24"/>
        </w:rPr>
        <w:t xml:space="preserve">to </w:t>
      </w:r>
      <w:r w:rsidRPr="00A461B6">
        <w:rPr>
          <w:color w:val="0D0D0D" w:themeColor="text1" w:themeTint="F2"/>
          <w:sz w:val="24"/>
          <w:szCs w:val="24"/>
        </w:rPr>
        <w:t xml:space="preserve">change </w:t>
      </w:r>
      <w:r w:rsidR="006132D5" w:rsidRPr="00A461B6">
        <w:rPr>
          <w:color w:val="0D0D0D" w:themeColor="text1" w:themeTint="F2"/>
          <w:sz w:val="24"/>
          <w:szCs w:val="24"/>
        </w:rPr>
        <w:t xml:space="preserve">current stock levels or </w:t>
      </w:r>
      <w:r w:rsidR="00DD3E37" w:rsidRPr="00A461B6">
        <w:rPr>
          <w:color w:val="0D0D0D" w:themeColor="text1" w:themeTint="F2"/>
          <w:sz w:val="24"/>
          <w:szCs w:val="24"/>
        </w:rPr>
        <w:t xml:space="preserve">experience reductions in </w:t>
      </w:r>
      <w:r w:rsidR="006132D5" w:rsidRPr="00A461B6">
        <w:rPr>
          <w:color w:val="0D0D0D" w:themeColor="text1" w:themeTint="F2"/>
          <w:sz w:val="24"/>
          <w:szCs w:val="24"/>
        </w:rPr>
        <w:t>remuneration through legislated wholesaler mark ups.</w:t>
      </w:r>
    </w:p>
    <w:p w14:paraId="6311549D" w14:textId="191C31A5" w:rsidR="008E01B6" w:rsidRPr="00A461B6" w:rsidRDefault="006132D5" w:rsidP="00D3445B">
      <w:pPr>
        <w:pStyle w:val="Heading3"/>
        <w:rPr>
          <w:iCs/>
        </w:rPr>
      </w:pPr>
      <w:bookmarkStart w:id="63" w:name="_Toc132192303"/>
      <w:bookmarkStart w:id="64" w:name="_Toc134603934"/>
      <w:r w:rsidRPr="00A461B6">
        <w:t>Option 2</w:t>
      </w:r>
      <w:r w:rsidR="006A1E78" w:rsidRPr="00A461B6">
        <w:t>:</w:t>
      </w:r>
      <w:r w:rsidR="00FA1A0B" w:rsidRPr="00A461B6">
        <w:t xml:space="preserve"> Implement </w:t>
      </w:r>
      <w:r w:rsidR="007304FE" w:rsidRPr="00A461B6">
        <w:t>MDQ changes</w:t>
      </w:r>
      <w:r w:rsidR="00FA1A0B" w:rsidRPr="00A461B6">
        <w:t xml:space="preserve"> for medicines</w:t>
      </w:r>
      <w:r w:rsidR="009A06EB" w:rsidRPr="00A461B6">
        <w:t xml:space="preserve"> </w:t>
      </w:r>
      <w:r w:rsidR="00320BF2">
        <w:t>–</w:t>
      </w:r>
      <w:r w:rsidR="009A06EB" w:rsidRPr="00A461B6">
        <w:t xml:space="preserve"> </w:t>
      </w:r>
      <w:r w:rsidR="00FA1A0B" w:rsidRPr="00A461B6">
        <w:t>2 months’ supply</w:t>
      </w:r>
      <w:bookmarkEnd w:id="63"/>
      <w:bookmarkEnd w:id="64"/>
      <w:r w:rsidR="00FA1A0B" w:rsidRPr="00A461B6">
        <w:t xml:space="preserve"> </w:t>
      </w:r>
    </w:p>
    <w:p w14:paraId="7E65F961" w14:textId="487AF806" w:rsidR="006B73BE" w:rsidRPr="00A461B6" w:rsidRDefault="008E01B6" w:rsidP="00501CE8">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iCs/>
          <w:color w:val="0D0D0D" w:themeColor="text1" w:themeTint="F2"/>
          <w:sz w:val="24"/>
          <w:szCs w:val="24"/>
        </w:rPr>
        <w:t>If a patient’s condition is stable and suitable for the increased MDQ, a prescriber may provide a prescription for</w:t>
      </w:r>
      <w:r w:rsidR="001254F8" w:rsidRPr="00A461B6">
        <w:rPr>
          <w:iCs/>
          <w:color w:val="0D0D0D" w:themeColor="text1" w:themeTint="F2"/>
          <w:sz w:val="24"/>
          <w:szCs w:val="24"/>
        </w:rPr>
        <w:t xml:space="preserve"> </w:t>
      </w:r>
      <w:r w:rsidR="006B73BE" w:rsidRPr="00A461B6">
        <w:rPr>
          <w:iCs/>
          <w:color w:val="0D0D0D" w:themeColor="text1" w:themeTint="F2"/>
          <w:sz w:val="24"/>
          <w:szCs w:val="24"/>
        </w:rPr>
        <w:t xml:space="preserve">2 months’ supply of </w:t>
      </w:r>
      <w:r w:rsidRPr="00A461B6">
        <w:rPr>
          <w:iCs/>
          <w:color w:val="0D0D0D" w:themeColor="text1" w:themeTint="F2"/>
          <w:sz w:val="24"/>
          <w:szCs w:val="24"/>
        </w:rPr>
        <w:t xml:space="preserve">some </w:t>
      </w:r>
      <w:r w:rsidR="006B73BE" w:rsidRPr="00A461B6">
        <w:rPr>
          <w:iCs/>
          <w:color w:val="0D0D0D" w:themeColor="text1" w:themeTint="F2"/>
          <w:sz w:val="24"/>
          <w:szCs w:val="24"/>
        </w:rPr>
        <w:t>PBS medicine</w:t>
      </w:r>
      <w:r w:rsidRPr="00A461B6">
        <w:rPr>
          <w:iCs/>
          <w:color w:val="0D0D0D" w:themeColor="text1" w:themeTint="F2"/>
          <w:sz w:val="24"/>
          <w:szCs w:val="24"/>
        </w:rPr>
        <w:t>s</w:t>
      </w:r>
      <w:r w:rsidR="006B73BE" w:rsidRPr="00A461B6">
        <w:rPr>
          <w:iCs/>
          <w:color w:val="0D0D0D" w:themeColor="text1" w:themeTint="F2"/>
          <w:sz w:val="24"/>
          <w:szCs w:val="24"/>
        </w:rPr>
        <w:t xml:space="preserve"> per dispense</w:t>
      </w:r>
      <w:r w:rsidR="00DD3E37" w:rsidRPr="00A461B6">
        <w:rPr>
          <w:iCs/>
          <w:color w:val="0D0D0D" w:themeColor="text1" w:themeTint="F2"/>
          <w:sz w:val="24"/>
          <w:szCs w:val="24"/>
        </w:rPr>
        <w:t>.</w:t>
      </w:r>
    </w:p>
    <w:p w14:paraId="3B6A6E8F" w14:textId="31C45AC8" w:rsidR="002108FE" w:rsidRPr="00A461B6" w:rsidRDefault="00503169" w:rsidP="00501CE8">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iCs/>
          <w:color w:val="0D0D0D" w:themeColor="text1" w:themeTint="F2"/>
          <w:sz w:val="24"/>
          <w:szCs w:val="24"/>
        </w:rPr>
        <w:t>E</w:t>
      </w:r>
      <w:r w:rsidR="001254F8" w:rsidRPr="00A461B6">
        <w:rPr>
          <w:iCs/>
          <w:color w:val="0D0D0D" w:themeColor="text1" w:themeTint="F2"/>
          <w:sz w:val="24"/>
          <w:szCs w:val="24"/>
        </w:rPr>
        <w:t xml:space="preserve">ach prescription </w:t>
      </w:r>
      <w:r w:rsidR="008E01B6" w:rsidRPr="00A461B6">
        <w:rPr>
          <w:iCs/>
          <w:color w:val="0D0D0D" w:themeColor="text1" w:themeTint="F2"/>
          <w:sz w:val="24"/>
          <w:szCs w:val="24"/>
        </w:rPr>
        <w:t xml:space="preserve">with the increased MDQ </w:t>
      </w:r>
      <w:r w:rsidR="001254F8" w:rsidRPr="00A461B6">
        <w:rPr>
          <w:iCs/>
          <w:color w:val="0D0D0D" w:themeColor="text1" w:themeTint="F2"/>
          <w:sz w:val="24"/>
          <w:szCs w:val="24"/>
        </w:rPr>
        <w:t>will supply approximately 12 months’ medicine</w:t>
      </w:r>
      <w:r w:rsidRPr="00A461B6">
        <w:rPr>
          <w:iCs/>
          <w:color w:val="0D0D0D" w:themeColor="text1" w:themeTint="F2"/>
          <w:sz w:val="24"/>
          <w:szCs w:val="24"/>
        </w:rPr>
        <w:t xml:space="preserve"> -</w:t>
      </w:r>
      <w:r w:rsidR="0008081E" w:rsidRPr="00A461B6">
        <w:rPr>
          <w:iCs/>
          <w:color w:val="0D0D0D" w:themeColor="text1" w:themeTint="F2"/>
          <w:sz w:val="24"/>
          <w:szCs w:val="24"/>
        </w:rPr>
        <w:t xml:space="preserve"> as</w:t>
      </w:r>
      <w:r w:rsidRPr="00A461B6">
        <w:rPr>
          <w:iCs/>
          <w:color w:val="0D0D0D" w:themeColor="text1" w:themeTint="F2"/>
          <w:sz w:val="24"/>
          <w:szCs w:val="24"/>
        </w:rPr>
        <w:t xml:space="preserve"> t</w:t>
      </w:r>
      <w:r w:rsidR="00A33FAC" w:rsidRPr="00A461B6">
        <w:rPr>
          <w:iCs/>
          <w:color w:val="0D0D0D" w:themeColor="text1" w:themeTint="F2"/>
          <w:sz w:val="24"/>
          <w:szCs w:val="24"/>
        </w:rPr>
        <w:t>here will be six dispense events</w:t>
      </w:r>
      <w:r w:rsidR="0008081E" w:rsidRPr="00A461B6">
        <w:rPr>
          <w:iCs/>
          <w:color w:val="0D0D0D" w:themeColor="text1" w:themeTint="F2"/>
          <w:sz w:val="24"/>
          <w:szCs w:val="24"/>
        </w:rPr>
        <w:t>, each providing 2 months’ of medicine supply</w:t>
      </w:r>
      <w:r w:rsidR="00A33FAC" w:rsidRPr="00A461B6">
        <w:rPr>
          <w:iCs/>
          <w:color w:val="0D0D0D" w:themeColor="text1" w:themeTint="F2"/>
          <w:sz w:val="24"/>
          <w:szCs w:val="24"/>
        </w:rPr>
        <w:t xml:space="preserve"> per prescription</w:t>
      </w:r>
      <w:r w:rsidR="009902E2" w:rsidRPr="00A461B6">
        <w:rPr>
          <w:iCs/>
          <w:color w:val="0D0D0D" w:themeColor="text1" w:themeTint="F2"/>
          <w:sz w:val="24"/>
          <w:szCs w:val="24"/>
        </w:rPr>
        <w:t>.</w:t>
      </w:r>
    </w:p>
    <w:p w14:paraId="486181A7" w14:textId="28AB6036" w:rsidR="00491C56" w:rsidRPr="00A461B6" w:rsidRDefault="00491C56" w:rsidP="00501CE8">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color w:val="0D0D0D" w:themeColor="text1" w:themeTint="F2"/>
          <w:sz w:val="24"/>
          <w:szCs w:val="24"/>
        </w:rPr>
        <w:t>New and amended items will be listed on the PBS schedule with an increased MDQ</w:t>
      </w:r>
      <w:r w:rsidR="0008081E" w:rsidRPr="00A461B6">
        <w:rPr>
          <w:color w:val="0D0D0D" w:themeColor="text1" w:themeTint="F2"/>
          <w:sz w:val="24"/>
          <w:szCs w:val="24"/>
        </w:rPr>
        <w:t xml:space="preserve"> sufficient to last the patient approximately 2 months</w:t>
      </w:r>
      <w:r w:rsidR="00927A67" w:rsidRPr="00A461B6">
        <w:rPr>
          <w:color w:val="0D0D0D" w:themeColor="text1" w:themeTint="F2"/>
          <w:sz w:val="24"/>
          <w:szCs w:val="24"/>
        </w:rPr>
        <w:t>, and in most cases the prescription will have the same number of repeats i.e. one original and 5 repeats</w:t>
      </w:r>
      <w:r w:rsidRPr="00A461B6">
        <w:rPr>
          <w:color w:val="0D0D0D" w:themeColor="text1" w:themeTint="F2"/>
          <w:sz w:val="24"/>
          <w:szCs w:val="24"/>
        </w:rPr>
        <w:t xml:space="preserve">. </w:t>
      </w:r>
    </w:p>
    <w:p w14:paraId="2B85E9C3" w14:textId="6AAC5D41" w:rsidR="00564BB1" w:rsidRPr="00A461B6" w:rsidRDefault="00564BB1" w:rsidP="00564BB1">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iCs/>
          <w:color w:val="0D0D0D" w:themeColor="text1" w:themeTint="F2"/>
          <w:sz w:val="24"/>
          <w:szCs w:val="24"/>
        </w:rPr>
        <w:t>It is necessary to list new PBS items as the PBAC has explicitly recommended that the increased MDQ listing for medicines in the proposal are in addition to, and not a replacement of, the current one month PBS listing for these medicines, allowing for appropriate decision making by prescribers.</w:t>
      </w:r>
    </w:p>
    <w:p w14:paraId="09502D4F" w14:textId="1F1BEC4D" w:rsidR="00564BB1" w:rsidRPr="00A461B6" w:rsidRDefault="00564BB1" w:rsidP="00705663">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color w:val="0D0D0D" w:themeColor="text1" w:themeTint="F2"/>
          <w:sz w:val="24"/>
          <w:szCs w:val="24"/>
        </w:rPr>
        <w:t>These changes to the PBS will be made to the Schedule at the same time.</w:t>
      </w:r>
    </w:p>
    <w:p w14:paraId="49F08212" w14:textId="5196D042" w:rsidR="00491C56" w:rsidRPr="00A461B6" w:rsidRDefault="00DD3E37" w:rsidP="00B01D98">
      <w:pPr>
        <w:pStyle w:val="ListParagraph"/>
        <w:numPr>
          <w:ilvl w:val="0"/>
          <w:numId w:val="14"/>
        </w:numPr>
        <w:autoSpaceDE w:val="0"/>
        <w:autoSpaceDN w:val="0"/>
        <w:adjustRightInd w:val="0"/>
        <w:spacing w:line="240" w:lineRule="auto"/>
        <w:rPr>
          <w:iCs/>
          <w:color w:val="0D0D0D" w:themeColor="text1" w:themeTint="F2"/>
          <w:sz w:val="24"/>
          <w:szCs w:val="24"/>
        </w:rPr>
      </w:pPr>
      <w:r w:rsidRPr="00A461B6">
        <w:rPr>
          <w:color w:val="0D0D0D" w:themeColor="text1" w:themeTint="F2"/>
          <w:sz w:val="24"/>
          <w:szCs w:val="24"/>
        </w:rPr>
        <w:t xml:space="preserve">The savings to Government </w:t>
      </w:r>
      <w:r w:rsidR="003A17E8" w:rsidRPr="00A461B6">
        <w:rPr>
          <w:color w:val="0D0D0D" w:themeColor="text1" w:themeTint="F2"/>
          <w:sz w:val="24"/>
          <w:szCs w:val="24"/>
        </w:rPr>
        <w:t xml:space="preserve">made possible by Option 2 </w:t>
      </w:r>
      <w:r w:rsidRPr="00A461B6">
        <w:rPr>
          <w:color w:val="0D0D0D" w:themeColor="text1" w:themeTint="F2"/>
          <w:sz w:val="24"/>
          <w:szCs w:val="24"/>
        </w:rPr>
        <w:t xml:space="preserve">will support programs and services provided to patients under the 7CPA, including higher volume of existing programs, higher payments under the Regional Pharmacy Maintenance Allowance and new programs, including funding for administration of NIP vaccines to </w:t>
      </w:r>
      <w:r w:rsidR="007304FE" w:rsidRPr="00A461B6">
        <w:rPr>
          <w:color w:val="0D0D0D" w:themeColor="text1" w:themeTint="F2"/>
          <w:sz w:val="24"/>
          <w:szCs w:val="24"/>
        </w:rPr>
        <w:t>eligible</w:t>
      </w:r>
      <w:r w:rsidRPr="00A461B6">
        <w:rPr>
          <w:color w:val="0D0D0D" w:themeColor="text1" w:themeTint="F2"/>
          <w:sz w:val="24"/>
          <w:szCs w:val="24"/>
        </w:rPr>
        <w:t xml:space="preserve"> patients in community pharmacies</w:t>
      </w:r>
      <w:r w:rsidR="00E657F6" w:rsidRPr="00A461B6">
        <w:rPr>
          <w:color w:val="0D0D0D" w:themeColor="text1" w:themeTint="F2"/>
          <w:sz w:val="24"/>
          <w:szCs w:val="24"/>
        </w:rPr>
        <w:t>.</w:t>
      </w:r>
    </w:p>
    <w:p w14:paraId="36AF1700" w14:textId="77777777" w:rsidR="00F43064" w:rsidRDefault="00F43064">
      <w:pPr>
        <w:rPr>
          <w:rFonts w:asciiTheme="majorHAnsi" w:hAnsiTheme="majorHAnsi"/>
          <w:color w:val="014463" w:themeColor="text2"/>
          <w:sz w:val="28"/>
          <w:szCs w:val="24"/>
        </w:rPr>
      </w:pPr>
      <w:r>
        <w:br w:type="page"/>
      </w:r>
    </w:p>
    <w:p w14:paraId="6D7D2B63" w14:textId="12E357E1" w:rsidR="006B73BE" w:rsidRPr="00A461B6" w:rsidRDefault="006B73BE" w:rsidP="00D3445B">
      <w:pPr>
        <w:pStyle w:val="Heading4"/>
      </w:pPr>
      <w:r w:rsidRPr="00A461B6">
        <w:t>Stakeholders and roles and responsibilities</w:t>
      </w:r>
    </w:p>
    <w:p w14:paraId="64255AB8" w14:textId="79399223" w:rsidR="008E01B6" w:rsidRPr="00A461B6" w:rsidRDefault="003F75E0" w:rsidP="0053325B">
      <w:pPr>
        <w:pStyle w:val="Subtitle"/>
        <w:spacing w:before="0" w:after="0"/>
      </w:pPr>
      <w:r w:rsidRPr="00A461B6">
        <w:t>Consumers</w:t>
      </w:r>
    </w:p>
    <w:p w14:paraId="764FDDA7" w14:textId="61075FF7" w:rsidR="00DD3E37" w:rsidRPr="00A461B6" w:rsidRDefault="00DD3E37" w:rsidP="00501CE8">
      <w:pPr>
        <w:pStyle w:val="ListParagraph"/>
        <w:numPr>
          <w:ilvl w:val="0"/>
          <w:numId w:val="14"/>
        </w:numPr>
        <w:rPr>
          <w:color w:val="0D0D0D" w:themeColor="text1" w:themeTint="F2"/>
          <w:sz w:val="24"/>
        </w:rPr>
      </w:pPr>
      <w:r w:rsidRPr="00A461B6">
        <w:rPr>
          <w:color w:val="0D0D0D" w:themeColor="text1" w:themeTint="F2"/>
          <w:sz w:val="24"/>
          <w:szCs w:val="24"/>
        </w:rPr>
        <w:t>Consumers will experience lower costs for accessing medicines they need to manage their chronic conditions.</w:t>
      </w:r>
      <w:r w:rsidR="00A70E9C" w:rsidRPr="00A461B6">
        <w:rPr>
          <w:color w:val="0D0D0D" w:themeColor="text1" w:themeTint="F2"/>
          <w:sz w:val="24"/>
          <w:szCs w:val="24"/>
        </w:rPr>
        <w:t xml:space="preserve"> This is because </w:t>
      </w:r>
      <w:r w:rsidR="007216C5" w:rsidRPr="00A461B6">
        <w:rPr>
          <w:color w:val="0D0D0D" w:themeColor="text1" w:themeTint="F2"/>
          <w:sz w:val="24"/>
          <w:szCs w:val="24"/>
        </w:rPr>
        <w:t xml:space="preserve">patients </w:t>
      </w:r>
      <w:r w:rsidR="00A70E9C" w:rsidRPr="00A461B6">
        <w:rPr>
          <w:color w:val="0D0D0D" w:themeColor="text1" w:themeTint="F2"/>
          <w:sz w:val="24"/>
          <w:szCs w:val="24"/>
        </w:rPr>
        <w:t xml:space="preserve">will pay fewer co-payments (approximately </w:t>
      </w:r>
      <w:r w:rsidR="007216C5" w:rsidRPr="00A461B6">
        <w:rPr>
          <w:color w:val="0D0D0D" w:themeColor="text1" w:themeTint="F2"/>
          <w:sz w:val="24"/>
          <w:szCs w:val="24"/>
        </w:rPr>
        <w:t xml:space="preserve">half for each medicine with increased MDQ) </w:t>
      </w:r>
      <w:r w:rsidR="00A70E9C" w:rsidRPr="00A461B6">
        <w:rPr>
          <w:color w:val="0D0D0D" w:themeColor="text1" w:themeTint="F2"/>
          <w:sz w:val="24"/>
          <w:szCs w:val="24"/>
        </w:rPr>
        <w:t>or if the medicine is priced under the co-payment, one dispensing</w:t>
      </w:r>
      <w:r w:rsidR="007216C5" w:rsidRPr="00A461B6">
        <w:rPr>
          <w:color w:val="0D0D0D" w:themeColor="text1" w:themeTint="F2"/>
          <w:sz w:val="24"/>
          <w:szCs w:val="24"/>
        </w:rPr>
        <w:t xml:space="preserve"> and AHI </w:t>
      </w:r>
      <w:r w:rsidR="00A70E9C" w:rsidRPr="00A461B6">
        <w:rPr>
          <w:color w:val="0D0D0D" w:themeColor="text1" w:themeTint="F2"/>
          <w:sz w:val="24"/>
          <w:szCs w:val="24"/>
        </w:rPr>
        <w:t xml:space="preserve">fee for </w:t>
      </w:r>
      <w:r w:rsidR="007216C5" w:rsidRPr="00A461B6">
        <w:rPr>
          <w:color w:val="0D0D0D" w:themeColor="text1" w:themeTint="F2"/>
          <w:sz w:val="24"/>
          <w:szCs w:val="24"/>
        </w:rPr>
        <w:t>two months’ supply instead of one months</w:t>
      </w:r>
      <w:r w:rsidR="009602E0" w:rsidRPr="00A461B6">
        <w:rPr>
          <w:color w:val="0D0D0D" w:themeColor="text1" w:themeTint="F2"/>
          <w:sz w:val="24"/>
          <w:szCs w:val="24"/>
        </w:rPr>
        <w:t>’</w:t>
      </w:r>
      <w:r w:rsidR="007216C5" w:rsidRPr="00A461B6">
        <w:rPr>
          <w:color w:val="0D0D0D" w:themeColor="text1" w:themeTint="F2"/>
          <w:sz w:val="24"/>
          <w:szCs w:val="24"/>
        </w:rPr>
        <w:t xml:space="preserve"> supply as currently occurs under Option 1. </w:t>
      </w:r>
      <w:r w:rsidR="00A70E9C" w:rsidRPr="00A461B6">
        <w:rPr>
          <w:color w:val="0D0D0D" w:themeColor="text1" w:themeTint="F2"/>
          <w:sz w:val="24"/>
          <w:szCs w:val="24"/>
        </w:rPr>
        <w:t xml:space="preserve"> </w:t>
      </w:r>
    </w:p>
    <w:p w14:paraId="093678C0" w14:textId="7EF0C8AF" w:rsidR="003F75E0" w:rsidRPr="00A461B6" w:rsidRDefault="00491C56" w:rsidP="0053325B">
      <w:pPr>
        <w:pStyle w:val="ListParagraph"/>
        <w:numPr>
          <w:ilvl w:val="0"/>
          <w:numId w:val="14"/>
        </w:numPr>
        <w:spacing w:before="240"/>
        <w:rPr>
          <w:b/>
          <w:color w:val="0D0D0D" w:themeColor="text1" w:themeTint="F2"/>
          <w:sz w:val="24"/>
          <w:szCs w:val="24"/>
          <w:u w:val="single"/>
        </w:rPr>
      </w:pPr>
      <w:r w:rsidRPr="00A461B6">
        <w:rPr>
          <w:color w:val="0D0D0D" w:themeColor="text1" w:themeTint="F2"/>
          <w:sz w:val="24"/>
          <w:szCs w:val="24"/>
        </w:rPr>
        <w:t>Some c</w:t>
      </w:r>
      <w:r w:rsidR="008E01B6" w:rsidRPr="00A461B6">
        <w:rPr>
          <w:color w:val="0D0D0D" w:themeColor="text1" w:themeTint="F2"/>
          <w:sz w:val="24"/>
          <w:szCs w:val="24"/>
        </w:rPr>
        <w:t xml:space="preserve">onsumers </w:t>
      </w:r>
      <w:r w:rsidR="003F75E0" w:rsidRPr="00A461B6">
        <w:rPr>
          <w:color w:val="0D0D0D" w:themeColor="text1" w:themeTint="F2"/>
          <w:sz w:val="24"/>
          <w:szCs w:val="24"/>
        </w:rPr>
        <w:t>w</w:t>
      </w:r>
      <w:r w:rsidRPr="00A461B6">
        <w:rPr>
          <w:color w:val="0D0D0D" w:themeColor="text1" w:themeTint="F2"/>
          <w:sz w:val="24"/>
          <w:szCs w:val="24"/>
        </w:rPr>
        <w:t>ould</w:t>
      </w:r>
      <w:r w:rsidR="006B0735" w:rsidRPr="00A461B6">
        <w:rPr>
          <w:color w:val="0D0D0D" w:themeColor="text1" w:themeTint="F2"/>
          <w:sz w:val="24"/>
          <w:szCs w:val="24"/>
        </w:rPr>
        <w:t xml:space="preserve"> </w:t>
      </w:r>
      <w:r w:rsidR="007B67CE" w:rsidRPr="00A461B6">
        <w:rPr>
          <w:color w:val="0D0D0D" w:themeColor="text1" w:themeTint="F2"/>
          <w:sz w:val="24"/>
          <w:szCs w:val="24"/>
        </w:rPr>
        <w:t>need to</w:t>
      </w:r>
      <w:r w:rsidR="003F75E0" w:rsidRPr="00A461B6">
        <w:rPr>
          <w:color w:val="0D0D0D" w:themeColor="text1" w:themeTint="F2"/>
          <w:sz w:val="24"/>
          <w:szCs w:val="24"/>
        </w:rPr>
        <w:t xml:space="preserve"> visit a pharmacy every second month instead of each month to have their prescription dispensed and may reduce their GP visits </w:t>
      </w:r>
      <w:r w:rsidR="006D1E23" w:rsidRPr="00A461B6">
        <w:rPr>
          <w:color w:val="0D0D0D" w:themeColor="text1" w:themeTint="F2"/>
          <w:sz w:val="24"/>
          <w:szCs w:val="24"/>
        </w:rPr>
        <w:t>depending on the medicines they take and the stability of their medical conditions</w:t>
      </w:r>
      <w:r w:rsidR="008E01B6" w:rsidRPr="00A461B6">
        <w:rPr>
          <w:color w:val="0D0D0D" w:themeColor="text1" w:themeTint="F2"/>
          <w:sz w:val="24"/>
          <w:szCs w:val="24"/>
        </w:rPr>
        <w:t>.</w:t>
      </w:r>
    </w:p>
    <w:p w14:paraId="6C6EE47D" w14:textId="4668E1D0" w:rsidR="008E01B6" w:rsidRPr="00A461B6" w:rsidRDefault="008E01B6" w:rsidP="00501CE8">
      <w:pPr>
        <w:pStyle w:val="ListParagraph"/>
        <w:numPr>
          <w:ilvl w:val="0"/>
          <w:numId w:val="14"/>
        </w:numPr>
        <w:rPr>
          <w:b/>
          <w:color w:val="0D0D0D" w:themeColor="text1" w:themeTint="F2"/>
          <w:sz w:val="24"/>
          <w:u w:val="single"/>
        </w:rPr>
      </w:pPr>
      <w:r w:rsidRPr="00A461B6">
        <w:rPr>
          <w:iCs/>
          <w:color w:val="0D0D0D" w:themeColor="text1" w:themeTint="F2"/>
          <w:sz w:val="24"/>
          <w:szCs w:val="24"/>
        </w:rPr>
        <w:t>Consumers who only take</w:t>
      </w:r>
      <w:r w:rsidR="0053325B" w:rsidRPr="00A461B6">
        <w:rPr>
          <w:iCs/>
          <w:color w:val="0D0D0D" w:themeColor="text1" w:themeTint="F2"/>
          <w:sz w:val="24"/>
          <w:szCs w:val="24"/>
        </w:rPr>
        <w:t xml:space="preserve"> </w:t>
      </w:r>
      <w:r w:rsidRPr="00A461B6">
        <w:rPr>
          <w:iCs/>
          <w:color w:val="0D0D0D" w:themeColor="text1" w:themeTint="F2"/>
          <w:sz w:val="24"/>
          <w:szCs w:val="24"/>
        </w:rPr>
        <w:t>medicines</w:t>
      </w:r>
      <w:r w:rsidR="007304FE" w:rsidRPr="00A461B6">
        <w:rPr>
          <w:iCs/>
          <w:color w:val="0D0D0D" w:themeColor="text1" w:themeTint="F2"/>
          <w:sz w:val="24"/>
          <w:szCs w:val="24"/>
        </w:rPr>
        <w:t xml:space="preserve"> subject to the MDQ changes</w:t>
      </w:r>
      <w:r w:rsidRPr="00A461B6">
        <w:rPr>
          <w:iCs/>
          <w:color w:val="0D0D0D" w:themeColor="text1" w:themeTint="F2"/>
          <w:sz w:val="24"/>
          <w:szCs w:val="24"/>
        </w:rPr>
        <w:t xml:space="preserve"> may only be required to visit their GP once a year for a</w:t>
      </w:r>
      <w:r w:rsidR="0008081E" w:rsidRPr="00A461B6">
        <w:rPr>
          <w:iCs/>
          <w:color w:val="0D0D0D" w:themeColor="text1" w:themeTint="F2"/>
          <w:sz w:val="24"/>
          <w:szCs w:val="24"/>
        </w:rPr>
        <w:t xml:space="preserve"> new</w:t>
      </w:r>
      <w:r w:rsidRPr="00A461B6">
        <w:rPr>
          <w:iCs/>
          <w:color w:val="0D0D0D" w:themeColor="text1" w:themeTint="F2"/>
          <w:sz w:val="24"/>
          <w:szCs w:val="24"/>
        </w:rPr>
        <w:t xml:space="preserve"> prescription</w:t>
      </w:r>
      <w:r w:rsidR="00927A67" w:rsidRPr="00A461B6">
        <w:rPr>
          <w:iCs/>
          <w:color w:val="0D0D0D" w:themeColor="text1" w:themeTint="F2"/>
          <w:sz w:val="24"/>
          <w:szCs w:val="24"/>
        </w:rPr>
        <w:t xml:space="preserve"> instead of the current situation where they need to obtain a new prescription every 6 months</w:t>
      </w:r>
      <w:r w:rsidR="0008081E" w:rsidRPr="00A461B6">
        <w:rPr>
          <w:iCs/>
          <w:color w:val="0D0D0D" w:themeColor="text1" w:themeTint="F2"/>
          <w:sz w:val="24"/>
          <w:szCs w:val="24"/>
        </w:rPr>
        <w:t>.</w:t>
      </w:r>
      <w:r w:rsidRPr="00A461B6">
        <w:rPr>
          <w:iCs/>
          <w:color w:val="0D0D0D" w:themeColor="text1" w:themeTint="F2"/>
          <w:sz w:val="24"/>
          <w:szCs w:val="24"/>
        </w:rPr>
        <w:t xml:space="preserve"> </w:t>
      </w:r>
    </w:p>
    <w:p w14:paraId="24EA90E1" w14:textId="51B4DF35" w:rsidR="00DD3E37" w:rsidRPr="00A461B6" w:rsidRDefault="00362D40" w:rsidP="00501CE8">
      <w:pPr>
        <w:pStyle w:val="ListParagraph"/>
        <w:numPr>
          <w:ilvl w:val="0"/>
          <w:numId w:val="14"/>
        </w:numPr>
        <w:rPr>
          <w:b/>
          <w:color w:val="0D0D0D" w:themeColor="text1" w:themeTint="F2"/>
          <w:sz w:val="24"/>
          <w:szCs w:val="24"/>
          <w:u w:val="single"/>
        </w:rPr>
      </w:pPr>
      <w:r w:rsidRPr="00A461B6">
        <w:rPr>
          <w:iCs/>
          <w:color w:val="0D0D0D" w:themeColor="text1" w:themeTint="F2"/>
          <w:sz w:val="24"/>
          <w:szCs w:val="24"/>
        </w:rPr>
        <w:t>C</w:t>
      </w:r>
      <w:r w:rsidR="00DD3E37" w:rsidRPr="00A461B6">
        <w:rPr>
          <w:iCs/>
          <w:color w:val="0D0D0D" w:themeColor="text1" w:themeTint="F2"/>
          <w:sz w:val="24"/>
          <w:szCs w:val="24"/>
        </w:rPr>
        <w:t xml:space="preserve">onsumers will </w:t>
      </w:r>
      <w:r w:rsidRPr="00A461B6">
        <w:rPr>
          <w:iCs/>
          <w:color w:val="0D0D0D" w:themeColor="text1" w:themeTint="F2"/>
          <w:sz w:val="24"/>
          <w:szCs w:val="24"/>
        </w:rPr>
        <w:t xml:space="preserve">continue to benefit </w:t>
      </w:r>
      <w:r w:rsidR="00DD3E37" w:rsidRPr="00A461B6">
        <w:rPr>
          <w:iCs/>
          <w:color w:val="0D0D0D" w:themeColor="text1" w:themeTint="F2"/>
          <w:sz w:val="24"/>
          <w:szCs w:val="24"/>
        </w:rPr>
        <w:t>from services and programs provided by community pharmacies, including services such as Dose Administration Aids, Medication Reviews and vaccine administration under the NIP</w:t>
      </w:r>
      <w:r w:rsidR="006D766B" w:rsidRPr="00A461B6">
        <w:rPr>
          <w:iCs/>
          <w:color w:val="0D0D0D" w:themeColor="text1" w:themeTint="F2"/>
          <w:sz w:val="24"/>
          <w:szCs w:val="24"/>
        </w:rPr>
        <w:t>, due to re-investment of some of the Government save into these Programs.</w:t>
      </w:r>
    </w:p>
    <w:p w14:paraId="09C3199F" w14:textId="77777777" w:rsidR="003F75E0" w:rsidRPr="00A461B6" w:rsidRDefault="003F75E0" w:rsidP="00D7597A">
      <w:pPr>
        <w:pStyle w:val="Subtitle"/>
        <w:keepNext/>
        <w:keepLines/>
        <w:spacing w:after="0"/>
      </w:pPr>
      <w:r w:rsidRPr="00A461B6">
        <w:t>Pharmacies</w:t>
      </w:r>
    </w:p>
    <w:p w14:paraId="1CBAA143" w14:textId="4556459D" w:rsidR="003F75E0" w:rsidRPr="00A461B6" w:rsidRDefault="003F75E0" w:rsidP="0053325B">
      <w:pPr>
        <w:pStyle w:val="ListParagraph"/>
        <w:numPr>
          <w:ilvl w:val="0"/>
          <w:numId w:val="14"/>
        </w:numPr>
        <w:spacing w:before="240"/>
        <w:rPr>
          <w:color w:val="0D0D0D" w:themeColor="text1" w:themeTint="F2"/>
          <w:sz w:val="24"/>
        </w:rPr>
      </w:pPr>
      <w:r w:rsidRPr="00A461B6">
        <w:rPr>
          <w:color w:val="0D0D0D" w:themeColor="text1" w:themeTint="F2"/>
          <w:sz w:val="24"/>
        </w:rPr>
        <w:t>Pharmacies will receive a dispensing fee ($7.82)</w:t>
      </w:r>
      <w:r w:rsidRPr="00A461B6">
        <w:rPr>
          <w:color w:val="0D0D0D" w:themeColor="text1" w:themeTint="F2"/>
          <w:vertAlign w:val="superscript"/>
        </w:rPr>
        <w:footnoteReference w:id="31"/>
      </w:r>
      <w:r w:rsidRPr="00A461B6">
        <w:rPr>
          <w:color w:val="0D0D0D" w:themeColor="text1" w:themeTint="F2"/>
          <w:sz w:val="24"/>
        </w:rPr>
        <w:t xml:space="preserve"> plus an Administration, Handling and Infrastructure (AHI) fee per dispense of two months’ supply of </w:t>
      </w:r>
      <w:r w:rsidR="00927A67" w:rsidRPr="00A461B6">
        <w:rPr>
          <w:color w:val="0D0D0D" w:themeColor="text1" w:themeTint="F2"/>
          <w:sz w:val="24"/>
        </w:rPr>
        <w:t xml:space="preserve">a PBS </w:t>
      </w:r>
      <w:r w:rsidRPr="00A461B6">
        <w:rPr>
          <w:color w:val="0D0D0D" w:themeColor="text1" w:themeTint="F2"/>
          <w:sz w:val="24"/>
        </w:rPr>
        <w:t>medicine</w:t>
      </w:r>
      <w:r w:rsidR="008E01B6" w:rsidRPr="00A461B6">
        <w:rPr>
          <w:color w:val="0D0D0D" w:themeColor="text1" w:themeTint="F2"/>
          <w:sz w:val="24"/>
        </w:rPr>
        <w:t xml:space="preserve"> (Range: Tier One: $4.32 to Tier Three: $4.32 + $95 per dispense of </w:t>
      </w:r>
      <w:r w:rsidR="00927A67" w:rsidRPr="00A461B6">
        <w:rPr>
          <w:color w:val="0D0D0D" w:themeColor="text1" w:themeTint="F2"/>
          <w:sz w:val="24"/>
        </w:rPr>
        <w:t>the m</w:t>
      </w:r>
      <w:r w:rsidR="008E01B6" w:rsidRPr="00A461B6">
        <w:rPr>
          <w:color w:val="0D0D0D" w:themeColor="text1" w:themeTint="F2"/>
          <w:sz w:val="24"/>
        </w:rPr>
        <w:t xml:space="preserve">aximum </w:t>
      </w:r>
      <w:r w:rsidR="00927A67" w:rsidRPr="00A461B6">
        <w:rPr>
          <w:color w:val="0D0D0D" w:themeColor="text1" w:themeTint="F2"/>
          <w:sz w:val="24"/>
        </w:rPr>
        <w:t>q</w:t>
      </w:r>
      <w:r w:rsidR="008E01B6" w:rsidRPr="00A461B6">
        <w:rPr>
          <w:color w:val="0D0D0D" w:themeColor="text1" w:themeTint="F2"/>
          <w:sz w:val="24"/>
        </w:rPr>
        <w:t>uantity</w:t>
      </w:r>
      <w:r w:rsidR="00927A67" w:rsidRPr="00A461B6">
        <w:rPr>
          <w:color w:val="0D0D0D" w:themeColor="text1" w:themeTint="F2"/>
          <w:sz w:val="24"/>
        </w:rPr>
        <w:t>)</w:t>
      </w:r>
      <w:r w:rsidR="00705663" w:rsidRPr="00A461B6">
        <w:rPr>
          <w:color w:val="0D0D0D" w:themeColor="text1" w:themeTint="F2"/>
          <w:sz w:val="24"/>
        </w:rPr>
        <w:t>.</w:t>
      </w:r>
      <w:r w:rsidR="00927A67" w:rsidRPr="00A461B6">
        <w:rPr>
          <w:color w:val="0D0D0D" w:themeColor="text1" w:themeTint="F2"/>
          <w:sz w:val="24"/>
        </w:rPr>
        <w:t xml:space="preserve"> T</w:t>
      </w:r>
      <w:r w:rsidR="008E01B6" w:rsidRPr="00A461B6">
        <w:rPr>
          <w:color w:val="0D0D0D" w:themeColor="text1" w:themeTint="F2"/>
          <w:sz w:val="24"/>
        </w:rPr>
        <w:t xml:space="preserve">he tier </w:t>
      </w:r>
      <w:r w:rsidR="00927A67" w:rsidRPr="00A461B6">
        <w:rPr>
          <w:color w:val="0D0D0D" w:themeColor="text1" w:themeTint="F2"/>
          <w:sz w:val="24"/>
        </w:rPr>
        <w:t xml:space="preserve">is </w:t>
      </w:r>
      <w:r w:rsidR="008E01B6" w:rsidRPr="00A461B6">
        <w:rPr>
          <w:color w:val="0D0D0D" w:themeColor="text1" w:themeTint="F2"/>
          <w:sz w:val="24"/>
        </w:rPr>
        <w:t>dependent on the price of the medicine to pharmacy</w:t>
      </w:r>
      <w:r w:rsidR="009A7187" w:rsidRPr="00A461B6">
        <w:rPr>
          <w:color w:val="0D0D0D" w:themeColor="text1" w:themeTint="F2"/>
          <w:sz w:val="24"/>
        </w:rPr>
        <w:t>.</w:t>
      </w:r>
      <w:r w:rsidR="008E01B6" w:rsidRPr="00A461B6">
        <w:rPr>
          <w:color w:val="0D0D0D" w:themeColor="text1" w:themeTint="F2"/>
          <w:vertAlign w:val="superscript"/>
        </w:rPr>
        <w:footnoteReference w:id="32"/>
      </w:r>
    </w:p>
    <w:p w14:paraId="3EC9392B" w14:textId="54A9AC3E" w:rsidR="003F75E0" w:rsidRPr="00A461B6" w:rsidRDefault="003F75E0" w:rsidP="00501CE8">
      <w:pPr>
        <w:pStyle w:val="ListParagraph"/>
        <w:numPr>
          <w:ilvl w:val="0"/>
          <w:numId w:val="14"/>
        </w:numPr>
        <w:rPr>
          <w:color w:val="0D0D0D" w:themeColor="text1" w:themeTint="F2"/>
          <w:sz w:val="24"/>
        </w:rPr>
      </w:pPr>
      <w:r w:rsidRPr="00A461B6">
        <w:rPr>
          <w:color w:val="0D0D0D" w:themeColor="text1" w:themeTint="F2"/>
          <w:sz w:val="24"/>
        </w:rPr>
        <w:t>Business as usual monthly dispensing software update will incorporate new and amended PBS medicine items</w:t>
      </w:r>
      <w:r w:rsidR="003F52F3" w:rsidRPr="00A461B6">
        <w:rPr>
          <w:color w:val="0D0D0D" w:themeColor="text1" w:themeTint="F2"/>
          <w:sz w:val="24"/>
        </w:rPr>
        <w:t>.</w:t>
      </w:r>
    </w:p>
    <w:p w14:paraId="48A2F871" w14:textId="3A54F4D0" w:rsidR="003F75E0" w:rsidRPr="00A461B6" w:rsidRDefault="003F75E0" w:rsidP="00501CE8">
      <w:pPr>
        <w:pStyle w:val="ListParagraph"/>
        <w:numPr>
          <w:ilvl w:val="0"/>
          <w:numId w:val="14"/>
        </w:numPr>
        <w:rPr>
          <w:color w:val="0D0D0D" w:themeColor="text1" w:themeTint="F2"/>
          <w:sz w:val="24"/>
        </w:rPr>
      </w:pPr>
      <w:r w:rsidRPr="00A461B6">
        <w:rPr>
          <w:color w:val="0D0D0D" w:themeColor="text1" w:themeTint="F2"/>
          <w:sz w:val="24"/>
        </w:rPr>
        <w:t>Increased level of stock</w:t>
      </w:r>
      <w:r w:rsidR="009902E2" w:rsidRPr="00A461B6">
        <w:rPr>
          <w:color w:val="0D0D0D" w:themeColor="text1" w:themeTint="F2"/>
          <w:sz w:val="24"/>
        </w:rPr>
        <w:t>s my need to be</w:t>
      </w:r>
      <w:r w:rsidRPr="00A461B6">
        <w:rPr>
          <w:color w:val="0D0D0D" w:themeColor="text1" w:themeTint="F2"/>
          <w:sz w:val="24"/>
        </w:rPr>
        <w:t xml:space="preserve"> held to ful</w:t>
      </w:r>
      <w:r w:rsidR="004D5B60" w:rsidRPr="00A461B6">
        <w:rPr>
          <w:color w:val="0D0D0D" w:themeColor="text1" w:themeTint="F2"/>
          <w:sz w:val="24"/>
        </w:rPr>
        <w:t>f</w:t>
      </w:r>
      <w:r w:rsidRPr="00A461B6">
        <w:rPr>
          <w:color w:val="0D0D0D" w:themeColor="text1" w:themeTint="F2"/>
          <w:sz w:val="24"/>
        </w:rPr>
        <w:t>i</w:t>
      </w:r>
      <w:r w:rsidR="004D5B60" w:rsidRPr="00A461B6">
        <w:rPr>
          <w:color w:val="0D0D0D" w:themeColor="text1" w:themeTint="F2"/>
          <w:sz w:val="24"/>
        </w:rPr>
        <w:t>l</w:t>
      </w:r>
      <w:r w:rsidRPr="00A461B6">
        <w:rPr>
          <w:color w:val="0D0D0D" w:themeColor="text1" w:themeTint="F2"/>
          <w:sz w:val="24"/>
        </w:rPr>
        <w:t xml:space="preserve"> increa</w:t>
      </w:r>
      <w:r w:rsidR="004D5B60" w:rsidRPr="00A461B6">
        <w:rPr>
          <w:color w:val="0D0D0D" w:themeColor="text1" w:themeTint="F2"/>
          <w:sz w:val="24"/>
        </w:rPr>
        <w:t>sed maximum quantity prescrip</w:t>
      </w:r>
      <w:r w:rsidRPr="00A461B6">
        <w:rPr>
          <w:color w:val="0D0D0D" w:themeColor="text1" w:themeTint="F2"/>
          <w:sz w:val="24"/>
        </w:rPr>
        <w:t>tions</w:t>
      </w:r>
      <w:r w:rsidR="003F52F3" w:rsidRPr="00A461B6">
        <w:rPr>
          <w:color w:val="0D0D0D" w:themeColor="text1" w:themeTint="F2"/>
          <w:sz w:val="24"/>
        </w:rPr>
        <w:t>.</w:t>
      </w:r>
    </w:p>
    <w:p w14:paraId="2F21EE61" w14:textId="47CD70F9" w:rsidR="003F75E0" w:rsidRPr="00A461B6" w:rsidRDefault="009902E2" w:rsidP="00501CE8">
      <w:pPr>
        <w:pStyle w:val="ListParagraph"/>
        <w:numPr>
          <w:ilvl w:val="0"/>
          <w:numId w:val="14"/>
        </w:numPr>
        <w:rPr>
          <w:color w:val="0D0D0D" w:themeColor="text1" w:themeTint="F2"/>
          <w:sz w:val="24"/>
        </w:rPr>
      </w:pPr>
      <w:r w:rsidRPr="00A461B6">
        <w:rPr>
          <w:color w:val="0D0D0D" w:themeColor="text1" w:themeTint="F2"/>
          <w:sz w:val="24"/>
        </w:rPr>
        <w:t xml:space="preserve">Pharmacies may experience </w:t>
      </w:r>
      <w:r w:rsidR="00985133" w:rsidRPr="00A461B6">
        <w:rPr>
          <w:color w:val="0D0D0D" w:themeColor="text1" w:themeTint="F2"/>
          <w:sz w:val="24"/>
        </w:rPr>
        <w:t xml:space="preserve">temporary </w:t>
      </w:r>
      <w:r w:rsidRPr="00A461B6">
        <w:rPr>
          <w:color w:val="0D0D0D" w:themeColor="text1" w:themeTint="F2"/>
          <w:sz w:val="24"/>
        </w:rPr>
        <w:t xml:space="preserve">changes </w:t>
      </w:r>
      <w:r w:rsidR="003F75E0" w:rsidRPr="00A461B6">
        <w:rPr>
          <w:color w:val="0D0D0D" w:themeColor="text1" w:themeTint="F2"/>
          <w:sz w:val="24"/>
        </w:rPr>
        <w:t xml:space="preserve">to cash flow to purchase </w:t>
      </w:r>
      <w:r w:rsidRPr="00A461B6">
        <w:rPr>
          <w:color w:val="0D0D0D" w:themeColor="text1" w:themeTint="F2"/>
          <w:sz w:val="24"/>
        </w:rPr>
        <w:t xml:space="preserve">an </w:t>
      </w:r>
      <w:r w:rsidR="003F75E0" w:rsidRPr="00A461B6">
        <w:rPr>
          <w:color w:val="0D0D0D" w:themeColor="text1" w:themeTint="F2"/>
          <w:sz w:val="24"/>
        </w:rPr>
        <w:t>increased stock level</w:t>
      </w:r>
      <w:r w:rsidR="00034D65" w:rsidRPr="00A461B6">
        <w:rPr>
          <w:color w:val="0D0D0D" w:themeColor="text1" w:themeTint="F2"/>
          <w:sz w:val="24"/>
        </w:rPr>
        <w:t xml:space="preserve"> during the initial implementation phase</w:t>
      </w:r>
      <w:r w:rsidR="003F52F3" w:rsidRPr="00A461B6">
        <w:rPr>
          <w:color w:val="0D0D0D" w:themeColor="text1" w:themeTint="F2"/>
          <w:sz w:val="24"/>
        </w:rPr>
        <w:t>.</w:t>
      </w:r>
    </w:p>
    <w:p w14:paraId="2F73E503" w14:textId="57C6205A" w:rsidR="00DD3E37" w:rsidRPr="00A461B6" w:rsidRDefault="00DD3E37" w:rsidP="00501CE8">
      <w:pPr>
        <w:pStyle w:val="ListParagraph"/>
        <w:numPr>
          <w:ilvl w:val="0"/>
          <w:numId w:val="14"/>
        </w:numPr>
        <w:rPr>
          <w:iCs/>
          <w:color w:val="0D0D0D" w:themeColor="text1" w:themeTint="F2"/>
          <w:sz w:val="24"/>
          <w:szCs w:val="24"/>
        </w:rPr>
      </w:pPr>
      <w:r w:rsidRPr="00A461B6">
        <w:rPr>
          <w:iCs/>
          <w:color w:val="0D0D0D" w:themeColor="text1" w:themeTint="F2"/>
          <w:sz w:val="24"/>
          <w:szCs w:val="24"/>
        </w:rPr>
        <w:t>Pharmacies will be able to offer more professional services under Government-funded programs, including more patient services under existing 7CPA programs and under new programs which will expand the scope of practice of pharmacists in community pharmacy, for the administration of NIP vaccines.</w:t>
      </w:r>
    </w:p>
    <w:p w14:paraId="2214E836" w14:textId="77777777" w:rsidR="003F75E0" w:rsidRPr="00A461B6" w:rsidRDefault="003F75E0" w:rsidP="00AF42E0">
      <w:pPr>
        <w:pStyle w:val="Subtitle"/>
        <w:spacing w:after="0"/>
      </w:pPr>
      <w:r w:rsidRPr="00A461B6">
        <w:t>Prescribers</w:t>
      </w:r>
    </w:p>
    <w:p w14:paraId="171D248E" w14:textId="79CB8193" w:rsidR="003F75E0" w:rsidRPr="00A461B6" w:rsidRDefault="009902E2" w:rsidP="00AF42E0">
      <w:pPr>
        <w:pStyle w:val="ListParagraph"/>
        <w:numPr>
          <w:ilvl w:val="0"/>
          <w:numId w:val="15"/>
        </w:numPr>
        <w:spacing w:before="240"/>
        <w:rPr>
          <w:color w:val="0D0D0D" w:themeColor="text1" w:themeTint="F2"/>
          <w:sz w:val="24"/>
        </w:rPr>
      </w:pPr>
      <w:r w:rsidRPr="00A461B6">
        <w:rPr>
          <w:color w:val="0D0D0D" w:themeColor="text1" w:themeTint="F2"/>
          <w:sz w:val="24"/>
        </w:rPr>
        <w:t xml:space="preserve">Prescribers will have the option </w:t>
      </w:r>
      <w:r w:rsidR="003F75E0" w:rsidRPr="00A461B6">
        <w:rPr>
          <w:color w:val="0D0D0D" w:themeColor="text1" w:themeTint="F2"/>
          <w:sz w:val="24"/>
        </w:rPr>
        <w:t xml:space="preserve">to consider prescribing higher quantities of all medicines included in the proposal to patients with chronic, stable conditions if </w:t>
      </w:r>
      <w:r w:rsidR="00761BAB" w:rsidRPr="00A461B6">
        <w:rPr>
          <w:color w:val="0D0D0D" w:themeColor="text1" w:themeTint="F2"/>
          <w:sz w:val="24"/>
          <w:szCs w:val="24"/>
        </w:rPr>
        <w:t xml:space="preserve">clinically </w:t>
      </w:r>
      <w:r w:rsidR="003F75E0" w:rsidRPr="00A461B6">
        <w:rPr>
          <w:color w:val="0D0D0D" w:themeColor="text1" w:themeTint="F2"/>
          <w:sz w:val="24"/>
        </w:rPr>
        <w:t>appropriate.</w:t>
      </w:r>
    </w:p>
    <w:p w14:paraId="54101342" w14:textId="00668AEC" w:rsidR="004D5B60" w:rsidRPr="00A461B6" w:rsidRDefault="004D5B60" w:rsidP="00501CE8">
      <w:pPr>
        <w:pStyle w:val="ListParagraph"/>
        <w:numPr>
          <w:ilvl w:val="0"/>
          <w:numId w:val="15"/>
        </w:numPr>
        <w:rPr>
          <w:color w:val="0D0D0D" w:themeColor="text1" w:themeTint="F2"/>
          <w:sz w:val="24"/>
        </w:rPr>
      </w:pPr>
      <w:r w:rsidRPr="00A461B6">
        <w:rPr>
          <w:color w:val="0D0D0D" w:themeColor="text1" w:themeTint="F2"/>
          <w:sz w:val="24"/>
        </w:rPr>
        <w:t xml:space="preserve">Prescribers will still </w:t>
      </w:r>
      <w:r w:rsidR="009902E2" w:rsidRPr="00A461B6">
        <w:rPr>
          <w:color w:val="0D0D0D" w:themeColor="text1" w:themeTint="F2"/>
          <w:sz w:val="24"/>
        </w:rPr>
        <w:t>have discretion</w:t>
      </w:r>
      <w:r w:rsidRPr="00A461B6">
        <w:rPr>
          <w:color w:val="0D0D0D" w:themeColor="text1" w:themeTint="F2"/>
          <w:sz w:val="24"/>
        </w:rPr>
        <w:t xml:space="preserve"> to prescribe one month’s supply per dispensing and up to six months’ supply of a medicine per prescription, avoiding medicine wastage and supporting closer clinical monitoring of patients where required.</w:t>
      </w:r>
    </w:p>
    <w:p w14:paraId="07BFA33F" w14:textId="7F4B5F97" w:rsidR="003F75E0" w:rsidRPr="00A461B6" w:rsidRDefault="004D5B60" w:rsidP="00501CE8">
      <w:pPr>
        <w:pStyle w:val="ListParagraph"/>
        <w:numPr>
          <w:ilvl w:val="0"/>
          <w:numId w:val="15"/>
        </w:numPr>
        <w:rPr>
          <w:b/>
          <w:color w:val="0D0D0D" w:themeColor="text1" w:themeTint="F2"/>
          <w:sz w:val="24"/>
          <w:u w:val="single"/>
        </w:rPr>
      </w:pPr>
      <w:r w:rsidRPr="00A461B6">
        <w:rPr>
          <w:color w:val="0D0D0D" w:themeColor="text1" w:themeTint="F2"/>
          <w:sz w:val="24"/>
        </w:rPr>
        <w:t xml:space="preserve">Many patients with chronic conditions </w:t>
      </w:r>
      <w:r w:rsidR="00761BAB" w:rsidRPr="00A461B6">
        <w:rPr>
          <w:color w:val="0D0D0D" w:themeColor="text1" w:themeTint="F2"/>
          <w:sz w:val="24"/>
          <w:szCs w:val="24"/>
        </w:rPr>
        <w:t xml:space="preserve">that require ongoing medication </w:t>
      </w:r>
      <w:r w:rsidRPr="00A461B6">
        <w:rPr>
          <w:color w:val="0D0D0D" w:themeColor="text1" w:themeTint="F2"/>
          <w:sz w:val="24"/>
        </w:rPr>
        <w:t>will no longer be required to attend a doctor’s consultation at least twice a year to obtain their prescriptions for these medicines. Prescribers may have the opportunity to use these appointments to spend time with patients on more complex health issues and consultations, rather than writing repeat prescriptions for medicines to treat patients with chronic stable conditions</w:t>
      </w:r>
      <w:r w:rsidR="009902E2" w:rsidRPr="00A461B6">
        <w:rPr>
          <w:color w:val="0D0D0D" w:themeColor="text1" w:themeTint="F2"/>
          <w:sz w:val="24"/>
        </w:rPr>
        <w:t>.</w:t>
      </w:r>
    </w:p>
    <w:p w14:paraId="14AF276D" w14:textId="3F6FD211" w:rsidR="004D5B60" w:rsidRPr="00A461B6" w:rsidRDefault="004D5B60" w:rsidP="00AF42E0">
      <w:pPr>
        <w:pStyle w:val="Subtitle"/>
        <w:spacing w:after="0"/>
      </w:pPr>
      <w:r w:rsidRPr="00A461B6">
        <w:t xml:space="preserve">Software </w:t>
      </w:r>
      <w:r w:rsidR="00AF42E0" w:rsidRPr="00A461B6">
        <w:t>v</w:t>
      </w:r>
      <w:r w:rsidRPr="00A461B6">
        <w:t>endors</w:t>
      </w:r>
    </w:p>
    <w:p w14:paraId="1E884995" w14:textId="3E39CF55" w:rsidR="004D5B60" w:rsidRPr="00A461B6" w:rsidRDefault="009902E2" w:rsidP="00AF42E0">
      <w:pPr>
        <w:pStyle w:val="ListParagraph"/>
        <w:numPr>
          <w:ilvl w:val="0"/>
          <w:numId w:val="16"/>
        </w:numPr>
        <w:spacing w:before="240"/>
        <w:rPr>
          <w:color w:val="0D0D0D" w:themeColor="text1" w:themeTint="F2"/>
          <w:sz w:val="24"/>
        </w:rPr>
      </w:pPr>
      <w:r w:rsidRPr="00A461B6">
        <w:rPr>
          <w:color w:val="0D0D0D" w:themeColor="text1" w:themeTint="F2"/>
          <w:sz w:val="24"/>
        </w:rPr>
        <w:t xml:space="preserve">Software vendors will have a </w:t>
      </w:r>
      <w:r w:rsidR="004D5B60" w:rsidRPr="00A461B6">
        <w:rPr>
          <w:color w:val="0D0D0D" w:themeColor="text1" w:themeTint="F2"/>
          <w:sz w:val="24"/>
        </w:rPr>
        <w:t xml:space="preserve">high volume of new and amended PBS items to </w:t>
      </w:r>
      <w:r w:rsidRPr="00A461B6">
        <w:rPr>
          <w:color w:val="0D0D0D" w:themeColor="text1" w:themeTint="F2"/>
          <w:sz w:val="24"/>
        </w:rPr>
        <w:t xml:space="preserve">add to </w:t>
      </w:r>
      <w:r w:rsidR="004D5B60" w:rsidRPr="00A461B6">
        <w:rPr>
          <w:color w:val="0D0D0D" w:themeColor="text1" w:themeTint="F2"/>
          <w:sz w:val="24"/>
        </w:rPr>
        <w:t>prescribing and dispensing software through business as usual processes.</w:t>
      </w:r>
    </w:p>
    <w:p w14:paraId="6D7B8975" w14:textId="1603D921" w:rsidR="004D5B60" w:rsidRPr="00A461B6" w:rsidRDefault="004D5B60" w:rsidP="00501CE8">
      <w:pPr>
        <w:pStyle w:val="ListParagraph"/>
        <w:numPr>
          <w:ilvl w:val="0"/>
          <w:numId w:val="16"/>
        </w:numPr>
        <w:rPr>
          <w:color w:val="0D0D0D" w:themeColor="text1" w:themeTint="F2"/>
          <w:sz w:val="24"/>
        </w:rPr>
      </w:pPr>
      <w:r w:rsidRPr="00A461B6">
        <w:rPr>
          <w:color w:val="0D0D0D" w:themeColor="text1" w:themeTint="F2"/>
          <w:sz w:val="24"/>
        </w:rPr>
        <w:t xml:space="preserve">Other changes to the PBS Schedule may not be able to be progressed in that specific PBS listing month to allow the high volume of changes to be made and to ensure that no errors are created in the PBS data where other changes may affect the same medicines as the </w:t>
      </w:r>
      <w:r w:rsidR="00761BAB" w:rsidRPr="00A461B6">
        <w:rPr>
          <w:sz w:val="24"/>
          <w:szCs w:val="24"/>
        </w:rPr>
        <w:t>M</w:t>
      </w:r>
      <w:r w:rsidRPr="00A461B6">
        <w:rPr>
          <w:sz w:val="24"/>
          <w:szCs w:val="24"/>
        </w:rPr>
        <w:t>D</w:t>
      </w:r>
      <w:r w:rsidR="00761BAB" w:rsidRPr="00A461B6">
        <w:rPr>
          <w:sz w:val="24"/>
          <w:szCs w:val="24"/>
        </w:rPr>
        <w:t>Q</w:t>
      </w:r>
      <w:r w:rsidRPr="00A461B6">
        <w:rPr>
          <w:color w:val="0D0D0D" w:themeColor="text1" w:themeTint="F2"/>
          <w:sz w:val="24"/>
        </w:rPr>
        <w:t xml:space="preserve"> changes</w:t>
      </w:r>
      <w:r w:rsidR="00761BAB" w:rsidRPr="00A461B6">
        <w:rPr>
          <w:color w:val="0D0D0D" w:themeColor="text1" w:themeTint="F2"/>
          <w:sz w:val="24"/>
        </w:rPr>
        <w:t>.</w:t>
      </w:r>
    </w:p>
    <w:p w14:paraId="37552D6A" w14:textId="77777777" w:rsidR="004D5B60" w:rsidRPr="00A461B6" w:rsidRDefault="004D5B60" w:rsidP="00D7597A">
      <w:pPr>
        <w:pStyle w:val="Subtitle"/>
        <w:keepNext/>
        <w:keepLines/>
        <w:spacing w:after="0"/>
      </w:pPr>
      <w:r w:rsidRPr="00A461B6">
        <w:t>Services Australia and the Department of Health and Aged care</w:t>
      </w:r>
    </w:p>
    <w:p w14:paraId="59BC022A" w14:textId="406143AC" w:rsidR="00953EEB" w:rsidRPr="00A461B6" w:rsidRDefault="009902E2" w:rsidP="00D7597A">
      <w:pPr>
        <w:pStyle w:val="ListParagraph"/>
        <w:keepNext/>
        <w:keepLines/>
        <w:numPr>
          <w:ilvl w:val="0"/>
          <w:numId w:val="16"/>
        </w:numPr>
        <w:spacing w:before="240"/>
        <w:rPr>
          <w:color w:val="0D0D0D" w:themeColor="text1" w:themeTint="F2"/>
          <w:sz w:val="24"/>
          <w:szCs w:val="24"/>
        </w:rPr>
      </w:pPr>
      <w:r w:rsidRPr="00A461B6">
        <w:rPr>
          <w:color w:val="0D0D0D" w:themeColor="text1" w:themeTint="F2"/>
          <w:sz w:val="24"/>
          <w:szCs w:val="24"/>
        </w:rPr>
        <w:t>A</w:t>
      </w:r>
      <w:r w:rsidR="00953EEB" w:rsidRPr="00A461B6">
        <w:rPr>
          <w:color w:val="0D0D0D" w:themeColor="text1" w:themeTint="F2"/>
          <w:sz w:val="24"/>
          <w:szCs w:val="24"/>
        </w:rPr>
        <w:t xml:space="preserve"> high volume of new and amended PBS items </w:t>
      </w:r>
      <w:r w:rsidRPr="00A461B6">
        <w:rPr>
          <w:color w:val="0D0D0D" w:themeColor="text1" w:themeTint="F2"/>
          <w:sz w:val="24"/>
          <w:szCs w:val="24"/>
        </w:rPr>
        <w:t xml:space="preserve">will be added </w:t>
      </w:r>
      <w:r w:rsidR="00953EEB" w:rsidRPr="00A461B6">
        <w:rPr>
          <w:color w:val="0D0D0D" w:themeColor="text1" w:themeTint="F2"/>
          <w:sz w:val="24"/>
          <w:szCs w:val="24"/>
        </w:rPr>
        <w:t>to business systems and databases</w:t>
      </w:r>
      <w:r w:rsidR="006A1E78" w:rsidRPr="00A461B6">
        <w:rPr>
          <w:color w:val="0D0D0D" w:themeColor="text1" w:themeTint="F2"/>
          <w:sz w:val="24"/>
          <w:szCs w:val="24"/>
        </w:rPr>
        <w:t>.</w:t>
      </w:r>
      <w:r w:rsidR="00953EEB" w:rsidRPr="00A461B6">
        <w:rPr>
          <w:color w:val="0D0D0D" w:themeColor="text1" w:themeTint="F2"/>
          <w:sz w:val="24"/>
          <w:szCs w:val="24"/>
        </w:rPr>
        <w:t xml:space="preserve"> </w:t>
      </w:r>
    </w:p>
    <w:p w14:paraId="1CABEA1D" w14:textId="28CDA0C2" w:rsidR="00953EEB" w:rsidRPr="00A461B6" w:rsidRDefault="001A47FF" w:rsidP="00501CE8">
      <w:pPr>
        <w:pStyle w:val="ListParagraph"/>
        <w:numPr>
          <w:ilvl w:val="0"/>
          <w:numId w:val="16"/>
        </w:numPr>
        <w:rPr>
          <w:color w:val="0D0D0D" w:themeColor="text1" w:themeTint="F2"/>
          <w:sz w:val="24"/>
          <w:szCs w:val="24"/>
        </w:rPr>
      </w:pPr>
      <w:r w:rsidRPr="00A461B6">
        <w:rPr>
          <w:color w:val="0D0D0D" w:themeColor="text1" w:themeTint="F2"/>
          <w:sz w:val="24"/>
          <w:szCs w:val="24"/>
        </w:rPr>
        <w:t xml:space="preserve">The volume of </w:t>
      </w:r>
      <w:r w:rsidR="00981502" w:rsidRPr="00A461B6">
        <w:rPr>
          <w:color w:val="0D0D0D" w:themeColor="text1" w:themeTint="F2"/>
          <w:sz w:val="24"/>
          <w:szCs w:val="24"/>
        </w:rPr>
        <w:t xml:space="preserve">PBS items to be added/amended exceeds usual monthly changes. </w:t>
      </w:r>
      <w:r w:rsidR="00953EEB" w:rsidRPr="00A461B6">
        <w:rPr>
          <w:color w:val="0D0D0D" w:themeColor="text1" w:themeTint="F2"/>
          <w:sz w:val="24"/>
          <w:szCs w:val="24"/>
        </w:rPr>
        <w:t xml:space="preserve">Other changes to the PBS Schedule may not be able to be progressed in that specific PBS listing month to allow the high volume of changes to be made and to ensure that no errors are created in the PBS data where other changes may affect the same medicines as the </w:t>
      </w:r>
      <w:r w:rsidR="00761BAB" w:rsidRPr="00A461B6">
        <w:rPr>
          <w:color w:val="0D0D0D" w:themeColor="text1" w:themeTint="F2"/>
          <w:sz w:val="24"/>
          <w:szCs w:val="24"/>
        </w:rPr>
        <w:t>M</w:t>
      </w:r>
      <w:r w:rsidR="00953EEB" w:rsidRPr="00A461B6">
        <w:rPr>
          <w:color w:val="0D0D0D" w:themeColor="text1" w:themeTint="F2"/>
          <w:sz w:val="24"/>
          <w:szCs w:val="24"/>
        </w:rPr>
        <w:t>D</w:t>
      </w:r>
      <w:r w:rsidR="00761BAB" w:rsidRPr="00A461B6">
        <w:rPr>
          <w:color w:val="0D0D0D" w:themeColor="text1" w:themeTint="F2"/>
          <w:sz w:val="24"/>
          <w:szCs w:val="24"/>
        </w:rPr>
        <w:t>Q</w:t>
      </w:r>
      <w:r w:rsidR="00953EEB" w:rsidRPr="00A461B6">
        <w:rPr>
          <w:color w:val="0D0D0D" w:themeColor="text1" w:themeTint="F2"/>
          <w:sz w:val="24"/>
          <w:szCs w:val="24"/>
        </w:rPr>
        <w:t xml:space="preserve"> changes</w:t>
      </w:r>
      <w:r w:rsidR="006A1E78" w:rsidRPr="00A461B6">
        <w:rPr>
          <w:color w:val="0D0D0D" w:themeColor="text1" w:themeTint="F2"/>
          <w:sz w:val="24"/>
          <w:szCs w:val="24"/>
        </w:rPr>
        <w:t>.</w:t>
      </w:r>
    </w:p>
    <w:p w14:paraId="0A4120BF" w14:textId="56CA269E" w:rsidR="00953EEB" w:rsidRPr="00A461B6" w:rsidRDefault="00953EEB" w:rsidP="00AF42E0">
      <w:pPr>
        <w:pStyle w:val="Subtitle"/>
        <w:spacing w:after="0"/>
      </w:pPr>
      <w:r w:rsidRPr="00A461B6">
        <w:t xml:space="preserve">Medicine </w:t>
      </w:r>
      <w:r w:rsidR="00F64EAD" w:rsidRPr="00A461B6">
        <w:t>s</w:t>
      </w:r>
      <w:r w:rsidRPr="00A461B6">
        <w:t>ponsors</w:t>
      </w:r>
    </w:p>
    <w:p w14:paraId="7F91FA6D" w14:textId="60E9A698" w:rsidR="00953EEB" w:rsidRPr="00A461B6" w:rsidRDefault="000A1249" w:rsidP="00AF42E0">
      <w:pPr>
        <w:pStyle w:val="ListParagraph"/>
        <w:numPr>
          <w:ilvl w:val="0"/>
          <w:numId w:val="16"/>
        </w:numPr>
        <w:spacing w:before="240"/>
        <w:rPr>
          <w:color w:val="0D0D0D" w:themeColor="text1" w:themeTint="F2"/>
          <w:sz w:val="24"/>
          <w:szCs w:val="24"/>
        </w:rPr>
      </w:pPr>
      <w:r w:rsidRPr="00A461B6">
        <w:rPr>
          <w:color w:val="0D0D0D" w:themeColor="text1" w:themeTint="F2"/>
          <w:sz w:val="24"/>
          <w:szCs w:val="24"/>
        </w:rPr>
        <w:t>Initially, m</w:t>
      </w:r>
      <w:r w:rsidR="009902E2" w:rsidRPr="00A461B6">
        <w:rPr>
          <w:color w:val="0D0D0D" w:themeColor="text1" w:themeTint="F2"/>
          <w:sz w:val="24"/>
          <w:szCs w:val="24"/>
        </w:rPr>
        <w:t>edicine sponsors m</w:t>
      </w:r>
      <w:r w:rsidR="00953EEB" w:rsidRPr="00A461B6">
        <w:rPr>
          <w:color w:val="0D0D0D" w:themeColor="text1" w:themeTint="F2"/>
          <w:sz w:val="24"/>
          <w:szCs w:val="24"/>
        </w:rPr>
        <w:t xml:space="preserve">ay be required to increase Australian onshore stock </w:t>
      </w:r>
      <w:r w:rsidRPr="00A461B6">
        <w:rPr>
          <w:color w:val="0D0D0D" w:themeColor="text1" w:themeTint="F2"/>
          <w:sz w:val="24"/>
          <w:szCs w:val="24"/>
        </w:rPr>
        <w:t>in the short term</w:t>
      </w:r>
      <w:r w:rsidR="00953EEB" w:rsidRPr="00A461B6">
        <w:rPr>
          <w:color w:val="0D0D0D" w:themeColor="text1" w:themeTint="F2"/>
          <w:sz w:val="24"/>
          <w:szCs w:val="24"/>
        </w:rPr>
        <w:t xml:space="preserve"> for certain PBS medicines</w:t>
      </w:r>
      <w:r w:rsidR="006A1E78" w:rsidRPr="00A461B6">
        <w:rPr>
          <w:color w:val="0D0D0D" w:themeColor="text1" w:themeTint="F2"/>
          <w:sz w:val="24"/>
          <w:szCs w:val="24"/>
        </w:rPr>
        <w:t>.</w:t>
      </w:r>
      <w:r w:rsidRPr="00A461B6">
        <w:rPr>
          <w:color w:val="0D0D0D" w:themeColor="text1" w:themeTint="F2"/>
          <w:sz w:val="24"/>
          <w:szCs w:val="24"/>
        </w:rPr>
        <w:t xml:space="preserve"> Total amount of medicine supplied will not increase overall.</w:t>
      </w:r>
    </w:p>
    <w:p w14:paraId="1E412CE6" w14:textId="298A4849" w:rsidR="00953EEB" w:rsidRPr="00A461B6" w:rsidRDefault="00953EEB" w:rsidP="00AF42E0">
      <w:pPr>
        <w:pStyle w:val="Subtitle"/>
        <w:spacing w:after="0"/>
      </w:pPr>
      <w:r w:rsidRPr="00A461B6">
        <w:t xml:space="preserve">Pharmacy </w:t>
      </w:r>
      <w:r w:rsidR="00F64EAD" w:rsidRPr="00A461B6">
        <w:t>w</w:t>
      </w:r>
      <w:r w:rsidRPr="00A461B6">
        <w:t>holesalers</w:t>
      </w:r>
    </w:p>
    <w:p w14:paraId="4639AB3C" w14:textId="422A774F" w:rsidR="009902E2" w:rsidRPr="00A461B6" w:rsidRDefault="009902E2" w:rsidP="00AF42E0">
      <w:pPr>
        <w:pStyle w:val="ListParagraph"/>
        <w:numPr>
          <w:ilvl w:val="0"/>
          <w:numId w:val="16"/>
        </w:numPr>
        <w:spacing w:before="240"/>
        <w:rPr>
          <w:color w:val="0D0D0D" w:themeColor="text1" w:themeTint="F2"/>
          <w:sz w:val="24"/>
          <w:szCs w:val="24"/>
        </w:rPr>
      </w:pPr>
      <w:r w:rsidRPr="00A461B6">
        <w:rPr>
          <w:color w:val="0D0D0D" w:themeColor="text1" w:themeTint="F2"/>
          <w:sz w:val="24"/>
        </w:rPr>
        <w:t xml:space="preserve">Wholesalers may </w:t>
      </w:r>
      <w:r w:rsidR="00953EEB" w:rsidRPr="00A461B6">
        <w:rPr>
          <w:color w:val="0D0D0D" w:themeColor="text1" w:themeTint="F2"/>
          <w:sz w:val="24"/>
        </w:rPr>
        <w:t xml:space="preserve">be required to </w:t>
      </w:r>
      <w:r w:rsidR="00034D65" w:rsidRPr="00A461B6">
        <w:rPr>
          <w:color w:val="0D0D0D" w:themeColor="text1" w:themeTint="F2"/>
          <w:sz w:val="24"/>
        </w:rPr>
        <w:t xml:space="preserve">temporarily </w:t>
      </w:r>
      <w:r w:rsidR="00953EEB" w:rsidRPr="00A461B6">
        <w:rPr>
          <w:color w:val="0D0D0D" w:themeColor="text1" w:themeTint="F2"/>
          <w:sz w:val="24"/>
        </w:rPr>
        <w:t xml:space="preserve">increase stock </w:t>
      </w:r>
      <w:r w:rsidR="00953EEB" w:rsidRPr="00A461B6">
        <w:rPr>
          <w:color w:val="0D0D0D" w:themeColor="text1" w:themeTint="F2"/>
          <w:sz w:val="24"/>
          <w:szCs w:val="24"/>
        </w:rPr>
        <w:t>levels</w:t>
      </w:r>
      <w:r w:rsidR="00034D65" w:rsidRPr="00A461B6">
        <w:rPr>
          <w:color w:val="0D0D0D" w:themeColor="text1" w:themeTint="F2"/>
          <w:sz w:val="24"/>
          <w:szCs w:val="24"/>
        </w:rPr>
        <w:t xml:space="preserve"> depending on the uptake of the changes in the initial implementation phase</w:t>
      </w:r>
      <w:r w:rsidR="006D1E23" w:rsidRPr="00A461B6">
        <w:rPr>
          <w:color w:val="0D0D0D" w:themeColor="text1" w:themeTint="F2"/>
          <w:sz w:val="24"/>
          <w:szCs w:val="24"/>
        </w:rPr>
        <w:t>.</w:t>
      </w:r>
    </w:p>
    <w:p w14:paraId="2BC63267" w14:textId="3DFE396F" w:rsidR="006A1E78" w:rsidRPr="00A461B6" w:rsidRDefault="0053792C" w:rsidP="00AE54EB">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rFonts w:ascii="Calibri" w:hAnsi="Calibri" w:cs="Calibri"/>
          <w:color w:val="0D0D0D" w:themeColor="text1" w:themeTint="F2"/>
          <w:sz w:val="24"/>
          <w:szCs w:val="24"/>
        </w:rPr>
        <w:t>R</w:t>
      </w:r>
      <w:r w:rsidR="006D1E23" w:rsidRPr="00A461B6">
        <w:rPr>
          <w:rFonts w:ascii="Calibri" w:hAnsi="Calibri" w:cs="Calibri"/>
          <w:color w:val="0D0D0D" w:themeColor="text1" w:themeTint="F2"/>
          <w:sz w:val="24"/>
          <w:szCs w:val="24"/>
        </w:rPr>
        <w:t xml:space="preserve">emuneration </w:t>
      </w:r>
      <w:r w:rsidR="00761BAB" w:rsidRPr="00A461B6">
        <w:rPr>
          <w:rFonts w:ascii="Calibri" w:hAnsi="Calibri" w:cs="Calibri"/>
          <w:color w:val="0D0D0D" w:themeColor="text1" w:themeTint="F2"/>
          <w:sz w:val="24"/>
          <w:szCs w:val="24"/>
        </w:rPr>
        <w:t xml:space="preserve">for wholesalers </w:t>
      </w:r>
      <w:r w:rsidR="006D1E23" w:rsidRPr="00A461B6">
        <w:rPr>
          <w:rFonts w:ascii="Calibri" w:hAnsi="Calibri" w:cs="Calibri"/>
          <w:color w:val="0D0D0D" w:themeColor="text1" w:themeTint="F2"/>
          <w:sz w:val="24"/>
          <w:szCs w:val="24"/>
        </w:rPr>
        <w:t>may be reduced because of the way remuneration is calculated</w:t>
      </w:r>
      <w:r w:rsidR="00E50D6C" w:rsidRPr="00A461B6">
        <w:rPr>
          <w:rFonts w:ascii="Calibri" w:hAnsi="Calibri" w:cs="Calibri"/>
          <w:color w:val="0D0D0D" w:themeColor="text1" w:themeTint="F2"/>
          <w:sz w:val="24"/>
          <w:szCs w:val="24"/>
        </w:rPr>
        <w:t>.</w:t>
      </w:r>
      <w:r w:rsidR="00AE54EB" w:rsidRPr="00A461B6">
        <w:rPr>
          <w:rFonts w:ascii="Calibri" w:hAnsi="Calibri" w:cs="Calibri"/>
          <w:color w:val="0D0D0D" w:themeColor="text1" w:themeTint="F2"/>
          <w:sz w:val="24"/>
          <w:szCs w:val="24"/>
        </w:rPr>
        <w:t xml:space="preserve"> </w:t>
      </w:r>
      <w:r w:rsidR="006D1E23" w:rsidRPr="00A461B6">
        <w:rPr>
          <w:rFonts w:ascii="Calibri" w:hAnsi="Calibri" w:cs="Calibri"/>
          <w:color w:val="0D0D0D" w:themeColor="text1" w:themeTint="F2"/>
          <w:sz w:val="24"/>
          <w:szCs w:val="24"/>
        </w:rPr>
        <w:t>Wholesaler mark-ups are derived according to legislative requirements</w:t>
      </w:r>
      <w:r w:rsidR="006A1E78" w:rsidRPr="00A461B6">
        <w:rPr>
          <w:rFonts w:ascii="Calibri" w:hAnsi="Calibri" w:cs="Calibri"/>
          <w:color w:val="0D0D0D" w:themeColor="text1" w:themeTint="F2"/>
          <w:sz w:val="24"/>
          <w:szCs w:val="24"/>
        </w:rPr>
        <w:t>.</w:t>
      </w:r>
      <w:r w:rsidR="000256EF" w:rsidRPr="00A461B6">
        <w:rPr>
          <w:rFonts w:ascii="Calibri" w:hAnsi="Calibri" w:cs="Calibri"/>
          <w:color w:val="0D0D0D" w:themeColor="text1" w:themeTint="F2"/>
          <w:sz w:val="24"/>
          <w:szCs w:val="24"/>
        </w:rPr>
        <w:t xml:space="preserve"> Wholesale mark-ups apply in three tiers, a flat fee for tiers one and three (low and high cost medicines) and a percentage mark-up for tier two. The changes will only </w:t>
      </w:r>
      <w:r w:rsidR="00774D6E" w:rsidRPr="00A461B6">
        <w:rPr>
          <w:rFonts w:ascii="Calibri" w:hAnsi="Calibri" w:cs="Calibri"/>
          <w:color w:val="0D0D0D" w:themeColor="text1" w:themeTint="F2"/>
          <w:sz w:val="24"/>
          <w:szCs w:val="24"/>
        </w:rPr>
        <w:t xml:space="preserve">impact medicines with prices that fall in tier one or tier three either for the single quantity item or the increased maximum dispensed quantity item. </w:t>
      </w:r>
    </w:p>
    <w:p w14:paraId="529BA697" w14:textId="2D66845C" w:rsidR="00577961" w:rsidRPr="00A461B6" w:rsidRDefault="00577961" w:rsidP="00577961">
      <w:pPr>
        <w:pStyle w:val="Heading3"/>
      </w:pPr>
      <w:bookmarkStart w:id="65" w:name="_Toc131450871"/>
      <w:bookmarkStart w:id="66" w:name="_Toc132192304"/>
      <w:bookmarkStart w:id="67" w:name="_Toc134603935"/>
      <w:r w:rsidRPr="00A461B6">
        <w:t xml:space="preserve">Option 3: Implement MDQ changes for medicines </w:t>
      </w:r>
      <w:r w:rsidR="00320BF2">
        <w:t>–</w:t>
      </w:r>
      <w:r w:rsidRPr="00A461B6">
        <w:t xml:space="preserve"> 3 months’ supply</w:t>
      </w:r>
      <w:bookmarkEnd w:id="65"/>
      <w:bookmarkEnd w:id="66"/>
      <w:bookmarkEnd w:id="67"/>
      <w:r w:rsidRPr="00A461B6">
        <w:t xml:space="preserve"> </w:t>
      </w:r>
    </w:p>
    <w:p w14:paraId="3852C912" w14:textId="25C5205E" w:rsidR="00577961" w:rsidRPr="00A461B6" w:rsidRDefault="00577961" w:rsidP="00577961">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iCs/>
          <w:color w:val="0D0D0D" w:themeColor="text1" w:themeTint="F2"/>
          <w:sz w:val="24"/>
          <w:szCs w:val="24"/>
        </w:rPr>
        <w:t>If a patient’s condition is stable and suitable for the increased MDQ</w:t>
      </w:r>
      <w:r w:rsidR="004378B6" w:rsidRPr="00A461B6">
        <w:rPr>
          <w:iCs/>
          <w:color w:val="0D0D0D" w:themeColor="text1" w:themeTint="F2"/>
          <w:sz w:val="24"/>
          <w:szCs w:val="24"/>
        </w:rPr>
        <w:t xml:space="preserve"> item</w:t>
      </w:r>
      <w:r w:rsidRPr="00A461B6">
        <w:rPr>
          <w:iCs/>
          <w:color w:val="0D0D0D" w:themeColor="text1" w:themeTint="F2"/>
          <w:sz w:val="24"/>
          <w:szCs w:val="24"/>
        </w:rPr>
        <w:t xml:space="preserve">, a prescriber may provide a prescription </w:t>
      </w:r>
      <w:r w:rsidR="00C5285B" w:rsidRPr="00A461B6">
        <w:rPr>
          <w:iCs/>
          <w:color w:val="0D0D0D" w:themeColor="text1" w:themeTint="F2"/>
          <w:sz w:val="24"/>
          <w:szCs w:val="24"/>
        </w:rPr>
        <w:t>that allows</w:t>
      </w:r>
      <w:r w:rsidRPr="00A461B6">
        <w:rPr>
          <w:iCs/>
          <w:color w:val="0D0D0D" w:themeColor="text1" w:themeTint="F2"/>
          <w:sz w:val="24"/>
          <w:szCs w:val="24"/>
        </w:rPr>
        <w:t xml:space="preserve"> 3 months’ supply of some PBS medicines per dispense.</w:t>
      </w:r>
    </w:p>
    <w:p w14:paraId="5AF885B0" w14:textId="1B3F24E2" w:rsidR="00577961" w:rsidRPr="00A461B6" w:rsidRDefault="00577961" w:rsidP="00577961">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iCs/>
          <w:color w:val="0D0D0D" w:themeColor="text1" w:themeTint="F2"/>
          <w:sz w:val="24"/>
          <w:szCs w:val="24"/>
        </w:rPr>
        <w:t xml:space="preserve">Each prescription will </w:t>
      </w:r>
      <w:r w:rsidR="00C5285B" w:rsidRPr="00A461B6">
        <w:rPr>
          <w:iCs/>
          <w:color w:val="0D0D0D" w:themeColor="text1" w:themeTint="F2"/>
          <w:sz w:val="24"/>
          <w:szCs w:val="24"/>
        </w:rPr>
        <w:t xml:space="preserve">provide </w:t>
      </w:r>
      <w:r w:rsidRPr="00A461B6">
        <w:rPr>
          <w:iCs/>
          <w:color w:val="0D0D0D" w:themeColor="text1" w:themeTint="F2"/>
          <w:sz w:val="24"/>
          <w:szCs w:val="24"/>
        </w:rPr>
        <w:t xml:space="preserve">approximately 12 months’ </w:t>
      </w:r>
      <w:r w:rsidR="00C5285B" w:rsidRPr="00A461B6">
        <w:rPr>
          <w:iCs/>
          <w:color w:val="0D0D0D" w:themeColor="text1" w:themeTint="F2"/>
          <w:sz w:val="24"/>
          <w:szCs w:val="24"/>
        </w:rPr>
        <w:t xml:space="preserve">supply of </w:t>
      </w:r>
      <w:r w:rsidRPr="00A461B6">
        <w:rPr>
          <w:iCs/>
          <w:color w:val="0D0D0D" w:themeColor="text1" w:themeTint="F2"/>
          <w:sz w:val="24"/>
          <w:szCs w:val="24"/>
        </w:rPr>
        <w:t xml:space="preserve">medicine </w:t>
      </w:r>
      <w:r w:rsidR="00C5285B" w:rsidRPr="00A461B6">
        <w:rPr>
          <w:iCs/>
          <w:color w:val="0D0D0D" w:themeColor="text1" w:themeTint="F2"/>
          <w:sz w:val="24"/>
          <w:szCs w:val="24"/>
        </w:rPr>
        <w:t xml:space="preserve">because there will be a maximum of </w:t>
      </w:r>
      <w:r w:rsidRPr="00A461B6">
        <w:rPr>
          <w:iCs/>
          <w:color w:val="0D0D0D" w:themeColor="text1" w:themeTint="F2"/>
          <w:sz w:val="24"/>
          <w:szCs w:val="24"/>
        </w:rPr>
        <w:t>four dispense events</w:t>
      </w:r>
      <w:r w:rsidR="00A70E9C" w:rsidRPr="00A461B6">
        <w:rPr>
          <w:iCs/>
          <w:color w:val="0D0D0D" w:themeColor="text1" w:themeTint="F2"/>
          <w:sz w:val="24"/>
          <w:szCs w:val="24"/>
        </w:rPr>
        <w:t xml:space="preserve"> i.e. an original and 3 repeats</w:t>
      </w:r>
      <w:r w:rsidRPr="00A461B6">
        <w:rPr>
          <w:iCs/>
          <w:color w:val="0D0D0D" w:themeColor="text1" w:themeTint="F2"/>
          <w:sz w:val="24"/>
          <w:szCs w:val="24"/>
        </w:rPr>
        <w:t xml:space="preserve"> per prescription.</w:t>
      </w:r>
      <w:r w:rsidR="00C5285B" w:rsidRPr="00A461B6">
        <w:rPr>
          <w:iCs/>
          <w:color w:val="0D0D0D" w:themeColor="text1" w:themeTint="F2"/>
          <w:sz w:val="24"/>
          <w:szCs w:val="24"/>
        </w:rPr>
        <w:t xml:space="preserve"> </w:t>
      </w:r>
      <w:r w:rsidR="00404965" w:rsidRPr="00A461B6">
        <w:rPr>
          <w:iCs/>
          <w:color w:val="0D0D0D" w:themeColor="text1" w:themeTint="F2"/>
          <w:sz w:val="24"/>
          <w:szCs w:val="24"/>
        </w:rPr>
        <w:t xml:space="preserve">A </w:t>
      </w:r>
      <w:r w:rsidR="00A70E9C" w:rsidRPr="00A461B6">
        <w:rPr>
          <w:iCs/>
          <w:color w:val="0D0D0D" w:themeColor="text1" w:themeTint="F2"/>
          <w:sz w:val="24"/>
          <w:szCs w:val="24"/>
        </w:rPr>
        <w:t xml:space="preserve">PBS </w:t>
      </w:r>
      <w:r w:rsidR="00404965" w:rsidRPr="00A461B6">
        <w:rPr>
          <w:iCs/>
          <w:color w:val="0D0D0D" w:themeColor="text1" w:themeTint="F2"/>
          <w:sz w:val="24"/>
          <w:szCs w:val="24"/>
        </w:rPr>
        <w:t>prescription is only valid for 12 months</w:t>
      </w:r>
      <w:r w:rsidR="006B1F24" w:rsidRPr="00A461B6">
        <w:rPr>
          <w:rStyle w:val="FootnoteReference"/>
          <w:iCs/>
          <w:color w:val="0D0D0D" w:themeColor="text1" w:themeTint="F2"/>
          <w:sz w:val="24"/>
          <w:szCs w:val="24"/>
        </w:rPr>
        <w:footnoteReference w:id="33"/>
      </w:r>
      <w:r w:rsidR="00404965" w:rsidRPr="00A461B6">
        <w:rPr>
          <w:iCs/>
          <w:color w:val="0D0D0D" w:themeColor="text1" w:themeTint="F2"/>
          <w:sz w:val="24"/>
          <w:szCs w:val="24"/>
        </w:rPr>
        <w:t xml:space="preserve"> from the time it is written. Therefore, if the 3 month MDQ option is implemented the number of repeats per prescription will need to be </w:t>
      </w:r>
      <w:r w:rsidR="00A70E9C" w:rsidRPr="00A461B6">
        <w:rPr>
          <w:iCs/>
          <w:color w:val="0D0D0D" w:themeColor="text1" w:themeTint="F2"/>
          <w:sz w:val="24"/>
          <w:szCs w:val="24"/>
        </w:rPr>
        <w:t xml:space="preserve">adjusted </w:t>
      </w:r>
      <w:r w:rsidR="00404965" w:rsidRPr="00A461B6">
        <w:rPr>
          <w:iCs/>
          <w:color w:val="0D0D0D" w:themeColor="text1" w:themeTint="F2"/>
          <w:sz w:val="24"/>
          <w:szCs w:val="24"/>
        </w:rPr>
        <w:t>to allow a maximum of 12 months</w:t>
      </w:r>
      <w:r w:rsidR="00564BB1" w:rsidRPr="00A461B6">
        <w:rPr>
          <w:iCs/>
          <w:color w:val="0D0D0D" w:themeColor="text1" w:themeTint="F2"/>
          <w:sz w:val="24"/>
          <w:szCs w:val="24"/>
        </w:rPr>
        <w:t>’</w:t>
      </w:r>
      <w:r w:rsidR="00404965" w:rsidRPr="00A461B6">
        <w:rPr>
          <w:iCs/>
          <w:color w:val="0D0D0D" w:themeColor="text1" w:themeTint="F2"/>
          <w:sz w:val="24"/>
          <w:szCs w:val="24"/>
        </w:rPr>
        <w:t xml:space="preserve"> supply of medication.</w:t>
      </w:r>
    </w:p>
    <w:p w14:paraId="1C7418F7" w14:textId="71AA387F" w:rsidR="00404965" w:rsidRPr="00A461B6" w:rsidRDefault="00577961" w:rsidP="00404965">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iCs/>
          <w:color w:val="0D0D0D" w:themeColor="text1" w:themeTint="F2"/>
          <w:sz w:val="24"/>
          <w:szCs w:val="24"/>
        </w:rPr>
        <w:t xml:space="preserve">New and amended items </w:t>
      </w:r>
      <w:r w:rsidR="006B2F4E" w:rsidRPr="00A461B6">
        <w:rPr>
          <w:iCs/>
          <w:color w:val="0D0D0D" w:themeColor="text1" w:themeTint="F2"/>
          <w:sz w:val="24"/>
          <w:szCs w:val="24"/>
        </w:rPr>
        <w:t>will</w:t>
      </w:r>
      <w:r w:rsidRPr="00A461B6">
        <w:rPr>
          <w:iCs/>
          <w:color w:val="0D0D0D" w:themeColor="text1" w:themeTint="F2"/>
          <w:sz w:val="24"/>
          <w:szCs w:val="24"/>
        </w:rPr>
        <w:t xml:space="preserve"> be listed on the PBS schedule</w:t>
      </w:r>
      <w:r w:rsidR="00404965" w:rsidRPr="00A461B6">
        <w:rPr>
          <w:iCs/>
          <w:color w:val="0D0D0D" w:themeColor="text1" w:themeTint="F2"/>
          <w:sz w:val="24"/>
          <w:szCs w:val="24"/>
        </w:rPr>
        <w:t xml:space="preserve"> with an increased MDQ sufficient to last the patient approximately 3 months, and a reduced number of repeats to </w:t>
      </w:r>
      <w:r w:rsidR="00A70E9C" w:rsidRPr="00A461B6">
        <w:rPr>
          <w:iCs/>
          <w:color w:val="0D0D0D" w:themeColor="text1" w:themeTint="F2"/>
          <w:sz w:val="24"/>
          <w:szCs w:val="24"/>
        </w:rPr>
        <w:t xml:space="preserve">provide sufficient medication for a maximum of 12 months. </w:t>
      </w:r>
    </w:p>
    <w:p w14:paraId="32DBFCAF" w14:textId="77777777" w:rsidR="00564BB1" w:rsidRPr="00A461B6" w:rsidRDefault="00564BB1" w:rsidP="00564BB1">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iCs/>
          <w:color w:val="0D0D0D" w:themeColor="text1" w:themeTint="F2"/>
          <w:sz w:val="24"/>
          <w:szCs w:val="24"/>
        </w:rPr>
        <w:t>It is necessary to list new PBS items as the PBAC has explicitly recommended that the increased MDQ listing for medicines in the proposal are in addition to, and not a replacement of, the current one month PBS listing for these medicines, allowing for appropriate decision making by prescribers.</w:t>
      </w:r>
    </w:p>
    <w:p w14:paraId="0B2D9C17" w14:textId="6926E9C3" w:rsidR="00577961" w:rsidRPr="00A461B6" w:rsidRDefault="00577961" w:rsidP="00577961">
      <w:pPr>
        <w:pStyle w:val="ListParagraph"/>
        <w:numPr>
          <w:ilvl w:val="0"/>
          <w:numId w:val="12"/>
        </w:numPr>
        <w:autoSpaceDE w:val="0"/>
        <w:autoSpaceDN w:val="0"/>
        <w:adjustRightInd w:val="0"/>
        <w:spacing w:line="240" w:lineRule="auto"/>
        <w:rPr>
          <w:color w:val="0D0D0D" w:themeColor="text1" w:themeTint="F2"/>
          <w:sz w:val="24"/>
        </w:rPr>
      </w:pPr>
      <w:r w:rsidRPr="00A461B6">
        <w:rPr>
          <w:color w:val="0D0D0D" w:themeColor="text1" w:themeTint="F2"/>
          <w:sz w:val="24"/>
          <w:szCs w:val="24"/>
        </w:rPr>
        <w:t>These changes to the PBS will all be made to the Schedule at the same time</w:t>
      </w:r>
      <w:r w:rsidRPr="00A461B6">
        <w:rPr>
          <w:iCs/>
          <w:color w:val="0D0D0D" w:themeColor="text1" w:themeTint="F2"/>
          <w:sz w:val="24"/>
          <w:szCs w:val="24"/>
        </w:rPr>
        <w:t>.</w:t>
      </w:r>
    </w:p>
    <w:p w14:paraId="1FDEAC95" w14:textId="14E2CE29" w:rsidR="00577961" w:rsidRPr="00A461B6" w:rsidRDefault="00577961" w:rsidP="00577961">
      <w:pPr>
        <w:pStyle w:val="ListParagraph"/>
        <w:numPr>
          <w:ilvl w:val="0"/>
          <w:numId w:val="12"/>
        </w:numPr>
        <w:autoSpaceDE w:val="0"/>
        <w:autoSpaceDN w:val="0"/>
        <w:adjustRightInd w:val="0"/>
        <w:spacing w:line="240" w:lineRule="auto"/>
        <w:rPr>
          <w:iCs/>
          <w:color w:val="0D0D0D" w:themeColor="text1" w:themeTint="F2"/>
          <w:sz w:val="24"/>
          <w:szCs w:val="24"/>
        </w:rPr>
      </w:pPr>
      <w:r w:rsidRPr="00A461B6">
        <w:rPr>
          <w:color w:val="0D0D0D" w:themeColor="text1" w:themeTint="F2"/>
          <w:sz w:val="24"/>
          <w:szCs w:val="24"/>
        </w:rPr>
        <w:t xml:space="preserve">The savings to Government </w:t>
      </w:r>
      <w:r w:rsidR="006E46D0" w:rsidRPr="00A461B6">
        <w:rPr>
          <w:color w:val="0D0D0D" w:themeColor="text1" w:themeTint="F2"/>
          <w:sz w:val="24"/>
          <w:szCs w:val="24"/>
        </w:rPr>
        <w:t xml:space="preserve">made possible by Option 3 </w:t>
      </w:r>
      <w:r w:rsidRPr="00A461B6">
        <w:rPr>
          <w:color w:val="0D0D0D" w:themeColor="text1" w:themeTint="F2"/>
          <w:sz w:val="24"/>
          <w:szCs w:val="24"/>
        </w:rPr>
        <w:t>will support programs and services provided to patients under the 7CPA, including higher volume of existing programs, higher payments under the Regional Pharmacy Maintenance Allowance and new programs, including funding for administration of NIP vaccines to eligible patients in community pharmacies.</w:t>
      </w:r>
    </w:p>
    <w:p w14:paraId="202A43F3" w14:textId="14D5959E" w:rsidR="00577961" w:rsidRPr="00A461B6" w:rsidRDefault="00577961">
      <w:pPr>
        <w:rPr>
          <w:color w:val="0D0D0D" w:themeColor="text1" w:themeTint="F2"/>
          <w:sz w:val="24"/>
        </w:rPr>
      </w:pPr>
      <w:r w:rsidRPr="00A461B6">
        <w:rPr>
          <w:color w:val="0D0D0D" w:themeColor="text1" w:themeTint="F2"/>
          <w:sz w:val="24"/>
        </w:rPr>
        <w:br w:type="page"/>
      </w:r>
    </w:p>
    <w:p w14:paraId="585BA5CF" w14:textId="77777777" w:rsidR="006D1E23" w:rsidRPr="00A461B6" w:rsidRDefault="006D1E23" w:rsidP="00D3445B">
      <w:pPr>
        <w:pStyle w:val="Heading4"/>
      </w:pPr>
      <w:r w:rsidRPr="00A461B6">
        <w:t>Stakeholders and roles and responsibilities</w:t>
      </w:r>
    </w:p>
    <w:p w14:paraId="4EF4EDB6" w14:textId="77777777" w:rsidR="00A33FAC" w:rsidRPr="00A461B6" w:rsidRDefault="00A33FAC" w:rsidP="00AF42E0">
      <w:pPr>
        <w:pStyle w:val="Subtitle"/>
        <w:spacing w:after="0"/>
      </w:pPr>
      <w:r w:rsidRPr="00A461B6">
        <w:t>Consumers</w:t>
      </w:r>
    </w:p>
    <w:p w14:paraId="25502E18" w14:textId="6FD5DBBF" w:rsidR="00A33FAC" w:rsidRPr="00A461B6" w:rsidRDefault="00491C56" w:rsidP="00AF42E0">
      <w:pPr>
        <w:pStyle w:val="ListParagraph"/>
        <w:numPr>
          <w:ilvl w:val="0"/>
          <w:numId w:val="14"/>
        </w:numPr>
        <w:spacing w:before="240"/>
        <w:rPr>
          <w:color w:val="0D0D0D" w:themeColor="text1" w:themeTint="F2"/>
          <w:sz w:val="24"/>
        </w:rPr>
      </w:pPr>
      <w:r w:rsidRPr="00A461B6">
        <w:rPr>
          <w:color w:val="auto"/>
          <w:sz w:val="24"/>
          <w:szCs w:val="24"/>
        </w:rPr>
        <w:t>Some c</w:t>
      </w:r>
      <w:r w:rsidR="00860BDE" w:rsidRPr="00A461B6">
        <w:rPr>
          <w:color w:val="auto"/>
          <w:sz w:val="24"/>
          <w:szCs w:val="24"/>
        </w:rPr>
        <w:t xml:space="preserve">onsumers </w:t>
      </w:r>
      <w:r w:rsidR="00A33FAC" w:rsidRPr="00A461B6">
        <w:rPr>
          <w:color w:val="auto"/>
          <w:sz w:val="24"/>
          <w:szCs w:val="24"/>
        </w:rPr>
        <w:t>w</w:t>
      </w:r>
      <w:r w:rsidRPr="00A461B6">
        <w:rPr>
          <w:color w:val="auto"/>
          <w:sz w:val="24"/>
          <w:szCs w:val="24"/>
        </w:rPr>
        <w:t xml:space="preserve">ould </w:t>
      </w:r>
      <w:r w:rsidR="007B67CE" w:rsidRPr="00A461B6">
        <w:rPr>
          <w:color w:val="auto"/>
          <w:sz w:val="24"/>
          <w:szCs w:val="24"/>
        </w:rPr>
        <w:t>need to</w:t>
      </w:r>
      <w:r w:rsidR="00A33FAC" w:rsidRPr="00A461B6">
        <w:rPr>
          <w:color w:val="auto"/>
          <w:sz w:val="24"/>
          <w:szCs w:val="24"/>
        </w:rPr>
        <w:t xml:space="preserve"> visit a pharmacy every third month instead of each month to have their prescription dispensed and may reduce their GP visits to once per twelve months depending on the medicines they </w:t>
      </w:r>
      <w:r w:rsidR="00A33FAC" w:rsidRPr="00A461B6">
        <w:rPr>
          <w:color w:val="0D0D0D" w:themeColor="text1" w:themeTint="F2"/>
          <w:sz w:val="24"/>
          <w:szCs w:val="24"/>
        </w:rPr>
        <w:t>take and the stability of their medical conditions</w:t>
      </w:r>
      <w:r w:rsidR="00A70E9C" w:rsidRPr="00A461B6">
        <w:rPr>
          <w:color w:val="0D0D0D" w:themeColor="text1" w:themeTint="F2"/>
          <w:sz w:val="24"/>
          <w:szCs w:val="24"/>
        </w:rPr>
        <w:t>.</w:t>
      </w:r>
    </w:p>
    <w:p w14:paraId="4AC88CE7" w14:textId="03F1F472" w:rsidR="003A17E8" w:rsidRPr="00A461B6" w:rsidRDefault="003A17E8" w:rsidP="003A17E8">
      <w:pPr>
        <w:pStyle w:val="ListParagraph"/>
        <w:numPr>
          <w:ilvl w:val="0"/>
          <w:numId w:val="14"/>
        </w:numPr>
        <w:spacing w:before="240"/>
        <w:rPr>
          <w:color w:val="0D0D0D" w:themeColor="text1" w:themeTint="F2"/>
          <w:sz w:val="24"/>
          <w:szCs w:val="24"/>
        </w:rPr>
      </w:pPr>
      <w:r w:rsidRPr="00A461B6">
        <w:rPr>
          <w:color w:val="0D0D0D" w:themeColor="text1" w:themeTint="F2"/>
          <w:sz w:val="24"/>
          <w:szCs w:val="24"/>
        </w:rPr>
        <w:t>Consumers will pay a co-payment for every three months' quantity of medicine versus for every one month's quantity of medicine under the status quo.</w:t>
      </w:r>
    </w:p>
    <w:p w14:paraId="16BCFD14" w14:textId="4CBDAF87" w:rsidR="009902E2" w:rsidRPr="00A461B6" w:rsidRDefault="00860BDE" w:rsidP="00AF42E0">
      <w:pPr>
        <w:pStyle w:val="ListParagraph"/>
        <w:numPr>
          <w:ilvl w:val="0"/>
          <w:numId w:val="14"/>
        </w:numPr>
        <w:spacing w:before="240"/>
        <w:rPr>
          <w:b/>
          <w:sz w:val="24"/>
          <w:szCs w:val="24"/>
          <w:u w:val="single"/>
        </w:rPr>
      </w:pPr>
      <w:r w:rsidRPr="00A461B6">
        <w:rPr>
          <w:iCs/>
          <w:color w:val="0D0D0D" w:themeColor="text1" w:themeTint="F2"/>
          <w:sz w:val="24"/>
          <w:szCs w:val="24"/>
        </w:rPr>
        <w:t>Consumers who only take</w:t>
      </w:r>
      <w:r w:rsidR="00AF42E0" w:rsidRPr="00A461B6">
        <w:rPr>
          <w:iCs/>
          <w:color w:val="0D0D0D" w:themeColor="text1" w:themeTint="F2"/>
          <w:sz w:val="24"/>
          <w:szCs w:val="24"/>
        </w:rPr>
        <w:t xml:space="preserve"> </w:t>
      </w:r>
      <w:r w:rsidRPr="00A461B6">
        <w:rPr>
          <w:iCs/>
          <w:color w:val="0D0D0D" w:themeColor="text1" w:themeTint="F2"/>
          <w:sz w:val="24"/>
          <w:szCs w:val="24"/>
        </w:rPr>
        <w:t xml:space="preserve">medicines </w:t>
      </w:r>
      <w:r w:rsidR="004A1F7B" w:rsidRPr="00A461B6">
        <w:rPr>
          <w:iCs/>
          <w:color w:val="0D0D0D" w:themeColor="text1" w:themeTint="F2"/>
          <w:sz w:val="24"/>
          <w:szCs w:val="24"/>
        </w:rPr>
        <w:t xml:space="preserve">subject to the MDQ changes </w:t>
      </w:r>
      <w:r w:rsidRPr="00A461B6">
        <w:rPr>
          <w:iCs/>
          <w:color w:val="0D0D0D" w:themeColor="text1" w:themeTint="F2"/>
          <w:sz w:val="24"/>
          <w:szCs w:val="24"/>
        </w:rPr>
        <w:t xml:space="preserve">may only be required to visit their GP once a year for a prescription, </w:t>
      </w:r>
      <w:r w:rsidR="00A70E9C" w:rsidRPr="00A461B6">
        <w:rPr>
          <w:iCs/>
          <w:color w:val="0D0D0D" w:themeColor="text1" w:themeTint="F2"/>
          <w:sz w:val="24"/>
          <w:szCs w:val="24"/>
        </w:rPr>
        <w:t>if</w:t>
      </w:r>
      <w:r w:rsidRPr="00A461B6">
        <w:rPr>
          <w:iCs/>
          <w:color w:val="0D0D0D" w:themeColor="text1" w:themeTint="F2"/>
          <w:sz w:val="24"/>
          <w:szCs w:val="24"/>
        </w:rPr>
        <w:t xml:space="preserve"> all their medicine prescriptions can be renewed at the same time</w:t>
      </w:r>
      <w:r w:rsidR="00A70E9C" w:rsidRPr="00A461B6">
        <w:rPr>
          <w:iCs/>
          <w:color w:val="0D0D0D" w:themeColor="text1" w:themeTint="F2"/>
          <w:sz w:val="24"/>
          <w:szCs w:val="24"/>
        </w:rPr>
        <w:t>.</w:t>
      </w:r>
    </w:p>
    <w:p w14:paraId="1005136E" w14:textId="77777777" w:rsidR="00A33FAC" w:rsidRPr="00A461B6" w:rsidRDefault="00A33FAC" w:rsidP="00D7597A">
      <w:pPr>
        <w:pStyle w:val="Subtitle"/>
        <w:keepNext/>
        <w:keepLines/>
        <w:spacing w:after="0"/>
      </w:pPr>
      <w:r w:rsidRPr="00A461B6">
        <w:t>Pharmacies</w:t>
      </w:r>
    </w:p>
    <w:p w14:paraId="2DC72C18" w14:textId="40616EAF" w:rsidR="00A33FAC" w:rsidRPr="00A461B6" w:rsidRDefault="00A33FAC" w:rsidP="00AF42E0">
      <w:pPr>
        <w:pStyle w:val="ListParagraph"/>
        <w:numPr>
          <w:ilvl w:val="0"/>
          <w:numId w:val="14"/>
        </w:numPr>
        <w:spacing w:before="240"/>
        <w:rPr>
          <w:iCs/>
          <w:color w:val="0D0D0D" w:themeColor="text1" w:themeTint="F2"/>
          <w:sz w:val="24"/>
          <w:szCs w:val="24"/>
        </w:rPr>
      </w:pPr>
      <w:r w:rsidRPr="00A461B6">
        <w:rPr>
          <w:iCs/>
          <w:color w:val="0D0D0D" w:themeColor="text1" w:themeTint="F2"/>
          <w:sz w:val="24"/>
          <w:szCs w:val="24"/>
        </w:rPr>
        <w:t>Pharmacies will receive a dispensing fee ($7.82)</w:t>
      </w:r>
      <w:r w:rsidRPr="00A461B6">
        <w:rPr>
          <w:color w:val="0D0D0D" w:themeColor="text1" w:themeTint="F2"/>
          <w:vertAlign w:val="superscript"/>
        </w:rPr>
        <w:footnoteReference w:id="34"/>
      </w:r>
      <w:r w:rsidRPr="00A461B6">
        <w:rPr>
          <w:iCs/>
          <w:color w:val="0D0D0D" w:themeColor="text1" w:themeTint="F2"/>
          <w:sz w:val="24"/>
          <w:szCs w:val="24"/>
        </w:rPr>
        <w:t xml:space="preserve"> plus an Administration, Handling and Infrastructure (AHI) fee per dispense of three months’ supply of medicine</w:t>
      </w:r>
      <w:r w:rsidR="00860BDE" w:rsidRPr="00A461B6">
        <w:rPr>
          <w:iCs/>
          <w:color w:val="0D0D0D" w:themeColor="text1" w:themeTint="F2"/>
          <w:sz w:val="24"/>
          <w:szCs w:val="24"/>
        </w:rPr>
        <w:t xml:space="preserve"> (Range: Tier One: $4.32 to Tier Three: $4.32 + $95 per dispense of </w:t>
      </w:r>
      <w:r w:rsidR="00A70E9C" w:rsidRPr="00A461B6">
        <w:rPr>
          <w:iCs/>
          <w:color w:val="0D0D0D" w:themeColor="text1" w:themeTint="F2"/>
          <w:sz w:val="24"/>
          <w:szCs w:val="24"/>
        </w:rPr>
        <w:t>m</w:t>
      </w:r>
      <w:r w:rsidR="00860BDE" w:rsidRPr="00A461B6">
        <w:rPr>
          <w:iCs/>
          <w:color w:val="0D0D0D" w:themeColor="text1" w:themeTint="F2"/>
          <w:sz w:val="24"/>
          <w:szCs w:val="24"/>
        </w:rPr>
        <w:t xml:space="preserve">aximum </w:t>
      </w:r>
      <w:r w:rsidR="00A70E9C" w:rsidRPr="00A461B6">
        <w:rPr>
          <w:iCs/>
          <w:color w:val="0D0D0D" w:themeColor="text1" w:themeTint="F2"/>
          <w:sz w:val="24"/>
          <w:szCs w:val="24"/>
        </w:rPr>
        <w:t>q</w:t>
      </w:r>
      <w:r w:rsidR="00860BDE" w:rsidRPr="00A461B6">
        <w:rPr>
          <w:iCs/>
          <w:color w:val="0D0D0D" w:themeColor="text1" w:themeTint="F2"/>
          <w:sz w:val="24"/>
          <w:szCs w:val="24"/>
        </w:rPr>
        <w:t>uantity</w:t>
      </w:r>
      <w:r w:rsidR="00A70E9C" w:rsidRPr="00A461B6">
        <w:rPr>
          <w:iCs/>
          <w:color w:val="0D0D0D" w:themeColor="text1" w:themeTint="F2"/>
          <w:sz w:val="24"/>
          <w:szCs w:val="24"/>
        </w:rPr>
        <w:t>)</w:t>
      </w:r>
      <w:r w:rsidR="00191727" w:rsidRPr="00A461B6">
        <w:rPr>
          <w:iCs/>
          <w:color w:val="0D0D0D" w:themeColor="text1" w:themeTint="F2"/>
          <w:sz w:val="24"/>
          <w:szCs w:val="24"/>
        </w:rPr>
        <w:t>.</w:t>
      </w:r>
      <w:r w:rsidR="00860BDE" w:rsidRPr="00A461B6">
        <w:rPr>
          <w:iCs/>
          <w:color w:val="0D0D0D" w:themeColor="text1" w:themeTint="F2"/>
          <w:sz w:val="24"/>
          <w:szCs w:val="24"/>
        </w:rPr>
        <w:t xml:space="preserve"> </w:t>
      </w:r>
      <w:r w:rsidR="00A70E9C" w:rsidRPr="00A461B6">
        <w:rPr>
          <w:iCs/>
          <w:color w:val="0D0D0D" w:themeColor="text1" w:themeTint="F2"/>
          <w:sz w:val="24"/>
          <w:szCs w:val="24"/>
        </w:rPr>
        <w:t>T</w:t>
      </w:r>
      <w:r w:rsidR="00860BDE" w:rsidRPr="00A461B6">
        <w:rPr>
          <w:iCs/>
          <w:color w:val="0D0D0D" w:themeColor="text1" w:themeTint="F2"/>
          <w:sz w:val="24"/>
          <w:szCs w:val="24"/>
        </w:rPr>
        <w:t xml:space="preserve">he tier </w:t>
      </w:r>
      <w:r w:rsidR="00A70E9C" w:rsidRPr="00A461B6">
        <w:rPr>
          <w:iCs/>
          <w:color w:val="0D0D0D" w:themeColor="text1" w:themeTint="F2"/>
          <w:sz w:val="24"/>
          <w:szCs w:val="24"/>
        </w:rPr>
        <w:t xml:space="preserve">is </w:t>
      </w:r>
      <w:r w:rsidR="00860BDE" w:rsidRPr="00A461B6">
        <w:rPr>
          <w:iCs/>
          <w:color w:val="0D0D0D" w:themeColor="text1" w:themeTint="F2"/>
          <w:sz w:val="24"/>
          <w:szCs w:val="24"/>
        </w:rPr>
        <w:t>dependent on the price of the medicine to pharmacy</w:t>
      </w:r>
      <w:r w:rsidR="00860BDE" w:rsidRPr="00A461B6">
        <w:rPr>
          <w:iCs/>
          <w:color w:val="0D0D0D" w:themeColor="text1" w:themeTint="F2"/>
          <w:vertAlign w:val="superscript"/>
        </w:rPr>
        <w:footnoteReference w:id="35"/>
      </w:r>
      <w:r w:rsidR="00860BDE" w:rsidRPr="00A461B6">
        <w:rPr>
          <w:iCs/>
          <w:color w:val="0D0D0D" w:themeColor="text1" w:themeTint="F2"/>
          <w:sz w:val="24"/>
          <w:szCs w:val="24"/>
        </w:rPr>
        <w:t>.</w:t>
      </w:r>
    </w:p>
    <w:p w14:paraId="4CF352FC" w14:textId="669CF5D9" w:rsidR="00D7597A" w:rsidRPr="00A461B6" w:rsidRDefault="00A33FAC" w:rsidP="001D11CD">
      <w:pPr>
        <w:pStyle w:val="BodyText"/>
        <w:rPr>
          <w:i/>
          <w:color w:val="0D0D0D" w:themeColor="text1" w:themeTint="F2"/>
          <w:sz w:val="24"/>
          <w:szCs w:val="24"/>
        </w:rPr>
      </w:pPr>
      <w:r w:rsidRPr="00A461B6">
        <w:rPr>
          <w:i/>
          <w:color w:val="0D0D0D" w:themeColor="text1" w:themeTint="F2"/>
          <w:sz w:val="24"/>
          <w:szCs w:val="24"/>
        </w:rPr>
        <w:t xml:space="preserve">All other stakeholder roles and responsibilities as for Option </w:t>
      </w:r>
      <w:r w:rsidR="00011BA6" w:rsidRPr="00A461B6">
        <w:rPr>
          <w:i/>
          <w:color w:val="0D0D0D" w:themeColor="text1" w:themeTint="F2"/>
          <w:sz w:val="24"/>
          <w:szCs w:val="24"/>
        </w:rPr>
        <w:t>2</w:t>
      </w:r>
      <w:r w:rsidR="00D7597A" w:rsidRPr="00A461B6">
        <w:rPr>
          <w:i/>
          <w:color w:val="0D0D0D" w:themeColor="text1" w:themeTint="F2"/>
          <w:sz w:val="24"/>
          <w:szCs w:val="24"/>
        </w:rPr>
        <w:t>.</w:t>
      </w:r>
    </w:p>
    <w:p w14:paraId="2E9078D9" w14:textId="676F6480" w:rsidR="00D7597A" w:rsidRPr="00A461B6" w:rsidRDefault="00D7597A">
      <w:pPr>
        <w:rPr>
          <w:i/>
          <w:color w:val="0D0D0D" w:themeColor="text1" w:themeTint="F2"/>
          <w:sz w:val="24"/>
          <w:szCs w:val="24"/>
        </w:rPr>
      </w:pPr>
    </w:p>
    <w:p w14:paraId="2DC36537" w14:textId="7304F143" w:rsidR="00C51551" w:rsidRPr="00A461B6" w:rsidRDefault="00DC5650" w:rsidP="0016162F">
      <w:pPr>
        <w:pStyle w:val="Heading2"/>
        <w:pageBreakBefore/>
      </w:pPr>
      <w:bookmarkStart w:id="68" w:name="_Toc132192305"/>
      <w:bookmarkStart w:id="69" w:name="_Toc134603936"/>
      <w:r w:rsidRPr="00A461B6">
        <w:t>4. What is the l</w:t>
      </w:r>
      <w:r w:rsidR="00C51551" w:rsidRPr="00A461B6">
        <w:t>ikely net benefit of each option?</w:t>
      </w:r>
      <w:bookmarkEnd w:id="68"/>
      <w:bookmarkEnd w:id="69"/>
      <w:r w:rsidR="00C51551" w:rsidRPr="00A461B6">
        <w:t xml:space="preserve"> </w:t>
      </w:r>
    </w:p>
    <w:p w14:paraId="5EB782A7" w14:textId="1231378D" w:rsidR="007805FC" w:rsidRPr="00A461B6" w:rsidRDefault="00D61146" w:rsidP="00DC5650">
      <w:pPr>
        <w:pStyle w:val="Heading3"/>
      </w:pPr>
      <w:bookmarkStart w:id="70" w:name="_Toc132192306"/>
      <w:bookmarkStart w:id="71" w:name="_Toc134603937"/>
      <w:r w:rsidRPr="00A461B6">
        <w:t>Option</w:t>
      </w:r>
      <w:r w:rsidR="00E50D6C" w:rsidRPr="00A461B6">
        <w:t xml:space="preserve"> </w:t>
      </w:r>
      <w:r w:rsidRPr="00A461B6">
        <w:t xml:space="preserve">1: Status </w:t>
      </w:r>
      <w:r w:rsidR="00F64EAD" w:rsidRPr="00A461B6">
        <w:t>q</w:t>
      </w:r>
      <w:r w:rsidRPr="00A461B6">
        <w:t>uo</w:t>
      </w:r>
      <w:bookmarkEnd w:id="70"/>
      <w:bookmarkEnd w:id="71"/>
    </w:p>
    <w:p w14:paraId="3837FE03" w14:textId="55C213D5" w:rsidR="00C0162A" w:rsidRPr="00A461B6" w:rsidRDefault="00C0162A" w:rsidP="00C0162A">
      <w:pPr>
        <w:rPr>
          <w:color w:val="0D0D0D" w:themeColor="text1" w:themeTint="F2"/>
          <w:sz w:val="24"/>
        </w:rPr>
      </w:pPr>
      <w:r w:rsidRPr="00A461B6">
        <w:rPr>
          <w:color w:val="000000" w:themeColor="text1"/>
          <w:sz w:val="24"/>
        </w:rPr>
        <w:t xml:space="preserve">Access </w:t>
      </w:r>
      <w:r w:rsidRPr="00A461B6">
        <w:rPr>
          <w:color w:val="0D0D0D" w:themeColor="text1" w:themeTint="F2"/>
          <w:sz w:val="24"/>
        </w:rPr>
        <w:t>to all PBS medicines and the current quantity of medicines dispensed would remain unchanged.</w:t>
      </w:r>
      <w:r w:rsidR="004A1F7B" w:rsidRPr="00A461B6">
        <w:rPr>
          <w:color w:val="0D0D0D" w:themeColor="text1" w:themeTint="F2"/>
          <w:sz w:val="24"/>
        </w:rPr>
        <w:t xml:space="preserve"> </w:t>
      </w:r>
      <w:r w:rsidR="004A1F7B" w:rsidRPr="00A461B6">
        <w:rPr>
          <w:color w:val="0D0D0D" w:themeColor="text1" w:themeTint="F2"/>
          <w:sz w:val="24"/>
          <w:szCs w:val="24"/>
        </w:rPr>
        <w:t>This would not address the cost barriers to access to medicines detailed above under ‘Cost of Living pressures’.</w:t>
      </w:r>
      <w:r w:rsidRPr="00A461B6">
        <w:rPr>
          <w:color w:val="0D0D0D" w:themeColor="text1" w:themeTint="F2"/>
          <w:sz w:val="24"/>
          <w:szCs w:val="24"/>
        </w:rPr>
        <w:t xml:space="preserve"> </w:t>
      </w:r>
      <w:r w:rsidRPr="00A461B6">
        <w:rPr>
          <w:color w:val="0D0D0D" w:themeColor="text1" w:themeTint="F2"/>
          <w:sz w:val="24"/>
        </w:rPr>
        <w:t>For the majority of PBS listed medicines used to treat chronic conditions, patients are required to consult their prescriber every six months to obtain a new prescription and to return to a pharmacy each month to have one month’s supply of medication dispensed. The exceptions are:</w:t>
      </w:r>
    </w:p>
    <w:p w14:paraId="57189507" w14:textId="7774ABAC" w:rsidR="00C0162A" w:rsidRPr="00A461B6" w:rsidRDefault="00C0162A" w:rsidP="00501CE8">
      <w:pPr>
        <w:pStyle w:val="ListParagraph"/>
        <w:numPr>
          <w:ilvl w:val="0"/>
          <w:numId w:val="8"/>
        </w:numPr>
        <w:spacing w:after="0" w:line="240" w:lineRule="auto"/>
        <w:rPr>
          <w:color w:val="0D0D0D" w:themeColor="text1" w:themeTint="F2"/>
          <w:sz w:val="24"/>
        </w:rPr>
      </w:pPr>
      <w:r w:rsidRPr="00A461B6">
        <w:rPr>
          <w:color w:val="0D0D0D" w:themeColor="text1" w:themeTint="F2"/>
          <w:sz w:val="24"/>
        </w:rPr>
        <w:t>some commonly prescribed medicines are currently available on the PBS with increased maximum quantities that require higher than normal doses. For medicines such as corticosteroid creams for eczema and antibiotics for indications with a specific treatment course, there is no requirement to obtain prior Services Australia approval</w:t>
      </w:r>
    </w:p>
    <w:p w14:paraId="651A0282" w14:textId="00C2B6F8" w:rsidR="00C0162A" w:rsidRPr="00A461B6" w:rsidRDefault="00C0162A" w:rsidP="00501CE8">
      <w:pPr>
        <w:pStyle w:val="ListParagraph"/>
        <w:numPr>
          <w:ilvl w:val="0"/>
          <w:numId w:val="8"/>
        </w:numPr>
        <w:spacing w:after="0" w:line="240" w:lineRule="auto"/>
        <w:rPr>
          <w:color w:val="0D0D0D" w:themeColor="text1" w:themeTint="F2"/>
          <w:sz w:val="24"/>
        </w:rPr>
      </w:pPr>
      <w:r w:rsidRPr="00A461B6">
        <w:rPr>
          <w:color w:val="0D0D0D" w:themeColor="text1" w:themeTint="F2"/>
          <w:sz w:val="24"/>
        </w:rPr>
        <w:t>the oral contraceptive pill (unrestricted listing, four months’ supply per dispensing with two repeats)</w:t>
      </w:r>
    </w:p>
    <w:p w14:paraId="31DF34AE" w14:textId="67DA9137" w:rsidR="00C0162A" w:rsidRPr="00A461B6" w:rsidRDefault="00C0162A" w:rsidP="00501CE8">
      <w:pPr>
        <w:pStyle w:val="ListParagraph"/>
        <w:numPr>
          <w:ilvl w:val="0"/>
          <w:numId w:val="8"/>
        </w:numPr>
        <w:spacing w:after="0" w:line="240" w:lineRule="auto"/>
        <w:rPr>
          <w:color w:val="0D0D0D" w:themeColor="text1" w:themeTint="F2"/>
          <w:sz w:val="24"/>
        </w:rPr>
      </w:pPr>
      <w:r w:rsidRPr="00A461B6">
        <w:rPr>
          <w:color w:val="0D0D0D" w:themeColor="text1" w:themeTint="F2"/>
          <w:sz w:val="24"/>
        </w:rPr>
        <w:t>medicines available under the 12 month repeat measure (implemented in 2008-</w:t>
      </w:r>
      <w:r w:rsidR="00774D6E" w:rsidRPr="00A461B6">
        <w:rPr>
          <w:color w:val="0D0D0D" w:themeColor="text1" w:themeTint="F2"/>
          <w:sz w:val="24"/>
        </w:rPr>
        <w:t>0</w:t>
      </w:r>
      <w:r w:rsidRPr="00A461B6">
        <w:rPr>
          <w:color w:val="0D0D0D" w:themeColor="text1" w:themeTint="F2"/>
          <w:sz w:val="24"/>
        </w:rPr>
        <w:t>9) which allows prescriptions for one month’s supply and 11 repeats to be issued by a prescriber, a total of 12</w:t>
      </w:r>
      <w:r w:rsidR="009315B0" w:rsidRPr="00A461B6">
        <w:rPr>
          <w:color w:val="0D0D0D" w:themeColor="text1" w:themeTint="F2"/>
          <w:sz w:val="24"/>
        </w:rPr>
        <w:t> </w:t>
      </w:r>
      <w:r w:rsidRPr="00A461B6">
        <w:rPr>
          <w:color w:val="0D0D0D" w:themeColor="text1" w:themeTint="F2"/>
          <w:sz w:val="24"/>
        </w:rPr>
        <w:t xml:space="preserve">months’ supply. </w:t>
      </w:r>
    </w:p>
    <w:p w14:paraId="5AF4CFED" w14:textId="77777777" w:rsidR="00C0162A" w:rsidRPr="00A461B6" w:rsidRDefault="00C0162A" w:rsidP="00C0162A">
      <w:pPr>
        <w:pStyle w:val="ListParagraph"/>
        <w:spacing w:after="0" w:line="240" w:lineRule="auto"/>
        <w:rPr>
          <w:color w:val="0D0D0D" w:themeColor="text1" w:themeTint="F2"/>
          <w:sz w:val="24"/>
        </w:rPr>
      </w:pPr>
    </w:p>
    <w:p w14:paraId="7CD99355" w14:textId="77777777" w:rsidR="00C0162A" w:rsidRPr="00A461B6" w:rsidRDefault="00C0162A" w:rsidP="00C0162A">
      <w:pPr>
        <w:rPr>
          <w:color w:val="0D0D0D" w:themeColor="text1" w:themeTint="F2"/>
          <w:sz w:val="24"/>
        </w:rPr>
      </w:pPr>
      <w:r w:rsidRPr="00A461B6">
        <w:rPr>
          <w:color w:val="0D0D0D" w:themeColor="text1" w:themeTint="F2"/>
          <w:sz w:val="24"/>
        </w:rPr>
        <w:t>Pharmacists would continue to receive a dispensing fee ($7.82)</w:t>
      </w:r>
      <w:r w:rsidRPr="00A461B6">
        <w:rPr>
          <w:rStyle w:val="FootnoteReference"/>
          <w:color w:val="0D0D0D" w:themeColor="text1" w:themeTint="F2"/>
          <w:sz w:val="24"/>
        </w:rPr>
        <w:footnoteReference w:id="36"/>
      </w:r>
      <w:r w:rsidRPr="00A461B6">
        <w:rPr>
          <w:color w:val="0D0D0D" w:themeColor="text1" w:themeTint="F2"/>
          <w:sz w:val="24"/>
        </w:rPr>
        <w:t xml:space="preserve"> plus an Administration, Handling and Infrastructure (AHI) fee (Range: Tier One: $4.32 to Tier Three: $4.32 + $95 per dispense of Maximum Quantity, tier dependent on the price of the medicine to pharmacy)</w:t>
      </w:r>
      <w:r w:rsidRPr="00A461B6">
        <w:rPr>
          <w:rStyle w:val="FootnoteReference"/>
          <w:color w:val="0D0D0D" w:themeColor="text1" w:themeTint="F2"/>
          <w:sz w:val="24"/>
        </w:rPr>
        <w:footnoteReference w:id="37"/>
      </w:r>
      <w:r w:rsidRPr="00A461B6">
        <w:rPr>
          <w:color w:val="0D0D0D" w:themeColor="text1" w:themeTint="F2"/>
          <w:sz w:val="24"/>
        </w:rPr>
        <w:t xml:space="preserve"> for each dispense. There will be six dispense events per prescription or twelve dispense events per year (once the patient has obtained a second prescription). </w:t>
      </w:r>
    </w:p>
    <w:p w14:paraId="6FE3CB5E" w14:textId="678BB1C0" w:rsidR="001D11CD" w:rsidRPr="00A461B6" w:rsidRDefault="001D11CD" w:rsidP="00DC5650">
      <w:pPr>
        <w:pStyle w:val="Heading3"/>
        <w:rPr>
          <w:iCs/>
        </w:rPr>
      </w:pPr>
      <w:bookmarkStart w:id="72" w:name="_Toc132192307"/>
      <w:bookmarkStart w:id="73" w:name="_Toc134603938"/>
      <w:r w:rsidRPr="00A461B6">
        <w:t xml:space="preserve">Option </w:t>
      </w:r>
      <w:r w:rsidR="00D61146" w:rsidRPr="00A461B6">
        <w:t>2</w:t>
      </w:r>
      <w:r w:rsidRPr="00A461B6">
        <w:t xml:space="preserve">: Implement </w:t>
      </w:r>
      <w:r w:rsidR="007304FE" w:rsidRPr="00A461B6">
        <w:t>M</w:t>
      </w:r>
      <w:r w:rsidRPr="00A461B6">
        <w:t>D</w:t>
      </w:r>
      <w:r w:rsidR="007304FE" w:rsidRPr="00A461B6">
        <w:t>Q changes</w:t>
      </w:r>
      <w:r w:rsidRPr="00A461B6">
        <w:t xml:space="preserve"> for medicines</w:t>
      </w:r>
      <w:r w:rsidR="004C56DC" w:rsidRPr="00A461B6">
        <w:t xml:space="preserve"> </w:t>
      </w:r>
      <w:r w:rsidR="00320BF2">
        <w:t>–</w:t>
      </w:r>
      <w:r w:rsidR="004C56DC" w:rsidRPr="00A461B6">
        <w:t xml:space="preserve"> </w:t>
      </w:r>
      <w:r w:rsidRPr="00A461B6">
        <w:t>2 months’ supply</w:t>
      </w:r>
      <w:bookmarkEnd w:id="72"/>
      <w:bookmarkEnd w:id="73"/>
      <w:r w:rsidRPr="00A461B6">
        <w:t xml:space="preserve"> </w:t>
      </w:r>
    </w:p>
    <w:p w14:paraId="10FDCC70" w14:textId="24CB8B72" w:rsidR="00230EE9" w:rsidRPr="00A461B6" w:rsidRDefault="001D11CD" w:rsidP="00230EE9">
      <w:pPr>
        <w:rPr>
          <w:color w:val="0D0D0D" w:themeColor="text1" w:themeTint="F2"/>
          <w:sz w:val="24"/>
          <w:szCs w:val="24"/>
        </w:rPr>
      </w:pPr>
      <w:r w:rsidRPr="00A461B6">
        <w:rPr>
          <w:color w:val="0D0D0D" w:themeColor="text1" w:themeTint="F2"/>
          <w:sz w:val="24"/>
          <w:szCs w:val="24"/>
        </w:rPr>
        <w:t xml:space="preserve">When fully implemented, the proposed changes </w:t>
      </w:r>
      <w:r w:rsidR="00774D6E" w:rsidRPr="00A461B6">
        <w:rPr>
          <w:color w:val="0D0D0D" w:themeColor="text1" w:themeTint="F2"/>
          <w:sz w:val="24"/>
          <w:szCs w:val="24"/>
        </w:rPr>
        <w:t>could benefit a significant proportion of the base number of 9.</w:t>
      </w:r>
      <w:r w:rsidR="00336199" w:rsidRPr="00A461B6">
        <w:rPr>
          <w:color w:val="0D0D0D" w:themeColor="text1" w:themeTint="F2"/>
          <w:sz w:val="24"/>
          <w:szCs w:val="24"/>
        </w:rPr>
        <w:t>6</w:t>
      </w:r>
      <w:r w:rsidR="00774D6E" w:rsidRPr="00A461B6">
        <w:rPr>
          <w:color w:val="0D0D0D" w:themeColor="text1" w:themeTint="F2"/>
          <w:sz w:val="24"/>
          <w:szCs w:val="24"/>
        </w:rPr>
        <w:t xml:space="preserve"> million patients (derived in the next section) when their prescriber’s assessment is that the patient’s </w:t>
      </w:r>
      <w:r w:rsidR="003F0949" w:rsidRPr="00A461B6">
        <w:rPr>
          <w:color w:val="0D0D0D" w:themeColor="text1" w:themeTint="F2"/>
          <w:sz w:val="24"/>
          <w:szCs w:val="24"/>
        </w:rPr>
        <w:t xml:space="preserve">chronic </w:t>
      </w:r>
      <w:r w:rsidR="00774D6E" w:rsidRPr="00A461B6">
        <w:rPr>
          <w:color w:val="0D0D0D" w:themeColor="text1" w:themeTint="F2"/>
          <w:sz w:val="24"/>
          <w:szCs w:val="24"/>
        </w:rPr>
        <w:t>condition is stable and suitable for the higher maximum dispens</w:t>
      </w:r>
      <w:r w:rsidR="003F0949" w:rsidRPr="00A461B6">
        <w:rPr>
          <w:color w:val="0D0D0D" w:themeColor="text1" w:themeTint="F2"/>
          <w:sz w:val="24"/>
          <w:szCs w:val="24"/>
        </w:rPr>
        <w:t>ed quantity item. These patients</w:t>
      </w:r>
      <w:r w:rsidR="00774D6E" w:rsidRPr="00A461B6">
        <w:rPr>
          <w:color w:val="0D0D0D" w:themeColor="text1" w:themeTint="F2"/>
          <w:sz w:val="24"/>
          <w:szCs w:val="24"/>
        </w:rPr>
        <w:t xml:space="preserve"> could </w:t>
      </w:r>
      <w:r w:rsidRPr="00A461B6">
        <w:rPr>
          <w:color w:val="0D0D0D" w:themeColor="text1" w:themeTint="F2"/>
          <w:sz w:val="24"/>
          <w:szCs w:val="24"/>
        </w:rPr>
        <w:t xml:space="preserve">benefit </w:t>
      </w:r>
      <w:r w:rsidR="00E50D6C" w:rsidRPr="00A461B6">
        <w:rPr>
          <w:color w:val="0D0D0D" w:themeColor="text1" w:themeTint="F2"/>
          <w:sz w:val="24"/>
          <w:szCs w:val="24"/>
        </w:rPr>
        <w:t xml:space="preserve">from a </w:t>
      </w:r>
      <w:r w:rsidRPr="00A461B6">
        <w:rPr>
          <w:color w:val="0D0D0D" w:themeColor="text1" w:themeTint="F2"/>
          <w:sz w:val="24"/>
          <w:szCs w:val="24"/>
        </w:rPr>
        <w:t>reduc</w:t>
      </w:r>
      <w:r w:rsidR="00E50D6C" w:rsidRPr="00A461B6">
        <w:rPr>
          <w:color w:val="0D0D0D" w:themeColor="text1" w:themeTint="F2"/>
          <w:sz w:val="24"/>
          <w:szCs w:val="24"/>
        </w:rPr>
        <w:t>tion in</w:t>
      </w:r>
      <w:r w:rsidRPr="00A461B6">
        <w:rPr>
          <w:color w:val="0D0D0D" w:themeColor="text1" w:themeTint="F2"/>
          <w:sz w:val="24"/>
          <w:szCs w:val="24"/>
        </w:rPr>
        <w:t xml:space="preserve"> the number of individual PBS co</w:t>
      </w:r>
      <w:r w:rsidRPr="00A461B6">
        <w:rPr>
          <w:color w:val="0D0D0D" w:themeColor="text1" w:themeTint="F2"/>
          <w:sz w:val="24"/>
          <w:szCs w:val="24"/>
        </w:rPr>
        <w:noBreakHyphen/>
        <w:t>payments they would have to make for medicines included in the</w:t>
      </w:r>
      <w:r w:rsidR="00AF42E0" w:rsidRPr="00A461B6">
        <w:rPr>
          <w:color w:val="0D0D0D" w:themeColor="text1" w:themeTint="F2"/>
          <w:sz w:val="24"/>
          <w:szCs w:val="24"/>
        </w:rPr>
        <w:t xml:space="preserve"> </w:t>
      </w:r>
      <w:r w:rsidR="004C56DC" w:rsidRPr="00A461B6">
        <w:rPr>
          <w:color w:val="0D0D0D" w:themeColor="text1" w:themeTint="F2"/>
          <w:sz w:val="24"/>
          <w:szCs w:val="24"/>
        </w:rPr>
        <w:t>MDQ</w:t>
      </w:r>
      <w:r w:rsidRPr="00A461B6">
        <w:rPr>
          <w:color w:val="0D0D0D" w:themeColor="text1" w:themeTint="F2"/>
          <w:sz w:val="24"/>
          <w:szCs w:val="24"/>
        </w:rPr>
        <w:t xml:space="preserve"> proposal, and visits to the doctor and pharmacy may be reduced. Implementing the two month supply option will provide </w:t>
      </w:r>
      <w:r w:rsidR="00034D65" w:rsidRPr="00A461B6">
        <w:rPr>
          <w:color w:val="0D0D0D" w:themeColor="text1" w:themeTint="F2"/>
          <w:sz w:val="24"/>
          <w:szCs w:val="24"/>
        </w:rPr>
        <w:t xml:space="preserve">less </w:t>
      </w:r>
      <w:r w:rsidRPr="00A461B6">
        <w:rPr>
          <w:color w:val="0D0D0D" w:themeColor="text1" w:themeTint="F2"/>
          <w:sz w:val="24"/>
          <w:szCs w:val="24"/>
        </w:rPr>
        <w:t xml:space="preserve">savings to Government </w:t>
      </w:r>
      <w:r w:rsidR="004C56DC" w:rsidRPr="00A461B6">
        <w:rPr>
          <w:color w:val="0D0D0D" w:themeColor="text1" w:themeTint="F2"/>
          <w:sz w:val="24"/>
          <w:szCs w:val="24"/>
        </w:rPr>
        <w:t>and</w:t>
      </w:r>
      <w:r w:rsidR="00230EE9" w:rsidRPr="00A461B6">
        <w:rPr>
          <w:color w:val="0D0D0D" w:themeColor="text1" w:themeTint="F2"/>
          <w:sz w:val="24"/>
          <w:szCs w:val="24"/>
        </w:rPr>
        <w:t xml:space="preserve"> consumers than Option </w:t>
      </w:r>
      <w:r w:rsidR="00D61146" w:rsidRPr="00A461B6">
        <w:rPr>
          <w:color w:val="0D0D0D" w:themeColor="text1" w:themeTint="F2"/>
          <w:sz w:val="24"/>
          <w:szCs w:val="24"/>
        </w:rPr>
        <w:t>3</w:t>
      </w:r>
      <w:r w:rsidR="008A7D01" w:rsidRPr="00A461B6">
        <w:rPr>
          <w:color w:val="0D0D0D" w:themeColor="text1" w:themeTint="F2"/>
          <w:sz w:val="24"/>
          <w:szCs w:val="24"/>
        </w:rPr>
        <w:t>,</w:t>
      </w:r>
      <w:r w:rsidR="00E35AF5" w:rsidRPr="00A461B6">
        <w:rPr>
          <w:color w:val="0D0D0D" w:themeColor="text1" w:themeTint="F2"/>
          <w:sz w:val="24"/>
          <w:szCs w:val="24"/>
        </w:rPr>
        <w:t xml:space="preserve"> but the financial impact on pharmacies would also be less than for Option 3.</w:t>
      </w:r>
    </w:p>
    <w:p w14:paraId="410F498D" w14:textId="77777777" w:rsidR="001D11CD" w:rsidRPr="00A461B6" w:rsidRDefault="001D11CD" w:rsidP="00DC5650">
      <w:pPr>
        <w:pStyle w:val="Heading4"/>
      </w:pPr>
      <w:r w:rsidRPr="00A461B6">
        <w:t>Consumers</w:t>
      </w:r>
    </w:p>
    <w:p w14:paraId="02856E62" w14:textId="242346AD" w:rsidR="00230EE9" w:rsidRPr="00A461B6" w:rsidRDefault="00D61146" w:rsidP="00D2693C">
      <w:pPr>
        <w:rPr>
          <w:sz w:val="24"/>
          <w:szCs w:val="24"/>
        </w:rPr>
      </w:pPr>
      <w:r w:rsidRPr="00A461B6">
        <w:rPr>
          <w:color w:val="0D0D0D" w:themeColor="text1" w:themeTint="F2"/>
          <w:sz w:val="24"/>
          <w:szCs w:val="24"/>
        </w:rPr>
        <w:t>Implementation of Option 2</w:t>
      </w:r>
      <w:r w:rsidR="00230EE9" w:rsidRPr="00A461B6">
        <w:rPr>
          <w:color w:val="0D0D0D" w:themeColor="text1" w:themeTint="F2"/>
          <w:sz w:val="24"/>
          <w:szCs w:val="24"/>
        </w:rPr>
        <w:t xml:space="preserve"> will provide ongoing financial and convenience benefits for consumers. It will facilitate equitable access for consumers to higher quantities of PBS medicines, pending individual assessment of a patient’s suitability by their prescriber. </w:t>
      </w:r>
    </w:p>
    <w:p w14:paraId="53E85601" w14:textId="067A7D3D" w:rsidR="0080415F" w:rsidRPr="00A461B6" w:rsidRDefault="00860BDE" w:rsidP="00230EE9">
      <w:pPr>
        <w:spacing w:before="120" w:line="240" w:lineRule="auto"/>
        <w:rPr>
          <w:color w:val="0D0D0D" w:themeColor="text1" w:themeTint="F2"/>
          <w:sz w:val="24"/>
          <w:szCs w:val="24"/>
        </w:rPr>
      </w:pPr>
      <w:r w:rsidRPr="00A461B6">
        <w:rPr>
          <w:color w:val="0D0D0D" w:themeColor="text1" w:themeTint="F2"/>
          <w:sz w:val="24"/>
          <w:szCs w:val="24"/>
        </w:rPr>
        <w:t>This option will reduce</w:t>
      </w:r>
      <w:r w:rsidR="0080415F" w:rsidRPr="00A461B6">
        <w:rPr>
          <w:color w:val="0D0D0D" w:themeColor="text1" w:themeTint="F2"/>
          <w:sz w:val="24"/>
          <w:szCs w:val="24"/>
        </w:rPr>
        <w:t xml:space="preserve"> </w:t>
      </w:r>
      <w:r w:rsidRPr="00A461B6">
        <w:rPr>
          <w:color w:val="0D0D0D" w:themeColor="text1" w:themeTint="F2"/>
          <w:sz w:val="24"/>
          <w:szCs w:val="24"/>
        </w:rPr>
        <w:t>the financial</w:t>
      </w:r>
      <w:r w:rsidR="0080415F" w:rsidRPr="00A461B6">
        <w:rPr>
          <w:color w:val="0D0D0D" w:themeColor="text1" w:themeTint="F2"/>
          <w:sz w:val="24"/>
          <w:szCs w:val="24"/>
        </w:rPr>
        <w:t xml:space="preserve"> barrier to access</w:t>
      </w:r>
      <w:r w:rsidRPr="00A461B6">
        <w:rPr>
          <w:color w:val="0D0D0D" w:themeColor="text1" w:themeTint="F2"/>
          <w:sz w:val="24"/>
          <w:szCs w:val="24"/>
        </w:rPr>
        <w:t>ing</w:t>
      </w:r>
      <w:r w:rsidR="0080415F" w:rsidRPr="00A461B6">
        <w:rPr>
          <w:color w:val="0D0D0D" w:themeColor="text1" w:themeTint="F2"/>
          <w:sz w:val="24"/>
          <w:szCs w:val="24"/>
        </w:rPr>
        <w:t xml:space="preserve"> medicines </w:t>
      </w:r>
      <w:r w:rsidRPr="00A461B6">
        <w:rPr>
          <w:color w:val="0D0D0D" w:themeColor="text1" w:themeTint="F2"/>
          <w:sz w:val="24"/>
          <w:szCs w:val="24"/>
        </w:rPr>
        <w:t xml:space="preserve">experienced by </w:t>
      </w:r>
      <w:r w:rsidR="0080415F" w:rsidRPr="00A461B6">
        <w:rPr>
          <w:color w:val="0D0D0D" w:themeColor="text1" w:themeTint="F2"/>
          <w:sz w:val="24"/>
          <w:szCs w:val="24"/>
        </w:rPr>
        <w:t>low income, elderly and other vulnerable patients</w:t>
      </w:r>
      <w:r w:rsidR="0080415F" w:rsidRPr="00A461B6">
        <w:rPr>
          <w:color w:val="0D0D0D" w:themeColor="text1" w:themeTint="F2"/>
          <w:sz w:val="24"/>
          <w:szCs w:val="24"/>
          <w:vertAlign w:val="superscript"/>
        </w:rPr>
        <w:footnoteReference w:id="38"/>
      </w:r>
      <w:r w:rsidR="0080415F" w:rsidRPr="00A461B6">
        <w:rPr>
          <w:color w:val="0D0D0D" w:themeColor="text1" w:themeTint="F2"/>
          <w:sz w:val="24"/>
          <w:szCs w:val="24"/>
        </w:rPr>
        <w:t xml:space="preserve">, </w:t>
      </w:r>
      <w:r w:rsidR="00DE3545" w:rsidRPr="00A461B6">
        <w:rPr>
          <w:color w:val="0D0D0D" w:themeColor="text1" w:themeTint="F2"/>
          <w:sz w:val="24"/>
          <w:szCs w:val="24"/>
        </w:rPr>
        <w:t>and</w:t>
      </w:r>
      <w:r w:rsidR="0080415F" w:rsidRPr="00A461B6">
        <w:rPr>
          <w:color w:val="0D0D0D" w:themeColor="text1" w:themeTint="F2"/>
          <w:sz w:val="24"/>
          <w:szCs w:val="24"/>
        </w:rPr>
        <w:t xml:space="preserve"> patients taking multiple medications. The risk of patients missing medication dosages at the end of each month when their prescription runs out may be reduced.</w:t>
      </w:r>
    </w:p>
    <w:p w14:paraId="69579FFD" w14:textId="234CA566" w:rsidR="00E35AF5" w:rsidRPr="00A461B6" w:rsidRDefault="00E35AF5" w:rsidP="00E35AF5">
      <w:pPr>
        <w:rPr>
          <w:rFonts w:cstheme="minorHAnsi"/>
          <w:color w:val="auto"/>
          <w:sz w:val="24"/>
          <w:szCs w:val="24"/>
        </w:rPr>
      </w:pPr>
      <w:r w:rsidRPr="00A461B6">
        <w:rPr>
          <w:rFonts w:eastAsiaTheme="majorEastAsia" w:cs="Arial"/>
          <w:bCs/>
          <w:color w:val="auto"/>
          <w:sz w:val="24"/>
          <w:szCs w:val="24"/>
        </w:rPr>
        <w:t xml:space="preserve">Some patients will effectively reduce their out of pocket medicines costs by up to half for Option 2. </w:t>
      </w:r>
      <w:r w:rsidRPr="00A461B6">
        <w:rPr>
          <w:rFonts w:cstheme="minorHAnsi"/>
          <w:color w:val="auto"/>
          <w:sz w:val="24"/>
          <w:szCs w:val="24"/>
        </w:rPr>
        <w:t>For example:</w:t>
      </w:r>
    </w:p>
    <w:p w14:paraId="587562C8" w14:textId="72F97373" w:rsidR="00E35AF5" w:rsidRPr="00A461B6" w:rsidRDefault="00E35AF5" w:rsidP="00501CE8">
      <w:pPr>
        <w:pStyle w:val="CABParagraph"/>
        <w:numPr>
          <w:ilvl w:val="0"/>
          <w:numId w:val="10"/>
        </w:numPr>
        <w:spacing w:before="0" w:after="120"/>
        <w:rPr>
          <w:rFonts w:cstheme="minorHAnsi"/>
          <w:sz w:val="24"/>
          <w:szCs w:val="24"/>
        </w:rPr>
      </w:pPr>
      <w:r w:rsidRPr="00A461B6">
        <w:rPr>
          <w:rFonts w:asciiTheme="minorHAnsi" w:hAnsiTheme="minorHAnsi" w:cstheme="minorHAnsi"/>
          <w:sz w:val="24"/>
          <w:szCs w:val="24"/>
        </w:rPr>
        <w:t xml:space="preserve">Concessional </w:t>
      </w:r>
      <w:r w:rsidR="006F56BB" w:rsidRPr="00A461B6">
        <w:rPr>
          <w:rFonts w:asciiTheme="minorHAnsi" w:hAnsiTheme="minorHAnsi" w:cstheme="minorHAnsi"/>
          <w:sz w:val="24"/>
          <w:szCs w:val="24"/>
        </w:rPr>
        <w:t xml:space="preserve">ordinary (non-Safety Net) </w:t>
      </w:r>
      <w:r w:rsidRPr="00A461B6">
        <w:rPr>
          <w:rFonts w:asciiTheme="minorHAnsi" w:hAnsiTheme="minorHAnsi" w:cstheme="minorHAnsi"/>
          <w:sz w:val="24"/>
          <w:szCs w:val="24"/>
        </w:rPr>
        <w:t xml:space="preserve">patients currently pay $14.60 for two months’ supply for medicines requiring a monthly </w:t>
      </w:r>
      <w:r w:rsidR="00BA448D">
        <w:rPr>
          <w:rFonts w:asciiTheme="minorHAnsi" w:hAnsiTheme="minorHAnsi" w:cstheme="minorHAnsi"/>
          <w:sz w:val="24"/>
          <w:szCs w:val="24"/>
        </w:rPr>
        <w:t>prescription</w:t>
      </w:r>
      <w:r w:rsidR="00BA448D" w:rsidRPr="00A461B6">
        <w:rPr>
          <w:rFonts w:asciiTheme="minorHAnsi" w:hAnsiTheme="minorHAnsi" w:cstheme="minorHAnsi"/>
          <w:sz w:val="24"/>
          <w:szCs w:val="24"/>
        </w:rPr>
        <w:t xml:space="preserve"> </w:t>
      </w:r>
      <w:r w:rsidRPr="00A461B6">
        <w:rPr>
          <w:rFonts w:asciiTheme="minorHAnsi" w:hAnsiTheme="minorHAnsi" w:cstheme="minorHAnsi"/>
          <w:sz w:val="24"/>
          <w:szCs w:val="24"/>
        </w:rPr>
        <w:t>(</w:t>
      </w:r>
      <w:r w:rsidR="00DE3545" w:rsidRPr="00A461B6">
        <w:rPr>
          <w:rFonts w:asciiTheme="minorHAnsi" w:hAnsiTheme="minorHAnsi" w:cstheme="minorHAnsi"/>
          <w:sz w:val="24"/>
          <w:szCs w:val="24"/>
        </w:rPr>
        <w:t>two</w:t>
      </w:r>
      <w:r w:rsidRPr="00A461B6">
        <w:rPr>
          <w:rFonts w:asciiTheme="minorHAnsi" w:hAnsiTheme="minorHAnsi" w:cstheme="minorHAnsi"/>
          <w:sz w:val="24"/>
          <w:szCs w:val="24"/>
        </w:rPr>
        <w:t xml:space="preserve"> co-payments of $7.30), under this proposal they will only pay $7.30. For a patient who needs 12 months’ supply every year </w:t>
      </w:r>
      <w:r w:rsidR="006F56BB" w:rsidRPr="00A461B6">
        <w:rPr>
          <w:rFonts w:asciiTheme="minorHAnsi" w:hAnsiTheme="minorHAnsi" w:cstheme="minorHAnsi"/>
          <w:sz w:val="24"/>
          <w:szCs w:val="24"/>
        </w:rPr>
        <w:t xml:space="preserve">and is in a family that does not reach the PBS concessional Safety Net after the MDQ changes </w:t>
      </w:r>
      <w:r w:rsidRPr="00A461B6">
        <w:rPr>
          <w:rFonts w:asciiTheme="minorHAnsi" w:hAnsiTheme="minorHAnsi" w:cstheme="minorHAnsi"/>
          <w:sz w:val="24"/>
          <w:szCs w:val="24"/>
        </w:rPr>
        <w:t>that is a saving of $43.80 per year for each medicine included in the proposal.</w:t>
      </w:r>
    </w:p>
    <w:p w14:paraId="5C404CC9" w14:textId="2C2B661B" w:rsidR="00B07E8B" w:rsidRPr="00A461B6" w:rsidRDefault="00E35AF5" w:rsidP="00501CE8">
      <w:pPr>
        <w:pStyle w:val="CABParagraph"/>
        <w:numPr>
          <w:ilvl w:val="0"/>
          <w:numId w:val="10"/>
        </w:numPr>
        <w:spacing w:before="0" w:after="120"/>
        <w:rPr>
          <w:rFonts w:cstheme="minorHAnsi"/>
          <w:color w:val="25303B" w:themeColor="accent1"/>
          <w:sz w:val="24"/>
          <w:szCs w:val="24"/>
        </w:rPr>
      </w:pPr>
      <w:r w:rsidRPr="00A461B6">
        <w:rPr>
          <w:rFonts w:asciiTheme="minorHAnsi" w:hAnsiTheme="minorHAnsi" w:cstheme="minorHAnsi"/>
          <w:sz w:val="24"/>
          <w:szCs w:val="24"/>
        </w:rPr>
        <w:t xml:space="preserve">General </w:t>
      </w:r>
      <w:r w:rsidR="006F56BB" w:rsidRPr="00A461B6">
        <w:rPr>
          <w:rFonts w:asciiTheme="minorHAnsi" w:hAnsiTheme="minorHAnsi" w:cstheme="minorHAnsi"/>
          <w:sz w:val="24"/>
          <w:szCs w:val="24"/>
        </w:rPr>
        <w:t xml:space="preserve">ordinary (non-Safety Net) </w:t>
      </w:r>
      <w:r w:rsidRPr="00A461B6">
        <w:rPr>
          <w:rFonts w:asciiTheme="minorHAnsi" w:hAnsiTheme="minorHAnsi" w:cstheme="minorHAnsi"/>
          <w:sz w:val="24"/>
          <w:szCs w:val="24"/>
        </w:rPr>
        <w:t xml:space="preserve">patients currently pay up to $30 per </w:t>
      </w:r>
      <w:r w:rsidR="002535B2">
        <w:rPr>
          <w:rFonts w:asciiTheme="minorHAnsi" w:hAnsiTheme="minorHAnsi" w:cstheme="minorHAnsi"/>
          <w:sz w:val="24"/>
          <w:szCs w:val="24"/>
        </w:rPr>
        <w:t>prescription</w:t>
      </w:r>
      <w:r w:rsidR="002535B2" w:rsidRPr="00A461B6">
        <w:rPr>
          <w:rFonts w:asciiTheme="minorHAnsi" w:hAnsiTheme="minorHAnsi" w:cstheme="minorHAnsi"/>
          <w:sz w:val="24"/>
          <w:szCs w:val="24"/>
        </w:rPr>
        <w:t xml:space="preserve"> </w:t>
      </w:r>
      <w:r w:rsidRPr="00A461B6">
        <w:rPr>
          <w:rFonts w:asciiTheme="minorHAnsi" w:hAnsiTheme="minorHAnsi" w:cstheme="minorHAnsi"/>
          <w:sz w:val="24"/>
          <w:szCs w:val="24"/>
        </w:rPr>
        <w:t xml:space="preserve">for their PBS medicines. Some medicines are priced below the general PBS co-payment, however for those medicines that require 12 </w:t>
      </w:r>
      <w:r w:rsidR="00BA448D">
        <w:rPr>
          <w:rFonts w:asciiTheme="minorHAnsi" w:hAnsiTheme="minorHAnsi" w:cstheme="minorHAnsi"/>
          <w:sz w:val="24"/>
          <w:szCs w:val="24"/>
        </w:rPr>
        <w:t>prescriptions</w:t>
      </w:r>
      <w:r w:rsidR="00BA448D" w:rsidRPr="00A461B6">
        <w:rPr>
          <w:rFonts w:asciiTheme="minorHAnsi" w:hAnsiTheme="minorHAnsi" w:cstheme="minorHAnsi"/>
          <w:sz w:val="24"/>
          <w:szCs w:val="24"/>
        </w:rPr>
        <w:t xml:space="preserve"> </w:t>
      </w:r>
      <w:r w:rsidRPr="00A461B6">
        <w:rPr>
          <w:rFonts w:asciiTheme="minorHAnsi" w:hAnsiTheme="minorHAnsi" w:cstheme="minorHAnsi"/>
          <w:sz w:val="24"/>
          <w:szCs w:val="24"/>
        </w:rPr>
        <w:t xml:space="preserve">per year and where the </w:t>
      </w:r>
      <w:r w:rsidRPr="00E9242C">
        <w:rPr>
          <w:rFonts w:asciiTheme="minorHAnsi" w:hAnsiTheme="minorHAnsi" w:cstheme="minorHAnsi"/>
          <w:sz w:val="24"/>
          <w:szCs w:val="24"/>
        </w:rPr>
        <w:t>dispensed price of the medicine exceeds $30, general patients could save up to $180 per year.</w:t>
      </w:r>
    </w:p>
    <w:p w14:paraId="14F62A4E" w14:textId="4CEEDC8A" w:rsidR="00336199" w:rsidRPr="00A461B6" w:rsidRDefault="00336199" w:rsidP="00336199">
      <w:pPr>
        <w:rPr>
          <w:color w:val="0D0D0D" w:themeColor="text1" w:themeTint="F2"/>
          <w:sz w:val="24"/>
          <w:szCs w:val="24"/>
        </w:rPr>
      </w:pPr>
      <w:r w:rsidRPr="00A461B6">
        <w:rPr>
          <w:color w:val="0D0D0D" w:themeColor="text1" w:themeTint="F2"/>
          <w:sz w:val="24"/>
          <w:szCs w:val="24"/>
        </w:rPr>
        <w:t xml:space="preserve">In </w:t>
      </w:r>
      <w:r w:rsidR="00F14E8C" w:rsidRPr="00A461B6">
        <w:rPr>
          <w:color w:val="0D0D0D" w:themeColor="text1" w:themeTint="F2"/>
          <w:sz w:val="24"/>
          <w:szCs w:val="24"/>
        </w:rPr>
        <w:t>total,</w:t>
      </w:r>
      <w:r w:rsidRPr="00A461B6">
        <w:rPr>
          <w:color w:val="0D0D0D" w:themeColor="text1" w:themeTint="F2"/>
          <w:sz w:val="24"/>
          <w:szCs w:val="24"/>
        </w:rPr>
        <w:t xml:space="preserve"> it is estimated that patients who are prescribed </w:t>
      </w:r>
      <w:r w:rsidR="00BA448D">
        <w:rPr>
          <w:color w:val="0D0D0D" w:themeColor="text1" w:themeTint="F2"/>
          <w:sz w:val="24"/>
          <w:szCs w:val="24"/>
        </w:rPr>
        <w:t>prescriptions</w:t>
      </w:r>
      <w:r w:rsidR="00BA448D" w:rsidRPr="00A461B6">
        <w:rPr>
          <w:color w:val="0D0D0D" w:themeColor="text1" w:themeTint="F2"/>
          <w:sz w:val="24"/>
          <w:szCs w:val="24"/>
        </w:rPr>
        <w:t xml:space="preserve"> </w:t>
      </w:r>
      <w:r w:rsidR="0007702F" w:rsidRPr="00A461B6">
        <w:rPr>
          <w:color w:val="0D0D0D" w:themeColor="text1" w:themeTint="F2"/>
          <w:sz w:val="24"/>
          <w:szCs w:val="24"/>
        </w:rPr>
        <w:t xml:space="preserve">that allow </w:t>
      </w:r>
      <w:r w:rsidR="009064BA" w:rsidRPr="00A461B6">
        <w:rPr>
          <w:color w:val="0D0D0D" w:themeColor="text1" w:themeTint="F2"/>
          <w:sz w:val="24"/>
          <w:szCs w:val="24"/>
        </w:rPr>
        <w:t>two</w:t>
      </w:r>
      <w:r w:rsidR="0007702F" w:rsidRPr="00A461B6">
        <w:rPr>
          <w:color w:val="0D0D0D" w:themeColor="text1" w:themeTint="F2"/>
          <w:sz w:val="24"/>
          <w:szCs w:val="24"/>
        </w:rPr>
        <w:t xml:space="preserve"> months’ supply per dispense</w:t>
      </w:r>
      <w:r w:rsidRPr="00A461B6">
        <w:rPr>
          <w:color w:val="0D0D0D" w:themeColor="text1" w:themeTint="F2"/>
          <w:sz w:val="24"/>
          <w:szCs w:val="24"/>
        </w:rPr>
        <w:t xml:space="preserve"> will save around $540</w:t>
      </w:r>
      <w:r w:rsidR="00F14E8C" w:rsidRPr="00A461B6">
        <w:rPr>
          <w:color w:val="0D0D0D" w:themeColor="text1" w:themeTint="F2"/>
          <w:sz w:val="24"/>
          <w:szCs w:val="24"/>
        </w:rPr>
        <w:t xml:space="preserve"> </w:t>
      </w:r>
      <w:r w:rsidRPr="00A461B6">
        <w:rPr>
          <w:color w:val="0D0D0D" w:themeColor="text1" w:themeTint="F2"/>
          <w:sz w:val="24"/>
          <w:szCs w:val="24"/>
        </w:rPr>
        <w:t>m</w:t>
      </w:r>
      <w:r w:rsidR="00F14E8C" w:rsidRPr="00A461B6">
        <w:rPr>
          <w:color w:val="0D0D0D" w:themeColor="text1" w:themeTint="F2"/>
          <w:sz w:val="24"/>
          <w:szCs w:val="24"/>
        </w:rPr>
        <w:t>illion</w:t>
      </w:r>
      <w:r w:rsidRPr="00A461B6">
        <w:rPr>
          <w:color w:val="0D0D0D" w:themeColor="text1" w:themeTint="F2"/>
          <w:sz w:val="24"/>
          <w:szCs w:val="24"/>
        </w:rPr>
        <w:t xml:space="preserve"> in PBS patient contributions in 2026-27, and approximately $1.8</w:t>
      </w:r>
      <w:r w:rsidR="00F14E8C" w:rsidRPr="00A461B6">
        <w:rPr>
          <w:color w:val="0D0D0D" w:themeColor="text1" w:themeTint="F2"/>
          <w:sz w:val="24"/>
          <w:szCs w:val="24"/>
        </w:rPr>
        <w:t xml:space="preserve"> </w:t>
      </w:r>
      <w:r w:rsidRPr="00A461B6">
        <w:rPr>
          <w:color w:val="0D0D0D" w:themeColor="text1" w:themeTint="F2"/>
          <w:sz w:val="24"/>
          <w:szCs w:val="24"/>
        </w:rPr>
        <w:t>b</w:t>
      </w:r>
      <w:r w:rsidR="00F14E8C" w:rsidRPr="00A461B6">
        <w:rPr>
          <w:color w:val="0D0D0D" w:themeColor="text1" w:themeTint="F2"/>
          <w:sz w:val="24"/>
          <w:szCs w:val="24"/>
        </w:rPr>
        <w:t>illion</w:t>
      </w:r>
      <w:r w:rsidRPr="00A461B6">
        <w:rPr>
          <w:color w:val="0D0D0D" w:themeColor="text1" w:themeTint="F2"/>
          <w:sz w:val="24"/>
          <w:szCs w:val="24"/>
        </w:rPr>
        <w:t xml:space="preserve"> between 2023-24 and 2026-27. </w:t>
      </w:r>
      <w:r w:rsidR="0026392D">
        <w:rPr>
          <w:rFonts w:eastAsiaTheme="majorEastAsia"/>
          <w:bCs/>
          <w:color w:val="0D0D0D" w:themeColor="text1" w:themeTint="F2"/>
          <w:sz w:val="24"/>
          <w:szCs w:val="24"/>
        </w:rPr>
        <w:t xml:space="preserve">Once fully implemented, </w:t>
      </w:r>
      <w:r w:rsidR="0026392D">
        <w:rPr>
          <w:color w:val="0D0D0D" w:themeColor="text1" w:themeTint="F2"/>
          <w:sz w:val="24"/>
          <w:szCs w:val="24"/>
        </w:rPr>
        <w:t>t</w:t>
      </w:r>
      <w:r w:rsidRPr="00A461B6">
        <w:rPr>
          <w:color w:val="0D0D0D" w:themeColor="text1" w:themeTint="F2"/>
          <w:sz w:val="24"/>
          <w:szCs w:val="24"/>
        </w:rPr>
        <w:t>his represents a significant reduction in out of pocket costs for patients accessing PBS medicines. The extent to which an individual patient is impacted is dependent on a number of contributing factor</w:t>
      </w:r>
      <w:r w:rsidR="00F14E8C" w:rsidRPr="00A461B6">
        <w:rPr>
          <w:color w:val="0D0D0D" w:themeColor="text1" w:themeTint="F2"/>
          <w:sz w:val="24"/>
          <w:szCs w:val="24"/>
        </w:rPr>
        <w:t>s</w:t>
      </w:r>
      <w:r w:rsidRPr="00A461B6">
        <w:rPr>
          <w:color w:val="0D0D0D" w:themeColor="text1" w:themeTint="F2"/>
          <w:sz w:val="24"/>
          <w:szCs w:val="24"/>
        </w:rPr>
        <w:t xml:space="preserve"> which include:</w:t>
      </w:r>
    </w:p>
    <w:p w14:paraId="42C1AEA7" w14:textId="77777777" w:rsidR="00336199" w:rsidRPr="00A461B6" w:rsidRDefault="00336199" w:rsidP="00336199">
      <w:pPr>
        <w:pStyle w:val="ListParagraph"/>
        <w:numPr>
          <w:ilvl w:val="0"/>
          <w:numId w:val="14"/>
        </w:numPr>
        <w:rPr>
          <w:color w:val="0D0D0D" w:themeColor="text1" w:themeTint="F2"/>
          <w:sz w:val="24"/>
          <w:szCs w:val="24"/>
        </w:rPr>
      </w:pPr>
      <w:r w:rsidRPr="00A461B6">
        <w:rPr>
          <w:color w:val="0D0D0D" w:themeColor="text1" w:themeTint="F2"/>
          <w:sz w:val="24"/>
          <w:szCs w:val="24"/>
        </w:rPr>
        <w:t>The prescriber assessing the patient’s chronic condition as stable and suitable for the higher maximum dispensed quantity item</w:t>
      </w:r>
    </w:p>
    <w:p w14:paraId="1B561EFA" w14:textId="77777777" w:rsidR="00336199" w:rsidRPr="00A461B6" w:rsidRDefault="00336199" w:rsidP="00336199">
      <w:pPr>
        <w:pStyle w:val="ListParagraph"/>
        <w:numPr>
          <w:ilvl w:val="0"/>
          <w:numId w:val="14"/>
        </w:numPr>
        <w:rPr>
          <w:color w:val="0D0D0D" w:themeColor="text1" w:themeTint="F2"/>
          <w:sz w:val="24"/>
          <w:szCs w:val="24"/>
        </w:rPr>
      </w:pPr>
      <w:r w:rsidRPr="00A461B6">
        <w:rPr>
          <w:color w:val="0D0D0D" w:themeColor="text1" w:themeTint="F2"/>
          <w:sz w:val="24"/>
          <w:szCs w:val="24"/>
        </w:rPr>
        <w:t>The number of medicines affected by the proposal that a patient is prescribed</w:t>
      </w:r>
    </w:p>
    <w:p w14:paraId="51EF1C49" w14:textId="77777777" w:rsidR="00336199" w:rsidRPr="00A461B6" w:rsidRDefault="00336199" w:rsidP="00336199">
      <w:pPr>
        <w:pStyle w:val="ListParagraph"/>
        <w:numPr>
          <w:ilvl w:val="0"/>
          <w:numId w:val="14"/>
        </w:numPr>
        <w:rPr>
          <w:color w:val="0D0D0D" w:themeColor="text1" w:themeTint="F2"/>
          <w:sz w:val="24"/>
          <w:szCs w:val="24"/>
        </w:rPr>
      </w:pPr>
      <w:r w:rsidRPr="00A461B6">
        <w:rPr>
          <w:color w:val="0D0D0D" w:themeColor="text1" w:themeTint="F2"/>
          <w:sz w:val="24"/>
          <w:szCs w:val="24"/>
        </w:rPr>
        <w:t>Whether patient has a concession card for accessing PBS medicines</w:t>
      </w:r>
    </w:p>
    <w:p w14:paraId="5D1CF096" w14:textId="77777777" w:rsidR="00336199" w:rsidRPr="00A461B6" w:rsidRDefault="00336199" w:rsidP="00336199">
      <w:pPr>
        <w:pStyle w:val="ListParagraph"/>
        <w:numPr>
          <w:ilvl w:val="0"/>
          <w:numId w:val="14"/>
        </w:numPr>
        <w:rPr>
          <w:color w:val="0D0D0D" w:themeColor="text1" w:themeTint="F2"/>
          <w:sz w:val="24"/>
          <w:szCs w:val="24"/>
        </w:rPr>
      </w:pPr>
      <w:r w:rsidRPr="00A461B6">
        <w:rPr>
          <w:color w:val="0D0D0D" w:themeColor="text1" w:themeTint="F2"/>
          <w:sz w:val="24"/>
          <w:szCs w:val="24"/>
        </w:rPr>
        <w:t xml:space="preserve">Whether the patient, as part of a family or individually, reaches the PBS Safety Net </w:t>
      </w:r>
    </w:p>
    <w:p w14:paraId="3A46A30D" w14:textId="77777777" w:rsidR="00336199" w:rsidRPr="00A461B6" w:rsidRDefault="00336199" w:rsidP="00336199">
      <w:pPr>
        <w:pStyle w:val="ListParagraph"/>
        <w:numPr>
          <w:ilvl w:val="0"/>
          <w:numId w:val="14"/>
        </w:numPr>
        <w:rPr>
          <w:color w:val="0D0D0D" w:themeColor="text1" w:themeTint="F2"/>
          <w:sz w:val="24"/>
          <w:szCs w:val="24"/>
        </w:rPr>
      </w:pPr>
      <w:r w:rsidRPr="00A461B6">
        <w:rPr>
          <w:color w:val="0D0D0D" w:themeColor="text1" w:themeTint="F2"/>
          <w:sz w:val="24"/>
          <w:szCs w:val="24"/>
        </w:rPr>
        <w:t>For a general patient, the cost of the individual medicine the patient is prescribed, and how this price is impacted by the increased quantity listing.</w:t>
      </w:r>
    </w:p>
    <w:p w14:paraId="42EA0D87" w14:textId="71A410FF" w:rsidR="00336199" w:rsidRPr="00A461B6" w:rsidRDefault="00336199" w:rsidP="00336199">
      <w:pPr>
        <w:rPr>
          <w:color w:val="0D0D0D" w:themeColor="text1" w:themeTint="F2"/>
          <w:sz w:val="24"/>
          <w:szCs w:val="24"/>
        </w:rPr>
      </w:pPr>
      <w:r w:rsidRPr="00A461B6">
        <w:rPr>
          <w:color w:val="0D0D0D" w:themeColor="text1" w:themeTint="F2"/>
          <w:sz w:val="24"/>
          <w:szCs w:val="24"/>
        </w:rPr>
        <w:t xml:space="preserve">The complex interaction of these factors has been considered in the detailed financial modelling and analysis supporting the proposal. To account for this complexity, the financial impact of </w:t>
      </w:r>
      <w:r w:rsidR="00F14E8C" w:rsidRPr="00A461B6">
        <w:rPr>
          <w:color w:val="0D0D0D" w:themeColor="text1" w:themeTint="F2"/>
          <w:sz w:val="24"/>
          <w:szCs w:val="24"/>
        </w:rPr>
        <w:t>the proposal</w:t>
      </w:r>
      <w:r w:rsidRPr="00A461B6">
        <w:rPr>
          <w:color w:val="0D0D0D" w:themeColor="text1" w:themeTint="F2"/>
          <w:sz w:val="24"/>
          <w:szCs w:val="24"/>
        </w:rPr>
        <w:t xml:space="preserve"> has been modelled as the reduction in </w:t>
      </w:r>
      <w:r w:rsidR="00BA448D">
        <w:rPr>
          <w:color w:val="0D0D0D" w:themeColor="text1" w:themeTint="F2"/>
          <w:sz w:val="24"/>
          <w:szCs w:val="24"/>
        </w:rPr>
        <w:t xml:space="preserve">prescriptions </w:t>
      </w:r>
      <w:r w:rsidRPr="00A461B6">
        <w:rPr>
          <w:color w:val="0D0D0D" w:themeColor="text1" w:themeTint="F2"/>
          <w:sz w:val="24"/>
          <w:szCs w:val="24"/>
        </w:rPr>
        <w:t xml:space="preserve">for the single quantity items, the uptake of the increased quantity items and the patient types accessing these </w:t>
      </w:r>
      <w:r w:rsidR="00BA448D">
        <w:rPr>
          <w:color w:val="0D0D0D" w:themeColor="text1" w:themeTint="F2"/>
          <w:sz w:val="24"/>
          <w:szCs w:val="24"/>
        </w:rPr>
        <w:t>prescriptions</w:t>
      </w:r>
      <w:r w:rsidRPr="00A461B6">
        <w:rPr>
          <w:color w:val="0D0D0D" w:themeColor="text1" w:themeTint="F2"/>
          <w:sz w:val="24"/>
          <w:szCs w:val="24"/>
        </w:rPr>
        <w:t xml:space="preserve">. </w:t>
      </w:r>
    </w:p>
    <w:p w14:paraId="2815CBC9" w14:textId="3E2CEC2A" w:rsidR="00336199" w:rsidRPr="00A461B6" w:rsidRDefault="00336199" w:rsidP="006B2F4E">
      <w:pPr>
        <w:rPr>
          <w:color w:val="0D0D0D" w:themeColor="text1" w:themeTint="F2"/>
          <w:sz w:val="24"/>
          <w:szCs w:val="24"/>
        </w:rPr>
      </w:pPr>
      <w:r w:rsidRPr="00A461B6">
        <w:rPr>
          <w:color w:val="0D0D0D" w:themeColor="text1" w:themeTint="F2"/>
          <w:sz w:val="24"/>
          <w:szCs w:val="24"/>
        </w:rPr>
        <w:t xml:space="preserve">The detailed </w:t>
      </w:r>
      <w:r w:rsidR="00BA448D">
        <w:rPr>
          <w:color w:val="0D0D0D" w:themeColor="text1" w:themeTint="F2"/>
          <w:sz w:val="24"/>
          <w:szCs w:val="24"/>
        </w:rPr>
        <w:t xml:space="preserve">prescription </w:t>
      </w:r>
      <w:r w:rsidRPr="00A461B6">
        <w:rPr>
          <w:color w:val="0D0D0D" w:themeColor="text1" w:themeTint="F2"/>
          <w:sz w:val="24"/>
          <w:szCs w:val="24"/>
        </w:rPr>
        <w:t>volume and pricing forecasts that underpin the model account for:</w:t>
      </w:r>
    </w:p>
    <w:p w14:paraId="6737AC64" w14:textId="77777777" w:rsidR="00336199" w:rsidRPr="00A461B6" w:rsidRDefault="00336199" w:rsidP="006B2F4E">
      <w:pPr>
        <w:pStyle w:val="ListParagraph"/>
        <w:numPr>
          <w:ilvl w:val="0"/>
          <w:numId w:val="14"/>
        </w:numPr>
        <w:rPr>
          <w:color w:val="0D0D0D" w:themeColor="text1" w:themeTint="F2"/>
          <w:sz w:val="24"/>
          <w:szCs w:val="24"/>
        </w:rPr>
      </w:pPr>
      <w:r w:rsidRPr="00A461B6">
        <w:rPr>
          <w:color w:val="0D0D0D" w:themeColor="text1" w:themeTint="F2"/>
          <w:sz w:val="24"/>
          <w:szCs w:val="24"/>
        </w:rPr>
        <w:t>The range of medicines impacted by the proposal</w:t>
      </w:r>
    </w:p>
    <w:p w14:paraId="5DDD7861" w14:textId="77777777" w:rsidR="00336199" w:rsidRPr="00A461B6" w:rsidRDefault="00336199" w:rsidP="006B2F4E">
      <w:pPr>
        <w:pStyle w:val="ListParagraph"/>
        <w:numPr>
          <w:ilvl w:val="0"/>
          <w:numId w:val="14"/>
        </w:numPr>
        <w:rPr>
          <w:color w:val="0D0D0D" w:themeColor="text1" w:themeTint="F2"/>
          <w:sz w:val="24"/>
          <w:szCs w:val="24"/>
        </w:rPr>
      </w:pPr>
      <w:r w:rsidRPr="00A461B6">
        <w:rPr>
          <w:color w:val="0D0D0D" w:themeColor="text1" w:themeTint="F2"/>
          <w:sz w:val="24"/>
          <w:szCs w:val="24"/>
        </w:rPr>
        <w:t xml:space="preserve">The rate of uptake of prescribing the increased quantity items </w:t>
      </w:r>
    </w:p>
    <w:p w14:paraId="14600B57" w14:textId="5C6CE5E4" w:rsidR="00336199" w:rsidRPr="00A461B6" w:rsidRDefault="00336199" w:rsidP="006B2F4E">
      <w:pPr>
        <w:pStyle w:val="ListParagraph"/>
        <w:numPr>
          <w:ilvl w:val="0"/>
          <w:numId w:val="14"/>
        </w:numPr>
        <w:rPr>
          <w:color w:val="0D0D0D" w:themeColor="text1" w:themeTint="F2"/>
          <w:sz w:val="24"/>
          <w:szCs w:val="24"/>
        </w:rPr>
      </w:pPr>
      <w:r w:rsidRPr="00A461B6">
        <w:rPr>
          <w:color w:val="0D0D0D" w:themeColor="text1" w:themeTint="F2"/>
          <w:sz w:val="24"/>
          <w:szCs w:val="24"/>
        </w:rPr>
        <w:t xml:space="preserve">Whether the </w:t>
      </w:r>
      <w:r w:rsidR="00BA448D">
        <w:rPr>
          <w:color w:val="0D0D0D" w:themeColor="text1" w:themeTint="F2"/>
          <w:sz w:val="24"/>
          <w:szCs w:val="24"/>
        </w:rPr>
        <w:t xml:space="preserve">prescription </w:t>
      </w:r>
      <w:r w:rsidRPr="00A461B6">
        <w:rPr>
          <w:color w:val="0D0D0D" w:themeColor="text1" w:themeTint="F2"/>
          <w:sz w:val="24"/>
          <w:szCs w:val="24"/>
        </w:rPr>
        <w:t>is for a concessional or general patient</w:t>
      </w:r>
    </w:p>
    <w:p w14:paraId="439FC3E0" w14:textId="58BC457A" w:rsidR="00336199" w:rsidRPr="00A461B6" w:rsidRDefault="00336199" w:rsidP="006B2F4E">
      <w:pPr>
        <w:pStyle w:val="ListParagraph"/>
        <w:numPr>
          <w:ilvl w:val="0"/>
          <w:numId w:val="14"/>
        </w:numPr>
        <w:rPr>
          <w:color w:val="0D0D0D" w:themeColor="text1" w:themeTint="F2"/>
          <w:sz w:val="24"/>
          <w:szCs w:val="24"/>
        </w:rPr>
      </w:pPr>
      <w:r w:rsidRPr="00A461B6">
        <w:rPr>
          <w:color w:val="0D0D0D" w:themeColor="text1" w:themeTint="F2"/>
          <w:sz w:val="24"/>
          <w:szCs w:val="24"/>
        </w:rPr>
        <w:t xml:space="preserve">Whether the </w:t>
      </w:r>
      <w:r w:rsidR="00BA448D">
        <w:rPr>
          <w:color w:val="0D0D0D" w:themeColor="text1" w:themeTint="F2"/>
          <w:sz w:val="24"/>
          <w:szCs w:val="24"/>
        </w:rPr>
        <w:t xml:space="preserve">prescription </w:t>
      </w:r>
      <w:r w:rsidRPr="00A461B6">
        <w:rPr>
          <w:color w:val="0D0D0D" w:themeColor="text1" w:themeTint="F2"/>
          <w:sz w:val="24"/>
          <w:szCs w:val="24"/>
        </w:rPr>
        <w:t>is for a patient who individually, or as part of a family, has reached the PBS Safety Net</w:t>
      </w:r>
    </w:p>
    <w:p w14:paraId="632A35D9" w14:textId="49C23781" w:rsidR="00336199" w:rsidRPr="00A461B6" w:rsidRDefault="00336199" w:rsidP="006B2F4E">
      <w:pPr>
        <w:pStyle w:val="ListParagraph"/>
        <w:numPr>
          <w:ilvl w:val="0"/>
          <w:numId w:val="14"/>
        </w:numPr>
        <w:rPr>
          <w:color w:val="0D0D0D" w:themeColor="text1" w:themeTint="F2"/>
          <w:sz w:val="24"/>
          <w:szCs w:val="24"/>
        </w:rPr>
      </w:pPr>
      <w:r w:rsidRPr="00A461B6">
        <w:rPr>
          <w:color w:val="0D0D0D" w:themeColor="text1" w:themeTint="F2"/>
          <w:sz w:val="24"/>
          <w:szCs w:val="24"/>
        </w:rPr>
        <w:t xml:space="preserve">The setting in which the </w:t>
      </w:r>
      <w:r w:rsidR="00BA448D">
        <w:rPr>
          <w:color w:val="0D0D0D" w:themeColor="text1" w:themeTint="F2"/>
          <w:sz w:val="24"/>
          <w:szCs w:val="24"/>
        </w:rPr>
        <w:t xml:space="preserve">prescription </w:t>
      </w:r>
      <w:r w:rsidRPr="00A461B6">
        <w:rPr>
          <w:color w:val="0D0D0D" w:themeColor="text1" w:themeTint="F2"/>
          <w:sz w:val="24"/>
          <w:szCs w:val="24"/>
        </w:rPr>
        <w:t>is dispensed (across community pharmacy, private or public hospital)</w:t>
      </w:r>
    </w:p>
    <w:p w14:paraId="6560BEFD" w14:textId="77777777" w:rsidR="00336199" w:rsidRPr="00A461B6" w:rsidRDefault="00336199" w:rsidP="006B2F4E">
      <w:pPr>
        <w:pStyle w:val="ListParagraph"/>
        <w:numPr>
          <w:ilvl w:val="0"/>
          <w:numId w:val="14"/>
        </w:numPr>
        <w:rPr>
          <w:color w:val="0D0D0D" w:themeColor="text1" w:themeTint="F2"/>
          <w:sz w:val="24"/>
          <w:szCs w:val="24"/>
        </w:rPr>
      </w:pPr>
      <w:r w:rsidRPr="00A461B6">
        <w:rPr>
          <w:color w:val="0D0D0D" w:themeColor="text1" w:themeTint="F2"/>
          <w:sz w:val="24"/>
          <w:szCs w:val="24"/>
        </w:rPr>
        <w:t>Assumptions about changes in the future price of medicines</w:t>
      </w:r>
    </w:p>
    <w:p w14:paraId="4B8BE519" w14:textId="77777777" w:rsidR="00336199" w:rsidRPr="00A461B6" w:rsidRDefault="00336199" w:rsidP="006B2F4E">
      <w:pPr>
        <w:pStyle w:val="ListParagraph"/>
        <w:numPr>
          <w:ilvl w:val="0"/>
          <w:numId w:val="14"/>
        </w:numPr>
        <w:rPr>
          <w:color w:val="0D0D0D" w:themeColor="text1" w:themeTint="F2"/>
          <w:sz w:val="24"/>
          <w:szCs w:val="24"/>
        </w:rPr>
      </w:pPr>
      <w:r w:rsidRPr="00A461B6">
        <w:rPr>
          <w:color w:val="0D0D0D" w:themeColor="text1" w:themeTint="F2"/>
          <w:sz w:val="24"/>
          <w:szCs w:val="24"/>
        </w:rPr>
        <w:t>Changes in the policy environment and projected indexation of patient co-payments, the PBS Safety Net threshold, fees and mark-ups for wholesalers and pharmacies.</w:t>
      </w:r>
    </w:p>
    <w:p w14:paraId="50E0CD38" w14:textId="77777777" w:rsidR="00336199" w:rsidRPr="00A461B6" w:rsidRDefault="00336199" w:rsidP="006B2F4E">
      <w:pPr>
        <w:pStyle w:val="ListParagraph"/>
        <w:numPr>
          <w:ilvl w:val="0"/>
          <w:numId w:val="14"/>
        </w:numPr>
        <w:rPr>
          <w:color w:val="0D0D0D" w:themeColor="text1" w:themeTint="F2"/>
          <w:sz w:val="24"/>
          <w:szCs w:val="24"/>
        </w:rPr>
      </w:pPr>
      <w:r w:rsidRPr="00A461B6">
        <w:rPr>
          <w:color w:val="0D0D0D" w:themeColor="text1" w:themeTint="F2"/>
          <w:sz w:val="24"/>
          <w:szCs w:val="24"/>
        </w:rPr>
        <w:t xml:space="preserve">Special Pricing Arrangements and Risk Sharing Arrangements with sponsors for certain medicines. </w:t>
      </w:r>
    </w:p>
    <w:p w14:paraId="5B2DAEB7" w14:textId="55056F29" w:rsidR="00336199" w:rsidRPr="00A461B6" w:rsidRDefault="00336199" w:rsidP="00336199">
      <w:pPr>
        <w:rPr>
          <w:color w:val="0D0D0D" w:themeColor="text1" w:themeTint="F2"/>
          <w:sz w:val="24"/>
          <w:szCs w:val="24"/>
        </w:rPr>
      </w:pPr>
      <w:r w:rsidRPr="00A461B6">
        <w:rPr>
          <w:color w:val="0D0D0D" w:themeColor="text1" w:themeTint="F2"/>
          <w:sz w:val="24"/>
          <w:szCs w:val="24"/>
        </w:rPr>
        <w:t xml:space="preserve">Considering each of these factors, the estimated financial impact on consumers takes into account the financial benefit to the patient each time a dispensing of two </w:t>
      </w:r>
      <w:r w:rsidR="00BA448D">
        <w:rPr>
          <w:color w:val="0D0D0D" w:themeColor="text1" w:themeTint="F2"/>
          <w:sz w:val="24"/>
          <w:szCs w:val="24"/>
        </w:rPr>
        <w:t>prescriptions</w:t>
      </w:r>
      <w:r w:rsidRPr="00A461B6">
        <w:rPr>
          <w:color w:val="0D0D0D" w:themeColor="text1" w:themeTint="F2"/>
          <w:sz w:val="24"/>
          <w:szCs w:val="24"/>
        </w:rPr>
        <w:t xml:space="preserve"> for one month</w:t>
      </w:r>
      <w:r w:rsidR="00FA0ADE" w:rsidRPr="00A461B6">
        <w:rPr>
          <w:color w:val="0D0D0D" w:themeColor="text1" w:themeTint="F2"/>
          <w:sz w:val="24"/>
          <w:szCs w:val="24"/>
        </w:rPr>
        <w:t>’</w:t>
      </w:r>
      <w:r w:rsidRPr="00A461B6">
        <w:rPr>
          <w:color w:val="0D0D0D" w:themeColor="text1" w:themeTint="F2"/>
          <w:sz w:val="24"/>
          <w:szCs w:val="24"/>
        </w:rPr>
        <w:t xml:space="preserve">s supply are replaced by a single </w:t>
      </w:r>
      <w:r w:rsidR="00BA448D">
        <w:rPr>
          <w:color w:val="0D0D0D" w:themeColor="text1" w:themeTint="F2"/>
          <w:sz w:val="24"/>
          <w:szCs w:val="24"/>
        </w:rPr>
        <w:t>prescription</w:t>
      </w:r>
      <w:r w:rsidRPr="00A461B6">
        <w:rPr>
          <w:color w:val="0D0D0D" w:themeColor="text1" w:themeTint="F2"/>
          <w:sz w:val="24"/>
          <w:szCs w:val="24"/>
        </w:rPr>
        <w:t xml:space="preserve"> for two months’ supply.</w:t>
      </w:r>
    </w:p>
    <w:p w14:paraId="32325F07" w14:textId="16FEDE50" w:rsidR="00E35AF5" w:rsidRPr="00A461B6" w:rsidRDefault="00E35AF5" w:rsidP="00D2693C">
      <w:pPr>
        <w:rPr>
          <w:color w:val="0D0D0D" w:themeColor="text1" w:themeTint="F2"/>
          <w:sz w:val="24"/>
          <w:szCs w:val="24"/>
        </w:rPr>
      </w:pPr>
      <w:r w:rsidRPr="00A461B6">
        <w:rPr>
          <w:color w:val="0D0D0D" w:themeColor="text1" w:themeTint="F2"/>
          <w:sz w:val="24"/>
          <w:szCs w:val="24"/>
        </w:rPr>
        <w:t xml:space="preserve">Consumers taking only those medicines </w:t>
      </w:r>
      <w:r w:rsidR="004A1F7B" w:rsidRPr="00A461B6">
        <w:rPr>
          <w:color w:val="0D0D0D" w:themeColor="text1" w:themeTint="F2"/>
          <w:sz w:val="24"/>
          <w:szCs w:val="24"/>
        </w:rPr>
        <w:t>subject to the MDQ changes</w:t>
      </w:r>
      <w:r w:rsidRPr="00A461B6">
        <w:rPr>
          <w:color w:val="0D0D0D" w:themeColor="text1" w:themeTint="F2"/>
          <w:sz w:val="24"/>
          <w:szCs w:val="24"/>
        </w:rPr>
        <w:t xml:space="preserve"> will visit a pharmacy every second month instead of each month to have their prescription dispensed and may reduce their doctor visits. Consumers may reach their applicable PBS Safety Net threshold later in the calendar year and co</w:t>
      </w:r>
      <w:r w:rsidR="00DE3545" w:rsidRPr="00A461B6">
        <w:rPr>
          <w:color w:val="0D0D0D" w:themeColor="text1" w:themeTint="F2"/>
          <w:sz w:val="24"/>
          <w:szCs w:val="24"/>
        </w:rPr>
        <w:noBreakHyphen/>
      </w:r>
      <w:r w:rsidRPr="00A461B6">
        <w:rPr>
          <w:color w:val="0D0D0D" w:themeColor="text1" w:themeTint="F2"/>
          <w:sz w:val="24"/>
          <w:szCs w:val="24"/>
        </w:rPr>
        <w:t>payment costs may be spread more evenly across the calendar year, rather than concentrated in the first half of the calendar year.</w:t>
      </w:r>
      <w:r w:rsidR="001B66EF" w:rsidRPr="00A461B6">
        <w:rPr>
          <w:color w:val="0D0D0D" w:themeColor="text1" w:themeTint="F2"/>
          <w:sz w:val="24"/>
          <w:szCs w:val="24"/>
        </w:rPr>
        <w:t xml:space="preserve"> For medicines included in the MDQ proposal, consumers </w:t>
      </w:r>
      <w:r w:rsidR="004145DF" w:rsidRPr="00A461B6">
        <w:rPr>
          <w:color w:val="0D0D0D" w:themeColor="text1" w:themeTint="F2"/>
          <w:sz w:val="24"/>
          <w:szCs w:val="24"/>
        </w:rPr>
        <w:t xml:space="preserve">would pay </w:t>
      </w:r>
      <w:r w:rsidR="001B66EF" w:rsidRPr="00A461B6">
        <w:rPr>
          <w:color w:val="0D0D0D" w:themeColor="text1" w:themeTint="F2"/>
          <w:sz w:val="24"/>
          <w:szCs w:val="24"/>
        </w:rPr>
        <w:t>a co</w:t>
      </w:r>
      <w:r w:rsidR="0016162F" w:rsidRPr="00A461B6">
        <w:rPr>
          <w:color w:val="0D0D0D" w:themeColor="text1" w:themeTint="F2"/>
          <w:sz w:val="24"/>
          <w:szCs w:val="24"/>
        </w:rPr>
        <w:noBreakHyphen/>
      </w:r>
      <w:r w:rsidR="001B66EF" w:rsidRPr="00A461B6">
        <w:rPr>
          <w:color w:val="0D0D0D" w:themeColor="text1" w:themeTint="F2"/>
          <w:sz w:val="24"/>
          <w:szCs w:val="24"/>
        </w:rPr>
        <w:t xml:space="preserve">payment every second month to receive 12 months’ supply </w:t>
      </w:r>
      <w:r w:rsidR="00981502" w:rsidRPr="00A461B6">
        <w:rPr>
          <w:color w:val="0D0D0D" w:themeColor="text1" w:themeTint="F2"/>
          <w:sz w:val="24"/>
          <w:szCs w:val="24"/>
        </w:rPr>
        <w:t xml:space="preserve">in total </w:t>
      </w:r>
      <w:r w:rsidR="001B66EF" w:rsidRPr="00A461B6">
        <w:rPr>
          <w:color w:val="0D0D0D" w:themeColor="text1" w:themeTint="F2"/>
          <w:sz w:val="24"/>
          <w:szCs w:val="24"/>
        </w:rPr>
        <w:t xml:space="preserve">of medicine </w:t>
      </w:r>
      <w:r w:rsidR="00981502" w:rsidRPr="00A461B6">
        <w:rPr>
          <w:color w:val="0D0D0D" w:themeColor="text1" w:themeTint="F2"/>
          <w:sz w:val="24"/>
          <w:szCs w:val="24"/>
        </w:rPr>
        <w:t>per prescription. For the same me</w:t>
      </w:r>
      <w:r w:rsidR="00DD4825" w:rsidRPr="00A461B6">
        <w:rPr>
          <w:color w:val="0D0D0D" w:themeColor="text1" w:themeTint="F2"/>
          <w:sz w:val="24"/>
          <w:szCs w:val="24"/>
        </w:rPr>
        <w:t>dicine under the status quo, consumers pay a co-payment each month, or twelve per year. Comparing the two month option to the status quo, t</w:t>
      </w:r>
      <w:r w:rsidR="004145DF" w:rsidRPr="00A461B6">
        <w:rPr>
          <w:color w:val="0D0D0D" w:themeColor="text1" w:themeTint="F2"/>
          <w:sz w:val="24"/>
          <w:szCs w:val="24"/>
        </w:rPr>
        <w:t>h</w:t>
      </w:r>
      <w:r w:rsidR="00981502" w:rsidRPr="00A461B6">
        <w:rPr>
          <w:color w:val="0D0D0D" w:themeColor="text1" w:themeTint="F2"/>
          <w:sz w:val="24"/>
          <w:szCs w:val="24"/>
        </w:rPr>
        <w:t xml:space="preserve">ree </w:t>
      </w:r>
      <w:r w:rsidR="004145DF" w:rsidRPr="00A461B6">
        <w:rPr>
          <w:color w:val="0D0D0D" w:themeColor="text1" w:themeTint="F2"/>
          <w:sz w:val="24"/>
          <w:szCs w:val="24"/>
        </w:rPr>
        <w:t xml:space="preserve">co-payments </w:t>
      </w:r>
      <w:r w:rsidR="00981502" w:rsidRPr="00A461B6">
        <w:rPr>
          <w:color w:val="0D0D0D" w:themeColor="text1" w:themeTint="F2"/>
          <w:sz w:val="24"/>
          <w:szCs w:val="24"/>
        </w:rPr>
        <w:t xml:space="preserve">would be </w:t>
      </w:r>
      <w:r w:rsidR="004145DF" w:rsidRPr="00A461B6">
        <w:rPr>
          <w:color w:val="0D0D0D" w:themeColor="text1" w:themeTint="F2"/>
          <w:sz w:val="24"/>
          <w:szCs w:val="24"/>
        </w:rPr>
        <w:t xml:space="preserve">required in the first six months of the year rather than six </w:t>
      </w:r>
      <w:r w:rsidR="00981502" w:rsidRPr="00A461B6">
        <w:rPr>
          <w:color w:val="0D0D0D" w:themeColor="text1" w:themeTint="F2"/>
          <w:sz w:val="24"/>
          <w:szCs w:val="24"/>
        </w:rPr>
        <w:t>co-payments</w:t>
      </w:r>
      <w:r w:rsidR="00DD4825" w:rsidRPr="00A461B6">
        <w:rPr>
          <w:color w:val="0D0D0D" w:themeColor="text1" w:themeTint="F2"/>
          <w:sz w:val="24"/>
          <w:szCs w:val="24"/>
        </w:rPr>
        <w:t>.</w:t>
      </w:r>
    </w:p>
    <w:p w14:paraId="3CAD7B56" w14:textId="4C865D92" w:rsidR="009064BA" w:rsidRPr="00A461B6" w:rsidRDefault="006806B6" w:rsidP="001D11CD">
      <w:pPr>
        <w:rPr>
          <w:color w:val="0D0D0D" w:themeColor="text1" w:themeTint="F2"/>
          <w:sz w:val="24"/>
          <w:szCs w:val="24"/>
        </w:rPr>
      </w:pPr>
      <w:r w:rsidRPr="00A461B6">
        <w:rPr>
          <w:color w:val="0D0D0D" w:themeColor="text1" w:themeTint="F2"/>
          <w:sz w:val="24"/>
          <w:szCs w:val="24"/>
        </w:rPr>
        <w:t xml:space="preserve">The base number of patients eligible for the proposal was derived from PBS data. </w:t>
      </w:r>
      <w:r w:rsidR="00DE3545" w:rsidRPr="00A461B6">
        <w:rPr>
          <w:color w:val="0D0D0D" w:themeColor="text1" w:themeTint="F2"/>
          <w:sz w:val="24"/>
          <w:szCs w:val="24"/>
        </w:rPr>
        <w:t>A</w:t>
      </w:r>
      <w:r w:rsidRPr="00A461B6">
        <w:rPr>
          <w:color w:val="0D0D0D" w:themeColor="text1" w:themeTint="F2"/>
          <w:sz w:val="24"/>
          <w:szCs w:val="24"/>
        </w:rPr>
        <w:t>round 9.</w:t>
      </w:r>
      <w:r w:rsidR="00336199" w:rsidRPr="00A461B6">
        <w:rPr>
          <w:color w:val="0D0D0D" w:themeColor="text1" w:themeTint="F2"/>
          <w:sz w:val="24"/>
          <w:szCs w:val="24"/>
        </w:rPr>
        <w:t xml:space="preserve">6 </w:t>
      </w:r>
      <w:r w:rsidRPr="00A461B6">
        <w:rPr>
          <w:color w:val="0D0D0D" w:themeColor="text1" w:themeTint="F2"/>
          <w:sz w:val="24"/>
          <w:szCs w:val="24"/>
        </w:rPr>
        <w:t xml:space="preserve">million consumers received two or more </w:t>
      </w:r>
      <w:r w:rsidR="007B67CE" w:rsidRPr="00A461B6">
        <w:rPr>
          <w:color w:val="0D0D0D" w:themeColor="text1" w:themeTint="F2"/>
          <w:sz w:val="24"/>
          <w:szCs w:val="24"/>
        </w:rPr>
        <w:t>dispensing</w:t>
      </w:r>
      <w:r w:rsidRPr="00A461B6">
        <w:rPr>
          <w:color w:val="0D0D0D" w:themeColor="text1" w:themeTint="F2"/>
          <w:sz w:val="24"/>
          <w:szCs w:val="24"/>
        </w:rPr>
        <w:t xml:space="preserve"> of medicines </w:t>
      </w:r>
      <w:r w:rsidR="00DE3545" w:rsidRPr="00A461B6">
        <w:rPr>
          <w:color w:val="0D0D0D" w:themeColor="text1" w:themeTint="F2"/>
          <w:sz w:val="24"/>
          <w:szCs w:val="24"/>
        </w:rPr>
        <w:t xml:space="preserve">included in the proposal </w:t>
      </w:r>
      <w:r w:rsidR="00336199" w:rsidRPr="00A461B6">
        <w:rPr>
          <w:color w:val="0D0D0D" w:themeColor="text1" w:themeTint="F2"/>
          <w:sz w:val="24"/>
          <w:szCs w:val="24"/>
        </w:rPr>
        <w:t xml:space="preserve">in </w:t>
      </w:r>
      <w:r w:rsidRPr="00A461B6">
        <w:rPr>
          <w:color w:val="0D0D0D" w:themeColor="text1" w:themeTint="F2"/>
          <w:sz w:val="24"/>
          <w:szCs w:val="24"/>
        </w:rPr>
        <w:t>2022</w:t>
      </w:r>
      <w:r w:rsidR="009A7187" w:rsidRPr="00A461B6">
        <w:rPr>
          <w:color w:val="0D0D0D" w:themeColor="text1" w:themeTint="F2"/>
          <w:sz w:val="24"/>
          <w:szCs w:val="24"/>
        </w:rPr>
        <w:t>.</w:t>
      </w:r>
      <w:r w:rsidRPr="00A461B6">
        <w:rPr>
          <w:rStyle w:val="FootnoteReference"/>
          <w:color w:val="0D0D0D" w:themeColor="text1" w:themeTint="F2"/>
          <w:sz w:val="24"/>
          <w:szCs w:val="24"/>
        </w:rPr>
        <w:footnoteReference w:id="39"/>
      </w:r>
      <w:r w:rsidRPr="00A461B6">
        <w:rPr>
          <w:color w:val="0D0D0D" w:themeColor="text1" w:themeTint="F2"/>
          <w:sz w:val="24"/>
          <w:szCs w:val="24"/>
        </w:rPr>
        <w:t xml:space="preserve"> </w:t>
      </w:r>
      <w:r w:rsidR="009064BA" w:rsidRPr="00A461B6">
        <w:rPr>
          <w:color w:val="0D0D0D" w:themeColor="text1" w:themeTint="F2"/>
          <w:sz w:val="24"/>
        </w:rPr>
        <w:t xml:space="preserve">The rate that consumers are likely to take up this proposal </w:t>
      </w:r>
      <w:r w:rsidR="00B54EF1" w:rsidRPr="00A461B6">
        <w:rPr>
          <w:color w:val="0D0D0D" w:themeColor="text1" w:themeTint="F2"/>
          <w:sz w:val="24"/>
        </w:rPr>
        <w:t>is</w:t>
      </w:r>
      <w:r w:rsidR="009064BA" w:rsidRPr="00A461B6">
        <w:rPr>
          <w:color w:val="0D0D0D" w:themeColor="text1" w:themeTint="F2"/>
          <w:sz w:val="24"/>
        </w:rPr>
        <w:t xml:space="preserve"> assumed to be gradual, increasing from a 45% aggregate reduction in the volume of eligible prescriptions for the single month</w:t>
      </w:r>
      <w:r w:rsidR="00A26F16">
        <w:rPr>
          <w:color w:val="0D0D0D" w:themeColor="text1" w:themeTint="F2"/>
          <w:sz w:val="24"/>
        </w:rPr>
        <w:t>’</w:t>
      </w:r>
      <w:r w:rsidR="009064BA" w:rsidRPr="00A461B6">
        <w:rPr>
          <w:color w:val="0D0D0D" w:themeColor="text1" w:themeTint="F2"/>
          <w:sz w:val="24"/>
        </w:rPr>
        <w:t>s quantity items</w:t>
      </w:r>
      <w:r w:rsidR="00B54EF1" w:rsidRPr="00A461B6">
        <w:rPr>
          <w:color w:val="0D0D0D" w:themeColor="text1" w:themeTint="F2"/>
          <w:sz w:val="24"/>
        </w:rPr>
        <w:t xml:space="preserve"> in Year 1</w:t>
      </w:r>
      <w:r w:rsidR="009064BA" w:rsidRPr="00A461B6">
        <w:rPr>
          <w:color w:val="0D0D0D" w:themeColor="text1" w:themeTint="F2"/>
          <w:sz w:val="24"/>
        </w:rPr>
        <w:t>, 58% in Year 2, 63%</w:t>
      </w:r>
      <w:r w:rsidR="00B54EF1" w:rsidRPr="00A461B6">
        <w:rPr>
          <w:color w:val="0D0D0D" w:themeColor="text1" w:themeTint="F2"/>
          <w:sz w:val="24"/>
        </w:rPr>
        <w:t xml:space="preserve"> in Year 3</w:t>
      </w:r>
      <w:r w:rsidR="009064BA" w:rsidRPr="00A461B6">
        <w:rPr>
          <w:color w:val="0D0D0D" w:themeColor="text1" w:themeTint="F2"/>
          <w:sz w:val="24"/>
        </w:rPr>
        <w:t xml:space="preserve"> to 63%</w:t>
      </w:r>
      <w:r w:rsidR="00B54EF1" w:rsidRPr="00A461B6">
        <w:rPr>
          <w:color w:val="0D0D0D" w:themeColor="text1" w:themeTint="F2"/>
          <w:sz w:val="24"/>
        </w:rPr>
        <w:t xml:space="preserve"> in Year 4</w:t>
      </w:r>
      <w:r w:rsidR="009064BA" w:rsidRPr="00A461B6">
        <w:rPr>
          <w:color w:val="0D0D0D" w:themeColor="text1" w:themeTint="F2"/>
          <w:sz w:val="24"/>
        </w:rPr>
        <w:t>. The ceiling uptake rate of 63% in based on a study of a previous rollout of increased MDQ for some items.</w:t>
      </w:r>
      <w:r w:rsidR="00B54EF1" w:rsidRPr="00A461B6">
        <w:rPr>
          <w:color w:val="auto"/>
          <w:sz w:val="24"/>
          <w:szCs w:val="24"/>
        </w:rPr>
        <w:t xml:space="preserve"> The consumer take up rate is assumed to be the same under Option 2 and Option 3 as the same group of PBS patients will have been assessed by their prescriber to have chronic medical conditions that are stable and therefore suitable for increased MDQ items.</w:t>
      </w:r>
    </w:p>
    <w:p w14:paraId="32CCC6A6" w14:textId="71A4997B" w:rsidR="009064BA" w:rsidRPr="00A461B6" w:rsidRDefault="006F56BB" w:rsidP="001D11CD">
      <w:pPr>
        <w:rPr>
          <w:color w:val="0D0D0D" w:themeColor="text1" w:themeTint="F2"/>
          <w:sz w:val="24"/>
          <w:szCs w:val="24"/>
        </w:rPr>
      </w:pPr>
      <w:r w:rsidRPr="00A461B6">
        <w:rPr>
          <w:color w:val="0D0D0D" w:themeColor="text1" w:themeTint="F2"/>
          <w:sz w:val="24"/>
          <w:szCs w:val="24"/>
        </w:rPr>
        <w:t>Once the MDQ changes are fully implemented, it is expected that the aggregate impact on eligible prescription volumes for these patients across all MDQ items will be a 63% reduction</w:t>
      </w:r>
      <w:r w:rsidR="00522795" w:rsidRPr="00A461B6">
        <w:rPr>
          <w:color w:val="0D0D0D" w:themeColor="text1" w:themeTint="F2"/>
          <w:sz w:val="24"/>
          <w:szCs w:val="24"/>
        </w:rPr>
        <w:t xml:space="preserve"> </w:t>
      </w:r>
      <w:r w:rsidRPr="00A461B6">
        <w:rPr>
          <w:color w:val="0D0D0D" w:themeColor="text1" w:themeTint="F2"/>
          <w:sz w:val="24"/>
          <w:szCs w:val="24"/>
        </w:rPr>
        <w:t xml:space="preserve">in </w:t>
      </w:r>
      <w:r w:rsidR="002535B2">
        <w:rPr>
          <w:color w:val="0D0D0D" w:themeColor="text1" w:themeTint="F2"/>
          <w:sz w:val="24"/>
          <w:szCs w:val="24"/>
        </w:rPr>
        <w:t>prescriptions</w:t>
      </w:r>
      <w:r w:rsidR="002535B2" w:rsidRPr="00A461B6">
        <w:rPr>
          <w:color w:val="0D0D0D" w:themeColor="text1" w:themeTint="F2"/>
          <w:sz w:val="24"/>
          <w:szCs w:val="24"/>
        </w:rPr>
        <w:t xml:space="preserve"> </w:t>
      </w:r>
      <w:r w:rsidRPr="00A461B6">
        <w:rPr>
          <w:color w:val="0D0D0D" w:themeColor="text1" w:themeTint="F2"/>
          <w:sz w:val="24"/>
          <w:szCs w:val="24"/>
        </w:rPr>
        <w:t>for the single month</w:t>
      </w:r>
      <w:r w:rsidR="00FA0ADE" w:rsidRPr="00A461B6">
        <w:rPr>
          <w:color w:val="0D0D0D" w:themeColor="text1" w:themeTint="F2"/>
          <w:sz w:val="24"/>
          <w:szCs w:val="24"/>
        </w:rPr>
        <w:t>’</w:t>
      </w:r>
      <w:r w:rsidRPr="00A461B6">
        <w:rPr>
          <w:color w:val="0D0D0D" w:themeColor="text1" w:themeTint="F2"/>
          <w:sz w:val="24"/>
          <w:szCs w:val="24"/>
        </w:rPr>
        <w:t xml:space="preserve">s quantity item. Because two prescriptions for the single quantity item will become one </w:t>
      </w:r>
      <w:r w:rsidR="00A26F16">
        <w:rPr>
          <w:color w:val="0D0D0D" w:themeColor="text1" w:themeTint="F2"/>
          <w:sz w:val="24"/>
          <w:szCs w:val="24"/>
        </w:rPr>
        <w:t>prescription</w:t>
      </w:r>
      <w:r w:rsidRPr="00A461B6">
        <w:rPr>
          <w:color w:val="0D0D0D" w:themeColor="text1" w:themeTint="F2"/>
          <w:sz w:val="24"/>
          <w:szCs w:val="24"/>
        </w:rPr>
        <w:t xml:space="preserve"> for the double quantity item, half the amount of prescriptions that were reduced for the single quantity items will be taken up for the double quantity items. </w:t>
      </w:r>
      <w:r w:rsidR="006A11E7" w:rsidRPr="00A461B6">
        <w:rPr>
          <w:color w:val="0D0D0D" w:themeColor="text1" w:themeTint="F2"/>
          <w:sz w:val="24"/>
          <w:szCs w:val="24"/>
        </w:rPr>
        <w:t xml:space="preserve">Patients whose prescriptions are included in this reduction in aggregate </w:t>
      </w:r>
      <w:r w:rsidR="002535B2">
        <w:rPr>
          <w:color w:val="0D0D0D" w:themeColor="text1" w:themeTint="F2"/>
          <w:sz w:val="24"/>
          <w:szCs w:val="24"/>
        </w:rPr>
        <w:t>prescription</w:t>
      </w:r>
      <w:r w:rsidR="002535B2" w:rsidRPr="00A461B6">
        <w:rPr>
          <w:color w:val="0D0D0D" w:themeColor="text1" w:themeTint="F2"/>
          <w:sz w:val="24"/>
          <w:szCs w:val="24"/>
        </w:rPr>
        <w:t xml:space="preserve"> </w:t>
      </w:r>
      <w:r w:rsidR="006A11E7" w:rsidRPr="00A461B6">
        <w:rPr>
          <w:color w:val="0D0D0D" w:themeColor="text1" w:themeTint="F2"/>
          <w:sz w:val="24"/>
          <w:szCs w:val="24"/>
        </w:rPr>
        <w:t xml:space="preserve">volumes could </w:t>
      </w:r>
      <w:r w:rsidR="006806B6" w:rsidRPr="00A461B6">
        <w:rPr>
          <w:color w:val="0D0D0D" w:themeColor="text1" w:themeTint="F2"/>
          <w:sz w:val="24"/>
          <w:szCs w:val="24"/>
        </w:rPr>
        <w:t xml:space="preserve">benefit through reduced numbers of individual PBS co-payments. </w:t>
      </w:r>
    </w:p>
    <w:p w14:paraId="570438F9" w14:textId="08800858" w:rsidR="001D11CD" w:rsidRPr="00A461B6" w:rsidRDefault="001D11CD" w:rsidP="001D11CD">
      <w:pPr>
        <w:rPr>
          <w:color w:val="0D0D0D" w:themeColor="text1" w:themeTint="F2"/>
          <w:sz w:val="24"/>
          <w:szCs w:val="24"/>
        </w:rPr>
      </w:pPr>
      <w:r w:rsidRPr="00A461B6">
        <w:rPr>
          <w:color w:val="0D0D0D" w:themeColor="text1" w:themeTint="F2"/>
          <w:sz w:val="24"/>
          <w:szCs w:val="24"/>
        </w:rPr>
        <w:t xml:space="preserve">The subgroup of patients who receive </w:t>
      </w:r>
      <w:r w:rsidRPr="00A461B6">
        <w:rPr>
          <w:b/>
          <w:color w:val="0D0D0D" w:themeColor="text1" w:themeTint="F2"/>
          <w:sz w:val="24"/>
          <w:szCs w:val="24"/>
        </w:rPr>
        <w:t>only</w:t>
      </w:r>
      <w:r w:rsidRPr="00A461B6">
        <w:rPr>
          <w:color w:val="0D0D0D" w:themeColor="text1" w:themeTint="F2"/>
          <w:sz w:val="24"/>
          <w:szCs w:val="24"/>
        </w:rPr>
        <w:t xml:space="preserve"> PBS medicines with increased MDQ items (approximately </w:t>
      </w:r>
      <w:r w:rsidR="00A82CB9" w:rsidRPr="00A461B6">
        <w:rPr>
          <w:color w:val="0D0D0D" w:themeColor="text1" w:themeTint="F2"/>
          <w:sz w:val="24"/>
          <w:szCs w:val="24"/>
        </w:rPr>
        <w:t>1.</w:t>
      </w:r>
      <w:r w:rsidR="00A76876" w:rsidRPr="00A461B6">
        <w:rPr>
          <w:color w:val="0D0D0D" w:themeColor="text1" w:themeTint="F2"/>
          <w:sz w:val="24"/>
          <w:szCs w:val="24"/>
        </w:rPr>
        <w:t>89</w:t>
      </w:r>
      <w:r w:rsidRPr="00A461B6">
        <w:rPr>
          <w:color w:val="0D0D0D" w:themeColor="text1" w:themeTint="F2"/>
          <w:sz w:val="24"/>
          <w:szCs w:val="24"/>
        </w:rPr>
        <w:t xml:space="preserve"> million patients by 2026</w:t>
      </w:r>
      <w:r w:rsidR="00DE3545" w:rsidRPr="00A461B6">
        <w:rPr>
          <w:color w:val="0D0D0D" w:themeColor="text1" w:themeTint="F2"/>
          <w:sz w:val="24"/>
          <w:szCs w:val="24"/>
        </w:rPr>
        <w:t>-</w:t>
      </w:r>
      <w:r w:rsidRPr="00A461B6">
        <w:rPr>
          <w:color w:val="0D0D0D" w:themeColor="text1" w:themeTint="F2"/>
          <w:sz w:val="24"/>
          <w:szCs w:val="24"/>
        </w:rPr>
        <w:t xml:space="preserve">27) have been estimated to save </w:t>
      </w:r>
      <w:r w:rsidR="004145DF" w:rsidRPr="00A461B6">
        <w:rPr>
          <w:color w:val="0D0D0D" w:themeColor="text1" w:themeTint="F2"/>
          <w:sz w:val="24"/>
          <w:szCs w:val="24"/>
        </w:rPr>
        <w:t xml:space="preserve">35 </w:t>
      </w:r>
      <w:r w:rsidRPr="00A461B6">
        <w:rPr>
          <w:color w:val="0D0D0D" w:themeColor="text1" w:themeTint="F2"/>
          <w:sz w:val="24"/>
          <w:szCs w:val="24"/>
        </w:rPr>
        <w:t>minutes</w:t>
      </w:r>
      <w:r w:rsidR="004145DF" w:rsidRPr="00A461B6">
        <w:rPr>
          <w:color w:val="0D0D0D" w:themeColor="text1" w:themeTint="F2"/>
          <w:sz w:val="24"/>
          <w:szCs w:val="24"/>
        </w:rPr>
        <w:t xml:space="preserve"> (consultation and travel time)</w:t>
      </w:r>
      <w:r w:rsidRPr="00A461B6">
        <w:rPr>
          <w:color w:val="0D0D0D" w:themeColor="text1" w:themeTint="F2"/>
          <w:sz w:val="24"/>
          <w:szCs w:val="24"/>
        </w:rPr>
        <w:t xml:space="preserve"> attending a GP clinic annually and 90 minutes (6 visits x 15 minutes) attending the pharmacy annually. </w:t>
      </w:r>
      <w:r w:rsidR="00230EE9" w:rsidRPr="00A461B6">
        <w:rPr>
          <w:color w:val="0D0D0D" w:themeColor="text1" w:themeTint="F2"/>
          <w:sz w:val="24"/>
          <w:szCs w:val="24"/>
        </w:rPr>
        <w:t xml:space="preserve">Consumers who live in rural or regional areas or who find it difficult to visit a pharmacy each month </w:t>
      </w:r>
      <w:r w:rsidR="00DE3545" w:rsidRPr="00A461B6">
        <w:rPr>
          <w:color w:val="0D0D0D" w:themeColor="text1" w:themeTint="F2"/>
          <w:sz w:val="24"/>
          <w:szCs w:val="24"/>
        </w:rPr>
        <w:t>may experience</w:t>
      </w:r>
      <w:r w:rsidR="00230EE9" w:rsidRPr="00A461B6">
        <w:rPr>
          <w:color w:val="0D0D0D" w:themeColor="text1" w:themeTint="F2"/>
          <w:sz w:val="24"/>
          <w:szCs w:val="24"/>
        </w:rPr>
        <w:t xml:space="preserve"> added convenience.</w:t>
      </w:r>
    </w:p>
    <w:p w14:paraId="0134D2E3" w14:textId="5CD8C11C" w:rsidR="00230EE9" w:rsidRPr="00A461B6" w:rsidRDefault="00B72094" w:rsidP="00D2693C">
      <w:pPr>
        <w:rPr>
          <w:b/>
          <w:bCs/>
          <w:color w:val="0D0D0D" w:themeColor="text1" w:themeTint="F2"/>
        </w:rPr>
      </w:pPr>
      <w:r w:rsidRPr="00A461B6">
        <w:rPr>
          <w:color w:val="0D0D0D" w:themeColor="text1" w:themeTint="F2"/>
          <w:sz w:val="24"/>
          <w:szCs w:val="24"/>
        </w:rPr>
        <w:t xml:space="preserve">The following table shows the Direct Regulatory Impact savings for consumers if the </w:t>
      </w:r>
      <w:r w:rsidR="004A1F7B" w:rsidRPr="00A461B6">
        <w:rPr>
          <w:color w:val="0D0D0D" w:themeColor="text1" w:themeTint="F2"/>
          <w:sz w:val="24"/>
          <w:szCs w:val="24"/>
        </w:rPr>
        <w:t xml:space="preserve">MDQ </w:t>
      </w:r>
      <w:r w:rsidR="006A7936" w:rsidRPr="00A461B6">
        <w:rPr>
          <w:color w:val="0D0D0D" w:themeColor="text1" w:themeTint="F2"/>
          <w:sz w:val="24"/>
          <w:szCs w:val="24"/>
        </w:rPr>
        <w:t xml:space="preserve">is </w:t>
      </w:r>
      <w:r w:rsidR="00731F35" w:rsidRPr="00A461B6">
        <w:rPr>
          <w:color w:val="0D0D0D" w:themeColor="text1" w:themeTint="F2"/>
          <w:sz w:val="24"/>
          <w:szCs w:val="24"/>
        </w:rPr>
        <w:t>increased to</w:t>
      </w:r>
      <w:r w:rsidR="004A1F7B" w:rsidRPr="00A461B6">
        <w:rPr>
          <w:color w:val="0D0D0D" w:themeColor="text1" w:themeTint="F2"/>
          <w:sz w:val="24"/>
          <w:szCs w:val="24"/>
        </w:rPr>
        <w:t xml:space="preserve"> </w:t>
      </w:r>
      <w:r w:rsidRPr="00A461B6">
        <w:rPr>
          <w:color w:val="0D0D0D" w:themeColor="text1" w:themeTint="F2"/>
          <w:sz w:val="24"/>
          <w:szCs w:val="24"/>
        </w:rPr>
        <w:t xml:space="preserve">two </w:t>
      </w:r>
      <w:r w:rsidR="007304FE" w:rsidRPr="00A461B6">
        <w:rPr>
          <w:color w:val="0D0D0D" w:themeColor="text1" w:themeTint="F2"/>
          <w:sz w:val="24"/>
          <w:szCs w:val="24"/>
        </w:rPr>
        <w:t>month</w:t>
      </w:r>
      <w:r w:rsidR="007304FE" w:rsidRPr="00A461B6">
        <w:rPr>
          <w:color w:val="25303B" w:themeColor="accent1"/>
          <w:sz w:val="24"/>
          <w:szCs w:val="24"/>
        </w:rPr>
        <w:t>s’</w:t>
      </w:r>
      <w:r w:rsidRPr="00A461B6">
        <w:rPr>
          <w:color w:val="25303B" w:themeColor="accent1"/>
          <w:sz w:val="24"/>
          <w:szCs w:val="24"/>
        </w:rPr>
        <w:t xml:space="preserve"> </w:t>
      </w:r>
      <w:r w:rsidRPr="00A461B6">
        <w:rPr>
          <w:color w:val="0D0D0D" w:themeColor="text1" w:themeTint="F2"/>
          <w:sz w:val="24"/>
          <w:szCs w:val="24"/>
        </w:rPr>
        <w:t>supply for medicines</w:t>
      </w:r>
      <w:r w:rsidR="006A7936" w:rsidRPr="00A461B6">
        <w:rPr>
          <w:color w:val="0D0D0D" w:themeColor="text1" w:themeTint="F2"/>
          <w:sz w:val="24"/>
          <w:szCs w:val="24"/>
        </w:rPr>
        <w:t xml:space="preserve"> included in the proposal</w:t>
      </w:r>
      <w:r w:rsidRPr="00A461B6">
        <w:rPr>
          <w:color w:val="0D0D0D" w:themeColor="text1" w:themeTint="F2"/>
          <w:sz w:val="24"/>
          <w:szCs w:val="24"/>
        </w:rPr>
        <w:t>.</w:t>
      </w:r>
    </w:p>
    <w:p w14:paraId="1D4B3F31" w14:textId="39A851EA" w:rsidR="00B41983" w:rsidRPr="00A461B6" w:rsidRDefault="00B72094" w:rsidP="00B72094">
      <w:pPr>
        <w:rPr>
          <w:color w:val="0D0D0D" w:themeColor="text1" w:themeTint="F2"/>
          <w:sz w:val="24"/>
          <w:szCs w:val="24"/>
        </w:rPr>
      </w:pPr>
      <w:r w:rsidRPr="00A461B6">
        <w:rPr>
          <w:color w:val="0D0D0D" w:themeColor="text1" w:themeTint="F2"/>
          <w:sz w:val="24"/>
          <w:szCs w:val="24"/>
        </w:rPr>
        <w:t xml:space="preserve">It is estimated around </w:t>
      </w:r>
      <w:r w:rsidR="00A82CB9" w:rsidRPr="00A461B6">
        <w:rPr>
          <w:color w:val="0D0D0D" w:themeColor="text1" w:themeTint="F2"/>
          <w:sz w:val="24"/>
          <w:szCs w:val="24"/>
        </w:rPr>
        <w:t>1.8 million</w:t>
      </w:r>
      <w:r w:rsidR="00DE3545" w:rsidRPr="00A461B6">
        <w:rPr>
          <w:color w:val="0D0D0D" w:themeColor="text1" w:themeTint="F2"/>
          <w:sz w:val="24"/>
          <w:szCs w:val="24"/>
        </w:rPr>
        <w:t xml:space="preserve"> </w:t>
      </w:r>
      <w:r w:rsidRPr="00A461B6">
        <w:rPr>
          <w:color w:val="0D0D0D" w:themeColor="text1" w:themeTint="F2"/>
          <w:sz w:val="24"/>
          <w:szCs w:val="24"/>
        </w:rPr>
        <w:t>patients will benefit in 2023-24, with total reduction in regulatory burden of approximately $</w:t>
      </w:r>
      <w:r w:rsidR="00A76876" w:rsidRPr="00A461B6">
        <w:rPr>
          <w:color w:val="0D0D0D" w:themeColor="text1" w:themeTint="F2"/>
          <w:sz w:val="24"/>
        </w:rPr>
        <w:t>135</w:t>
      </w:r>
      <w:r w:rsidR="00F12227" w:rsidRPr="00A461B6">
        <w:rPr>
          <w:color w:val="0D0D0D" w:themeColor="text1" w:themeTint="F2"/>
        </w:rPr>
        <w:t xml:space="preserve"> </w:t>
      </w:r>
      <w:r w:rsidRPr="00A461B6">
        <w:rPr>
          <w:color w:val="0D0D0D" w:themeColor="text1" w:themeTint="F2"/>
          <w:sz w:val="24"/>
        </w:rPr>
        <w:t>million</w:t>
      </w:r>
      <w:r w:rsidR="00DE3545" w:rsidRPr="00A461B6">
        <w:rPr>
          <w:color w:val="0D0D0D" w:themeColor="text1" w:themeTint="F2"/>
          <w:sz w:val="24"/>
        </w:rPr>
        <w:t>. This</w:t>
      </w:r>
      <w:r w:rsidRPr="00A461B6">
        <w:rPr>
          <w:color w:val="0D0D0D" w:themeColor="text1" w:themeTint="F2"/>
          <w:sz w:val="24"/>
        </w:rPr>
        <w:t xml:space="preserve"> increas</w:t>
      </w:r>
      <w:r w:rsidR="00DE3545" w:rsidRPr="00A461B6">
        <w:rPr>
          <w:color w:val="0D0D0D" w:themeColor="text1" w:themeTint="F2"/>
          <w:sz w:val="24"/>
        </w:rPr>
        <w:t>es</w:t>
      </w:r>
      <w:r w:rsidRPr="00A461B6">
        <w:rPr>
          <w:color w:val="0D0D0D" w:themeColor="text1" w:themeTint="F2"/>
          <w:sz w:val="24"/>
        </w:rPr>
        <w:t xml:space="preserve"> to more than 1.</w:t>
      </w:r>
      <w:r w:rsidR="00A82CB9" w:rsidRPr="00A461B6">
        <w:rPr>
          <w:color w:val="0D0D0D" w:themeColor="text1" w:themeTint="F2"/>
          <w:sz w:val="24"/>
        </w:rPr>
        <w:t xml:space="preserve">89 </w:t>
      </w:r>
      <w:r w:rsidRPr="00A461B6">
        <w:rPr>
          <w:color w:val="0D0D0D" w:themeColor="text1" w:themeTint="F2"/>
          <w:sz w:val="24"/>
        </w:rPr>
        <w:t>million patients</w:t>
      </w:r>
      <w:r w:rsidR="00DE3545" w:rsidRPr="00A461B6">
        <w:rPr>
          <w:color w:val="0D0D0D" w:themeColor="text1" w:themeTint="F2"/>
          <w:sz w:val="24"/>
        </w:rPr>
        <w:t>,</w:t>
      </w:r>
      <w:r w:rsidRPr="00A461B6">
        <w:rPr>
          <w:color w:val="0D0D0D" w:themeColor="text1" w:themeTint="F2"/>
          <w:sz w:val="24"/>
        </w:rPr>
        <w:t xml:space="preserve"> with more than $</w:t>
      </w:r>
      <w:r w:rsidR="00A76876" w:rsidRPr="00A461B6">
        <w:rPr>
          <w:color w:val="0D0D0D" w:themeColor="text1" w:themeTint="F2"/>
          <w:sz w:val="24"/>
        </w:rPr>
        <w:t>141</w:t>
      </w:r>
      <w:r w:rsidR="00F12227" w:rsidRPr="00A461B6">
        <w:rPr>
          <w:color w:val="0D0D0D" w:themeColor="text1" w:themeTint="F2"/>
        </w:rPr>
        <w:t xml:space="preserve"> </w:t>
      </w:r>
      <w:r w:rsidRPr="00A461B6">
        <w:rPr>
          <w:color w:val="0D0D0D" w:themeColor="text1" w:themeTint="F2"/>
          <w:sz w:val="24"/>
          <w:szCs w:val="24"/>
        </w:rPr>
        <w:t>million in reduced regulatory burden by 2026-27</w:t>
      </w:r>
      <w:r w:rsidR="00E50D6C" w:rsidRPr="00A461B6">
        <w:rPr>
          <w:color w:val="0D0D0D" w:themeColor="text1" w:themeTint="F2"/>
          <w:sz w:val="24"/>
          <w:szCs w:val="24"/>
        </w:rPr>
        <w:t>.</w:t>
      </w:r>
    </w:p>
    <w:p w14:paraId="49059361" w14:textId="77777777" w:rsidR="00731F35" w:rsidRPr="00A461B6" w:rsidRDefault="00AA5C60" w:rsidP="00731F35">
      <w:pPr>
        <w:ind w:left="360"/>
        <w:rPr>
          <w:color w:val="FF0000"/>
          <w:sz w:val="24"/>
          <w:szCs w:val="24"/>
        </w:rPr>
      </w:pPr>
      <w:r w:rsidRPr="00A461B6">
        <w:rPr>
          <w:color w:val="0D0D0D" w:themeColor="text1" w:themeTint="F2"/>
          <w:sz w:val="24"/>
          <w:szCs w:val="24"/>
        </w:rPr>
        <w:t xml:space="preserve">The following </w:t>
      </w:r>
      <w:r w:rsidR="00C53EF9" w:rsidRPr="00A461B6">
        <w:rPr>
          <w:color w:val="0D0D0D" w:themeColor="text1" w:themeTint="F2"/>
          <w:sz w:val="24"/>
          <w:szCs w:val="24"/>
        </w:rPr>
        <w:t xml:space="preserve">method and </w:t>
      </w:r>
      <w:r w:rsidRPr="00A461B6">
        <w:rPr>
          <w:color w:val="0D0D0D" w:themeColor="text1" w:themeTint="F2"/>
          <w:sz w:val="24"/>
          <w:szCs w:val="24"/>
        </w:rPr>
        <w:t>assumptions were used:</w:t>
      </w:r>
      <w:r w:rsidR="00731F35" w:rsidRPr="00A461B6">
        <w:rPr>
          <w:color w:val="0D0D0D" w:themeColor="text1" w:themeTint="F2"/>
          <w:sz w:val="24"/>
          <w:szCs w:val="24"/>
        </w:rPr>
        <w:t xml:space="preserve"> </w:t>
      </w:r>
    </w:p>
    <w:p w14:paraId="1628C15D" w14:textId="548D1BD8" w:rsidR="00D102B5" w:rsidRPr="00A461B6" w:rsidRDefault="00D102B5" w:rsidP="00D102B5">
      <w:pPr>
        <w:pStyle w:val="ListParagraph"/>
        <w:numPr>
          <w:ilvl w:val="0"/>
          <w:numId w:val="20"/>
        </w:numPr>
        <w:rPr>
          <w:color w:val="auto"/>
          <w:sz w:val="24"/>
          <w:szCs w:val="24"/>
        </w:rPr>
      </w:pPr>
      <w:r w:rsidRPr="00A461B6">
        <w:rPr>
          <w:color w:val="auto"/>
          <w:sz w:val="24"/>
          <w:szCs w:val="24"/>
        </w:rPr>
        <w:t xml:space="preserve">The base number of patients eligible was derived from PBS data. </w:t>
      </w:r>
      <w:r w:rsidR="002D3D95" w:rsidRPr="00A461B6">
        <w:rPr>
          <w:color w:val="auto"/>
          <w:sz w:val="24"/>
          <w:szCs w:val="24"/>
        </w:rPr>
        <w:t>A</w:t>
      </w:r>
      <w:r w:rsidRPr="00A461B6">
        <w:rPr>
          <w:color w:val="auto"/>
          <w:sz w:val="24"/>
          <w:szCs w:val="24"/>
        </w:rPr>
        <w:t>round 9.6 million patients received two or more dispensing’s of the</w:t>
      </w:r>
      <w:r w:rsidR="002D3D95" w:rsidRPr="00A461B6">
        <w:rPr>
          <w:color w:val="auto"/>
          <w:sz w:val="24"/>
          <w:szCs w:val="24"/>
        </w:rPr>
        <w:t xml:space="preserve"> PBS </w:t>
      </w:r>
      <w:r w:rsidRPr="00A461B6">
        <w:rPr>
          <w:color w:val="auto"/>
          <w:sz w:val="24"/>
          <w:szCs w:val="24"/>
        </w:rPr>
        <w:t>medicines</w:t>
      </w:r>
      <w:r w:rsidR="002D3D95" w:rsidRPr="00A461B6">
        <w:rPr>
          <w:color w:val="auto"/>
          <w:sz w:val="24"/>
          <w:szCs w:val="24"/>
        </w:rPr>
        <w:t xml:space="preserve"> in the list found suitable by the PBAC for increased MDQs </w:t>
      </w:r>
      <w:r w:rsidRPr="00A461B6">
        <w:rPr>
          <w:color w:val="auto"/>
          <w:sz w:val="24"/>
          <w:szCs w:val="24"/>
        </w:rPr>
        <w:t xml:space="preserve">in 2022. </w:t>
      </w:r>
      <w:r w:rsidR="009064BA" w:rsidRPr="00A461B6">
        <w:rPr>
          <w:color w:val="auto"/>
          <w:sz w:val="24"/>
        </w:rPr>
        <w:t xml:space="preserve">Of these, a subset of </w:t>
      </w:r>
      <w:r w:rsidR="009064BA" w:rsidRPr="00A461B6">
        <w:rPr>
          <w:color w:val="0D0D0D" w:themeColor="text1" w:themeTint="F2"/>
          <w:sz w:val="24"/>
        </w:rPr>
        <w:t xml:space="preserve">1.77 million patients </w:t>
      </w:r>
      <w:r w:rsidR="00BA30AD" w:rsidRPr="00A461B6">
        <w:rPr>
          <w:color w:val="0D0D0D" w:themeColor="text1" w:themeTint="F2"/>
          <w:sz w:val="24"/>
        </w:rPr>
        <w:t xml:space="preserve">were </w:t>
      </w:r>
      <w:r w:rsidR="009064BA" w:rsidRPr="00A461B6">
        <w:rPr>
          <w:color w:val="0D0D0D" w:themeColor="text1" w:themeTint="F2"/>
          <w:sz w:val="24"/>
        </w:rPr>
        <w:t>only</w:t>
      </w:r>
      <w:r w:rsidR="00BA30AD" w:rsidRPr="00A461B6">
        <w:rPr>
          <w:color w:val="0D0D0D" w:themeColor="text1" w:themeTint="F2"/>
          <w:sz w:val="24"/>
        </w:rPr>
        <w:t xml:space="preserve"> dispensed</w:t>
      </w:r>
      <w:r w:rsidR="00275A4D" w:rsidRPr="00A461B6">
        <w:rPr>
          <w:color w:val="0D0D0D" w:themeColor="text1" w:themeTint="F2"/>
          <w:sz w:val="24"/>
        </w:rPr>
        <w:t xml:space="preserve"> </w:t>
      </w:r>
      <w:r w:rsidR="00275A4D" w:rsidRPr="00A461B6">
        <w:rPr>
          <w:color w:val="0D0D0D" w:themeColor="text1" w:themeTint="F2"/>
          <w:sz w:val="24"/>
          <w:szCs w:val="24"/>
        </w:rPr>
        <w:t xml:space="preserve">the </w:t>
      </w:r>
      <w:r w:rsidR="00275A4D" w:rsidRPr="00A461B6">
        <w:rPr>
          <w:color w:val="0D0D0D" w:themeColor="text1" w:themeTint="F2"/>
          <w:sz w:val="24"/>
        </w:rPr>
        <w:t>increased MDQ</w:t>
      </w:r>
      <w:r w:rsidR="009064BA" w:rsidRPr="00A461B6">
        <w:rPr>
          <w:color w:val="0D0D0D" w:themeColor="text1" w:themeTint="F2"/>
          <w:sz w:val="24"/>
        </w:rPr>
        <w:t xml:space="preserve"> medicines</w:t>
      </w:r>
      <w:r w:rsidR="00275A4D" w:rsidRPr="00A461B6">
        <w:rPr>
          <w:color w:val="0D0D0D" w:themeColor="text1" w:themeTint="F2"/>
          <w:sz w:val="24"/>
          <w:szCs w:val="24"/>
        </w:rPr>
        <w:t xml:space="preserve"> (</w:t>
      </w:r>
      <w:r w:rsidR="002D3D95" w:rsidRPr="00A461B6">
        <w:rPr>
          <w:color w:val="0D0D0D" w:themeColor="text1" w:themeTint="F2"/>
          <w:sz w:val="24"/>
          <w:szCs w:val="24"/>
        </w:rPr>
        <w:t xml:space="preserve">and </w:t>
      </w:r>
      <w:r w:rsidR="00275A4D" w:rsidRPr="00A461B6">
        <w:rPr>
          <w:color w:val="0D0D0D" w:themeColor="text1" w:themeTint="F2"/>
          <w:sz w:val="24"/>
          <w:szCs w:val="24"/>
        </w:rPr>
        <w:t xml:space="preserve">no other PBS medicines), </w:t>
      </w:r>
      <w:r w:rsidR="002D3D95" w:rsidRPr="00A461B6">
        <w:rPr>
          <w:color w:val="0D0D0D" w:themeColor="text1" w:themeTint="F2"/>
          <w:sz w:val="24"/>
          <w:szCs w:val="24"/>
        </w:rPr>
        <w:t>therefore may benefit from fewer visits to the pharmacy and prescriber (GP).</w:t>
      </w:r>
      <w:r w:rsidR="009064BA" w:rsidRPr="00A461B6">
        <w:rPr>
          <w:color w:val="0D0D0D" w:themeColor="text1" w:themeTint="F2"/>
          <w:sz w:val="24"/>
          <w:szCs w:val="24"/>
        </w:rPr>
        <w:t xml:space="preserve"> </w:t>
      </w:r>
    </w:p>
    <w:p w14:paraId="6E0A7FE8" w14:textId="14159DC2" w:rsidR="00091413" w:rsidRPr="00A461B6" w:rsidRDefault="007E1BB2" w:rsidP="00B54EF1">
      <w:pPr>
        <w:pStyle w:val="ListParagraph"/>
        <w:numPr>
          <w:ilvl w:val="0"/>
          <w:numId w:val="20"/>
        </w:numPr>
        <w:rPr>
          <w:color w:val="auto"/>
          <w:sz w:val="24"/>
          <w:szCs w:val="24"/>
        </w:rPr>
      </w:pPr>
      <w:r w:rsidRPr="00A461B6">
        <w:rPr>
          <w:color w:val="auto"/>
          <w:sz w:val="24"/>
          <w:szCs w:val="24"/>
        </w:rPr>
        <w:t>At a population level</w:t>
      </w:r>
      <w:r w:rsidR="00E50D6C" w:rsidRPr="00A461B6">
        <w:rPr>
          <w:color w:val="auto"/>
          <w:sz w:val="24"/>
          <w:szCs w:val="24"/>
        </w:rPr>
        <w:t>,</w:t>
      </w:r>
      <w:r w:rsidRPr="00A461B6">
        <w:rPr>
          <w:color w:val="auto"/>
          <w:sz w:val="24"/>
          <w:szCs w:val="24"/>
        </w:rPr>
        <w:t xml:space="preserve"> the assumed </w:t>
      </w:r>
      <w:r w:rsidR="00091413" w:rsidRPr="00A461B6">
        <w:rPr>
          <w:color w:val="auto"/>
          <w:sz w:val="24"/>
          <w:szCs w:val="24"/>
        </w:rPr>
        <w:t xml:space="preserve">growth rate of </w:t>
      </w:r>
      <w:r w:rsidR="00C53EF9" w:rsidRPr="00A461B6">
        <w:rPr>
          <w:color w:val="auto"/>
          <w:sz w:val="24"/>
          <w:szCs w:val="24"/>
        </w:rPr>
        <w:t xml:space="preserve">PBS </w:t>
      </w:r>
      <w:r w:rsidR="00091413" w:rsidRPr="00A461B6">
        <w:rPr>
          <w:color w:val="auto"/>
          <w:sz w:val="24"/>
          <w:szCs w:val="24"/>
        </w:rPr>
        <w:t>patient</w:t>
      </w:r>
      <w:r w:rsidR="00C53EF9" w:rsidRPr="00A461B6">
        <w:rPr>
          <w:color w:val="auto"/>
          <w:sz w:val="24"/>
          <w:szCs w:val="24"/>
        </w:rPr>
        <w:t xml:space="preserve"> numbers </w:t>
      </w:r>
      <w:r w:rsidR="00091413" w:rsidRPr="00A461B6">
        <w:rPr>
          <w:color w:val="auto"/>
          <w:sz w:val="24"/>
          <w:szCs w:val="24"/>
        </w:rPr>
        <w:t>per year is 1.6%</w:t>
      </w:r>
      <w:r w:rsidR="00E50D6C" w:rsidRPr="00A461B6">
        <w:rPr>
          <w:color w:val="auto"/>
          <w:sz w:val="24"/>
          <w:szCs w:val="24"/>
        </w:rPr>
        <w:t xml:space="preserve"> based on ABS population </w:t>
      </w:r>
      <w:r w:rsidR="00A82CB9" w:rsidRPr="00A461B6">
        <w:rPr>
          <w:color w:val="auto"/>
          <w:sz w:val="24"/>
          <w:szCs w:val="24"/>
        </w:rPr>
        <w:t>projections</w:t>
      </w:r>
      <w:r w:rsidR="00091413" w:rsidRPr="00A461B6">
        <w:rPr>
          <w:color w:val="auto"/>
          <w:sz w:val="24"/>
          <w:szCs w:val="24"/>
        </w:rPr>
        <w:t>.</w:t>
      </w:r>
      <w:r w:rsidR="00B54EF1" w:rsidRPr="00A461B6">
        <w:rPr>
          <w:color w:val="auto"/>
          <w:sz w:val="24"/>
          <w:szCs w:val="24"/>
        </w:rPr>
        <w:t xml:space="preserve"> </w:t>
      </w:r>
      <w:r w:rsidR="00B54EF1" w:rsidRPr="00A461B6">
        <w:rPr>
          <w:color w:val="auto"/>
          <w:sz w:val="24"/>
        </w:rPr>
        <w:t>In 2023-24, it is assumed that the number of unique patients that will be prescribed more than one prescription for an MDQ item (but no other PBS subsidised medicines) will be 1.8 million.</w:t>
      </w:r>
    </w:p>
    <w:p w14:paraId="7024C2E2" w14:textId="35F883C2" w:rsidR="00091413" w:rsidRPr="00A461B6" w:rsidRDefault="00091413" w:rsidP="008A2C64">
      <w:pPr>
        <w:pStyle w:val="ListParagraph"/>
        <w:numPr>
          <w:ilvl w:val="0"/>
          <w:numId w:val="20"/>
        </w:numPr>
        <w:rPr>
          <w:color w:val="0D0D0D" w:themeColor="text1" w:themeTint="F2"/>
          <w:sz w:val="24"/>
          <w:szCs w:val="24"/>
        </w:rPr>
      </w:pPr>
      <w:r w:rsidRPr="00A461B6">
        <w:rPr>
          <w:color w:val="0D0D0D" w:themeColor="text1" w:themeTint="F2"/>
          <w:sz w:val="24"/>
          <w:szCs w:val="24"/>
        </w:rPr>
        <w:t xml:space="preserve">Number of person minutes saved is GP visit x </w:t>
      </w:r>
      <w:r w:rsidR="00A82CB9" w:rsidRPr="00A461B6">
        <w:rPr>
          <w:color w:val="0D0D0D" w:themeColor="text1" w:themeTint="F2"/>
          <w:sz w:val="24"/>
          <w:szCs w:val="24"/>
        </w:rPr>
        <w:t>1.8 million</w:t>
      </w:r>
      <w:r w:rsidRPr="00A461B6">
        <w:rPr>
          <w:color w:val="0D0D0D" w:themeColor="text1" w:themeTint="F2"/>
          <w:sz w:val="24"/>
          <w:szCs w:val="24"/>
        </w:rPr>
        <w:t xml:space="preserve"> patients x 35 minutes (GP visit</w:t>
      </w:r>
      <w:r w:rsidR="008571ED" w:rsidRPr="00A461B6">
        <w:rPr>
          <w:rStyle w:val="FootnoteReference"/>
          <w:color w:val="0D0D0D" w:themeColor="text1" w:themeTint="F2"/>
          <w:sz w:val="24"/>
          <w:szCs w:val="24"/>
        </w:rPr>
        <w:footnoteReference w:id="40"/>
      </w:r>
      <w:r w:rsidRPr="00A461B6">
        <w:rPr>
          <w:color w:val="0D0D0D" w:themeColor="text1" w:themeTint="F2"/>
          <w:sz w:val="24"/>
          <w:szCs w:val="24"/>
        </w:rPr>
        <w:t xml:space="preserve"> </w:t>
      </w:r>
      <w:r w:rsidR="00C53EF9" w:rsidRPr="00A461B6">
        <w:rPr>
          <w:color w:val="0D0D0D" w:themeColor="text1" w:themeTint="F2"/>
          <w:sz w:val="24"/>
          <w:szCs w:val="24"/>
        </w:rPr>
        <w:t>+</w:t>
      </w:r>
      <w:r w:rsidRPr="00A461B6">
        <w:rPr>
          <w:color w:val="0D0D0D" w:themeColor="text1" w:themeTint="F2"/>
          <w:sz w:val="24"/>
          <w:szCs w:val="24"/>
        </w:rPr>
        <w:t xml:space="preserve"> travel time of 15 minutes)</w:t>
      </w:r>
      <w:r w:rsidR="00C53EF9" w:rsidRPr="00A461B6">
        <w:rPr>
          <w:color w:val="0D0D0D" w:themeColor="text1" w:themeTint="F2"/>
          <w:sz w:val="24"/>
          <w:szCs w:val="24"/>
        </w:rPr>
        <w:t xml:space="preserve"> + 6 pharmacy visits x </w:t>
      </w:r>
      <w:r w:rsidR="00A82CB9" w:rsidRPr="00A461B6">
        <w:rPr>
          <w:color w:val="0D0D0D" w:themeColor="text1" w:themeTint="F2"/>
          <w:sz w:val="24"/>
          <w:szCs w:val="24"/>
        </w:rPr>
        <w:t xml:space="preserve">1.8 million </w:t>
      </w:r>
      <w:r w:rsidR="00C53EF9" w:rsidRPr="00A461B6">
        <w:rPr>
          <w:color w:val="0D0D0D" w:themeColor="text1" w:themeTint="F2"/>
          <w:sz w:val="24"/>
          <w:szCs w:val="24"/>
        </w:rPr>
        <w:t>patients x 15 minutes</w:t>
      </w:r>
      <w:r w:rsidR="007C5436" w:rsidRPr="00A461B6">
        <w:rPr>
          <w:color w:val="0D0D0D" w:themeColor="text1" w:themeTint="F2"/>
          <w:sz w:val="24"/>
          <w:szCs w:val="24"/>
        </w:rPr>
        <w:t xml:space="preserve"> (pharmacy visit only, travel not included</w:t>
      </w:r>
      <w:r w:rsidR="00D81D9B" w:rsidRPr="00A461B6">
        <w:rPr>
          <w:rStyle w:val="FootnoteReference"/>
          <w:color w:val="0D0D0D" w:themeColor="text1" w:themeTint="F2"/>
          <w:sz w:val="24"/>
          <w:szCs w:val="24"/>
        </w:rPr>
        <w:footnoteReference w:id="41"/>
      </w:r>
      <w:r w:rsidR="007C5436" w:rsidRPr="00A461B6">
        <w:rPr>
          <w:color w:val="0D0D0D" w:themeColor="text1" w:themeTint="F2"/>
          <w:sz w:val="24"/>
          <w:szCs w:val="24"/>
        </w:rPr>
        <w:t>).</w:t>
      </w:r>
    </w:p>
    <w:p w14:paraId="61090068" w14:textId="0C3856A4" w:rsidR="00ED7441" w:rsidRPr="00A461B6" w:rsidRDefault="00E45FF2" w:rsidP="008A2C64">
      <w:pPr>
        <w:pStyle w:val="ListParagraph"/>
        <w:numPr>
          <w:ilvl w:val="0"/>
          <w:numId w:val="20"/>
        </w:numPr>
        <w:rPr>
          <w:color w:val="0D0D0D" w:themeColor="text1" w:themeTint="F2"/>
          <w:sz w:val="24"/>
          <w:szCs w:val="24"/>
        </w:rPr>
      </w:pPr>
      <w:r w:rsidRPr="00A461B6">
        <w:rPr>
          <w:color w:val="0D0D0D" w:themeColor="text1" w:themeTint="F2"/>
          <w:sz w:val="24"/>
          <w:szCs w:val="24"/>
        </w:rPr>
        <w:t>Consumer/person</w:t>
      </w:r>
      <w:r w:rsidR="00ED7441" w:rsidRPr="00A461B6">
        <w:rPr>
          <w:color w:val="0D0D0D" w:themeColor="text1" w:themeTint="F2"/>
          <w:sz w:val="24"/>
          <w:szCs w:val="24"/>
        </w:rPr>
        <w:t xml:space="preserve"> time saved per pharmacy visit does not include travel time</w:t>
      </w:r>
      <w:r w:rsidR="0084717C" w:rsidRPr="00A461B6">
        <w:rPr>
          <w:color w:val="0D0D0D" w:themeColor="text1" w:themeTint="F2"/>
          <w:sz w:val="24"/>
          <w:szCs w:val="24"/>
        </w:rPr>
        <w:t xml:space="preserve">. GP </w:t>
      </w:r>
      <w:r w:rsidR="00ED7441" w:rsidRPr="00A461B6">
        <w:rPr>
          <w:color w:val="0D0D0D" w:themeColor="text1" w:themeTint="F2"/>
          <w:sz w:val="24"/>
          <w:szCs w:val="24"/>
        </w:rPr>
        <w:t xml:space="preserve">offices and pharmacies </w:t>
      </w:r>
      <w:r w:rsidR="0084717C" w:rsidRPr="00A461B6">
        <w:rPr>
          <w:color w:val="0D0D0D" w:themeColor="text1" w:themeTint="F2"/>
          <w:sz w:val="24"/>
          <w:szCs w:val="24"/>
        </w:rPr>
        <w:t xml:space="preserve">may be </w:t>
      </w:r>
      <w:r w:rsidR="00ED7441" w:rsidRPr="00A461B6">
        <w:rPr>
          <w:color w:val="0D0D0D" w:themeColor="text1" w:themeTint="F2"/>
          <w:sz w:val="24"/>
          <w:szCs w:val="24"/>
        </w:rPr>
        <w:t>co-located.</w:t>
      </w:r>
    </w:p>
    <w:p w14:paraId="02A9A962" w14:textId="16327792" w:rsidR="0084717C" w:rsidRPr="00A461B6" w:rsidRDefault="0084717C" w:rsidP="0084717C">
      <w:pPr>
        <w:pStyle w:val="ListParagraph"/>
        <w:numPr>
          <w:ilvl w:val="0"/>
          <w:numId w:val="20"/>
        </w:numPr>
        <w:rPr>
          <w:color w:val="0D0D0D" w:themeColor="text1" w:themeTint="F2"/>
          <w:sz w:val="24"/>
          <w:szCs w:val="24"/>
        </w:rPr>
      </w:pPr>
      <w:r w:rsidRPr="00A461B6">
        <w:rPr>
          <w:color w:val="0D0D0D" w:themeColor="text1" w:themeTint="F2"/>
          <w:sz w:val="24"/>
          <w:szCs w:val="24"/>
        </w:rPr>
        <w:t>The default value for an individual’s leisure time is estimated at $36</w:t>
      </w:r>
      <w:r w:rsidR="006279A1" w:rsidRPr="00A461B6">
        <w:rPr>
          <w:rStyle w:val="FootnoteReference"/>
          <w:color w:val="0D0D0D" w:themeColor="text1" w:themeTint="F2"/>
          <w:sz w:val="24"/>
          <w:szCs w:val="24"/>
        </w:rPr>
        <w:footnoteReference w:id="42"/>
      </w:r>
      <w:r w:rsidRPr="00A461B6">
        <w:rPr>
          <w:color w:val="0D0D0D" w:themeColor="text1" w:themeTint="F2"/>
          <w:sz w:val="24"/>
          <w:szCs w:val="24"/>
        </w:rPr>
        <w:t xml:space="preserve"> per hour.</w:t>
      </w:r>
    </w:p>
    <w:p w14:paraId="768813AE" w14:textId="24979FA8" w:rsidR="008A1256" w:rsidRPr="00A461B6" w:rsidRDefault="00C53EF9" w:rsidP="00E45FF2">
      <w:pPr>
        <w:pStyle w:val="ListParagraph"/>
        <w:numPr>
          <w:ilvl w:val="0"/>
          <w:numId w:val="20"/>
        </w:numPr>
      </w:pPr>
      <w:r w:rsidRPr="00A461B6">
        <w:rPr>
          <w:color w:val="0D0D0D" w:themeColor="text1" w:themeTint="F2"/>
          <w:sz w:val="24"/>
          <w:szCs w:val="24"/>
        </w:rPr>
        <w:t xml:space="preserve">The estimated regulatory impact of the save </w:t>
      </w:r>
      <w:r w:rsidR="007252A9" w:rsidRPr="00A461B6">
        <w:rPr>
          <w:color w:val="0D0D0D" w:themeColor="text1" w:themeTint="F2"/>
          <w:sz w:val="24"/>
          <w:szCs w:val="24"/>
        </w:rPr>
        <w:t>is: (consumer</w:t>
      </w:r>
      <w:r w:rsidR="00E45FF2" w:rsidRPr="00A461B6">
        <w:rPr>
          <w:color w:val="0D0D0D" w:themeColor="text1" w:themeTint="F2"/>
          <w:sz w:val="24"/>
          <w:szCs w:val="24"/>
        </w:rPr>
        <w:t>/person</w:t>
      </w:r>
      <w:r w:rsidR="007252A9" w:rsidRPr="00A461B6">
        <w:rPr>
          <w:color w:val="0D0D0D" w:themeColor="text1" w:themeTint="F2"/>
          <w:sz w:val="24"/>
          <w:szCs w:val="24"/>
        </w:rPr>
        <w:t xml:space="preserve"> minutes saved x $3</w:t>
      </w:r>
      <w:r w:rsidR="00A76876" w:rsidRPr="00A461B6">
        <w:rPr>
          <w:color w:val="0D0D0D" w:themeColor="text1" w:themeTint="F2"/>
          <w:sz w:val="24"/>
          <w:szCs w:val="24"/>
        </w:rPr>
        <w:t>6</w:t>
      </w:r>
      <w:r w:rsidR="007252A9" w:rsidRPr="00A461B6">
        <w:rPr>
          <w:color w:val="0D0D0D" w:themeColor="text1" w:themeTint="F2"/>
          <w:sz w:val="24"/>
          <w:szCs w:val="24"/>
        </w:rPr>
        <w:t>), divided by 60.</w:t>
      </w:r>
    </w:p>
    <w:p w14:paraId="67D4A441" w14:textId="4558D425" w:rsidR="00B54EF1" w:rsidRPr="00A461B6" w:rsidRDefault="00B54EF1" w:rsidP="00E45FF2">
      <w:pPr>
        <w:pStyle w:val="ListParagraph"/>
        <w:numPr>
          <w:ilvl w:val="0"/>
          <w:numId w:val="20"/>
        </w:numPr>
      </w:pPr>
      <w:r w:rsidRPr="00A461B6">
        <w:rPr>
          <w:color w:val="0D0D0D" w:themeColor="text1" w:themeTint="F2"/>
          <w:sz w:val="24"/>
        </w:rPr>
        <w:t>The estimated regulatory impact assumes a single implementation date in 2023-24.</w:t>
      </w:r>
    </w:p>
    <w:p w14:paraId="0EB56A85" w14:textId="7CED2170" w:rsidR="00C814B6" w:rsidRPr="00A461B6" w:rsidRDefault="00C814B6" w:rsidP="00460580">
      <w:pPr>
        <w:rPr>
          <w:color w:val="0D0D0D" w:themeColor="text1" w:themeTint="F2"/>
          <w:sz w:val="24"/>
          <w:szCs w:val="24"/>
        </w:rPr>
      </w:pPr>
      <w:r w:rsidRPr="00A461B6">
        <w:rPr>
          <w:color w:val="0D0D0D" w:themeColor="text1" w:themeTint="F2"/>
          <w:sz w:val="24"/>
          <w:szCs w:val="24"/>
        </w:rPr>
        <w:br w:type="page"/>
      </w:r>
    </w:p>
    <w:p w14:paraId="08B6D929" w14:textId="52A0FB58" w:rsidR="00B72094" w:rsidRPr="00A461B6" w:rsidRDefault="00B72094" w:rsidP="00DC5650">
      <w:pPr>
        <w:pStyle w:val="Heading4"/>
      </w:pPr>
      <w:r w:rsidRPr="00A461B6">
        <w:t>Table</w:t>
      </w:r>
      <w:r w:rsidR="00313BA6" w:rsidRPr="00A461B6">
        <w:t xml:space="preserve"> 4.</w:t>
      </w:r>
      <w:r w:rsidRPr="00A461B6">
        <w:t xml:space="preserve">1:  Direct Regulatory Impact savings for consumers </w:t>
      </w:r>
      <w:r w:rsidR="00F64EAD" w:rsidRPr="00A461B6">
        <w:t>by increasing</w:t>
      </w:r>
      <w:r w:rsidRPr="00A461B6">
        <w:t xml:space="preserve"> </w:t>
      </w:r>
      <w:r w:rsidR="001B0431" w:rsidRPr="00A461B6">
        <w:t>M</w:t>
      </w:r>
      <w:r w:rsidRPr="00A461B6">
        <w:t>D</w:t>
      </w:r>
      <w:r w:rsidR="00731F35" w:rsidRPr="00A461B6">
        <w:t>Q</w:t>
      </w:r>
      <w:r w:rsidR="001B0431" w:rsidRPr="00A461B6">
        <w:t xml:space="preserve"> </w:t>
      </w:r>
      <w:r w:rsidRPr="00A461B6">
        <w:t>- two months</w:t>
      </w:r>
      <w:r w:rsidR="009315B0" w:rsidRPr="00A461B6">
        <w:t>’</w:t>
      </w:r>
      <w:r w:rsidRPr="00A461B6">
        <w:t xml:space="preserve"> supply </w:t>
      </w:r>
    </w:p>
    <w:tbl>
      <w:tblPr>
        <w:tblStyle w:val="TableGrid"/>
        <w:tblW w:w="0" w:type="auto"/>
        <w:tblLook w:val="04A0" w:firstRow="1" w:lastRow="0" w:firstColumn="1" w:lastColumn="0" w:noHBand="0" w:noVBand="1"/>
        <w:tblCaption w:val="Table 4.1:  Direct Regulatory Impact savings for consumers by increasing MDQ - two months’ supply "/>
      </w:tblPr>
      <w:tblGrid>
        <w:gridCol w:w="2006"/>
        <w:gridCol w:w="82"/>
        <w:gridCol w:w="1924"/>
        <w:gridCol w:w="55"/>
        <w:gridCol w:w="1951"/>
        <w:gridCol w:w="28"/>
        <w:gridCol w:w="1979"/>
        <w:gridCol w:w="2169"/>
      </w:tblGrid>
      <w:tr w:rsidR="00B72094" w:rsidRPr="00A461B6" w14:paraId="217A03D3" w14:textId="77777777" w:rsidTr="00C67480">
        <w:trPr>
          <w:tblHeader/>
        </w:trPr>
        <w:tc>
          <w:tcPr>
            <w:tcW w:w="8025" w:type="dxa"/>
            <w:gridSpan w:val="7"/>
          </w:tcPr>
          <w:p w14:paraId="69B5AE7E" w14:textId="77777777" w:rsidR="00B72094" w:rsidRPr="00A461B6" w:rsidRDefault="00B72094" w:rsidP="00D76730">
            <w:pPr>
              <w:pStyle w:val="TableHeadingRow"/>
            </w:pPr>
            <w:r w:rsidRPr="00A461B6">
              <w:rPr>
                <w:color w:val="0D0D0D" w:themeColor="text1" w:themeTint="F2"/>
              </w:rPr>
              <w:t>Number of times per year each patient affected</w:t>
            </w:r>
          </w:p>
        </w:tc>
        <w:tc>
          <w:tcPr>
            <w:tcW w:w="2169" w:type="dxa"/>
          </w:tcPr>
          <w:p w14:paraId="79F4053E" w14:textId="77777777" w:rsidR="00B72094" w:rsidRPr="00A461B6" w:rsidRDefault="00B72094" w:rsidP="00D76730">
            <w:pPr>
              <w:pStyle w:val="TableHeadingRow"/>
            </w:pPr>
          </w:p>
        </w:tc>
      </w:tr>
      <w:tr w:rsidR="00B72094" w:rsidRPr="00A461B6" w14:paraId="680D6C23" w14:textId="77777777" w:rsidTr="00522795">
        <w:tc>
          <w:tcPr>
            <w:tcW w:w="2006" w:type="dxa"/>
            <w:shd w:val="clear" w:color="auto" w:fill="F2F2F2" w:themeFill="background1" w:themeFillShade="F2"/>
            <w:vAlign w:val="bottom"/>
          </w:tcPr>
          <w:p w14:paraId="60F1897F" w14:textId="77777777" w:rsidR="00B72094" w:rsidRPr="00A461B6" w:rsidRDefault="00B72094" w:rsidP="0007702F">
            <w:pPr>
              <w:rPr>
                <w:sz w:val="24"/>
                <w:szCs w:val="24"/>
              </w:rPr>
            </w:pPr>
            <w:r w:rsidRPr="00A461B6">
              <w:rPr>
                <w:sz w:val="24"/>
                <w:szCs w:val="24"/>
              </w:rPr>
              <w:t>2023-24</w:t>
            </w:r>
          </w:p>
        </w:tc>
        <w:tc>
          <w:tcPr>
            <w:tcW w:w="2006" w:type="dxa"/>
            <w:gridSpan w:val="2"/>
            <w:shd w:val="clear" w:color="auto" w:fill="F2F2F2" w:themeFill="background1" w:themeFillShade="F2"/>
            <w:vAlign w:val="bottom"/>
          </w:tcPr>
          <w:p w14:paraId="2D34B0CB" w14:textId="77777777" w:rsidR="00B72094" w:rsidRPr="00A461B6" w:rsidRDefault="00B72094" w:rsidP="0007702F">
            <w:pPr>
              <w:rPr>
                <w:sz w:val="24"/>
                <w:szCs w:val="24"/>
              </w:rPr>
            </w:pPr>
            <w:r w:rsidRPr="00A461B6">
              <w:rPr>
                <w:sz w:val="24"/>
                <w:szCs w:val="24"/>
              </w:rPr>
              <w:t>2024-25</w:t>
            </w:r>
          </w:p>
        </w:tc>
        <w:tc>
          <w:tcPr>
            <w:tcW w:w="2006" w:type="dxa"/>
            <w:gridSpan w:val="2"/>
            <w:shd w:val="clear" w:color="auto" w:fill="F2F2F2" w:themeFill="background1" w:themeFillShade="F2"/>
            <w:vAlign w:val="bottom"/>
          </w:tcPr>
          <w:p w14:paraId="596F258D" w14:textId="77777777" w:rsidR="00B72094" w:rsidRPr="00A461B6" w:rsidRDefault="00B72094" w:rsidP="0007702F">
            <w:pPr>
              <w:rPr>
                <w:sz w:val="24"/>
                <w:szCs w:val="24"/>
              </w:rPr>
            </w:pPr>
            <w:r w:rsidRPr="00A461B6">
              <w:rPr>
                <w:sz w:val="24"/>
                <w:szCs w:val="24"/>
              </w:rPr>
              <w:t>2025-26</w:t>
            </w:r>
          </w:p>
        </w:tc>
        <w:tc>
          <w:tcPr>
            <w:tcW w:w="2007" w:type="dxa"/>
            <w:gridSpan w:val="2"/>
            <w:shd w:val="clear" w:color="auto" w:fill="F2F2F2" w:themeFill="background1" w:themeFillShade="F2"/>
            <w:vAlign w:val="bottom"/>
          </w:tcPr>
          <w:p w14:paraId="180068D8" w14:textId="77777777" w:rsidR="00B72094" w:rsidRPr="00A461B6" w:rsidRDefault="00B72094" w:rsidP="0007702F">
            <w:pPr>
              <w:rPr>
                <w:sz w:val="24"/>
                <w:szCs w:val="24"/>
              </w:rPr>
            </w:pPr>
            <w:r w:rsidRPr="00A461B6">
              <w:rPr>
                <w:sz w:val="24"/>
                <w:szCs w:val="24"/>
              </w:rPr>
              <w:t>2026-27</w:t>
            </w:r>
          </w:p>
        </w:tc>
        <w:tc>
          <w:tcPr>
            <w:tcW w:w="2169" w:type="dxa"/>
            <w:shd w:val="clear" w:color="auto" w:fill="F2F2F2" w:themeFill="background1" w:themeFillShade="F2"/>
          </w:tcPr>
          <w:p w14:paraId="62C2D90B" w14:textId="0B9FFFB7" w:rsidR="00B72094" w:rsidRPr="00A461B6" w:rsidRDefault="00E35AF5" w:rsidP="0007702F">
            <w:pPr>
              <w:rPr>
                <w:sz w:val="24"/>
                <w:szCs w:val="24"/>
              </w:rPr>
            </w:pPr>
            <w:r w:rsidRPr="00A461B6">
              <w:rPr>
                <w:sz w:val="24"/>
                <w:szCs w:val="24"/>
              </w:rPr>
              <w:t>TOTAL</w:t>
            </w:r>
          </w:p>
        </w:tc>
      </w:tr>
      <w:tr w:rsidR="00B72094" w:rsidRPr="00A461B6" w14:paraId="3ECE82D7" w14:textId="77777777" w:rsidTr="00F001F4">
        <w:tc>
          <w:tcPr>
            <w:tcW w:w="8025" w:type="dxa"/>
            <w:gridSpan w:val="7"/>
          </w:tcPr>
          <w:p w14:paraId="65FA5F31" w14:textId="77777777" w:rsidR="00B72094" w:rsidRPr="00A461B6" w:rsidRDefault="00B72094" w:rsidP="00D76730">
            <w:pPr>
              <w:pStyle w:val="TableHeadingRow"/>
              <w:rPr>
                <w:b w:val="0"/>
              </w:rPr>
            </w:pPr>
            <w:r w:rsidRPr="00A461B6">
              <w:rPr>
                <w:b w:val="0"/>
              </w:rPr>
              <w:t>GP visits saved per year</w:t>
            </w:r>
          </w:p>
        </w:tc>
        <w:tc>
          <w:tcPr>
            <w:tcW w:w="2169" w:type="dxa"/>
          </w:tcPr>
          <w:p w14:paraId="5122CAE5" w14:textId="77777777" w:rsidR="00B72094" w:rsidRPr="00A461B6" w:rsidRDefault="00B72094" w:rsidP="00D76730">
            <w:pPr>
              <w:pStyle w:val="TableHeadingRow"/>
              <w:rPr>
                <w:b w:val="0"/>
              </w:rPr>
            </w:pPr>
          </w:p>
        </w:tc>
      </w:tr>
      <w:tr w:rsidR="00B72094" w:rsidRPr="00A461B6" w14:paraId="62B73905" w14:textId="77777777" w:rsidTr="00F001F4">
        <w:tc>
          <w:tcPr>
            <w:tcW w:w="2088" w:type="dxa"/>
            <w:gridSpan w:val="2"/>
            <w:vAlign w:val="bottom"/>
          </w:tcPr>
          <w:p w14:paraId="137E4F2B" w14:textId="77777777" w:rsidR="00B72094" w:rsidRPr="00A461B6" w:rsidRDefault="00B72094" w:rsidP="0007702F">
            <w:pPr>
              <w:pStyle w:val="TableHeadingRow"/>
            </w:pPr>
            <w:r w:rsidRPr="00A461B6">
              <w:t>1</w:t>
            </w:r>
          </w:p>
        </w:tc>
        <w:tc>
          <w:tcPr>
            <w:tcW w:w="1979" w:type="dxa"/>
            <w:gridSpan w:val="2"/>
            <w:vAlign w:val="bottom"/>
          </w:tcPr>
          <w:p w14:paraId="6FAFEF06" w14:textId="77777777" w:rsidR="00B72094" w:rsidRPr="00A461B6" w:rsidRDefault="00B72094" w:rsidP="0007702F">
            <w:pPr>
              <w:pStyle w:val="TableHeadingRow"/>
            </w:pPr>
            <w:r w:rsidRPr="00A461B6">
              <w:t>1</w:t>
            </w:r>
          </w:p>
        </w:tc>
        <w:tc>
          <w:tcPr>
            <w:tcW w:w="1979" w:type="dxa"/>
            <w:gridSpan w:val="2"/>
            <w:vAlign w:val="bottom"/>
          </w:tcPr>
          <w:p w14:paraId="4B71A12E" w14:textId="77777777" w:rsidR="00B72094" w:rsidRPr="00A461B6" w:rsidRDefault="00B72094" w:rsidP="0007702F">
            <w:pPr>
              <w:pStyle w:val="TableHeadingRow"/>
            </w:pPr>
            <w:r w:rsidRPr="00A461B6">
              <w:t>1</w:t>
            </w:r>
          </w:p>
        </w:tc>
        <w:tc>
          <w:tcPr>
            <w:tcW w:w="1979" w:type="dxa"/>
            <w:vAlign w:val="bottom"/>
          </w:tcPr>
          <w:p w14:paraId="6141400B" w14:textId="77777777" w:rsidR="00B72094" w:rsidRPr="00A461B6" w:rsidRDefault="00B72094" w:rsidP="0007702F">
            <w:pPr>
              <w:pStyle w:val="TableHeadingRow"/>
            </w:pPr>
            <w:r w:rsidRPr="00A461B6">
              <w:t>1</w:t>
            </w:r>
          </w:p>
        </w:tc>
        <w:tc>
          <w:tcPr>
            <w:tcW w:w="2169" w:type="dxa"/>
          </w:tcPr>
          <w:p w14:paraId="1F42DA23" w14:textId="77777777" w:rsidR="00B72094" w:rsidRPr="00A461B6" w:rsidRDefault="00B72094" w:rsidP="00D76730">
            <w:pPr>
              <w:pStyle w:val="TableHeadingRow"/>
            </w:pPr>
          </w:p>
        </w:tc>
      </w:tr>
      <w:tr w:rsidR="00B72094" w:rsidRPr="00A461B6" w14:paraId="0D4950EE" w14:textId="77777777" w:rsidTr="00F001F4">
        <w:tc>
          <w:tcPr>
            <w:tcW w:w="8025" w:type="dxa"/>
            <w:gridSpan w:val="7"/>
          </w:tcPr>
          <w:p w14:paraId="2A135986" w14:textId="77777777" w:rsidR="00B72094" w:rsidRPr="00A461B6" w:rsidRDefault="00B72094" w:rsidP="00D76730">
            <w:pPr>
              <w:pStyle w:val="TableHeadingRow"/>
              <w:rPr>
                <w:b w:val="0"/>
              </w:rPr>
            </w:pPr>
            <w:r w:rsidRPr="00A461B6">
              <w:rPr>
                <w:b w:val="0"/>
              </w:rPr>
              <w:t>Pharmacy visits saved per year</w:t>
            </w:r>
          </w:p>
        </w:tc>
        <w:tc>
          <w:tcPr>
            <w:tcW w:w="2169" w:type="dxa"/>
          </w:tcPr>
          <w:p w14:paraId="435E21F3" w14:textId="77777777" w:rsidR="00B72094" w:rsidRPr="00A461B6" w:rsidRDefault="00B72094" w:rsidP="00D76730">
            <w:pPr>
              <w:pStyle w:val="TableHeadingRow"/>
              <w:rPr>
                <w:b w:val="0"/>
              </w:rPr>
            </w:pPr>
          </w:p>
        </w:tc>
      </w:tr>
      <w:tr w:rsidR="00B72094" w:rsidRPr="00A461B6" w14:paraId="2B9324D8" w14:textId="77777777" w:rsidTr="00F001F4">
        <w:tc>
          <w:tcPr>
            <w:tcW w:w="2088" w:type="dxa"/>
            <w:gridSpan w:val="2"/>
            <w:vAlign w:val="bottom"/>
          </w:tcPr>
          <w:p w14:paraId="50B27248" w14:textId="77777777" w:rsidR="00B72094" w:rsidRPr="00A461B6" w:rsidRDefault="00B72094" w:rsidP="0007702F">
            <w:pPr>
              <w:pStyle w:val="TableHeadingRow"/>
            </w:pPr>
            <w:r w:rsidRPr="00A461B6">
              <w:t>6</w:t>
            </w:r>
          </w:p>
        </w:tc>
        <w:tc>
          <w:tcPr>
            <w:tcW w:w="1979" w:type="dxa"/>
            <w:gridSpan w:val="2"/>
            <w:vAlign w:val="bottom"/>
          </w:tcPr>
          <w:p w14:paraId="68D71A5B" w14:textId="77777777" w:rsidR="00B72094" w:rsidRPr="00A461B6" w:rsidRDefault="00B72094" w:rsidP="0007702F">
            <w:pPr>
              <w:pStyle w:val="TableHeadingRow"/>
            </w:pPr>
            <w:r w:rsidRPr="00A461B6">
              <w:t>6</w:t>
            </w:r>
          </w:p>
        </w:tc>
        <w:tc>
          <w:tcPr>
            <w:tcW w:w="1979" w:type="dxa"/>
            <w:gridSpan w:val="2"/>
            <w:vAlign w:val="bottom"/>
          </w:tcPr>
          <w:p w14:paraId="1F1B0BF9" w14:textId="77777777" w:rsidR="00B72094" w:rsidRPr="00A461B6" w:rsidRDefault="00B72094" w:rsidP="0007702F">
            <w:pPr>
              <w:pStyle w:val="TableHeadingRow"/>
            </w:pPr>
            <w:r w:rsidRPr="00A461B6">
              <w:t>6</w:t>
            </w:r>
          </w:p>
        </w:tc>
        <w:tc>
          <w:tcPr>
            <w:tcW w:w="1979" w:type="dxa"/>
            <w:vAlign w:val="bottom"/>
          </w:tcPr>
          <w:p w14:paraId="6BA70D0C" w14:textId="77777777" w:rsidR="00B72094" w:rsidRPr="00A461B6" w:rsidRDefault="00B72094" w:rsidP="0007702F">
            <w:pPr>
              <w:pStyle w:val="TableHeadingRow"/>
            </w:pPr>
            <w:r w:rsidRPr="00A461B6">
              <w:t>6</w:t>
            </w:r>
          </w:p>
        </w:tc>
        <w:tc>
          <w:tcPr>
            <w:tcW w:w="2169" w:type="dxa"/>
          </w:tcPr>
          <w:p w14:paraId="02AC6B0B" w14:textId="77777777" w:rsidR="00B72094" w:rsidRPr="00A461B6" w:rsidRDefault="00B72094" w:rsidP="00D76730">
            <w:pPr>
              <w:pStyle w:val="TableHeadingRow"/>
            </w:pPr>
          </w:p>
        </w:tc>
      </w:tr>
      <w:tr w:rsidR="00B72094" w:rsidRPr="00A461B6" w14:paraId="0F3F4124" w14:textId="77777777" w:rsidTr="00F001F4">
        <w:tc>
          <w:tcPr>
            <w:tcW w:w="8025" w:type="dxa"/>
            <w:gridSpan w:val="7"/>
          </w:tcPr>
          <w:p w14:paraId="46F92D84" w14:textId="77777777" w:rsidR="00B72094" w:rsidRPr="00A461B6" w:rsidRDefault="00B72094" w:rsidP="00D76730">
            <w:pPr>
              <w:pStyle w:val="TableHeadingRow"/>
            </w:pPr>
            <w:r w:rsidRPr="00A461B6">
              <w:t>Number of patients affected</w:t>
            </w:r>
          </w:p>
        </w:tc>
        <w:tc>
          <w:tcPr>
            <w:tcW w:w="2169" w:type="dxa"/>
          </w:tcPr>
          <w:p w14:paraId="6053F086" w14:textId="77777777" w:rsidR="00B72094" w:rsidRPr="00A461B6" w:rsidRDefault="00B72094" w:rsidP="00D76730">
            <w:pPr>
              <w:pStyle w:val="TableHeadingRow"/>
            </w:pPr>
          </w:p>
        </w:tc>
      </w:tr>
      <w:tr w:rsidR="00B72094" w:rsidRPr="00A461B6" w14:paraId="6854DA97" w14:textId="77777777" w:rsidTr="00F001F4">
        <w:tc>
          <w:tcPr>
            <w:tcW w:w="2088" w:type="dxa"/>
            <w:gridSpan w:val="2"/>
            <w:vAlign w:val="bottom"/>
          </w:tcPr>
          <w:p w14:paraId="08B2AA3E" w14:textId="64FFAB58" w:rsidR="00B72094" w:rsidRPr="00A461B6" w:rsidRDefault="00A82CB9" w:rsidP="0007702F">
            <w:pPr>
              <w:pStyle w:val="TableHeadingRow"/>
            </w:pPr>
            <w:r w:rsidRPr="00A461B6">
              <w:rPr>
                <w:color w:val="000000"/>
              </w:rPr>
              <w:t>1,800,000</w:t>
            </w:r>
            <w:r w:rsidR="00B72094" w:rsidRPr="00A461B6">
              <w:rPr>
                <w:color w:val="000000"/>
              </w:rPr>
              <w:t xml:space="preserve"> </w:t>
            </w:r>
          </w:p>
        </w:tc>
        <w:tc>
          <w:tcPr>
            <w:tcW w:w="1979" w:type="dxa"/>
            <w:gridSpan w:val="2"/>
            <w:vAlign w:val="bottom"/>
          </w:tcPr>
          <w:p w14:paraId="4939CDC9" w14:textId="6CF63C63" w:rsidR="00B72094" w:rsidRPr="00A461B6" w:rsidRDefault="00A82CB9" w:rsidP="0007702F">
            <w:pPr>
              <w:pStyle w:val="TableHeadingRow"/>
            </w:pPr>
            <w:r w:rsidRPr="00A461B6">
              <w:rPr>
                <w:color w:val="000000"/>
              </w:rPr>
              <w:t>1,830,000</w:t>
            </w:r>
          </w:p>
        </w:tc>
        <w:tc>
          <w:tcPr>
            <w:tcW w:w="1979" w:type="dxa"/>
            <w:gridSpan w:val="2"/>
            <w:vAlign w:val="bottom"/>
          </w:tcPr>
          <w:p w14:paraId="499879E0" w14:textId="66173485" w:rsidR="00B72094" w:rsidRPr="00A461B6" w:rsidRDefault="00A82CB9" w:rsidP="0007702F">
            <w:pPr>
              <w:pStyle w:val="TableHeadingRow"/>
            </w:pPr>
            <w:r w:rsidRPr="00A461B6">
              <w:rPr>
                <w:color w:val="000000"/>
              </w:rPr>
              <w:t>1,860,000</w:t>
            </w:r>
          </w:p>
        </w:tc>
        <w:tc>
          <w:tcPr>
            <w:tcW w:w="1979" w:type="dxa"/>
            <w:vAlign w:val="bottom"/>
          </w:tcPr>
          <w:p w14:paraId="798868C1" w14:textId="11325838" w:rsidR="00B72094" w:rsidRPr="00A461B6" w:rsidRDefault="00A82CB9" w:rsidP="0007702F">
            <w:pPr>
              <w:pStyle w:val="TableHeadingRow"/>
            </w:pPr>
            <w:r w:rsidRPr="00A461B6">
              <w:rPr>
                <w:color w:val="000000"/>
              </w:rPr>
              <w:t>1,890,000</w:t>
            </w:r>
          </w:p>
        </w:tc>
        <w:tc>
          <w:tcPr>
            <w:tcW w:w="2169" w:type="dxa"/>
          </w:tcPr>
          <w:p w14:paraId="0127A0EA" w14:textId="72B5A3DE" w:rsidR="00B72094" w:rsidRPr="00A461B6" w:rsidRDefault="00B72094" w:rsidP="0007702F">
            <w:pPr>
              <w:pStyle w:val="TableHeadingRow"/>
              <w:rPr>
                <w:color w:val="000000"/>
              </w:rPr>
            </w:pPr>
          </w:p>
        </w:tc>
      </w:tr>
      <w:tr w:rsidR="00B72094" w:rsidRPr="00A461B6" w14:paraId="22E90379" w14:textId="77777777" w:rsidTr="00F001F4">
        <w:tc>
          <w:tcPr>
            <w:tcW w:w="8025" w:type="dxa"/>
            <w:gridSpan w:val="7"/>
          </w:tcPr>
          <w:p w14:paraId="1A52CBCB" w14:textId="77777777" w:rsidR="00B72094" w:rsidRPr="00A461B6" w:rsidRDefault="00B72094" w:rsidP="00D76730">
            <w:pPr>
              <w:pStyle w:val="TableHeadingRow"/>
            </w:pPr>
            <w:r w:rsidRPr="00A461B6">
              <w:t>Number of person minutes saved (annual)</w:t>
            </w:r>
          </w:p>
        </w:tc>
        <w:tc>
          <w:tcPr>
            <w:tcW w:w="2169" w:type="dxa"/>
          </w:tcPr>
          <w:p w14:paraId="7560F020" w14:textId="77777777" w:rsidR="00B72094" w:rsidRPr="00A461B6" w:rsidRDefault="00B72094" w:rsidP="00D76730">
            <w:pPr>
              <w:pStyle w:val="TableHeadingRow"/>
            </w:pPr>
          </w:p>
        </w:tc>
      </w:tr>
      <w:tr w:rsidR="00B72094" w:rsidRPr="00A461B6" w14:paraId="78FEB29B" w14:textId="77777777" w:rsidTr="00F001F4">
        <w:tc>
          <w:tcPr>
            <w:tcW w:w="2088" w:type="dxa"/>
            <w:gridSpan w:val="2"/>
            <w:shd w:val="clear" w:color="auto" w:fill="F2F2F2" w:themeFill="background1" w:themeFillShade="F2"/>
            <w:vAlign w:val="bottom"/>
          </w:tcPr>
          <w:p w14:paraId="6036F892" w14:textId="77777777" w:rsidR="00B72094" w:rsidRPr="00A461B6" w:rsidRDefault="00B72094" w:rsidP="0007702F">
            <w:pPr>
              <w:rPr>
                <w:sz w:val="24"/>
                <w:szCs w:val="24"/>
              </w:rPr>
            </w:pPr>
            <w:r w:rsidRPr="00A461B6">
              <w:rPr>
                <w:sz w:val="24"/>
                <w:szCs w:val="24"/>
              </w:rPr>
              <w:t>2023-24</w:t>
            </w:r>
          </w:p>
        </w:tc>
        <w:tc>
          <w:tcPr>
            <w:tcW w:w="1979" w:type="dxa"/>
            <w:gridSpan w:val="2"/>
            <w:shd w:val="clear" w:color="auto" w:fill="F2F2F2" w:themeFill="background1" w:themeFillShade="F2"/>
            <w:vAlign w:val="bottom"/>
          </w:tcPr>
          <w:p w14:paraId="37EADB0C" w14:textId="77777777" w:rsidR="00B72094" w:rsidRPr="00A461B6" w:rsidRDefault="00B72094" w:rsidP="0007702F">
            <w:pPr>
              <w:rPr>
                <w:sz w:val="24"/>
                <w:szCs w:val="24"/>
              </w:rPr>
            </w:pPr>
            <w:r w:rsidRPr="00A461B6">
              <w:rPr>
                <w:sz w:val="24"/>
                <w:szCs w:val="24"/>
              </w:rPr>
              <w:t>2024-25</w:t>
            </w:r>
          </w:p>
        </w:tc>
        <w:tc>
          <w:tcPr>
            <w:tcW w:w="1979" w:type="dxa"/>
            <w:gridSpan w:val="2"/>
            <w:shd w:val="clear" w:color="auto" w:fill="F2F2F2" w:themeFill="background1" w:themeFillShade="F2"/>
            <w:vAlign w:val="bottom"/>
          </w:tcPr>
          <w:p w14:paraId="47E22550" w14:textId="77777777" w:rsidR="00B72094" w:rsidRPr="00A461B6" w:rsidRDefault="00B72094" w:rsidP="0007702F">
            <w:pPr>
              <w:rPr>
                <w:sz w:val="24"/>
                <w:szCs w:val="24"/>
              </w:rPr>
            </w:pPr>
            <w:r w:rsidRPr="00A461B6">
              <w:rPr>
                <w:sz w:val="24"/>
                <w:szCs w:val="24"/>
              </w:rPr>
              <w:t>2025-26</w:t>
            </w:r>
          </w:p>
        </w:tc>
        <w:tc>
          <w:tcPr>
            <w:tcW w:w="1979" w:type="dxa"/>
            <w:shd w:val="clear" w:color="auto" w:fill="F2F2F2" w:themeFill="background1" w:themeFillShade="F2"/>
            <w:vAlign w:val="bottom"/>
          </w:tcPr>
          <w:p w14:paraId="49BE529E" w14:textId="77777777" w:rsidR="00B72094" w:rsidRPr="00A461B6" w:rsidRDefault="00B72094" w:rsidP="0007702F">
            <w:pPr>
              <w:rPr>
                <w:sz w:val="24"/>
                <w:szCs w:val="24"/>
              </w:rPr>
            </w:pPr>
            <w:r w:rsidRPr="00A461B6">
              <w:rPr>
                <w:sz w:val="24"/>
                <w:szCs w:val="24"/>
              </w:rPr>
              <w:t>2026-27</w:t>
            </w:r>
          </w:p>
        </w:tc>
        <w:tc>
          <w:tcPr>
            <w:tcW w:w="2169" w:type="dxa"/>
            <w:shd w:val="clear" w:color="auto" w:fill="F2F2F2" w:themeFill="background1" w:themeFillShade="F2"/>
          </w:tcPr>
          <w:p w14:paraId="25744819" w14:textId="77777777" w:rsidR="00B72094" w:rsidRPr="00A461B6" w:rsidRDefault="00B72094" w:rsidP="00D76730">
            <w:pPr>
              <w:rPr>
                <w:sz w:val="24"/>
                <w:szCs w:val="24"/>
              </w:rPr>
            </w:pPr>
          </w:p>
        </w:tc>
      </w:tr>
      <w:tr w:rsidR="00F001F4" w:rsidRPr="00A461B6" w14:paraId="76351928" w14:textId="77777777" w:rsidTr="00AE54EB">
        <w:tc>
          <w:tcPr>
            <w:tcW w:w="2088" w:type="dxa"/>
            <w:gridSpan w:val="2"/>
          </w:tcPr>
          <w:p w14:paraId="5E16E81B" w14:textId="61045B2A" w:rsidR="00F001F4" w:rsidRPr="00A461B6" w:rsidRDefault="00F001F4" w:rsidP="0007702F">
            <w:pPr>
              <w:pStyle w:val="TableHeadingRow"/>
            </w:pPr>
            <w:r w:rsidRPr="00A461B6">
              <w:t>225,000,000</w:t>
            </w:r>
          </w:p>
        </w:tc>
        <w:tc>
          <w:tcPr>
            <w:tcW w:w="1979" w:type="dxa"/>
            <w:gridSpan w:val="2"/>
          </w:tcPr>
          <w:p w14:paraId="2FD34121" w14:textId="41C67115" w:rsidR="00F001F4" w:rsidRPr="00A461B6" w:rsidRDefault="00F001F4" w:rsidP="0007702F">
            <w:pPr>
              <w:pStyle w:val="TableHeadingRow"/>
            </w:pPr>
            <w:r w:rsidRPr="00A461B6">
              <w:t>228,750,000</w:t>
            </w:r>
          </w:p>
        </w:tc>
        <w:tc>
          <w:tcPr>
            <w:tcW w:w="1979" w:type="dxa"/>
            <w:gridSpan w:val="2"/>
          </w:tcPr>
          <w:p w14:paraId="5676695A" w14:textId="2BA946B3" w:rsidR="00F001F4" w:rsidRPr="00A461B6" w:rsidRDefault="00F001F4" w:rsidP="0007702F">
            <w:pPr>
              <w:pStyle w:val="TableHeadingRow"/>
            </w:pPr>
            <w:r w:rsidRPr="00A461B6">
              <w:t>232,500,000</w:t>
            </w:r>
          </w:p>
        </w:tc>
        <w:tc>
          <w:tcPr>
            <w:tcW w:w="1979" w:type="dxa"/>
          </w:tcPr>
          <w:p w14:paraId="17B47DC9" w14:textId="5F10F950" w:rsidR="00F001F4" w:rsidRPr="00A461B6" w:rsidRDefault="00F001F4" w:rsidP="0007702F">
            <w:pPr>
              <w:pStyle w:val="TableHeadingRow"/>
            </w:pPr>
            <w:r w:rsidRPr="00A461B6">
              <w:t>236,250,000</w:t>
            </w:r>
          </w:p>
        </w:tc>
        <w:tc>
          <w:tcPr>
            <w:tcW w:w="2169" w:type="dxa"/>
          </w:tcPr>
          <w:p w14:paraId="024A4491" w14:textId="77777777" w:rsidR="00F001F4" w:rsidRPr="00A461B6" w:rsidRDefault="00F001F4" w:rsidP="00F001F4">
            <w:pPr>
              <w:pStyle w:val="TableHeadingRow"/>
              <w:rPr>
                <w:color w:val="000000"/>
              </w:rPr>
            </w:pPr>
          </w:p>
        </w:tc>
      </w:tr>
      <w:tr w:rsidR="00B72094" w:rsidRPr="00A461B6" w14:paraId="19BA1E46" w14:textId="77777777" w:rsidTr="00F001F4">
        <w:tc>
          <w:tcPr>
            <w:tcW w:w="8025" w:type="dxa"/>
            <w:gridSpan w:val="7"/>
          </w:tcPr>
          <w:p w14:paraId="6E13135C" w14:textId="77777777" w:rsidR="00B72094" w:rsidRPr="00A461B6" w:rsidRDefault="00B72094" w:rsidP="00D76730">
            <w:pPr>
              <w:pStyle w:val="TableHeadingRow"/>
            </w:pPr>
            <w:r w:rsidRPr="00A461B6">
              <w:t>Estimated Regulatory Impact value of patient save (annual)</w:t>
            </w:r>
          </w:p>
        </w:tc>
        <w:tc>
          <w:tcPr>
            <w:tcW w:w="2169" w:type="dxa"/>
          </w:tcPr>
          <w:p w14:paraId="6CDA9CB1" w14:textId="77777777" w:rsidR="00B72094" w:rsidRPr="00A461B6" w:rsidRDefault="00B72094" w:rsidP="00D76730">
            <w:pPr>
              <w:pStyle w:val="TableHeadingRow"/>
            </w:pPr>
          </w:p>
        </w:tc>
      </w:tr>
      <w:tr w:rsidR="00B72094" w:rsidRPr="00A461B6" w14:paraId="79991FC9" w14:textId="77777777" w:rsidTr="00F001F4">
        <w:tc>
          <w:tcPr>
            <w:tcW w:w="2088" w:type="dxa"/>
            <w:gridSpan w:val="2"/>
            <w:shd w:val="clear" w:color="auto" w:fill="F2F2F2" w:themeFill="background1" w:themeFillShade="F2"/>
            <w:vAlign w:val="bottom"/>
          </w:tcPr>
          <w:p w14:paraId="14283388" w14:textId="77777777" w:rsidR="00B72094" w:rsidRPr="00A461B6" w:rsidRDefault="00B72094" w:rsidP="0007702F">
            <w:pPr>
              <w:rPr>
                <w:sz w:val="24"/>
                <w:szCs w:val="24"/>
              </w:rPr>
            </w:pPr>
            <w:r w:rsidRPr="00A461B6">
              <w:rPr>
                <w:sz w:val="24"/>
                <w:szCs w:val="24"/>
              </w:rPr>
              <w:t>2023-24</w:t>
            </w:r>
          </w:p>
        </w:tc>
        <w:tc>
          <w:tcPr>
            <w:tcW w:w="1979" w:type="dxa"/>
            <w:gridSpan w:val="2"/>
            <w:shd w:val="clear" w:color="auto" w:fill="F2F2F2" w:themeFill="background1" w:themeFillShade="F2"/>
            <w:vAlign w:val="bottom"/>
          </w:tcPr>
          <w:p w14:paraId="654DA28C" w14:textId="77777777" w:rsidR="00B72094" w:rsidRPr="00A461B6" w:rsidRDefault="00B72094" w:rsidP="0007702F">
            <w:pPr>
              <w:rPr>
                <w:sz w:val="24"/>
                <w:szCs w:val="24"/>
              </w:rPr>
            </w:pPr>
            <w:r w:rsidRPr="00A461B6">
              <w:rPr>
                <w:sz w:val="24"/>
                <w:szCs w:val="24"/>
              </w:rPr>
              <w:t>2024-25</w:t>
            </w:r>
          </w:p>
        </w:tc>
        <w:tc>
          <w:tcPr>
            <w:tcW w:w="1979" w:type="dxa"/>
            <w:gridSpan w:val="2"/>
            <w:shd w:val="clear" w:color="auto" w:fill="F2F2F2" w:themeFill="background1" w:themeFillShade="F2"/>
            <w:vAlign w:val="bottom"/>
          </w:tcPr>
          <w:p w14:paraId="6E61D343" w14:textId="77777777" w:rsidR="00B72094" w:rsidRPr="00A461B6" w:rsidRDefault="00B72094" w:rsidP="0007702F">
            <w:pPr>
              <w:rPr>
                <w:sz w:val="24"/>
                <w:szCs w:val="24"/>
              </w:rPr>
            </w:pPr>
            <w:r w:rsidRPr="00A461B6">
              <w:rPr>
                <w:sz w:val="24"/>
                <w:szCs w:val="24"/>
              </w:rPr>
              <w:t>2025-26</w:t>
            </w:r>
          </w:p>
        </w:tc>
        <w:tc>
          <w:tcPr>
            <w:tcW w:w="1979" w:type="dxa"/>
            <w:shd w:val="clear" w:color="auto" w:fill="F2F2F2" w:themeFill="background1" w:themeFillShade="F2"/>
            <w:vAlign w:val="bottom"/>
          </w:tcPr>
          <w:p w14:paraId="39F29B97" w14:textId="77777777" w:rsidR="00B72094" w:rsidRPr="00A461B6" w:rsidRDefault="00B72094" w:rsidP="0007702F">
            <w:pPr>
              <w:rPr>
                <w:sz w:val="24"/>
                <w:szCs w:val="24"/>
              </w:rPr>
            </w:pPr>
            <w:r w:rsidRPr="00A461B6">
              <w:rPr>
                <w:sz w:val="24"/>
                <w:szCs w:val="24"/>
              </w:rPr>
              <w:t>2026-27</w:t>
            </w:r>
          </w:p>
        </w:tc>
        <w:tc>
          <w:tcPr>
            <w:tcW w:w="2169" w:type="dxa"/>
            <w:shd w:val="clear" w:color="auto" w:fill="F2F2F2" w:themeFill="background1" w:themeFillShade="F2"/>
          </w:tcPr>
          <w:p w14:paraId="2B47B936" w14:textId="05433626" w:rsidR="00B72094" w:rsidRPr="00A461B6" w:rsidRDefault="008A1256" w:rsidP="0007702F">
            <w:pPr>
              <w:rPr>
                <w:sz w:val="24"/>
                <w:szCs w:val="24"/>
              </w:rPr>
            </w:pPr>
            <w:r w:rsidRPr="00A461B6">
              <w:rPr>
                <w:sz w:val="24"/>
                <w:szCs w:val="24"/>
              </w:rPr>
              <w:t>Total</w:t>
            </w:r>
          </w:p>
        </w:tc>
      </w:tr>
      <w:tr w:rsidR="009165A1" w:rsidRPr="00A461B6" w14:paraId="3891D145" w14:textId="77777777" w:rsidTr="00AE54EB">
        <w:tc>
          <w:tcPr>
            <w:tcW w:w="2088" w:type="dxa"/>
            <w:gridSpan w:val="2"/>
          </w:tcPr>
          <w:p w14:paraId="026553B1" w14:textId="2E4B29C4" w:rsidR="00A76876" w:rsidRPr="00A461B6" w:rsidRDefault="00A76876" w:rsidP="0007702F">
            <w:pPr>
              <w:pStyle w:val="TableHeadingRow"/>
              <w:rPr>
                <w:color w:val="auto"/>
              </w:rPr>
            </w:pPr>
            <w:r w:rsidRPr="00A461B6">
              <w:rPr>
                <w:color w:val="auto"/>
              </w:rPr>
              <w:t>$135,000,000</w:t>
            </w:r>
          </w:p>
        </w:tc>
        <w:tc>
          <w:tcPr>
            <w:tcW w:w="1979" w:type="dxa"/>
            <w:gridSpan w:val="2"/>
          </w:tcPr>
          <w:p w14:paraId="04484F8C" w14:textId="148E16A1" w:rsidR="00A76876" w:rsidRPr="00A461B6" w:rsidRDefault="00A76876" w:rsidP="0007702F">
            <w:pPr>
              <w:pStyle w:val="TableHeadingRow"/>
              <w:rPr>
                <w:color w:val="auto"/>
              </w:rPr>
            </w:pPr>
            <w:r w:rsidRPr="00A461B6">
              <w:rPr>
                <w:color w:val="auto"/>
              </w:rPr>
              <w:t>$137,250,000</w:t>
            </w:r>
          </w:p>
        </w:tc>
        <w:tc>
          <w:tcPr>
            <w:tcW w:w="1979" w:type="dxa"/>
            <w:gridSpan w:val="2"/>
          </w:tcPr>
          <w:p w14:paraId="652061B6" w14:textId="2A06CA79" w:rsidR="00A76876" w:rsidRPr="00A461B6" w:rsidRDefault="00A76876" w:rsidP="0007702F">
            <w:pPr>
              <w:pStyle w:val="TableHeadingRow"/>
              <w:rPr>
                <w:color w:val="auto"/>
              </w:rPr>
            </w:pPr>
            <w:r w:rsidRPr="00A461B6">
              <w:rPr>
                <w:color w:val="auto"/>
              </w:rPr>
              <w:t>$139,500,000</w:t>
            </w:r>
          </w:p>
        </w:tc>
        <w:tc>
          <w:tcPr>
            <w:tcW w:w="1979" w:type="dxa"/>
          </w:tcPr>
          <w:p w14:paraId="26516843" w14:textId="61924F55" w:rsidR="00A76876" w:rsidRPr="00A461B6" w:rsidRDefault="00A76876" w:rsidP="0007702F">
            <w:pPr>
              <w:pStyle w:val="TableHeadingRow"/>
              <w:rPr>
                <w:color w:val="auto"/>
              </w:rPr>
            </w:pPr>
            <w:r w:rsidRPr="00A461B6">
              <w:rPr>
                <w:color w:val="auto"/>
              </w:rPr>
              <w:t>$141,750,000</w:t>
            </w:r>
          </w:p>
        </w:tc>
        <w:tc>
          <w:tcPr>
            <w:tcW w:w="2169" w:type="dxa"/>
          </w:tcPr>
          <w:p w14:paraId="1EE0FE8B" w14:textId="44FA65BE" w:rsidR="00A76876" w:rsidRPr="00A461B6" w:rsidRDefault="00A76876" w:rsidP="0007702F">
            <w:pPr>
              <w:pStyle w:val="TableHeadingRow"/>
              <w:rPr>
                <w:color w:val="auto"/>
              </w:rPr>
            </w:pPr>
            <w:r w:rsidRPr="00A461B6">
              <w:rPr>
                <w:color w:val="auto"/>
              </w:rPr>
              <w:t>$553,500,000</w:t>
            </w:r>
          </w:p>
        </w:tc>
      </w:tr>
    </w:tbl>
    <w:p w14:paraId="4D161570" w14:textId="77A68DEA" w:rsidR="00B72094" w:rsidRPr="00A461B6" w:rsidRDefault="00B72094" w:rsidP="00B72094">
      <w:pPr>
        <w:pStyle w:val="TableHeadingRow"/>
        <w:rPr>
          <w:b w:val="0"/>
        </w:rPr>
      </w:pPr>
      <w:r w:rsidRPr="00A461B6">
        <w:rPr>
          <w:b w:val="0"/>
        </w:rPr>
        <w:t>Source:</w:t>
      </w:r>
      <w:r w:rsidRPr="00A461B6">
        <w:rPr>
          <w:bCs w:val="0"/>
        </w:rPr>
        <w:t xml:space="preserve"> </w:t>
      </w:r>
      <w:r w:rsidRPr="00A461B6">
        <w:rPr>
          <w:b w:val="0"/>
        </w:rPr>
        <w:t xml:space="preserve">2023 </w:t>
      </w:r>
      <w:r w:rsidR="00FD3686" w:rsidRPr="00A461B6">
        <w:rPr>
          <w:b w:val="0"/>
        </w:rPr>
        <w:t xml:space="preserve">Impact analysis </w:t>
      </w:r>
      <w:r w:rsidRPr="00A461B6">
        <w:rPr>
          <w:b w:val="0"/>
        </w:rPr>
        <w:t>costing-</w:t>
      </w:r>
      <w:r w:rsidR="00FD3686" w:rsidRPr="00A461B6">
        <w:rPr>
          <w:b w:val="0"/>
        </w:rPr>
        <w:t xml:space="preserve"> MDQ</w:t>
      </w:r>
      <w:r w:rsidRPr="00A461B6">
        <w:rPr>
          <w:b w:val="0"/>
        </w:rPr>
        <w:t xml:space="preserve"> 2 month O</w:t>
      </w:r>
      <w:r w:rsidR="004A3C92" w:rsidRPr="00A461B6">
        <w:rPr>
          <w:b w:val="0"/>
        </w:rPr>
        <w:t>IA</w:t>
      </w:r>
      <w:r w:rsidRPr="00A461B6">
        <w:rPr>
          <w:b w:val="0"/>
        </w:rPr>
        <w:t>22</w:t>
      </w:r>
      <w:r w:rsidR="004A3C92" w:rsidRPr="00A461B6">
        <w:rPr>
          <w:b w:val="0"/>
        </w:rPr>
        <w:t>IA</w:t>
      </w:r>
      <w:r w:rsidRPr="00A461B6">
        <w:rPr>
          <w:b w:val="0"/>
        </w:rPr>
        <w:t>-03771</w:t>
      </w:r>
    </w:p>
    <w:p w14:paraId="5B499262" w14:textId="26AF43A9" w:rsidR="00B72094" w:rsidRPr="00A461B6" w:rsidRDefault="00C35933" w:rsidP="001D11CD">
      <w:pPr>
        <w:rPr>
          <w:color w:val="auto"/>
          <w:sz w:val="24"/>
        </w:rPr>
      </w:pPr>
      <w:r w:rsidRPr="00A461B6">
        <w:rPr>
          <w:color w:val="auto"/>
          <w:sz w:val="24"/>
        </w:rPr>
        <w:t>*Average annual patient save: $</w:t>
      </w:r>
      <w:r w:rsidR="00016528" w:rsidRPr="00A461B6">
        <w:rPr>
          <w:color w:val="auto"/>
          <w:sz w:val="24"/>
        </w:rPr>
        <w:t>138,375,000</w:t>
      </w:r>
    </w:p>
    <w:p w14:paraId="3081AA38" w14:textId="77777777" w:rsidR="001D11CD" w:rsidRPr="00A461B6" w:rsidRDefault="001D11CD" w:rsidP="00DC5650">
      <w:pPr>
        <w:pStyle w:val="Heading4"/>
      </w:pPr>
      <w:r w:rsidRPr="00A461B6">
        <w:t>Pharmacies</w:t>
      </w:r>
    </w:p>
    <w:p w14:paraId="3FB3782E" w14:textId="0F1B50DE" w:rsidR="00AB7DBC" w:rsidRPr="00A461B6" w:rsidRDefault="001D11CD" w:rsidP="00AB7DBC">
      <w:pPr>
        <w:pStyle w:val="CommentText"/>
        <w:rPr>
          <w:color w:val="0D0D0D" w:themeColor="text1" w:themeTint="F2"/>
          <w:sz w:val="24"/>
          <w:szCs w:val="24"/>
        </w:rPr>
      </w:pPr>
      <w:r w:rsidRPr="00A461B6">
        <w:rPr>
          <w:color w:val="0D0D0D" w:themeColor="text1" w:themeTint="F2"/>
          <w:sz w:val="24"/>
          <w:szCs w:val="24"/>
        </w:rPr>
        <w:t xml:space="preserve">The </w:t>
      </w:r>
      <w:r w:rsidR="005E6136" w:rsidRPr="00A461B6">
        <w:rPr>
          <w:color w:val="0D0D0D" w:themeColor="text1" w:themeTint="F2"/>
          <w:sz w:val="24"/>
          <w:szCs w:val="24"/>
        </w:rPr>
        <w:t>community p</w:t>
      </w:r>
      <w:r w:rsidRPr="00A461B6">
        <w:rPr>
          <w:color w:val="0D0D0D" w:themeColor="text1" w:themeTint="F2"/>
          <w:sz w:val="24"/>
          <w:szCs w:val="24"/>
        </w:rPr>
        <w:t xml:space="preserve">harmacy sector will be significantly impacted by this proposal. </w:t>
      </w:r>
      <w:r w:rsidR="0045011F" w:rsidRPr="00A461B6">
        <w:rPr>
          <w:iCs/>
          <w:color w:val="0D0D0D" w:themeColor="text1" w:themeTint="F2"/>
          <w:sz w:val="24"/>
          <w:szCs w:val="24"/>
        </w:rPr>
        <w:t xml:space="preserve">Owners of over 5,900 pharmacies </w:t>
      </w:r>
      <w:r w:rsidR="003420D0" w:rsidRPr="00A461B6">
        <w:rPr>
          <w:iCs/>
          <w:color w:val="0D0D0D" w:themeColor="text1" w:themeTint="F2"/>
          <w:sz w:val="24"/>
          <w:szCs w:val="24"/>
        </w:rPr>
        <w:t xml:space="preserve">will receive less </w:t>
      </w:r>
      <w:r w:rsidR="004A1F7B" w:rsidRPr="00A461B6">
        <w:rPr>
          <w:iCs/>
          <w:color w:val="0D0D0D" w:themeColor="text1" w:themeTint="F2"/>
          <w:sz w:val="24"/>
          <w:szCs w:val="24"/>
        </w:rPr>
        <w:t xml:space="preserve">dispensing </w:t>
      </w:r>
      <w:r w:rsidR="003420D0" w:rsidRPr="00A461B6">
        <w:rPr>
          <w:iCs/>
          <w:color w:val="0D0D0D" w:themeColor="text1" w:themeTint="F2"/>
          <w:sz w:val="24"/>
          <w:szCs w:val="24"/>
        </w:rPr>
        <w:t xml:space="preserve">income due to the decrease in the volume of dispensing </w:t>
      </w:r>
      <w:r w:rsidR="0045011F" w:rsidRPr="00A461B6">
        <w:rPr>
          <w:iCs/>
          <w:color w:val="0D0D0D" w:themeColor="text1" w:themeTint="F2"/>
          <w:sz w:val="24"/>
          <w:szCs w:val="24"/>
        </w:rPr>
        <w:t xml:space="preserve">and </w:t>
      </w:r>
      <w:r w:rsidR="003420D0" w:rsidRPr="00A461B6">
        <w:rPr>
          <w:iCs/>
          <w:color w:val="0D0D0D" w:themeColor="text1" w:themeTint="F2"/>
          <w:sz w:val="24"/>
          <w:szCs w:val="24"/>
        </w:rPr>
        <w:t>related remuneration resulting from the proposed changes.</w:t>
      </w:r>
      <w:r w:rsidR="003A008B" w:rsidRPr="00A461B6">
        <w:rPr>
          <w:iCs/>
          <w:color w:val="0D0D0D" w:themeColor="text1" w:themeTint="F2"/>
          <w:sz w:val="24"/>
          <w:szCs w:val="24"/>
        </w:rPr>
        <w:t xml:space="preserve"> Some p</w:t>
      </w:r>
      <w:r w:rsidR="00925E83" w:rsidRPr="00A461B6">
        <w:rPr>
          <w:iCs/>
          <w:color w:val="0D0D0D" w:themeColor="text1" w:themeTint="F2"/>
          <w:sz w:val="24"/>
          <w:szCs w:val="24"/>
        </w:rPr>
        <w:t>harmacies may experience temporary changes to cash flow to purchase an increased stock level during the initial implementation phase</w:t>
      </w:r>
      <w:r w:rsidR="003A008B" w:rsidRPr="00A461B6">
        <w:rPr>
          <w:iCs/>
          <w:color w:val="0D0D0D" w:themeColor="text1" w:themeTint="F2"/>
          <w:sz w:val="24"/>
          <w:szCs w:val="24"/>
        </w:rPr>
        <w:t>, however this is likely to be mitigated by favourable terms of trade extended by suppliers to pharmacies, which is an established practice</w:t>
      </w:r>
      <w:r w:rsidR="00925E83" w:rsidRPr="00A461B6">
        <w:rPr>
          <w:iCs/>
          <w:color w:val="0D0D0D" w:themeColor="text1" w:themeTint="F2"/>
          <w:sz w:val="24"/>
          <w:szCs w:val="24"/>
        </w:rPr>
        <w:t>.</w:t>
      </w:r>
    </w:p>
    <w:p w14:paraId="51D42884" w14:textId="26B03F1F" w:rsidR="004A1F7B" w:rsidRPr="00A461B6" w:rsidRDefault="001D11CD" w:rsidP="003420D0">
      <w:pPr>
        <w:rPr>
          <w:color w:val="auto"/>
          <w:sz w:val="24"/>
          <w:szCs w:val="24"/>
        </w:rPr>
      </w:pPr>
      <w:r w:rsidRPr="00A461B6">
        <w:rPr>
          <w:iCs/>
          <w:color w:val="0D0D0D" w:themeColor="text1" w:themeTint="F2"/>
          <w:sz w:val="24"/>
          <w:szCs w:val="24"/>
        </w:rPr>
        <w:t xml:space="preserve">There will be </w:t>
      </w:r>
      <w:r w:rsidRPr="00A461B6">
        <w:rPr>
          <w:color w:val="0D0D0D" w:themeColor="text1" w:themeTint="F2"/>
          <w:sz w:val="24"/>
          <w:szCs w:val="24"/>
        </w:rPr>
        <w:t>little time for business owners to transition to other income sources</w:t>
      </w:r>
      <w:r w:rsidR="004A1F7B" w:rsidRPr="00A461B6">
        <w:rPr>
          <w:color w:val="0D0D0D" w:themeColor="text1" w:themeTint="F2"/>
          <w:sz w:val="24"/>
          <w:szCs w:val="24"/>
        </w:rPr>
        <w:t xml:space="preserve">, although the </w:t>
      </w:r>
      <w:r w:rsidR="004A1F7B" w:rsidRPr="00A461B6">
        <w:rPr>
          <w:color w:val="auto"/>
          <w:sz w:val="24"/>
          <w:szCs w:val="24"/>
        </w:rPr>
        <w:t xml:space="preserve">Government is providing increasing financial support for pharmacies to deliver patient services, including new vaccinations to eligible patients under the NIP to provide opportunities to ameliorate </w:t>
      </w:r>
      <w:r w:rsidR="00D56014" w:rsidRPr="00A461B6">
        <w:rPr>
          <w:color w:val="auto"/>
          <w:sz w:val="24"/>
          <w:szCs w:val="24"/>
        </w:rPr>
        <w:t>the business impact and diversif</w:t>
      </w:r>
      <w:r w:rsidR="004A1F7B" w:rsidRPr="00A461B6">
        <w:rPr>
          <w:color w:val="auto"/>
          <w:sz w:val="24"/>
          <w:szCs w:val="24"/>
        </w:rPr>
        <w:t>y into other public-funded health programs</w:t>
      </w:r>
      <w:r w:rsidRPr="00A461B6">
        <w:rPr>
          <w:color w:val="auto"/>
          <w:sz w:val="24"/>
          <w:szCs w:val="24"/>
        </w:rPr>
        <w:t xml:space="preserve">. </w:t>
      </w:r>
    </w:p>
    <w:p w14:paraId="3F587C5C" w14:textId="5023E970" w:rsidR="001D11CD" w:rsidRPr="00A461B6" w:rsidRDefault="004A1F7B" w:rsidP="003420D0">
      <w:pPr>
        <w:rPr>
          <w:color w:val="0D0D0D" w:themeColor="text1" w:themeTint="F2"/>
          <w:sz w:val="24"/>
          <w:szCs w:val="24"/>
        </w:rPr>
      </w:pPr>
      <w:r w:rsidRPr="00A461B6">
        <w:rPr>
          <w:color w:val="auto"/>
          <w:sz w:val="24"/>
          <w:szCs w:val="24"/>
        </w:rPr>
        <w:t>T</w:t>
      </w:r>
      <w:r w:rsidR="001D11CD" w:rsidRPr="00A461B6">
        <w:rPr>
          <w:color w:val="auto"/>
          <w:sz w:val="24"/>
          <w:szCs w:val="24"/>
        </w:rPr>
        <w:t xml:space="preserve">he full impact of the reduction in dispensing volumes will not occur immediately. </w:t>
      </w:r>
      <w:r w:rsidR="00E35AF5" w:rsidRPr="00A461B6">
        <w:rPr>
          <w:color w:val="auto"/>
          <w:sz w:val="24"/>
          <w:szCs w:val="24"/>
        </w:rPr>
        <w:t xml:space="preserve">Financial modelling assumes </w:t>
      </w:r>
      <w:r w:rsidR="001D11CD" w:rsidRPr="00A461B6">
        <w:rPr>
          <w:color w:val="auto"/>
          <w:sz w:val="24"/>
          <w:szCs w:val="24"/>
        </w:rPr>
        <w:t>that consumer uptake</w:t>
      </w:r>
      <w:r w:rsidR="00DE3545" w:rsidRPr="00A461B6">
        <w:rPr>
          <w:color w:val="auto"/>
          <w:sz w:val="24"/>
          <w:szCs w:val="24"/>
        </w:rPr>
        <w:t xml:space="preserve"> </w:t>
      </w:r>
      <w:r w:rsidR="004A67CD" w:rsidRPr="00A461B6">
        <w:rPr>
          <w:color w:val="auto"/>
          <w:sz w:val="24"/>
          <w:szCs w:val="24"/>
        </w:rPr>
        <w:t xml:space="preserve">of the proposal </w:t>
      </w:r>
      <w:r w:rsidR="001D11CD" w:rsidRPr="00A461B6">
        <w:rPr>
          <w:color w:val="auto"/>
          <w:sz w:val="24"/>
          <w:szCs w:val="24"/>
        </w:rPr>
        <w:t xml:space="preserve">will increase from </w:t>
      </w:r>
      <w:r w:rsidR="00B14B79" w:rsidRPr="00A461B6">
        <w:rPr>
          <w:color w:val="auto"/>
          <w:sz w:val="24"/>
          <w:szCs w:val="24"/>
        </w:rPr>
        <w:t xml:space="preserve">a </w:t>
      </w:r>
      <w:r w:rsidR="001D11CD" w:rsidRPr="00A461B6">
        <w:rPr>
          <w:color w:val="auto"/>
          <w:sz w:val="24"/>
          <w:szCs w:val="24"/>
        </w:rPr>
        <w:t xml:space="preserve">45% </w:t>
      </w:r>
      <w:r w:rsidR="008C7C13" w:rsidRPr="00A461B6">
        <w:rPr>
          <w:color w:val="auto"/>
          <w:sz w:val="24"/>
          <w:szCs w:val="24"/>
        </w:rPr>
        <w:t>aggregate reduction in the volume of eligible prescriptions for the single month</w:t>
      </w:r>
      <w:r w:rsidR="00FA0ADE" w:rsidRPr="00A461B6">
        <w:rPr>
          <w:color w:val="auto"/>
          <w:sz w:val="24"/>
          <w:szCs w:val="24"/>
        </w:rPr>
        <w:t>’</w:t>
      </w:r>
      <w:r w:rsidR="008C7C13" w:rsidRPr="00A461B6">
        <w:rPr>
          <w:color w:val="auto"/>
          <w:sz w:val="24"/>
          <w:szCs w:val="24"/>
        </w:rPr>
        <w:t xml:space="preserve">s quantity items </w:t>
      </w:r>
      <w:r w:rsidR="001D11CD" w:rsidRPr="00A461B6">
        <w:rPr>
          <w:color w:val="auto"/>
          <w:sz w:val="24"/>
          <w:szCs w:val="24"/>
        </w:rPr>
        <w:t xml:space="preserve">to </w:t>
      </w:r>
      <w:r w:rsidR="008C7C13" w:rsidRPr="00A461B6">
        <w:rPr>
          <w:color w:val="auto"/>
          <w:sz w:val="24"/>
          <w:szCs w:val="24"/>
        </w:rPr>
        <w:t xml:space="preserve">a </w:t>
      </w:r>
      <w:r w:rsidR="001D11CD" w:rsidRPr="00A461B6">
        <w:rPr>
          <w:color w:val="auto"/>
          <w:sz w:val="24"/>
          <w:szCs w:val="24"/>
        </w:rPr>
        <w:t xml:space="preserve">63% </w:t>
      </w:r>
      <w:r w:rsidR="008C7C13" w:rsidRPr="00A461B6">
        <w:rPr>
          <w:color w:val="auto"/>
          <w:sz w:val="24"/>
          <w:szCs w:val="24"/>
        </w:rPr>
        <w:t>aggregate reduction in the volume of eligible prescriptions for the single month</w:t>
      </w:r>
      <w:r w:rsidR="00FA0ADE" w:rsidRPr="00A461B6">
        <w:rPr>
          <w:color w:val="auto"/>
          <w:sz w:val="24"/>
          <w:szCs w:val="24"/>
        </w:rPr>
        <w:t>’</w:t>
      </w:r>
      <w:r w:rsidR="008C7C13" w:rsidRPr="00A461B6">
        <w:rPr>
          <w:color w:val="auto"/>
          <w:sz w:val="24"/>
          <w:szCs w:val="24"/>
        </w:rPr>
        <w:t xml:space="preserve">s quantity items </w:t>
      </w:r>
      <w:r w:rsidR="001D11CD" w:rsidRPr="00A461B6">
        <w:rPr>
          <w:color w:val="auto"/>
          <w:sz w:val="24"/>
        </w:rPr>
        <w:t>over</w:t>
      </w:r>
      <w:r w:rsidR="001D11CD" w:rsidRPr="00A461B6">
        <w:rPr>
          <w:color w:val="0D0D0D" w:themeColor="text1" w:themeTint="F2"/>
          <w:sz w:val="24"/>
          <w:szCs w:val="24"/>
        </w:rPr>
        <w:t xml:space="preserve"> the next four years. Many consumers will still have valid prescriptions for their medicines at the time of implementation and may only choose to seek a prescription for an increased quantity of medicine at their next scheduled doctor’s appointment. The availability of medical appointments will also limit the numbers of patients seeking a consultation for the sole purpose of obtaining a prescription for an increased quantity of their PBS medicines at the time of implementation. </w:t>
      </w:r>
    </w:p>
    <w:p w14:paraId="2621BB5A" w14:textId="4925F2BC" w:rsidR="0096685A" w:rsidRPr="00A461B6" w:rsidRDefault="001D11CD" w:rsidP="0045011F">
      <w:pPr>
        <w:rPr>
          <w:color w:val="auto"/>
          <w:sz w:val="24"/>
          <w:szCs w:val="24"/>
        </w:rPr>
      </w:pPr>
      <w:r w:rsidRPr="00A461B6">
        <w:rPr>
          <w:color w:val="0D0D0D" w:themeColor="text1" w:themeTint="F2"/>
          <w:sz w:val="24"/>
          <w:szCs w:val="24"/>
        </w:rPr>
        <w:t xml:space="preserve">Pharmacies will be paid one fee for dispensing two months’ supply of a medicine on the one occasion, rather than one fee paid on two separate occasions for dispensing a month’s supply of medicine over two separate months. The proposed changes will </w:t>
      </w:r>
      <w:r w:rsidR="0096685A" w:rsidRPr="00A461B6">
        <w:rPr>
          <w:color w:val="0D0D0D" w:themeColor="text1" w:themeTint="F2"/>
          <w:sz w:val="24"/>
          <w:szCs w:val="24"/>
        </w:rPr>
        <w:t xml:space="preserve">financially </w:t>
      </w:r>
      <w:r w:rsidRPr="00A461B6">
        <w:rPr>
          <w:color w:val="0D0D0D" w:themeColor="text1" w:themeTint="F2"/>
          <w:sz w:val="24"/>
          <w:szCs w:val="24"/>
        </w:rPr>
        <w:t xml:space="preserve">impact </w:t>
      </w:r>
      <w:r w:rsidR="005E6136" w:rsidRPr="00A461B6">
        <w:rPr>
          <w:color w:val="0D0D0D" w:themeColor="text1" w:themeTint="F2"/>
          <w:sz w:val="24"/>
          <w:szCs w:val="24"/>
        </w:rPr>
        <w:t>on</w:t>
      </w:r>
      <w:r w:rsidRPr="00A461B6">
        <w:rPr>
          <w:color w:val="0D0D0D" w:themeColor="text1" w:themeTint="F2"/>
          <w:sz w:val="24"/>
          <w:szCs w:val="24"/>
        </w:rPr>
        <w:t xml:space="preserve"> pharmacy businesses, as pharmacists </w:t>
      </w:r>
      <w:r w:rsidRPr="00A461B6">
        <w:rPr>
          <w:color w:val="auto"/>
          <w:sz w:val="24"/>
          <w:szCs w:val="24"/>
        </w:rPr>
        <w:t xml:space="preserve">will receive less dispensing and handling fee income due to the decrease in dispensing volumes and associated fees received from Government. </w:t>
      </w:r>
    </w:p>
    <w:p w14:paraId="40A7A286" w14:textId="419CD0E6" w:rsidR="00FE0130" w:rsidRPr="00A461B6" w:rsidRDefault="00761B45" w:rsidP="0045011F">
      <w:pPr>
        <w:rPr>
          <w:color w:val="auto"/>
          <w:sz w:val="24"/>
          <w:szCs w:val="24"/>
        </w:rPr>
      </w:pPr>
      <w:r w:rsidRPr="00A461B6">
        <w:rPr>
          <w:color w:val="auto"/>
          <w:sz w:val="24"/>
        </w:rPr>
        <w:t xml:space="preserve">The </w:t>
      </w:r>
      <w:r w:rsidR="006C5182" w:rsidRPr="00A461B6">
        <w:rPr>
          <w:rFonts w:cstheme="minorHAnsi"/>
          <w:color w:val="auto"/>
          <w:sz w:val="24"/>
          <w:szCs w:val="24"/>
        </w:rPr>
        <w:t>impact on specific pharmacies will vary depending on the location</w:t>
      </w:r>
      <w:r w:rsidRPr="00A461B6">
        <w:rPr>
          <w:color w:val="auto"/>
          <w:sz w:val="24"/>
        </w:rPr>
        <w:t xml:space="preserve"> of </w:t>
      </w:r>
      <w:r w:rsidR="006C5182" w:rsidRPr="00A461B6">
        <w:rPr>
          <w:rFonts w:cstheme="minorHAnsi"/>
          <w:color w:val="auto"/>
          <w:sz w:val="24"/>
          <w:szCs w:val="24"/>
        </w:rPr>
        <w:t xml:space="preserve">the pharmacy and its operating model. For the two month option, the </w:t>
      </w:r>
      <w:r w:rsidRPr="00A461B6">
        <w:rPr>
          <w:color w:val="auto"/>
          <w:sz w:val="24"/>
        </w:rPr>
        <w:t xml:space="preserve">estimated </w:t>
      </w:r>
      <w:r w:rsidR="006C5182" w:rsidRPr="00A461B6">
        <w:rPr>
          <w:rFonts w:cstheme="minorHAnsi"/>
          <w:color w:val="auto"/>
          <w:sz w:val="24"/>
          <w:szCs w:val="24"/>
        </w:rPr>
        <w:t>average</w:t>
      </w:r>
      <w:r w:rsidRPr="00A461B6">
        <w:rPr>
          <w:color w:val="auto"/>
          <w:sz w:val="24"/>
        </w:rPr>
        <w:t xml:space="preserve"> impact </w:t>
      </w:r>
      <w:r w:rsidR="006C5182" w:rsidRPr="00A461B6">
        <w:rPr>
          <w:rFonts w:cstheme="minorHAnsi"/>
          <w:color w:val="auto"/>
          <w:sz w:val="24"/>
          <w:szCs w:val="24"/>
        </w:rPr>
        <w:t>per</w:t>
      </w:r>
      <w:r w:rsidRPr="00A461B6">
        <w:rPr>
          <w:color w:val="auto"/>
          <w:sz w:val="24"/>
        </w:rPr>
        <w:t xml:space="preserve"> pharmacy </w:t>
      </w:r>
      <w:r w:rsidR="006C5182" w:rsidRPr="00A461B6">
        <w:rPr>
          <w:rFonts w:cstheme="minorHAnsi"/>
          <w:color w:val="auto"/>
          <w:sz w:val="24"/>
          <w:szCs w:val="24"/>
        </w:rPr>
        <w:t>in the fourth year following implementation may be up to $158,000 reduction in remuneration, which</w:t>
      </w:r>
      <w:r w:rsidRPr="00A461B6">
        <w:rPr>
          <w:color w:val="auto"/>
          <w:sz w:val="24"/>
        </w:rPr>
        <w:t xml:space="preserve"> is </w:t>
      </w:r>
      <w:r w:rsidR="006C5182" w:rsidRPr="00A461B6">
        <w:rPr>
          <w:rFonts w:cstheme="minorHAnsi"/>
          <w:color w:val="auto"/>
          <w:sz w:val="24"/>
          <w:szCs w:val="24"/>
        </w:rPr>
        <w:t xml:space="preserve">estimated to be a reduction of approximately 18% of the baseline remuneration of community pharmacy fees (estimated to be $867,000 in the fourth year). PBS revenue is only one of the revenue sources for community pharmacies, and other sources of income are </w:t>
      </w:r>
      <w:r w:rsidRPr="00A461B6">
        <w:rPr>
          <w:color w:val="auto"/>
          <w:sz w:val="24"/>
        </w:rPr>
        <w:t xml:space="preserve">not </w:t>
      </w:r>
      <w:r w:rsidR="006C5182" w:rsidRPr="00A461B6">
        <w:rPr>
          <w:rFonts w:cstheme="minorHAnsi"/>
          <w:color w:val="auto"/>
          <w:sz w:val="24"/>
          <w:szCs w:val="24"/>
        </w:rPr>
        <w:t>captured</w:t>
      </w:r>
      <w:r w:rsidRPr="00A461B6">
        <w:rPr>
          <w:color w:val="auto"/>
          <w:sz w:val="24"/>
        </w:rPr>
        <w:t xml:space="preserve"> in this </w:t>
      </w:r>
      <w:r w:rsidR="006C5182" w:rsidRPr="00A461B6">
        <w:rPr>
          <w:rFonts w:cstheme="minorHAnsi"/>
          <w:color w:val="auto"/>
          <w:sz w:val="24"/>
          <w:szCs w:val="24"/>
        </w:rPr>
        <w:t>analysis. The</w:t>
      </w:r>
      <w:r w:rsidR="0045011F" w:rsidRPr="00A461B6">
        <w:rPr>
          <w:color w:val="auto"/>
          <w:sz w:val="24"/>
        </w:rPr>
        <w:t xml:space="preserve"> </w:t>
      </w:r>
      <w:r w:rsidR="0045011F" w:rsidRPr="00A461B6">
        <w:rPr>
          <w:color w:val="auto"/>
          <w:sz w:val="24"/>
          <w:szCs w:val="24"/>
        </w:rPr>
        <w:t>impact by individual pharmacy will vary considerably</w:t>
      </w:r>
      <w:r w:rsidR="00FE0130" w:rsidRPr="00A461B6">
        <w:rPr>
          <w:color w:val="auto"/>
          <w:sz w:val="24"/>
          <w:szCs w:val="24"/>
        </w:rPr>
        <w:t xml:space="preserve"> according to </w:t>
      </w:r>
      <w:r w:rsidR="00716C0F" w:rsidRPr="00A461B6">
        <w:rPr>
          <w:color w:val="auto"/>
          <w:sz w:val="24"/>
          <w:szCs w:val="24"/>
        </w:rPr>
        <w:t>its operati</w:t>
      </w:r>
      <w:r w:rsidR="0096685A" w:rsidRPr="00A461B6">
        <w:rPr>
          <w:color w:val="auto"/>
          <w:sz w:val="24"/>
          <w:szCs w:val="24"/>
        </w:rPr>
        <w:t>ng</w:t>
      </w:r>
      <w:r w:rsidR="00716C0F" w:rsidRPr="00A461B6">
        <w:rPr>
          <w:color w:val="auto"/>
          <w:sz w:val="24"/>
          <w:szCs w:val="24"/>
        </w:rPr>
        <w:t xml:space="preserve"> model </w:t>
      </w:r>
      <w:r w:rsidR="00675957" w:rsidRPr="00A461B6">
        <w:rPr>
          <w:color w:val="auto"/>
          <w:sz w:val="24"/>
          <w:szCs w:val="24"/>
        </w:rPr>
        <w:t xml:space="preserve">and </w:t>
      </w:r>
      <w:r w:rsidR="00FE0130" w:rsidRPr="00A461B6">
        <w:rPr>
          <w:color w:val="auto"/>
          <w:sz w:val="24"/>
          <w:szCs w:val="24"/>
        </w:rPr>
        <w:t>factors such as:</w:t>
      </w:r>
    </w:p>
    <w:p w14:paraId="7A12C4FE" w14:textId="77777777" w:rsidR="00FE0130" w:rsidRPr="00A461B6" w:rsidRDefault="00FE0130" w:rsidP="00761B45">
      <w:pPr>
        <w:pStyle w:val="ListParagraph"/>
        <w:numPr>
          <w:ilvl w:val="0"/>
          <w:numId w:val="9"/>
        </w:numPr>
        <w:spacing w:after="0" w:line="240" w:lineRule="auto"/>
        <w:contextualSpacing w:val="0"/>
        <w:rPr>
          <w:color w:val="auto"/>
          <w:sz w:val="24"/>
          <w:szCs w:val="24"/>
        </w:rPr>
      </w:pPr>
      <w:r w:rsidRPr="00A461B6">
        <w:rPr>
          <w:color w:val="auto"/>
          <w:sz w:val="24"/>
          <w:szCs w:val="24"/>
        </w:rPr>
        <w:t>Dispensing volumes for impacted PBS items</w:t>
      </w:r>
    </w:p>
    <w:p w14:paraId="3D1C4E11" w14:textId="77777777" w:rsidR="00FE0130" w:rsidRPr="00A461B6" w:rsidRDefault="00FE0130" w:rsidP="00761B45">
      <w:pPr>
        <w:pStyle w:val="ListParagraph"/>
        <w:numPr>
          <w:ilvl w:val="0"/>
          <w:numId w:val="9"/>
        </w:numPr>
        <w:spacing w:after="0" w:line="240" w:lineRule="auto"/>
        <w:contextualSpacing w:val="0"/>
        <w:rPr>
          <w:color w:val="auto"/>
          <w:sz w:val="24"/>
          <w:szCs w:val="24"/>
        </w:rPr>
      </w:pPr>
      <w:r w:rsidRPr="00A461B6">
        <w:rPr>
          <w:color w:val="auto"/>
          <w:sz w:val="24"/>
          <w:szCs w:val="24"/>
        </w:rPr>
        <w:t>The types of medicines dispensed within this overall volume</w:t>
      </w:r>
    </w:p>
    <w:p w14:paraId="01EBBD84" w14:textId="77777777" w:rsidR="00FE0130" w:rsidRPr="00A461B6" w:rsidRDefault="00FE0130" w:rsidP="00761B45">
      <w:pPr>
        <w:pStyle w:val="ListParagraph"/>
        <w:numPr>
          <w:ilvl w:val="0"/>
          <w:numId w:val="9"/>
        </w:numPr>
        <w:spacing w:after="0" w:line="240" w:lineRule="auto"/>
        <w:contextualSpacing w:val="0"/>
        <w:rPr>
          <w:color w:val="auto"/>
          <w:sz w:val="24"/>
          <w:szCs w:val="24"/>
        </w:rPr>
      </w:pPr>
      <w:r w:rsidRPr="00A461B6">
        <w:rPr>
          <w:color w:val="auto"/>
          <w:sz w:val="24"/>
          <w:szCs w:val="24"/>
        </w:rPr>
        <w:t>Take-up of increased quantity prescribing by doctors</w:t>
      </w:r>
    </w:p>
    <w:p w14:paraId="4BD2348A" w14:textId="5651DBC3" w:rsidR="00FE0130" w:rsidRPr="00A461B6" w:rsidRDefault="00FE0130" w:rsidP="00761B45">
      <w:pPr>
        <w:pStyle w:val="ListParagraph"/>
        <w:numPr>
          <w:ilvl w:val="0"/>
          <w:numId w:val="9"/>
        </w:numPr>
        <w:spacing w:after="0" w:line="240" w:lineRule="auto"/>
        <w:contextualSpacing w:val="0"/>
        <w:rPr>
          <w:color w:val="auto"/>
          <w:sz w:val="24"/>
          <w:szCs w:val="24"/>
        </w:rPr>
      </w:pPr>
      <w:r w:rsidRPr="00A461B6">
        <w:rPr>
          <w:color w:val="auto"/>
          <w:sz w:val="24"/>
          <w:szCs w:val="24"/>
        </w:rPr>
        <w:t>Other demographic and regional variations</w:t>
      </w:r>
      <w:r w:rsidR="005E6136" w:rsidRPr="00A461B6">
        <w:rPr>
          <w:color w:val="auto"/>
          <w:sz w:val="24"/>
          <w:szCs w:val="24"/>
        </w:rPr>
        <w:t>.</w:t>
      </w:r>
    </w:p>
    <w:p w14:paraId="5A3665D4" w14:textId="77777777" w:rsidR="007805FC" w:rsidRPr="00A461B6" w:rsidRDefault="007805FC" w:rsidP="00D2693C">
      <w:pPr>
        <w:pStyle w:val="ListParagraph"/>
        <w:spacing w:after="0" w:line="240" w:lineRule="auto"/>
        <w:contextualSpacing w:val="0"/>
        <w:rPr>
          <w:color w:val="auto"/>
          <w:sz w:val="24"/>
          <w:szCs w:val="24"/>
        </w:rPr>
      </w:pPr>
    </w:p>
    <w:p w14:paraId="04257C3D" w14:textId="74BE6876" w:rsidR="004A1F7B" w:rsidRPr="00A461B6" w:rsidRDefault="001D11CD" w:rsidP="0045011F">
      <w:pPr>
        <w:rPr>
          <w:color w:val="auto"/>
          <w:sz w:val="24"/>
          <w:szCs w:val="24"/>
        </w:rPr>
      </w:pPr>
      <w:r w:rsidRPr="00A461B6">
        <w:rPr>
          <w:color w:val="auto"/>
          <w:sz w:val="24"/>
          <w:szCs w:val="24"/>
        </w:rPr>
        <w:t>Pharmacists and other pharmacy employees will save time through reduced patient-pharmacist interactions due to fewer dispensing</w:t>
      </w:r>
      <w:r w:rsidR="004A1F7B" w:rsidRPr="00A461B6">
        <w:rPr>
          <w:color w:val="auto"/>
          <w:sz w:val="24"/>
          <w:szCs w:val="24"/>
        </w:rPr>
        <w:t>s</w:t>
      </w:r>
      <w:r w:rsidRPr="00A461B6">
        <w:rPr>
          <w:color w:val="auto"/>
          <w:sz w:val="24"/>
          <w:szCs w:val="24"/>
        </w:rPr>
        <w:t xml:space="preserve"> for some medicines.</w:t>
      </w:r>
      <w:r w:rsidRPr="00A461B6">
        <w:rPr>
          <w:color w:val="auto"/>
          <w:sz w:val="24"/>
        </w:rPr>
        <w:t xml:space="preserve"> </w:t>
      </w:r>
      <w:r w:rsidR="00E65B47" w:rsidRPr="00A461B6">
        <w:rPr>
          <w:color w:val="auto"/>
          <w:sz w:val="24"/>
        </w:rPr>
        <w:t>This time may be spent on other patient related health care activities</w:t>
      </w:r>
      <w:r w:rsidR="004A1F7B" w:rsidRPr="00A461B6">
        <w:rPr>
          <w:color w:val="auto"/>
          <w:sz w:val="24"/>
          <w:szCs w:val="24"/>
        </w:rPr>
        <w:t>, including public funded health programs and services delivered in pharmacies</w:t>
      </w:r>
      <w:r w:rsidR="00E65B47" w:rsidRPr="00A461B6">
        <w:rPr>
          <w:color w:val="auto"/>
          <w:sz w:val="24"/>
          <w:szCs w:val="24"/>
        </w:rPr>
        <w:t xml:space="preserve">. </w:t>
      </w:r>
    </w:p>
    <w:p w14:paraId="47F18357" w14:textId="6627138A" w:rsidR="00E00C83" w:rsidRPr="00A461B6" w:rsidRDefault="001D11CD" w:rsidP="0045011F">
      <w:pPr>
        <w:rPr>
          <w:color w:val="auto"/>
          <w:sz w:val="24"/>
          <w:szCs w:val="24"/>
        </w:rPr>
      </w:pPr>
      <w:r w:rsidRPr="00A461B6">
        <w:rPr>
          <w:color w:val="auto"/>
          <w:sz w:val="24"/>
        </w:rPr>
        <w:t>P</w:t>
      </w:r>
      <w:r w:rsidRPr="00A461B6">
        <w:rPr>
          <w:color w:val="auto"/>
          <w:sz w:val="24"/>
          <w:szCs w:val="24"/>
        </w:rPr>
        <w:t>harmacies may experience the loss of other sales revenue, as a result of reduced foo</w:t>
      </w:r>
      <w:r w:rsidR="00E00C83" w:rsidRPr="00A461B6">
        <w:rPr>
          <w:color w:val="auto"/>
          <w:sz w:val="24"/>
          <w:szCs w:val="24"/>
        </w:rPr>
        <w:t>t traffic through the pharmacy</w:t>
      </w:r>
      <w:r w:rsidR="00E65B47" w:rsidRPr="00A461B6">
        <w:rPr>
          <w:color w:val="auto"/>
          <w:sz w:val="24"/>
          <w:szCs w:val="24"/>
        </w:rPr>
        <w:t>.</w:t>
      </w:r>
      <w:r w:rsidR="00E00C83" w:rsidRPr="00A461B6">
        <w:rPr>
          <w:color w:val="auto"/>
          <w:sz w:val="24"/>
          <w:szCs w:val="24"/>
        </w:rPr>
        <w:t xml:space="preserve"> The volume of medicines distributed by pharmaceutical wholesalers may also change. </w:t>
      </w:r>
    </w:p>
    <w:p w14:paraId="6777579D" w14:textId="276EAF54" w:rsidR="00E00C83" w:rsidRPr="00A461B6" w:rsidRDefault="0045011F" w:rsidP="0086200B">
      <w:pPr>
        <w:pStyle w:val="CABNETParagraph"/>
        <w:rPr>
          <w:rFonts w:asciiTheme="minorHAnsi" w:hAnsiTheme="minorHAnsi"/>
          <w:sz w:val="24"/>
        </w:rPr>
      </w:pPr>
      <w:r w:rsidRPr="00A461B6">
        <w:rPr>
          <w:rFonts w:asciiTheme="minorHAnsi" w:hAnsiTheme="minorHAnsi"/>
          <w:sz w:val="24"/>
          <w:szCs w:val="24"/>
        </w:rPr>
        <w:t xml:space="preserve">Smaller pharmacies and those in isolated/remote areas may be impacted more than </w:t>
      </w:r>
      <w:r w:rsidR="007805FC" w:rsidRPr="00A461B6">
        <w:rPr>
          <w:rFonts w:asciiTheme="minorHAnsi" w:hAnsiTheme="minorHAnsi"/>
          <w:sz w:val="24"/>
          <w:szCs w:val="24"/>
        </w:rPr>
        <w:t>larger pharmacies and those in metropolitan areas</w:t>
      </w:r>
      <w:r w:rsidR="00252CF7" w:rsidRPr="00A461B6">
        <w:rPr>
          <w:rFonts w:asciiTheme="minorHAnsi" w:hAnsiTheme="minorHAnsi"/>
          <w:sz w:val="24"/>
          <w:szCs w:val="24"/>
        </w:rPr>
        <w:t xml:space="preserve">, </w:t>
      </w:r>
      <w:r w:rsidR="00252CF7" w:rsidRPr="00A461B6">
        <w:rPr>
          <w:rFonts w:asciiTheme="minorHAnsi" w:hAnsiTheme="minorHAnsi"/>
          <w:sz w:val="24"/>
        </w:rPr>
        <w:t>as in addition to reduced dispensing related remuneration, there may be less foot traffic and therefore less opportunity for over the counter sales due to the smaller populations of serviced regions</w:t>
      </w:r>
      <w:r w:rsidR="007805FC" w:rsidRPr="00A461B6">
        <w:rPr>
          <w:rFonts w:asciiTheme="minorHAnsi" w:hAnsiTheme="minorHAnsi"/>
          <w:sz w:val="24"/>
        </w:rPr>
        <w:t>.</w:t>
      </w:r>
      <w:r w:rsidRPr="00A461B6">
        <w:rPr>
          <w:rFonts w:asciiTheme="minorHAnsi" w:hAnsiTheme="minorHAnsi"/>
          <w:sz w:val="24"/>
        </w:rPr>
        <w:t xml:space="preserve"> </w:t>
      </w:r>
      <w:r w:rsidR="00E65B47" w:rsidRPr="00A461B6">
        <w:rPr>
          <w:rFonts w:asciiTheme="minorHAnsi" w:hAnsiTheme="minorHAnsi"/>
          <w:sz w:val="24"/>
        </w:rPr>
        <w:t xml:space="preserve">Under the 7CPA, regional, rural and remote </w:t>
      </w:r>
      <w:r w:rsidR="00252CF7" w:rsidRPr="00A461B6">
        <w:rPr>
          <w:rFonts w:asciiTheme="minorHAnsi" w:hAnsiTheme="minorHAnsi"/>
          <w:sz w:val="24"/>
        </w:rPr>
        <w:t>pharmaci</w:t>
      </w:r>
      <w:r w:rsidR="00E65B47" w:rsidRPr="00A461B6">
        <w:rPr>
          <w:rFonts w:asciiTheme="minorHAnsi" w:hAnsiTheme="minorHAnsi"/>
          <w:sz w:val="24"/>
        </w:rPr>
        <w:t>es receive additional funding (Regional Pharmacy Maintenance Allowance (RPMA) program)</w:t>
      </w:r>
      <w:r w:rsidR="00E65B47" w:rsidRPr="00A461B6">
        <w:rPr>
          <w:rStyle w:val="FootnoteReference"/>
          <w:rFonts w:asciiTheme="minorHAnsi" w:hAnsiTheme="minorHAnsi"/>
          <w:sz w:val="24"/>
        </w:rPr>
        <w:footnoteReference w:id="43"/>
      </w:r>
      <w:r w:rsidR="00E65B47" w:rsidRPr="00A461B6">
        <w:rPr>
          <w:rFonts w:asciiTheme="minorHAnsi" w:hAnsiTheme="minorHAnsi"/>
          <w:sz w:val="24"/>
        </w:rPr>
        <w:t xml:space="preserve"> to support the supply of medicines and healthcare in the community, to ensure access for all Australians to the medicines and pharmacy services required. </w:t>
      </w:r>
    </w:p>
    <w:p w14:paraId="74F1B5A3" w14:textId="7E00615D" w:rsidR="0045011F" w:rsidRPr="00A461B6" w:rsidRDefault="005E6136" w:rsidP="0045011F">
      <w:pPr>
        <w:rPr>
          <w:color w:val="0D0D0D" w:themeColor="text1" w:themeTint="F2"/>
          <w:sz w:val="24"/>
          <w:szCs w:val="24"/>
        </w:rPr>
      </w:pPr>
      <w:r w:rsidRPr="00A461B6">
        <w:rPr>
          <w:color w:val="0D0D0D" w:themeColor="text1" w:themeTint="F2"/>
          <w:sz w:val="24"/>
          <w:szCs w:val="24"/>
        </w:rPr>
        <w:t>Alongside this</w:t>
      </w:r>
      <w:r w:rsidR="0096685A" w:rsidRPr="00A461B6">
        <w:rPr>
          <w:color w:val="0D0D0D" w:themeColor="text1" w:themeTint="F2"/>
          <w:sz w:val="24"/>
          <w:szCs w:val="24"/>
        </w:rPr>
        <w:t xml:space="preserve"> proposal</w:t>
      </w:r>
      <w:r w:rsidRPr="00A461B6">
        <w:rPr>
          <w:color w:val="0D0D0D" w:themeColor="text1" w:themeTint="F2"/>
          <w:sz w:val="24"/>
          <w:szCs w:val="24"/>
        </w:rPr>
        <w:t xml:space="preserve">, the Government </w:t>
      </w:r>
      <w:r w:rsidR="007805FC" w:rsidRPr="00A461B6">
        <w:rPr>
          <w:color w:val="0D0D0D" w:themeColor="text1" w:themeTint="F2"/>
          <w:sz w:val="24"/>
          <w:szCs w:val="24"/>
        </w:rPr>
        <w:t xml:space="preserve">is </w:t>
      </w:r>
      <w:r w:rsidRPr="00A461B6">
        <w:rPr>
          <w:color w:val="0D0D0D" w:themeColor="text1" w:themeTint="F2"/>
          <w:sz w:val="24"/>
          <w:szCs w:val="24"/>
        </w:rPr>
        <w:t>considering</w:t>
      </w:r>
      <w:r w:rsidR="007805FC" w:rsidRPr="00A461B6">
        <w:rPr>
          <w:color w:val="0D0D0D" w:themeColor="text1" w:themeTint="F2"/>
          <w:sz w:val="24"/>
          <w:szCs w:val="24"/>
        </w:rPr>
        <w:t xml:space="preserve"> proposals designed to mitigate the financial impact of </w:t>
      </w:r>
      <w:r w:rsidRPr="00A461B6">
        <w:rPr>
          <w:color w:val="0D0D0D" w:themeColor="text1" w:themeTint="F2"/>
          <w:sz w:val="24"/>
          <w:szCs w:val="24"/>
        </w:rPr>
        <w:t xml:space="preserve">increasing </w:t>
      </w:r>
      <w:r w:rsidR="004A1F7B" w:rsidRPr="00A461B6">
        <w:rPr>
          <w:color w:val="0D0D0D" w:themeColor="text1" w:themeTint="F2"/>
          <w:sz w:val="24"/>
          <w:szCs w:val="24"/>
        </w:rPr>
        <w:t xml:space="preserve">the MDQ </w:t>
      </w:r>
      <w:r w:rsidRPr="00A461B6">
        <w:rPr>
          <w:color w:val="0D0D0D" w:themeColor="text1" w:themeTint="F2"/>
          <w:sz w:val="24"/>
          <w:szCs w:val="24"/>
        </w:rPr>
        <w:t>by reinvesting savings back</w:t>
      </w:r>
      <w:r w:rsidR="007805FC" w:rsidRPr="00A461B6">
        <w:rPr>
          <w:color w:val="0D0D0D" w:themeColor="text1" w:themeTint="F2"/>
          <w:sz w:val="24"/>
          <w:szCs w:val="24"/>
        </w:rPr>
        <w:t xml:space="preserve"> in</w:t>
      </w:r>
      <w:r w:rsidRPr="00A461B6">
        <w:rPr>
          <w:color w:val="0D0D0D" w:themeColor="text1" w:themeTint="F2"/>
          <w:sz w:val="24"/>
          <w:szCs w:val="24"/>
        </w:rPr>
        <w:t>to</w:t>
      </w:r>
      <w:r w:rsidR="007805FC" w:rsidRPr="00A461B6">
        <w:rPr>
          <w:color w:val="0D0D0D" w:themeColor="text1" w:themeTint="F2"/>
          <w:sz w:val="24"/>
          <w:szCs w:val="24"/>
        </w:rPr>
        <w:t xml:space="preserve"> </w:t>
      </w:r>
      <w:r w:rsidRPr="00A461B6">
        <w:rPr>
          <w:color w:val="0D0D0D" w:themeColor="text1" w:themeTint="F2"/>
          <w:sz w:val="24"/>
          <w:szCs w:val="24"/>
        </w:rPr>
        <w:t>the community p</w:t>
      </w:r>
      <w:r w:rsidR="007805FC" w:rsidRPr="00A461B6">
        <w:rPr>
          <w:color w:val="0D0D0D" w:themeColor="text1" w:themeTint="F2"/>
          <w:sz w:val="24"/>
          <w:szCs w:val="24"/>
        </w:rPr>
        <w:t xml:space="preserve">harmacy </w:t>
      </w:r>
      <w:r w:rsidRPr="00A461B6">
        <w:rPr>
          <w:color w:val="0D0D0D" w:themeColor="text1" w:themeTint="F2"/>
          <w:sz w:val="24"/>
          <w:szCs w:val="24"/>
        </w:rPr>
        <w:t>sector</w:t>
      </w:r>
      <w:r w:rsidR="007805FC" w:rsidRPr="00A461B6">
        <w:rPr>
          <w:color w:val="0D0D0D" w:themeColor="text1" w:themeTint="F2"/>
          <w:sz w:val="24"/>
          <w:szCs w:val="24"/>
        </w:rPr>
        <w:t>.</w:t>
      </w:r>
      <w:r w:rsidR="00731F35" w:rsidRPr="00A461B6">
        <w:rPr>
          <w:color w:val="0D0D0D" w:themeColor="text1" w:themeTint="F2"/>
          <w:sz w:val="24"/>
          <w:szCs w:val="24"/>
        </w:rPr>
        <w:t xml:space="preserve"> </w:t>
      </w:r>
      <w:r w:rsidR="00B0442F" w:rsidRPr="00A461B6">
        <w:rPr>
          <w:color w:val="0D0D0D" w:themeColor="text1" w:themeTint="F2"/>
          <w:sz w:val="24"/>
          <w:szCs w:val="24"/>
        </w:rPr>
        <w:t xml:space="preserve">The reinvestment package includes a proposal aimed specifically at </w:t>
      </w:r>
      <w:r w:rsidR="004A1F7B" w:rsidRPr="00A461B6">
        <w:rPr>
          <w:color w:val="0D0D0D" w:themeColor="text1" w:themeTint="F2"/>
          <w:sz w:val="24"/>
          <w:szCs w:val="24"/>
        </w:rPr>
        <w:t>r</w:t>
      </w:r>
      <w:r w:rsidR="00B0442F" w:rsidRPr="00A461B6">
        <w:rPr>
          <w:color w:val="0D0D0D" w:themeColor="text1" w:themeTint="F2"/>
          <w:sz w:val="24"/>
          <w:szCs w:val="24"/>
        </w:rPr>
        <w:t xml:space="preserve">ural and </w:t>
      </w:r>
      <w:r w:rsidRPr="00A461B6">
        <w:rPr>
          <w:color w:val="0D0D0D" w:themeColor="text1" w:themeTint="F2"/>
          <w:sz w:val="24"/>
          <w:szCs w:val="24"/>
        </w:rPr>
        <w:t>remote p</w:t>
      </w:r>
      <w:r w:rsidR="00AA0A9F" w:rsidRPr="00A461B6">
        <w:rPr>
          <w:color w:val="0D0D0D" w:themeColor="text1" w:themeTint="F2"/>
          <w:sz w:val="24"/>
          <w:szCs w:val="24"/>
        </w:rPr>
        <w:t>harmacies and</w:t>
      </w:r>
      <w:r w:rsidR="00B0442F" w:rsidRPr="00A461B6">
        <w:rPr>
          <w:color w:val="0D0D0D" w:themeColor="text1" w:themeTint="F2"/>
          <w:sz w:val="24"/>
          <w:szCs w:val="24"/>
        </w:rPr>
        <w:t xml:space="preserve"> seeks to increase </w:t>
      </w:r>
      <w:r w:rsidR="004A1F7B" w:rsidRPr="00A461B6">
        <w:rPr>
          <w:color w:val="0D0D0D" w:themeColor="text1" w:themeTint="F2"/>
          <w:sz w:val="24"/>
          <w:szCs w:val="24"/>
        </w:rPr>
        <w:t>r</w:t>
      </w:r>
      <w:r w:rsidR="00B0442F" w:rsidRPr="00A461B6">
        <w:rPr>
          <w:color w:val="0D0D0D" w:themeColor="text1" w:themeTint="F2"/>
          <w:sz w:val="24"/>
          <w:szCs w:val="24"/>
        </w:rPr>
        <w:t xml:space="preserve">emote </w:t>
      </w:r>
      <w:r w:rsidR="004A1F7B" w:rsidRPr="00A461B6">
        <w:rPr>
          <w:color w:val="0D0D0D" w:themeColor="text1" w:themeTint="F2"/>
          <w:sz w:val="24"/>
          <w:szCs w:val="24"/>
        </w:rPr>
        <w:t>p</w:t>
      </w:r>
      <w:r w:rsidR="00B0442F" w:rsidRPr="00A461B6">
        <w:rPr>
          <w:color w:val="0D0D0D" w:themeColor="text1" w:themeTint="F2"/>
          <w:sz w:val="24"/>
          <w:szCs w:val="24"/>
        </w:rPr>
        <w:t>harmacies,</w:t>
      </w:r>
      <w:r w:rsidR="004A1F7B" w:rsidRPr="00A461B6">
        <w:rPr>
          <w:color w:val="0D0D0D" w:themeColor="text1" w:themeTint="F2"/>
          <w:sz w:val="24"/>
          <w:szCs w:val="24"/>
        </w:rPr>
        <w:t xml:space="preserve"> doubling </w:t>
      </w:r>
      <w:r w:rsidR="004A1F7B" w:rsidRPr="00A461B6">
        <w:rPr>
          <w:color w:val="0D0D0D" w:themeColor="text1" w:themeTint="F2"/>
          <w:sz w:val="24"/>
        </w:rPr>
        <w:t xml:space="preserve">the overall </w:t>
      </w:r>
      <w:r w:rsidRPr="00A461B6">
        <w:rPr>
          <w:color w:val="0D0D0D" w:themeColor="text1" w:themeTint="F2"/>
          <w:sz w:val="24"/>
          <w:szCs w:val="24"/>
        </w:rPr>
        <w:t>b</w:t>
      </w:r>
      <w:r w:rsidR="00B0442F" w:rsidRPr="00A461B6">
        <w:rPr>
          <w:color w:val="0D0D0D" w:themeColor="text1" w:themeTint="F2"/>
          <w:sz w:val="24"/>
          <w:szCs w:val="24"/>
        </w:rPr>
        <w:t>udget of Community</w:t>
      </w:r>
      <w:r w:rsidR="00731F35" w:rsidRPr="00A461B6">
        <w:rPr>
          <w:color w:val="0D0D0D" w:themeColor="text1" w:themeTint="F2"/>
          <w:sz w:val="24"/>
          <w:szCs w:val="24"/>
        </w:rPr>
        <w:t xml:space="preserve"> </w:t>
      </w:r>
      <w:r w:rsidR="004A1F7B" w:rsidRPr="00A461B6">
        <w:rPr>
          <w:color w:val="0D0D0D" w:themeColor="text1" w:themeTint="F2"/>
          <w:sz w:val="24"/>
          <w:szCs w:val="24"/>
        </w:rPr>
        <w:t>payments under the RPMA program</w:t>
      </w:r>
      <w:r w:rsidR="00AA0A9F" w:rsidRPr="00A461B6">
        <w:rPr>
          <w:color w:val="0D0D0D" w:themeColor="text1" w:themeTint="F2"/>
          <w:sz w:val="24"/>
          <w:szCs w:val="24"/>
        </w:rPr>
        <w:t>.</w:t>
      </w:r>
      <w:r w:rsidR="00B0442F" w:rsidRPr="00A461B6">
        <w:rPr>
          <w:color w:val="0D0D0D" w:themeColor="text1" w:themeTint="F2"/>
          <w:sz w:val="24"/>
          <w:szCs w:val="24"/>
        </w:rPr>
        <w:t xml:space="preserve"> </w:t>
      </w:r>
      <w:r w:rsidR="00AA0A9F" w:rsidRPr="00A461B6">
        <w:rPr>
          <w:color w:val="0D0D0D" w:themeColor="text1" w:themeTint="F2"/>
          <w:sz w:val="24"/>
          <w:szCs w:val="24"/>
        </w:rPr>
        <w:t>It</w:t>
      </w:r>
      <w:r w:rsidR="00252CF7" w:rsidRPr="00A461B6">
        <w:rPr>
          <w:color w:val="0D0D0D" w:themeColor="text1" w:themeTint="F2"/>
          <w:sz w:val="24"/>
          <w:szCs w:val="24"/>
        </w:rPr>
        <w:t xml:space="preserve"> </w:t>
      </w:r>
      <w:r w:rsidR="00B0442F" w:rsidRPr="00A461B6">
        <w:rPr>
          <w:color w:val="0D0D0D" w:themeColor="text1" w:themeTint="F2"/>
          <w:sz w:val="24"/>
          <w:szCs w:val="24"/>
        </w:rPr>
        <w:t>also seeks to provide an increase to the overall</w:t>
      </w:r>
      <w:r w:rsidR="004A1F7B" w:rsidRPr="00A461B6">
        <w:rPr>
          <w:color w:val="0D0D0D" w:themeColor="text1" w:themeTint="F2"/>
          <w:sz w:val="24"/>
          <w:szCs w:val="24"/>
        </w:rPr>
        <w:t xml:space="preserve"> public investment in</w:t>
      </w:r>
      <w:r w:rsidR="00B0442F" w:rsidRPr="00A461B6">
        <w:rPr>
          <w:color w:val="0D0D0D" w:themeColor="text1" w:themeTint="F2"/>
          <w:sz w:val="24"/>
          <w:szCs w:val="24"/>
        </w:rPr>
        <w:t xml:space="preserve"> </w:t>
      </w:r>
      <w:r w:rsidR="004A1F7B" w:rsidRPr="00A461B6">
        <w:rPr>
          <w:color w:val="0D0D0D" w:themeColor="text1" w:themeTint="F2"/>
          <w:sz w:val="24"/>
          <w:szCs w:val="24"/>
        </w:rPr>
        <w:t>c</w:t>
      </w:r>
      <w:r w:rsidR="00B0442F" w:rsidRPr="00A461B6">
        <w:rPr>
          <w:color w:val="0D0D0D" w:themeColor="text1" w:themeTint="F2"/>
          <w:sz w:val="24"/>
          <w:szCs w:val="24"/>
        </w:rPr>
        <w:t xml:space="preserve">ommunity </w:t>
      </w:r>
      <w:r w:rsidR="004A1F7B" w:rsidRPr="00A461B6">
        <w:rPr>
          <w:color w:val="0D0D0D" w:themeColor="text1" w:themeTint="F2"/>
          <w:sz w:val="24"/>
          <w:szCs w:val="24"/>
        </w:rPr>
        <w:t>p</w:t>
      </w:r>
      <w:r w:rsidR="00B0442F" w:rsidRPr="00A461B6">
        <w:rPr>
          <w:color w:val="0D0D0D" w:themeColor="text1" w:themeTint="F2"/>
          <w:sz w:val="24"/>
          <w:szCs w:val="24"/>
        </w:rPr>
        <w:t xml:space="preserve">harmacy </w:t>
      </w:r>
      <w:r w:rsidR="004A1F7B" w:rsidRPr="00A461B6">
        <w:rPr>
          <w:color w:val="0D0D0D" w:themeColor="text1" w:themeTint="F2"/>
          <w:sz w:val="24"/>
          <w:szCs w:val="24"/>
        </w:rPr>
        <w:t>p</w:t>
      </w:r>
      <w:r w:rsidR="00B0442F" w:rsidRPr="00A461B6">
        <w:rPr>
          <w:color w:val="0D0D0D" w:themeColor="text1" w:themeTint="F2"/>
          <w:sz w:val="24"/>
          <w:szCs w:val="24"/>
        </w:rPr>
        <w:t xml:space="preserve">rograms </w:t>
      </w:r>
      <w:r w:rsidR="00B0442F" w:rsidRPr="00A461B6">
        <w:rPr>
          <w:color w:val="0D0D0D" w:themeColor="text1" w:themeTint="F2"/>
          <w:sz w:val="24"/>
        </w:rPr>
        <w:t xml:space="preserve">to </w:t>
      </w:r>
      <w:r w:rsidR="00B0442F" w:rsidRPr="00A461B6">
        <w:rPr>
          <w:color w:val="0D0D0D" w:themeColor="text1" w:themeTint="F2"/>
          <w:sz w:val="24"/>
          <w:szCs w:val="24"/>
        </w:rPr>
        <w:t xml:space="preserve">ensure </w:t>
      </w:r>
      <w:r w:rsidR="00D835A5" w:rsidRPr="00A461B6">
        <w:rPr>
          <w:color w:val="0D0D0D" w:themeColor="text1" w:themeTint="F2"/>
          <w:sz w:val="24"/>
          <w:szCs w:val="24"/>
        </w:rPr>
        <w:t xml:space="preserve">dose administration aids, </w:t>
      </w:r>
      <w:r w:rsidR="00B0442F" w:rsidRPr="00A461B6">
        <w:rPr>
          <w:color w:val="0D0D0D" w:themeColor="text1" w:themeTint="F2"/>
          <w:sz w:val="24"/>
          <w:szCs w:val="24"/>
        </w:rPr>
        <w:t>medication management and review</w:t>
      </w:r>
      <w:r w:rsidR="00D835A5" w:rsidRPr="00A461B6">
        <w:rPr>
          <w:color w:val="0D0D0D" w:themeColor="text1" w:themeTint="F2"/>
          <w:sz w:val="24"/>
          <w:szCs w:val="24"/>
        </w:rPr>
        <w:t>, opioid dependency treatment services and vaccination</w:t>
      </w:r>
      <w:r w:rsidR="00B0442F" w:rsidRPr="00A461B6">
        <w:rPr>
          <w:color w:val="0D0D0D" w:themeColor="text1" w:themeTint="F2"/>
          <w:sz w:val="24"/>
          <w:szCs w:val="24"/>
        </w:rPr>
        <w:t xml:space="preserve"> services can be offered by community pharmacies</w:t>
      </w:r>
      <w:r w:rsidR="00D835A5" w:rsidRPr="00A461B6">
        <w:rPr>
          <w:color w:val="0D0D0D" w:themeColor="text1" w:themeTint="F2"/>
          <w:sz w:val="24"/>
          <w:szCs w:val="24"/>
        </w:rPr>
        <w:t>, and for existing programs,</w:t>
      </w:r>
      <w:r w:rsidR="00B0442F" w:rsidRPr="00A461B6">
        <w:rPr>
          <w:color w:val="0D0D0D" w:themeColor="text1" w:themeTint="F2"/>
          <w:sz w:val="24"/>
          <w:szCs w:val="24"/>
        </w:rPr>
        <w:t xml:space="preserve"> at levels above those for the 2022 calendar year</w:t>
      </w:r>
      <w:r w:rsidR="00D835A5" w:rsidRPr="00A461B6">
        <w:rPr>
          <w:color w:val="0D0D0D" w:themeColor="text1" w:themeTint="F2"/>
          <w:sz w:val="24"/>
          <w:szCs w:val="24"/>
        </w:rPr>
        <w:t>, and above the level funded in the 7CPA</w:t>
      </w:r>
      <w:r w:rsidR="00B0442F" w:rsidRPr="00A461B6">
        <w:rPr>
          <w:color w:val="0D0D0D" w:themeColor="text1" w:themeTint="F2"/>
          <w:sz w:val="24"/>
          <w:szCs w:val="24"/>
        </w:rPr>
        <w:t>.</w:t>
      </w:r>
    </w:p>
    <w:p w14:paraId="13F75235" w14:textId="6FF439A7" w:rsidR="00B72094" w:rsidRPr="00A461B6" w:rsidRDefault="00B72094" w:rsidP="00B72094">
      <w:pPr>
        <w:rPr>
          <w:color w:val="auto"/>
          <w:sz w:val="24"/>
          <w:szCs w:val="24"/>
        </w:rPr>
      </w:pPr>
      <w:r w:rsidRPr="00A461B6">
        <w:rPr>
          <w:color w:val="auto"/>
          <w:sz w:val="24"/>
          <w:szCs w:val="24"/>
        </w:rPr>
        <w:t xml:space="preserve">The following table shows the Direct Regulatory Impact savings for pharmacists </w:t>
      </w:r>
      <w:r w:rsidR="005E6136" w:rsidRPr="00A461B6">
        <w:rPr>
          <w:color w:val="auto"/>
          <w:sz w:val="24"/>
          <w:szCs w:val="24"/>
        </w:rPr>
        <w:t>by increasing</w:t>
      </w:r>
      <w:r w:rsidRPr="00A461B6">
        <w:rPr>
          <w:color w:val="auto"/>
          <w:sz w:val="24"/>
          <w:szCs w:val="24"/>
        </w:rPr>
        <w:t xml:space="preserve"> the </w:t>
      </w:r>
      <w:r w:rsidR="00D835A5" w:rsidRPr="00A461B6">
        <w:rPr>
          <w:color w:val="auto"/>
          <w:sz w:val="24"/>
          <w:szCs w:val="24"/>
        </w:rPr>
        <w:t xml:space="preserve">MDQ </w:t>
      </w:r>
      <w:r w:rsidRPr="00A461B6">
        <w:rPr>
          <w:color w:val="auto"/>
          <w:sz w:val="24"/>
          <w:szCs w:val="24"/>
        </w:rPr>
        <w:t xml:space="preserve">for medicines – two </w:t>
      </w:r>
      <w:r w:rsidR="007304FE" w:rsidRPr="00A461B6">
        <w:rPr>
          <w:color w:val="auto"/>
          <w:sz w:val="24"/>
          <w:szCs w:val="24"/>
        </w:rPr>
        <w:t>months’</w:t>
      </w:r>
      <w:r w:rsidRPr="00A461B6">
        <w:rPr>
          <w:color w:val="auto"/>
          <w:sz w:val="24"/>
          <w:szCs w:val="24"/>
        </w:rPr>
        <w:t xml:space="preserve"> supply</w:t>
      </w:r>
      <w:r w:rsidR="0029407A" w:rsidRPr="00A461B6">
        <w:rPr>
          <w:color w:val="auto"/>
          <w:sz w:val="24"/>
          <w:szCs w:val="24"/>
        </w:rPr>
        <w:t>.</w:t>
      </w:r>
      <w:r w:rsidRPr="00A461B6">
        <w:rPr>
          <w:color w:val="auto"/>
          <w:sz w:val="24"/>
          <w:szCs w:val="24"/>
        </w:rPr>
        <w:t xml:space="preserve"> </w:t>
      </w:r>
      <w:r w:rsidR="0029407A" w:rsidRPr="00A461B6">
        <w:rPr>
          <w:color w:val="auto"/>
          <w:sz w:val="24"/>
          <w:szCs w:val="24"/>
        </w:rPr>
        <w:t>It</w:t>
      </w:r>
      <w:r w:rsidRPr="00A461B6">
        <w:rPr>
          <w:color w:val="auto"/>
          <w:sz w:val="24"/>
          <w:szCs w:val="24"/>
        </w:rPr>
        <w:t xml:space="preserve"> has been estimated that pharmacists, on average will save four and a half minutes per dispensing for over </w:t>
      </w:r>
      <w:r w:rsidR="008C7C13" w:rsidRPr="00A461B6">
        <w:rPr>
          <w:color w:val="auto"/>
          <w:sz w:val="24"/>
          <w:szCs w:val="24"/>
        </w:rPr>
        <w:t xml:space="preserve">66.8 </w:t>
      </w:r>
      <w:r w:rsidRPr="00A461B6">
        <w:rPr>
          <w:color w:val="auto"/>
          <w:sz w:val="24"/>
          <w:szCs w:val="24"/>
        </w:rPr>
        <w:t>million dispensings</w:t>
      </w:r>
      <w:r w:rsidR="00F21B6C" w:rsidRPr="00A461B6">
        <w:rPr>
          <w:rStyle w:val="FootnoteReference"/>
          <w:color w:val="auto"/>
          <w:sz w:val="24"/>
          <w:szCs w:val="24"/>
        </w:rPr>
        <w:footnoteReference w:id="44"/>
      </w:r>
      <w:r w:rsidRPr="00A461B6">
        <w:rPr>
          <w:color w:val="auto"/>
          <w:sz w:val="24"/>
          <w:szCs w:val="24"/>
        </w:rPr>
        <w:t xml:space="preserve"> by 202</w:t>
      </w:r>
      <w:r w:rsidR="008C7C13" w:rsidRPr="00A461B6">
        <w:rPr>
          <w:color w:val="auto"/>
          <w:sz w:val="24"/>
          <w:szCs w:val="24"/>
        </w:rPr>
        <w:t>6-27</w:t>
      </w:r>
      <w:r w:rsidR="00F001F4" w:rsidRPr="00A461B6">
        <w:rPr>
          <w:color w:val="auto"/>
          <w:sz w:val="24"/>
          <w:szCs w:val="24"/>
        </w:rPr>
        <w:t>.</w:t>
      </w:r>
      <w:r w:rsidR="003607D4" w:rsidRPr="00A461B6">
        <w:rPr>
          <w:color w:val="auto"/>
          <w:sz w:val="24"/>
          <w:szCs w:val="24"/>
        </w:rPr>
        <w:t xml:space="preserve"> This will free pharmacists to participate in other patient health care related activities.</w:t>
      </w:r>
    </w:p>
    <w:p w14:paraId="76B2B809" w14:textId="77777777" w:rsidR="006806B6" w:rsidRPr="00A461B6" w:rsidRDefault="006806B6" w:rsidP="006806B6">
      <w:pPr>
        <w:rPr>
          <w:color w:val="0D0D0D" w:themeColor="text1" w:themeTint="F2"/>
          <w:sz w:val="24"/>
          <w:szCs w:val="24"/>
        </w:rPr>
      </w:pPr>
      <w:r w:rsidRPr="00A461B6">
        <w:rPr>
          <w:color w:val="0D0D0D" w:themeColor="text1" w:themeTint="F2"/>
          <w:sz w:val="24"/>
          <w:szCs w:val="24"/>
        </w:rPr>
        <w:t>The following method and assumptions were used:</w:t>
      </w:r>
    </w:p>
    <w:p w14:paraId="78D60D65" w14:textId="4F27E138" w:rsidR="006806B6" w:rsidRPr="00A461B6" w:rsidRDefault="00817D62" w:rsidP="008A2C64">
      <w:pPr>
        <w:pStyle w:val="ListParagraph"/>
        <w:numPr>
          <w:ilvl w:val="0"/>
          <w:numId w:val="21"/>
        </w:numPr>
        <w:rPr>
          <w:color w:val="0D0D0D" w:themeColor="text1" w:themeTint="F2"/>
          <w:sz w:val="24"/>
          <w:szCs w:val="24"/>
        </w:rPr>
      </w:pPr>
      <w:r w:rsidRPr="00A461B6">
        <w:rPr>
          <w:color w:val="0D0D0D" w:themeColor="text1" w:themeTint="F2"/>
          <w:sz w:val="24"/>
          <w:szCs w:val="24"/>
        </w:rPr>
        <w:t>Pharmacists were estimated to save 4.5 minutes per dispensing avoided</w:t>
      </w:r>
      <w:r w:rsidR="003D204A" w:rsidRPr="00A461B6">
        <w:rPr>
          <w:color w:val="0D0D0D" w:themeColor="text1" w:themeTint="F2"/>
          <w:sz w:val="24"/>
          <w:szCs w:val="24"/>
        </w:rPr>
        <w:t>.</w:t>
      </w:r>
      <w:r w:rsidR="004C2D9A" w:rsidRPr="00A461B6">
        <w:rPr>
          <w:rStyle w:val="FootnoteReference"/>
          <w:color w:val="0D0D0D" w:themeColor="text1" w:themeTint="F2"/>
          <w:sz w:val="24"/>
          <w:szCs w:val="24"/>
        </w:rPr>
        <w:footnoteReference w:id="45"/>
      </w:r>
    </w:p>
    <w:p w14:paraId="46CCC557" w14:textId="1F43B97E" w:rsidR="006806B6" w:rsidRPr="00A461B6" w:rsidRDefault="00817D62" w:rsidP="008A2C64">
      <w:pPr>
        <w:pStyle w:val="ListParagraph"/>
        <w:numPr>
          <w:ilvl w:val="0"/>
          <w:numId w:val="21"/>
        </w:numPr>
        <w:rPr>
          <w:color w:val="0D0D0D" w:themeColor="text1" w:themeTint="F2"/>
          <w:sz w:val="24"/>
          <w:szCs w:val="24"/>
        </w:rPr>
      </w:pPr>
      <w:r w:rsidRPr="00A461B6">
        <w:rPr>
          <w:color w:val="0D0D0D" w:themeColor="text1" w:themeTint="F2"/>
          <w:sz w:val="24"/>
          <w:szCs w:val="24"/>
        </w:rPr>
        <w:t>The estimated time saved (minutes) by pharmacists is 4.5 minutes x the number of dispensings avoided.</w:t>
      </w:r>
    </w:p>
    <w:p w14:paraId="76EA5462" w14:textId="0759049C" w:rsidR="00B72094" w:rsidRPr="00A461B6" w:rsidRDefault="00B72094" w:rsidP="00AA0A9F">
      <w:pPr>
        <w:pStyle w:val="Heading4"/>
        <w:keepNext/>
        <w:keepLines/>
      </w:pPr>
      <w:r w:rsidRPr="00A461B6">
        <w:t xml:space="preserve">Table </w:t>
      </w:r>
      <w:r w:rsidR="00313BA6" w:rsidRPr="00A461B6">
        <w:t>4.</w:t>
      </w:r>
      <w:r w:rsidRPr="00A461B6">
        <w:t xml:space="preserve">2: </w:t>
      </w:r>
      <w:r w:rsidR="003607D4" w:rsidRPr="00A461B6">
        <w:t>Estimated dispensing time saved</w:t>
      </w:r>
      <w:r w:rsidRPr="00A461B6">
        <w:t xml:space="preserve"> for Pharmacists </w:t>
      </w:r>
      <w:r w:rsidR="003D204A" w:rsidRPr="00A461B6">
        <w:t>by</w:t>
      </w:r>
      <w:r w:rsidR="004900A3" w:rsidRPr="00A461B6">
        <w:t xml:space="preserve"> </w:t>
      </w:r>
      <w:r w:rsidR="003D204A" w:rsidRPr="00A461B6">
        <w:t>increasing</w:t>
      </w:r>
      <w:r w:rsidR="004900A3" w:rsidRPr="00A461B6">
        <w:t xml:space="preserve"> MDQ</w:t>
      </w:r>
      <w:r w:rsidRPr="00A461B6">
        <w:t xml:space="preserve"> </w:t>
      </w:r>
      <w:r w:rsidR="008E3ABA" w:rsidRPr="00A461B6">
        <w:t>to</w:t>
      </w:r>
      <w:r w:rsidRPr="00A461B6">
        <w:t xml:space="preserve"> two months</w:t>
      </w:r>
      <w:r w:rsidR="004900A3" w:rsidRPr="00A461B6">
        <w:t>’ supply</w:t>
      </w:r>
      <w:r w:rsidRPr="00A461B6">
        <w:t xml:space="preserve"> </w:t>
      </w:r>
    </w:p>
    <w:tbl>
      <w:tblPr>
        <w:tblStyle w:val="TableGrid"/>
        <w:tblW w:w="0" w:type="auto"/>
        <w:tblLook w:val="04A0" w:firstRow="1" w:lastRow="0" w:firstColumn="1" w:lastColumn="0" w:noHBand="0" w:noVBand="1"/>
        <w:tblCaption w:val="Table 4.2: Estimated dispensing time saved for Pharmacists by increasing MDQ to two months’ supply "/>
      </w:tblPr>
      <w:tblGrid>
        <w:gridCol w:w="2038"/>
        <w:gridCol w:w="2039"/>
        <w:gridCol w:w="2039"/>
        <w:gridCol w:w="2101"/>
        <w:gridCol w:w="1977"/>
      </w:tblGrid>
      <w:tr w:rsidR="00B72094" w:rsidRPr="00A461B6" w14:paraId="6C08FF51" w14:textId="77777777" w:rsidTr="00C67480">
        <w:trPr>
          <w:tblHeader/>
        </w:trPr>
        <w:tc>
          <w:tcPr>
            <w:tcW w:w="8217" w:type="dxa"/>
            <w:gridSpan w:val="4"/>
          </w:tcPr>
          <w:p w14:paraId="16B43561" w14:textId="4101F68E" w:rsidR="00B72094" w:rsidRPr="00A461B6" w:rsidRDefault="00B72094" w:rsidP="00AA0A9F">
            <w:pPr>
              <w:keepNext/>
              <w:keepLines/>
              <w:rPr>
                <w:b/>
                <w:bCs/>
                <w:color w:val="auto"/>
                <w:sz w:val="24"/>
                <w:szCs w:val="24"/>
              </w:rPr>
            </w:pPr>
            <w:r w:rsidRPr="00A461B6">
              <w:rPr>
                <w:b/>
                <w:color w:val="auto"/>
                <w:sz w:val="24"/>
                <w:szCs w:val="24"/>
              </w:rPr>
              <w:t xml:space="preserve">Estimated </w:t>
            </w:r>
            <w:r w:rsidR="003607D4" w:rsidRPr="00A461B6">
              <w:rPr>
                <w:b/>
                <w:color w:val="auto"/>
                <w:sz w:val="24"/>
                <w:szCs w:val="24"/>
              </w:rPr>
              <w:t xml:space="preserve">dispensing </w:t>
            </w:r>
            <w:r w:rsidRPr="00A461B6">
              <w:rPr>
                <w:b/>
                <w:color w:val="auto"/>
                <w:sz w:val="24"/>
                <w:szCs w:val="24"/>
              </w:rPr>
              <w:t>time saved (minutes) by pharmacists</w:t>
            </w:r>
          </w:p>
        </w:tc>
        <w:tc>
          <w:tcPr>
            <w:tcW w:w="1977" w:type="dxa"/>
          </w:tcPr>
          <w:p w14:paraId="1A7094CB" w14:textId="5C7AD092" w:rsidR="00B72094" w:rsidRPr="00A461B6" w:rsidRDefault="003607D4" w:rsidP="0007702F">
            <w:pPr>
              <w:keepNext/>
              <w:keepLines/>
              <w:rPr>
                <w:b/>
                <w:color w:val="auto"/>
                <w:sz w:val="24"/>
                <w:szCs w:val="24"/>
              </w:rPr>
            </w:pPr>
            <w:r w:rsidRPr="00A461B6">
              <w:rPr>
                <w:b/>
                <w:color w:val="auto"/>
                <w:sz w:val="24"/>
                <w:szCs w:val="24"/>
              </w:rPr>
              <w:t>Total</w:t>
            </w:r>
          </w:p>
        </w:tc>
      </w:tr>
      <w:tr w:rsidR="00B72094" w:rsidRPr="00A461B6" w14:paraId="3BF2DA1A" w14:textId="77777777" w:rsidTr="0007702F">
        <w:tc>
          <w:tcPr>
            <w:tcW w:w="2038" w:type="dxa"/>
            <w:shd w:val="clear" w:color="auto" w:fill="F2F2F2" w:themeFill="background1" w:themeFillShade="F2"/>
            <w:vAlign w:val="bottom"/>
          </w:tcPr>
          <w:p w14:paraId="3037C2E2" w14:textId="77777777" w:rsidR="00B72094" w:rsidRPr="00A461B6" w:rsidRDefault="00B72094" w:rsidP="0007702F">
            <w:pPr>
              <w:keepNext/>
              <w:keepLines/>
              <w:rPr>
                <w:b/>
                <w:bCs/>
                <w:color w:val="auto"/>
                <w:sz w:val="24"/>
                <w:szCs w:val="24"/>
              </w:rPr>
            </w:pPr>
            <w:r w:rsidRPr="00A461B6">
              <w:rPr>
                <w:color w:val="auto"/>
                <w:sz w:val="24"/>
                <w:szCs w:val="24"/>
              </w:rPr>
              <w:t>2023-24</w:t>
            </w:r>
          </w:p>
        </w:tc>
        <w:tc>
          <w:tcPr>
            <w:tcW w:w="2039" w:type="dxa"/>
            <w:shd w:val="clear" w:color="auto" w:fill="F2F2F2" w:themeFill="background1" w:themeFillShade="F2"/>
            <w:vAlign w:val="bottom"/>
          </w:tcPr>
          <w:p w14:paraId="663C26B3" w14:textId="77777777" w:rsidR="00B72094" w:rsidRPr="00A461B6" w:rsidRDefault="00B72094" w:rsidP="0007702F">
            <w:pPr>
              <w:keepNext/>
              <w:keepLines/>
              <w:rPr>
                <w:b/>
                <w:bCs/>
                <w:color w:val="auto"/>
                <w:sz w:val="24"/>
                <w:szCs w:val="24"/>
              </w:rPr>
            </w:pPr>
            <w:r w:rsidRPr="00A461B6">
              <w:rPr>
                <w:color w:val="auto"/>
                <w:sz w:val="24"/>
                <w:szCs w:val="24"/>
              </w:rPr>
              <w:t>2024-25</w:t>
            </w:r>
          </w:p>
        </w:tc>
        <w:tc>
          <w:tcPr>
            <w:tcW w:w="2039" w:type="dxa"/>
            <w:shd w:val="clear" w:color="auto" w:fill="F2F2F2" w:themeFill="background1" w:themeFillShade="F2"/>
            <w:vAlign w:val="bottom"/>
          </w:tcPr>
          <w:p w14:paraId="2CA58F9F" w14:textId="77777777" w:rsidR="00B72094" w:rsidRPr="00A461B6" w:rsidRDefault="00B72094" w:rsidP="0007702F">
            <w:pPr>
              <w:keepNext/>
              <w:keepLines/>
              <w:rPr>
                <w:b/>
                <w:bCs/>
                <w:color w:val="auto"/>
                <w:sz w:val="24"/>
                <w:szCs w:val="24"/>
              </w:rPr>
            </w:pPr>
            <w:r w:rsidRPr="00A461B6">
              <w:rPr>
                <w:color w:val="auto"/>
                <w:sz w:val="24"/>
                <w:szCs w:val="24"/>
              </w:rPr>
              <w:t>2025-26</w:t>
            </w:r>
          </w:p>
        </w:tc>
        <w:tc>
          <w:tcPr>
            <w:tcW w:w="2101" w:type="dxa"/>
            <w:shd w:val="clear" w:color="auto" w:fill="F2F2F2" w:themeFill="background1" w:themeFillShade="F2"/>
            <w:vAlign w:val="bottom"/>
          </w:tcPr>
          <w:p w14:paraId="6683A47F" w14:textId="77777777" w:rsidR="00B72094" w:rsidRPr="00A461B6" w:rsidRDefault="00B72094" w:rsidP="0007702F">
            <w:pPr>
              <w:keepNext/>
              <w:keepLines/>
              <w:rPr>
                <w:b/>
                <w:bCs/>
                <w:color w:val="auto"/>
                <w:sz w:val="24"/>
                <w:szCs w:val="24"/>
              </w:rPr>
            </w:pPr>
            <w:r w:rsidRPr="00A461B6">
              <w:rPr>
                <w:color w:val="auto"/>
                <w:sz w:val="24"/>
                <w:szCs w:val="24"/>
              </w:rPr>
              <w:t>2026-27</w:t>
            </w:r>
          </w:p>
        </w:tc>
        <w:tc>
          <w:tcPr>
            <w:tcW w:w="1977" w:type="dxa"/>
            <w:shd w:val="clear" w:color="auto" w:fill="F2F2F2" w:themeFill="background1" w:themeFillShade="F2"/>
          </w:tcPr>
          <w:p w14:paraId="634A7EE4" w14:textId="77777777" w:rsidR="00B72094" w:rsidRPr="00A461B6" w:rsidRDefault="00B72094" w:rsidP="00AA0A9F">
            <w:pPr>
              <w:keepNext/>
              <w:keepLines/>
              <w:rPr>
                <w:color w:val="auto"/>
                <w:sz w:val="24"/>
                <w:szCs w:val="24"/>
              </w:rPr>
            </w:pPr>
          </w:p>
        </w:tc>
      </w:tr>
      <w:tr w:rsidR="009D6CCD" w:rsidRPr="00A461B6" w14:paraId="7346CB28" w14:textId="77777777" w:rsidTr="0007702F">
        <w:tc>
          <w:tcPr>
            <w:tcW w:w="2038" w:type="dxa"/>
            <w:vAlign w:val="bottom"/>
          </w:tcPr>
          <w:p w14:paraId="6445F780" w14:textId="20F08442" w:rsidR="009D6CCD" w:rsidRPr="00A461B6" w:rsidRDefault="009D6CCD" w:rsidP="0007702F">
            <w:pPr>
              <w:keepNext/>
              <w:keepLines/>
              <w:rPr>
                <w:rFonts w:ascii="Calibri" w:hAnsi="Calibri" w:cs="Calibri"/>
                <w:color w:val="auto"/>
                <w:sz w:val="22"/>
                <w:szCs w:val="22"/>
              </w:rPr>
            </w:pPr>
            <w:r w:rsidRPr="00A461B6">
              <w:rPr>
                <w:rFonts w:ascii="Calibri" w:hAnsi="Calibri" w:cs="Calibri"/>
                <w:color w:val="auto"/>
                <w:sz w:val="22"/>
                <w:szCs w:val="22"/>
              </w:rPr>
              <w:t>171,604,993</w:t>
            </w:r>
          </w:p>
        </w:tc>
        <w:tc>
          <w:tcPr>
            <w:tcW w:w="2039" w:type="dxa"/>
            <w:vAlign w:val="bottom"/>
          </w:tcPr>
          <w:p w14:paraId="6B34DA31" w14:textId="460E92B8" w:rsidR="009D6CCD" w:rsidRPr="00A461B6" w:rsidRDefault="009D6CCD" w:rsidP="0007702F">
            <w:pPr>
              <w:keepNext/>
              <w:keepLines/>
              <w:rPr>
                <w:rFonts w:ascii="Calibri" w:hAnsi="Calibri" w:cs="Calibri"/>
                <w:color w:val="auto"/>
                <w:sz w:val="22"/>
                <w:szCs w:val="22"/>
              </w:rPr>
            </w:pPr>
            <w:r w:rsidRPr="00A461B6">
              <w:rPr>
                <w:rFonts w:ascii="Calibri" w:hAnsi="Calibri" w:cs="Calibri"/>
                <w:color w:val="auto"/>
                <w:sz w:val="22"/>
                <w:szCs w:val="22"/>
              </w:rPr>
              <w:t>259,335,612</w:t>
            </w:r>
          </w:p>
        </w:tc>
        <w:tc>
          <w:tcPr>
            <w:tcW w:w="2039" w:type="dxa"/>
            <w:vAlign w:val="bottom"/>
          </w:tcPr>
          <w:p w14:paraId="65A36AD5" w14:textId="381F8645" w:rsidR="009D6CCD" w:rsidRPr="00A461B6" w:rsidRDefault="009D6CCD" w:rsidP="0007702F">
            <w:pPr>
              <w:keepNext/>
              <w:keepLines/>
              <w:rPr>
                <w:rFonts w:ascii="Calibri" w:hAnsi="Calibri" w:cs="Calibri"/>
                <w:color w:val="auto"/>
                <w:sz w:val="22"/>
                <w:szCs w:val="22"/>
              </w:rPr>
            </w:pPr>
            <w:r w:rsidRPr="00A461B6">
              <w:rPr>
                <w:rFonts w:ascii="Calibri" w:hAnsi="Calibri" w:cs="Calibri"/>
                <w:color w:val="auto"/>
                <w:sz w:val="22"/>
                <w:szCs w:val="22"/>
              </w:rPr>
              <w:t>292,486,140</w:t>
            </w:r>
          </w:p>
        </w:tc>
        <w:tc>
          <w:tcPr>
            <w:tcW w:w="2101" w:type="dxa"/>
            <w:vAlign w:val="bottom"/>
          </w:tcPr>
          <w:p w14:paraId="49464FE9" w14:textId="2C6ECE59" w:rsidR="009D6CCD" w:rsidRPr="00A461B6" w:rsidRDefault="009D6CCD" w:rsidP="0007702F">
            <w:pPr>
              <w:keepNext/>
              <w:keepLines/>
              <w:rPr>
                <w:rFonts w:ascii="Calibri" w:hAnsi="Calibri" w:cs="Calibri"/>
                <w:color w:val="auto"/>
                <w:sz w:val="22"/>
                <w:szCs w:val="22"/>
              </w:rPr>
            </w:pPr>
            <w:r w:rsidRPr="00A461B6">
              <w:rPr>
                <w:rFonts w:ascii="Calibri" w:hAnsi="Calibri" w:cs="Calibri"/>
                <w:color w:val="auto"/>
                <w:sz w:val="22"/>
                <w:szCs w:val="22"/>
              </w:rPr>
              <w:t>300,648,996</w:t>
            </w:r>
          </w:p>
        </w:tc>
        <w:tc>
          <w:tcPr>
            <w:tcW w:w="1977" w:type="dxa"/>
            <w:vAlign w:val="bottom"/>
          </w:tcPr>
          <w:p w14:paraId="29747204" w14:textId="31EEF889" w:rsidR="009D6CCD" w:rsidRPr="00A461B6" w:rsidRDefault="009D6CCD" w:rsidP="0007702F">
            <w:pPr>
              <w:keepNext/>
              <w:keepLines/>
              <w:rPr>
                <w:rFonts w:ascii="Calibri" w:hAnsi="Calibri" w:cs="Calibri"/>
                <w:color w:val="auto"/>
                <w:sz w:val="22"/>
                <w:szCs w:val="22"/>
              </w:rPr>
            </w:pPr>
            <w:r w:rsidRPr="00A461B6">
              <w:rPr>
                <w:rFonts w:ascii="Calibri" w:hAnsi="Calibri" w:cs="Calibri"/>
                <w:color w:val="auto"/>
                <w:sz w:val="22"/>
                <w:szCs w:val="22"/>
              </w:rPr>
              <w:t>1,024,075,742</w:t>
            </w:r>
          </w:p>
        </w:tc>
      </w:tr>
    </w:tbl>
    <w:p w14:paraId="137C2794" w14:textId="767B45F9" w:rsidR="001D11CD" w:rsidRPr="00A461B6" w:rsidRDefault="00B72094" w:rsidP="00DC5650">
      <w:pPr>
        <w:pStyle w:val="TableHeadingRow"/>
        <w:rPr>
          <w:b w:val="0"/>
          <w:color w:val="auto"/>
        </w:rPr>
      </w:pPr>
      <w:r w:rsidRPr="00A461B6">
        <w:rPr>
          <w:b w:val="0"/>
          <w:color w:val="auto"/>
        </w:rPr>
        <w:t>Source:</w:t>
      </w:r>
      <w:r w:rsidRPr="00A461B6">
        <w:rPr>
          <w:bCs w:val="0"/>
          <w:color w:val="auto"/>
        </w:rPr>
        <w:t xml:space="preserve"> </w:t>
      </w:r>
      <w:r w:rsidRPr="00A461B6">
        <w:rPr>
          <w:b w:val="0"/>
          <w:color w:val="auto"/>
        </w:rPr>
        <w:t xml:space="preserve">2023 </w:t>
      </w:r>
      <w:r w:rsidR="00FD3686" w:rsidRPr="00A461B6">
        <w:rPr>
          <w:b w:val="0"/>
          <w:color w:val="auto"/>
        </w:rPr>
        <w:t xml:space="preserve">Impact analysis </w:t>
      </w:r>
      <w:r w:rsidR="00DC5650" w:rsidRPr="00A461B6">
        <w:rPr>
          <w:b w:val="0"/>
          <w:color w:val="auto"/>
        </w:rPr>
        <w:t>costing-</w:t>
      </w:r>
      <w:r w:rsidR="00FD3686" w:rsidRPr="00A461B6">
        <w:rPr>
          <w:b w:val="0"/>
          <w:color w:val="auto"/>
        </w:rPr>
        <w:t>MDQ</w:t>
      </w:r>
      <w:r w:rsidR="00DC5650" w:rsidRPr="00A461B6">
        <w:rPr>
          <w:b w:val="0"/>
          <w:color w:val="auto"/>
        </w:rPr>
        <w:t xml:space="preserve"> 2 month O</w:t>
      </w:r>
      <w:r w:rsidR="004A3C92" w:rsidRPr="00A461B6">
        <w:rPr>
          <w:b w:val="0"/>
          <w:color w:val="auto"/>
        </w:rPr>
        <w:t>IA</w:t>
      </w:r>
      <w:r w:rsidR="00DC5650" w:rsidRPr="00A461B6">
        <w:rPr>
          <w:b w:val="0"/>
          <w:color w:val="auto"/>
        </w:rPr>
        <w:t>22</w:t>
      </w:r>
      <w:r w:rsidR="004A3C92" w:rsidRPr="00A461B6">
        <w:rPr>
          <w:b w:val="0"/>
          <w:color w:val="auto"/>
        </w:rPr>
        <w:t>IA</w:t>
      </w:r>
      <w:r w:rsidR="00DC5650" w:rsidRPr="00A461B6">
        <w:rPr>
          <w:b w:val="0"/>
          <w:color w:val="auto"/>
        </w:rPr>
        <w:t>-03771</w:t>
      </w:r>
    </w:p>
    <w:p w14:paraId="1D070C9E" w14:textId="77777777" w:rsidR="001D11CD" w:rsidRPr="00A461B6" w:rsidRDefault="001D11CD" w:rsidP="00DC5650">
      <w:pPr>
        <w:pStyle w:val="Heading4"/>
      </w:pPr>
      <w:r w:rsidRPr="00A461B6">
        <w:t>Prescribers</w:t>
      </w:r>
    </w:p>
    <w:p w14:paraId="327BD78D" w14:textId="176D510F" w:rsidR="001D11CD" w:rsidRPr="00A461B6" w:rsidRDefault="0029407A" w:rsidP="001D11CD">
      <w:pPr>
        <w:rPr>
          <w:b/>
          <w:i/>
          <w:color w:val="0D0D0D" w:themeColor="text1" w:themeTint="F2"/>
          <w:sz w:val="24"/>
          <w:szCs w:val="24"/>
        </w:rPr>
      </w:pPr>
      <w:r w:rsidRPr="00A461B6">
        <w:rPr>
          <w:color w:val="0D0D0D" w:themeColor="text1" w:themeTint="F2"/>
          <w:sz w:val="24"/>
          <w:szCs w:val="24"/>
        </w:rPr>
        <w:t>This proposal</w:t>
      </w:r>
      <w:r w:rsidR="001D11CD" w:rsidRPr="00A461B6">
        <w:rPr>
          <w:color w:val="0D0D0D" w:themeColor="text1" w:themeTint="F2"/>
          <w:sz w:val="24"/>
          <w:szCs w:val="24"/>
        </w:rPr>
        <w:t xml:space="preserve"> will give prescribers the option to consider prescribing higher quantities of </w:t>
      </w:r>
      <w:r w:rsidRPr="00A461B6">
        <w:rPr>
          <w:color w:val="0D0D0D" w:themeColor="text1" w:themeTint="F2"/>
          <w:sz w:val="24"/>
          <w:szCs w:val="24"/>
        </w:rPr>
        <w:t xml:space="preserve">some </w:t>
      </w:r>
      <w:r w:rsidR="001D11CD" w:rsidRPr="00A461B6">
        <w:rPr>
          <w:color w:val="0D0D0D" w:themeColor="text1" w:themeTint="F2"/>
          <w:sz w:val="24"/>
          <w:szCs w:val="24"/>
        </w:rPr>
        <w:t>medicines to patients with chronic, stable conditions if appropriate.</w:t>
      </w:r>
    </w:p>
    <w:p w14:paraId="54090102" w14:textId="77C184E2" w:rsidR="001D11CD" w:rsidRPr="00A461B6" w:rsidRDefault="001D11CD" w:rsidP="001D11CD">
      <w:pPr>
        <w:rPr>
          <w:color w:val="0D0D0D" w:themeColor="text1" w:themeTint="F2"/>
          <w:sz w:val="24"/>
          <w:szCs w:val="24"/>
        </w:rPr>
      </w:pPr>
      <w:r w:rsidRPr="00A461B6">
        <w:rPr>
          <w:color w:val="0D0D0D" w:themeColor="text1" w:themeTint="F2"/>
          <w:sz w:val="24"/>
          <w:szCs w:val="24"/>
        </w:rPr>
        <w:t xml:space="preserve">When </w:t>
      </w:r>
      <w:r w:rsidR="001316D5" w:rsidRPr="00A461B6">
        <w:rPr>
          <w:color w:val="0D0D0D" w:themeColor="text1" w:themeTint="F2"/>
          <w:sz w:val="24"/>
          <w:szCs w:val="24"/>
        </w:rPr>
        <w:t>changes to the dispensing quantity</w:t>
      </w:r>
      <w:r w:rsidRPr="00A461B6">
        <w:rPr>
          <w:color w:val="0D0D0D" w:themeColor="text1" w:themeTint="F2"/>
          <w:sz w:val="24"/>
          <w:szCs w:val="24"/>
        </w:rPr>
        <w:t xml:space="preserve"> </w:t>
      </w:r>
      <w:r w:rsidR="001316D5" w:rsidRPr="00A461B6">
        <w:rPr>
          <w:color w:val="0D0D0D" w:themeColor="text1" w:themeTint="F2"/>
          <w:sz w:val="24"/>
          <w:szCs w:val="24"/>
        </w:rPr>
        <w:t xml:space="preserve">were previously considered </w:t>
      </w:r>
      <w:r w:rsidRPr="00A461B6">
        <w:rPr>
          <w:color w:val="0D0D0D" w:themeColor="text1" w:themeTint="F2"/>
          <w:sz w:val="24"/>
          <w:szCs w:val="24"/>
        </w:rPr>
        <w:t>by the PBAC in 2018 it was publicly supported by medical stakeholders</w:t>
      </w:r>
      <w:r w:rsidR="00F13141" w:rsidRPr="00A461B6">
        <w:rPr>
          <w:color w:val="0D0D0D" w:themeColor="text1" w:themeTint="F2"/>
          <w:sz w:val="24"/>
          <w:szCs w:val="24"/>
        </w:rPr>
        <w:t>.</w:t>
      </w:r>
      <w:r w:rsidRPr="00A461B6">
        <w:rPr>
          <w:rStyle w:val="FootnoteReference"/>
          <w:color w:val="0D0D0D" w:themeColor="text1" w:themeTint="F2"/>
          <w:sz w:val="24"/>
          <w:szCs w:val="24"/>
        </w:rPr>
        <w:footnoteReference w:id="46"/>
      </w:r>
      <w:r w:rsidR="00F13141" w:rsidRPr="00A461B6">
        <w:rPr>
          <w:color w:val="0D0D0D" w:themeColor="text1" w:themeTint="F2"/>
          <w:sz w:val="24"/>
          <w:szCs w:val="24"/>
          <w:vertAlign w:val="superscript"/>
        </w:rPr>
        <w:t>,</w:t>
      </w:r>
      <w:r w:rsidRPr="00A461B6">
        <w:rPr>
          <w:rStyle w:val="FootnoteReference"/>
          <w:color w:val="0D0D0D" w:themeColor="text1" w:themeTint="F2"/>
          <w:sz w:val="24"/>
          <w:szCs w:val="24"/>
        </w:rPr>
        <w:footnoteReference w:id="47"/>
      </w:r>
      <w:r w:rsidRPr="00A461B6">
        <w:rPr>
          <w:color w:val="0D0D0D" w:themeColor="text1" w:themeTint="F2"/>
          <w:sz w:val="24"/>
          <w:szCs w:val="24"/>
        </w:rPr>
        <w:t xml:space="preserve"> In February 2023, the RACGP </w:t>
      </w:r>
      <w:r w:rsidR="00FE0130" w:rsidRPr="00A461B6">
        <w:rPr>
          <w:color w:val="0D0D0D" w:themeColor="text1" w:themeTint="F2"/>
          <w:sz w:val="24"/>
          <w:szCs w:val="24"/>
        </w:rPr>
        <w:t>and the AMA</w:t>
      </w:r>
      <w:r w:rsidRPr="00A461B6">
        <w:rPr>
          <w:color w:val="0D0D0D" w:themeColor="text1" w:themeTint="F2"/>
          <w:sz w:val="24"/>
          <w:szCs w:val="24"/>
        </w:rPr>
        <w:t xml:space="preserve"> supported the proposal and requested that it be reconsidered. However, some medical professionals may </w:t>
      </w:r>
      <w:r w:rsidR="00491C56" w:rsidRPr="00A461B6">
        <w:rPr>
          <w:color w:val="0D0D0D" w:themeColor="text1" w:themeTint="F2"/>
          <w:sz w:val="24"/>
          <w:szCs w:val="24"/>
        </w:rPr>
        <w:t xml:space="preserve">be </w:t>
      </w:r>
      <w:r w:rsidRPr="00A461B6">
        <w:rPr>
          <w:color w:val="0D0D0D" w:themeColor="text1" w:themeTint="F2"/>
          <w:sz w:val="24"/>
          <w:szCs w:val="24"/>
        </w:rPr>
        <w:t>concern</w:t>
      </w:r>
      <w:r w:rsidR="00491C56" w:rsidRPr="00A461B6">
        <w:rPr>
          <w:color w:val="0D0D0D" w:themeColor="text1" w:themeTint="F2"/>
          <w:sz w:val="24"/>
          <w:szCs w:val="24"/>
        </w:rPr>
        <w:t>ed due to</w:t>
      </w:r>
      <w:r w:rsidRPr="00A461B6">
        <w:rPr>
          <w:color w:val="0D0D0D" w:themeColor="text1" w:themeTint="F2"/>
          <w:sz w:val="24"/>
          <w:szCs w:val="24"/>
        </w:rPr>
        <w:t xml:space="preserve"> a higher quantity of the prescribed medicine </w:t>
      </w:r>
      <w:r w:rsidR="00491C56" w:rsidRPr="00A461B6">
        <w:rPr>
          <w:color w:val="0D0D0D" w:themeColor="text1" w:themeTint="F2"/>
          <w:sz w:val="24"/>
          <w:szCs w:val="24"/>
        </w:rPr>
        <w:t xml:space="preserve">potentially </w:t>
      </w:r>
      <w:r w:rsidRPr="00A461B6">
        <w:rPr>
          <w:color w:val="0D0D0D" w:themeColor="text1" w:themeTint="F2"/>
          <w:sz w:val="24"/>
          <w:szCs w:val="24"/>
        </w:rPr>
        <w:t>compromis</w:t>
      </w:r>
      <w:r w:rsidR="00491C56" w:rsidRPr="00A461B6">
        <w:rPr>
          <w:color w:val="0D0D0D" w:themeColor="text1" w:themeTint="F2"/>
          <w:sz w:val="24"/>
          <w:szCs w:val="24"/>
        </w:rPr>
        <w:t>ing</w:t>
      </w:r>
      <w:r w:rsidRPr="00A461B6">
        <w:rPr>
          <w:color w:val="0D0D0D" w:themeColor="text1" w:themeTint="F2"/>
          <w:sz w:val="24"/>
          <w:szCs w:val="24"/>
        </w:rPr>
        <w:t xml:space="preserve"> patient safety and quality use of medicines. This risk is mitigated by the independent PBAC having recommended only medicines for chronic conditions that are considered clinically safe and suitable for dispensing in the community in higher quantities. </w:t>
      </w:r>
    </w:p>
    <w:p w14:paraId="787879D2" w14:textId="30958359" w:rsidR="001D11CD" w:rsidRPr="00A461B6" w:rsidRDefault="001D11CD" w:rsidP="001D11CD">
      <w:pPr>
        <w:rPr>
          <w:color w:val="0D0D0D" w:themeColor="text1" w:themeTint="F2"/>
          <w:sz w:val="24"/>
          <w:szCs w:val="24"/>
        </w:rPr>
      </w:pPr>
      <w:r w:rsidRPr="00A461B6">
        <w:rPr>
          <w:color w:val="0D0D0D" w:themeColor="text1" w:themeTint="F2"/>
          <w:sz w:val="24"/>
          <w:szCs w:val="24"/>
        </w:rPr>
        <w:t xml:space="preserve">Prescribers will </w:t>
      </w:r>
      <w:r w:rsidR="00D835A5" w:rsidRPr="00A461B6">
        <w:rPr>
          <w:color w:val="0D0D0D" w:themeColor="text1" w:themeTint="F2"/>
          <w:sz w:val="24"/>
          <w:szCs w:val="24"/>
        </w:rPr>
        <w:t xml:space="preserve">also </w:t>
      </w:r>
      <w:r w:rsidRPr="00A461B6">
        <w:rPr>
          <w:color w:val="0D0D0D" w:themeColor="text1" w:themeTint="F2"/>
          <w:sz w:val="24"/>
          <w:szCs w:val="24"/>
        </w:rPr>
        <w:t xml:space="preserve">retain the choice of clinically appropriate prescribing. Prescribers will be able to prescribe one month’s supply per dispensing and up to six months’ supply of a medicine per prescription, supporting closer clinical monitoring of patients where </w:t>
      </w:r>
      <w:r w:rsidR="00D835A5" w:rsidRPr="00A461B6">
        <w:rPr>
          <w:color w:val="0D0D0D" w:themeColor="text1" w:themeTint="F2"/>
          <w:sz w:val="24"/>
          <w:szCs w:val="24"/>
        </w:rPr>
        <w:t xml:space="preserve">clinically </w:t>
      </w:r>
      <w:r w:rsidRPr="00A461B6">
        <w:rPr>
          <w:color w:val="0D0D0D" w:themeColor="text1" w:themeTint="F2"/>
          <w:sz w:val="24"/>
          <w:szCs w:val="24"/>
        </w:rPr>
        <w:t>required.</w:t>
      </w:r>
    </w:p>
    <w:p w14:paraId="40E67429" w14:textId="20322AA5" w:rsidR="000243A7" w:rsidRPr="00A461B6" w:rsidRDefault="001D11CD" w:rsidP="000243A7">
      <w:pPr>
        <w:pStyle w:val="BodyText"/>
        <w:rPr>
          <w:color w:val="0D0D0D" w:themeColor="text1" w:themeTint="F2"/>
          <w:sz w:val="24"/>
          <w:szCs w:val="24"/>
        </w:rPr>
      </w:pPr>
      <w:r w:rsidRPr="00A461B6">
        <w:rPr>
          <w:color w:val="0D0D0D" w:themeColor="text1" w:themeTint="F2"/>
          <w:sz w:val="24"/>
          <w:szCs w:val="24"/>
        </w:rPr>
        <w:t xml:space="preserve">Many patients with chronic conditions </w:t>
      </w:r>
      <w:r w:rsidR="006058FD" w:rsidRPr="00A461B6">
        <w:rPr>
          <w:color w:val="0D0D0D" w:themeColor="text1" w:themeTint="F2"/>
          <w:sz w:val="24"/>
          <w:szCs w:val="24"/>
        </w:rPr>
        <w:t>may</w:t>
      </w:r>
      <w:r w:rsidRPr="00A461B6">
        <w:rPr>
          <w:color w:val="0D0D0D" w:themeColor="text1" w:themeTint="F2"/>
          <w:sz w:val="24"/>
          <w:szCs w:val="24"/>
        </w:rPr>
        <w:t xml:space="preserve"> no longer be required to attend a doctor’s consultation at least twice a year to obtain their prescriptions for these medicines. These appointments will otherwise be taken up by other patients. </w:t>
      </w:r>
      <w:r w:rsidR="00FE0130" w:rsidRPr="00A461B6">
        <w:rPr>
          <w:color w:val="0D0D0D" w:themeColor="text1" w:themeTint="F2"/>
          <w:sz w:val="24"/>
          <w:szCs w:val="24"/>
        </w:rPr>
        <w:t>It is anticipated p</w:t>
      </w:r>
      <w:r w:rsidRPr="00A461B6">
        <w:rPr>
          <w:color w:val="0D0D0D" w:themeColor="text1" w:themeTint="F2"/>
          <w:sz w:val="24"/>
          <w:szCs w:val="24"/>
        </w:rPr>
        <w:t xml:space="preserve">rescribers will have the opportunity to use these appointments </w:t>
      </w:r>
      <w:r w:rsidR="00FE0130" w:rsidRPr="00A461B6">
        <w:rPr>
          <w:color w:val="0D0D0D" w:themeColor="text1" w:themeTint="F2"/>
          <w:sz w:val="24"/>
          <w:szCs w:val="24"/>
        </w:rPr>
        <w:t>to spend time with patients on more complex health issues and consultations, rather</w:t>
      </w:r>
      <w:r w:rsidRPr="00A461B6">
        <w:rPr>
          <w:color w:val="0D0D0D" w:themeColor="text1" w:themeTint="F2"/>
          <w:sz w:val="24"/>
          <w:szCs w:val="24"/>
        </w:rPr>
        <w:t xml:space="preserve"> than writing repeat prescriptions for medicines to treat patients with chronic stable conditions. </w:t>
      </w:r>
      <w:r w:rsidR="00FE0130" w:rsidRPr="00A461B6">
        <w:rPr>
          <w:color w:val="0D0D0D" w:themeColor="text1" w:themeTint="F2"/>
          <w:sz w:val="24"/>
          <w:szCs w:val="24"/>
        </w:rPr>
        <w:t>O</w:t>
      </w:r>
      <w:r w:rsidR="000243A7" w:rsidRPr="00A461B6">
        <w:rPr>
          <w:color w:val="0D0D0D" w:themeColor="text1" w:themeTint="F2"/>
          <w:sz w:val="24"/>
          <w:szCs w:val="24"/>
        </w:rPr>
        <w:t xml:space="preserve">ver time, with improved patient medication adherence, </w:t>
      </w:r>
      <w:r w:rsidR="00FE0130" w:rsidRPr="00A461B6">
        <w:rPr>
          <w:color w:val="0D0D0D" w:themeColor="text1" w:themeTint="F2"/>
          <w:sz w:val="24"/>
          <w:szCs w:val="24"/>
        </w:rPr>
        <w:t xml:space="preserve">there may be </w:t>
      </w:r>
      <w:r w:rsidR="000243A7" w:rsidRPr="00A461B6">
        <w:rPr>
          <w:color w:val="0D0D0D" w:themeColor="text1" w:themeTint="F2"/>
          <w:sz w:val="24"/>
          <w:szCs w:val="24"/>
        </w:rPr>
        <w:t xml:space="preserve">less need for </w:t>
      </w:r>
      <w:r w:rsidR="00FE0130" w:rsidRPr="00A461B6">
        <w:rPr>
          <w:color w:val="0D0D0D" w:themeColor="text1" w:themeTint="F2"/>
          <w:sz w:val="24"/>
          <w:szCs w:val="24"/>
        </w:rPr>
        <w:t xml:space="preserve">prescribers </w:t>
      </w:r>
      <w:r w:rsidR="000243A7" w:rsidRPr="00A461B6">
        <w:rPr>
          <w:color w:val="0D0D0D" w:themeColor="text1" w:themeTint="F2"/>
          <w:sz w:val="24"/>
          <w:szCs w:val="24"/>
        </w:rPr>
        <w:t xml:space="preserve">to manage escalating health issues in patients not taking their medication as prescribed. </w:t>
      </w:r>
    </w:p>
    <w:p w14:paraId="640320EF" w14:textId="6E3488C8" w:rsidR="000243A7" w:rsidRPr="00A461B6" w:rsidRDefault="00114AB8" w:rsidP="00DC5650">
      <w:pPr>
        <w:pStyle w:val="Heading4"/>
      </w:pPr>
      <w:r w:rsidRPr="00A461B6">
        <w:t xml:space="preserve">Pharmaceutical </w:t>
      </w:r>
      <w:r w:rsidR="0097798F" w:rsidRPr="00A461B6">
        <w:t>w</w:t>
      </w:r>
      <w:r w:rsidRPr="00A461B6">
        <w:t>ho</w:t>
      </w:r>
      <w:r w:rsidR="000243A7" w:rsidRPr="00A461B6">
        <w:t>lesalers</w:t>
      </w:r>
    </w:p>
    <w:p w14:paraId="5B982941" w14:textId="6369A0C0" w:rsidR="00402883" w:rsidRPr="00A461B6" w:rsidRDefault="00402883" w:rsidP="00402883">
      <w:pPr>
        <w:rPr>
          <w:rFonts w:cstheme="minorHAnsi"/>
          <w:color w:val="auto"/>
          <w:sz w:val="24"/>
          <w:szCs w:val="24"/>
        </w:rPr>
      </w:pPr>
      <w:r w:rsidRPr="00A461B6">
        <w:rPr>
          <w:rFonts w:cstheme="minorHAnsi"/>
          <w:color w:val="auto"/>
          <w:sz w:val="24"/>
          <w:szCs w:val="24"/>
        </w:rPr>
        <w:t>There are six Community Service Obligation (CSO) wholesalers who supply a majority share of PBS medicines to community pharmacy and are likely to be affected. However, there are a number of non</w:t>
      </w:r>
      <w:r w:rsidR="00032C71" w:rsidRPr="00A461B6">
        <w:rPr>
          <w:rFonts w:cstheme="minorHAnsi"/>
          <w:color w:val="auto"/>
          <w:sz w:val="24"/>
          <w:szCs w:val="24"/>
        </w:rPr>
        <w:noBreakHyphen/>
      </w:r>
      <w:r w:rsidRPr="00A461B6">
        <w:rPr>
          <w:rFonts w:cstheme="minorHAnsi"/>
          <w:color w:val="auto"/>
          <w:sz w:val="24"/>
          <w:szCs w:val="24"/>
        </w:rPr>
        <w:t>CSO wholesalers who do not have a specific arrangement with the Commonwealth but also supply some PBS medicines. As these additional suppliers are not regulated, it is not possible to estimate the total number of wholesalers that will be affected.</w:t>
      </w:r>
    </w:p>
    <w:p w14:paraId="67135B12" w14:textId="72386507" w:rsidR="000243A7" w:rsidRPr="00A461B6" w:rsidRDefault="000243A7" w:rsidP="001D11CD">
      <w:pPr>
        <w:rPr>
          <w:color w:val="auto"/>
          <w:sz w:val="24"/>
          <w:szCs w:val="24"/>
        </w:rPr>
      </w:pPr>
      <w:r w:rsidRPr="00A461B6">
        <w:rPr>
          <w:bCs/>
          <w:color w:val="auto"/>
          <w:sz w:val="24"/>
          <w:szCs w:val="24"/>
        </w:rPr>
        <w:t xml:space="preserve">This </w:t>
      </w:r>
      <w:r w:rsidR="00114AB8" w:rsidRPr="00A461B6">
        <w:rPr>
          <w:bCs/>
          <w:color w:val="auto"/>
          <w:sz w:val="24"/>
          <w:szCs w:val="24"/>
        </w:rPr>
        <w:t xml:space="preserve">proposal </w:t>
      </w:r>
      <w:r w:rsidRPr="00A461B6">
        <w:rPr>
          <w:bCs/>
          <w:color w:val="auto"/>
          <w:sz w:val="24"/>
          <w:szCs w:val="24"/>
        </w:rPr>
        <w:t>will result in</w:t>
      </w:r>
      <w:r w:rsidRPr="00A461B6">
        <w:rPr>
          <w:color w:val="auto"/>
          <w:sz w:val="24"/>
          <w:szCs w:val="24"/>
        </w:rPr>
        <w:t xml:space="preserve"> the reduction of remuneration to wholesalers because of the way remuneration is calculated</w:t>
      </w:r>
      <w:r w:rsidR="00E50D6C" w:rsidRPr="00A461B6">
        <w:rPr>
          <w:color w:val="auto"/>
          <w:sz w:val="24"/>
          <w:szCs w:val="24"/>
        </w:rPr>
        <w:t>.</w:t>
      </w:r>
      <w:r w:rsidR="009315B0" w:rsidRPr="00A461B6">
        <w:rPr>
          <w:color w:val="auto"/>
          <w:sz w:val="24"/>
          <w:szCs w:val="24"/>
        </w:rPr>
        <w:t xml:space="preserve"> </w:t>
      </w:r>
      <w:r w:rsidR="00114AB8" w:rsidRPr="00A461B6">
        <w:rPr>
          <w:color w:val="auto"/>
          <w:sz w:val="24"/>
          <w:szCs w:val="24"/>
        </w:rPr>
        <w:t>W</w:t>
      </w:r>
      <w:r w:rsidRPr="00A461B6">
        <w:rPr>
          <w:color w:val="auto"/>
          <w:sz w:val="24"/>
          <w:szCs w:val="24"/>
        </w:rPr>
        <w:t xml:space="preserve">holesaler mark-ups are derived according to legislative </w:t>
      </w:r>
      <w:r w:rsidR="00D835A5" w:rsidRPr="00A461B6">
        <w:rPr>
          <w:color w:val="auto"/>
          <w:sz w:val="24"/>
          <w:szCs w:val="24"/>
        </w:rPr>
        <w:t>provisions</w:t>
      </w:r>
      <w:r w:rsidR="00114AB8" w:rsidRPr="00A461B6">
        <w:rPr>
          <w:color w:val="auto"/>
          <w:sz w:val="24"/>
          <w:szCs w:val="24"/>
        </w:rPr>
        <w:t>.</w:t>
      </w:r>
    </w:p>
    <w:p w14:paraId="703052FF" w14:textId="62F94F02" w:rsidR="00E77532" w:rsidRPr="00A461B6" w:rsidRDefault="002D11C2" w:rsidP="001D11CD">
      <w:pPr>
        <w:rPr>
          <w:color w:val="auto"/>
          <w:sz w:val="24"/>
          <w:szCs w:val="24"/>
        </w:rPr>
      </w:pPr>
      <w:r w:rsidRPr="00A461B6">
        <w:rPr>
          <w:color w:val="auto"/>
          <w:sz w:val="24"/>
          <w:szCs w:val="24"/>
        </w:rPr>
        <w:t xml:space="preserve">The wholesaler mark-up for ready prepared pharmaceutical benefits is calculated as a percentage for medicines between the price of $5.50 and $720 (ex-manufacturer). For those products that fall outside this range it is applied as a flat fee for the maximum amount of medicine that can be dispensed. As a result, increasing the maximum dispensed amount </w:t>
      </w:r>
      <w:r w:rsidR="006A6B5B" w:rsidRPr="00A461B6">
        <w:rPr>
          <w:color w:val="auto"/>
          <w:sz w:val="24"/>
          <w:szCs w:val="24"/>
        </w:rPr>
        <w:t xml:space="preserve">in a PBS listing </w:t>
      </w:r>
      <w:r w:rsidRPr="00A461B6">
        <w:rPr>
          <w:color w:val="auto"/>
          <w:sz w:val="24"/>
          <w:szCs w:val="24"/>
        </w:rPr>
        <w:t xml:space="preserve">for any of these medicines, </w:t>
      </w:r>
      <w:r w:rsidR="006A6B5B" w:rsidRPr="00A461B6">
        <w:rPr>
          <w:color w:val="auto"/>
          <w:sz w:val="24"/>
          <w:szCs w:val="24"/>
        </w:rPr>
        <w:t xml:space="preserve">may </w:t>
      </w:r>
      <w:r w:rsidRPr="00A461B6">
        <w:rPr>
          <w:color w:val="auto"/>
          <w:sz w:val="24"/>
          <w:szCs w:val="24"/>
        </w:rPr>
        <w:t>reduce the amount of wholesaler mark-up paid by the Commonwealth overall.</w:t>
      </w:r>
    </w:p>
    <w:p w14:paraId="1158E40F" w14:textId="7888BC3E" w:rsidR="009165A1" w:rsidRPr="00A461B6" w:rsidRDefault="009165A1" w:rsidP="001D11CD">
      <w:pPr>
        <w:rPr>
          <w:color w:val="auto"/>
          <w:sz w:val="24"/>
          <w:szCs w:val="24"/>
        </w:rPr>
      </w:pPr>
      <w:r w:rsidRPr="00A461B6">
        <w:rPr>
          <w:color w:val="auto"/>
          <w:sz w:val="24"/>
          <w:szCs w:val="24"/>
        </w:rPr>
        <w:t xml:space="preserve">Approximately 220 </w:t>
      </w:r>
      <w:r w:rsidR="00EB7DE3" w:rsidRPr="00A461B6">
        <w:rPr>
          <w:color w:val="auto"/>
          <w:sz w:val="24"/>
          <w:szCs w:val="24"/>
        </w:rPr>
        <w:t>pharmaceutical items</w:t>
      </w:r>
      <w:r w:rsidRPr="00A461B6">
        <w:rPr>
          <w:color w:val="auto"/>
          <w:sz w:val="24"/>
          <w:szCs w:val="24"/>
        </w:rPr>
        <w:t xml:space="preserve"> </w:t>
      </w:r>
      <w:r w:rsidR="00843FFD" w:rsidRPr="00A461B6">
        <w:rPr>
          <w:color w:val="auto"/>
          <w:sz w:val="24"/>
          <w:szCs w:val="24"/>
        </w:rPr>
        <w:t>(the drug, form and manner of administration set out in the PBS listing</w:t>
      </w:r>
      <w:r w:rsidR="00843FFD" w:rsidRPr="00A461B6">
        <w:rPr>
          <w:rStyle w:val="FootnoteReference"/>
          <w:color w:val="auto"/>
          <w:sz w:val="24"/>
          <w:szCs w:val="24"/>
        </w:rPr>
        <w:footnoteReference w:id="48"/>
      </w:r>
      <w:r w:rsidR="00843FFD" w:rsidRPr="00A461B6">
        <w:rPr>
          <w:color w:val="auto"/>
          <w:sz w:val="24"/>
          <w:szCs w:val="24"/>
        </w:rPr>
        <w:t xml:space="preserve">) </w:t>
      </w:r>
      <w:r w:rsidRPr="00A461B6">
        <w:rPr>
          <w:color w:val="auto"/>
          <w:sz w:val="24"/>
          <w:szCs w:val="24"/>
        </w:rPr>
        <w:t xml:space="preserve">will have a reduced wholesale mark-up as a result of the listing of the increased quantity item for the </w:t>
      </w:r>
      <w:r w:rsidR="00EB66AC" w:rsidRPr="00A461B6">
        <w:rPr>
          <w:color w:val="auto"/>
          <w:sz w:val="24"/>
          <w:szCs w:val="24"/>
        </w:rPr>
        <w:t>two month</w:t>
      </w:r>
      <w:r w:rsidRPr="00A461B6">
        <w:rPr>
          <w:color w:val="auto"/>
          <w:sz w:val="24"/>
          <w:szCs w:val="24"/>
        </w:rPr>
        <w:t xml:space="preserve"> </w:t>
      </w:r>
      <w:r w:rsidR="00EB66AC" w:rsidRPr="00A461B6">
        <w:rPr>
          <w:color w:val="auto"/>
          <w:sz w:val="24"/>
          <w:szCs w:val="24"/>
        </w:rPr>
        <w:t xml:space="preserve">supply </w:t>
      </w:r>
      <w:r w:rsidRPr="00A461B6">
        <w:rPr>
          <w:color w:val="auto"/>
          <w:sz w:val="24"/>
          <w:szCs w:val="24"/>
        </w:rPr>
        <w:t xml:space="preserve">option. </w:t>
      </w:r>
      <w:r w:rsidR="007A35C8" w:rsidRPr="00A461B6">
        <w:rPr>
          <w:color w:val="auto"/>
          <w:sz w:val="24"/>
          <w:szCs w:val="24"/>
        </w:rPr>
        <w:t xml:space="preserve">The number of impacted pharmaceutical codes </w:t>
      </w:r>
      <w:r w:rsidRPr="00A461B6">
        <w:rPr>
          <w:color w:val="auto"/>
          <w:sz w:val="24"/>
          <w:szCs w:val="24"/>
        </w:rPr>
        <w:t xml:space="preserve">may change over time as PBS ex-manufacturer prices are subject to PBS pricing mechanisms such as price disclosure, </w:t>
      </w:r>
      <w:r w:rsidR="000A1249" w:rsidRPr="00A461B6">
        <w:rPr>
          <w:color w:val="auto"/>
          <w:sz w:val="24"/>
          <w:szCs w:val="24"/>
        </w:rPr>
        <w:t>a</w:t>
      </w:r>
      <w:r w:rsidRPr="00A461B6">
        <w:rPr>
          <w:color w:val="auto"/>
          <w:sz w:val="24"/>
          <w:szCs w:val="24"/>
        </w:rPr>
        <w:t>nniversary price reductions and first new brand reductions</w:t>
      </w:r>
      <w:r w:rsidR="00EB66AC" w:rsidRPr="00A461B6">
        <w:rPr>
          <w:color w:val="auto"/>
          <w:sz w:val="24"/>
          <w:szCs w:val="24"/>
        </w:rPr>
        <w:t>.</w:t>
      </w:r>
    </w:p>
    <w:p w14:paraId="164CE564" w14:textId="09D62E0A" w:rsidR="002D11C2" w:rsidRPr="00A461B6" w:rsidRDefault="00E77532" w:rsidP="001D11CD">
      <w:pPr>
        <w:rPr>
          <w:color w:val="auto"/>
          <w:sz w:val="24"/>
        </w:rPr>
      </w:pPr>
      <w:r w:rsidRPr="00A461B6">
        <w:rPr>
          <w:color w:val="auto"/>
          <w:sz w:val="24"/>
          <w:szCs w:val="24"/>
        </w:rPr>
        <w:t xml:space="preserve">The following example illustrates the effect of the two month supply option on wholesale mark up </w:t>
      </w:r>
      <w:r w:rsidR="00F47676" w:rsidRPr="00A461B6">
        <w:rPr>
          <w:color w:val="auto"/>
          <w:sz w:val="24"/>
          <w:szCs w:val="24"/>
        </w:rPr>
        <w:t xml:space="preserve">and pharmacy </w:t>
      </w:r>
      <w:r w:rsidRPr="00A461B6">
        <w:rPr>
          <w:color w:val="auto"/>
          <w:sz w:val="24"/>
          <w:szCs w:val="24"/>
        </w:rPr>
        <w:t>for a specific medicine, rosuvastatin 10mg tablet, 30 pack</w:t>
      </w:r>
      <w:r w:rsidR="00F47676" w:rsidRPr="00A461B6">
        <w:rPr>
          <w:color w:val="auto"/>
          <w:sz w:val="24"/>
          <w:szCs w:val="24"/>
        </w:rPr>
        <w:t>.</w:t>
      </w:r>
    </w:p>
    <w:p w14:paraId="781BC8EE" w14:textId="77777777" w:rsidR="00C67230" w:rsidRDefault="00C67230">
      <w:pPr>
        <w:rPr>
          <w:rFonts w:asciiTheme="majorHAnsi" w:hAnsiTheme="majorHAnsi"/>
          <w:color w:val="014463" w:themeColor="text2"/>
          <w:sz w:val="28"/>
          <w:szCs w:val="24"/>
        </w:rPr>
      </w:pPr>
      <w:r>
        <w:br w:type="page"/>
      </w:r>
    </w:p>
    <w:p w14:paraId="2A91CE50" w14:textId="23E53829" w:rsidR="00BA30AD" w:rsidRPr="00A461B6" w:rsidRDefault="00313BA6" w:rsidP="007A35C8">
      <w:pPr>
        <w:pStyle w:val="Heading4"/>
      </w:pPr>
      <w:r w:rsidRPr="00A461B6">
        <w:t>Table 4.3</w:t>
      </w:r>
      <w:r w:rsidR="007A35C8" w:rsidRPr="00A461B6">
        <w:t xml:space="preserve"> Primary impact – Two </w:t>
      </w:r>
      <w:r w:rsidR="00515270">
        <w:t>prescriptions</w:t>
      </w:r>
      <w:r w:rsidR="00515270" w:rsidRPr="00A461B6">
        <w:t xml:space="preserve"> </w:t>
      </w:r>
      <w:r w:rsidR="007A35C8" w:rsidRPr="00A461B6">
        <w:t xml:space="preserve">for a one month supply become one </w:t>
      </w:r>
      <w:r w:rsidR="00515270">
        <w:t>prescription</w:t>
      </w:r>
      <w:r w:rsidR="00515270" w:rsidRPr="00A461B6">
        <w:t xml:space="preserve"> </w:t>
      </w:r>
      <w:r w:rsidR="007A35C8" w:rsidRPr="00A461B6">
        <w:t>for a two month supply</w:t>
      </w:r>
    </w:p>
    <w:tbl>
      <w:tblPr>
        <w:tblStyle w:val="TableGrid1"/>
        <w:tblW w:w="0" w:type="auto"/>
        <w:tblLook w:val="04A0" w:firstRow="1" w:lastRow="0" w:firstColumn="1" w:lastColumn="0" w:noHBand="0" w:noVBand="1"/>
        <w:tblCaption w:val="Table 4.3 Primary impact – Two prescriptions for a one month supply become one prescription for a two month supply"/>
      </w:tblPr>
      <w:tblGrid>
        <w:gridCol w:w="4172"/>
        <w:gridCol w:w="1281"/>
        <w:gridCol w:w="924"/>
        <w:gridCol w:w="1065"/>
        <w:gridCol w:w="1073"/>
        <w:gridCol w:w="1679"/>
      </w:tblGrid>
      <w:tr w:rsidR="00BA30AD" w:rsidRPr="00A461B6" w14:paraId="1A9C38FF" w14:textId="77777777" w:rsidTr="00C67480">
        <w:trPr>
          <w:trHeight w:val="580"/>
          <w:tblHeader/>
        </w:trPr>
        <w:tc>
          <w:tcPr>
            <w:tcW w:w="16640" w:type="dxa"/>
            <w:gridSpan w:val="6"/>
            <w:hideMark/>
          </w:tcPr>
          <w:p w14:paraId="7EE7B874" w14:textId="588DFF49" w:rsidR="00BA30AD" w:rsidRPr="00A461B6" w:rsidRDefault="00BA30AD" w:rsidP="007A35C8">
            <w:pPr>
              <w:autoSpaceDE w:val="0"/>
              <w:autoSpaceDN w:val="0"/>
              <w:adjustRightInd w:val="0"/>
              <w:rPr>
                <w:rFonts w:ascii="Calibri" w:eastAsia="Calibri" w:hAnsi="Calibri" w:cs="Calibri"/>
                <w:b/>
                <w:bCs/>
                <w:color w:val="002060"/>
              </w:rPr>
            </w:pPr>
            <w:bookmarkStart w:id="74" w:name="RANGE!A3"/>
            <w:bookmarkStart w:id="75" w:name="_Hlk133580410"/>
            <w:r w:rsidRPr="00A461B6">
              <w:rPr>
                <w:rFonts w:ascii="Calibri" w:eastAsia="Calibri" w:hAnsi="Calibri" w:cs="Calibri"/>
                <w:b/>
                <w:bCs/>
                <w:color w:val="002060"/>
              </w:rPr>
              <w:t xml:space="preserve">Example –  General beneficiary under </w:t>
            </w:r>
            <w:r w:rsidR="00C328FF" w:rsidRPr="00A461B6">
              <w:rPr>
                <w:rFonts w:ascii="Calibri" w:eastAsia="Calibri" w:hAnsi="Calibri" w:cs="Calibri"/>
                <w:b/>
                <w:bCs/>
                <w:color w:val="002060"/>
              </w:rPr>
              <w:t>two</w:t>
            </w:r>
            <w:r w:rsidR="007A35C8" w:rsidRPr="00A461B6">
              <w:rPr>
                <w:rFonts w:ascii="Calibri" w:eastAsia="Calibri" w:hAnsi="Calibri" w:cs="Calibri"/>
                <w:b/>
                <w:bCs/>
                <w:color w:val="002060"/>
              </w:rPr>
              <w:t xml:space="preserve"> </w:t>
            </w:r>
            <w:r w:rsidRPr="00A461B6">
              <w:rPr>
                <w:rFonts w:ascii="Calibri" w:eastAsia="Calibri" w:hAnsi="Calibri" w:cs="Calibri"/>
                <w:b/>
                <w:bCs/>
                <w:color w:val="002060"/>
              </w:rPr>
              <w:t>month MDQ option -  medicine rosuvastatin 10 mg tablet, 30 pack.</w:t>
            </w:r>
            <w:bookmarkEnd w:id="74"/>
          </w:p>
        </w:tc>
      </w:tr>
      <w:tr w:rsidR="00BA30AD" w:rsidRPr="00A461B6" w14:paraId="4524FB0A" w14:textId="77777777" w:rsidTr="00BA30AD">
        <w:trPr>
          <w:trHeight w:val="590"/>
        </w:trPr>
        <w:tc>
          <w:tcPr>
            <w:tcW w:w="8920" w:type="dxa"/>
            <w:vMerge w:val="restart"/>
            <w:hideMark/>
          </w:tcPr>
          <w:p w14:paraId="7643560A"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 </w:t>
            </w:r>
          </w:p>
        </w:tc>
        <w:tc>
          <w:tcPr>
            <w:tcW w:w="2880" w:type="dxa"/>
            <w:gridSpan w:val="2"/>
            <w:hideMark/>
          </w:tcPr>
          <w:p w14:paraId="1048C1CF"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Current arrangements</w:t>
            </w:r>
          </w:p>
        </w:tc>
        <w:tc>
          <w:tcPr>
            <w:tcW w:w="1340" w:type="dxa"/>
            <w:hideMark/>
          </w:tcPr>
          <w:p w14:paraId="523FE58F" w14:textId="5C8F3EBF" w:rsidR="00BA30AD" w:rsidRPr="00A461B6" w:rsidRDefault="00BA30AD" w:rsidP="007A35C8">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 xml:space="preserve"> 2 months</w:t>
            </w:r>
            <w:r w:rsidR="00F968EB" w:rsidRPr="00A461B6">
              <w:rPr>
                <w:rFonts w:ascii="Calibri" w:eastAsia="Calibri" w:hAnsi="Calibri" w:cs="Calibri"/>
                <w:b/>
                <w:bCs/>
                <w:color w:val="002060"/>
              </w:rPr>
              <w:t>’</w:t>
            </w:r>
            <w:r w:rsidR="007A35C8" w:rsidRPr="00A461B6">
              <w:rPr>
                <w:rFonts w:ascii="Calibri" w:eastAsia="Calibri" w:hAnsi="Calibri" w:cs="Calibri"/>
                <w:b/>
                <w:bCs/>
                <w:color w:val="002060"/>
              </w:rPr>
              <w:t xml:space="preserve"> </w:t>
            </w:r>
            <w:r w:rsidRPr="00A461B6">
              <w:rPr>
                <w:rFonts w:ascii="Calibri" w:eastAsia="Calibri" w:hAnsi="Calibri" w:cs="Calibri"/>
                <w:b/>
                <w:bCs/>
                <w:color w:val="002060"/>
              </w:rPr>
              <w:t xml:space="preserve">MDQ </w:t>
            </w:r>
          </w:p>
        </w:tc>
        <w:tc>
          <w:tcPr>
            <w:tcW w:w="1280" w:type="dxa"/>
            <w:hideMark/>
          </w:tcPr>
          <w:p w14:paraId="78568419"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 xml:space="preserve">Financial Impact </w:t>
            </w:r>
          </w:p>
        </w:tc>
        <w:tc>
          <w:tcPr>
            <w:tcW w:w="2220" w:type="dxa"/>
            <w:hideMark/>
          </w:tcPr>
          <w:p w14:paraId="2A16BB87"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Notes</w:t>
            </w:r>
          </w:p>
        </w:tc>
      </w:tr>
      <w:tr w:rsidR="00BA30AD" w:rsidRPr="00A461B6" w14:paraId="028B286E" w14:textId="77777777" w:rsidTr="00BA30AD">
        <w:trPr>
          <w:trHeight w:val="880"/>
        </w:trPr>
        <w:tc>
          <w:tcPr>
            <w:tcW w:w="8920" w:type="dxa"/>
            <w:vMerge/>
            <w:hideMark/>
          </w:tcPr>
          <w:p w14:paraId="36BF9609" w14:textId="77777777" w:rsidR="00BA30AD" w:rsidRPr="00A461B6" w:rsidRDefault="00BA30AD" w:rsidP="00BA30AD">
            <w:pPr>
              <w:autoSpaceDE w:val="0"/>
              <w:autoSpaceDN w:val="0"/>
              <w:adjustRightInd w:val="0"/>
              <w:rPr>
                <w:rFonts w:ascii="Calibri" w:eastAsia="Calibri" w:hAnsi="Calibri" w:cs="Calibri"/>
                <w:b/>
                <w:bCs/>
                <w:i/>
                <w:iCs/>
                <w:color w:val="002060"/>
              </w:rPr>
            </w:pPr>
          </w:p>
        </w:tc>
        <w:tc>
          <w:tcPr>
            <w:tcW w:w="1920" w:type="dxa"/>
            <w:hideMark/>
          </w:tcPr>
          <w:p w14:paraId="6EEBA438" w14:textId="519377A5" w:rsidR="00BA30AD" w:rsidRPr="00A461B6" w:rsidRDefault="00BA30AD" w:rsidP="007A35C8">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1 month</w:t>
            </w:r>
            <w:r w:rsidR="00F968EB" w:rsidRPr="00A461B6">
              <w:rPr>
                <w:rFonts w:ascii="Calibri" w:eastAsia="Calibri" w:hAnsi="Calibri" w:cs="Calibri"/>
                <w:b/>
                <w:bCs/>
                <w:color w:val="002060"/>
              </w:rPr>
              <w:t>’</w:t>
            </w:r>
            <w:r w:rsidRPr="00A461B6">
              <w:rPr>
                <w:rFonts w:ascii="Calibri" w:eastAsia="Calibri" w:hAnsi="Calibri" w:cs="Calibri"/>
                <w:b/>
                <w:bCs/>
                <w:color w:val="002060"/>
              </w:rPr>
              <w:t>s</w:t>
            </w:r>
            <w:r w:rsidR="007A35C8" w:rsidRPr="00A461B6">
              <w:rPr>
                <w:rFonts w:ascii="Calibri" w:eastAsia="Calibri" w:hAnsi="Calibri" w:cs="Calibri"/>
                <w:b/>
                <w:bCs/>
                <w:color w:val="002060"/>
              </w:rPr>
              <w:t xml:space="preserve"> </w:t>
            </w:r>
            <w:r w:rsidRPr="00A461B6">
              <w:rPr>
                <w:rFonts w:ascii="Calibri" w:eastAsia="Calibri" w:hAnsi="Calibri" w:cs="Calibri"/>
                <w:b/>
                <w:bCs/>
                <w:color w:val="002060"/>
              </w:rPr>
              <w:t>supply</w:t>
            </w:r>
          </w:p>
        </w:tc>
        <w:tc>
          <w:tcPr>
            <w:tcW w:w="960" w:type="dxa"/>
            <w:hideMark/>
          </w:tcPr>
          <w:p w14:paraId="6107E716" w14:textId="41E48DB5" w:rsidR="00BA30AD" w:rsidRPr="00A461B6" w:rsidRDefault="00BA30AD" w:rsidP="007A35C8">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2 x 1 month</w:t>
            </w:r>
            <w:r w:rsidR="00F968EB" w:rsidRPr="00A461B6">
              <w:rPr>
                <w:rFonts w:ascii="Calibri" w:eastAsia="Calibri" w:hAnsi="Calibri" w:cs="Calibri"/>
                <w:b/>
                <w:bCs/>
                <w:color w:val="002060"/>
              </w:rPr>
              <w:t>’</w:t>
            </w:r>
            <w:r w:rsidRPr="00A461B6">
              <w:rPr>
                <w:rFonts w:ascii="Calibri" w:eastAsia="Calibri" w:hAnsi="Calibri" w:cs="Calibri"/>
                <w:b/>
                <w:bCs/>
                <w:color w:val="002060"/>
              </w:rPr>
              <w:t>s</w:t>
            </w:r>
            <w:r w:rsidR="007A35C8" w:rsidRPr="00A461B6">
              <w:rPr>
                <w:rFonts w:ascii="Calibri" w:eastAsia="Calibri" w:hAnsi="Calibri" w:cs="Calibri"/>
                <w:b/>
                <w:bCs/>
                <w:color w:val="002060"/>
              </w:rPr>
              <w:t xml:space="preserve"> </w:t>
            </w:r>
            <w:r w:rsidRPr="00A461B6">
              <w:rPr>
                <w:rFonts w:ascii="Calibri" w:eastAsia="Calibri" w:hAnsi="Calibri" w:cs="Calibri"/>
                <w:b/>
                <w:bCs/>
                <w:color w:val="002060"/>
              </w:rPr>
              <w:t xml:space="preserve"> supply</w:t>
            </w:r>
          </w:p>
        </w:tc>
        <w:tc>
          <w:tcPr>
            <w:tcW w:w="1340" w:type="dxa"/>
            <w:hideMark/>
          </w:tcPr>
          <w:p w14:paraId="073922D1" w14:textId="1067A2B5"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1 x 2 month</w:t>
            </w:r>
            <w:r w:rsidR="00F968EB" w:rsidRPr="00A461B6">
              <w:rPr>
                <w:rFonts w:ascii="Calibri" w:eastAsia="Calibri" w:hAnsi="Calibri" w:cs="Calibri"/>
                <w:b/>
                <w:bCs/>
                <w:color w:val="002060"/>
              </w:rPr>
              <w:t>’</w:t>
            </w:r>
            <w:r w:rsidRPr="00A461B6">
              <w:rPr>
                <w:rFonts w:ascii="Calibri" w:eastAsia="Calibri" w:hAnsi="Calibri" w:cs="Calibri"/>
                <w:b/>
                <w:bCs/>
                <w:color w:val="002060"/>
              </w:rPr>
              <w:t>s</w:t>
            </w:r>
            <w:r w:rsidR="007A35C8" w:rsidRPr="00A461B6">
              <w:rPr>
                <w:rFonts w:ascii="Calibri" w:eastAsia="Calibri" w:hAnsi="Calibri" w:cs="Calibri"/>
                <w:b/>
                <w:bCs/>
                <w:color w:val="002060"/>
              </w:rPr>
              <w:t xml:space="preserve"> </w:t>
            </w:r>
            <w:r w:rsidRPr="00A461B6">
              <w:rPr>
                <w:rFonts w:ascii="Calibri" w:eastAsia="Calibri" w:hAnsi="Calibri" w:cs="Calibri"/>
                <w:b/>
                <w:bCs/>
                <w:color w:val="002060"/>
              </w:rPr>
              <w:t>supply</w:t>
            </w:r>
          </w:p>
        </w:tc>
        <w:tc>
          <w:tcPr>
            <w:tcW w:w="1280" w:type="dxa"/>
            <w:hideMark/>
          </w:tcPr>
          <w:p w14:paraId="35F96E03"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 </w:t>
            </w:r>
          </w:p>
        </w:tc>
        <w:tc>
          <w:tcPr>
            <w:tcW w:w="2220" w:type="dxa"/>
            <w:hideMark/>
          </w:tcPr>
          <w:p w14:paraId="3CFE4ADF"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 </w:t>
            </w:r>
          </w:p>
        </w:tc>
      </w:tr>
      <w:tr w:rsidR="00BA30AD" w:rsidRPr="00A461B6" w14:paraId="7288D8B2" w14:textId="77777777" w:rsidTr="007A35C8">
        <w:trPr>
          <w:trHeight w:val="590"/>
        </w:trPr>
        <w:tc>
          <w:tcPr>
            <w:tcW w:w="8920" w:type="dxa"/>
            <w:hideMark/>
          </w:tcPr>
          <w:p w14:paraId="2F9AA827"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 xml:space="preserve"> Ex-manufacturer price</w:t>
            </w:r>
          </w:p>
        </w:tc>
        <w:tc>
          <w:tcPr>
            <w:tcW w:w="1920" w:type="dxa"/>
            <w:hideMark/>
          </w:tcPr>
          <w:p w14:paraId="5B31AFBE"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$3.50</w:t>
            </w:r>
          </w:p>
        </w:tc>
        <w:tc>
          <w:tcPr>
            <w:tcW w:w="960" w:type="dxa"/>
            <w:hideMark/>
          </w:tcPr>
          <w:p w14:paraId="1C2FF91F"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$7.00</w:t>
            </w:r>
          </w:p>
        </w:tc>
        <w:tc>
          <w:tcPr>
            <w:tcW w:w="1340" w:type="dxa"/>
            <w:hideMark/>
          </w:tcPr>
          <w:p w14:paraId="7774DFB8"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$7.00</w:t>
            </w:r>
          </w:p>
        </w:tc>
        <w:tc>
          <w:tcPr>
            <w:tcW w:w="1280" w:type="dxa"/>
            <w:hideMark/>
          </w:tcPr>
          <w:p w14:paraId="59B77E4B"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$0.00</w:t>
            </w:r>
          </w:p>
        </w:tc>
        <w:tc>
          <w:tcPr>
            <w:tcW w:w="2220" w:type="dxa"/>
            <w:hideMark/>
          </w:tcPr>
          <w:p w14:paraId="6F74E52D"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No impact on ex-manufacturer price</w:t>
            </w:r>
          </w:p>
        </w:tc>
      </w:tr>
      <w:tr w:rsidR="00BA30AD" w:rsidRPr="00A461B6" w14:paraId="3413B50C" w14:textId="77777777" w:rsidTr="007A35C8">
        <w:trPr>
          <w:trHeight w:val="1170"/>
        </w:trPr>
        <w:tc>
          <w:tcPr>
            <w:tcW w:w="8920" w:type="dxa"/>
            <w:hideMark/>
          </w:tcPr>
          <w:p w14:paraId="06EE0D7E"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Wholesale mark-up</w:t>
            </w:r>
          </w:p>
        </w:tc>
        <w:tc>
          <w:tcPr>
            <w:tcW w:w="1920" w:type="dxa"/>
            <w:hideMark/>
          </w:tcPr>
          <w:p w14:paraId="758852BE"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$0.41</w:t>
            </w:r>
          </w:p>
        </w:tc>
        <w:tc>
          <w:tcPr>
            <w:tcW w:w="960" w:type="dxa"/>
            <w:hideMark/>
          </w:tcPr>
          <w:p w14:paraId="09DB372A"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$0.82</w:t>
            </w:r>
          </w:p>
        </w:tc>
        <w:tc>
          <w:tcPr>
            <w:tcW w:w="1340" w:type="dxa"/>
            <w:hideMark/>
          </w:tcPr>
          <w:p w14:paraId="39E00EB7"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$0.52</w:t>
            </w:r>
          </w:p>
        </w:tc>
        <w:tc>
          <w:tcPr>
            <w:tcW w:w="1280" w:type="dxa"/>
            <w:hideMark/>
          </w:tcPr>
          <w:p w14:paraId="63A14EC1" w14:textId="77777777" w:rsidR="00BA30AD" w:rsidRPr="00A461B6" w:rsidRDefault="00BA30AD" w:rsidP="00BA30AD">
            <w:pPr>
              <w:autoSpaceDE w:val="0"/>
              <w:autoSpaceDN w:val="0"/>
              <w:adjustRightInd w:val="0"/>
              <w:rPr>
                <w:rFonts w:ascii="Calibri" w:eastAsia="Calibri" w:hAnsi="Calibri" w:cs="Calibri"/>
                <w:b/>
                <w:bCs/>
                <w:color w:val="FF0000"/>
              </w:rPr>
            </w:pPr>
            <w:r w:rsidRPr="00A461B6">
              <w:rPr>
                <w:rFonts w:ascii="Calibri" w:hAnsi="Calibri"/>
                <w:b/>
                <w:color w:val="C00000"/>
              </w:rPr>
              <w:t>-$0.30</w:t>
            </w:r>
          </w:p>
        </w:tc>
        <w:tc>
          <w:tcPr>
            <w:tcW w:w="2220" w:type="dxa"/>
            <w:hideMark/>
          </w:tcPr>
          <w:p w14:paraId="3E573EDF" w14:textId="2B5742D5" w:rsidR="00BA30AD" w:rsidRPr="00A461B6" w:rsidRDefault="009C07D5" w:rsidP="00BA30AD">
            <w:pPr>
              <w:autoSpaceDE w:val="0"/>
              <w:autoSpaceDN w:val="0"/>
              <w:adjustRightInd w:val="0"/>
              <w:rPr>
                <w:rFonts w:ascii="Calibri" w:eastAsia="Calibri" w:hAnsi="Calibri" w:cs="Calibri"/>
                <w:b/>
                <w:bCs/>
                <w:color w:val="002060"/>
              </w:rPr>
            </w:pPr>
            <w:r>
              <w:rPr>
                <w:rFonts w:ascii="Calibri" w:eastAsia="Calibri" w:hAnsi="Calibri" w:cs="Calibri"/>
                <w:b/>
                <w:bCs/>
                <w:color w:val="002060"/>
              </w:rPr>
              <w:t>T</w:t>
            </w:r>
            <w:r w:rsidR="00BA30AD" w:rsidRPr="00A461B6">
              <w:rPr>
                <w:rFonts w:ascii="Calibri" w:eastAsia="Calibri" w:hAnsi="Calibri" w:cs="Calibri"/>
                <w:b/>
                <w:bCs/>
                <w:color w:val="002060"/>
              </w:rPr>
              <w:t>he wholesale mark-up will reduce by $0.30 across the two months of supply</w:t>
            </w:r>
          </w:p>
        </w:tc>
      </w:tr>
      <w:tr w:rsidR="00BA30AD" w:rsidRPr="00A461B6" w14:paraId="29260930" w14:textId="77777777" w:rsidTr="007A35C8">
        <w:trPr>
          <w:trHeight w:val="1170"/>
        </w:trPr>
        <w:tc>
          <w:tcPr>
            <w:tcW w:w="8920" w:type="dxa"/>
            <w:hideMark/>
          </w:tcPr>
          <w:p w14:paraId="73156480"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AHI Fee</w:t>
            </w:r>
          </w:p>
        </w:tc>
        <w:tc>
          <w:tcPr>
            <w:tcW w:w="1920" w:type="dxa"/>
            <w:hideMark/>
          </w:tcPr>
          <w:p w14:paraId="16BD65DC"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$4.32</w:t>
            </w:r>
          </w:p>
        </w:tc>
        <w:tc>
          <w:tcPr>
            <w:tcW w:w="960" w:type="dxa"/>
            <w:hideMark/>
          </w:tcPr>
          <w:p w14:paraId="7AF95700"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$8.64</w:t>
            </w:r>
          </w:p>
        </w:tc>
        <w:tc>
          <w:tcPr>
            <w:tcW w:w="1340" w:type="dxa"/>
            <w:hideMark/>
          </w:tcPr>
          <w:p w14:paraId="4A8B900A"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$4.32</w:t>
            </w:r>
          </w:p>
        </w:tc>
        <w:tc>
          <w:tcPr>
            <w:tcW w:w="1280" w:type="dxa"/>
            <w:hideMark/>
          </w:tcPr>
          <w:p w14:paraId="67219EFB" w14:textId="77777777" w:rsidR="00BA30AD" w:rsidRPr="00A461B6" w:rsidRDefault="00BA30AD" w:rsidP="00BA30AD">
            <w:pPr>
              <w:autoSpaceDE w:val="0"/>
              <w:autoSpaceDN w:val="0"/>
              <w:adjustRightInd w:val="0"/>
              <w:rPr>
                <w:rFonts w:ascii="Calibri" w:eastAsia="Calibri" w:hAnsi="Calibri" w:cs="Calibri"/>
                <w:b/>
                <w:bCs/>
                <w:color w:val="FF0000"/>
              </w:rPr>
            </w:pPr>
            <w:r w:rsidRPr="00A461B6">
              <w:rPr>
                <w:rFonts w:ascii="Calibri" w:hAnsi="Calibri"/>
                <w:b/>
                <w:color w:val="C00000"/>
              </w:rPr>
              <w:t>-$4.32</w:t>
            </w:r>
          </w:p>
        </w:tc>
        <w:tc>
          <w:tcPr>
            <w:tcW w:w="2220" w:type="dxa"/>
            <w:hideMark/>
          </w:tcPr>
          <w:p w14:paraId="0FDCEABD" w14:textId="154C63FF" w:rsidR="00BA30AD" w:rsidRPr="00A461B6" w:rsidRDefault="009C07D5" w:rsidP="00BA30AD">
            <w:pPr>
              <w:autoSpaceDE w:val="0"/>
              <w:autoSpaceDN w:val="0"/>
              <w:adjustRightInd w:val="0"/>
              <w:rPr>
                <w:rFonts w:ascii="Calibri" w:eastAsia="Calibri" w:hAnsi="Calibri" w:cs="Calibri"/>
                <w:b/>
                <w:bCs/>
                <w:color w:val="002060"/>
              </w:rPr>
            </w:pPr>
            <w:r>
              <w:rPr>
                <w:rFonts w:ascii="Calibri" w:eastAsia="Calibri" w:hAnsi="Calibri" w:cs="Calibri"/>
                <w:b/>
                <w:bCs/>
                <w:color w:val="002060"/>
              </w:rPr>
              <w:t>O</w:t>
            </w:r>
            <w:r w:rsidR="00BA30AD" w:rsidRPr="00A461B6">
              <w:rPr>
                <w:rFonts w:ascii="Calibri" w:eastAsia="Calibri" w:hAnsi="Calibri" w:cs="Calibri"/>
                <w:b/>
                <w:bCs/>
                <w:color w:val="002060"/>
              </w:rPr>
              <w:t>ne fewer AHI Tier 1 fee ($4.32) will be paid across the two months of supply.</w:t>
            </w:r>
          </w:p>
        </w:tc>
      </w:tr>
      <w:tr w:rsidR="00BA30AD" w:rsidRPr="00A461B6" w14:paraId="26026379" w14:textId="77777777" w:rsidTr="007A35C8">
        <w:trPr>
          <w:trHeight w:val="1460"/>
        </w:trPr>
        <w:tc>
          <w:tcPr>
            <w:tcW w:w="8920" w:type="dxa"/>
            <w:hideMark/>
          </w:tcPr>
          <w:p w14:paraId="333B3694"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Dispensing Fee</w:t>
            </w:r>
          </w:p>
        </w:tc>
        <w:tc>
          <w:tcPr>
            <w:tcW w:w="1920" w:type="dxa"/>
            <w:hideMark/>
          </w:tcPr>
          <w:p w14:paraId="01A991D4"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$7.82</w:t>
            </w:r>
          </w:p>
        </w:tc>
        <w:tc>
          <w:tcPr>
            <w:tcW w:w="960" w:type="dxa"/>
            <w:hideMark/>
          </w:tcPr>
          <w:p w14:paraId="614C1F1F"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$15.64</w:t>
            </w:r>
          </w:p>
        </w:tc>
        <w:tc>
          <w:tcPr>
            <w:tcW w:w="1340" w:type="dxa"/>
            <w:hideMark/>
          </w:tcPr>
          <w:p w14:paraId="4052CF70"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$7.82</w:t>
            </w:r>
          </w:p>
        </w:tc>
        <w:tc>
          <w:tcPr>
            <w:tcW w:w="1280" w:type="dxa"/>
            <w:hideMark/>
          </w:tcPr>
          <w:p w14:paraId="43ECE590" w14:textId="77777777" w:rsidR="00BA30AD" w:rsidRPr="00A461B6" w:rsidRDefault="00BA30AD" w:rsidP="00BA30AD">
            <w:pPr>
              <w:autoSpaceDE w:val="0"/>
              <w:autoSpaceDN w:val="0"/>
              <w:adjustRightInd w:val="0"/>
              <w:rPr>
                <w:rFonts w:ascii="Calibri" w:eastAsia="Calibri" w:hAnsi="Calibri" w:cs="Calibri"/>
                <w:b/>
                <w:bCs/>
                <w:color w:val="FF0000"/>
              </w:rPr>
            </w:pPr>
            <w:r w:rsidRPr="00A461B6">
              <w:rPr>
                <w:rFonts w:ascii="Calibri" w:hAnsi="Calibri"/>
                <w:b/>
                <w:color w:val="C00000"/>
              </w:rPr>
              <w:t>-$7.82</w:t>
            </w:r>
          </w:p>
        </w:tc>
        <w:tc>
          <w:tcPr>
            <w:tcW w:w="2220" w:type="dxa"/>
            <w:hideMark/>
          </w:tcPr>
          <w:p w14:paraId="722F9209"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One fewer ready prepared dispensing fee ($7.82) is paid across the two months of supply.</w:t>
            </w:r>
          </w:p>
        </w:tc>
      </w:tr>
      <w:tr w:rsidR="00BA30AD" w:rsidRPr="00A461B6" w14:paraId="4D696D7C" w14:textId="77777777" w:rsidTr="007A35C8">
        <w:trPr>
          <w:trHeight w:val="1750"/>
        </w:trPr>
        <w:tc>
          <w:tcPr>
            <w:tcW w:w="8920" w:type="dxa"/>
            <w:hideMark/>
          </w:tcPr>
          <w:p w14:paraId="44AEEAB4"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Dispensed Price for Maximum Quantity</w:t>
            </w:r>
          </w:p>
        </w:tc>
        <w:tc>
          <w:tcPr>
            <w:tcW w:w="1920" w:type="dxa"/>
            <w:hideMark/>
          </w:tcPr>
          <w:p w14:paraId="056EDBC1"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$16.05</w:t>
            </w:r>
          </w:p>
        </w:tc>
        <w:tc>
          <w:tcPr>
            <w:tcW w:w="960" w:type="dxa"/>
            <w:hideMark/>
          </w:tcPr>
          <w:p w14:paraId="08F11EDC"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$32.10</w:t>
            </w:r>
          </w:p>
        </w:tc>
        <w:tc>
          <w:tcPr>
            <w:tcW w:w="1340" w:type="dxa"/>
            <w:hideMark/>
          </w:tcPr>
          <w:p w14:paraId="253983B0"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$19.66</w:t>
            </w:r>
          </w:p>
        </w:tc>
        <w:tc>
          <w:tcPr>
            <w:tcW w:w="1280" w:type="dxa"/>
            <w:hideMark/>
          </w:tcPr>
          <w:p w14:paraId="2A7DBF65" w14:textId="77777777" w:rsidR="00BA30AD" w:rsidRPr="00A461B6" w:rsidRDefault="00BA30AD" w:rsidP="00BA30AD">
            <w:pPr>
              <w:autoSpaceDE w:val="0"/>
              <w:autoSpaceDN w:val="0"/>
              <w:adjustRightInd w:val="0"/>
              <w:rPr>
                <w:rFonts w:ascii="Calibri" w:eastAsia="Calibri" w:hAnsi="Calibri" w:cs="Calibri"/>
                <w:b/>
                <w:bCs/>
                <w:color w:val="FF0000"/>
              </w:rPr>
            </w:pPr>
            <w:r w:rsidRPr="00A461B6">
              <w:rPr>
                <w:rFonts w:ascii="Calibri" w:hAnsi="Calibri"/>
                <w:b/>
                <w:color w:val="C00000"/>
              </w:rPr>
              <w:t>-$12.44</w:t>
            </w:r>
          </w:p>
        </w:tc>
        <w:tc>
          <w:tcPr>
            <w:tcW w:w="2220" w:type="dxa"/>
            <w:hideMark/>
          </w:tcPr>
          <w:p w14:paraId="352451F8" w14:textId="77777777" w:rsidR="00BA30AD" w:rsidRPr="00A461B6" w:rsidRDefault="00BA30AD" w:rsidP="00BA30AD">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The overall dispensed price for 1 script of 2-month supply is $12.44 less than for 2 scripts of 1-month supply.</w:t>
            </w:r>
          </w:p>
        </w:tc>
      </w:tr>
      <w:tr w:rsidR="00BA30AD" w:rsidRPr="00A461B6" w14:paraId="12A8A48F" w14:textId="77777777" w:rsidTr="00BA30AD">
        <w:trPr>
          <w:trHeight w:val="290"/>
        </w:trPr>
        <w:tc>
          <w:tcPr>
            <w:tcW w:w="16640" w:type="dxa"/>
            <w:gridSpan w:val="6"/>
            <w:hideMark/>
          </w:tcPr>
          <w:p w14:paraId="609A1872" w14:textId="77777777" w:rsidR="00BA30AD" w:rsidRPr="00A461B6" w:rsidRDefault="00BA30AD" w:rsidP="00BA30AD">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Note: AHI = Administration, Handling and Infrastructure Fee</w:t>
            </w:r>
          </w:p>
        </w:tc>
      </w:tr>
      <w:bookmarkEnd w:id="75"/>
    </w:tbl>
    <w:p w14:paraId="6ABDBEF0" w14:textId="77777777" w:rsidR="00BA30AD" w:rsidRPr="00A461B6" w:rsidRDefault="00BA30AD" w:rsidP="00BA30AD">
      <w:pPr>
        <w:autoSpaceDE w:val="0"/>
        <w:autoSpaceDN w:val="0"/>
        <w:adjustRightInd w:val="0"/>
        <w:spacing w:after="0" w:line="240" w:lineRule="auto"/>
        <w:rPr>
          <w:rFonts w:ascii="Calibri" w:eastAsia="Calibri" w:hAnsi="Calibri" w:cs="Calibri"/>
          <w:b/>
          <w:bCs/>
          <w:color w:val="auto"/>
          <w:sz w:val="24"/>
          <w:szCs w:val="24"/>
        </w:rPr>
      </w:pPr>
    </w:p>
    <w:p w14:paraId="6164411F" w14:textId="2BA84E31" w:rsidR="0093609B" w:rsidRPr="00A461B6" w:rsidRDefault="0093609B" w:rsidP="0093609B">
      <w:pPr>
        <w:rPr>
          <w:color w:val="002060"/>
          <w:sz w:val="24"/>
          <w:szCs w:val="24"/>
        </w:rPr>
      </w:pPr>
      <w:r w:rsidRPr="00A461B6">
        <w:rPr>
          <w:b/>
          <w:bCs/>
          <w:color w:val="002060"/>
          <w:sz w:val="24"/>
          <w:szCs w:val="24"/>
        </w:rPr>
        <w:t>Explanation:</w:t>
      </w:r>
      <w:r w:rsidRPr="00A461B6">
        <w:rPr>
          <w:color w:val="002060"/>
          <w:sz w:val="24"/>
          <w:szCs w:val="24"/>
        </w:rPr>
        <w:t xml:space="preserve"> $12.44 is the saving to the PBS as a whole for 2 x one month’s supply of the medicine becoming 1 x two months' supply of the medicine.</w:t>
      </w:r>
    </w:p>
    <w:p w14:paraId="5E23302E" w14:textId="77777777" w:rsidR="0093609B" w:rsidRPr="00A461B6" w:rsidRDefault="0093609B" w:rsidP="0093609B">
      <w:pPr>
        <w:rPr>
          <w:color w:val="002060"/>
          <w:sz w:val="24"/>
          <w:szCs w:val="24"/>
        </w:rPr>
      </w:pPr>
      <w:r w:rsidRPr="00A461B6">
        <w:rPr>
          <w:color w:val="002060"/>
          <w:sz w:val="24"/>
          <w:szCs w:val="24"/>
        </w:rPr>
        <w:t>How the $12.44 saving is distributed between patients and the government depends on whether the patient holds a concession card or safety net card.</w:t>
      </w:r>
    </w:p>
    <w:p w14:paraId="7D82DC82" w14:textId="77777777" w:rsidR="00C67230" w:rsidRDefault="00C67230">
      <w:pPr>
        <w:rPr>
          <w:rFonts w:asciiTheme="majorHAnsi" w:hAnsiTheme="majorHAnsi"/>
          <w:color w:val="014463" w:themeColor="text2"/>
          <w:sz w:val="28"/>
          <w:szCs w:val="24"/>
          <w:lang w:eastAsia="en-AU"/>
        </w:rPr>
      </w:pPr>
      <w:r>
        <w:rPr>
          <w:lang w:eastAsia="en-AU"/>
        </w:rPr>
        <w:br w:type="page"/>
      </w:r>
    </w:p>
    <w:p w14:paraId="340DECB6" w14:textId="3CAABF8A" w:rsidR="008E3ABA" w:rsidRPr="00A461B6" w:rsidRDefault="007A35C8" w:rsidP="00522795">
      <w:pPr>
        <w:pStyle w:val="Heading4"/>
      </w:pPr>
      <w:r w:rsidRPr="00A461B6">
        <w:rPr>
          <w:lang w:eastAsia="en-AU"/>
        </w:rPr>
        <w:t xml:space="preserve">Table 4.4 Secondary impact </w:t>
      </w:r>
      <w:r w:rsidRPr="00A461B6">
        <w:t>- Flow-on to dispensed price of the existing PBS item code providing one month’s supply</w:t>
      </w:r>
    </w:p>
    <w:tbl>
      <w:tblPr>
        <w:tblStyle w:val="TableGrid1"/>
        <w:tblW w:w="10067" w:type="dxa"/>
        <w:tblLayout w:type="fixed"/>
        <w:tblLook w:val="04A0" w:firstRow="1" w:lastRow="0" w:firstColumn="1" w:lastColumn="0" w:noHBand="0" w:noVBand="1"/>
        <w:tblCaption w:val="Table 4.4 Secondary impact - Flow-on to dispensed price of the existing PBS item code providing one month’s supply"/>
      </w:tblPr>
      <w:tblGrid>
        <w:gridCol w:w="3318"/>
        <w:gridCol w:w="2374"/>
        <w:gridCol w:w="2057"/>
        <w:gridCol w:w="2318"/>
      </w:tblGrid>
      <w:tr w:rsidR="0093609B" w:rsidRPr="00A461B6" w14:paraId="19E2729C" w14:textId="77777777" w:rsidTr="00C67480">
        <w:trPr>
          <w:trHeight w:val="562"/>
          <w:tblHeader/>
        </w:trPr>
        <w:tc>
          <w:tcPr>
            <w:tcW w:w="10067" w:type="dxa"/>
            <w:gridSpan w:val="4"/>
            <w:hideMark/>
          </w:tcPr>
          <w:p w14:paraId="25932AEC" w14:textId="77777777" w:rsidR="0093609B" w:rsidRPr="00A461B6" w:rsidRDefault="0093609B" w:rsidP="00DA60A4">
            <w:pPr>
              <w:autoSpaceDE w:val="0"/>
              <w:autoSpaceDN w:val="0"/>
              <w:adjustRightInd w:val="0"/>
              <w:rPr>
                <w:rFonts w:ascii="Calibri" w:eastAsia="Calibri" w:hAnsi="Calibri" w:cs="Calibri"/>
                <w:b/>
                <w:bCs/>
                <w:color w:val="002060"/>
              </w:rPr>
            </w:pPr>
            <w:bookmarkStart w:id="76" w:name="_Hlk133587186"/>
            <w:r w:rsidRPr="00A461B6">
              <w:rPr>
                <w:rFonts w:ascii="Calibri" w:eastAsia="Calibri" w:hAnsi="Calibri" w:cs="Calibri"/>
                <w:b/>
                <w:bCs/>
                <w:color w:val="002060"/>
              </w:rPr>
              <w:t>Secondary impact – Flow-on to dispensed price of the existing PBS item code providing one month’s supply.</w:t>
            </w:r>
          </w:p>
        </w:tc>
      </w:tr>
      <w:tr w:rsidR="0093609B" w:rsidRPr="00A461B6" w14:paraId="4D1227CC" w14:textId="77777777" w:rsidTr="00DA60A4">
        <w:trPr>
          <w:trHeight w:val="571"/>
        </w:trPr>
        <w:tc>
          <w:tcPr>
            <w:tcW w:w="3318" w:type="dxa"/>
            <w:vMerge w:val="restart"/>
            <w:hideMark/>
          </w:tcPr>
          <w:p w14:paraId="1F537A1B" w14:textId="77777777" w:rsidR="0093609B" w:rsidRPr="00A461B6" w:rsidRDefault="0093609B" w:rsidP="00DA60A4">
            <w:pPr>
              <w:autoSpaceDE w:val="0"/>
              <w:autoSpaceDN w:val="0"/>
              <w:adjustRightInd w:val="0"/>
              <w:rPr>
                <w:rFonts w:ascii="Calibri" w:eastAsia="Calibri" w:hAnsi="Calibri" w:cs="Calibri"/>
                <w:b/>
                <w:bCs/>
                <w:i/>
                <w:iCs/>
                <w:color w:val="002060"/>
              </w:rPr>
            </w:pPr>
          </w:p>
        </w:tc>
        <w:tc>
          <w:tcPr>
            <w:tcW w:w="2374" w:type="dxa"/>
            <w:hideMark/>
          </w:tcPr>
          <w:p w14:paraId="60801075" w14:textId="77777777" w:rsidR="0093609B" w:rsidRPr="00A461B6" w:rsidRDefault="0093609B" w:rsidP="00DA60A4">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Current arrangements</w:t>
            </w:r>
          </w:p>
        </w:tc>
        <w:tc>
          <w:tcPr>
            <w:tcW w:w="2057" w:type="dxa"/>
            <w:hideMark/>
          </w:tcPr>
          <w:p w14:paraId="2C04509E" w14:textId="77777777" w:rsidR="0093609B" w:rsidRPr="00A461B6" w:rsidRDefault="0093609B" w:rsidP="00DA60A4">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 xml:space="preserve"> Proposed arrangements </w:t>
            </w:r>
          </w:p>
        </w:tc>
        <w:tc>
          <w:tcPr>
            <w:tcW w:w="2318" w:type="dxa"/>
            <w:vMerge w:val="restart"/>
            <w:hideMark/>
          </w:tcPr>
          <w:p w14:paraId="3C957765" w14:textId="77777777" w:rsidR="0093609B" w:rsidRPr="00A461B6" w:rsidRDefault="0093609B" w:rsidP="00DA60A4">
            <w:pPr>
              <w:autoSpaceDE w:val="0"/>
              <w:autoSpaceDN w:val="0"/>
              <w:adjustRightInd w:val="0"/>
              <w:spacing w:after="120" w:line="264" w:lineRule="auto"/>
              <w:rPr>
                <w:rFonts w:ascii="Calibri" w:eastAsia="Calibri" w:hAnsi="Calibri" w:cs="Calibri"/>
                <w:b/>
                <w:bCs/>
                <w:color w:val="002060"/>
              </w:rPr>
            </w:pPr>
            <w:r w:rsidRPr="00A461B6">
              <w:rPr>
                <w:rFonts w:ascii="Calibri" w:eastAsia="Calibri" w:hAnsi="Calibri" w:cs="Calibri"/>
                <w:b/>
                <w:bCs/>
                <w:color w:val="002060"/>
              </w:rPr>
              <w:t>Financial Impact on existing one month’s supply item</w:t>
            </w:r>
          </w:p>
        </w:tc>
      </w:tr>
      <w:tr w:rsidR="0093609B" w:rsidRPr="00A461B6" w14:paraId="7A941B4C" w14:textId="77777777" w:rsidTr="00DA60A4">
        <w:trPr>
          <w:trHeight w:val="447"/>
        </w:trPr>
        <w:tc>
          <w:tcPr>
            <w:tcW w:w="3318" w:type="dxa"/>
            <w:vMerge/>
            <w:hideMark/>
          </w:tcPr>
          <w:p w14:paraId="4C8D893C" w14:textId="77777777" w:rsidR="0093609B" w:rsidRPr="00A461B6" w:rsidRDefault="0093609B" w:rsidP="00DA60A4">
            <w:pPr>
              <w:autoSpaceDE w:val="0"/>
              <w:autoSpaceDN w:val="0"/>
              <w:adjustRightInd w:val="0"/>
              <w:rPr>
                <w:rFonts w:ascii="Calibri" w:eastAsia="Calibri" w:hAnsi="Calibri" w:cs="Calibri"/>
                <w:b/>
                <w:bCs/>
                <w:i/>
                <w:iCs/>
                <w:color w:val="002060"/>
              </w:rPr>
            </w:pPr>
          </w:p>
        </w:tc>
        <w:tc>
          <w:tcPr>
            <w:tcW w:w="2374" w:type="dxa"/>
            <w:hideMark/>
          </w:tcPr>
          <w:p w14:paraId="6CD6B19D" w14:textId="77777777" w:rsidR="0093609B" w:rsidRPr="00A461B6" w:rsidRDefault="0093609B" w:rsidP="00DA60A4">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1 month’s supply</w:t>
            </w:r>
          </w:p>
        </w:tc>
        <w:tc>
          <w:tcPr>
            <w:tcW w:w="2057" w:type="dxa"/>
            <w:hideMark/>
          </w:tcPr>
          <w:p w14:paraId="0368C6AE" w14:textId="77777777" w:rsidR="0093609B" w:rsidRPr="00A461B6" w:rsidRDefault="0093609B" w:rsidP="00DA60A4">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1 month’s supply</w:t>
            </w:r>
          </w:p>
        </w:tc>
        <w:tc>
          <w:tcPr>
            <w:tcW w:w="2318" w:type="dxa"/>
            <w:vMerge/>
            <w:hideMark/>
          </w:tcPr>
          <w:p w14:paraId="659AB163" w14:textId="77777777" w:rsidR="0093609B" w:rsidRPr="00A461B6" w:rsidRDefault="0093609B" w:rsidP="00DA60A4">
            <w:pPr>
              <w:autoSpaceDE w:val="0"/>
              <w:autoSpaceDN w:val="0"/>
              <w:adjustRightInd w:val="0"/>
              <w:rPr>
                <w:rFonts w:ascii="Calibri" w:eastAsia="Calibri" w:hAnsi="Calibri" w:cs="Calibri"/>
                <w:b/>
                <w:bCs/>
                <w:color w:val="002060"/>
              </w:rPr>
            </w:pPr>
          </w:p>
        </w:tc>
      </w:tr>
      <w:tr w:rsidR="0093609B" w:rsidRPr="00A461B6" w14:paraId="45E8F6D7" w14:textId="77777777" w:rsidTr="00DA60A4">
        <w:trPr>
          <w:trHeight w:val="447"/>
        </w:trPr>
        <w:tc>
          <w:tcPr>
            <w:tcW w:w="3318" w:type="dxa"/>
            <w:hideMark/>
          </w:tcPr>
          <w:p w14:paraId="1EE827E0"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 xml:space="preserve"> Ex-manufacturer price</w:t>
            </w:r>
          </w:p>
        </w:tc>
        <w:tc>
          <w:tcPr>
            <w:tcW w:w="2374" w:type="dxa"/>
            <w:hideMark/>
          </w:tcPr>
          <w:p w14:paraId="4B4E7A31"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$3.50</w:t>
            </w:r>
          </w:p>
        </w:tc>
        <w:tc>
          <w:tcPr>
            <w:tcW w:w="2057" w:type="dxa"/>
            <w:hideMark/>
          </w:tcPr>
          <w:p w14:paraId="1CB27E06"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$3.50</w:t>
            </w:r>
          </w:p>
        </w:tc>
        <w:tc>
          <w:tcPr>
            <w:tcW w:w="2318" w:type="dxa"/>
            <w:hideMark/>
          </w:tcPr>
          <w:p w14:paraId="069965F4" w14:textId="77777777" w:rsidR="0093609B" w:rsidRPr="00A461B6" w:rsidRDefault="0093609B" w:rsidP="00DA60A4">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$0.00</w:t>
            </w:r>
          </w:p>
        </w:tc>
      </w:tr>
      <w:tr w:rsidR="0093609B" w:rsidRPr="00A461B6" w14:paraId="639CECC6" w14:textId="77777777" w:rsidTr="00DA60A4">
        <w:trPr>
          <w:trHeight w:val="447"/>
        </w:trPr>
        <w:tc>
          <w:tcPr>
            <w:tcW w:w="3318" w:type="dxa"/>
            <w:hideMark/>
          </w:tcPr>
          <w:p w14:paraId="15526E99"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Wholesale mark-up</w:t>
            </w:r>
          </w:p>
        </w:tc>
        <w:tc>
          <w:tcPr>
            <w:tcW w:w="2374" w:type="dxa"/>
            <w:hideMark/>
          </w:tcPr>
          <w:p w14:paraId="1669AAEB"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$0.41</w:t>
            </w:r>
          </w:p>
        </w:tc>
        <w:tc>
          <w:tcPr>
            <w:tcW w:w="2057" w:type="dxa"/>
            <w:hideMark/>
          </w:tcPr>
          <w:p w14:paraId="6ECEA9D9"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$0.26</w:t>
            </w:r>
          </w:p>
        </w:tc>
        <w:tc>
          <w:tcPr>
            <w:tcW w:w="2318" w:type="dxa"/>
            <w:hideMark/>
          </w:tcPr>
          <w:p w14:paraId="0956D7AE" w14:textId="77777777" w:rsidR="0093609B" w:rsidRPr="00A461B6" w:rsidRDefault="0093609B" w:rsidP="00DA60A4">
            <w:pPr>
              <w:autoSpaceDE w:val="0"/>
              <w:autoSpaceDN w:val="0"/>
              <w:adjustRightInd w:val="0"/>
              <w:rPr>
                <w:rFonts w:ascii="Calibri" w:eastAsia="Calibri" w:hAnsi="Calibri" w:cs="Calibri"/>
                <w:b/>
                <w:bCs/>
                <w:color w:val="FF0000"/>
              </w:rPr>
            </w:pPr>
            <w:r w:rsidRPr="00A461B6">
              <w:rPr>
                <w:rFonts w:ascii="Calibri" w:eastAsia="Calibri" w:hAnsi="Calibri" w:cs="Calibri"/>
                <w:b/>
                <w:bCs/>
                <w:color w:val="C00000"/>
              </w:rPr>
              <w:t>-$0.15</w:t>
            </w:r>
          </w:p>
        </w:tc>
      </w:tr>
      <w:tr w:rsidR="0093609B" w:rsidRPr="00A461B6" w14:paraId="3C14D319" w14:textId="77777777" w:rsidTr="00DA60A4">
        <w:trPr>
          <w:trHeight w:val="447"/>
        </w:trPr>
        <w:tc>
          <w:tcPr>
            <w:tcW w:w="3318" w:type="dxa"/>
            <w:hideMark/>
          </w:tcPr>
          <w:p w14:paraId="16345B79"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AHI Fee</w:t>
            </w:r>
          </w:p>
        </w:tc>
        <w:tc>
          <w:tcPr>
            <w:tcW w:w="2374" w:type="dxa"/>
            <w:hideMark/>
          </w:tcPr>
          <w:p w14:paraId="71A5E7E0"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$4.32</w:t>
            </w:r>
          </w:p>
        </w:tc>
        <w:tc>
          <w:tcPr>
            <w:tcW w:w="2057" w:type="dxa"/>
            <w:hideMark/>
          </w:tcPr>
          <w:p w14:paraId="04BD820D"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$4.32</w:t>
            </w:r>
          </w:p>
        </w:tc>
        <w:tc>
          <w:tcPr>
            <w:tcW w:w="2318" w:type="dxa"/>
            <w:hideMark/>
          </w:tcPr>
          <w:p w14:paraId="7532E1FE" w14:textId="77777777" w:rsidR="0093609B" w:rsidRPr="00A461B6" w:rsidRDefault="0093609B" w:rsidP="00DA60A4">
            <w:pPr>
              <w:autoSpaceDE w:val="0"/>
              <w:autoSpaceDN w:val="0"/>
              <w:adjustRightInd w:val="0"/>
              <w:rPr>
                <w:rFonts w:ascii="Calibri" w:eastAsia="Calibri" w:hAnsi="Calibri" w:cs="Calibri"/>
                <w:b/>
                <w:bCs/>
                <w:color w:val="FF0000"/>
              </w:rPr>
            </w:pPr>
            <w:r w:rsidRPr="00A461B6">
              <w:rPr>
                <w:rFonts w:ascii="Calibri" w:eastAsia="Calibri" w:hAnsi="Calibri" w:cs="Calibri"/>
                <w:b/>
                <w:bCs/>
                <w:color w:val="002060"/>
              </w:rPr>
              <w:t>$0.00</w:t>
            </w:r>
          </w:p>
        </w:tc>
      </w:tr>
      <w:tr w:rsidR="0093609B" w:rsidRPr="00A461B6" w14:paraId="29A70FAC" w14:textId="77777777" w:rsidTr="00DA60A4">
        <w:trPr>
          <w:trHeight w:val="447"/>
        </w:trPr>
        <w:tc>
          <w:tcPr>
            <w:tcW w:w="3318" w:type="dxa"/>
            <w:hideMark/>
          </w:tcPr>
          <w:p w14:paraId="05F32972"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Dispensing Fee</w:t>
            </w:r>
          </w:p>
        </w:tc>
        <w:tc>
          <w:tcPr>
            <w:tcW w:w="2374" w:type="dxa"/>
            <w:hideMark/>
          </w:tcPr>
          <w:p w14:paraId="5C89B934"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$7.82</w:t>
            </w:r>
          </w:p>
        </w:tc>
        <w:tc>
          <w:tcPr>
            <w:tcW w:w="2057" w:type="dxa"/>
            <w:hideMark/>
          </w:tcPr>
          <w:p w14:paraId="2A92E1F9" w14:textId="77777777" w:rsidR="0093609B" w:rsidRPr="00A461B6" w:rsidRDefault="0093609B" w:rsidP="00DA60A4">
            <w:pPr>
              <w:autoSpaceDE w:val="0"/>
              <w:autoSpaceDN w:val="0"/>
              <w:adjustRightInd w:val="0"/>
              <w:rPr>
                <w:rFonts w:ascii="Calibri" w:eastAsia="Calibri" w:hAnsi="Calibri" w:cs="Calibri"/>
                <w:b/>
                <w:bCs/>
                <w:i/>
                <w:iCs/>
                <w:color w:val="002060"/>
              </w:rPr>
            </w:pPr>
            <w:r w:rsidRPr="00A461B6">
              <w:rPr>
                <w:rFonts w:ascii="Calibri" w:eastAsia="Calibri" w:hAnsi="Calibri" w:cs="Calibri"/>
                <w:b/>
                <w:bCs/>
                <w:i/>
                <w:iCs/>
                <w:color w:val="002060"/>
              </w:rPr>
              <w:t>$7.82</w:t>
            </w:r>
          </w:p>
        </w:tc>
        <w:tc>
          <w:tcPr>
            <w:tcW w:w="2318" w:type="dxa"/>
            <w:hideMark/>
          </w:tcPr>
          <w:p w14:paraId="5FF3DE61" w14:textId="77777777" w:rsidR="0093609B" w:rsidRPr="00A461B6" w:rsidRDefault="0093609B" w:rsidP="00DA60A4">
            <w:pPr>
              <w:autoSpaceDE w:val="0"/>
              <w:autoSpaceDN w:val="0"/>
              <w:adjustRightInd w:val="0"/>
              <w:rPr>
                <w:rFonts w:ascii="Calibri" w:eastAsia="Calibri" w:hAnsi="Calibri" w:cs="Calibri"/>
                <w:b/>
                <w:bCs/>
                <w:color w:val="FF0000"/>
              </w:rPr>
            </w:pPr>
            <w:r w:rsidRPr="00A461B6">
              <w:rPr>
                <w:rFonts w:ascii="Calibri" w:eastAsia="Calibri" w:hAnsi="Calibri" w:cs="Calibri"/>
                <w:b/>
                <w:bCs/>
                <w:color w:val="002060"/>
              </w:rPr>
              <w:t>$0.00</w:t>
            </w:r>
          </w:p>
        </w:tc>
      </w:tr>
      <w:tr w:rsidR="0093609B" w:rsidRPr="00A461B6" w14:paraId="3A690C4A" w14:textId="77777777" w:rsidTr="00DA60A4">
        <w:trPr>
          <w:trHeight w:val="447"/>
        </w:trPr>
        <w:tc>
          <w:tcPr>
            <w:tcW w:w="3318" w:type="dxa"/>
            <w:hideMark/>
          </w:tcPr>
          <w:p w14:paraId="09110A8F" w14:textId="77777777" w:rsidR="0093609B" w:rsidRPr="00A461B6" w:rsidRDefault="0093609B" w:rsidP="00DA60A4">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Dispensed Price for Maximum Quantity</w:t>
            </w:r>
          </w:p>
        </w:tc>
        <w:tc>
          <w:tcPr>
            <w:tcW w:w="2374" w:type="dxa"/>
            <w:hideMark/>
          </w:tcPr>
          <w:p w14:paraId="6DCED7F4" w14:textId="77777777" w:rsidR="0093609B" w:rsidRPr="00A461B6" w:rsidRDefault="0093609B" w:rsidP="00DA60A4">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$16.05</w:t>
            </w:r>
          </w:p>
        </w:tc>
        <w:tc>
          <w:tcPr>
            <w:tcW w:w="2057" w:type="dxa"/>
            <w:hideMark/>
          </w:tcPr>
          <w:p w14:paraId="333F9AD6" w14:textId="77777777" w:rsidR="0093609B" w:rsidRPr="00A461B6" w:rsidRDefault="0093609B" w:rsidP="00DA60A4">
            <w:pPr>
              <w:autoSpaceDE w:val="0"/>
              <w:autoSpaceDN w:val="0"/>
              <w:adjustRightInd w:val="0"/>
              <w:rPr>
                <w:rFonts w:ascii="Calibri" w:eastAsia="Calibri" w:hAnsi="Calibri" w:cs="Calibri"/>
                <w:b/>
                <w:bCs/>
                <w:color w:val="002060"/>
              </w:rPr>
            </w:pPr>
            <w:r w:rsidRPr="00A461B6">
              <w:rPr>
                <w:rFonts w:ascii="Calibri" w:eastAsia="Calibri" w:hAnsi="Calibri" w:cs="Calibri"/>
                <w:b/>
                <w:bCs/>
                <w:color w:val="002060"/>
              </w:rPr>
              <w:t>$15.90</w:t>
            </w:r>
          </w:p>
        </w:tc>
        <w:tc>
          <w:tcPr>
            <w:tcW w:w="2318" w:type="dxa"/>
            <w:hideMark/>
          </w:tcPr>
          <w:p w14:paraId="2A23CC80" w14:textId="77777777" w:rsidR="0093609B" w:rsidRPr="00A461B6" w:rsidRDefault="0093609B" w:rsidP="00DA60A4">
            <w:pPr>
              <w:autoSpaceDE w:val="0"/>
              <w:autoSpaceDN w:val="0"/>
              <w:adjustRightInd w:val="0"/>
              <w:rPr>
                <w:rFonts w:ascii="Calibri" w:eastAsia="Calibri" w:hAnsi="Calibri" w:cs="Calibri"/>
                <w:b/>
                <w:bCs/>
                <w:color w:val="FF0000"/>
              </w:rPr>
            </w:pPr>
            <w:r w:rsidRPr="00A461B6">
              <w:rPr>
                <w:rFonts w:ascii="Calibri" w:eastAsia="Calibri" w:hAnsi="Calibri" w:cs="Calibri"/>
                <w:b/>
                <w:bCs/>
                <w:color w:val="C00000"/>
              </w:rPr>
              <w:t>-$0.15</w:t>
            </w:r>
          </w:p>
        </w:tc>
      </w:tr>
      <w:tr w:rsidR="008E3ABA" w:rsidRPr="00A461B6" w14:paraId="73E482BD" w14:textId="77777777" w:rsidTr="00522795">
        <w:trPr>
          <w:trHeight w:val="447"/>
        </w:trPr>
        <w:tc>
          <w:tcPr>
            <w:tcW w:w="10067" w:type="dxa"/>
            <w:gridSpan w:val="4"/>
            <w:hideMark/>
          </w:tcPr>
          <w:p w14:paraId="5FF0852B" w14:textId="03878187" w:rsidR="00F07E9C" w:rsidRPr="00A461B6" w:rsidRDefault="00F07E9C" w:rsidP="00F07E9C">
            <w:pPr>
              <w:rPr>
                <w:rFonts w:ascii="Calibri" w:eastAsia="Calibri" w:hAnsi="Calibri" w:cs="Calibri"/>
                <w:b/>
                <w:bCs/>
                <w:i/>
                <w:iCs/>
                <w:color w:val="002060"/>
              </w:rPr>
            </w:pPr>
            <w:r w:rsidRPr="00A461B6">
              <w:rPr>
                <w:rFonts w:ascii="Calibri" w:eastAsia="Calibri" w:hAnsi="Calibri" w:cs="Calibri"/>
                <w:b/>
                <w:bCs/>
                <w:i/>
                <w:iCs/>
                <w:color w:val="002060"/>
              </w:rPr>
              <w:t>Notes and Caveats:</w:t>
            </w:r>
          </w:p>
          <w:p w14:paraId="29319BA3" w14:textId="77777777" w:rsidR="00F07E9C" w:rsidRPr="00A461B6" w:rsidRDefault="00F07E9C" w:rsidP="00F07E9C">
            <w:pPr>
              <w:rPr>
                <w:rFonts w:ascii="Calibri" w:eastAsia="Calibri" w:hAnsi="Calibri" w:cs="Calibri"/>
                <w:b/>
                <w:bCs/>
                <w:i/>
                <w:iCs/>
                <w:color w:val="002060"/>
              </w:rPr>
            </w:pPr>
            <w:r w:rsidRPr="00A461B6">
              <w:rPr>
                <w:rFonts w:ascii="Calibri" w:eastAsia="Calibri" w:hAnsi="Calibri" w:cs="Calibri"/>
                <w:b/>
                <w:bCs/>
                <w:i/>
                <w:iCs/>
                <w:color w:val="002060"/>
              </w:rPr>
              <w:t>Ex-manufacturer prices as at 1 April 2023.</w:t>
            </w:r>
          </w:p>
          <w:p w14:paraId="6F2C8DF6" w14:textId="77777777" w:rsidR="00F07E9C" w:rsidRPr="00A461B6" w:rsidRDefault="00F07E9C" w:rsidP="00F07E9C">
            <w:pPr>
              <w:rPr>
                <w:rFonts w:ascii="Calibri" w:eastAsia="Calibri" w:hAnsi="Calibri" w:cs="Calibri"/>
                <w:b/>
                <w:bCs/>
                <w:i/>
                <w:iCs/>
                <w:color w:val="002060"/>
              </w:rPr>
            </w:pPr>
            <w:r w:rsidRPr="00A461B6">
              <w:rPr>
                <w:rFonts w:ascii="Calibri" w:eastAsia="Calibri" w:hAnsi="Calibri" w:cs="Calibri"/>
                <w:b/>
                <w:bCs/>
                <w:i/>
                <w:iCs/>
                <w:color w:val="002060"/>
              </w:rPr>
              <w:t>Fees and mark-ups are for the 2022-23 financial year (noting that fees will change on 1 July 2023 prior to the policy starting).</w:t>
            </w:r>
          </w:p>
          <w:p w14:paraId="1B4EF6BA" w14:textId="77777777" w:rsidR="00F07E9C" w:rsidRPr="00A461B6" w:rsidRDefault="00F07E9C" w:rsidP="00F07E9C">
            <w:pPr>
              <w:rPr>
                <w:rFonts w:ascii="Calibri" w:eastAsia="Calibri" w:hAnsi="Calibri" w:cs="Calibri"/>
                <w:b/>
                <w:bCs/>
                <w:i/>
                <w:iCs/>
                <w:color w:val="002060"/>
              </w:rPr>
            </w:pPr>
            <w:r w:rsidRPr="00A461B6">
              <w:rPr>
                <w:rFonts w:ascii="Calibri" w:eastAsia="Calibri" w:hAnsi="Calibri" w:cs="Calibri"/>
                <w:b/>
                <w:bCs/>
                <w:i/>
                <w:iCs/>
                <w:color w:val="002060"/>
              </w:rPr>
              <w:t>The example is based on a single dispense of the maximum quantity.</w:t>
            </w:r>
          </w:p>
          <w:p w14:paraId="3F5C07D3" w14:textId="77777777" w:rsidR="00F07E9C" w:rsidRPr="00A461B6" w:rsidRDefault="00F07E9C" w:rsidP="00F07E9C">
            <w:pPr>
              <w:rPr>
                <w:rFonts w:ascii="Calibri" w:eastAsia="Calibri" w:hAnsi="Calibri" w:cs="Calibri"/>
                <w:b/>
                <w:bCs/>
                <w:i/>
                <w:iCs/>
                <w:color w:val="002060"/>
              </w:rPr>
            </w:pPr>
            <w:r w:rsidRPr="00A461B6">
              <w:rPr>
                <w:rFonts w:ascii="Calibri" w:eastAsia="Calibri" w:hAnsi="Calibri" w:cs="Calibri"/>
                <w:b/>
                <w:bCs/>
                <w:i/>
                <w:iCs/>
                <w:color w:val="002060"/>
              </w:rPr>
              <w:t>The example is for a specific medicine. The impact of this policy varies depending on the price of the medicine.</w:t>
            </w:r>
          </w:p>
          <w:p w14:paraId="207998B8" w14:textId="5AB8F74B" w:rsidR="00E77532" w:rsidRPr="00A461B6" w:rsidRDefault="00F07E9C" w:rsidP="00F07E9C">
            <w:pPr>
              <w:rPr>
                <w:color w:val="auto"/>
              </w:rPr>
            </w:pPr>
            <w:r w:rsidRPr="00A461B6">
              <w:rPr>
                <w:rFonts w:ascii="Calibri" w:eastAsia="Calibri" w:hAnsi="Calibri" w:cs="Calibri"/>
                <w:b/>
                <w:bCs/>
                <w:i/>
                <w:iCs/>
                <w:color w:val="002060"/>
              </w:rPr>
              <w:t>This example accounts for components of the Commonwealth Price only, and does not account for discounting by pharmacy, additional allowable charges by pharmacy or brand premium payments.</w:t>
            </w:r>
          </w:p>
        </w:tc>
      </w:tr>
      <w:bookmarkEnd w:id="76"/>
    </w:tbl>
    <w:p w14:paraId="4B9EC909" w14:textId="77777777" w:rsidR="0093609B" w:rsidRPr="00A461B6" w:rsidRDefault="0093609B" w:rsidP="00F859F9">
      <w:pPr>
        <w:rPr>
          <w:b/>
          <w:bCs/>
          <w:color w:val="auto"/>
          <w:sz w:val="24"/>
          <w:szCs w:val="24"/>
          <w:u w:val="single"/>
          <w:lang w:eastAsia="en-AU"/>
        </w:rPr>
      </w:pPr>
    </w:p>
    <w:p w14:paraId="08D8B7F0" w14:textId="7CF412BC" w:rsidR="00115C5E" w:rsidRPr="00A461B6" w:rsidRDefault="00115C5E" w:rsidP="00115C5E">
      <w:pPr>
        <w:pStyle w:val="Subtitle"/>
        <w:rPr>
          <w:i w:val="0"/>
        </w:rPr>
      </w:pPr>
      <w:r w:rsidRPr="00A461B6">
        <w:rPr>
          <w:i w:val="0"/>
        </w:rPr>
        <w:t xml:space="preserve">Medicine </w:t>
      </w:r>
      <w:r w:rsidR="00032C71" w:rsidRPr="00A461B6">
        <w:rPr>
          <w:i w:val="0"/>
        </w:rPr>
        <w:t>s</w:t>
      </w:r>
      <w:r w:rsidRPr="00A461B6">
        <w:rPr>
          <w:i w:val="0"/>
        </w:rPr>
        <w:t>ponsors</w:t>
      </w:r>
    </w:p>
    <w:p w14:paraId="4A008CB4" w14:textId="773B019D" w:rsidR="00115C5E" w:rsidRPr="00A461B6" w:rsidRDefault="00115C5E" w:rsidP="00032C71">
      <w:pPr>
        <w:spacing w:before="240"/>
        <w:rPr>
          <w:color w:val="auto"/>
          <w:sz w:val="24"/>
        </w:rPr>
      </w:pPr>
      <w:r w:rsidRPr="00A461B6">
        <w:rPr>
          <w:color w:val="auto"/>
          <w:sz w:val="24"/>
        </w:rPr>
        <w:t xml:space="preserve">Initially, medicine sponsors may be required to increase Australian onshore stock levels </w:t>
      </w:r>
      <w:r w:rsidR="000A1249" w:rsidRPr="00A461B6">
        <w:rPr>
          <w:color w:val="auto"/>
          <w:sz w:val="24"/>
        </w:rPr>
        <w:t>due to a short</w:t>
      </w:r>
      <w:r w:rsidR="000A1249" w:rsidRPr="00A461B6">
        <w:rPr>
          <w:color w:val="auto"/>
          <w:sz w:val="24"/>
        </w:rPr>
        <w:noBreakHyphen/>
        <w:t xml:space="preserve">term increase </w:t>
      </w:r>
      <w:r w:rsidR="000A1249" w:rsidRPr="00A461B6">
        <w:rPr>
          <w:color w:val="0D0D0D" w:themeColor="text1" w:themeTint="F2"/>
          <w:sz w:val="24"/>
        </w:rPr>
        <w:t xml:space="preserve">in </w:t>
      </w:r>
      <w:r w:rsidR="00925E83" w:rsidRPr="00A461B6">
        <w:rPr>
          <w:color w:val="0D0D0D" w:themeColor="text1" w:themeTint="F2"/>
          <w:sz w:val="24"/>
        </w:rPr>
        <w:t xml:space="preserve">demand </w:t>
      </w:r>
      <w:r w:rsidRPr="00A461B6">
        <w:rPr>
          <w:color w:val="0D0D0D" w:themeColor="text1" w:themeTint="F2"/>
          <w:sz w:val="24"/>
        </w:rPr>
        <w:t>for certain PBS medicines</w:t>
      </w:r>
      <w:r w:rsidR="005156D9" w:rsidRPr="00A461B6">
        <w:rPr>
          <w:color w:val="0D0D0D" w:themeColor="text1" w:themeTint="F2"/>
          <w:sz w:val="24"/>
        </w:rPr>
        <w:t>. However</w:t>
      </w:r>
      <w:r w:rsidR="00925E83" w:rsidRPr="00A461B6">
        <w:rPr>
          <w:color w:val="0D0D0D" w:themeColor="text1" w:themeTint="F2"/>
          <w:sz w:val="24"/>
        </w:rPr>
        <w:t>,</w:t>
      </w:r>
      <w:r w:rsidR="005156D9" w:rsidRPr="00A461B6">
        <w:rPr>
          <w:color w:val="0D0D0D" w:themeColor="text1" w:themeTint="F2"/>
          <w:sz w:val="24"/>
        </w:rPr>
        <w:t xml:space="preserve"> overall the same amount of medicine is expected to be supplied to the Australian market</w:t>
      </w:r>
      <w:r w:rsidR="00925E83" w:rsidRPr="00A461B6">
        <w:rPr>
          <w:color w:val="0D0D0D" w:themeColor="text1" w:themeTint="F2"/>
          <w:sz w:val="24"/>
        </w:rPr>
        <w:t xml:space="preserve"> annually</w:t>
      </w:r>
      <w:r w:rsidR="005156D9" w:rsidRPr="00A461B6">
        <w:rPr>
          <w:color w:val="0D0D0D" w:themeColor="text1" w:themeTint="F2"/>
          <w:sz w:val="24"/>
        </w:rPr>
        <w:t>.</w:t>
      </w:r>
      <w:r w:rsidR="006A6B5B" w:rsidRPr="00A461B6">
        <w:rPr>
          <w:color w:val="0D0D0D" w:themeColor="text1" w:themeTint="F2"/>
          <w:sz w:val="24"/>
        </w:rPr>
        <w:t xml:space="preserve"> </w:t>
      </w:r>
      <w:r w:rsidR="009A7187" w:rsidRPr="00A461B6">
        <w:rPr>
          <w:color w:val="0D0D0D" w:themeColor="text1" w:themeTint="F2"/>
          <w:sz w:val="24"/>
        </w:rPr>
        <w:t>A</w:t>
      </w:r>
      <w:r w:rsidR="006A6B5B" w:rsidRPr="00A461B6">
        <w:rPr>
          <w:color w:val="0D0D0D" w:themeColor="text1" w:themeTint="F2"/>
          <w:sz w:val="24"/>
        </w:rPr>
        <w:t xml:space="preserve"> small </w:t>
      </w:r>
      <w:r w:rsidR="006A6B5B" w:rsidRPr="00A461B6">
        <w:rPr>
          <w:color w:val="auto"/>
          <w:sz w:val="24"/>
        </w:rPr>
        <w:t xml:space="preserve">financial </w:t>
      </w:r>
      <w:r w:rsidR="000A1249" w:rsidRPr="00A461B6">
        <w:rPr>
          <w:color w:val="auto"/>
          <w:sz w:val="24"/>
        </w:rPr>
        <w:t>gain i</w:t>
      </w:r>
      <w:r w:rsidR="006A6B5B" w:rsidRPr="00A461B6">
        <w:rPr>
          <w:color w:val="auto"/>
          <w:sz w:val="24"/>
        </w:rPr>
        <w:t xml:space="preserve">n PBS revenue/rebate payments is expected for sponsors of medicines with a special pricing arrangement </w:t>
      </w:r>
      <w:r w:rsidR="00BC135C" w:rsidRPr="00A461B6">
        <w:rPr>
          <w:color w:val="auto"/>
          <w:sz w:val="24"/>
        </w:rPr>
        <w:t>and/</w:t>
      </w:r>
      <w:r w:rsidR="006A6B5B" w:rsidRPr="00A461B6">
        <w:rPr>
          <w:color w:val="auto"/>
          <w:sz w:val="24"/>
        </w:rPr>
        <w:t>or a risk</w:t>
      </w:r>
      <w:r w:rsidR="00FD3686" w:rsidRPr="00A461B6">
        <w:rPr>
          <w:color w:val="auto"/>
          <w:sz w:val="24"/>
        </w:rPr>
        <w:t xml:space="preserve"> </w:t>
      </w:r>
      <w:r w:rsidR="006A6B5B" w:rsidRPr="00A461B6">
        <w:rPr>
          <w:color w:val="auto"/>
          <w:sz w:val="24"/>
        </w:rPr>
        <w:t xml:space="preserve">sharing arrangement, due to the expected impact of the proposal in reducing Commonwealth expenditure. </w:t>
      </w:r>
    </w:p>
    <w:p w14:paraId="6C99B11B" w14:textId="77777777" w:rsidR="001D11CD" w:rsidRPr="00A461B6" w:rsidRDefault="001D11CD" w:rsidP="00032C71">
      <w:pPr>
        <w:pStyle w:val="Heading4"/>
        <w:keepNext/>
        <w:keepLines/>
      </w:pPr>
      <w:r w:rsidRPr="00A461B6">
        <w:t>Medical and Dispensing Software Providers, Services Australia and Department of Health and Aged Care</w:t>
      </w:r>
    </w:p>
    <w:p w14:paraId="5F2C4467" w14:textId="2DB9DEFE" w:rsidR="001D11CD" w:rsidRPr="00A461B6" w:rsidRDefault="001D11CD" w:rsidP="001D11CD">
      <w:pPr>
        <w:pStyle w:val="CommentText"/>
        <w:rPr>
          <w:color w:val="0D0D0D" w:themeColor="text1" w:themeTint="F2"/>
          <w:sz w:val="24"/>
          <w:szCs w:val="24"/>
        </w:rPr>
      </w:pPr>
      <w:r w:rsidRPr="00A461B6">
        <w:rPr>
          <w:color w:val="0D0D0D" w:themeColor="text1" w:themeTint="F2"/>
          <w:sz w:val="24"/>
          <w:szCs w:val="24"/>
        </w:rPr>
        <w:t xml:space="preserve">Under usual PBS listing processes, there are limits to the number of changes that can be made to the PBS schedule each month. </w:t>
      </w:r>
      <w:r w:rsidR="001316D5" w:rsidRPr="00A461B6">
        <w:rPr>
          <w:color w:val="0D0D0D" w:themeColor="text1" w:themeTint="F2"/>
          <w:sz w:val="24"/>
          <w:szCs w:val="24"/>
        </w:rPr>
        <w:t xml:space="preserve">Implementation of this proposal </w:t>
      </w:r>
      <w:r w:rsidR="00B855AF" w:rsidRPr="00A461B6">
        <w:rPr>
          <w:color w:val="0D0D0D" w:themeColor="text1" w:themeTint="F2"/>
          <w:sz w:val="24"/>
        </w:rPr>
        <w:t>may</w:t>
      </w:r>
      <w:r w:rsidR="00B855AF" w:rsidRPr="00A461B6">
        <w:rPr>
          <w:color w:val="0D0D0D" w:themeColor="text1" w:themeTint="F2"/>
          <w:sz w:val="24"/>
          <w:szCs w:val="24"/>
        </w:rPr>
        <w:t xml:space="preserve"> </w:t>
      </w:r>
      <w:r w:rsidR="001316D5" w:rsidRPr="00A461B6">
        <w:rPr>
          <w:color w:val="0D0D0D" w:themeColor="text1" w:themeTint="F2"/>
          <w:sz w:val="24"/>
          <w:szCs w:val="24"/>
        </w:rPr>
        <w:t>result in a</w:t>
      </w:r>
      <w:r w:rsidRPr="00A461B6">
        <w:rPr>
          <w:color w:val="0D0D0D" w:themeColor="text1" w:themeTint="F2"/>
          <w:sz w:val="24"/>
          <w:szCs w:val="24"/>
        </w:rPr>
        <w:t xml:space="preserve"> very high volume of changes</w:t>
      </w:r>
      <w:r w:rsidR="001316D5" w:rsidRPr="00A461B6">
        <w:rPr>
          <w:color w:val="0D0D0D" w:themeColor="text1" w:themeTint="F2"/>
          <w:sz w:val="24"/>
          <w:szCs w:val="24"/>
        </w:rPr>
        <w:t>,</w:t>
      </w:r>
      <w:r w:rsidRPr="00A461B6">
        <w:rPr>
          <w:color w:val="0D0D0D" w:themeColor="text1" w:themeTint="F2"/>
          <w:sz w:val="24"/>
          <w:szCs w:val="24"/>
        </w:rPr>
        <w:t xml:space="preserve"> mean</w:t>
      </w:r>
      <w:r w:rsidR="001316D5" w:rsidRPr="00A461B6">
        <w:rPr>
          <w:color w:val="0D0D0D" w:themeColor="text1" w:themeTint="F2"/>
          <w:sz w:val="24"/>
          <w:szCs w:val="24"/>
        </w:rPr>
        <w:t>ing</w:t>
      </w:r>
      <w:r w:rsidRPr="00A461B6">
        <w:rPr>
          <w:color w:val="0D0D0D" w:themeColor="text1" w:themeTint="F2"/>
          <w:sz w:val="24"/>
          <w:szCs w:val="24"/>
        </w:rPr>
        <w:t xml:space="preserve"> </w:t>
      </w:r>
      <w:r w:rsidR="001316D5" w:rsidRPr="00A461B6">
        <w:rPr>
          <w:color w:val="0D0D0D" w:themeColor="text1" w:themeTint="F2"/>
          <w:sz w:val="24"/>
          <w:szCs w:val="24"/>
        </w:rPr>
        <w:t xml:space="preserve">some </w:t>
      </w:r>
      <w:r w:rsidRPr="00A461B6">
        <w:rPr>
          <w:color w:val="0D0D0D" w:themeColor="text1" w:themeTint="F2"/>
          <w:sz w:val="24"/>
          <w:szCs w:val="24"/>
        </w:rPr>
        <w:t xml:space="preserve">other changes to the PBS Schedule may not be able to be progressed in that specific PBS listing month. This is both to ensure that </w:t>
      </w:r>
      <w:r w:rsidR="001316D5" w:rsidRPr="00A461B6">
        <w:rPr>
          <w:color w:val="0D0D0D" w:themeColor="text1" w:themeTint="F2"/>
          <w:sz w:val="24"/>
          <w:szCs w:val="24"/>
        </w:rPr>
        <w:t xml:space="preserve">prescribing and </w:t>
      </w:r>
      <w:r w:rsidRPr="00A461B6">
        <w:rPr>
          <w:color w:val="0D0D0D" w:themeColor="text1" w:themeTint="F2"/>
          <w:sz w:val="24"/>
          <w:szCs w:val="24"/>
        </w:rPr>
        <w:t xml:space="preserve">pharmacy software vendors and Services Australia are able to implement the high number of new items in their respective databases, but also to ensure that no errors are created in the PBS data where other changes may affect the same medicines </w:t>
      </w:r>
      <w:r w:rsidR="00D835A5" w:rsidRPr="00A461B6">
        <w:rPr>
          <w:color w:val="0D0D0D" w:themeColor="text1" w:themeTint="F2"/>
          <w:sz w:val="24"/>
          <w:szCs w:val="24"/>
        </w:rPr>
        <w:t xml:space="preserve">that are subject to the </w:t>
      </w:r>
      <w:r w:rsidR="006A7936" w:rsidRPr="00A461B6">
        <w:rPr>
          <w:color w:val="0D0D0D" w:themeColor="text1" w:themeTint="F2"/>
          <w:sz w:val="24"/>
          <w:szCs w:val="24"/>
        </w:rPr>
        <w:t>MDQ</w:t>
      </w:r>
      <w:r w:rsidRPr="00A461B6">
        <w:rPr>
          <w:color w:val="0D0D0D" w:themeColor="text1" w:themeTint="F2"/>
          <w:sz w:val="24"/>
          <w:szCs w:val="24"/>
        </w:rPr>
        <w:t xml:space="preserve"> changes.</w:t>
      </w:r>
    </w:p>
    <w:p w14:paraId="40491D54" w14:textId="77777777" w:rsidR="001D11CD" w:rsidRPr="00A461B6" w:rsidRDefault="001D11CD" w:rsidP="00827DBE">
      <w:pPr>
        <w:pStyle w:val="Heading4"/>
        <w:keepNext/>
        <w:keepLines/>
      </w:pPr>
      <w:r w:rsidRPr="00A461B6">
        <w:t>Government</w:t>
      </w:r>
    </w:p>
    <w:p w14:paraId="4FF6E74C" w14:textId="2B37AF98" w:rsidR="001D11CD" w:rsidRPr="00A461B6" w:rsidRDefault="001D11CD" w:rsidP="00DC5650">
      <w:pPr>
        <w:keepNext/>
        <w:keepLines/>
        <w:rPr>
          <w:rFonts w:ascii="Calibri" w:hAnsi="Calibri"/>
          <w:color w:val="auto"/>
          <w:sz w:val="24"/>
          <w:szCs w:val="24"/>
        </w:rPr>
      </w:pPr>
      <w:r w:rsidRPr="00A461B6">
        <w:rPr>
          <w:color w:val="auto"/>
          <w:sz w:val="24"/>
          <w:szCs w:val="24"/>
        </w:rPr>
        <w:t>The cost of the PBS is expected to continue to grow</w:t>
      </w:r>
      <w:r w:rsidR="00D835A5" w:rsidRPr="00A461B6">
        <w:rPr>
          <w:color w:val="auto"/>
          <w:sz w:val="24"/>
          <w:szCs w:val="24"/>
        </w:rPr>
        <w:t xml:space="preserve"> over time</w:t>
      </w:r>
      <w:r w:rsidRPr="00A461B6">
        <w:rPr>
          <w:color w:val="auto"/>
          <w:sz w:val="24"/>
          <w:szCs w:val="24"/>
        </w:rPr>
        <w:t>, and this will put increasing pressure on the health budget.</w:t>
      </w:r>
      <w:r w:rsidRPr="00A461B6">
        <w:rPr>
          <w:rStyle w:val="FootnoteReference"/>
          <w:color w:val="auto"/>
          <w:sz w:val="24"/>
          <w:szCs w:val="24"/>
        </w:rPr>
        <w:footnoteReference w:id="49"/>
      </w:r>
      <w:r w:rsidRPr="00A461B6">
        <w:rPr>
          <w:color w:val="auto"/>
          <w:sz w:val="24"/>
          <w:szCs w:val="24"/>
        </w:rPr>
        <w:t xml:space="preserve"> </w:t>
      </w:r>
      <w:r w:rsidRPr="00A461B6">
        <w:rPr>
          <w:rFonts w:ascii="Calibri" w:hAnsi="Calibri"/>
          <w:color w:val="auto"/>
          <w:sz w:val="24"/>
          <w:szCs w:val="24"/>
        </w:rPr>
        <w:t>This proposal will reduce PBS expenditure through:</w:t>
      </w:r>
    </w:p>
    <w:p w14:paraId="4E1428E6" w14:textId="295AA80D" w:rsidR="001D11CD" w:rsidRPr="00A461B6" w:rsidRDefault="001D11CD" w:rsidP="008A2C64">
      <w:pPr>
        <w:pStyle w:val="ListParagraph"/>
        <w:numPr>
          <w:ilvl w:val="0"/>
          <w:numId w:val="8"/>
        </w:numPr>
        <w:ind w:left="714" w:hanging="357"/>
        <w:rPr>
          <w:color w:val="auto"/>
          <w:sz w:val="24"/>
          <w:szCs w:val="24"/>
        </w:rPr>
      </w:pPr>
      <w:r w:rsidRPr="00A461B6">
        <w:rPr>
          <w:color w:val="auto"/>
          <w:sz w:val="24"/>
          <w:szCs w:val="24"/>
        </w:rPr>
        <w:t>reducing dispensing and handling fees paid to pharmacists</w:t>
      </w:r>
      <w:r w:rsidR="00D835A5" w:rsidRPr="00A461B6">
        <w:rPr>
          <w:color w:val="auto"/>
          <w:sz w:val="24"/>
          <w:szCs w:val="24"/>
        </w:rPr>
        <w:t>,</w:t>
      </w:r>
      <w:r w:rsidRPr="00A461B6">
        <w:rPr>
          <w:color w:val="auto"/>
          <w:sz w:val="24"/>
          <w:szCs w:val="24"/>
        </w:rPr>
        <w:t xml:space="preserve"> as fewer prescriptions will need to be processed, and</w:t>
      </w:r>
    </w:p>
    <w:p w14:paraId="31748F3D" w14:textId="004B3C00" w:rsidR="005B653D" w:rsidRPr="00A461B6" w:rsidRDefault="001D11CD" w:rsidP="008A2C64">
      <w:pPr>
        <w:pStyle w:val="ListParagraph"/>
        <w:numPr>
          <w:ilvl w:val="0"/>
          <w:numId w:val="8"/>
        </w:numPr>
        <w:ind w:left="714" w:hanging="357"/>
        <w:rPr>
          <w:rFonts w:ascii="Calibri" w:hAnsi="Calibri"/>
          <w:color w:val="auto"/>
          <w:sz w:val="24"/>
          <w:szCs w:val="24"/>
        </w:rPr>
      </w:pPr>
      <w:r w:rsidRPr="00A461B6">
        <w:rPr>
          <w:color w:val="auto"/>
          <w:sz w:val="24"/>
          <w:szCs w:val="24"/>
        </w:rPr>
        <w:t xml:space="preserve">consumers </w:t>
      </w:r>
      <w:r w:rsidR="00D835A5" w:rsidRPr="00A461B6">
        <w:rPr>
          <w:color w:val="auto"/>
          <w:sz w:val="24"/>
          <w:szCs w:val="24"/>
        </w:rPr>
        <w:t xml:space="preserve">will </w:t>
      </w:r>
      <w:r w:rsidRPr="00A461B6">
        <w:rPr>
          <w:color w:val="auto"/>
          <w:sz w:val="24"/>
          <w:szCs w:val="24"/>
        </w:rPr>
        <w:t>reach their applicable PBS Safety Net threshold later in the calendar year,</w:t>
      </w:r>
      <w:r w:rsidR="005B653D" w:rsidRPr="00A461B6">
        <w:rPr>
          <w:color w:val="auto"/>
          <w:sz w:val="24"/>
          <w:szCs w:val="24"/>
        </w:rPr>
        <w:t xml:space="preserve"> or no longer reach their applicable PBS Safety Net threshold,</w:t>
      </w:r>
      <w:r w:rsidRPr="00A461B6">
        <w:rPr>
          <w:color w:val="auto"/>
          <w:sz w:val="24"/>
          <w:szCs w:val="24"/>
        </w:rPr>
        <w:t xml:space="preserve"> as they will incur fewer co-payments early in the calendar year</w:t>
      </w:r>
      <w:r w:rsidR="005B653D" w:rsidRPr="00A461B6">
        <w:rPr>
          <w:color w:val="auto"/>
          <w:sz w:val="24"/>
          <w:szCs w:val="24"/>
        </w:rPr>
        <w:t>, and</w:t>
      </w:r>
    </w:p>
    <w:p w14:paraId="1EF8809D" w14:textId="0EFE9347" w:rsidR="005B653D" w:rsidRPr="00A461B6" w:rsidRDefault="005B653D" w:rsidP="008A2C64">
      <w:pPr>
        <w:pStyle w:val="ListParagraph"/>
        <w:numPr>
          <w:ilvl w:val="0"/>
          <w:numId w:val="8"/>
        </w:numPr>
        <w:ind w:left="714" w:hanging="357"/>
        <w:rPr>
          <w:rFonts w:ascii="Calibri" w:hAnsi="Calibri"/>
          <w:color w:val="auto"/>
          <w:sz w:val="24"/>
          <w:szCs w:val="24"/>
        </w:rPr>
      </w:pPr>
      <w:r w:rsidRPr="00A461B6">
        <w:rPr>
          <w:color w:val="auto"/>
          <w:sz w:val="24"/>
          <w:szCs w:val="24"/>
        </w:rPr>
        <w:t>reducing the Safety Net card issue fees paid to pharmacists due to a smaller number of patients and families spending enough on PBS and RPBS medicines to reach their applicable PBS Safety Net threshold</w:t>
      </w:r>
      <w:r w:rsidR="0046251E" w:rsidRPr="00A461B6">
        <w:rPr>
          <w:color w:val="auto"/>
          <w:sz w:val="24"/>
          <w:szCs w:val="24"/>
        </w:rPr>
        <w:t xml:space="preserve"> and be issued a PBS Safety Net card</w:t>
      </w:r>
      <w:r w:rsidRPr="00A461B6">
        <w:rPr>
          <w:color w:val="auto"/>
          <w:sz w:val="24"/>
          <w:szCs w:val="24"/>
        </w:rPr>
        <w:t>, and</w:t>
      </w:r>
    </w:p>
    <w:p w14:paraId="61155923" w14:textId="67D429BC" w:rsidR="005B653D" w:rsidRPr="00A461B6" w:rsidRDefault="005B653D" w:rsidP="008A2C64">
      <w:pPr>
        <w:pStyle w:val="ListParagraph"/>
        <w:numPr>
          <w:ilvl w:val="0"/>
          <w:numId w:val="8"/>
        </w:numPr>
        <w:ind w:left="714" w:hanging="357"/>
        <w:rPr>
          <w:rFonts w:ascii="Calibri" w:hAnsi="Calibri"/>
          <w:color w:val="auto"/>
          <w:sz w:val="24"/>
          <w:szCs w:val="24"/>
        </w:rPr>
      </w:pPr>
      <w:r w:rsidRPr="00A461B6">
        <w:rPr>
          <w:color w:val="auto"/>
          <w:sz w:val="24"/>
          <w:szCs w:val="24"/>
        </w:rPr>
        <w:t>reducing the payments for the E</w:t>
      </w:r>
      <w:r w:rsidR="009A7187" w:rsidRPr="00A461B6">
        <w:rPr>
          <w:color w:val="auto"/>
          <w:sz w:val="24"/>
          <w:szCs w:val="24"/>
        </w:rPr>
        <w:t>lectronic Prescription Fee</w:t>
      </w:r>
      <w:r w:rsidRPr="00A461B6">
        <w:rPr>
          <w:color w:val="auto"/>
          <w:sz w:val="24"/>
          <w:szCs w:val="24"/>
        </w:rPr>
        <w:t xml:space="preserve"> for Prescription Exchange Services as the overall volume of PBS and RPBS prescriptions is reduced, and</w:t>
      </w:r>
    </w:p>
    <w:p w14:paraId="7671D4AC" w14:textId="08CA7810" w:rsidR="001D11CD" w:rsidRPr="00A461B6" w:rsidRDefault="005B653D" w:rsidP="008A2C64">
      <w:pPr>
        <w:pStyle w:val="ListParagraph"/>
        <w:numPr>
          <w:ilvl w:val="0"/>
          <w:numId w:val="8"/>
        </w:numPr>
        <w:ind w:left="714" w:hanging="357"/>
        <w:rPr>
          <w:rFonts w:ascii="Calibri" w:hAnsi="Calibri"/>
          <w:color w:val="auto"/>
          <w:sz w:val="24"/>
          <w:szCs w:val="24"/>
        </w:rPr>
      </w:pPr>
      <w:r w:rsidRPr="00A461B6">
        <w:rPr>
          <w:color w:val="auto"/>
          <w:sz w:val="24"/>
          <w:szCs w:val="24"/>
        </w:rPr>
        <w:t>reducing wholesale mark-ups paid for those medicines</w:t>
      </w:r>
      <w:r w:rsidR="0046251E" w:rsidRPr="00A461B6">
        <w:rPr>
          <w:color w:val="auto"/>
          <w:sz w:val="24"/>
          <w:szCs w:val="24"/>
        </w:rPr>
        <w:t xml:space="preserve"> which have prices where the wholesale mark-up calculation is </w:t>
      </w:r>
      <w:r w:rsidRPr="00A461B6">
        <w:rPr>
          <w:color w:val="auto"/>
          <w:sz w:val="24"/>
          <w:szCs w:val="24"/>
        </w:rPr>
        <w:t>impacted by the listing</w:t>
      </w:r>
      <w:r w:rsidR="0046251E" w:rsidRPr="00A461B6">
        <w:rPr>
          <w:color w:val="auto"/>
          <w:sz w:val="24"/>
          <w:szCs w:val="24"/>
        </w:rPr>
        <w:t xml:space="preserve"> of the increased quantity items.</w:t>
      </w:r>
    </w:p>
    <w:p w14:paraId="07F8B184" w14:textId="52E919D9" w:rsidR="001D11CD" w:rsidRPr="00A461B6" w:rsidRDefault="001D11CD" w:rsidP="001D11CD">
      <w:pPr>
        <w:rPr>
          <w:color w:val="auto"/>
          <w:sz w:val="24"/>
          <w:szCs w:val="24"/>
        </w:rPr>
      </w:pPr>
      <w:r w:rsidRPr="00A461B6">
        <w:rPr>
          <w:color w:val="auto"/>
          <w:sz w:val="24"/>
          <w:szCs w:val="24"/>
        </w:rPr>
        <w:t>When two months’ quantity of medicine is dispensed at one time there is a risk of increased wastage, potentially increasing the cost of medicines to the PBS. This will be mitigated by the PBS restriction for these higher quantity items containing the following wording: “Patient’s condition must be stable and suitable for higher maximum dispensed quantity measure”.</w:t>
      </w:r>
    </w:p>
    <w:p w14:paraId="6ABEBF23" w14:textId="2C86F518" w:rsidR="001D11CD" w:rsidRPr="00A461B6" w:rsidRDefault="001D11CD" w:rsidP="001D11CD">
      <w:pPr>
        <w:rPr>
          <w:color w:val="auto"/>
          <w:sz w:val="24"/>
          <w:szCs w:val="24"/>
        </w:rPr>
      </w:pPr>
      <w:r w:rsidRPr="00A461B6">
        <w:rPr>
          <w:color w:val="auto"/>
          <w:sz w:val="24"/>
          <w:szCs w:val="24"/>
        </w:rPr>
        <w:t>Implementing the</w:t>
      </w:r>
      <w:r w:rsidR="001B0431" w:rsidRPr="00A461B6">
        <w:rPr>
          <w:color w:val="auto"/>
          <w:sz w:val="24"/>
          <w:szCs w:val="24"/>
        </w:rPr>
        <w:t xml:space="preserve"> </w:t>
      </w:r>
      <w:r w:rsidRPr="00A461B6">
        <w:rPr>
          <w:color w:val="auto"/>
          <w:sz w:val="24"/>
          <w:szCs w:val="24"/>
        </w:rPr>
        <w:t xml:space="preserve">two month supply option may reduce the amount of medicine wastage, as double rather than triple quantities (Option </w:t>
      </w:r>
      <w:r w:rsidR="00ED71CC" w:rsidRPr="00A461B6">
        <w:rPr>
          <w:color w:val="auto"/>
          <w:sz w:val="24"/>
          <w:szCs w:val="24"/>
        </w:rPr>
        <w:t>3</w:t>
      </w:r>
      <w:r w:rsidRPr="00A461B6">
        <w:rPr>
          <w:color w:val="auto"/>
          <w:sz w:val="24"/>
          <w:szCs w:val="24"/>
        </w:rPr>
        <w:t xml:space="preserve">) would be supplied at one time. </w:t>
      </w:r>
    </w:p>
    <w:p w14:paraId="458FD6CC" w14:textId="47FE4744" w:rsidR="00B72094" w:rsidRPr="00A461B6" w:rsidRDefault="00B72094" w:rsidP="00DC5650">
      <w:pPr>
        <w:pStyle w:val="Heading3"/>
      </w:pPr>
      <w:bookmarkStart w:id="77" w:name="_Toc132192308"/>
      <w:bookmarkStart w:id="78" w:name="_Toc134603939"/>
      <w:r w:rsidRPr="00A461B6">
        <w:t>Regulatory burden estimate (RBE) table</w:t>
      </w:r>
      <w:r w:rsidR="00245F35">
        <w:t xml:space="preserve"> –</w:t>
      </w:r>
      <w:r w:rsidR="003D204A" w:rsidRPr="00A461B6">
        <w:t xml:space="preserve"> </w:t>
      </w:r>
      <w:r w:rsidRPr="00A461B6">
        <w:t xml:space="preserve">Option </w:t>
      </w:r>
      <w:r w:rsidR="00D61146" w:rsidRPr="00A461B6">
        <w:t>2</w:t>
      </w:r>
      <w:bookmarkEnd w:id="77"/>
      <w:bookmarkEnd w:id="78"/>
    </w:p>
    <w:tbl>
      <w:tblPr>
        <w:tblStyle w:val="PMCTableStyle2"/>
        <w:tblW w:w="0" w:type="auto"/>
        <w:tblLook w:val="0660" w:firstRow="1" w:lastRow="1" w:firstColumn="0" w:lastColumn="0" w:noHBand="1" w:noVBand="1"/>
        <w:tblCaption w:val="Regulatory burden estimate (RBE) table - Option 2"/>
      </w:tblPr>
      <w:tblGrid>
        <w:gridCol w:w="2532"/>
        <w:gridCol w:w="1571"/>
        <w:gridCol w:w="1479"/>
        <w:gridCol w:w="2521"/>
        <w:gridCol w:w="332"/>
        <w:gridCol w:w="1759"/>
      </w:tblGrid>
      <w:tr w:rsidR="00B72094" w:rsidRPr="00A461B6" w14:paraId="6791E0BF" w14:textId="77777777" w:rsidTr="00C67480">
        <w:trPr>
          <w:cnfStyle w:val="100000000000" w:firstRow="1" w:lastRow="0" w:firstColumn="0" w:lastColumn="0" w:oddVBand="0" w:evenVBand="0" w:oddHBand="0" w:evenHBand="0" w:firstRowFirstColumn="0" w:firstRowLastColumn="0" w:lastRowFirstColumn="0" w:lastRowLastColumn="0"/>
          <w:trHeight w:val="350"/>
          <w:tblHeader/>
        </w:trPr>
        <w:tc>
          <w:tcPr>
            <w:tcW w:w="10194" w:type="dxa"/>
            <w:gridSpan w:val="6"/>
          </w:tcPr>
          <w:p w14:paraId="3A303C9B" w14:textId="3E5EEC67" w:rsidR="00B72094" w:rsidRPr="00A461B6" w:rsidRDefault="00B72094" w:rsidP="00D76730">
            <w:pPr>
              <w:pStyle w:val="TableHeading"/>
            </w:pPr>
            <w:r w:rsidRPr="00A461B6">
              <w:t>Average annual regulatory costs</w:t>
            </w:r>
          </w:p>
        </w:tc>
      </w:tr>
      <w:tr w:rsidR="00B72094" w:rsidRPr="00A461B6" w14:paraId="6397AD10" w14:textId="77777777" w:rsidTr="00D76730">
        <w:trPr>
          <w:trHeight w:val="350"/>
        </w:trPr>
        <w:tc>
          <w:tcPr>
            <w:tcW w:w="2547" w:type="dxa"/>
          </w:tcPr>
          <w:p w14:paraId="6267E271" w14:textId="77777777" w:rsidR="00B72094" w:rsidRPr="00A461B6" w:rsidRDefault="00B72094" w:rsidP="00D76730">
            <w:pPr>
              <w:pStyle w:val="TableBody"/>
            </w:pPr>
            <w:r w:rsidRPr="00A461B6">
              <w:t>Change in costs ($ million)</w:t>
            </w:r>
          </w:p>
        </w:tc>
        <w:tc>
          <w:tcPr>
            <w:tcW w:w="1538" w:type="dxa"/>
          </w:tcPr>
          <w:p w14:paraId="4666E7D6" w14:textId="77777777" w:rsidR="00B72094" w:rsidRPr="00A461B6" w:rsidRDefault="00B72094" w:rsidP="00D76730">
            <w:pPr>
              <w:pStyle w:val="TableBody"/>
            </w:pPr>
            <w:r w:rsidRPr="00A461B6">
              <w:t>Individuals</w:t>
            </w:r>
          </w:p>
        </w:tc>
        <w:tc>
          <w:tcPr>
            <w:tcW w:w="1482" w:type="dxa"/>
          </w:tcPr>
          <w:p w14:paraId="74D8CDF6" w14:textId="77777777" w:rsidR="00B72094" w:rsidRPr="00A461B6" w:rsidRDefault="00B72094" w:rsidP="00D76730">
            <w:pPr>
              <w:pStyle w:val="TableBullet"/>
              <w:numPr>
                <w:ilvl w:val="0"/>
                <w:numId w:val="0"/>
              </w:numPr>
              <w:ind w:left="19"/>
            </w:pPr>
            <w:r w:rsidRPr="00A461B6">
              <w:t xml:space="preserve">Business </w:t>
            </w:r>
          </w:p>
        </w:tc>
        <w:tc>
          <w:tcPr>
            <w:tcW w:w="2531" w:type="dxa"/>
          </w:tcPr>
          <w:p w14:paraId="3C6252AC" w14:textId="77777777" w:rsidR="00B72094" w:rsidRPr="00A461B6" w:rsidRDefault="00B72094" w:rsidP="00D76730">
            <w:pPr>
              <w:pStyle w:val="TableBody"/>
            </w:pPr>
            <w:r w:rsidRPr="00A461B6">
              <w:t>Community organisations</w:t>
            </w:r>
          </w:p>
        </w:tc>
        <w:tc>
          <w:tcPr>
            <w:tcW w:w="2096" w:type="dxa"/>
            <w:gridSpan w:val="2"/>
          </w:tcPr>
          <w:p w14:paraId="230A7783" w14:textId="77777777" w:rsidR="00B72094" w:rsidRPr="00A461B6" w:rsidRDefault="00B72094" w:rsidP="00D76730">
            <w:pPr>
              <w:pStyle w:val="TableNumbering"/>
              <w:numPr>
                <w:ilvl w:val="0"/>
                <w:numId w:val="0"/>
              </w:numPr>
            </w:pPr>
            <w:r w:rsidRPr="00A461B6">
              <w:t>Total change in cost</w:t>
            </w:r>
          </w:p>
        </w:tc>
      </w:tr>
      <w:tr w:rsidR="00B72094" w:rsidRPr="00A461B6" w14:paraId="71E3F23E" w14:textId="77777777" w:rsidTr="00D76730">
        <w:trPr>
          <w:cnfStyle w:val="010000000000" w:firstRow="0" w:lastRow="1" w:firstColumn="0" w:lastColumn="0" w:oddVBand="0" w:evenVBand="0" w:oddHBand="0" w:evenHBand="0" w:firstRowFirstColumn="0" w:firstRowLastColumn="0" w:lastRowFirstColumn="0" w:lastRowLastColumn="0"/>
          <w:trHeight w:val="350"/>
        </w:trPr>
        <w:tc>
          <w:tcPr>
            <w:tcW w:w="2547" w:type="dxa"/>
          </w:tcPr>
          <w:p w14:paraId="4CD71BCC" w14:textId="77777777" w:rsidR="00B72094" w:rsidRPr="00A461B6" w:rsidRDefault="00B72094" w:rsidP="00D76730">
            <w:pPr>
              <w:pStyle w:val="TableBody"/>
            </w:pPr>
            <w:r w:rsidRPr="00A461B6">
              <w:t>Total, by sector</w:t>
            </w:r>
          </w:p>
        </w:tc>
        <w:tc>
          <w:tcPr>
            <w:tcW w:w="1538" w:type="dxa"/>
          </w:tcPr>
          <w:p w14:paraId="73524AE8" w14:textId="0E10C791" w:rsidR="00B72094" w:rsidRPr="00A461B6" w:rsidRDefault="00B72094" w:rsidP="00D76730">
            <w:pPr>
              <w:rPr>
                <w:color w:val="auto"/>
                <w:sz w:val="18"/>
              </w:rPr>
            </w:pPr>
            <w:r w:rsidRPr="00A461B6">
              <w:rPr>
                <w:color w:val="auto"/>
                <w:sz w:val="18"/>
              </w:rPr>
              <w:t>$</w:t>
            </w:r>
            <w:r w:rsidR="00016528" w:rsidRPr="00A461B6">
              <w:rPr>
                <w:color w:val="auto"/>
                <w:sz w:val="18"/>
              </w:rPr>
              <w:t>138,375,000</w:t>
            </w:r>
            <w:r w:rsidRPr="00A461B6">
              <w:rPr>
                <w:color w:val="auto"/>
                <w:sz w:val="18"/>
              </w:rPr>
              <w:t xml:space="preserve"> </w:t>
            </w:r>
          </w:p>
          <w:p w14:paraId="37109267" w14:textId="4F78CC90" w:rsidR="00B72094" w:rsidRPr="00A461B6" w:rsidRDefault="00B134D8" w:rsidP="00D76730">
            <w:pPr>
              <w:pStyle w:val="TableBody"/>
              <w:rPr>
                <w:color w:val="FF0000"/>
              </w:rPr>
            </w:pPr>
            <w:r w:rsidRPr="00A461B6">
              <w:rPr>
                <w:color w:val="auto"/>
              </w:rPr>
              <w:t>(save)</w:t>
            </w:r>
          </w:p>
        </w:tc>
        <w:tc>
          <w:tcPr>
            <w:tcW w:w="1482" w:type="dxa"/>
          </w:tcPr>
          <w:p w14:paraId="0DA0D569" w14:textId="13B488D5" w:rsidR="00B72094" w:rsidRPr="00A461B6" w:rsidRDefault="00B72094" w:rsidP="00E1628E">
            <w:r w:rsidRPr="00A461B6">
              <w:rPr>
                <w:sz w:val="18"/>
              </w:rPr>
              <w:t>$</w:t>
            </w:r>
          </w:p>
        </w:tc>
        <w:tc>
          <w:tcPr>
            <w:tcW w:w="2866" w:type="dxa"/>
            <w:gridSpan w:val="2"/>
          </w:tcPr>
          <w:p w14:paraId="6E27CF92" w14:textId="77777777" w:rsidR="00B72094" w:rsidRPr="00A461B6" w:rsidRDefault="00B72094" w:rsidP="00D76730">
            <w:pPr>
              <w:pStyle w:val="TableNumbering"/>
              <w:numPr>
                <w:ilvl w:val="0"/>
                <w:numId w:val="0"/>
              </w:numPr>
              <w:ind w:left="284" w:hanging="284"/>
            </w:pPr>
            <w:r w:rsidRPr="00A461B6">
              <w:t>$</w:t>
            </w:r>
          </w:p>
        </w:tc>
        <w:tc>
          <w:tcPr>
            <w:tcW w:w="1761" w:type="dxa"/>
          </w:tcPr>
          <w:p w14:paraId="0852F73F" w14:textId="7B1F51E7" w:rsidR="00B72094" w:rsidRPr="00A461B6" w:rsidRDefault="00B72094" w:rsidP="00016528">
            <w:pPr>
              <w:pStyle w:val="TableNumbering"/>
              <w:numPr>
                <w:ilvl w:val="0"/>
                <w:numId w:val="0"/>
              </w:numPr>
              <w:ind w:left="284" w:hanging="284"/>
              <w:rPr>
                <w:color w:val="auto"/>
              </w:rPr>
            </w:pPr>
            <w:r w:rsidRPr="00A461B6">
              <w:rPr>
                <w:color w:val="auto"/>
              </w:rPr>
              <w:t>$</w:t>
            </w:r>
            <w:r w:rsidR="00016528" w:rsidRPr="00A461B6">
              <w:rPr>
                <w:color w:val="auto"/>
              </w:rPr>
              <w:t>138,375,000</w:t>
            </w:r>
            <w:r w:rsidRPr="00A461B6">
              <w:rPr>
                <w:color w:val="auto"/>
              </w:rPr>
              <w:t xml:space="preserve"> (save)</w:t>
            </w:r>
          </w:p>
        </w:tc>
      </w:tr>
    </w:tbl>
    <w:p w14:paraId="49BDCDC6" w14:textId="1E895C58" w:rsidR="001D11CD" w:rsidRPr="00A461B6" w:rsidRDefault="001D11CD" w:rsidP="00DC5650">
      <w:pPr>
        <w:pStyle w:val="Heading3"/>
      </w:pPr>
      <w:bookmarkStart w:id="79" w:name="_Toc132192309"/>
      <w:bookmarkStart w:id="80" w:name="_Toc134603940"/>
      <w:r w:rsidRPr="00A461B6">
        <w:t xml:space="preserve">Option </w:t>
      </w:r>
      <w:r w:rsidR="00D61146" w:rsidRPr="00A461B6">
        <w:t>3</w:t>
      </w:r>
      <w:r w:rsidRPr="00A461B6">
        <w:t xml:space="preserve">: Implement </w:t>
      </w:r>
      <w:r w:rsidR="001B0431" w:rsidRPr="00A461B6">
        <w:t>M</w:t>
      </w:r>
      <w:r w:rsidRPr="00A461B6">
        <w:t>D</w:t>
      </w:r>
      <w:r w:rsidR="001B0431" w:rsidRPr="00A461B6">
        <w:t>Q changes</w:t>
      </w:r>
      <w:r w:rsidRPr="00A461B6">
        <w:t xml:space="preserve"> for medicines – </w:t>
      </w:r>
      <w:r w:rsidR="00320BF2">
        <w:t>3</w:t>
      </w:r>
      <w:r w:rsidRPr="00A461B6">
        <w:t xml:space="preserve"> </w:t>
      </w:r>
      <w:r w:rsidR="00E2043B" w:rsidRPr="00A461B6">
        <w:t>month</w:t>
      </w:r>
      <w:r w:rsidRPr="00A461B6">
        <w:t>s</w:t>
      </w:r>
      <w:r w:rsidR="00E2043B" w:rsidRPr="00A461B6">
        <w:t>’</w:t>
      </w:r>
      <w:r w:rsidRPr="00A461B6">
        <w:t xml:space="preserve"> supply</w:t>
      </w:r>
      <w:bookmarkEnd w:id="79"/>
      <w:bookmarkEnd w:id="80"/>
    </w:p>
    <w:p w14:paraId="118C036B" w14:textId="4D8EB54B" w:rsidR="001D11CD" w:rsidRPr="00A461B6" w:rsidRDefault="001316D5" w:rsidP="001D11CD">
      <w:pPr>
        <w:autoSpaceDE w:val="0"/>
        <w:autoSpaceDN w:val="0"/>
        <w:adjustRightInd w:val="0"/>
        <w:spacing w:line="240" w:lineRule="auto"/>
        <w:rPr>
          <w:iCs/>
          <w:color w:val="auto"/>
          <w:sz w:val="24"/>
          <w:szCs w:val="24"/>
        </w:rPr>
      </w:pPr>
      <w:r w:rsidRPr="00A461B6">
        <w:rPr>
          <w:color w:val="auto"/>
          <w:sz w:val="24"/>
          <w:szCs w:val="24"/>
        </w:rPr>
        <w:t>This option</w:t>
      </w:r>
      <w:r w:rsidR="001D11CD" w:rsidRPr="00A461B6">
        <w:rPr>
          <w:color w:val="auto"/>
          <w:sz w:val="24"/>
          <w:szCs w:val="24"/>
        </w:rPr>
        <w:t xml:space="preserve"> will require a significant number of new and amended items to be listed on the PBS schedule. </w:t>
      </w:r>
    </w:p>
    <w:p w14:paraId="436BD538" w14:textId="68D95A40" w:rsidR="001D11CD" w:rsidRPr="00A461B6" w:rsidRDefault="001D11CD" w:rsidP="001D11CD">
      <w:pPr>
        <w:pStyle w:val="CommentText"/>
        <w:rPr>
          <w:color w:val="auto"/>
          <w:sz w:val="24"/>
          <w:szCs w:val="24"/>
        </w:rPr>
      </w:pPr>
      <w:r w:rsidRPr="00A461B6">
        <w:rPr>
          <w:color w:val="auto"/>
          <w:sz w:val="24"/>
          <w:szCs w:val="24"/>
        </w:rPr>
        <w:t xml:space="preserve">When fully implemented, the proposed changes </w:t>
      </w:r>
      <w:r w:rsidR="002135F6" w:rsidRPr="00A461B6">
        <w:rPr>
          <w:color w:val="auto"/>
          <w:sz w:val="24"/>
          <w:szCs w:val="24"/>
        </w:rPr>
        <w:t xml:space="preserve">could </w:t>
      </w:r>
      <w:r w:rsidRPr="00A461B6">
        <w:rPr>
          <w:color w:val="auto"/>
          <w:sz w:val="24"/>
          <w:szCs w:val="24"/>
        </w:rPr>
        <w:t xml:space="preserve">benefit </w:t>
      </w:r>
      <w:r w:rsidR="002135F6" w:rsidRPr="00A461B6">
        <w:rPr>
          <w:color w:val="auto"/>
          <w:sz w:val="24"/>
          <w:szCs w:val="24"/>
        </w:rPr>
        <w:t xml:space="preserve">a significant proportion of the base number of </w:t>
      </w:r>
      <w:r w:rsidR="003F0949" w:rsidRPr="00A461B6">
        <w:rPr>
          <w:color w:val="auto"/>
          <w:sz w:val="24"/>
          <w:szCs w:val="24"/>
        </w:rPr>
        <w:t>9.</w:t>
      </w:r>
      <w:r w:rsidR="00336199" w:rsidRPr="00A461B6">
        <w:rPr>
          <w:color w:val="auto"/>
          <w:sz w:val="24"/>
          <w:szCs w:val="24"/>
        </w:rPr>
        <w:t xml:space="preserve">6 </w:t>
      </w:r>
      <w:r w:rsidR="003F0949" w:rsidRPr="00A461B6">
        <w:rPr>
          <w:color w:val="auto"/>
          <w:sz w:val="24"/>
          <w:szCs w:val="24"/>
        </w:rPr>
        <w:t>million patients,</w:t>
      </w:r>
      <w:r w:rsidR="002135F6" w:rsidRPr="00A461B6">
        <w:rPr>
          <w:color w:val="auto"/>
          <w:sz w:val="24"/>
          <w:szCs w:val="24"/>
        </w:rPr>
        <w:t xml:space="preserve"> when their prescriber’s assessment is that the patient’s </w:t>
      </w:r>
      <w:r w:rsidR="003F0949" w:rsidRPr="00A461B6">
        <w:rPr>
          <w:color w:val="auto"/>
          <w:sz w:val="24"/>
          <w:szCs w:val="24"/>
        </w:rPr>
        <w:t xml:space="preserve">chronic </w:t>
      </w:r>
      <w:r w:rsidR="002135F6" w:rsidRPr="00A461B6">
        <w:rPr>
          <w:color w:val="auto"/>
          <w:sz w:val="24"/>
          <w:szCs w:val="24"/>
        </w:rPr>
        <w:t>condition is stable and suitable for the higher maximum dispensed quantity item</w:t>
      </w:r>
      <w:r w:rsidR="003F0949" w:rsidRPr="00A461B6">
        <w:rPr>
          <w:color w:val="auto"/>
          <w:sz w:val="24"/>
          <w:szCs w:val="24"/>
        </w:rPr>
        <w:t>,</w:t>
      </w:r>
      <w:r w:rsidRPr="00A461B6">
        <w:rPr>
          <w:color w:val="auto"/>
          <w:sz w:val="24"/>
          <w:szCs w:val="24"/>
        </w:rPr>
        <w:t xml:space="preserve"> by reducing the number of individual PBS co</w:t>
      </w:r>
      <w:r w:rsidRPr="00A461B6">
        <w:rPr>
          <w:color w:val="auto"/>
          <w:sz w:val="24"/>
          <w:szCs w:val="24"/>
        </w:rPr>
        <w:noBreakHyphen/>
        <w:t>payments they would have to make for medicines included in the</w:t>
      </w:r>
      <w:r w:rsidR="00D835A5" w:rsidRPr="00A461B6">
        <w:rPr>
          <w:color w:val="auto"/>
          <w:sz w:val="24"/>
          <w:szCs w:val="24"/>
        </w:rPr>
        <w:t xml:space="preserve"> MDQ</w:t>
      </w:r>
      <w:r w:rsidRPr="00A461B6">
        <w:rPr>
          <w:color w:val="auto"/>
          <w:sz w:val="24"/>
          <w:szCs w:val="24"/>
        </w:rPr>
        <w:t xml:space="preserve"> proposal, and visits to the doctor and pharmacy may be reduced. </w:t>
      </w:r>
    </w:p>
    <w:p w14:paraId="1ADFABC6" w14:textId="68E7F91A" w:rsidR="006B7979" w:rsidRPr="00A461B6" w:rsidRDefault="006B7979" w:rsidP="006B7979">
      <w:pPr>
        <w:rPr>
          <w:color w:val="auto"/>
          <w:sz w:val="24"/>
          <w:szCs w:val="24"/>
        </w:rPr>
      </w:pPr>
      <w:r w:rsidRPr="00A461B6">
        <w:rPr>
          <w:color w:val="auto"/>
          <w:sz w:val="24"/>
          <w:szCs w:val="24"/>
        </w:rPr>
        <w:t xml:space="preserve">This option </w:t>
      </w:r>
      <w:r w:rsidR="004B551F" w:rsidRPr="00A461B6">
        <w:rPr>
          <w:color w:val="auto"/>
          <w:sz w:val="24"/>
          <w:szCs w:val="24"/>
        </w:rPr>
        <w:t xml:space="preserve">will </w:t>
      </w:r>
      <w:r w:rsidR="00AE0BEE" w:rsidRPr="00A461B6">
        <w:rPr>
          <w:color w:val="auto"/>
          <w:sz w:val="24"/>
          <w:szCs w:val="24"/>
        </w:rPr>
        <w:t xml:space="preserve">have a bigger reduction to </w:t>
      </w:r>
      <w:r w:rsidRPr="00A461B6">
        <w:rPr>
          <w:color w:val="auto"/>
          <w:sz w:val="24"/>
          <w:szCs w:val="24"/>
        </w:rPr>
        <w:t>PBS expenditure</w:t>
      </w:r>
      <w:r w:rsidR="00AE0BEE" w:rsidRPr="00A461B6">
        <w:rPr>
          <w:color w:val="auto"/>
          <w:sz w:val="24"/>
          <w:szCs w:val="24"/>
        </w:rPr>
        <w:t xml:space="preserve"> compared</w:t>
      </w:r>
      <w:r w:rsidRPr="00A461B6">
        <w:rPr>
          <w:color w:val="auto"/>
          <w:sz w:val="24"/>
          <w:szCs w:val="24"/>
        </w:rPr>
        <w:t xml:space="preserve"> to Option </w:t>
      </w:r>
      <w:r w:rsidR="00D61146" w:rsidRPr="00A461B6">
        <w:rPr>
          <w:color w:val="auto"/>
          <w:sz w:val="24"/>
          <w:szCs w:val="24"/>
        </w:rPr>
        <w:t>2</w:t>
      </w:r>
      <w:r w:rsidRPr="00A461B6">
        <w:rPr>
          <w:color w:val="auto"/>
          <w:sz w:val="24"/>
          <w:szCs w:val="24"/>
        </w:rPr>
        <w:t xml:space="preserve">, provide a greater reduction in regulatory impact and greater savings in medicine costs for consumers than Option </w:t>
      </w:r>
      <w:r w:rsidR="00D61146" w:rsidRPr="00A461B6">
        <w:rPr>
          <w:color w:val="auto"/>
          <w:sz w:val="24"/>
          <w:szCs w:val="24"/>
        </w:rPr>
        <w:t>2</w:t>
      </w:r>
      <w:r w:rsidR="004B551F" w:rsidRPr="00A461B6">
        <w:rPr>
          <w:color w:val="auto"/>
          <w:sz w:val="24"/>
          <w:szCs w:val="24"/>
        </w:rPr>
        <w:t>.</w:t>
      </w:r>
      <w:r w:rsidRPr="00A461B6">
        <w:rPr>
          <w:color w:val="auto"/>
          <w:sz w:val="24"/>
          <w:szCs w:val="24"/>
        </w:rPr>
        <w:t xml:space="preserve"> </w:t>
      </w:r>
      <w:r w:rsidR="004B551F" w:rsidRPr="00A461B6">
        <w:rPr>
          <w:color w:val="auto"/>
          <w:sz w:val="24"/>
          <w:szCs w:val="24"/>
        </w:rPr>
        <w:t>This option has</w:t>
      </w:r>
      <w:r w:rsidRPr="00A461B6">
        <w:rPr>
          <w:color w:val="auto"/>
          <w:sz w:val="24"/>
          <w:szCs w:val="24"/>
        </w:rPr>
        <w:t xml:space="preserve"> a higher financial impact to pharmacies than Option </w:t>
      </w:r>
      <w:r w:rsidR="00D61146" w:rsidRPr="00A461B6">
        <w:rPr>
          <w:color w:val="auto"/>
          <w:sz w:val="24"/>
          <w:szCs w:val="24"/>
        </w:rPr>
        <w:t>2</w:t>
      </w:r>
      <w:r w:rsidRPr="00A461B6">
        <w:rPr>
          <w:color w:val="auto"/>
          <w:sz w:val="24"/>
          <w:szCs w:val="24"/>
        </w:rPr>
        <w:t>.</w:t>
      </w:r>
    </w:p>
    <w:p w14:paraId="11CD8A06" w14:textId="77777777" w:rsidR="001D11CD" w:rsidRPr="00A461B6" w:rsidRDefault="001D11CD" w:rsidP="00DC5650">
      <w:pPr>
        <w:pStyle w:val="Heading4"/>
      </w:pPr>
      <w:r w:rsidRPr="00A461B6">
        <w:t>Consumers</w:t>
      </w:r>
    </w:p>
    <w:p w14:paraId="1534B969" w14:textId="383CF78E" w:rsidR="001D11CD" w:rsidRPr="00A461B6" w:rsidRDefault="004B551F" w:rsidP="001D11CD">
      <w:pPr>
        <w:rPr>
          <w:color w:val="0D0D0D" w:themeColor="text1" w:themeTint="F2"/>
          <w:sz w:val="24"/>
          <w:szCs w:val="24"/>
        </w:rPr>
      </w:pPr>
      <w:r w:rsidRPr="00A461B6">
        <w:rPr>
          <w:color w:val="auto"/>
          <w:sz w:val="24"/>
          <w:szCs w:val="24"/>
        </w:rPr>
        <w:t xml:space="preserve">Under this </w:t>
      </w:r>
      <w:r w:rsidR="00114AB8" w:rsidRPr="00A461B6">
        <w:rPr>
          <w:color w:val="auto"/>
          <w:sz w:val="24"/>
          <w:szCs w:val="24"/>
        </w:rPr>
        <w:t>option</w:t>
      </w:r>
      <w:r w:rsidRPr="00A461B6">
        <w:rPr>
          <w:color w:val="auto"/>
          <w:sz w:val="24"/>
          <w:szCs w:val="24"/>
        </w:rPr>
        <w:t>, consumers</w:t>
      </w:r>
      <w:r w:rsidR="00114AB8" w:rsidRPr="00A461B6">
        <w:rPr>
          <w:color w:val="auto"/>
          <w:sz w:val="24"/>
          <w:szCs w:val="24"/>
        </w:rPr>
        <w:t xml:space="preserve"> </w:t>
      </w:r>
      <w:r w:rsidR="001D11CD" w:rsidRPr="00A461B6">
        <w:rPr>
          <w:color w:val="auto"/>
          <w:sz w:val="24"/>
          <w:szCs w:val="24"/>
        </w:rPr>
        <w:t xml:space="preserve">will visit a pharmacy every third month instead of each month to have </w:t>
      </w:r>
      <w:r w:rsidR="001D11CD" w:rsidRPr="00A461B6">
        <w:rPr>
          <w:color w:val="0D0D0D" w:themeColor="text1" w:themeTint="F2"/>
          <w:sz w:val="24"/>
          <w:szCs w:val="24"/>
        </w:rPr>
        <w:t xml:space="preserve">their prescription dispensed and may reduce their doctor visits. </w:t>
      </w:r>
    </w:p>
    <w:p w14:paraId="3E38A6CF" w14:textId="75103E07" w:rsidR="00336199" w:rsidRPr="00A461B6" w:rsidRDefault="00336199" w:rsidP="00336199">
      <w:pPr>
        <w:rPr>
          <w:color w:val="0D0D0D" w:themeColor="text1" w:themeTint="F2"/>
          <w:sz w:val="24"/>
          <w:szCs w:val="24"/>
        </w:rPr>
      </w:pPr>
      <w:r w:rsidRPr="00A461B6">
        <w:rPr>
          <w:color w:val="0D0D0D" w:themeColor="text1" w:themeTint="F2"/>
          <w:sz w:val="24"/>
          <w:szCs w:val="24"/>
        </w:rPr>
        <w:t xml:space="preserve">In </w:t>
      </w:r>
      <w:r w:rsidR="00CD64D1" w:rsidRPr="00A461B6">
        <w:rPr>
          <w:color w:val="0D0D0D" w:themeColor="text1" w:themeTint="F2"/>
          <w:sz w:val="24"/>
          <w:szCs w:val="24"/>
        </w:rPr>
        <w:t xml:space="preserve">total, </w:t>
      </w:r>
      <w:r w:rsidRPr="00A461B6">
        <w:rPr>
          <w:color w:val="0D0D0D" w:themeColor="text1" w:themeTint="F2"/>
          <w:sz w:val="24"/>
          <w:szCs w:val="24"/>
        </w:rPr>
        <w:t xml:space="preserve">it is estimated that patients who are prescribed </w:t>
      </w:r>
      <w:r w:rsidR="002535B2">
        <w:rPr>
          <w:color w:val="0D0D0D" w:themeColor="text1" w:themeTint="F2"/>
          <w:sz w:val="24"/>
          <w:szCs w:val="24"/>
        </w:rPr>
        <w:t>prescriptions</w:t>
      </w:r>
      <w:r w:rsidR="002535B2" w:rsidRPr="00A461B6">
        <w:rPr>
          <w:color w:val="0D0D0D" w:themeColor="text1" w:themeTint="F2"/>
          <w:sz w:val="24"/>
          <w:szCs w:val="24"/>
        </w:rPr>
        <w:t xml:space="preserve"> </w:t>
      </w:r>
      <w:r w:rsidRPr="00A461B6">
        <w:rPr>
          <w:color w:val="0D0D0D" w:themeColor="text1" w:themeTint="F2"/>
          <w:sz w:val="24"/>
          <w:szCs w:val="24"/>
        </w:rPr>
        <w:t>at the triple maximum quantity will save around $740</w:t>
      </w:r>
      <w:r w:rsidR="00CD64D1" w:rsidRPr="00A461B6">
        <w:rPr>
          <w:color w:val="0D0D0D" w:themeColor="text1" w:themeTint="F2"/>
          <w:sz w:val="24"/>
          <w:szCs w:val="24"/>
        </w:rPr>
        <w:t xml:space="preserve"> </w:t>
      </w:r>
      <w:r w:rsidRPr="00A461B6">
        <w:rPr>
          <w:color w:val="0D0D0D" w:themeColor="text1" w:themeTint="F2"/>
          <w:sz w:val="24"/>
          <w:szCs w:val="24"/>
        </w:rPr>
        <w:t>m</w:t>
      </w:r>
      <w:r w:rsidR="00CD64D1" w:rsidRPr="00A461B6">
        <w:rPr>
          <w:color w:val="0D0D0D" w:themeColor="text1" w:themeTint="F2"/>
          <w:sz w:val="24"/>
          <w:szCs w:val="24"/>
        </w:rPr>
        <w:t>illion</w:t>
      </w:r>
      <w:r w:rsidRPr="00A461B6">
        <w:rPr>
          <w:color w:val="0D0D0D" w:themeColor="text1" w:themeTint="F2"/>
          <w:sz w:val="24"/>
          <w:szCs w:val="24"/>
        </w:rPr>
        <w:t xml:space="preserve"> in PBS patient contributions in 2026-27, and approximately $2.5</w:t>
      </w:r>
      <w:r w:rsidR="00CD64D1" w:rsidRPr="00A461B6">
        <w:rPr>
          <w:color w:val="0D0D0D" w:themeColor="text1" w:themeTint="F2"/>
          <w:sz w:val="24"/>
          <w:szCs w:val="24"/>
        </w:rPr>
        <w:t xml:space="preserve"> </w:t>
      </w:r>
      <w:r w:rsidRPr="00A461B6">
        <w:rPr>
          <w:color w:val="0D0D0D" w:themeColor="text1" w:themeTint="F2"/>
          <w:sz w:val="24"/>
          <w:szCs w:val="24"/>
        </w:rPr>
        <w:t>b</w:t>
      </w:r>
      <w:r w:rsidR="00CD64D1" w:rsidRPr="00A461B6">
        <w:rPr>
          <w:color w:val="0D0D0D" w:themeColor="text1" w:themeTint="F2"/>
          <w:sz w:val="24"/>
          <w:szCs w:val="24"/>
        </w:rPr>
        <w:t>illion</w:t>
      </w:r>
      <w:r w:rsidRPr="00A461B6">
        <w:rPr>
          <w:color w:val="0D0D0D" w:themeColor="text1" w:themeTint="F2"/>
          <w:sz w:val="24"/>
          <w:szCs w:val="24"/>
        </w:rPr>
        <w:t xml:space="preserve"> between 2023-24 and 2026-27. </w:t>
      </w:r>
      <w:r w:rsidR="0026392D">
        <w:rPr>
          <w:rFonts w:eastAsiaTheme="majorEastAsia"/>
          <w:bCs/>
          <w:color w:val="0D0D0D" w:themeColor="text1" w:themeTint="F2"/>
          <w:sz w:val="24"/>
          <w:szCs w:val="24"/>
        </w:rPr>
        <w:t xml:space="preserve">Once fully implemented, </w:t>
      </w:r>
      <w:r w:rsidR="0026392D">
        <w:rPr>
          <w:color w:val="0D0D0D" w:themeColor="text1" w:themeTint="F2"/>
          <w:sz w:val="24"/>
          <w:szCs w:val="24"/>
        </w:rPr>
        <w:t>t</w:t>
      </w:r>
      <w:r w:rsidRPr="00A461B6">
        <w:rPr>
          <w:color w:val="0D0D0D" w:themeColor="text1" w:themeTint="F2"/>
          <w:sz w:val="24"/>
          <w:szCs w:val="24"/>
        </w:rPr>
        <w:t xml:space="preserve">his represents a further reduction in out of pocket costs for patients accessing PBS medicines compared to Option 2. In a similar way to Option 2, the estimated financial impact on consumers takes into account the financial benefit to the patient each time a dispensing of three </w:t>
      </w:r>
      <w:r w:rsidR="00515270">
        <w:rPr>
          <w:color w:val="0D0D0D" w:themeColor="text1" w:themeTint="F2"/>
          <w:sz w:val="24"/>
          <w:szCs w:val="24"/>
        </w:rPr>
        <w:t>prescriptions</w:t>
      </w:r>
      <w:r w:rsidR="00515270" w:rsidRPr="00A461B6">
        <w:rPr>
          <w:color w:val="0D0D0D" w:themeColor="text1" w:themeTint="F2"/>
          <w:sz w:val="24"/>
          <w:szCs w:val="24"/>
        </w:rPr>
        <w:t xml:space="preserve"> </w:t>
      </w:r>
      <w:r w:rsidRPr="00A461B6">
        <w:rPr>
          <w:color w:val="0D0D0D" w:themeColor="text1" w:themeTint="F2"/>
          <w:sz w:val="24"/>
          <w:szCs w:val="24"/>
        </w:rPr>
        <w:t>for one month</w:t>
      </w:r>
      <w:r w:rsidR="00515270">
        <w:rPr>
          <w:color w:val="0D0D0D" w:themeColor="text1" w:themeTint="F2"/>
          <w:sz w:val="24"/>
          <w:szCs w:val="24"/>
        </w:rPr>
        <w:t>’</w:t>
      </w:r>
      <w:r w:rsidRPr="00A461B6">
        <w:rPr>
          <w:color w:val="0D0D0D" w:themeColor="text1" w:themeTint="F2"/>
          <w:sz w:val="24"/>
          <w:szCs w:val="24"/>
        </w:rPr>
        <w:t xml:space="preserve">s supply are replaced by a single </w:t>
      </w:r>
      <w:r w:rsidR="00515270">
        <w:rPr>
          <w:color w:val="0D0D0D" w:themeColor="text1" w:themeTint="F2"/>
          <w:sz w:val="24"/>
          <w:szCs w:val="24"/>
        </w:rPr>
        <w:t>prescription</w:t>
      </w:r>
      <w:r w:rsidR="00515270" w:rsidRPr="00A461B6">
        <w:rPr>
          <w:color w:val="0D0D0D" w:themeColor="text1" w:themeTint="F2"/>
          <w:sz w:val="24"/>
          <w:szCs w:val="24"/>
        </w:rPr>
        <w:t xml:space="preserve"> </w:t>
      </w:r>
      <w:r w:rsidRPr="00A461B6">
        <w:rPr>
          <w:color w:val="0D0D0D" w:themeColor="text1" w:themeTint="F2"/>
          <w:sz w:val="24"/>
          <w:szCs w:val="24"/>
        </w:rPr>
        <w:t>for three months’ supply.</w:t>
      </w:r>
    </w:p>
    <w:p w14:paraId="22B9B196" w14:textId="1C7A214C" w:rsidR="001D11CD" w:rsidRPr="00A461B6" w:rsidRDefault="001D11CD" w:rsidP="001D11CD">
      <w:pPr>
        <w:rPr>
          <w:color w:val="auto"/>
          <w:sz w:val="24"/>
          <w:szCs w:val="24"/>
        </w:rPr>
      </w:pPr>
      <w:r w:rsidRPr="00A461B6">
        <w:rPr>
          <w:color w:val="auto"/>
          <w:sz w:val="24"/>
          <w:szCs w:val="24"/>
        </w:rPr>
        <w:t xml:space="preserve">The subgroup of patients who receive </w:t>
      </w:r>
      <w:r w:rsidRPr="00A461B6">
        <w:rPr>
          <w:b/>
          <w:color w:val="auto"/>
          <w:sz w:val="24"/>
          <w:szCs w:val="24"/>
        </w:rPr>
        <w:t>only</w:t>
      </w:r>
      <w:r w:rsidRPr="00A461B6">
        <w:rPr>
          <w:color w:val="auto"/>
          <w:sz w:val="24"/>
          <w:szCs w:val="24"/>
        </w:rPr>
        <w:t xml:space="preserve"> PBS medicines with increased MDQ items (approximately </w:t>
      </w:r>
      <w:r w:rsidR="00F001F4" w:rsidRPr="00A461B6">
        <w:rPr>
          <w:color w:val="auto"/>
          <w:sz w:val="24"/>
          <w:szCs w:val="24"/>
        </w:rPr>
        <w:t>1.89</w:t>
      </w:r>
      <w:r w:rsidRPr="00A461B6">
        <w:rPr>
          <w:color w:val="auto"/>
          <w:sz w:val="24"/>
          <w:szCs w:val="24"/>
        </w:rPr>
        <w:t xml:space="preserve"> million patients by 2026</w:t>
      </w:r>
      <w:r w:rsidR="009A7187" w:rsidRPr="00A461B6">
        <w:rPr>
          <w:color w:val="auto"/>
          <w:sz w:val="24"/>
          <w:szCs w:val="24"/>
        </w:rPr>
        <w:t>-</w:t>
      </w:r>
      <w:r w:rsidRPr="00A461B6">
        <w:rPr>
          <w:color w:val="auto"/>
          <w:sz w:val="24"/>
          <w:szCs w:val="24"/>
        </w:rPr>
        <w:t xml:space="preserve">27) have been estimated to save </w:t>
      </w:r>
      <w:r w:rsidR="00E671A5" w:rsidRPr="00A461B6">
        <w:rPr>
          <w:color w:val="auto"/>
          <w:sz w:val="24"/>
          <w:szCs w:val="24"/>
        </w:rPr>
        <w:t xml:space="preserve">15 minutes travel </w:t>
      </w:r>
      <w:r w:rsidR="00D3784D" w:rsidRPr="00A461B6">
        <w:rPr>
          <w:color w:val="auto"/>
          <w:sz w:val="24"/>
          <w:szCs w:val="24"/>
        </w:rPr>
        <w:t xml:space="preserve">time </w:t>
      </w:r>
      <w:r w:rsidR="00E671A5" w:rsidRPr="00A461B6">
        <w:rPr>
          <w:color w:val="auto"/>
          <w:sz w:val="24"/>
          <w:szCs w:val="24"/>
        </w:rPr>
        <w:t xml:space="preserve">and </w:t>
      </w:r>
      <w:r w:rsidRPr="00A461B6">
        <w:rPr>
          <w:color w:val="auto"/>
          <w:sz w:val="24"/>
          <w:szCs w:val="24"/>
        </w:rPr>
        <w:t>20 minutes</w:t>
      </w:r>
      <w:r w:rsidRPr="00A461B6">
        <w:rPr>
          <w:rStyle w:val="FootnoteReference"/>
          <w:color w:val="auto"/>
          <w:sz w:val="24"/>
          <w:szCs w:val="24"/>
        </w:rPr>
        <w:footnoteReference w:id="50"/>
      </w:r>
      <w:r w:rsidRPr="00A461B6">
        <w:rPr>
          <w:color w:val="auto"/>
          <w:sz w:val="24"/>
          <w:szCs w:val="24"/>
        </w:rPr>
        <w:t xml:space="preserve"> attending a GP clinic annually and 120 minutes (8 visits x 15 minutes) attending the pharmacy annually. </w:t>
      </w:r>
    </w:p>
    <w:p w14:paraId="1B56BFCD" w14:textId="6179FB4C" w:rsidR="001D11CD" w:rsidRPr="00A461B6" w:rsidRDefault="001D11CD" w:rsidP="001D11CD">
      <w:pPr>
        <w:rPr>
          <w:i/>
          <w:color w:val="auto"/>
          <w:sz w:val="24"/>
          <w:szCs w:val="24"/>
        </w:rPr>
      </w:pPr>
      <w:r w:rsidRPr="00A461B6">
        <w:rPr>
          <w:i/>
          <w:color w:val="auto"/>
          <w:sz w:val="24"/>
          <w:szCs w:val="24"/>
        </w:rPr>
        <w:t xml:space="preserve">All other impacts as for Consumers under Option </w:t>
      </w:r>
      <w:r w:rsidR="00D61146" w:rsidRPr="00A461B6">
        <w:rPr>
          <w:i/>
          <w:color w:val="auto"/>
          <w:sz w:val="24"/>
          <w:szCs w:val="24"/>
        </w:rPr>
        <w:t>2</w:t>
      </w:r>
      <w:r w:rsidRPr="00A461B6">
        <w:rPr>
          <w:i/>
          <w:color w:val="auto"/>
          <w:sz w:val="24"/>
          <w:szCs w:val="24"/>
        </w:rPr>
        <w:t>.</w:t>
      </w:r>
    </w:p>
    <w:p w14:paraId="6A08DDC8" w14:textId="35321CDE" w:rsidR="00B72094" w:rsidRPr="00A461B6" w:rsidRDefault="00B72094" w:rsidP="00B72094">
      <w:pPr>
        <w:pStyle w:val="TableHeadingRow"/>
        <w:rPr>
          <w:rFonts w:cstheme="minorBidi"/>
          <w:b w:val="0"/>
          <w:bCs w:val="0"/>
          <w:color w:val="auto"/>
        </w:rPr>
      </w:pPr>
      <w:r w:rsidRPr="00A461B6">
        <w:rPr>
          <w:rFonts w:cstheme="minorBidi"/>
          <w:b w:val="0"/>
          <w:bCs w:val="0"/>
          <w:color w:val="auto"/>
        </w:rPr>
        <w:t xml:space="preserve">The following table shows the Direct Regulatory Impact savings for consumers if the </w:t>
      </w:r>
      <w:r w:rsidR="00D835A5" w:rsidRPr="00A461B6">
        <w:rPr>
          <w:rFonts w:cstheme="minorBidi"/>
          <w:b w:val="0"/>
          <w:bCs w:val="0"/>
          <w:color w:val="auto"/>
        </w:rPr>
        <w:t xml:space="preserve">MDQ </w:t>
      </w:r>
      <w:r w:rsidR="006A7936" w:rsidRPr="00A461B6">
        <w:rPr>
          <w:rFonts w:cstheme="minorBidi"/>
          <w:b w:val="0"/>
          <w:bCs w:val="0"/>
          <w:color w:val="auto"/>
        </w:rPr>
        <w:t>is increased to</w:t>
      </w:r>
      <w:r w:rsidRPr="00A461B6">
        <w:rPr>
          <w:rFonts w:cstheme="minorBidi"/>
          <w:b w:val="0"/>
          <w:bCs w:val="0"/>
          <w:color w:val="auto"/>
        </w:rPr>
        <w:t xml:space="preserve"> three </w:t>
      </w:r>
      <w:r w:rsidR="007304FE" w:rsidRPr="00A461B6">
        <w:rPr>
          <w:rFonts w:cstheme="minorBidi"/>
          <w:b w:val="0"/>
          <w:bCs w:val="0"/>
          <w:color w:val="auto"/>
        </w:rPr>
        <w:t>months’</w:t>
      </w:r>
      <w:r w:rsidRPr="00A461B6">
        <w:rPr>
          <w:rFonts w:cstheme="minorBidi"/>
          <w:b w:val="0"/>
          <w:bCs w:val="0"/>
          <w:color w:val="auto"/>
        </w:rPr>
        <w:t xml:space="preserve"> supply for medicines </w:t>
      </w:r>
      <w:r w:rsidR="006A7936" w:rsidRPr="00A461B6">
        <w:rPr>
          <w:rFonts w:cstheme="minorBidi"/>
          <w:b w:val="0"/>
          <w:bCs w:val="0"/>
          <w:color w:val="auto"/>
        </w:rPr>
        <w:t>included in the proposal</w:t>
      </w:r>
      <w:r w:rsidRPr="00A461B6">
        <w:rPr>
          <w:rFonts w:cstheme="minorBidi"/>
          <w:b w:val="0"/>
          <w:bCs w:val="0"/>
          <w:color w:val="auto"/>
        </w:rPr>
        <w:t xml:space="preserve">. </w:t>
      </w:r>
    </w:p>
    <w:p w14:paraId="71313857" w14:textId="010AB04A" w:rsidR="00B72094" w:rsidRPr="00A461B6" w:rsidRDefault="00B72094" w:rsidP="00B72094">
      <w:pPr>
        <w:rPr>
          <w:color w:val="auto"/>
          <w:sz w:val="24"/>
          <w:szCs w:val="24"/>
        </w:rPr>
      </w:pPr>
      <w:r w:rsidRPr="00A461B6">
        <w:rPr>
          <w:color w:val="auto"/>
          <w:sz w:val="24"/>
          <w:szCs w:val="24"/>
        </w:rPr>
        <w:t xml:space="preserve">It is estimated around </w:t>
      </w:r>
      <w:r w:rsidR="00F001F4" w:rsidRPr="00A461B6">
        <w:rPr>
          <w:color w:val="auto"/>
          <w:sz w:val="24"/>
          <w:szCs w:val="24"/>
        </w:rPr>
        <w:t>1.8 million</w:t>
      </w:r>
      <w:r w:rsidR="004B551F" w:rsidRPr="00A461B6">
        <w:rPr>
          <w:color w:val="auto"/>
          <w:sz w:val="24"/>
          <w:szCs w:val="24"/>
        </w:rPr>
        <w:t xml:space="preserve"> </w:t>
      </w:r>
      <w:r w:rsidRPr="00A461B6">
        <w:rPr>
          <w:color w:val="auto"/>
          <w:sz w:val="24"/>
          <w:szCs w:val="24"/>
        </w:rPr>
        <w:t>patients will benefit in 2023-24, with total reduction in regulatory burden of approximately $</w:t>
      </w:r>
      <w:r w:rsidR="00A76876" w:rsidRPr="00A461B6">
        <w:rPr>
          <w:color w:val="auto"/>
          <w:sz w:val="24"/>
        </w:rPr>
        <w:t>167</w:t>
      </w:r>
      <w:r w:rsidR="003D61B5" w:rsidRPr="00A461B6">
        <w:rPr>
          <w:color w:val="auto"/>
          <w:sz w:val="24"/>
        </w:rPr>
        <w:t xml:space="preserve"> </w:t>
      </w:r>
      <w:r w:rsidRPr="00A461B6">
        <w:rPr>
          <w:color w:val="auto"/>
          <w:sz w:val="24"/>
          <w:szCs w:val="24"/>
        </w:rPr>
        <w:t>million</w:t>
      </w:r>
      <w:r w:rsidR="004B551F" w:rsidRPr="00A461B6">
        <w:rPr>
          <w:color w:val="auto"/>
          <w:sz w:val="24"/>
          <w:szCs w:val="24"/>
        </w:rPr>
        <w:t>.</w:t>
      </w:r>
      <w:r w:rsidRPr="00A461B6">
        <w:rPr>
          <w:color w:val="auto"/>
          <w:sz w:val="24"/>
          <w:szCs w:val="24"/>
        </w:rPr>
        <w:t xml:space="preserve"> </w:t>
      </w:r>
      <w:r w:rsidR="004B551F" w:rsidRPr="00A461B6">
        <w:rPr>
          <w:color w:val="auto"/>
          <w:sz w:val="24"/>
          <w:szCs w:val="24"/>
        </w:rPr>
        <w:t xml:space="preserve">This </w:t>
      </w:r>
      <w:r w:rsidRPr="00A461B6">
        <w:rPr>
          <w:color w:val="auto"/>
          <w:sz w:val="24"/>
          <w:szCs w:val="24"/>
        </w:rPr>
        <w:t>increas</w:t>
      </w:r>
      <w:r w:rsidR="004B551F" w:rsidRPr="00A461B6">
        <w:rPr>
          <w:color w:val="auto"/>
          <w:sz w:val="24"/>
          <w:szCs w:val="24"/>
        </w:rPr>
        <w:t>es</w:t>
      </w:r>
      <w:r w:rsidRPr="00A461B6">
        <w:rPr>
          <w:color w:val="auto"/>
          <w:sz w:val="24"/>
          <w:szCs w:val="24"/>
        </w:rPr>
        <w:t xml:space="preserve"> to more than</w:t>
      </w:r>
      <w:r w:rsidR="00F001F4" w:rsidRPr="00A461B6">
        <w:rPr>
          <w:color w:val="auto"/>
          <w:sz w:val="24"/>
          <w:szCs w:val="24"/>
        </w:rPr>
        <w:t xml:space="preserve"> 1.89</w:t>
      </w:r>
      <w:r w:rsidRPr="00A461B6">
        <w:rPr>
          <w:color w:val="auto"/>
          <w:sz w:val="24"/>
          <w:szCs w:val="24"/>
        </w:rPr>
        <w:t xml:space="preserve"> </w:t>
      </w:r>
      <w:r w:rsidR="009A7187" w:rsidRPr="00A461B6">
        <w:rPr>
          <w:color w:val="auto"/>
          <w:sz w:val="24"/>
          <w:szCs w:val="24"/>
        </w:rPr>
        <w:t xml:space="preserve">million </w:t>
      </w:r>
      <w:r w:rsidRPr="00A461B6">
        <w:rPr>
          <w:color w:val="auto"/>
          <w:sz w:val="24"/>
          <w:szCs w:val="24"/>
        </w:rPr>
        <w:t>patients with more than $</w:t>
      </w:r>
      <w:r w:rsidR="00A76876" w:rsidRPr="00A461B6">
        <w:rPr>
          <w:color w:val="auto"/>
          <w:sz w:val="24"/>
        </w:rPr>
        <w:t>175</w:t>
      </w:r>
      <w:r w:rsidR="003D61B5" w:rsidRPr="00A461B6">
        <w:rPr>
          <w:color w:val="auto"/>
          <w:sz w:val="24"/>
        </w:rPr>
        <w:t xml:space="preserve"> </w:t>
      </w:r>
      <w:r w:rsidRPr="00A461B6">
        <w:rPr>
          <w:color w:val="auto"/>
          <w:sz w:val="24"/>
          <w:szCs w:val="24"/>
        </w:rPr>
        <w:t>million in reduced regulatory burden by 2026-27</w:t>
      </w:r>
      <w:r w:rsidR="00E50D6C" w:rsidRPr="00A461B6">
        <w:rPr>
          <w:color w:val="auto"/>
          <w:sz w:val="24"/>
          <w:szCs w:val="24"/>
        </w:rPr>
        <w:t>.</w:t>
      </w:r>
    </w:p>
    <w:p w14:paraId="0A873ADC" w14:textId="77777777" w:rsidR="004A67CD" w:rsidRPr="00A461B6" w:rsidRDefault="004A67CD" w:rsidP="004A67CD">
      <w:pPr>
        <w:rPr>
          <w:color w:val="auto"/>
          <w:sz w:val="24"/>
          <w:szCs w:val="24"/>
        </w:rPr>
      </w:pPr>
      <w:r w:rsidRPr="00A461B6">
        <w:rPr>
          <w:color w:val="auto"/>
          <w:sz w:val="24"/>
          <w:szCs w:val="24"/>
        </w:rPr>
        <w:t>The following method and assumptions were used:</w:t>
      </w:r>
    </w:p>
    <w:p w14:paraId="2B99A740" w14:textId="1DF40EE8" w:rsidR="00275A4D" w:rsidRPr="00A461B6" w:rsidRDefault="004A67CD" w:rsidP="00275A4D">
      <w:pPr>
        <w:pStyle w:val="ListParagraph"/>
        <w:numPr>
          <w:ilvl w:val="0"/>
          <w:numId w:val="23"/>
        </w:numPr>
        <w:rPr>
          <w:color w:val="auto"/>
          <w:sz w:val="24"/>
          <w:szCs w:val="24"/>
        </w:rPr>
      </w:pPr>
      <w:r w:rsidRPr="00A461B6">
        <w:rPr>
          <w:color w:val="auto"/>
          <w:sz w:val="24"/>
          <w:szCs w:val="24"/>
        </w:rPr>
        <w:t xml:space="preserve">The base number of patients eligible was derived from PBS data. </w:t>
      </w:r>
      <w:r w:rsidR="00275A4D" w:rsidRPr="00A461B6">
        <w:rPr>
          <w:color w:val="auto"/>
          <w:sz w:val="24"/>
          <w:szCs w:val="24"/>
        </w:rPr>
        <w:t>A</w:t>
      </w:r>
      <w:r w:rsidRPr="00A461B6">
        <w:rPr>
          <w:color w:val="auto"/>
          <w:sz w:val="24"/>
          <w:szCs w:val="24"/>
        </w:rPr>
        <w:t>round 9.</w:t>
      </w:r>
      <w:r w:rsidR="00F001F4" w:rsidRPr="00A461B6">
        <w:rPr>
          <w:color w:val="auto"/>
          <w:sz w:val="24"/>
          <w:szCs w:val="24"/>
        </w:rPr>
        <w:t>6</w:t>
      </w:r>
      <w:r w:rsidR="009A7187" w:rsidRPr="00A461B6">
        <w:rPr>
          <w:color w:val="auto"/>
          <w:sz w:val="24"/>
          <w:szCs w:val="24"/>
        </w:rPr>
        <w:t> </w:t>
      </w:r>
      <w:r w:rsidRPr="00A461B6">
        <w:rPr>
          <w:color w:val="auto"/>
          <w:sz w:val="24"/>
          <w:szCs w:val="24"/>
        </w:rPr>
        <w:t xml:space="preserve">million patients received two or more </w:t>
      </w:r>
      <w:r w:rsidR="00E1628E" w:rsidRPr="00A461B6">
        <w:rPr>
          <w:color w:val="auto"/>
          <w:sz w:val="24"/>
          <w:szCs w:val="24"/>
        </w:rPr>
        <w:t>dispensing’s</w:t>
      </w:r>
      <w:r w:rsidRPr="00A461B6">
        <w:rPr>
          <w:color w:val="auto"/>
          <w:sz w:val="24"/>
          <w:szCs w:val="24"/>
        </w:rPr>
        <w:t xml:space="preserve"> of the </w:t>
      </w:r>
      <w:r w:rsidR="004D28D8">
        <w:rPr>
          <w:color w:val="auto"/>
          <w:sz w:val="24"/>
          <w:szCs w:val="24"/>
        </w:rPr>
        <w:t xml:space="preserve">PBS </w:t>
      </w:r>
      <w:r w:rsidR="00275A4D" w:rsidRPr="00A461B6">
        <w:rPr>
          <w:color w:val="auto"/>
          <w:sz w:val="24"/>
          <w:szCs w:val="24"/>
        </w:rPr>
        <w:t xml:space="preserve">medicines in the list found suitable by the PBAC for increased MDQs in 2022. Of these, a subset of 1.77 million patients were only dispensed the increased MDQ medicines (and no other PBS medicines), therefore may benefit from fewer visits to the pharmacy and prescriber (GP). </w:t>
      </w:r>
    </w:p>
    <w:p w14:paraId="3FDA27B7" w14:textId="691D159D" w:rsidR="004A67CD" w:rsidRPr="00A461B6" w:rsidRDefault="006B6FD7" w:rsidP="008A2C64">
      <w:pPr>
        <w:pStyle w:val="ListParagraph"/>
        <w:numPr>
          <w:ilvl w:val="0"/>
          <w:numId w:val="23"/>
        </w:numPr>
        <w:rPr>
          <w:color w:val="auto"/>
          <w:sz w:val="24"/>
          <w:szCs w:val="24"/>
        </w:rPr>
      </w:pPr>
      <w:r w:rsidRPr="00A461B6">
        <w:rPr>
          <w:color w:val="auto"/>
          <w:sz w:val="24"/>
          <w:szCs w:val="24"/>
        </w:rPr>
        <w:t>At a population level</w:t>
      </w:r>
      <w:r w:rsidR="006D6326" w:rsidRPr="00A461B6">
        <w:rPr>
          <w:color w:val="auto"/>
          <w:sz w:val="24"/>
          <w:szCs w:val="24"/>
        </w:rPr>
        <w:t>,</w:t>
      </w:r>
      <w:r w:rsidRPr="00A461B6">
        <w:rPr>
          <w:color w:val="auto"/>
          <w:sz w:val="24"/>
          <w:szCs w:val="24"/>
        </w:rPr>
        <w:t xml:space="preserve"> the assumed </w:t>
      </w:r>
      <w:r w:rsidR="004A67CD" w:rsidRPr="00A461B6">
        <w:rPr>
          <w:color w:val="auto"/>
          <w:sz w:val="24"/>
          <w:szCs w:val="24"/>
        </w:rPr>
        <w:t>growth rate of PBS patient numbers per year is 1.6%</w:t>
      </w:r>
      <w:r w:rsidR="006D6326" w:rsidRPr="00A461B6">
        <w:rPr>
          <w:color w:val="auto"/>
          <w:sz w:val="24"/>
          <w:szCs w:val="24"/>
        </w:rPr>
        <w:t xml:space="preserve"> based on ABS population projections</w:t>
      </w:r>
      <w:r w:rsidR="004A67CD" w:rsidRPr="00A461B6">
        <w:rPr>
          <w:color w:val="auto"/>
          <w:sz w:val="24"/>
          <w:szCs w:val="24"/>
        </w:rPr>
        <w:t>.</w:t>
      </w:r>
      <w:r w:rsidR="00B855AF" w:rsidRPr="00A461B6">
        <w:rPr>
          <w:color w:val="auto"/>
          <w:sz w:val="24"/>
          <w:szCs w:val="24"/>
        </w:rPr>
        <w:t xml:space="preserve"> </w:t>
      </w:r>
      <w:r w:rsidR="00B855AF" w:rsidRPr="004D28D8">
        <w:rPr>
          <w:color w:val="auto"/>
          <w:sz w:val="24"/>
        </w:rPr>
        <w:t>In 2023-24, it is assumed that the number of unique patients that will be prescribed more than one prescription for an MDQ item (but no other PBS subsidised medicines) will be 1.8 million.</w:t>
      </w:r>
    </w:p>
    <w:p w14:paraId="2F327F2F" w14:textId="69245113" w:rsidR="004A67CD" w:rsidRPr="00A461B6" w:rsidRDefault="004A67CD" w:rsidP="008A2C64">
      <w:pPr>
        <w:pStyle w:val="ListParagraph"/>
        <w:numPr>
          <w:ilvl w:val="0"/>
          <w:numId w:val="23"/>
        </w:numPr>
        <w:rPr>
          <w:color w:val="auto"/>
          <w:sz w:val="24"/>
          <w:szCs w:val="24"/>
        </w:rPr>
      </w:pPr>
      <w:r w:rsidRPr="00A461B6">
        <w:rPr>
          <w:color w:val="auto"/>
          <w:sz w:val="24"/>
          <w:szCs w:val="24"/>
        </w:rPr>
        <w:t xml:space="preserve">Number of person minutes saved is GP visit x </w:t>
      </w:r>
      <w:r w:rsidR="006D6326" w:rsidRPr="00A461B6">
        <w:rPr>
          <w:color w:val="auto"/>
          <w:sz w:val="24"/>
          <w:szCs w:val="24"/>
        </w:rPr>
        <w:t>1.8 million</w:t>
      </w:r>
      <w:r w:rsidRPr="00A461B6">
        <w:rPr>
          <w:color w:val="auto"/>
          <w:sz w:val="24"/>
          <w:szCs w:val="24"/>
        </w:rPr>
        <w:t xml:space="preserve"> patients x 35 minutes (GP visit + travel time of 15 minutes) + 8 pharmacy visits x </w:t>
      </w:r>
      <w:r w:rsidR="006D6326" w:rsidRPr="00A461B6">
        <w:rPr>
          <w:color w:val="auto"/>
          <w:sz w:val="24"/>
          <w:szCs w:val="24"/>
        </w:rPr>
        <w:t>1.8 million</w:t>
      </w:r>
      <w:r w:rsidRPr="00A461B6">
        <w:rPr>
          <w:color w:val="auto"/>
          <w:sz w:val="24"/>
          <w:szCs w:val="24"/>
        </w:rPr>
        <w:t xml:space="preserve"> patients x 15 minutes.</w:t>
      </w:r>
    </w:p>
    <w:p w14:paraId="3A9A3BAF" w14:textId="4A27787A" w:rsidR="00E45FF2" w:rsidRPr="00A461B6" w:rsidRDefault="00E45FF2" w:rsidP="00E45FF2">
      <w:pPr>
        <w:pStyle w:val="ListParagraph"/>
        <w:numPr>
          <w:ilvl w:val="0"/>
          <w:numId w:val="23"/>
        </w:numPr>
        <w:rPr>
          <w:color w:val="0D0D0D" w:themeColor="text1" w:themeTint="F2"/>
          <w:sz w:val="24"/>
          <w:szCs w:val="24"/>
        </w:rPr>
      </w:pPr>
      <w:r w:rsidRPr="00A461B6">
        <w:rPr>
          <w:color w:val="0D0D0D" w:themeColor="text1" w:themeTint="F2"/>
          <w:sz w:val="24"/>
          <w:szCs w:val="24"/>
        </w:rPr>
        <w:t>Consumer/person time saved per pharmacy visit does not include travel time. GP offices and pharmacies may be co-located.</w:t>
      </w:r>
    </w:p>
    <w:p w14:paraId="49F06DE2" w14:textId="77777777" w:rsidR="00E45FF2" w:rsidRPr="00A461B6" w:rsidRDefault="00E45FF2" w:rsidP="00E45FF2">
      <w:pPr>
        <w:pStyle w:val="ListParagraph"/>
        <w:numPr>
          <w:ilvl w:val="0"/>
          <w:numId w:val="23"/>
        </w:numPr>
        <w:rPr>
          <w:color w:val="0D0D0D" w:themeColor="text1" w:themeTint="F2"/>
          <w:sz w:val="24"/>
          <w:szCs w:val="24"/>
        </w:rPr>
      </w:pPr>
      <w:r w:rsidRPr="00A461B6">
        <w:rPr>
          <w:color w:val="0D0D0D" w:themeColor="text1" w:themeTint="F2"/>
          <w:sz w:val="24"/>
          <w:szCs w:val="24"/>
        </w:rPr>
        <w:t>The default value for an individual’s leisure time is estimated at $36</w:t>
      </w:r>
      <w:r w:rsidRPr="00A461B6">
        <w:rPr>
          <w:rStyle w:val="FootnoteReference"/>
          <w:color w:val="0D0D0D" w:themeColor="text1" w:themeTint="F2"/>
          <w:sz w:val="24"/>
          <w:szCs w:val="24"/>
        </w:rPr>
        <w:footnoteReference w:id="51"/>
      </w:r>
      <w:r w:rsidRPr="00A461B6">
        <w:rPr>
          <w:color w:val="0D0D0D" w:themeColor="text1" w:themeTint="F2"/>
          <w:sz w:val="24"/>
          <w:szCs w:val="24"/>
        </w:rPr>
        <w:t xml:space="preserve"> per hour.</w:t>
      </w:r>
    </w:p>
    <w:p w14:paraId="6E763704" w14:textId="628E083B" w:rsidR="004A67CD" w:rsidRPr="00A461B6" w:rsidRDefault="004A67CD" w:rsidP="008A2C64">
      <w:pPr>
        <w:pStyle w:val="ListParagraph"/>
        <w:numPr>
          <w:ilvl w:val="0"/>
          <w:numId w:val="23"/>
        </w:numPr>
        <w:rPr>
          <w:color w:val="auto"/>
          <w:sz w:val="24"/>
          <w:szCs w:val="24"/>
        </w:rPr>
      </w:pPr>
      <w:r w:rsidRPr="00A461B6">
        <w:rPr>
          <w:color w:val="auto"/>
          <w:sz w:val="24"/>
          <w:szCs w:val="24"/>
        </w:rPr>
        <w:t>The estimated regulatory impact of the save is: (consumer</w:t>
      </w:r>
      <w:r w:rsidR="00E45FF2" w:rsidRPr="00A461B6">
        <w:rPr>
          <w:color w:val="auto"/>
          <w:sz w:val="24"/>
          <w:szCs w:val="24"/>
        </w:rPr>
        <w:t>/person</w:t>
      </w:r>
      <w:r w:rsidRPr="00A461B6">
        <w:rPr>
          <w:color w:val="auto"/>
          <w:sz w:val="24"/>
          <w:szCs w:val="24"/>
        </w:rPr>
        <w:t xml:space="preserve"> minutes saved x $</w:t>
      </w:r>
      <w:r w:rsidRPr="00A461B6">
        <w:rPr>
          <w:color w:val="auto"/>
          <w:sz w:val="24"/>
        </w:rPr>
        <w:t>3</w:t>
      </w:r>
      <w:r w:rsidR="003D61B5" w:rsidRPr="00A461B6">
        <w:rPr>
          <w:color w:val="auto"/>
          <w:sz w:val="24"/>
        </w:rPr>
        <w:t>6</w:t>
      </w:r>
      <w:r w:rsidRPr="00A461B6">
        <w:rPr>
          <w:color w:val="auto"/>
          <w:sz w:val="24"/>
          <w:szCs w:val="24"/>
        </w:rPr>
        <w:t>), divided by 60.</w:t>
      </w:r>
    </w:p>
    <w:p w14:paraId="4BB940F0" w14:textId="77777777" w:rsidR="00B855AF" w:rsidRPr="004D28D8" w:rsidRDefault="00B855AF" w:rsidP="00B855AF">
      <w:pPr>
        <w:pStyle w:val="ListParagraph"/>
        <w:numPr>
          <w:ilvl w:val="0"/>
          <w:numId w:val="23"/>
        </w:numPr>
      </w:pPr>
      <w:r w:rsidRPr="004D28D8">
        <w:rPr>
          <w:color w:val="0D0D0D" w:themeColor="text1" w:themeTint="F2"/>
          <w:sz w:val="24"/>
        </w:rPr>
        <w:t>The estimated regulatory impact assumes a single implementation date in 2023-24.</w:t>
      </w:r>
    </w:p>
    <w:p w14:paraId="7DDEAB41" w14:textId="77777777" w:rsidR="00B855AF" w:rsidRPr="00A461B6" w:rsidRDefault="00B855AF" w:rsidP="00B855AF">
      <w:pPr>
        <w:pStyle w:val="ListParagraph"/>
        <w:rPr>
          <w:color w:val="auto"/>
          <w:sz w:val="24"/>
          <w:szCs w:val="24"/>
        </w:rPr>
      </w:pPr>
    </w:p>
    <w:p w14:paraId="4D562692" w14:textId="486AEF9C" w:rsidR="00B72094" w:rsidRPr="00A461B6" w:rsidRDefault="00B72094" w:rsidP="00C816BC">
      <w:pPr>
        <w:pStyle w:val="Heading4"/>
      </w:pPr>
      <w:r w:rsidRPr="00A461B6">
        <w:t xml:space="preserve">Table </w:t>
      </w:r>
      <w:r w:rsidR="00313BA6" w:rsidRPr="00A461B6">
        <w:t>4.5</w:t>
      </w:r>
      <w:r w:rsidRPr="00A461B6">
        <w:t xml:space="preserve">:  Direct Regulatory Impact savings for consumers </w:t>
      </w:r>
      <w:r w:rsidR="004900A3" w:rsidRPr="00A461B6">
        <w:t>by increasing</w:t>
      </w:r>
      <w:r w:rsidRPr="00A461B6">
        <w:t xml:space="preserve"> </w:t>
      </w:r>
      <w:r w:rsidR="001B0431" w:rsidRPr="00A461B6">
        <w:t>M</w:t>
      </w:r>
      <w:r w:rsidRPr="00A461B6">
        <w:t>D</w:t>
      </w:r>
      <w:r w:rsidR="001B0431" w:rsidRPr="00A461B6">
        <w:t xml:space="preserve">Q </w:t>
      </w:r>
      <w:r w:rsidR="00032C71" w:rsidRPr="00A461B6">
        <w:t xml:space="preserve">to </w:t>
      </w:r>
      <w:r w:rsidRPr="00A461B6">
        <w:t>three months</w:t>
      </w:r>
      <w:r w:rsidR="001B0431" w:rsidRPr="00A461B6">
        <w:t>’</w:t>
      </w:r>
      <w:r w:rsidRPr="00A461B6">
        <w:t xml:space="preserve"> supply  </w:t>
      </w:r>
    </w:p>
    <w:tbl>
      <w:tblPr>
        <w:tblStyle w:val="TableGrid"/>
        <w:tblW w:w="0" w:type="auto"/>
        <w:tblLook w:val="04A0" w:firstRow="1" w:lastRow="0" w:firstColumn="1" w:lastColumn="0" w:noHBand="0" w:noVBand="1"/>
        <w:tblCaption w:val="Table 4.55:  Direct Regulatory Impact savings for consumers by increasing MDQ to three months’ supply"/>
      </w:tblPr>
      <w:tblGrid>
        <w:gridCol w:w="2122"/>
        <w:gridCol w:w="2126"/>
        <w:gridCol w:w="2126"/>
        <w:gridCol w:w="2126"/>
        <w:gridCol w:w="1694"/>
      </w:tblGrid>
      <w:tr w:rsidR="00B72094" w:rsidRPr="00A461B6" w14:paraId="49062956" w14:textId="77777777" w:rsidTr="00C67480">
        <w:trPr>
          <w:tblHeader/>
        </w:trPr>
        <w:tc>
          <w:tcPr>
            <w:tcW w:w="10194" w:type="dxa"/>
            <w:gridSpan w:val="5"/>
          </w:tcPr>
          <w:p w14:paraId="7D127B03" w14:textId="77777777" w:rsidR="00B72094" w:rsidRPr="00A461B6" w:rsidRDefault="00B72094" w:rsidP="00C816BC">
            <w:pPr>
              <w:pStyle w:val="TableHeadingRow"/>
            </w:pPr>
            <w:r w:rsidRPr="00A461B6">
              <w:t>Number of times per year each patient affected</w:t>
            </w:r>
          </w:p>
        </w:tc>
      </w:tr>
      <w:tr w:rsidR="00B72094" w:rsidRPr="00A461B6" w14:paraId="584AE2BC" w14:textId="77777777" w:rsidTr="00DC5650">
        <w:trPr>
          <w:trHeight w:val="109"/>
        </w:trPr>
        <w:tc>
          <w:tcPr>
            <w:tcW w:w="2122" w:type="dxa"/>
            <w:shd w:val="clear" w:color="auto" w:fill="F2F2F2" w:themeFill="background1" w:themeFillShade="F2"/>
            <w:vAlign w:val="bottom"/>
          </w:tcPr>
          <w:p w14:paraId="0C6C9CD7" w14:textId="77777777" w:rsidR="00B72094" w:rsidRPr="00A461B6" w:rsidRDefault="00B72094" w:rsidP="00D802AB">
            <w:pPr>
              <w:rPr>
                <w:sz w:val="24"/>
                <w:szCs w:val="24"/>
              </w:rPr>
            </w:pPr>
            <w:r w:rsidRPr="00A461B6">
              <w:rPr>
                <w:sz w:val="24"/>
                <w:szCs w:val="24"/>
              </w:rPr>
              <w:t>2023-24</w:t>
            </w:r>
          </w:p>
        </w:tc>
        <w:tc>
          <w:tcPr>
            <w:tcW w:w="2126" w:type="dxa"/>
            <w:shd w:val="clear" w:color="auto" w:fill="F2F2F2" w:themeFill="background1" w:themeFillShade="F2"/>
            <w:vAlign w:val="bottom"/>
          </w:tcPr>
          <w:p w14:paraId="3DC99A5B" w14:textId="77777777" w:rsidR="00B72094" w:rsidRPr="00A461B6" w:rsidRDefault="00B72094" w:rsidP="00D802AB">
            <w:pPr>
              <w:rPr>
                <w:sz w:val="24"/>
                <w:szCs w:val="24"/>
              </w:rPr>
            </w:pPr>
            <w:r w:rsidRPr="00A461B6">
              <w:rPr>
                <w:sz w:val="24"/>
                <w:szCs w:val="24"/>
              </w:rPr>
              <w:t>2024-25</w:t>
            </w:r>
          </w:p>
        </w:tc>
        <w:tc>
          <w:tcPr>
            <w:tcW w:w="2126" w:type="dxa"/>
            <w:shd w:val="clear" w:color="auto" w:fill="F2F2F2" w:themeFill="background1" w:themeFillShade="F2"/>
            <w:vAlign w:val="bottom"/>
          </w:tcPr>
          <w:p w14:paraId="7A335C03" w14:textId="77777777" w:rsidR="00B72094" w:rsidRPr="00A461B6" w:rsidRDefault="00B72094" w:rsidP="00D802AB">
            <w:pPr>
              <w:rPr>
                <w:sz w:val="24"/>
                <w:szCs w:val="24"/>
              </w:rPr>
            </w:pPr>
            <w:r w:rsidRPr="00A461B6">
              <w:rPr>
                <w:sz w:val="24"/>
                <w:szCs w:val="24"/>
              </w:rPr>
              <w:t>2025-26</w:t>
            </w:r>
          </w:p>
        </w:tc>
        <w:tc>
          <w:tcPr>
            <w:tcW w:w="2126" w:type="dxa"/>
            <w:shd w:val="clear" w:color="auto" w:fill="F2F2F2" w:themeFill="background1" w:themeFillShade="F2"/>
            <w:vAlign w:val="bottom"/>
          </w:tcPr>
          <w:p w14:paraId="1F5DDFD2" w14:textId="77777777" w:rsidR="00B72094" w:rsidRPr="00A461B6" w:rsidRDefault="00B72094" w:rsidP="00D802AB">
            <w:pPr>
              <w:rPr>
                <w:sz w:val="24"/>
                <w:szCs w:val="24"/>
              </w:rPr>
            </w:pPr>
            <w:r w:rsidRPr="00A461B6">
              <w:rPr>
                <w:sz w:val="24"/>
                <w:szCs w:val="24"/>
              </w:rPr>
              <w:t>2026-27</w:t>
            </w:r>
          </w:p>
        </w:tc>
        <w:tc>
          <w:tcPr>
            <w:tcW w:w="1694" w:type="dxa"/>
            <w:shd w:val="clear" w:color="auto" w:fill="F2F2F2" w:themeFill="background1" w:themeFillShade="F2"/>
          </w:tcPr>
          <w:p w14:paraId="6F603129" w14:textId="6C1DB51D" w:rsidR="00B72094" w:rsidRPr="00A461B6" w:rsidRDefault="004A67CD" w:rsidP="00D802AB">
            <w:pPr>
              <w:rPr>
                <w:sz w:val="24"/>
                <w:szCs w:val="24"/>
              </w:rPr>
            </w:pPr>
            <w:r w:rsidRPr="00A461B6">
              <w:rPr>
                <w:sz w:val="24"/>
                <w:szCs w:val="24"/>
              </w:rPr>
              <w:t>TOTAL</w:t>
            </w:r>
          </w:p>
        </w:tc>
      </w:tr>
      <w:tr w:rsidR="00B72094" w:rsidRPr="00A461B6" w14:paraId="0BD3184E" w14:textId="77777777" w:rsidTr="00D76730">
        <w:tc>
          <w:tcPr>
            <w:tcW w:w="8500" w:type="dxa"/>
            <w:gridSpan w:val="4"/>
          </w:tcPr>
          <w:p w14:paraId="4BE9356A" w14:textId="77777777" w:rsidR="00B72094" w:rsidRPr="00A461B6" w:rsidRDefault="00B72094" w:rsidP="00C816BC">
            <w:pPr>
              <w:pStyle w:val="TableHeadingRow"/>
              <w:rPr>
                <w:b w:val="0"/>
              </w:rPr>
            </w:pPr>
            <w:r w:rsidRPr="00A461B6">
              <w:rPr>
                <w:b w:val="0"/>
              </w:rPr>
              <w:t>GP visits saved per year</w:t>
            </w:r>
          </w:p>
        </w:tc>
        <w:tc>
          <w:tcPr>
            <w:tcW w:w="1694" w:type="dxa"/>
          </w:tcPr>
          <w:p w14:paraId="4CB30BA8" w14:textId="77777777" w:rsidR="00B72094" w:rsidRPr="00A461B6" w:rsidRDefault="00B72094" w:rsidP="00C816BC">
            <w:pPr>
              <w:pStyle w:val="TableHeadingRow"/>
              <w:rPr>
                <w:b w:val="0"/>
              </w:rPr>
            </w:pPr>
          </w:p>
        </w:tc>
      </w:tr>
      <w:tr w:rsidR="00B72094" w:rsidRPr="00A461B6" w14:paraId="4EFF7105" w14:textId="77777777" w:rsidTr="00D76730">
        <w:tc>
          <w:tcPr>
            <w:tcW w:w="2122" w:type="dxa"/>
            <w:vAlign w:val="bottom"/>
          </w:tcPr>
          <w:p w14:paraId="3C582DDF" w14:textId="77777777" w:rsidR="00B72094" w:rsidRPr="00A461B6" w:rsidRDefault="00B72094" w:rsidP="00D802AB">
            <w:pPr>
              <w:pStyle w:val="TableHeadingRow"/>
            </w:pPr>
            <w:r w:rsidRPr="00A461B6">
              <w:t>1</w:t>
            </w:r>
          </w:p>
        </w:tc>
        <w:tc>
          <w:tcPr>
            <w:tcW w:w="2126" w:type="dxa"/>
            <w:vAlign w:val="bottom"/>
          </w:tcPr>
          <w:p w14:paraId="1DE48D12" w14:textId="77777777" w:rsidR="00B72094" w:rsidRPr="00A461B6" w:rsidRDefault="00B72094" w:rsidP="00D802AB">
            <w:pPr>
              <w:pStyle w:val="TableHeadingRow"/>
            </w:pPr>
            <w:r w:rsidRPr="00A461B6">
              <w:t>1</w:t>
            </w:r>
          </w:p>
        </w:tc>
        <w:tc>
          <w:tcPr>
            <w:tcW w:w="2126" w:type="dxa"/>
            <w:vAlign w:val="bottom"/>
          </w:tcPr>
          <w:p w14:paraId="6404A2D6" w14:textId="77777777" w:rsidR="00B72094" w:rsidRPr="00A461B6" w:rsidRDefault="00B72094" w:rsidP="00D802AB">
            <w:pPr>
              <w:pStyle w:val="TableHeadingRow"/>
            </w:pPr>
            <w:r w:rsidRPr="00A461B6">
              <w:t>1</w:t>
            </w:r>
          </w:p>
        </w:tc>
        <w:tc>
          <w:tcPr>
            <w:tcW w:w="2126" w:type="dxa"/>
            <w:vAlign w:val="bottom"/>
          </w:tcPr>
          <w:p w14:paraId="20E7C788" w14:textId="77777777" w:rsidR="00B72094" w:rsidRPr="00A461B6" w:rsidRDefault="00B72094" w:rsidP="00D802AB">
            <w:pPr>
              <w:pStyle w:val="TableHeadingRow"/>
            </w:pPr>
            <w:r w:rsidRPr="00A461B6">
              <w:t>1</w:t>
            </w:r>
          </w:p>
        </w:tc>
        <w:tc>
          <w:tcPr>
            <w:tcW w:w="1694" w:type="dxa"/>
          </w:tcPr>
          <w:p w14:paraId="76DE736F" w14:textId="77777777" w:rsidR="00B72094" w:rsidRPr="00A461B6" w:rsidRDefault="00B72094" w:rsidP="00C816BC">
            <w:pPr>
              <w:pStyle w:val="TableHeadingRow"/>
            </w:pPr>
          </w:p>
        </w:tc>
      </w:tr>
      <w:tr w:rsidR="00B72094" w:rsidRPr="00A461B6" w14:paraId="71F68167" w14:textId="77777777" w:rsidTr="00D76730">
        <w:tc>
          <w:tcPr>
            <w:tcW w:w="8500" w:type="dxa"/>
            <w:gridSpan w:val="4"/>
          </w:tcPr>
          <w:p w14:paraId="389FA4DC" w14:textId="77777777" w:rsidR="00B72094" w:rsidRPr="00A461B6" w:rsidRDefault="00B72094" w:rsidP="00C816BC">
            <w:pPr>
              <w:pStyle w:val="TableHeadingRow"/>
              <w:rPr>
                <w:b w:val="0"/>
              </w:rPr>
            </w:pPr>
            <w:r w:rsidRPr="00A461B6">
              <w:rPr>
                <w:b w:val="0"/>
              </w:rPr>
              <w:t>Pharmacy visits saved per year</w:t>
            </w:r>
          </w:p>
        </w:tc>
        <w:tc>
          <w:tcPr>
            <w:tcW w:w="1694" w:type="dxa"/>
          </w:tcPr>
          <w:p w14:paraId="5F844FCE" w14:textId="77777777" w:rsidR="00B72094" w:rsidRPr="00A461B6" w:rsidRDefault="00B72094" w:rsidP="00C816BC">
            <w:pPr>
              <w:pStyle w:val="TableHeadingRow"/>
              <w:rPr>
                <w:b w:val="0"/>
              </w:rPr>
            </w:pPr>
          </w:p>
        </w:tc>
      </w:tr>
      <w:tr w:rsidR="00B72094" w:rsidRPr="00A461B6" w14:paraId="3EC2C8EF" w14:textId="77777777" w:rsidTr="00D76730">
        <w:tc>
          <w:tcPr>
            <w:tcW w:w="2122" w:type="dxa"/>
            <w:vAlign w:val="bottom"/>
          </w:tcPr>
          <w:p w14:paraId="18CF3805" w14:textId="306D27CA" w:rsidR="00B72094" w:rsidRPr="00A461B6" w:rsidRDefault="005B18EB" w:rsidP="00D802AB">
            <w:pPr>
              <w:pStyle w:val="TableHeadingRow"/>
              <w:rPr>
                <w:color w:val="auto"/>
              </w:rPr>
            </w:pPr>
            <w:r w:rsidRPr="00A461B6">
              <w:rPr>
                <w:color w:val="auto"/>
              </w:rPr>
              <w:t>8</w:t>
            </w:r>
          </w:p>
        </w:tc>
        <w:tc>
          <w:tcPr>
            <w:tcW w:w="2126" w:type="dxa"/>
            <w:vAlign w:val="bottom"/>
          </w:tcPr>
          <w:p w14:paraId="60A4C4FF" w14:textId="1B18588D" w:rsidR="00B72094" w:rsidRPr="00A461B6" w:rsidRDefault="005B18EB" w:rsidP="00D802AB">
            <w:pPr>
              <w:pStyle w:val="TableHeadingRow"/>
              <w:rPr>
                <w:color w:val="auto"/>
              </w:rPr>
            </w:pPr>
            <w:r w:rsidRPr="00A461B6">
              <w:rPr>
                <w:color w:val="auto"/>
              </w:rPr>
              <w:t>8</w:t>
            </w:r>
          </w:p>
        </w:tc>
        <w:tc>
          <w:tcPr>
            <w:tcW w:w="2126" w:type="dxa"/>
            <w:vAlign w:val="bottom"/>
          </w:tcPr>
          <w:p w14:paraId="2C2658C8" w14:textId="4BB8FFCB" w:rsidR="00B72094" w:rsidRPr="00A461B6" w:rsidRDefault="005B18EB" w:rsidP="00D802AB">
            <w:pPr>
              <w:pStyle w:val="TableHeadingRow"/>
              <w:rPr>
                <w:color w:val="auto"/>
              </w:rPr>
            </w:pPr>
            <w:r w:rsidRPr="00A461B6">
              <w:rPr>
                <w:color w:val="auto"/>
              </w:rPr>
              <w:t>8</w:t>
            </w:r>
          </w:p>
        </w:tc>
        <w:tc>
          <w:tcPr>
            <w:tcW w:w="2126" w:type="dxa"/>
            <w:vAlign w:val="bottom"/>
          </w:tcPr>
          <w:p w14:paraId="5628CAF2" w14:textId="64015B88" w:rsidR="00B72094" w:rsidRPr="00A461B6" w:rsidRDefault="005B18EB" w:rsidP="00D802AB">
            <w:pPr>
              <w:pStyle w:val="TableHeadingRow"/>
              <w:rPr>
                <w:color w:val="auto"/>
              </w:rPr>
            </w:pPr>
            <w:r w:rsidRPr="00A461B6">
              <w:rPr>
                <w:color w:val="auto"/>
              </w:rPr>
              <w:t>8</w:t>
            </w:r>
          </w:p>
        </w:tc>
        <w:tc>
          <w:tcPr>
            <w:tcW w:w="1694" w:type="dxa"/>
          </w:tcPr>
          <w:p w14:paraId="75FE7B08" w14:textId="77777777" w:rsidR="00B72094" w:rsidRPr="00A461B6" w:rsidRDefault="00B72094" w:rsidP="00C816BC">
            <w:pPr>
              <w:pStyle w:val="TableHeadingRow"/>
            </w:pPr>
          </w:p>
        </w:tc>
      </w:tr>
      <w:tr w:rsidR="00B72094" w:rsidRPr="00A461B6" w14:paraId="17D2ABE9" w14:textId="77777777" w:rsidTr="00D76730">
        <w:tc>
          <w:tcPr>
            <w:tcW w:w="8500" w:type="dxa"/>
            <w:gridSpan w:val="4"/>
          </w:tcPr>
          <w:p w14:paraId="51A3495F" w14:textId="77777777" w:rsidR="00B72094" w:rsidRPr="00A461B6" w:rsidRDefault="00B72094" w:rsidP="00C816BC">
            <w:pPr>
              <w:pStyle w:val="TableHeadingRow"/>
            </w:pPr>
            <w:r w:rsidRPr="00A461B6">
              <w:t>Number of patients affected</w:t>
            </w:r>
          </w:p>
        </w:tc>
        <w:tc>
          <w:tcPr>
            <w:tcW w:w="1694" w:type="dxa"/>
          </w:tcPr>
          <w:p w14:paraId="0042A578" w14:textId="77777777" w:rsidR="00B72094" w:rsidRPr="00A461B6" w:rsidRDefault="00B72094" w:rsidP="00C816BC">
            <w:pPr>
              <w:pStyle w:val="TableHeadingRow"/>
            </w:pPr>
          </w:p>
        </w:tc>
      </w:tr>
      <w:tr w:rsidR="006D6326" w:rsidRPr="00A461B6" w14:paraId="574F1C7C" w14:textId="77777777" w:rsidTr="00AE54EB">
        <w:tc>
          <w:tcPr>
            <w:tcW w:w="2122" w:type="dxa"/>
            <w:vAlign w:val="bottom"/>
          </w:tcPr>
          <w:p w14:paraId="27B5482C" w14:textId="34BB5ADE" w:rsidR="006D6326" w:rsidRPr="00A461B6" w:rsidRDefault="006D6326" w:rsidP="00D802AB">
            <w:pPr>
              <w:pStyle w:val="TableHeadingRow"/>
            </w:pPr>
            <w:r w:rsidRPr="00A461B6">
              <w:rPr>
                <w:color w:val="000000"/>
              </w:rPr>
              <w:t xml:space="preserve">1,800,000 </w:t>
            </w:r>
          </w:p>
        </w:tc>
        <w:tc>
          <w:tcPr>
            <w:tcW w:w="2126" w:type="dxa"/>
            <w:vAlign w:val="bottom"/>
          </w:tcPr>
          <w:p w14:paraId="709E7734" w14:textId="1299CE3E" w:rsidR="006D6326" w:rsidRPr="00A461B6" w:rsidRDefault="006D6326" w:rsidP="00D802AB">
            <w:pPr>
              <w:pStyle w:val="TableHeadingRow"/>
            </w:pPr>
            <w:r w:rsidRPr="00A461B6">
              <w:rPr>
                <w:color w:val="000000"/>
              </w:rPr>
              <w:t>1,830,000</w:t>
            </w:r>
          </w:p>
        </w:tc>
        <w:tc>
          <w:tcPr>
            <w:tcW w:w="2126" w:type="dxa"/>
            <w:vAlign w:val="bottom"/>
          </w:tcPr>
          <w:p w14:paraId="0A500114" w14:textId="3189E0F7" w:rsidR="006D6326" w:rsidRPr="00A461B6" w:rsidRDefault="006D6326" w:rsidP="00D802AB">
            <w:pPr>
              <w:pStyle w:val="TableHeadingRow"/>
            </w:pPr>
            <w:r w:rsidRPr="00A461B6">
              <w:rPr>
                <w:color w:val="000000"/>
              </w:rPr>
              <w:t>1,860,000</w:t>
            </w:r>
          </w:p>
        </w:tc>
        <w:tc>
          <w:tcPr>
            <w:tcW w:w="2126" w:type="dxa"/>
            <w:vAlign w:val="bottom"/>
          </w:tcPr>
          <w:p w14:paraId="3A46010E" w14:textId="11881F4D" w:rsidR="006D6326" w:rsidRPr="00A461B6" w:rsidRDefault="006D6326" w:rsidP="00D802AB">
            <w:pPr>
              <w:pStyle w:val="TableHeadingRow"/>
            </w:pPr>
            <w:r w:rsidRPr="00A461B6">
              <w:rPr>
                <w:color w:val="000000"/>
              </w:rPr>
              <w:t>1,890,000</w:t>
            </w:r>
          </w:p>
        </w:tc>
        <w:tc>
          <w:tcPr>
            <w:tcW w:w="1694" w:type="dxa"/>
          </w:tcPr>
          <w:p w14:paraId="2AA3570B" w14:textId="19575434" w:rsidR="006D6326" w:rsidRPr="00A461B6" w:rsidRDefault="006D6326" w:rsidP="00D802AB">
            <w:pPr>
              <w:pStyle w:val="TableHeadingRow"/>
            </w:pPr>
          </w:p>
        </w:tc>
      </w:tr>
      <w:tr w:rsidR="00B72094" w:rsidRPr="00A461B6" w14:paraId="46A0D63E" w14:textId="77777777" w:rsidTr="00D76730">
        <w:tc>
          <w:tcPr>
            <w:tcW w:w="8500" w:type="dxa"/>
            <w:gridSpan w:val="4"/>
          </w:tcPr>
          <w:p w14:paraId="11049292" w14:textId="77777777" w:rsidR="00B72094" w:rsidRPr="00A461B6" w:rsidRDefault="00B72094" w:rsidP="00C816BC">
            <w:pPr>
              <w:pStyle w:val="TableHeadingRow"/>
            </w:pPr>
            <w:r w:rsidRPr="00A461B6">
              <w:t>Number of person minutes saved (annual)</w:t>
            </w:r>
          </w:p>
        </w:tc>
        <w:tc>
          <w:tcPr>
            <w:tcW w:w="1694" w:type="dxa"/>
          </w:tcPr>
          <w:p w14:paraId="7777B67D" w14:textId="77777777" w:rsidR="00B72094" w:rsidRPr="00A461B6" w:rsidRDefault="00B72094" w:rsidP="00C816BC">
            <w:pPr>
              <w:pStyle w:val="TableHeadingRow"/>
            </w:pPr>
          </w:p>
        </w:tc>
      </w:tr>
      <w:tr w:rsidR="00B72094" w:rsidRPr="00A461B6" w14:paraId="5B0F9770" w14:textId="77777777" w:rsidTr="00D76730">
        <w:tc>
          <w:tcPr>
            <w:tcW w:w="2122" w:type="dxa"/>
            <w:shd w:val="clear" w:color="auto" w:fill="F2F2F2" w:themeFill="background1" w:themeFillShade="F2"/>
            <w:vAlign w:val="bottom"/>
          </w:tcPr>
          <w:p w14:paraId="2347D3AE" w14:textId="77777777" w:rsidR="00B72094" w:rsidRPr="00A461B6" w:rsidRDefault="00B72094" w:rsidP="00D802AB">
            <w:pPr>
              <w:rPr>
                <w:sz w:val="24"/>
                <w:szCs w:val="24"/>
              </w:rPr>
            </w:pPr>
            <w:r w:rsidRPr="00A461B6">
              <w:rPr>
                <w:sz w:val="24"/>
                <w:szCs w:val="24"/>
              </w:rPr>
              <w:t>2023-24</w:t>
            </w:r>
          </w:p>
        </w:tc>
        <w:tc>
          <w:tcPr>
            <w:tcW w:w="2126" w:type="dxa"/>
            <w:shd w:val="clear" w:color="auto" w:fill="F2F2F2" w:themeFill="background1" w:themeFillShade="F2"/>
            <w:vAlign w:val="bottom"/>
          </w:tcPr>
          <w:p w14:paraId="159074CF" w14:textId="77777777" w:rsidR="00B72094" w:rsidRPr="00A461B6" w:rsidRDefault="00B72094" w:rsidP="00D802AB">
            <w:pPr>
              <w:rPr>
                <w:sz w:val="24"/>
                <w:szCs w:val="24"/>
              </w:rPr>
            </w:pPr>
            <w:r w:rsidRPr="00A461B6">
              <w:rPr>
                <w:sz w:val="24"/>
                <w:szCs w:val="24"/>
              </w:rPr>
              <w:t>2024-25</w:t>
            </w:r>
          </w:p>
        </w:tc>
        <w:tc>
          <w:tcPr>
            <w:tcW w:w="2126" w:type="dxa"/>
            <w:shd w:val="clear" w:color="auto" w:fill="F2F2F2" w:themeFill="background1" w:themeFillShade="F2"/>
            <w:vAlign w:val="bottom"/>
          </w:tcPr>
          <w:p w14:paraId="61DDDE52" w14:textId="77777777" w:rsidR="00B72094" w:rsidRPr="00A461B6" w:rsidRDefault="00B72094" w:rsidP="00D802AB">
            <w:pPr>
              <w:rPr>
                <w:sz w:val="24"/>
                <w:szCs w:val="24"/>
              </w:rPr>
            </w:pPr>
            <w:r w:rsidRPr="00A461B6">
              <w:rPr>
                <w:sz w:val="24"/>
                <w:szCs w:val="24"/>
              </w:rPr>
              <w:t>2025-26</w:t>
            </w:r>
          </w:p>
        </w:tc>
        <w:tc>
          <w:tcPr>
            <w:tcW w:w="2126" w:type="dxa"/>
            <w:shd w:val="clear" w:color="auto" w:fill="F2F2F2" w:themeFill="background1" w:themeFillShade="F2"/>
            <w:vAlign w:val="bottom"/>
          </w:tcPr>
          <w:p w14:paraId="17A6E7AD" w14:textId="77777777" w:rsidR="00B72094" w:rsidRPr="00A461B6" w:rsidRDefault="00B72094" w:rsidP="00D802AB">
            <w:pPr>
              <w:rPr>
                <w:sz w:val="24"/>
                <w:szCs w:val="24"/>
              </w:rPr>
            </w:pPr>
            <w:r w:rsidRPr="00A461B6">
              <w:rPr>
                <w:sz w:val="24"/>
                <w:szCs w:val="24"/>
              </w:rPr>
              <w:t>2026-27</w:t>
            </w:r>
          </w:p>
        </w:tc>
        <w:tc>
          <w:tcPr>
            <w:tcW w:w="1694" w:type="dxa"/>
            <w:shd w:val="clear" w:color="auto" w:fill="F2F2F2" w:themeFill="background1" w:themeFillShade="F2"/>
          </w:tcPr>
          <w:p w14:paraId="7912A34C" w14:textId="77777777" w:rsidR="00B72094" w:rsidRPr="00A461B6" w:rsidRDefault="00B72094" w:rsidP="00C816BC">
            <w:pPr>
              <w:rPr>
                <w:sz w:val="24"/>
                <w:szCs w:val="24"/>
              </w:rPr>
            </w:pPr>
          </w:p>
        </w:tc>
      </w:tr>
      <w:tr w:rsidR="006D6326" w:rsidRPr="00A461B6" w14:paraId="01642EFC" w14:textId="77777777" w:rsidTr="00AE54EB">
        <w:tc>
          <w:tcPr>
            <w:tcW w:w="2122" w:type="dxa"/>
          </w:tcPr>
          <w:p w14:paraId="00319535" w14:textId="2BA1A8CC" w:rsidR="006D6326" w:rsidRPr="00A461B6" w:rsidRDefault="006D6326" w:rsidP="00D802AB">
            <w:pPr>
              <w:pStyle w:val="TableHeadingRow"/>
            </w:pPr>
            <w:r w:rsidRPr="00A461B6">
              <w:t>279,000,000</w:t>
            </w:r>
          </w:p>
        </w:tc>
        <w:tc>
          <w:tcPr>
            <w:tcW w:w="2126" w:type="dxa"/>
          </w:tcPr>
          <w:p w14:paraId="0935CCDA" w14:textId="73D5675C" w:rsidR="006D6326" w:rsidRPr="00A461B6" w:rsidRDefault="006D6326" w:rsidP="00D802AB">
            <w:pPr>
              <w:pStyle w:val="TableHeadingRow"/>
            </w:pPr>
            <w:r w:rsidRPr="00A461B6">
              <w:t>283,650,000</w:t>
            </w:r>
          </w:p>
        </w:tc>
        <w:tc>
          <w:tcPr>
            <w:tcW w:w="2126" w:type="dxa"/>
          </w:tcPr>
          <w:p w14:paraId="70007C51" w14:textId="5CEB18AD" w:rsidR="006D6326" w:rsidRPr="00A461B6" w:rsidRDefault="006D6326" w:rsidP="00D802AB">
            <w:pPr>
              <w:pStyle w:val="TableHeadingRow"/>
            </w:pPr>
            <w:r w:rsidRPr="00A461B6">
              <w:t>288,300,000</w:t>
            </w:r>
          </w:p>
        </w:tc>
        <w:tc>
          <w:tcPr>
            <w:tcW w:w="2126" w:type="dxa"/>
          </w:tcPr>
          <w:p w14:paraId="5DAE35B0" w14:textId="421E802F" w:rsidR="006D6326" w:rsidRPr="00A461B6" w:rsidRDefault="006D6326" w:rsidP="00D802AB">
            <w:pPr>
              <w:pStyle w:val="TableHeadingRow"/>
            </w:pPr>
            <w:r w:rsidRPr="00A461B6">
              <w:t>292,950,000</w:t>
            </w:r>
          </w:p>
        </w:tc>
        <w:tc>
          <w:tcPr>
            <w:tcW w:w="1694" w:type="dxa"/>
          </w:tcPr>
          <w:p w14:paraId="7F4E7ED2" w14:textId="77777777" w:rsidR="006D6326" w:rsidRPr="00A461B6" w:rsidRDefault="006D6326" w:rsidP="006D6326">
            <w:pPr>
              <w:pStyle w:val="TableHeadingRow"/>
              <w:rPr>
                <w:color w:val="000000"/>
              </w:rPr>
            </w:pPr>
          </w:p>
        </w:tc>
      </w:tr>
      <w:tr w:rsidR="00B72094" w:rsidRPr="00A461B6" w14:paraId="6D1A15A0" w14:textId="77777777" w:rsidTr="00D76730">
        <w:tc>
          <w:tcPr>
            <w:tcW w:w="8500" w:type="dxa"/>
            <w:gridSpan w:val="4"/>
          </w:tcPr>
          <w:p w14:paraId="7B6B3436" w14:textId="77777777" w:rsidR="00B72094" w:rsidRPr="00A461B6" w:rsidRDefault="00B72094" w:rsidP="00C816BC">
            <w:pPr>
              <w:pStyle w:val="TableHeadingRow"/>
              <w:rPr>
                <w:color w:val="auto"/>
              </w:rPr>
            </w:pPr>
            <w:r w:rsidRPr="00A461B6">
              <w:rPr>
                <w:color w:val="auto"/>
              </w:rPr>
              <w:t>Estimated Regulatory Impact value of patient save (annual)</w:t>
            </w:r>
          </w:p>
        </w:tc>
        <w:tc>
          <w:tcPr>
            <w:tcW w:w="1694" w:type="dxa"/>
          </w:tcPr>
          <w:p w14:paraId="5ABF0470" w14:textId="77777777" w:rsidR="00B72094" w:rsidRPr="00A461B6" w:rsidRDefault="00B72094" w:rsidP="00C816BC">
            <w:pPr>
              <w:pStyle w:val="TableHeadingRow"/>
              <w:rPr>
                <w:color w:val="auto"/>
              </w:rPr>
            </w:pPr>
          </w:p>
        </w:tc>
      </w:tr>
      <w:tr w:rsidR="00B72094" w:rsidRPr="00A461B6" w14:paraId="16189851" w14:textId="77777777" w:rsidTr="00D76730">
        <w:tc>
          <w:tcPr>
            <w:tcW w:w="2122" w:type="dxa"/>
            <w:shd w:val="clear" w:color="auto" w:fill="F2F2F2" w:themeFill="background1" w:themeFillShade="F2"/>
            <w:vAlign w:val="bottom"/>
          </w:tcPr>
          <w:p w14:paraId="1CBC8C45" w14:textId="77777777" w:rsidR="00B72094" w:rsidRPr="00A461B6" w:rsidRDefault="00B72094" w:rsidP="00D802AB">
            <w:pPr>
              <w:rPr>
                <w:color w:val="auto"/>
                <w:sz w:val="24"/>
              </w:rPr>
            </w:pPr>
            <w:r w:rsidRPr="00A461B6">
              <w:rPr>
                <w:color w:val="auto"/>
                <w:sz w:val="24"/>
              </w:rPr>
              <w:t>2023-24</w:t>
            </w:r>
          </w:p>
        </w:tc>
        <w:tc>
          <w:tcPr>
            <w:tcW w:w="2126" w:type="dxa"/>
            <w:shd w:val="clear" w:color="auto" w:fill="F2F2F2" w:themeFill="background1" w:themeFillShade="F2"/>
            <w:vAlign w:val="bottom"/>
          </w:tcPr>
          <w:p w14:paraId="085DF156" w14:textId="77777777" w:rsidR="00B72094" w:rsidRPr="00A461B6" w:rsidRDefault="00B72094" w:rsidP="00D802AB">
            <w:pPr>
              <w:rPr>
                <w:color w:val="auto"/>
                <w:sz w:val="24"/>
              </w:rPr>
            </w:pPr>
            <w:r w:rsidRPr="00A461B6">
              <w:rPr>
                <w:color w:val="auto"/>
                <w:sz w:val="24"/>
              </w:rPr>
              <w:t>2024-25</w:t>
            </w:r>
          </w:p>
        </w:tc>
        <w:tc>
          <w:tcPr>
            <w:tcW w:w="2126" w:type="dxa"/>
            <w:shd w:val="clear" w:color="auto" w:fill="F2F2F2" w:themeFill="background1" w:themeFillShade="F2"/>
            <w:vAlign w:val="bottom"/>
          </w:tcPr>
          <w:p w14:paraId="1700218C" w14:textId="77777777" w:rsidR="00B72094" w:rsidRPr="00A461B6" w:rsidRDefault="00B72094" w:rsidP="00D802AB">
            <w:pPr>
              <w:rPr>
                <w:color w:val="auto"/>
                <w:sz w:val="24"/>
              </w:rPr>
            </w:pPr>
            <w:r w:rsidRPr="00A461B6">
              <w:rPr>
                <w:color w:val="auto"/>
                <w:sz w:val="24"/>
              </w:rPr>
              <w:t>2025-26</w:t>
            </w:r>
          </w:p>
        </w:tc>
        <w:tc>
          <w:tcPr>
            <w:tcW w:w="2126" w:type="dxa"/>
            <w:shd w:val="clear" w:color="auto" w:fill="F2F2F2" w:themeFill="background1" w:themeFillShade="F2"/>
            <w:vAlign w:val="bottom"/>
          </w:tcPr>
          <w:p w14:paraId="7B13BF43" w14:textId="77777777" w:rsidR="00B72094" w:rsidRPr="00A461B6" w:rsidRDefault="00B72094" w:rsidP="00D802AB">
            <w:pPr>
              <w:rPr>
                <w:color w:val="auto"/>
                <w:sz w:val="24"/>
              </w:rPr>
            </w:pPr>
            <w:r w:rsidRPr="00A461B6">
              <w:rPr>
                <w:color w:val="auto"/>
                <w:sz w:val="24"/>
              </w:rPr>
              <w:t>2026-27</w:t>
            </w:r>
          </w:p>
        </w:tc>
        <w:tc>
          <w:tcPr>
            <w:tcW w:w="1694" w:type="dxa"/>
            <w:shd w:val="clear" w:color="auto" w:fill="F2F2F2" w:themeFill="background1" w:themeFillShade="F2"/>
          </w:tcPr>
          <w:p w14:paraId="3F9D7184" w14:textId="3C5D2198" w:rsidR="00B72094" w:rsidRPr="00A461B6" w:rsidRDefault="003D61B5" w:rsidP="00D802AB">
            <w:pPr>
              <w:rPr>
                <w:color w:val="auto"/>
                <w:sz w:val="24"/>
              </w:rPr>
            </w:pPr>
            <w:r w:rsidRPr="00A461B6">
              <w:rPr>
                <w:color w:val="auto"/>
                <w:sz w:val="24"/>
              </w:rPr>
              <w:t>Total</w:t>
            </w:r>
          </w:p>
        </w:tc>
      </w:tr>
      <w:tr w:rsidR="00A76876" w:rsidRPr="00A461B6" w14:paraId="3A088434" w14:textId="77777777" w:rsidTr="00AE54EB">
        <w:trPr>
          <w:trHeight w:val="290"/>
        </w:trPr>
        <w:tc>
          <w:tcPr>
            <w:tcW w:w="2122" w:type="dxa"/>
            <w:noWrap/>
          </w:tcPr>
          <w:p w14:paraId="48981A37" w14:textId="07E8A225" w:rsidR="00A76876" w:rsidRPr="00A461B6" w:rsidRDefault="00A76876" w:rsidP="00D802AB">
            <w:pPr>
              <w:rPr>
                <w:rFonts w:cstheme="minorHAnsi"/>
                <w:b/>
                <w:color w:val="auto"/>
                <w:sz w:val="24"/>
              </w:rPr>
            </w:pPr>
            <w:r w:rsidRPr="00A461B6">
              <w:rPr>
                <w:rFonts w:cstheme="minorHAnsi"/>
                <w:b/>
                <w:sz w:val="24"/>
              </w:rPr>
              <w:t>$167,400,000</w:t>
            </w:r>
          </w:p>
        </w:tc>
        <w:tc>
          <w:tcPr>
            <w:tcW w:w="2126" w:type="dxa"/>
            <w:noWrap/>
          </w:tcPr>
          <w:p w14:paraId="0E329211" w14:textId="02A11061" w:rsidR="00A76876" w:rsidRPr="00A461B6" w:rsidRDefault="00A76876" w:rsidP="00D802AB">
            <w:pPr>
              <w:rPr>
                <w:rFonts w:cstheme="minorHAnsi"/>
                <w:b/>
                <w:color w:val="auto"/>
                <w:sz w:val="24"/>
              </w:rPr>
            </w:pPr>
            <w:r w:rsidRPr="00A461B6">
              <w:rPr>
                <w:rFonts w:cstheme="minorHAnsi"/>
                <w:b/>
                <w:sz w:val="24"/>
              </w:rPr>
              <w:t>$170,190,000</w:t>
            </w:r>
          </w:p>
        </w:tc>
        <w:tc>
          <w:tcPr>
            <w:tcW w:w="2126" w:type="dxa"/>
            <w:noWrap/>
          </w:tcPr>
          <w:p w14:paraId="451A40BC" w14:textId="77FE0FC8" w:rsidR="00A76876" w:rsidRPr="00A461B6" w:rsidRDefault="00A76876" w:rsidP="00D802AB">
            <w:pPr>
              <w:rPr>
                <w:rFonts w:cstheme="minorHAnsi"/>
                <w:b/>
                <w:color w:val="auto"/>
                <w:sz w:val="24"/>
              </w:rPr>
            </w:pPr>
            <w:r w:rsidRPr="00A461B6">
              <w:rPr>
                <w:rFonts w:cstheme="minorHAnsi"/>
                <w:b/>
                <w:sz w:val="24"/>
              </w:rPr>
              <w:t>$172,980,000</w:t>
            </w:r>
          </w:p>
        </w:tc>
        <w:tc>
          <w:tcPr>
            <w:tcW w:w="2126" w:type="dxa"/>
            <w:noWrap/>
          </w:tcPr>
          <w:p w14:paraId="1B324CBB" w14:textId="68B074DA" w:rsidR="00A76876" w:rsidRPr="00A461B6" w:rsidRDefault="00A76876" w:rsidP="00D802AB">
            <w:pPr>
              <w:rPr>
                <w:rFonts w:cstheme="minorHAnsi"/>
                <w:b/>
                <w:color w:val="auto"/>
                <w:sz w:val="24"/>
              </w:rPr>
            </w:pPr>
            <w:r w:rsidRPr="00A461B6">
              <w:rPr>
                <w:rFonts w:cstheme="minorHAnsi"/>
                <w:b/>
                <w:sz w:val="24"/>
              </w:rPr>
              <w:t>$175,770,000</w:t>
            </w:r>
          </w:p>
        </w:tc>
        <w:tc>
          <w:tcPr>
            <w:tcW w:w="1694" w:type="dxa"/>
          </w:tcPr>
          <w:p w14:paraId="3966DBBC" w14:textId="547FB014" w:rsidR="00A76876" w:rsidRPr="00A461B6" w:rsidRDefault="00A76876" w:rsidP="00D802AB">
            <w:pPr>
              <w:rPr>
                <w:rFonts w:cstheme="minorHAnsi"/>
                <w:b/>
                <w:color w:val="auto"/>
                <w:sz w:val="24"/>
              </w:rPr>
            </w:pPr>
            <w:r w:rsidRPr="00A461B6">
              <w:rPr>
                <w:rFonts w:cstheme="minorHAnsi"/>
                <w:b/>
                <w:sz w:val="24"/>
              </w:rPr>
              <w:t>$686,340,000</w:t>
            </w:r>
          </w:p>
        </w:tc>
      </w:tr>
    </w:tbl>
    <w:p w14:paraId="56A00110" w14:textId="5DDCB27B" w:rsidR="00B72094" w:rsidRPr="00A461B6" w:rsidRDefault="00B72094" w:rsidP="00C816BC">
      <w:pPr>
        <w:pStyle w:val="TableHeadingRow"/>
        <w:rPr>
          <w:b w:val="0"/>
          <w:color w:val="auto"/>
        </w:rPr>
      </w:pPr>
      <w:r w:rsidRPr="00A461B6">
        <w:rPr>
          <w:b w:val="0"/>
          <w:color w:val="auto"/>
        </w:rPr>
        <w:t xml:space="preserve">Source: 2023 </w:t>
      </w:r>
      <w:r w:rsidR="00FD3686" w:rsidRPr="004D28D8">
        <w:rPr>
          <w:b w:val="0"/>
          <w:color w:val="auto"/>
        </w:rPr>
        <w:t>Impact analysis</w:t>
      </w:r>
      <w:r w:rsidR="00FD3686" w:rsidRPr="00A461B6">
        <w:rPr>
          <w:b w:val="0"/>
          <w:color w:val="auto"/>
        </w:rPr>
        <w:t xml:space="preserve"> </w:t>
      </w:r>
      <w:r w:rsidRPr="00A461B6">
        <w:rPr>
          <w:b w:val="0"/>
          <w:color w:val="auto"/>
        </w:rPr>
        <w:t>costing-</w:t>
      </w:r>
      <w:r w:rsidR="00FD3686" w:rsidRPr="00A461B6">
        <w:rPr>
          <w:b w:val="0"/>
          <w:color w:val="auto"/>
        </w:rPr>
        <w:t xml:space="preserve"> MDQMDQ</w:t>
      </w:r>
      <w:r w:rsidRPr="00A461B6">
        <w:rPr>
          <w:b w:val="0"/>
          <w:color w:val="auto"/>
        </w:rPr>
        <w:t xml:space="preserve"> 3 month O</w:t>
      </w:r>
      <w:r w:rsidR="004A3C92" w:rsidRPr="00A461B6">
        <w:rPr>
          <w:b w:val="0"/>
          <w:color w:val="auto"/>
        </w:rPr>
        <w:t>IA</w:t>
      </w:r>
      <w:r w:rsidRPr="00A461B6">
        <w:rPr>
          <w:b w:val="0"/>
          <w:color w:val="auto"/>
        </w:rPr>
        <w:t>22</w:t>
      </w:r>
      <w:r w:rsidR="004A3C92" w:rsidRPr="00A461B6">
        <w:rPr>
          <w:b w:val="0"/>
          <w:color w:val="auto"/>
        </w:rPr>
        <w:t>IA</w:t>
      </w:r>
      <w:r w:rsidRPr="00A461B6">
        <w:rPr>
          <w:b w:val="0"/>
          <w:color w:val="auto"/>
        </w:rPr>
        <w:t>-03771</w:t>
      </w:r>
    </w:p>
    <w:p w14:paraId="396170AB" w14:textId="6826EBCD" w:rsidR="003D61B5" w:rsidRPr="00A461B6" w:rsidRDefault="003D61B5" w:rsidP="00C816BC">
      <w:pPr>
        <w:pStyle w:val="TableHeadingRow"/>
        <w:rPr>
          <w:b w:val="0"/>
          <w:color w:val="auto"/>
        </w:rPr>
      </w:pPr>
      <w:r w:rsidRPr="00A461B6">
        <w:rPr>
          <w:b w:val="0"/>
          <w:color w:val="auto"/>
        </w:rPr>
        <w:t>*</w:t>
      </w:r>
      <w:r w:rsidRPr="00A461B6">
        <w:rPr>
          <w:rFonts w:asciiTheme="minorHAnsi" w:hAnsiTheme="minorHAnsi"/>
          <w:b w:val="0"/>
          <w:color w:val="auto"/>
        </w:rPr>
        <w:t>Average annu</w:t>
      </w:r>
      <w:r w:rsidRPr="00A461B6">
        <w:rPr>
          <w:b w:val="0"/>
          <w:color w:val="auto"/>
        </w:rPr>
        <w:t>a</w:t>
      </w:r>
      <w:r w:rsidRPr="00A461B6">
        <w:rPr>
          <w:rFonts w:asciiTheme="minorHAnsi" w:hAnsiTheme="minorHAnsi"/>
          <w:b w:val="0"/>
          <w:color w:val="auto"/>
        </w:rPr>
        <w:t>l patient save: $</w:t>
      </w:r>
      <w:r w:rsidR="00016528" w:rsidRPr="00A461B6">
        <w:rPr>
          <w:rFonts w:asciiTheme="minorHAnsi" w:hAnsiTheme="minorHAnsi"/>
          <w:b w:val="0"/>
          <w:color w:val="auto"/>
        </w:rPr>
        <w:t>171,585,000</w:t>
      </w:r>
    </w:p>
    <w:p w14:paraId="5355AF88" w14:textId="571ECB53" w:rsidR="001D11CD" w:rsidRPr="00A461B6" w:rsidRDefault="001D11CD" w:rsidP="00DC5650">
      <w:pPr>
        <w:pStyle w:val="Heading4"/>
      </w:pPr>
      <w:r w:rsidRPr="00A461B6">
        <w:t>Pharmacies</w:t>
      </w:r>
    </w:p>
    <w:p w14:paraId="7405B8E8" w14:textId="2AE63569" w:rsidR="00AB7DBC" w:rsidRPr="00A461B6" w:rsidRDefault="001D11CD" w:rsidP="00AB7DBC">
      <w:pPr>
        <w:pStyle w:val="CommentText"/>
        <w:rPr>
          <w:color w:val="auto"/>
          <w:sz w:val="24"/>
          <w:szCs w:val="24"/>
        </w:rPr>
      </w:pPr>
      <w:r w:rsidRPr="00A461B6">
        <w:rPr>
          <w:color w:val="auto"/>
          <w:sz w:val="24"/>
          <w:szCs w:val="24"/>
        </w:rPr>
        <w:t xml:space="preserve">The </w:t>
      </w:r>
      <w:r w:rsidR="003D204A" w:rsidRPr="00A461B6">
        <w:rPr>
          <w:color w:val="auto"/>
          <w:sz w:val="24"/>
          <w:szCs w:val="24"/>
        </w:rPr>
        <w:t>c</w:t>
      </w:r>
      <w:r w:rsidRPr="00A461B6">
        <w:rPr>
          <w:color w:val="auto"/>
          <w:sz w:val="24"/>
          <w:szCs w:val="24"/>
        </w:rPr>
        <w:t xml:space="preserve">ommunity </w:t>
      </w:r>
      <w:r w:rsidR="003D204A" w:rsidRPr="00A461B6">
        <w:rPr>
          <w:color w:val="auto"/>
          <w:sz w:val="24"/>
          <w:szCs w:val="24"/>
        </w:rPr>
        <w:t>p</w:t>
      </w:r>
      <w:r w:rsidRPr="00A461B6">
        <w:rPr>
          <w:color w:val="auto"/>
          <w:sz w:val="24"/>
          <w:szCs w:val="24"/>
        </w:rPr>
        <w:t xml:space="preserve">harmacy sector will be highly impacted by this </w:t>
      </w:r>
      <w:r w:rsidR="00114AB8" w:rsidRPr="00A461B6">
        <w:rPr>
          <w:color w:val="auto"/>
          <w:sz w:val="24"/>
          <w:szCs w:val="24"/>
        </w:rPr>
        <w:t>option.</w:t>
      </w:r>
      <w:r w:rsidRPr="00A461B6">
        <w:rPr>
          <w:color w:val="auto"/>
          <w:sz w:val="24"/>
          <w:szCs w:val="24"/>
        </w:rPr>
        <w:t xml:space="preserve"> </w:t>
      </w:r>
      <w:r w:rsidR="00114AB8" w:rsidRPr="00A461B6">
        <w:rPr>
          <w:color w:val="auto"/>
          <w:sz w:val="24"/>
          <w:szCs w:val="24"/>
        </w:rPr>
        <w:t xml:space="preserve">This option has a higher financial impact to pharmacies than Option </w:t>
      </w:r>
      <w:r w:rsidR="00D61146" w:rsidRPr="00A461B6">
        <w:rPr>
          <w:color w:val="auto"/>
          <w:sz w:val="24"/>
          <w:szCs w:val="24"/>
        </w:rPr>
        <w:t>2</w:t>
      </w:r>
      <w:r w:rsidR="00114AB8" w:rsidRPr="00A461B6">
        <w:rPr>
          <w:color w:val="auto"/>
          <w:sz w:val="24"/>
          <w:szCs w:val="24"/>
        </w:rPr>
        <w:t>.</w:t>
      </w:r>
      <w:r w:rsidR="00AB7DBC" w:rsidRPr="00A461B6">
        <w:rPr>
          <w:color w:val="auto"/>
          <w:sz w:val="24"/>
          <w:szCs w:val="24"/>
        </w:rPr>
        <w:t xml:space="preserve"> </w:t>
      </w:r>
    </w:p>
    <w:p w14:paraId="6BE0CCCF" w14:textId="044FD1F3" w:rsidR="00B134D8" w:rsidRPr="00A461B6" w:rsidRDefault="004B551F" w:rsidP="00CF0909">
      <w:pPr>
        <w:rPr>
          <w:color w:val="auto"/>
          <w:sz w:val="24"/>
          <w:szCs w:val="24"/>
        </w:rPr>
      </w:pPr>
      <w:r w:rsidRPr="00A461B6">
        <w:rPr>
          <w:color w:val="auto"/>
          <w:sz w:val="24"/>
          <w:szCs w:val="24"/>
        </w:rPr>
        <w:t>Under</w:t>
      </w:r>
      <w:r w:rsidR="001D11CD" w:rsidRPr="00A461B6">
        <w:rPr>
          <w:color w:val="auto"/>
          <w:sz w:val="24"/>
          <w:szCs w:val="24"/>
        </w:rPr>
        <w:t xml:space="preserve"> three month supply option</w:t>
      </w:r>
      <w:r w:rsidRPr="00A461B6">
        <w:rPr>
          <w:color w:val="auto"/>
          <w:sz w:val="24"/>
          <w:szCs w:val="24"/>
        </w:rPr>
        <w:t>,</w:t>
      </w:r>
      <w:r w:rsidR="001D11CD" w:rsidRPr="00A461B6">
        <w:rPr>
          <w:color w:val="auto"/>
          <w:sz w:val="24"/>
          <w:szCs w:val="24"/>
        </w:rPr>
        <w:t xml:space="preserve"> </w:t>
      </w:r>
      <w:r w:rsidRPr="00A461B6">
        <w:rPr>
          <w:color w:val="auto"/>
          <w:sz w:val="24"/>
          <w:szCs w:val="24"/>
        </w:rPr>
        <w:t>p</w:t>
      </w:r>
      <w:r w:rsidR="001D11CD" w:rsidRPr="00A461B6">
        <w:rPr>
          <w:color w:val="auto"/>
          <w:sz w:val="24"/>
          <w:szCs w:val="24"/>
        </w:rPr>
        <w:t>harmacies will be paid one fee for dispensing three months’ supply of a medicine on the one occasion, rather than one fee paid on three separate occasions for dispensing a month’s supply of medici</w:t>
      </w:r>
      <w:r w:rsidR="00E00C83" w:rsidRPr="00A461B6">
        <w:rPr>
          <w:color w:val="auto"/>
          <w:sz w:val="24"/>
          <w:szCs w:val="24"/>
        </w:rPr>
        <w:t xml:space="preserve">ne over three separate months. </w:t>
      </w:r>
    </w:p>
    <w:p w14:paraId="4D6A5548" w14:textId="68E8ADEE" w:rsidR="00096605" w:rsidRPr="00A461B6" w:rsidRDefault="00096605" w:rsidP="00096605">
      <w:pPr>
        <w:rPr>
          <w:color w:val="auto"/>
          <w:sz w:val="24"/>
          <w:szCs w:val="24"/>
        </w:rPr>
      </w:pPr>
      <w:r w:rsidRPr="00A461B6">
        <w:rPr>
          <w:rFonts w:cstheme="minorHAnsi"/>
          <w:color w:val="auto"/>
          <w:sz w:val="24"/>
          <w:szCs w:val="24"/>
        </w:rPr>
        <w:t>The impact on specific pharmacies will vary depending on the location of the pharmacy and its operating model</w:t>
      </w:r>
      <w:r w:rsidR="00BB037E">
        <w:rPr>
          <w:rFonts w:cstheme="minorHAnsi"/>
          <w:color w:val="auto"/>
          <w:sz w:val="24"/>
          <w:szCs w:val="24"/>
        </w:rPr>
        <w:t xml:space="preserve">. </w:t>
      </w:r>
      <w:r w:rsidRPr="00A461B6">
        <w:rPr>
          <w:rFonts w:cstheme="minorHAnsi"/>
          <w:color w:val="auto"/>
          <w:sz w:val="24"/>
          <w:szCs w:val="24"/>
        </w:rPr>
        <w:t xml:space="preserve">For the three month option, the estimated average impact per pharmacy in the fourth year following implementation may be up to $210,000 reduction in remuneration, which is estimated to be a reduction of 24% of the baseline remuneration of community pharmacy fees (estimated to be $867,000 in the fourth year). PBS revenue is only one of the revenue sources for community pharmacies, and other sources of income are not captured in this analysis. The </w:t>
      </w:r>
      <w:r w:rsidRPr="00A461B6">
        <w:rPr>
          <w:color w:val="auto"/>
          <w:sz w:val="24"/>
          <w:szCs w:val="24"/>
        </w:rPr>
        <w:t>impact by individual pharmacy will vary considerably according to its operating model and factors such as:</w:t>
      </w:r>
    </w:p>
    <w:p w14:paraId="035687C6" w14:textId="77777777" w:rsidR="00096605" w:rsidRPr="00A461B6" w:rsidRDefault="00096605" w:rsidP="00096605">
      <w:pPr>
        <w:pStyle w:val="ListParagraph"/>
        <w:numPr>
          <w:ilvl w:val="0"/>
          <w:numId w:val="9"/>
        </w:numPr>
        <w:spacing w:after="0" w:line="240" w:lineRule="auto"/>
        <w:contextualSpacing w:val="0"/>
        <w:rPr>
          <w:color w:val="auto"/>
          <w:sz w:val="24"/>
          <w:szCs w:val="24"/>
        </w:rPr>
      </w:pPr>
      <w:r w:rsidRPr="00A461B6">
        <w:rPr>
          <w:color w:val="auto"/>
          <w:sz w:val="24"/>
          <w:szCs w:val="24"/>
        </w:rPr>
        <w:t>Dispensing volumes for impacted PBS items</w:t>
      </w:r>
    </w:p>
    <w:p w14:paraId="29A35786" w14:textId="77777777" w:rsidR="00096605" w:rsidRPr="00A461B6" w:rsidRDefault="00096605" w:rsidP="00096605">
      <w:pPr>
        <w:pStyle w:val="ListParagraph"/>
        <w:numPr>
          <w:ilvl w:val="0"/>
          <w:numId w:val="9"/>
        </w:numPr>
        <w:spacing w:after="0" w:line="240" w:lineRule="auto"/>
        <w:contextualSpacing w:val="0"/>
        <w:rPr>
          <w:color w:val="auto"/>
          <w:sz w:val="24"/>
          <w:szCs w:val="24"/>
        </w:rPr>
      </w:pPr>
      <w:r w:rsidRPr="00A461B6">
        <w:rPr>
          <w:color w:val="auto"/>
          <w:sz w:val="24"/>
          <w:szCs w:val="24"/>
        </w:rPr>
        <w:t>The types of medicines dispensed within this overall volume</w:t>
      </w:r>
    </w:p>
    <w:p w14:paraId="7A618A0A" w14:textId="77777777" w:rsidR="00096605" w:rsidRPr="00A461B6" w:rsidRDefault="00096605" w:rsidP="00096605">
      <w:pPr>
        <w:pStyle w:val="ListParagraph"/>
        <w:numPr>
          <w:ilvl w:val="0"/>
          <w:numId w:val="9"/>
        </w:numPr>
        <w:spacing w:after="0" w:line="240" w:lineRule="auto"/>
        <w:contextualSpacing w:val="0"/>
        <w:rPr>
          <w:color w:val="auto"/>
          <w:sz w:val="24"/>
          <w:szCs w:val="24"/>
        </w:rPr>
      </w:pPr>
      <w:r w:rsidRPr="00A461B6">
        <w:rPr>
          <w:color w:val="auto"/>
          <w:sz w:val="24"/>
          <w:szCs w:val="24"/>
        </w:rPr>
        <w:t>Take-up of increased quantity prescribing by doctors</w:t>
      </w:r>
    </w:p>
    <w:p w14:paraId="0AF9A416" w14:textId="77777777" w:rsidR="00096605" w:rsidRPr="00A461B6" w:rsidRDefault="00096605" w:rsidP="00096605">
      <w:pPr>
        <w:pStyle w:val="ListParagraph"/>
        <w:numPr>
          <w:ilvl w:val="0"/>
          <w:numId w:val="9"/>
        </w:numPr>
        <w:spacing w:after="0" w:line="240" w:lineRule="auto"/>
        <w:contextualSpacing w:val="0"/>
        <w:rPr>
          <w:color w:val="auto"/>
          <w:sz w:val="24"/>
          <w:szCs w:val="24"/>
        </w:rPr>
      </w:pPr>
      <w:r w:rsidRPr="00A461B6">
        <w:rPr>
          <w:color w:val="auto"/>
          <w:sz w:val="24"/>
          <w:szCs w:val="24"/>
        </w:rPr>
        <w:t>Other demographic and regional variations.</w:t>
      </w:r>
    </w:p>
    <w:p w14:paraId="1A6B1D04" w14:textId="4963244C" w:rsidR="00096605" w:rsidRPr="00A461B6" w:rsidRDefault="00096605" w:rsidP="00096605">
      <w:pPr>
        <w:rPr>
          <w:rFonts w:cstheme="minorHAnsi"/>
          <w:color w:val="auto"/>
          <w:sz w:val="24"/>
          <w:szCs w:val="24"/>
        </w:rPr>
      </w:pPr>
    </w:p>
    <w:p w14:paraId="09FFB5F6" w14:textId="1A2D3CE6" w:rsidR="001D11CD" w:rsidRPr="004D28D8" w:rsidRDefault="001D11CD" w:rsidP="001D11CD">
      <w:pPr>
        <w:rPr>
          <w:i/>
          <w:sz w:val="24"/>
        </w:rPr>
      </w:pPr>
      <w:r w:rsidRPr="004D28D8">
        <w:rPr>
          <w:i/>
          <w:sz w:val="24"/>
        </w:rPr>
        <w:t xml:space="preserve">All other impacts as for Pharmacies under Option </w:t>
      </w:r>
      <w:r w:rsidR="00D61146" w:rsidRPr="004D28D8">
        <w:rPr>
          <w:i/>
          <w:sz w:val="24"/>
        </w:rPr>
        <w:t>2</w:t>
      </w:r>
      <w:r w:rsidRPr="004D28D8">
        <w:rPr>
          <w:i/>
          <w:sz w:val="24"/>
        </w:rPr>
        <w:t>.</w:t>
      </w:r>
    </w:p>
    <w:p w14:paraId="31F46507" w14:textId="72C3C937" w:rsidR="00B72094" w:rsidRPr="00A461B6" w:rsidRDefault="00B72094" w:rsidP="00B72094">
      <w:pPr>
        <w:pStyle w:val="TableHeadingRow"/>
        <w:rPr>
          <w:rFonts w:cstheme="minorBidi"/>
          <w:b w:val="0"/>
          <w:bCs w:val="0"/>
          <w:color w:val="auto"/>
        </w:rPr>
      </w:pPr>
      <w:r w:rsidRPr="00A461B6">
        <w:rPr>
          <w:rFonts w:cstheme="minorBidi"/>
          <w:b w:val="0"/>
          <w:bCs w:val="0"/>
          <w:color w:val="auto"/>
        </w:rPr>
        <w:t xml:space="preserve">The following table shows the </w:t>
      </w:r>
      <w:r w:rsidR="00837148" w:rsidRPr="00A461B6">
        <w:rPr>
          <w:rFonts w:cstheme="minorBidi"/>
          <w:b w:val="0"/>
          <w:bCs w:val="0"/>
          <w:color w:val="auto"/>
        </w:rPr>
        <w:t xml:space="preserve">estimated dispensing time saved </w:t>
      </w:r>
      <w:r w:rsidRPr="00A461B6">
        <w:rPr>
          <w:rFonts w:cstheme="minorBidi"/>
          <w:b w:val="0"/>
          <w:bCs w:val="0"/>
          <w:color w:val="auto"/>
        </w:rPr>
        <w:t xml:space="preserve">for pharmacists if the </w:t>
      </w:r>
      <w:r w:rsidR="0037262E" w:rsidRPr="00A461B6">
        <w:rPr>
          <w:rFonts w:cstheme="minorBidi"/>
          <w:b w:val="0"/>
          <w:bCs w:val="0"/>
          <w:color w:val="auto"/>
        </w:rPr>
        <w:t xml:space="preserve">MDQ </w:t>
      </w:r>
      <w:r w:rsidR="006A7936" w:rsidRPr="00A461B6">
        <w:rPr>
          <w:rFonts w:cstheme="minorBidi"/>
          <w:b w:val="0"/>
          <w:bCs w:val="0"/>
          <w:color w:val="auto"/>
        </w:rPr>
        <w:t>is increased to</w:t>
      </w:r>
      <w:r w:rsidRPr="00A461B6">
        <w:rPr>
          <w:rFonts w:cstheme="minorBidi"/>
          <w:b w:val="0"/>
          <w:bCs w:val="0"/>
          <w:color w:val="auto"/>
        </w:rPr>
        <w:t xml:space="preserve"> three </w:t>
      </w:r>
      <w:r w:rsidR="006A7936" w:rsidRPr="00A461B6">
        <w:rPr>
          <w:rFonts w:cstheme="minorBidi"/>
          <w:b w:val="0"/>
          <w:bCs w:val="0"/>
          <w:color w:val="auto"/>
        </w:rPr>
        <w:t>months’</w:t>
      </w:r>
      <w:r w:rsidRPr="00A461B6">
        <w:rPr>
          <w:rFonts w:cstheme="minorBidi"/>
          <w:b w:val="0"/>
          <w:bCs w:val="0"/>
          <w:color w:val="auto"/>
        </w:rPr>
        <w:t xml:space="preserve"> supply for medicines </w:t>
      </w:r>
      <w:r w:rsidR="006A7936" w:rsidRPr="00A461B6">
        <w:rPr>
          <w:rFonts w:cstheme="minorBidi"/>
          <w:b w:val="0"/>
          <w:bCs w:val="0"/>
          <w:color w:val="auto"/>
        </w:rPr>
        <w:t>included in the proposal</w:t>
      </w:r>
      <w:r w:rsidRPr="00A461B6">
        <w:rPr>
          <w:rFonts w:cstheme="minorBidi"/>
          <w:b w:val="0"/>
          <w:bCs w:val="0"/>
          <w:color w:val="auto"/>
        </w:rPr>
        <w:t xml:space="preserve">. </w:t>
      </w:r>
    </w:p>
    <w:p w14:paraId="07D47C09" w14:textId="20C1E51C" w:rsidR="00B72094" w:rsidRPr="00A461B6" w:rsidRDefault="00B72094" w:rsidP="00B72094">
      <w:pPr>
        <w:rPr>
          <w:color w:val="auto"/>
          <w:sz w:val="24"/>
          <w:szCs w:val="24"/>
        </w:rPr>
      </w:pPr>
      <w:r w:rsidRPr="00A461B6">
        <w:rPr>
          <w:color w:val="auto"/>
          <w:sz w:val="24"/>
          <w:szCs w:val="24"/>
        </w:rPr>
        <w:t xml:space="preserve">It has been estimated that pharmacists, on average will save four and a half minutes per dispensing for over </w:t>
      </w:r>
      <w:r w:rsidR="006B6FD7" w:rsidRPr="00A461B6">
        <w:rPr>
          <w:color w:val="auto"/>
          <w:sz w:val="24"/>
          <w:szCs w:val="24"/>
        </w:rPr>
        <w:t xml:space="preserve">89.1 </w:t>
      </w:r>
      <w:r w:rsidRPr="00A461B6">
        <w:rPr>
          <w:color w:val="auto"/>
          <w:sz w:val="24"/>
          <w:szCs w:val="24"/>
        </w:rPr>
        <w:t>million dis</w:t>
      </w:r>
      <w:r w:rsidR="009A7187" w:rsidRPr="00A461B6">
        <w:rPr>
          <w:color w:val="auto"/>
          <w:sz w:val="24"/>
          <w:szCs w:val="24"/>
        </w:rPr>
        <w:t>pensing</w:t>
      </w:r>
      <w:r w:rsidRPr="00A461B6">
        <w:rPr>
          <w:color w:val="auto"/>
          <w:sz w:val="24"/>
          <w:szCs w:val="24"/>
        </w:rPr>
        <w:t>s</w:t>
      </w:r>
      <w:r w:rsidR="00226326" w:rsidRPr="00A461B6">
        <w:rPr>
          <w:rStyle w:val="FootnoteReference"/>
          <w:color w:val="auto"/>
          <w:sz w:val="24"/>
          <w:szCs w:val="24"/>
        </w:rPr>
        <w:footnoteReference w:id="52"/>
      </w:r>
      <w:r w:rsidRPr="00A461B6">
        <w:rPr>
          <w:color w:val="auto"/>
          <w:sz w:val="24"/>
          <w:szCs w:val="24"/>
        </w:rPr>
        <w:t xml:space="preserve"> by 2026-27. </w:t>
      </w:r>
      <w:r w:rsidR="003607D4" w:rsidRPr="00A461B6">
        <w:rPr>
          <w:color w:val="auto"/>
          <w:sz w:val="24"/>
          <w:szCs w:val="24"/>
        </w:rPr>
        <w:t>This will free pharmacists to participate in other patient health care related activities</w:t>
      </w:r>
    </w:p>
    <w:p w14:paraId="66B2D3A7" w14:textId="77777777" w:rsidR="00BE7712" w:rsidRPr="00A461B6" w:rsidRDefault="00BE7712" w:rsidP="00BE7712">
      <w:pPr>
        <w:rPr>
          <w:color w:val="auto"/>
          <w:sz w:val="24"/>
          <w:szCs w:val="24"/>
        </w:rPr>
      </w:pPr>
      <w:r w:rsidRPr="00A461B6">
        <w:rPr>
          <w:color w:val="auto"/>
          <w:sz w:val="24"/>
          <w:szCs w:val="24"/>
        </w:rPr>
        <w:t>The following method and assumptions were used:</w:t>
      </w:r>
    </w:p>
    <w:p w14:paraId="2CC189DC" w14:textId="2B6A8E04" w:rsidR="00BE7712" w:rsidRPr="00A461B6" w:rsidRDefault="00BE7712" w:rsidP="008A2C64">
      <w:pPr>
        <w:pStyle w:val="ListParagraph"/>
        <w:numPr>
          <w:ilvl w:val="0"/>
          <w:numId w:val="24"/>
        </w:numPr>
        <w:rPr>
          <w:color w:val="auto"/>
          <w:sz w:val="24"/>
          <w:szCs w:val="24"/>
        </w:rPr>
      </w:pPr>
      <w:r w:rsidRPr="00A461B6">
        <w:rPr>
          <w:color w:val="auto"/>
          <w:sz w:val="24"/>
          <w:szCs w:val="24"/>
        </w:rPr>
        <w:t>Pharmacists were estimated to save 4.5 minutes</w:t>
      </w:r>
      <w:r w:rsidR="00A32714" w:rsidRPr="00A461B6">
        <w:rPr>
          <w:rStyle w:val="FootnoteReference"/>
          <w:color w:val="auto"/>
          <w:sz w:val="24"/>
          <w:szCs w:val="24"/>
        </w:rPr>
        <w:footnoteReference w:id="53"/>
      </w:r>
      <w:r w:rsidRPr="00A461B6">
        <w:rPr>
          <w:color w:val="auto"/>
          <w:sz w:val="24"/>
          <w:szCs w:val="24"/>
        </w:rPr>
        <w:t xml:space="preserve"> per dispensing avoided.</w:t>
      </w:r>
    </w:p>
    <w:p w14:paraId="17D285FB" w14:textId="77777777" w:rsidR="00BE7712" w:rsidRPr="00A461B6" w:rsidRDefault="00BE7712" w:rsidP="008A2C64">
      <w:pPr>
        <w:pStyle w:val="ListParagraph"/>
        <w:numPr>
          <w:ilvl w:val="0"/>
          <w:numId w:val="24"/>
        </w:numPr>
        <w:rPr>
          <w:color w:val="auto"/>
          <w:sz w:val="24"/>
          <w:szCs w:val="24"/>
        </w:rPr>
      </w:pPr>
      <w:r w:rsidRPr="00A461B6">
        <w:rPr>
          <w:color w:val="auto"/>
          <w:sz w:val="24"/>
          <w:szCs w:val="24"/>
        </w:rPr>
        <w:t>The estimated time saved (minutes) by pharmacists is 4.5 minutes x the number of dispensings avoided.</w:t>
      </w:r>
    </w:p>
    <w:p w14:paraId="7DA72B79" w14:textId="46B1AA68" w:rsidR="00B72094" w:rsidRPr="00A461B6" w:rsidRDefault="0097798F" w:rsidP="008E3ABA">
      <w:pPr>
        <w:pStyle w:val="Heading4"/>
        <w:keepNext/>
        <w:keepLines/>
      </w:pPr>
      <w:r w:rsidRPr="00A461B6">
        <w:t>Table 4</w:t>
      </w:r>
      <w:r w:rsidR="00313BA6" w:rsidRPr="00A461B6">
        <w:t>.6</w:t>
      </w:r>
      <w:r w:rsidRPr="00A461B6">
        <w:t xml:space="preserve">: </w:t>
      </w:r>
      <w:r w:rsidR="00837148" w:rsidRPr="00A461B6">
        <w:t xml:space="preserve">Estimated dispensing time saved </w:t>
      </w:r>
      <w:r w:rsidR="00B72094" w:rsidRPr="00A461B6">
        <w:t xml:space="preserve">for </w:t>
      </w:r>
      <w:r w:rsidRPr="00A461B6">
        <w:t>p</w:t>
      </w:r>
      <w:r w:rsidR="00B72094" w:rsidRPr="00A461B6">
        <w:t>ha</w:t>
      </w:r>
      <w:r w:rsidRPr="00A461B6">
        <w:t xml:space="preserve">rmacists </w:t>
      </w:r>
      <w:r w:rsidR="003D204A" w:rsidRPr="00A461B6">
        <w:t xml:space="preserve">by increasing MDQ </w:t>
      </w:r>
      <w:r w:rsidRPr="00A461B6">
        <w:t>- three month option</w:t>
      </w:r>
    </w:p>
    <w:tbl>
      <w:tblPr>
        <w:tblStyle w:val="TableGrid"/>
        <w:tblW w:w="0" w:type="auto"/>
        <w:tblLook w:val="04A0" w:firstRow="1" w:lastRow="0" w:firstColumn="1" w:lastColumn="0" w:noHBand="0" w:noVBand="1"/>
        <w:tblCaption w:val="Table 4.6: Estimated dispensing time saved for pharmacists by increasing MDQ - three month option"/>
      </w:tblPr>
      <w:tblGrid>
        <w:gridCol w:w="2145"/>
        <w:gridCol w:w="2145"/>
        <w:gridCol w:w="2124"/>
        <w:gridCol w:w="2124"/>
        <w:gridCol w:w="1656"/>
      </w:tblGrid>
      <w:tr w:rsidR="00B72094" w:rsidRPr="00A461B6" w14:paraId="3D906681" w14:textId="77777777" w:rsidTr="00C67480">
        <w:trPr>
          <w:tblHeader/>
        </w:trPr>
        <w:tc>
          <w:tcPr>
            <w:tcW w:w="10194" w:type="dxa"/>
            <w:gridSpan w:val="5"/>
          </w:tcPr>
          <w:p w14:paraId="113BC8BB" w14:textId="5423B3F7" w:rsidR="00B72094" w:rsidRPr="00A461B6" w:rsidRDefault="00B72094" w:rsidP="008E3ABA">
            <w:pPr>
              <w:keepNext/>
              <w:keepLines/>
              <w:rPr>
                <w:b/>
                <w:color w:val="auto"/>
                <w:sz w:val="24"/>
                <w:szCs w:val="24"/>
              </w:rPr>
            </w:pPr>
            <w:r w:rsidRPr="00A461B6">
              <w:rPr>
                <w:b/>
                <w:color w:val="auto"/>
                <w:sz w:val="24"/>
                <w:szCs w:val="24"/>
              </w:rPr>
              <w:t xml:space="preserve">Estimated </w:t>
            </w:r>
            <w:r w:rsidR="00837148" w:rsidRPr="00A461B6">
              <w:rPr>
                <w:b/>
                <w:color w:val="auto"/>
                <w:sz w:val="24"/>
                <w:szCs w:val="24"/>
              </w:rPr>
              <w:t xml:space="preserve">dispensing </w:t>
            </w:r>
            <w:r w:rsidRPr="00A461B6">
              <w:rPr>
                <w:b/>
                <w:color w:val="auto"/>
                <w:sz w:val="24"/>
                <w:szCs w:val="24"/>
              </w:rPr>
              <w:t>time saved (minutes) by pharmacists</w:t>
            </w:r>
          </w:p>
        </w:tc>
      </w:tr>
      <w:tr w:rsidR="00B72094" w:rsidRPr="00A461B6" w14:paraId="7724C5F2" w14:textId="77777777" w:rsidTr="00D76730">
        <w:tc>
          <w:tcPr>
            <w:tcW w:w="2145" w:type="dxa"/>
            <w:shd w:val="clear" w:color="auto" w:fill="F2F2F2" w:themeFill="background1" w:themeFillShade="F2"/>
            <w:vAlign w:val="bottom"/>
          </w:tcPr>
          <w:p w14:paraId="67B94205" w14:textId="77777777" w:rsidR="00B72094" w:rsidRPr="00A461B6" w:rsidRDefault="00B72094" w:rsidP="005F7A75">
            <w:pPr>
              <w:keepNext/>
              <w:keepLines/>
              <w:rPr>
                <w:b/>
                <w:bCs/>
                <w:color w:val="auto"/>
                <w:sz w:val="24"/>
                <w:szCs w:val="24"/>
              </w:rPr>
            </w:pPr>
            <w:r w:rsidRPr="00A461B6">
              <w:rPr>
                <w:color w:val="auto"/>
                <w:sz w:val="24"/>
                <w:szCs w:val="24"/>
              </w:rPr>
              <w:t>2023-24</w:t>
            </w:r>
          </w:p>
        </w:tc>
        <w:tc>
          <w:tcPr>
            <w:tcW w:w="2145" w:type="dxa"/>
            <w:shd w:val="clear" w:color="auto" w:fill="F2F2F2" w:themeFill="background1" w:themeFillShade="F2"/>
            <w:vAlign w:val="bottom"/>
          </w:tcPr>
          <w:p w14:paraId="4926ADE1" w14:textId="77777777" w:rsidR="00B72094" w:rsidRPr="00A461B6" w:rsidRDefault="00B72094" w:rsidP="005F7A75">
            <w:pPr>
              <w:keepNext/>
              <w:keepLines/>
              <w:rPr>
                <w:b/>
                <w:bCs/>
                <w:color w:val="auto"/>
                <w:sz w:val="24"/>
                <w:szCs w:val="24"/>
              </w:rPr>
            </w:pPr>
            <w:r w:rsidRPr="00A461B6">
              <w:rPr>
                <w:color w:val="auto"/>
                <w:sz w:val="24"/>
                <w:szCs w:val="24"/>
              </w:rPr>
              <w:t>2024-25</w:t>
            </w:r>
          </w:p>
        </w:tc>
        <w:tc>
          <w:tcPr>
            <w:tcW w:w="2124" w:type="dxa"/>
            <w:shd w:val="clear" w:color="auto" w:fill="F2F2F2" w:themeFill="background1" w:themeFillShade="F2"/>
            <w:vAlign w:val="bottom"/>
          </w:tcPr>
          <w:p w14:paraId="6BE97870" w14:textId="77777777" w:rsidR="00B72094" w:rsidRPr="00A461B6" w:rsidRDefault="00B72094" w:rsidP="005F7A75">
            <w:pPr>
              <w:keepNext/>
              <w:keepLines/>
              <w:rPr>
                <w:b/>
                <w:bCs/>
                <w:color w:val="auto"/>
                <w:sz w:val="24"/>
                <w:szCs w:val="24"/>
              </w:rPr>
            </w:pPr>
            <w:r w:rsidRPr="00A461B6">
              <w:rPr>
                <w:color w:val="auto"/>
                <w:sz w:val="24"/>
                <w:szCs w:val="24"/>
              </w:rPr>
              <w:t>2025-26</w:t>
            </w:r>
          </w:p>
        </w:tc>
        <w:tc>
          <w:tcPr>
            <w:tcW w:w="2124" w:type="dxa"/>
            <w:shd w:val="clear" w:color="auto" w:fill="F2F2F2" w:themeFill="background1" w:themeFillShade="F2"/>
            <w:vAlign w:val="bottom"/>
          </w:tcPr>
          <w:p w14:paraId="76BE4982" w14:textId="77777777" w:rsidR="00B72094" w:rsidRPr="00A461B6" w:rsidRDefault="00B72094" w:rsidP="005F7A75">
            <w:pPr>
              <w:keepNext/>
              <w:keepLines/>
              <w:rPr>
                <w:b/>
                <w:bCs/>
                <w:color w:val="auto"/>
                <w:sz w:val="24"/>
                <w:szCs w:val="24"/>
              </w:rPr>
            </w:pPr>
            <w:r w:rsidRPr="00A461B6">
              <w:rPr>
                <w:color w:val="auto"/>
                <w:sz w:val="24"/>
                <w:szCs w:val="24"/>
              </w:rPr>
              <w:t>2026-27</w:t>
            </w:r>
          </w:p>
        </w:tc>
        <w:tc>
          <w:tcPr>
            <w:tcW w:w="1656" w:type="dxa"/>
            <w:shd w:val="clear" w:color="auto" w:fill="F2F2F2" w:themeFill="background1" w:themeFillShade="F2"/>
          </w:tcPr>
          <w:p w14:paraId="7D1704EC" w14:textId="0437AD5B" w:rsidR="00B72094" w:rsidRPr="00A461B6" w:rsidRDefault="00837148" w:rsidP="005F7A75">
            <w:pPr>
              <w:keepNext/>
              <w:keepLines/>
              <w:rPr>
                <w:color w:val="auto"/>
                <w:sz w:val="24"/>
                <w:szCs w:val="24"/>
              </w:rPr>
            </w:pPr>
            <w:r w:rsidRPr="00A461B6">
              <w:rPr>
                <w:color w:val="auto"/>
                <w:sz w:val="24"/>
                <w:szCs w:val="24"/>
              </w:rPr>
              <w:t>TOTAL</w:t>
            </w:r>
          </w:p>
        </w:tc>
      </w:tr>
      <w:tr w:rsidR="009D6CCD" w:rsidRPr="00A461B6" w14:paraId="494A5E07" w14:textId="77777777" w:rsidTr="009D6CCD">
        <w:tc>
          <w:tcPr>
            <w:tcW w:w="2145" w:type="dxa"/>
            <w:vAlign w:val="bottom"/>
          </w:tcPr>
          <w:p w14:paraId="58CACAA0" w14:textId="195C2DD4" w:rsidR="009D6CCD" w:rsidRPr="00A461B6" w:rsidRDefault="009D6CCD" w:rsidP="005F7A75">
            <w:pPr>
              <w:rPr>
                <w:b/>
                <w:bCs/>
                <w:color w:val="auto"/>
                <w:sz w:val="24"/>
                <w:szCs w:val="24"/>
              </w:rPr>
            </w:pPr>
            <w:r w:rsidRPr="00A461B6">
              <w:rPr>
                <w:rFonts w:ascii="Calibri" w:hAnsi="Calibri" w:cs="Calibri"/>
                <w:color w:val="auto"/>
                <w:sz w:val="22"/>
                <w:szCs w:val="22"/>
              </w:rPr>
              <w:t>228,726,540</w:t>
            </w:r>
          </w:p>
        </w:tc>
        <w:tc>
          <w:tcPr>
            <w:tcW w:w="2145" w:type="dxa"/>
            <w:vAlign w:val="bottom"/>
          </w:tcPr>
          <w:p w14:paraId="76CC43BF" w14:textId="1A299BA0" w:rsidR="009D6CCD" w:rsidRPr="00A461B6" w:rsidRDefault="009D6CCD" w:rsidP="005F7A75">
            <w:pPr>
              <w:rPr>
                <w:b/>
                <w:bCs/>
                <w:color w:val="auto"/>
                <w:sz w:val="24"/>
                <w:szCs w:val="24"/>
              </w:rPr>
            </w:pPr>
            <w:r w:rsidRPr="00A461B6">
              <w:rPr>
                <w:rFonts w:ascii="Calibri" w:hAnsi="Calibri" w:cs="Calibri"/>
                <w:color w:val="auto"/>
                <w:sz w:val="22"/>
                <w:szCs w:val="22"/>
              </w:rPr>
              <w:t>345,764,277</w:t>
            </w:r>
          </w:p>
        </w:tc>
        <w:tc>
          <w:tcPr>
            <w:tcW w:w="2124" w:type="dxa"/>
            <w:vAlign w:val="bottom"/>
          </w:tcPr>
          <w:p w14:paraId="154FFE9C" w14:textId="1DB7F7AE" w:rsidR="009D6CCD" w:rsidRPr="00A461B6" w:rsidRDefault="009D6CCD" w:rsidP="005F7A75">
            <w:pPr>
              <w:rPr>
                <w:b/>
                <w:bCs/>
                <w:color w:val="auto"/>
                <w:sz w:val="24"/>
                <w:szCs w:val="24"/>
              </w:rPr>
            </w:pPr>
            <w:r w:rsidRPr="00A461B6">
              <w:rPr>
                <w:rFonts w:ascii="Calibri" w:hAnsi="Calibri" w:cs="Calibri"/>
                <w:color w:val="auto"/>
                <w:sz w:val="22"/>
                <w:szCs w:val="22"/>
              </w:rPr>
              <w:t>390,009,</w:t>
            </w:r>
            <w:r w:rsidR="009A7187" w:rsidRPr="00A461B6">
              <w:rPr>
                <w:rFonts w:ascii="Calibri" w:hAnsi="Calibri" w:cs="Calibri"/>
                <w:color w:val="auto"/>
                <w:sz w:val="22"/>
                <w:szCs w:val="22"/>
              </w:rPr>
              <w:t>505</w:t>
            </w:r>
          </w:p>
        </w:tc>
        <w:tc>
          <w:tcPr>
            <w:tcW w:w="2124" w:type="dxa"/>
            <w:vAlign w:val="bottom"/>
          </w:tcPr>
          <w:p w14:paraId="38E762D7" w14:textId="2B999D0D" w:rsidR="009D6CCD" w:rsidRPr="00A461B6" w:rsidRDefault="009D6CCD" w:rsidP="005F7A75">
            <w:pPr>
              <w:rPr>
                <w:b/>
                <w:bCs/>
                <w:color w:val="auto"/>
                <w:sz w:val="24"/>
                <w:szCs w:val="24"/>
              </w:rPr>
            </w:pPr>
            <w:r w:rsidRPr="00A461B6">
              <w:rPr>
                <w:rFonts w:ascii="Calibri" w:hAnsi="Calibri" w:cs="Calibri"/>
                <w:color w:val="auto"/>
                <w:sz w:val="22"/>
                <w:szCs w:val="22"/>
              </w:rPr>
              <w:t>400,899,510</w:t>
            </w:r>
          </w:p>
        </w:tc>
        <w:tc>
          <w:tcPr>
            <w:tcW w:w="1656" w:type="dxa"/>
            <w:vAlign w:val="bottom"/>
          </w:tcPr>
          <w:p w14:paraId="1FC7A67A" w14:textId="4EFB94F3" w:rsidR="009D6CCD" w:rsidRPr="00A461B6" w:rsidRDefault="009D6CCD" w:rsidP="005F7A75">
            <w:pPr>
              <w:rPr>
                <w:rFonts w:ascii="Calibri" w:hAnsi="Calibri" w:cs="Calibri"/>
                <w:color w:val="auto"/>
                <w:sz w:val="22"/>
                <w:szCs w:val="22"/>
              </w:rPr>
            </w:pPr>
            <w:r w:rsidRPr="00A461B6">
              <w:rPr>
                <w:rFonts w:ascii="Calibri" w:hAnsi="Calibri" w:cs="Calibri"/>
                <w:color w:val="auto"/>
                <w:sz w:val="22"/>
                <w:szCs w:val="22"/>
              </w:rPr>
              <w:t>1,365,399,</w:t>
            </w:r>
            <w:r w:rsidR="009A7187" w:rsidRPr="00A461B6">
              <w:rPr>
                <w:rFonts w:ascii="Calibri" w:hAnsi="Calibri" w:cs="Calibri"/>
                <w:color w:val="auto"/>
                <w:sz w:val="22"/>
                <w:szCs w:val="22"/>
              </w:rPr>
              <w:t>833</w:t>
            </w:r>
          </w:p>
        </w:tc>
      </w:tr>
    </w:tbl>
    <w:p w14:paraId="34C9583B" w14:textId="091913E8" w:rsidR="00B72094" w:rsidRPr="00A461B6" w:rsidRDefault="00B72094" w:rsidP="00D2693C">
      <w:pPr>
        <w:pStyle w:val="TableHeadingRow"/>
        <w:rPr>
          <w:sz w:val="32"/>
        </w:rPr>
      </w:pPr>
      <w:r w:rsidRPr="00A461B6">
        <w:rPr>
          <w:b w:val="0"/>
          <w:szCs w:val="20"/>
        </w:rPr>
        <w:t>Source:</w:t>
      </w:r>
      <w:r w:rsidRPr="00A461B6">
        <w:rPr>
          <w:bCs w:val="0"/>
          <w:sz w:val="32"/>
        </w:rPr>
        <w:t xml:space="preserve"> </w:t>
      </w:r>
      <w:r w:rsidRPr="00A461B6">
        <w:rPr>
          <w:b w:val="0"/>
          <w:szCs w:val="20"/>
        </w:rPr>
        <w:t xml:space="preserve">2023 </w:t>
      </w:r>
      <w:r w:rsidR="00FD3686" w:rsidRPr="004D28D8">
        <w:rPr>
          <w:b w:val="0"/>
        </w:rPr>
        <w:t>Impact analysis</w:t>
      </w:r>
      <w:r w:rsidR="00FD3686" w:rsidRPr="00A461B6">
        <w:rPr>
          <w:b w:val="0"/>
          <w:szCs w:val="20"/>
        </w:rPr>
        <w:t xml:space="preserve"> </w:t>
      </w:r>
      <w:r w:rsidRPr="00A461B6">
        <w:rPr>
          <w:b w:val="0"/>
          <w:szCs w:val="20"/>
        </w:rPr>
        <w:t>costing-</w:t>
      </w:r>
      <w:r w:rsidR="00FD3686" w:rsidRPr="00A461B6">
        <w:rPr>
          <w:b w:val="0"/>
          <w:szCs w:val="20"/>
        </w:rPr>
        <w:t xml:space="preserve"> MDQMDQ</w:t>
      </w:r>
      <w:r w:rsidRPr="00A461B6">
        <w:rPr>
          <w:b w:val="0"/>
          <w:szCs w:val="20"/>
        </w:rPr>
        <w:t xml:space="preserve"> 3 month O</w:t>
      </w:r>
      <w:r w:rsidR="004A3C92" w:rsidRPr="00A461B6">
        <w:rPr>
          <w:b w:val="0"/>
          <w:szCs w:val="20"/>
        </w:rPr>
        <w:t>IA</w:t>
      </w:r>
      <w:r w:rsidRPr="00A461B6">
        <w:rPr>
          <w:b w:val="0"/>
          <w:szCs w:val="20"/>
        </w:rPr>
        <w:t>22</w:t>
      </w:r>
      <w:r w:rsidR="004A3C92" w:rsidRPr="00A461B6">
        <w:rPr>
          <w:b w:val="0"/>
          <w:szCs w:val="20"/>
        </w:rPr>
        <w:t>IA</w:t>
      </w:r>
      <w:r w:rsidRPr="00A461B6">
        <w:rPr>
          <w:b w:val="0"/>
          <w:szCs w:val="20"/>
        </w:rPr>
        <w:t>-03771</w:t>
      </w:r>
    </w:p>
    <w:p w14:paraId="2B4AA29B" w14:textId="77777777" w:rsidR="001D11CD" w:rsidRPr="00A461B6" w:rsidRDefault="001D11CD" w:rsidP="00DC5650">
      <w:pPr>
        <w:pStyle w:val="Heading4"/>
      </w:pPr>
      <w:r w:rsidRPr="00A461B6">
        <w:t>Prescribers</w:t>
      </w:r>
    </w:p>
    <w:p w14:paraId="694CDF9C" w14:textId="45510B8D" w:rsidR="001D11CD" w:rsidRPr="00A461B6" w:rsidRDefault="001D11CD" w:rsidP="001D11CD">
      <w:pPr>
        <w:rPr>
          <w:i/>
          <w:color w:val="auto"/>
          <w:sz w:val="24"/>
          <w:szCs w:val="24"/>
        </w:rPr>
      </w:pPr>
      <w:r w:rsidRPr="00A461B6">
        <w:rPr>
          <w:i/>
          <w:color w:val="auto"/>
          <w:sz w:val="24"/>
          <w:szCs w:val="24"/>
        </w:rPr>
        <w:t xml:space="preserve">All impacts as for Prescribers under Option </w:t>
      </w:r>
      <w:r w:rsidR="00D61146" w:rsidRPr="00A461B6">
        <w:rPr>
          <w:i/>
          <w:color w:val="auto"/>
          <w:sz w:val="24"/>
          <w:szCs w:val="24"/>
        </w:rPr>
        <w:t>2</w:t>
      </w:r>
      <w:r w:rsidRPr="00A461B6">
        <w:rPr>
          <w:i/>
          <w:color w:val="auto"/>
          <w:sz w:val="24"/>
          <w:szCs w:val="24"/>
        </w:rPr>
        <w:t>.</w:t>
      </w:r>
    </w:p>
    <w:p w14:paraId="513509A5" w14:textId="1C138504" w:rsidR="00EB2307" w:rsidRPr="00A461B6" w:rsidRDefault="00EB2307" w:rsidP="001548C4">
      <w:pPr>
        <w:spacing w:after="0" w:line="240" w:lineRule="auto"/>
        <w:textAlignment w:val="center"/>
        <w:rPr>
          <w:color w:val="auto"/>
          <w:sz w:val="24"/>
        </w:rPr>
      </w:pPr>
      <w:r w:rsidRPr="00A461B6">
        <w:rPr>
          <w:color w:val="auto"/>
          <w:sz w:val="24"/>
        </w:rPr>
        <w:t xml:space="preserve">The impacts are the same as under Option 2 because under both options, each prescription with the increased MDQ will supply approximately 12 months’ of medicine, an increase from 6 months under the </w:t>
      </w:r>
      <w:r w:rsidR="00A85E2F" w:rsidRPr="00A461B6">
        <w:rPr>
          <w:rFonts w:eastAsia="Times New Roman"/>
          <w:color w:val="auto"/>
          <w:sz w:val="24"/>
          <w:szCs w:val="24"/>
        </w:rPr>
        <w:t>s</w:t>
      </w:r>
      <w:r w:rsidRPr="00A461B6">
        <w:rPr>
          <w:rFonts w:eastAsia="Times New Roman"/>
          <w:color w:val="auto"/>
          <w:sz w:val="24"/>
          <w:szCs w:val="24"/>
        </w:rPr>
        <w:t xml:space="preserve">tatus </w:t>
      </w:r>
      <w:r w:rsidR="00A85E2F" w:rsidRPr="00A461B6">
        <w:rPr>
          <w:rFonts w:eastAsia="Times New Roman"/>
          <w:color w:val="auto"/>
          <w:sz w:val="24"/>
          <w:szCs w:val="24"/>
        </w:rPr>
        <w:t>q</w:t>
      </w:r>
      <w:r w:rsidRPr="00A461B6">
        <w:rPr>
          <w:rFonts w:eastAsia="Times New Roman"/>
          <w:color w:val="auto"/>
          <w:sz w:val="24"/>
          <w:szCs w:val="24"/>
        </w:rPr>
        <w:t>uo</w:t>
      </w:r>
      <w:r w:rsidRPr="00A461B6">
        <w:rPr>
          <w:color w:val="auto"/>
          <w:sz w:val="24"/>
        </w:rPr>
        <w:t xml:space="preserve"> option. As such, under both </w:t>
      </w:r>
      <w:r w:rsidR="00A85E2F" w:rsidRPr="00A461B6">
        <w:rPr>
          <w:rFonts w:eastAsia="Times New Roman"/>
          <w:color w:val="auto"/>
          <w:sz w:val="24"/>
          <w:szCs w:val="24"/>
        </w:rPr>
        <w:t>Option 2 and Option 3</w:t>
      </w:r>
      <w:r w:rsidRPr="00A461B6">
        <w:rPr>
          <w:color w:val="auto"/>
          <w:sz w:val="24"/>
        </w:rPr>
        <w:t xml:space="preserve">, prescribers may see the same reduction in appointments from affected patients. </w:t>
      </w:r>
    </w:p>
    <w:p w14:paraId="452B5291" w14:textId="4932EB2C" w:rsidR="00114AB8" w:rsidRPr="00A461B6" w:rsidRDefault="00114AB8" w:rsidP="00DC5650">
      <w:pPr>
        <w:pStyle w:val="Heading4"/>
      </w:pPr>
      <w:r w:rsidRPr="00A461B6">
        <w:t xml:space="preserve">Pharmaceutical </w:t>
      </w:r>
      <w:r w:rsidR="0097798F" w:rsidRPr="00A461B6">
        <w:t>w</w:t>
      </w:r>
      <w:r w:rsidRPr="00A461B6">
        <w:t>holesalers</w:t>
      </w:r>
    </w:p>
    <w:p w14:paraId="6116CC2F" w14:textId="0B6F9658" w:rsidR="001C797C" w:rsidRPr="00A461B6" w:rsidRDefault="00A85E2F" w:rsidP="001C797C">
      <w:pPr>
        <w:rPr>
          <w:color w:val="auto"/>
          <w:sz w:val="24"/>
        </w:rPr>
      </w:pPr>
      <w:r w:rsidRPr="00A461B6">
        <w:rPr>
          <w:color w:val="auto"/>
          <w:sz w:val="24"/>
          <w:szCs w:val="24"/>
        </w:rPr>
        <w:t>The impact on w</w:t>
      </w:r>
      <w:r w:rsidR="00EB2307" w:rsidRPr="00A461B6">
        <w:rPr>
          <w:color w:val="auto"/>
          <w:sz w:val="24"/>
          <w:szCs w:val="24"/>
        </w:rPr>
        <w:t>holesaler</w:t>
      </w:r>
      <w:r w:rsidR="00EB2307" w:rsidRPr="00A461B6">
        <w:rPr>
          <w:color w:val="auto"/>
          <w:sz w:val="24"/>
        </w:rPr>
        <w:t xml:space="preserve"> remuneration may be </w:t>
      </w:r>
      <w:r w:rsidRPr="00A461B6">
        <w:rPr>
          <w:color w:val="auto"/>
          <w:sz w:val="24"/>
          <w:szCs w:val="24"/>
        </w:rPr>
        <w:t>greater</w:t>
      </w:r>
      <w:r w:rsidR="00EB2307" w:rsidRPr="00A461B6">
        <w:rPr>
          <w:color w:val="auto"/>
          <w:sz w:val="24"/>
        </w:rPr>
        <w:t xml:space="preserve"> under Option 3</w:t>
      </w:r>
      <w:r w:rsidR="001C797C" w:rsidRPr="00A461B6">
        <w:rPr>
          <w:color w:val="auto"/>
          <w:sz w:val="24"/>
        </w:rPr>
        <w:t xml:space="preserve">. The wholesaler mark-up for ready prepared pharmaceutical benefits is calculated as a percentage for medicines between the price of $5.50 and $720 (ex-manufacturer). For those medicines that fall outside this range it is applied as a flat fee for the maximum amount of medicine that can be dispensed. As Option 3 </w:t>
      </w:r>
      <w:r w:rsidRPr="00A461B6">
        <w:rPr>
          <w:color w:val="auto"/>
          <w:sz w:val="24"/>
          <w:szCs w:val="24"/>
        </w:rPr>
        <w:t>provides</w:t>
      </w:r>
      <w:r w:rsidR="001C797C" w:rsidRPr="00A461B6">
        <w:rPr>
          <w:color w:val="auto"/>
          <w:sz w:val="24"/>
        </w:rPr>
        <w:t xml:space="preserve"> a </w:t>
      </w:r>
      <w:r w:rsidRPr="00A461B6">
        <w:rPr>
          <w:color w:val="auto"/>
          <w:sz w:val="24"/>
          <w:szCs w:val="24"/>
        </w:rPr>
        <w:t>greater</w:t>
      </w:r>
      <w:r w:rsidR="001C797C" w:rsidRPr="00A461B6">
        <w:rPr>
          <w:color w:val="auto"/>
          <w:sz w:val="24"/>
        </w:rPr>
        <w:t xml:space="preserve"> MDQ, </w:t>
      </w:r>
      <w:r w:rsidR="00BC135C" w:rsidRPr="00A461B6">
        <w:rPr>
          <w:color w:val="auto"/>
          <w:sz w:val="24"/>
        </w:rPr>
        <w:t xml:space="preserve">the impact of the triple increased maximum quantity item in scaling down the calculated wholesale mark-up for impacted medicines may be more significant, further </w:t>
      </w:r>
      <w:r w:rsidR="001C797C" w:rsidRPr="00A461B6">
        <w:rPr>
          <w:color w:val="auto"/>
          <w:sz w:val="24"/>
        </w:rPr>
        <w:t xml:space="preserve">reducing the amount of wholesaler mark-up paid by the Commonwealth overall. </w:t>
      </w:r>
    </w:p>
    <w:p w14:paraId="797BEF3A" w14:textId="7E65ECA1" w:rsidR="001C797C" w:rsidRPr="00A461B6" w:rsidRDefault="001C797C" w:rsidP="001548C4">
      <w:pPr>
        <w:pStyle w:val="Subtitle"/>
        <w:keepNext/>
        <w:keepLines/>
        <w:spacing w:after="0" w:line="240" w:lineRule="auto"/>
        <w:rPr>
          <w:color w:val="002060"/>
        </w:rPr>
      </w:pPr>
      <w:r w:rsidRPr="00A461B6">
        <w:rPr>
          <w:color w:val="002060"/>
        </w:rPr>
        <w:t xml:space="preserve">Medicine </w:t>
      </w:r>
      <w:r w:rsidR="003D204A" w:rsidRPr="00A461B6">
        <w:rPr>
          <w:color w:val="002060"/>
        </w:rPr>
        <w:t>s</w:t>
      </w:r>
      <w:r w:rsidRPr="00A461B6">
        <w:rPr>
          <w:color w:val="002060"/>
        </w:rPr>
        <w:t>ponsors</w:t>
      </w:r>
    </w:p>
    <w:p w14:paraId="16E95A8F" w14:textId="2C859776" w:rsidR="00BC135C" w:rsidRPr="00A461B6" w:rsidRDefault="001C797C" w:rsidP="00BC135C">
      <w:pPr>
        <w:spacing w:before="240"/>
        <w:rPr>
          <w:color w:val="auto"/>
          <w:sz w:val="24"/>
        </w:rPr>
      </w:pPr>
      <w:r w:rsidRPr="00A461B6">
        <w:rPr>
          <w:color w:val="auto"/>
          <w:sz w:val="24"/>
        </w:rPr>
        <w:t xml:space="preserve">Initially, medicine sponsors may be required to increase Australian onshore stock levels </w:t>
      </w:r>
      <w:r w:rsidR="0001432A" w:rsidRPr="00A461B6">
        <w:rPr>
          <w:color w:val="auto"/>
          <w:sz w:val="24"/>
        </w:rPr>
        <w:t xml:space="preserve">due to a </w:t>
      </w:r>
      <w:r w:rsidR="000A1249" w:rsidRPr="00A461B6">
        <w:rPr>
          <w:color w:val="auto"/>
          <w:sz w:val="24"/>
        </w:rPr>
        <w:t>short</w:t>
      </w:r>
      <w:r w:rsidR="000A1249" w:rsidRPr="00A461B6">
        <w:rPr>
          <w:color w:val="auto"/>
          <w:sz w:val="24"/>
        </w:rPr>
        <w:noBreakHyphen/>
        <w:t>term</w:t>
      </w:r>
      <w:r w:rsidRPr="00A461B6">
        <w:rPr>
          <w:color w:val="auto"/>
          <w:sz w:val="24"/>
        </w:rPr>
        <w:t xml:space="preserve"> </w:t>
      </w:r>
      <w:r w:rsidR="0001432A" w:rsidRPr="00A461B6">
        <w:rPr>
          <w:color w:val="auto"/>
          <w:sz w:val="24"/>
        </w:rPr>
        <w:t xml:space="preserve">increase in demand </w:t>
      </w:r>
      <w:r w:rsidRPr="00A461B6">
        <w:rPr>
          <w:color w:val="auto"/>
          <w:sz w:val="24"/>
        </w:rPr>
        <w:t>for certain PBS medicines</w:t>
      </w:r>
      <w:r w:rsidR="0001432A" w:rsidRPr="00A461B6">
        <w:rPr>
          <w:color w:val="auto"/>
          <w:sz w:val="24"/>
        </w:rPr>
        <w:t>,</w:t>
      </w:r>
      <w:r w:rsidRPr="00A461B6">
        <w:rPr>
          <w:color w:val="auto"/>
          <w:sz w:val="24"/>
        </w:rPr>
        <w:t xml:space="preserve"> and it would be assumed the effect of Option 3 would be greater than Option 2 due to the higher MDQ involved.</w:t>
      </w:r>
      <w:r w:rsidR="000E4A97" w:rsidRPr="00A461B6">
        <w:rPr>
          <w:color w:val="auto"/>
          <w:sz w:val="24"/>
        </w:rPr>
        <w:t xml:space="preserve"> However overall, the same amount of medicine is expected to be supplied to the Australian market</w:t>
      </w:r>
      <w:r w:rsidR="0001432A" w:rsidRPr="00A461B6">
        <w:rPr>
          <w:color w:val="auto"/>
          <w:sz w:val="24"/>
        </w:rPr>
        <w:t xml:space="preserve"> annually</w:t>
      </w:r>
      <w:r w:rsidR="000E4A97" w:rsidRPr="00A461B6">
        <w:rPr>
          <w:color w:val="auto"/>
          <w:sz w:val="24"/>
        </w:rPr>
        <w:t>.</w:t>
      </w:r>
      <w:r w:rsidR="00BC135C" w:rsidRPr="00A461B6">
        <w:rPr>
          <w:color w:val="auto"/>
          <w:sz w:val="24"/>
        </w:rPr>
        <w:t xml:space="preserve"> </w:t>
      </w:r>
      <w:r w:rsidR="009A7187" w:rsidRPr="00A461B6">
        <w:rPr>
          <w:color w:val="auto"/>
          <w:sz w:val="24"/>
        </w:rPr>
        <w:t>A</w:t>
      </w:r>
      <w:r w:rsidR="00BC135C" w:rsidRPr="00A461B6">
        <w:rPr>
          <w:color w:val="auto"/>
          <w:sz w:val="24"/>
        </w:rPr>
        <w:t xml:space="preserve"> small financial </w:t>
      </w:r>
      <w:r w:rsidR="00C61CD5" w:rsidRPr="00A461B6">
        <w:rPr>
          <w:color w:val="auto"/>
          <w:sz w:val="24"/>
        </w:rPr>
        <w:t>gain i</w:t>
      </w:r>
      <w:r w:rsidR="00BC135C" w:rsidRPr="00A461B6">
        <w:rPr>
          <w:color w:val="auto"/>
          <w:sz w:val="24"/>
        </w:rPr>
        <w:t>n PBS revenue/rebate payments is expected for sponsors of medicines with a special pricing arrangement and/or a risk</w:t>
      </w:r>
      <w:r w:rsidR="00FD3686" w:rsidRPr="00A461B6">
        <w:rPr>
          <w:color w:val="auto"/>
          <w:sz w:val="24"/>
        </w:rPr>
        <w:t xml:space="preserve"> </w:t>
      </w:r>
      <w:r w:rsidR="00BC135C" w:rsidRPr="00A461B6">
        <w:rPr>
          <w:color w:val="auto"/>
          <w:sz w:val="24"/>
        </w:rPr>
        <w:t xml:space="preserve">sharing arrangement, due to the expected impact of the proposal in reducing Commonwealth expenditure. </w:t>
      </w:r>
    </w:p>
    <w:p w14:paraId="1038CB02" w14:textId="05D09FEB" w:rsidR="001D11CD" w:rsidRPr="00A461B6" w:rsidRDefault="001D11CD" w:rsidP="00DC5650">
      <w:pPr>
        <w:pStyle w:val="Heading4"/>
      </w:pPr>
      <w:r w:rsidRPr="00A461B6">
        <w:t xml:space="preserve">Medical and </w:t>
      </w:r>
      <w:r w:rsidR="00A85E2F" w:rsidRPr="00A461B6">
        <w:t>d</w:t>
      </w:r>
      <w:r w:rsidRPr="00A461B6">
        <w:t xml:space="preserve">ispensing </w:t>
      </w:r>
      <w:r w:rsidR="00A85E2F" w:rsidRPr="00A461B6">
        <w:t>s</w:t>
      </w:r>
      <w:r w:rsidRPr="00A461B6">
        <w:t xml:space="preserve">oftware </w:t>
      </w:r>
      <w:r w:rsidR="00A85E2F" w:rsidRPr="00A461B6">
        <w:t>p</w:t>
      </w:r>
      <w:r w:rsidRPr="00A461B6">
        <w:t>roviders, Services Australia and Department of Health and Aged Care</w:t>
      </w:r>
    </w:p>
    <w:p w14:paraId="6DD0D022" w14:textId="3F2F491D" w:rsidR="001D11CD" w:rsidRPr="00A461B6" w:rsidRDefault="001D11CD" w:rsidP="001D11CD">
      <w:pPr>
        <w:rPr>
          <w:i/>
          <w:sz w:val="24"/>
          <w:szCs w:val="24"/>
        </w:rPr>
      </w:pPr>
      <w:r w:rsidRPr="00A461B6">
        <w:rPr>
          <w:i/>
          <w:sz w:val="24"/>
          <w:szCs w:val="24"/>
        </w:rPr>
        <w:t xml:space="preserve">All other impacts as under Option </w:t>
      </w:r>
      <w:r w:rsidR="00D61146" w:rsidRPr="00A461B6">
        <w:rPr>
          <w:i/>
          <w:sz w:val="24"/>
          <w:szCs w:val="24"/>
        </w:rPr>
        <w:t>2</w:t>
      </w:r>
      <w:r w:rsidRPr="00A461B6">
        <w:rPr>
          <w:i/>
          <w:sz w:val="24"/>
          <w:szCs w:val="24"/>
        </w:rPr>
        <w:t>.</w:t>
      </w:r>
    </w:p>
    <w:p w14:paraId="7ECDA255" w14:textId="77777777" w:rsidR="001D11CD" w:rsidRPr="00A461B6" w:rsidRDefault="001D11CD" w:rsidP="009A7187">
      <w:pPr>
        <w:pStyle w:val="Heading4"/>
        <w:keepNext/>
        <w:keepLines/>
      </w:pPr>
      <w:r w:rsidRPr="00A461B6">
        <w:t>Government</w:t>
      </w:r>
    </w:p>
    <w:p w14:paraId="31D98BFE" w14:textId="43438FAD" w:rsidR="001D11CD" w:rsidRPr="00A461B6" w:rsidRDefault="00E952A5" w:rsidP="001D11CD">
      <w:pPr>
        <w:rPr>
          <w:sz w:val="24"/>
          <w:szCs w:val="24"/>
        </w:rPr>
      </w:pPr>
      <w:r w:rsidRPr="00A461B6">
        <w:rPr>
          <w:sz w:val="24"/>
          <w:szCs w:val="24"/>
        </w:rPr>
        <w:t>Implementing the</w:t>
      </w:r>
      <w:r w:rsidR="001548C4" w:rsidRPr="00A461B6">
        <w:rPr>
          <w:sz w:val="24"/>
          <w:szCs w:val="24"/>
        </w:rPr>
        <w:t xml:space="preserve"> </w:t>
      </w:r>
      <w:r w:rsidRPr="00A461B6">
        <w:rPr>
          <w:sz w:val="24"/>
          <w:szCs w:val="24"/>
        </w:rPr>
        <w:t xml:space="preserve">three month supply option is forecast to </w:t>
      </w:r>
      <w:r w:rsidRPr="00A461B6">
        <w:rPr>
          <w:color w:val="auto"/>
          <w:sz w:val="24"/>
          <w:szCs w:val="24"/>
        </w:rPr>
        <w:t xml:space="preserve">provide </w:t>
      </w:r>
      <w:r w:rsidR="00EC3D17" w:rsidRPr="00A461B6">
        <w:rPr>
          <w:color w:val="auto"/>
          <w:sz w:val="24"/>
          <w:szCs w:val="24"/>
        </w:rPr>
        <w:t xml:space="preserve">greater </w:t>
      </w:r>
      <w:r w:rsidRPr="00A461B6">
        <w:rPr>
          <w:color w:val="auto"/>
          <w:sz w:val="24"/>
          <w:szCs w:val="24"/>
        </w:rPr>
        <w:t xml:space="preserve">savings </w:t>
      </w:r>
      <w:r w:rsidR="002419E4" w:rsidRPr="00A461B6">
        <w:rPr>
          <w:color w:val="auto"/>
          <w:sz w:val="24"/>
          <w:szCs w:val="24"/>
        </w:rPr>
        <w:t xml:space="preserve">to Government than </w:t>
      </w:r>
      <w:r w:rsidR="00114AB8" w:rsidRPr="00A461B6">
        <w:rPr>
          <w:color w:val="auto"/>
          <w:sz w:val="24"/>
          <w:szCs w:val="24"/>
        </w:rPr>
        <w:t xml:space="preserve">the savings </w:t>
      </w:r>
      <w:r w:rsidR="002419E4" w:rsidRPr="00A461B6">
        <w:rPr>
          <w:color w:val="auto"/>
          <w:sz w:val="24"/>
          <w:szCs w:val="24"/>
        </w:rPr>
        <w:t xml:space="preserve">forecast for Option </w:t>
      </w:r>
      <w:r w:rsidR="00D61146" w:rsidRPr="00A461B6">
        <w:rPr>
          <w:color w:val="auto"/>
          <w:sz w:val="24"/>
          <w:szCs w:val="24"/>
        </w:rPr>
        <w:t>2</w:t>
      </w:r>
      <w:r w:rsidR="002419E4" w:rsidRPr="00A461B6">
        <w:rPr>
          <w:color w:val="auto"/>
          <w:sz w:val="24"/>
          <w:szCs w:val="24"/>
        </w:rPr>
        <w:t>.</w:t>
      </w:r>
      <w:r w:rsidR="004B551F" w:rsidRPr="00A461B6">
        <w:rPr>
          <w:color w:val="auto"/>
          <w:sz w:val="24"/>
          <w:szCs w:val="24"/>
        </w:rPr>
        <w:t xml:space="preserve"> This option may increase the amount of medicine </w:t>
      </w:r>
      <w:r w:rsidR="004B551F" w:rsidRPr="00A461B6">
        <w:rPr>
          <w:sz w:val="24"/>
          <w:szCs w:val="24"/>
        </w:rPr>
        <w:t>wastage, as triple rather than double quantities would be supplied at one time.</w:t>
      </w:r>
    </w:p>
    <w:p w14:paraId="01DC6585" w14:textId="6BF8275D" w:rsidR="001D11CD" w:rsidRPr="00A461B6" w:rsidRDefault="001D11CD" w:rsidP="001D11CD">
      <w:pPr>
        <w:rPr>
          <w:i/>
          <w:sz w:val="24"/>
          <w:szCs w:val="24"/>
        </w:rPr>
      </w:pPr>
      <w:r w:rsidRPr="00A461B6">
        <w:rPr>
          <w:i/>
          <w:sz w:val="24"/>
          <w:szCs w:val="24"/>
        </w:rPr>
        <w:t xml:space="preserve">All other impacts as for Government under Option </w:t>
      </w:r>
      <w:r w:rsidR="00D61146" w:rsidRPr="00A461B6">
        <w:rPr>
          <w:i/>
          <w:sz w:val="24"/>
          <w:szCs w:val="24"/>
        </w:rPr>
        <w:t>2</w:t>
      </w:r>
      <w:r w:rsidRPr="00A461B6">
        <w:rPr>
          <w:i/>
          <w:sz w:val="24"/>
          <w:szCs w:val="24"/>
        </w:rPr>
        <w:t>.</w:t>
      </w:r>
    </w:p>
    <w:p w14:paraId="7F2F5569" w14:textId="2017923B" w:rsidR="00B72094" w:rsidRPr="00A461B6" w:rsidRDefault="00B72094" w:rsidP="00DC5650">
      <w:pPr>
        <w:pStyle w:val="Heading3"/>
      </w:pPr>
      <w:bookmarkStart w:id="81" w:name="_Toc132192310"/>
      <w:bookmarkStart w:id="82" w:name="_Toc134603941"/>
      <w:r w:rsidRPr="00A461B6">
        <w:t>Regulatory burden estimate (RBE) table</w:t>
      </w:r>
      <w:r w:rsidR="00A85E2F" w:rsidRPr="00A461B6">
        <w:t xml:space="preserve"> </w:t>
      </w:r>
      <w:r w:rsidR="00245F35">
        <w:t>–</w:t>
      </w:r>
      <w:r w:rsidR="00A85E2F" w:rsidRPr="00A461B6">
        <w:t xml:space="preserve"> </w:t>
      </w:r>
      <w:r w:rsidRPr="00A461B6">
        <w:t xml:space="preserve">Option </w:t>
      </w:r>
      <w:r w:rsidR="00D61146" w:rsidRPr="00A461B6">
        <w:t>3</w:t>
      </w:r>
      <w:bookmarkEnd w:id="81"/>
      <w:bookmarkEnd w:id="82"/>
    </w:p>
    <w:tbl>
      <w:tblPr>
        <w:tblStyle w:val="PMCTableStyle2"/>
        <w:tblW w:w="0" w:type="auto"/>
        <w:tblLook w:val="0660" w:firstRow="1" w:lastRow="1" w:firstColumn="0" w:lastColumn="0" w:noHBand="1" w:noVBand="1"/>
        <w:tblCaption w:val="Regulatory burden estimate (RBE) table - Option 3"/>
      </w:tblPr>
      <w:tblGrid>
        <w:gridCol w:w="2532"/>
        <w:gridCol w:w="1571"/>
        <w:gridCol w:w="1479"/>
        <w:gridCol w:w="2521"/>
        <w:gridCol w:w="332"/>
        <w:gridCol w:w="1759"/>
      </w:tblGrid>
      <w:tr w:rsidR="00B72094" w:rsidRPr="00A461B6" w14:paraId="7231FE6F" w14:textId="77777777" w:rsidTr="00C67480">
        <w:trPr>
          <w:cnfStyle w:val="100000000000" w:firstRow="1" w:lastRow="0" w:firstColumn="0" w:lastColumn="0" w:oddVBand="0" w:evenVBand="0" w:oddHBand="0" w:evenHBand="0" w:firstRowFirstColumn="0" w:firstRowLastColumn="0" w:lastRowFirstColumn="0" w:lastRowLastColumn="0"/>
          <w:trHeight w:val="350"/>
          <w:tblHeader/>
        </w:trPr>
        <w:tc>
          <w:tcPr>
            <w:tcW w:w="10194" w:type="dxa"/>
            <w:gridSpan w:val="6"/>
          </w:tcPr>
          <w:p w14:paraId="55ECA2E5" w14:textId="77777777" w:rsidR="00B72094" w:rsidRPr="00A461B6" w:rsidRDefault="00B72094" w:rsidP="00D76730">
            <w:pPr>
              <w:pStyle w:val="TableHeading"/>
            </w:pPr>
            <w:r w:rsidRPr="00A461B6">
              <w:t>Average annual regulatory costs</w:t>
            </w:r>
          </w:p>
        </w:tc>
      </w:tr>
      <w:tr w:rsidR="00B72094" w:rsidRPr="00A461B6" w14:paraId="5ECB0D7F" w14:textId="77777777" w:rsidTr="00D76730">
        <w:trPr>
          <w:trHeight w:val="350"/>
        </w:trPr>
        <w:tc>
          <w:tcPr>
            <w:tcW w:w="2547" w:type="dxa"/>
          </w:tcPr>
          <w:p w14:paraId="02FAE0F6" w14:textId="77777777" w:rsidR="00B72094" w:rsidRPr="00A461B6" w:rsidRDefault="00B72094" w:rsidP="00D76730">
            <w:pPr>
              <w:pStyle w:val="TableBody"/>
            </w:pPr>
            <w:r w:rsidRPr="00A461B6">
              <w:t>Change in costs ($ million)</w:t>
            </w:r>
          </w:p>
        </w:tc>
        <w:tc>
          <w:tcPr>
            <w:tcW w:w="1538" w:type="dxa"/>
          </w:tcPr>
          <w:p w14:paraId="6D9501ED" w14:textId="77777777" w:rsidR="00B72094" w:rsidRPr="00A461B6" w:rsidRDefault="00B72094" w:rsidP="00D76730">
            <w:pPr>
              <w:pStyle w:val="TableBody"/>
            </w:pPr>
            <w:r w:rsidRPr="00A461B6">
              <w:t>Individuals</w:t>
            </w:r>
          </w:p>
        </w:tc>
        <w:tc>
          <w:tcPr>
            <w:tcW w:w="1482" w:type="dxa"/>
          </w:tcPr>
          <w:p w14:paraId="0877C2A9" w14:textId="77777777" w:rsidR="00B72094" w:rsidRPr="00A461B6" w:rsidRDefault="00B72094" w:rsidP="00D76730">
            <w:pPr>
              <w:pStyle w:val="TableBullet"/>
              <w:numPr>
                <w:ilvl w:val="0"/>
                <w:numId w:val="0"/>
              </w:numPr>
              <w:ind w:left="19"/>
            </w:pPr>
            <w:r w:rsidRPr="00A461B6">
              <w:t xml:space="preserve">Business </w:t>
            </w:r>
          </w:p>
        </w:tc>
        <w:tc>
          <w:tcPr>
            <w:tcW w:w="2531" w:type="dxa"/>
          </w:tcPr>
          <w:p w14:paraId="7573849D" w14:textId="77777777" w:rsidR="00B72094" w:rsidRPr="00A461B6" w:rsidRDefault="00B72094" w:rsidP="00D76730">
            <w:pPr>
              <w:pStyle w:val="TableBody"/>
            </w:pPr>
            <w:r w:rsidRPr="00A461B6">
              <w:t>Community organisations</w:t>
            </w:r>
          </w:p>
        </w:tc>
        <w:tc>
          <w:tcPr>
            <w:tcW w:w="2096" w:type="dxa"/>
            <w:gridSpan w:val="2"/>
          </w:tcPr>
          <w:p w14:paraId="6BB37637" w14:textId="77777777" w:rsidR="00B72094" w:rsidRPr="00A461B6" w:rsidRDefault="00B72094" w:rsidP="00D76730">
            <w:pPr>
              <w:pStyle w:val="TableNumbering"/>
              <w:numPr>
                <w:ilvl w:val="0"/>
                <w:numId w:val="0"/>
              </w:numPr>
            </w:pPr>
            <w:r w:rsidRPr="00A461B6">
              <w:t>Total change in cost</w:t>
            </w:r>
          </w:p>
        </w:tc>
      </w:tr>
      <w:tr w:rsidR="00B72094" w:rsidRPr="00A461B6" w14:paraId="6FE059A2" w14:textId="77777777" w:rsidTr="00D76730">
        <w:trPr>
          <w:cnfStyle w:val="010000000000" w:firstRow="0" w:lastRow="1" w:firstColumn="0" w:lastColumn="0" w:oddVBand="0" w:evenVBand="0" w:oddHBand="0" w:evenHBand="0" w:firstRowFirstColumn="0" w:firstRowLastColumn="0" w:lastRowFirstColumn="0" w:lastRowLastColumn="0"/>
          <w:trHeight w:val="350"/>
        </w:trPr>
        <w:tc>
          <w:tcPr>
            <w:tcW w:w="2547" w:type="dxa"/>
          </w:tcPr>
          <w:p w14:paraId="2ED1A22C" w14:textId="77777777" w:rsidR="00B72094" w:rsidRPr="00A461B6" w:rsidRDefault="00B72094" w:rsidP="00D76730">
            <w:pPr>
              <w:pStyle w:val="TableBody"/>
              <w:rPr>
                <w:color w:val="auto"/>
              </w:rPr>
            </w:pPr>
            <w:r w:rsidRPr="00A461B6">
              <w:rPr>
                <w:color w:val="auto"/>
              </w:rPr>
              <w:t>Total, by sector</w:t>
            </w:r>
          </w:p>
        </w:tc>
        <w:tc>
          <w:tcPr>
            <w:tcW w:w="1538" w:type="dxa"/>
          </w:tcPr>
          <w:p w14:paraId="0F494E64" w14:textId="77735D09" w:rsidR="00B72094" w:rsidRPr="00A461B6" w:rsidRDefault="00B72094" w:rsidP="00D76730">
            <w:pPr>
              <w:pStyle w:val="TableBody"/>
              <w:rPr>
                <w:color w:val="auto"/>
              </w:rPr>
            </w:pPr>
            <w:r w:rsidRPr="00A461B6">
              <w:rPr>
                <w:color w:val="auto"/>
              </w:rPr>
              <w:t>$</w:t>
            </w:r>
            <w:r w:rsidR="00016528" w:rsidRPr="00A461B6">
              <w:rPr>
                <w:color w:val="auto"/>
              </w:rPr>
              <w:t>171,585,000</w:t>
            </w:r>
          </w:p>
          <w:p w14:paraId="3B472E14" w14:textId="630E75F4" w:rsidR="00B134D8" w:rsidRPr="00A461B6" w:rsidRDefault="00B134D8" w:rsidP="00D76730">
            <w:pPr>
              <w:pStyle w:val="TableBody"/>
              <w:rPr>
                <w:color w:val="auto"/>
              </w:rPr>
            </w:pPr>
            <w:r w:rsidRPr="00A461B6">
              <w:rPr>
                <w:color w:val="auto"/>
              </w:rPr>
              <w:t>(save)</w:t>
            </w:r>
          </w:p>
        </w:tc>
        <w:tc>
          <w:tcPr>
            <w:tcW w:w="1482" w:type="dxa"/>
          </w:tcPr>
          <w:p w14:paraId="3204A5F3" w14:textId="25CA8B26" w:rsidR="00B72094" w:rsidRPr="00A461B6" w:rsidRDefault="00B72094" w:rsidP="00E1628E">
            <w:pPr>
              <w:rPr>
                <w:color w:val="auto"/>
              </w:rPr>
            </w:pPr>
            <w:r w:rsidRPr="00A461B6">
              <w:rPr>
                <w:color w:val="auto"/>
                <w:sz w:val="18"/>
              </w:rPr>
              <w:t>$</w:t>
            </w:r>
          </w:p>
        </w:tc>
        <w:tc>
          <w:tcPr>
            <w:tcW w:w="2866" w:type="dxa"/>
            <w:gridSpan w:val="2"/>
          </w:tcPr>
          <w:p w14:paraId="775F2E38" w14:textId="77777777" w:rsidR="00B72094" w:rsidRPr="00A461B6" w:rsidRDefault="00B72094" w:rsidP="00D76730">
            <w:pPr>
              <w:pStyle w:val="TableNumbering"/>
              <w:numPr>
                <w:ilvl w:val="0"/>
                <w:numId w:val="0"/>
              </w:numPr>
              <w:ind w:left="284" w:hanging="284"/>
              <w:rPr>
                <w:color w:val="auto"/>
              </w:rPr>
            </w:pPr>
            <w:r w:rsidRPr="00A461B6">
              <w:rPr>
                <w:color w:val="auto"/>
              </w:rPr>
              <w:t>$</w:t>
            </w:r>
          </w:p>
        </w:tc>
        <w:tc>
          <w:tcPr>
            <w:tcW w:w="1761" w:type="dxa"/>
          </w:tcPr>
          <w:p w14:paraId="197D1D79" w14:textId="2270FA6B" w:rsidR="00B72094" w:rsidRPr="00A461B6" w:rsidRDefault="00B72094" w:rsidP="005B18EB">
            <w:pPr>
              <w:pStyle w:val="TableNumbering"/>
              <w:numPr>
                <w:ilvl w:val="0"/>
                <w:numId w:val="0"/>
              </w:numPr>
              <w:ind w:left="284" w:hanging="284"/>
              <w:rPr>
                <w:color w:val="auto"/>
              </w:rPr>
            </w:pPr>
            <w:r w:rsidRPr="00A461B6">
              <w:rPr>
                <w:color w:val="auto"/>
              </w:rPr>
              <w:t>$</w:t>
            </w:r>
            <w:r w:rsidR="00016528" w:rsidRPr="00A461B6">
              <w:rPr>
                <w:color w:val="auto"/>
              </w:rPr>
              <w:t>171,585,000</w:t>
            </w:r>
            <w:r w:rsidR="00016528" w:rsidRPr="00A461B6" w:rsidDel="00016528">
              <w:rPr>
                <w:color w:val="auto"/>
              </w:rPr>
              <w:t xml:space="preserve"> </w:t>
            </w:r>
            <w:r w:rsidR="00016528" w:rsidRPr="00A461B6">
              <w:rPr>
                <w:color w:val="auto"/>
              </w:rPr>
              <w:t xml:space="preserve"> </w:t>
            </w:r>
            <w:r w:rsidRPr="00A461B6">
              <w:rPr>
                <w:color w:val="auto"/>
              </w:rPr>
              <w:t>(save)</w:t>
            </w:r>
          </w:p>
        </w:tc>
      </w:tr>
    </w:tbl>
    <w:p w14:paraId="3F864D5D" w14:textId="75F6117C" w:rsidR="00C51551" w:rsidRPr="00A461B6" w:rsidRDefault="00C51551" w:rsidP="00362D40">
      <w:pPr>
        <w:pStyle w:val="Heading2"/>
        <w:pageBreakBefore/>
      </w:pPr>
      <w:bookmarkStart w:id="83" w:name="_Toc132192311"/>
      <w:bookmarkStart w:id="84" w:name="_Toc134603942"/>
      <w:r w:rsidRPr="00A461B6">
        <w:t xml:space="preserve">5. </w:t>
      </w:r>
      <w:r w:rsidR="003065B3" w:rsidRPr="00A461B6">
        <w:t>Who will you consult about these options and how will you consult them?</w:t>
      </w:r>
      <w:bookmarkEnd w:id="83"/>
      <w:bookmarkEnd w:id="84"/>
    </w:p>
    <w:p w14:paraId="6557FCDA" w14:textId="0380253E" w:rsidR="003F2BA3" w:rsidRPr="00A461B6" w:rsidRDefault="009C0E51" w:rsidP="001548C4">
      <w:pPr>
        <w:pStyle w:val="CommentText"/>
        <w:rPr>
          <w:color w:val="0D0D0D" w:themeColor="text1" w:themeTint="F2"/>
          <w:sz w:val="24"/>
        </w:rPr>
      </w:pPr>
      <w:r w:rsidRPr="00A461B6">
        <w:rPr>
          <w:color w:val="0D0D0D" w:themeColor="text1" w:themeTint="F2"/>
          <w:sz w:val="24"/>
        </w:rPr>
        <w:t xml:space="preserve">Some consultation on increasing the maximum dispensed quantities (MDQ) occurred after the initial PBAC recommendation in 2018 to increase MDQ to two months. </w:t>
      </w:r>
    </w:p>
    <w:p w14:paraId="198C1244" w14:textId="505192EA" w:rsidR="009C0E51" w:rsidRPr="00A461B6" w:rsidRDefault="009C0E51" w:rsidP="001548C4">
      <w:pPr>
        <w:pStyle w:val="CommentText"/>
        <w:rPr>
          <w:color w:val="0D0D0D" w:themeColor="text1" w:themeTint="F2"/>
          <w:sz w:val="24"/>
        </w:rPr>
      </w:pPr>
      <w:r w:rsidRPr="00A461B6">
        <w:rPr>
          <w:color w:val="0D0D0D" w:themeColor="text1" w:themeTint="F2"/>
          <w:sz w:val="24"/>
        </w:rPr>
        <w:t xml:space="preserve">More recently a number of stakeholders have </w:t>
      </w:r>
      <w:r w:rsidR="003F2BA3" w:rsidRPr="00A461B6">
        <w:rPr>
          <w:color w:val="0D0D0D" w:themeColor="text1" w:themeTint="F2"/>
          <w:sz w:val="24"/>
        </w:rPr>
        <w:t xml:space="preserve">communicated publicly that they encourage </w:t>
      </w:r>
      <w:r w:rsidRPr="00A461B6">
        <w:rPr>
          <w:color w:val="0D0D0D" w:themeColor="text1" w:themeTint="F2"/>
          <w:sz w:val="24"/>
        </w:rPr>
        <w:t xml:space="preserve">the Government to reconsider this option, including the AMA and the RACGP. </w:t>
      </w:r>
    </w:p>
    <w:p w14:paraId="5E1C1FB7" w14:textId="53FE9AA6" w:rsidR="003B576B" w:rsidRPr="00A461B6" w:rsidRDefault="003B576B" w:rsidP="00686620">
      <w:pPr>
        <w:pStyle w:val="CommentText"/>
        <w:rPr>
          <w:color w:val="0D0D0D" w:themeColor="text1" w:themeTint="F2"/>
          <w:sz w:val="24"/>
        </w:rPr>
      </w:pPr>
      <w:r w:rsidRPr="00A461B6">
        <w:rPr>
          <w:color w:val="0D0D0D" w:themeColor="text1" w:themeTint="F2"/>
          <w:sz w:val="24"/>
        </w:rPr>
        <w:t>As in 2018, t</w:t>
      </w:r>
      <w:r w:rsidR="009546F8" w:rsidRPr="00A461B6">
        <w:rPr>
          <w:color w:val="0D0D0D" w:themeColor="text1" w:themeTint="F2"/>
          <w:sz w:val="24"/>
        </w:rPr>
        <w:t xml:space="preserve">he Pharmacy Guild of Australia </w:t>
      </w:r>
      <w:r w:rsidRPr="00A461B6">
        <w:rPr>
          <w:color w:val="0D0D0D" w:themeColor="text1" w:themeTint="F2"/>
          <w:sz w:val="24"/>
        </w:rPr>
        <w:t xml:space="preserve">(the Guild) remains unsupportive of the measure and </w:t>
      </w:r>
      <w:r w:rsidR="009546F8" w:rsidRPr="00A461B6">
        <w:rPr>
          <w:sz w:val="24"/>
          <w:szCs w:val="24"/>
        </w:rPr>
        <w:t xml:space="preserve">argues that </w:t>
      </w:r>
      <w:r w:rsidRPr="00A461B6">
        <w:rPr>
          <w:sz w:val="24"/>
          <w:szCs w:val="24"/>
        </w:rPr>
        <w:t xml:space="preserve">it would be preferable </w:t>
      </w:r>
      <w:r w:rsidR="009546F8" w:rsidRPr="00A461B6">
        <w:rPr>
          <w:sz w:val="24"/>
          <w:szCs w:val="24"/>
        </w:rPr>
        <w:t xml:space="preserve">to </w:t>
      </w:r>
      <w:r w:rsidR="00A549A1" w:rsidRPr="00A461B6">
        <w:rPr>
          <w:color w:val="0D0D0D" w:themeColor="text1" w:themeTint="F2"/>
          <w:sz w:val="24"/>
        </w:rPr>
        <w:t xml:space="preserve">increase the government subsidy on PBS </w:t>
      </w:r>
      <w:r w:rsidR="001A47FF" w:rsidRPr="00A461B6">
        <w:rPr>
          <w:color w:val="0D0D0D" w:themeColor="text1" w:themeTint="F2"/>
          <w:sz w:val="24"/>
        </w:rPr>
        <w:t xml:space="preserve">medicines </w:t>
      </w:r>
      <w:r w:rsidR="00A549A1" w:rsidRPr="00A461B6">
        <w:rPr>
          <w:color w:val="0D0D0D" w:themeColor="text1" w:themeTint="F2"/>
          <w:sz w:val="24"/>
        </w:rPr>
        <w:t xml:space="preserve">by </w:t>
      </w:r>
      <w:r w:rsidR="009546F8" w:rsidRPr="00A461B6">
        <w:rPr>
          <w:color w:val="0D0D0D" w:themeColor="text1" w:themeTint="F2"/>
          <w:sz w:val="24"/>
        </w:rPr>
        <w:t>further reduc</w:t>
      </w:r>
      <w:r w:rsidR="00A549A1" w:rsidRPr="00A461B6">
        <w:rPr>
          <w:color w:val="0D0D0D" w:themeColor="text1" w:themeTint="F2"/>
          <w:sz w:val="24"/>
        </w:rPr>
        <w:t>ing</w:t>
      </w:r>
      <w:r w:rsidR="00A549A1" w:rsidRPr="00A461B6">
        <w:rPr>
          <w:sz w:val="24"/>
          <w:szCs w:val="24"/>
        </w:rPr>
        <w:t xml:space="preserve"> </w:t>
      </w:r>
      <w:r w:rsidR="009546F8" w:rsidRPr="00A461B6">
        <w:rPr>
          <w:sz w:val="24"/>
          <w:szCs w:val="24"/>
        </w:rPr>
        <w:t xml:space="preserve">the PBS general maximum co-payment (reduced on 1 January 2023 from $42.50 to $30) to $19 in the May 2023 Budget. </w:t>
      </w:r>
      <w:r w:rsidR="009546F8" w:rsidRPr="00A461B6">
        <w:rPr>
          <w:color w:val="0D0D0D" w:themeColor="text1" w:themeTint="F2"/>
          <w:sz w:val="24"/>
        </w:rPr>
        <w:t xml:space="preserve">The Guild also argues that </w:t>
      </w:r>
      <w:r w:rsidR="00686620" w:rsidRPr="00A461B6">
        <w:rPr>
          <w:color w:val="0D0D0D" w:themeColor="text1" w:themeTint="F2"/>
          <w:sz w:val="24"/>
        </w:rPr>
        <w:t xml:space="preserve">current </w:t>
      </w:r>
      <w:r w:rsidR="009546F8" w:rsidRPr="00A461B6">
        <w:rPr>
          <w:color w:val="0D0D0D" w:themeColor="text1" w:themeTint="F2"/>
          <w:sz w:val="24"/>
        </w:rPr>
        <w:t xml:space="preserve">supply shortages </w:t>
      </w:r>
      <w:r w:rsidR="00686620" w:rsidRPr="00A461B6">
        <w:rPr>
          <w:color w:val="0D0D0D" w:themeColor="text1" w:themeTint="F2"/>
          <w:sz w:val="24"/>
        </w:rPr>
        <w:t xml:space="preserve">create </w:t>
      </w:r>
      <w:r w:rsidR="009546F8" w:rsidRPr="00A461B6">
        <w:rPr>
          <w:color w:val="0D0D0D" w:themeColor="text1" w:themeTint="F2"/>
          <w:sz w:val="24"/>
        </w:rPr>
        <w:t>challeng</w:t>
      </w:r>
      <w:r w:rsidR="00686620" w:rsidRPr="00A461B6">
        <w:rPr>
          <w:color w:val="0D0D0D" w:themeColor="text1" w:themeTint="F2"/>
          <w:sz w:val="24"/>
        </w:rPr>
        <w:t xml:space="preserve">es for some pharmacies in </w:t>
      </w:r>
      <w:r w:rsidR="009546F8" w:rsidRPr="00A461B6">
        <w:rPr>
          <w:color w:val="0D0D0D" w:themeColor="text1" w:themeTint="F2"/>
          <w:sz w:val="24"/>
        </w:rPr>
        <w:t>provid</w:t>
      </w:r>
      <w:r w:rsidR="00686620" w:rsidRPr="00A461B6">
        <w:rPr>
          <w:color w:val="0D0D0D" w:themeColor="text1" w:themeTint="F2"/>
          <w:sz w:val="24"/>
        </w:rPr>
        <w:t xml:space="preserve">ing </w:t>
      </w:r>
      <w:r w:rsidRPr="00A461B6">
        <w:rPr>
          <w:color w:val="0D0D0D" w:themeColor="text1" w:themeTint="F2"/>
          <w:sz w:val="24"/>
        </w:rPr>
        <w:t xml:space="preserve">patients with </w:t>
      </w:r>
      <w:r w:rsidR="009546F8" w:rsidRPr="00A461B6">
        <w:rPr>
          <w:color w:val="0D0D0D" w:themeColor="text1" w:themeTint="F2"/>
          <w:sz w:val="24"/>
        </w:rPr>
        <w:t xml:space="preserve">one month's </w:t>
      </w:r>
      <w:r w:rsidRPr="00A461B6">
        <w:rPr>
          <w:color w:val="0D0D0D" w:themeColor="text1" w:themeTint="F2"/>
          <w:sz w:val="24"/>
        </w:rPr>
        <w:t xml:space="preserve">supply of </w:t>
      </w:r>
      <w:r w:rsidR="009546F8" w:rsidRPr="00A461B6">
        <w:rPr>
          <w:color w:val="0D0D0D" w:themeColor="text1" w:themeTint="F2"/>
          <w:sz w:val="24"/>
        </w:rPr>
        <w:t>medication.</w:t>
      </w:r>
      <w:r w:rsidRPr="00A461B6">
        <w:rPr>
          <w:rStyle w:val="FootnoteReference"/>
          <w:color w:val="0D0D0D" w:themeColor="text1" w:themeTint="F2"/>
          <w:sz w:val="24"/>
        </w:rPr>
        <w:footnoteReference w:id="54"/>
      </w:r>
    </w:p>
    <w:p w14:paraId="43AFB0DB" w14:textId="48CFA8ED" w:rsidR="003B576B" w:rsidRPr="00A461B6" w:rsidRDefault="003B576B" w:rsidP="00686620">
      <w:pPr>
        <w:pStyle w:val="CommentText"/>
        <w:rPr>
          <w:rFonts w:ascii="Helvetica" w:eastAsia="Times New Roman" w:hAnsi="Helvetica" w:cs="Times New Roman"/>
          <w:color w:val="333333"/>
          <w:sz w:val="27"/>
          <w:szCs w:val="27"/>
          <w:lang w:eastAsia="en-AU"/>
        </w:rPr>
      </w:pPr>
      <w:r w:rsidRPr="00A461B6">
        <w:rPr>
          <w:color w:val="0D0D0D" w:themeColor="text1" w:themeTint="F2"/>
          <w:sz w:val="24"/>
        </w:rPr>
        <w:t>On 10 April 2023</w:t>
      </w:r>
      <w:r w:rsidR="00686620" w:rsidRPr="00A461B6">
        <w:rPr>
          <w:rStyle w:val="FootnoteReference"/>
          <w:color w:val="0D0D0D" w:themeColor="text1" w:themeTint="F2"/>
          <w:sz w:val="24"/>
        </w:rPr>
        <w:footnoteReference w:id="55"/>
      </w:r>
      <w:r w:rsidRPr="00A461B6">
        <w:rPr>
          <w:color w:val="0D0D0D" w:themeColor="text1" w:themeTint="F2"/>
          <w:sz w:val="24"/>
        </w:rPr>
        <w:t xml:space="preserve">, the Director of the Chemist Warehouse pharmacy chain supported the measure in principle but noted that </w:t>
      </w:r>
      <w:r w:rsidR="00686620" w:rsidRPr="00A461B6">
        <w:rPr>
          <w:color w:val="0D0D0D" w:themeColor="text1" w:themeTint="F2"/>
          <w:sz w:val="24"/>
        </w:rPr>
        <w:t>“</w:t>
      </w:r>
      <w:r w:rsidRPr="00A461B6">
        <w:rPr>
          <w:color w:val="0D0D0D" w:themeColor="text1" w:themeTint="F2"/>
          <w:sz w:val="24"/>
        </w:rPr>
        <w:t xml:space="preserve">doubling the supply of common </w:t>
      </w:r>
      <w:r w:rsidR="00686620" w:rsidRPr="00A461B6">
        <w:rPr>
          <w:color w:val="0D0D0D" w:themeColor="text1" w:themeTint="F2"/>
          <w:sz w:val="24"/>
        </w:rPr>
        <w:t>medic</w:t>
      </w:r>
      <w:r w:rsidRPr="00A461B6">
        <w:rPr>
          <w:color w:val="0D0D0D" w:themeColor="text1" w:themeTint="F2"/>
          <w:sz w:val="24"/>
        </w:rPr>
        <w:t>ines may exacerbate medicine shortages</w:t>
      </w:r>
      <w:r w:rsidR="001A47FF" w:rsidRPr="00A461B6">
        <w:rPr>
          <w:color w:val="0D0D0D" w:themeColor="text1" w:themeTint="F2"/>
          <w:sz w:val="24"/>
        </w:rPr>
        <w:t>”</w:t>
      </w:r>
      <w:r w:rsidR="00686620" w:rsidRPr="00A461B6">
        <w:rPr>
          <w:color w:val="0D0D0D" w:themeColor="text1" w:themeTint="F2"/>
          <w:sz w:val="24"/>
        </w:rPr>
        <w:t xml:space="preserve">. </w:t>
      </w:r>
      <w:r w:rsidR="001A47FF" w:rsidRPr="00A461B6">
        <w:rPr>
          <w:color w:val="0D0D0D" w:themeColor="text1" w:themeTint="F2"/>
          <w:sz w:val="24"/>
        </w:rPr>
        <w:t>He stated</w:t>
      </w:r>
      <w:r w:rsidR="0093609B" w:rsidRPr="00A461B6">
        <w:rPr>
          <w:color w:val="0D0D0D" w:themeColor="text1" w:themeTint="F2"/>
          <w:sz w:val="24"/>
        </w:rPr>
        <w:t>,</w:t>
      </w:r>
      <w:r w:rsidR="001A47FF" w:rsidRPr="00A461B6">
        <w:rPr>
          <w:color w:val="0D0D0D" w:themeColor="text1" w:themeTint="F2"/>
          <w:sz w:val="24"/>
        </w:rPr>
        <w:t xml:space="preserve"> “t</w:t>
      </w:r>
      <w:r w:rsidR="00686620" w:rsidRPr="00A461B6">
        <w:rPr>
          <w:color w:val="0D0D0D" w:themeColor="text1" w:themeTint="F2"/>
          <w:sz w:val="24"/>
        </w:rPr>
        <w:t xml:space="preserve">he measure could work well </w:t>
      </w:r>
      <w:r w:rsidRPr="00A461B6">
        <w:rPr>
          <w:color w:val="0D0D0D" w:themeColor="text1" w:themeTint="F2"/>
          <w:sz w:val="24"/>
        </w:rPr>
        <w:t xml:space="preserve">if there was a long lead time </w:t>
      </w:r>
      <w:r w:rsidR="00686620" w:rsidRPr="00A461B6">
        <w:rPr>
          <w:color w:val="0D0D0D" w:themeColor="text1" w:themeTint="F2"/>
          <w:sz w:val="24"/>
        </w:rPr>
        <w:t xml:space="preserve">before the changes are made and the supply </w:t>
      </w:r>
      <w:r w:rsidRPr="00A461B6">
        <w:rPr>
          <w:color w:val="0D0D0D" w:themeColor="text1" w:themeTint="F2"/>
          <w:sz w:val="24"/>
        </w:rPr>
        <w:t xml:space="preserve">chain </w:t>
      </w:r>
      <w:r w:rsidR="00686620" w:rsidRPr="00A461B6">
        <w:rPr>
          <w:color w:val="0D0D0D" w:themeColor="text1" w:themeTint="F2"/>
          <w:sz w:val="24"/>
        </w:rPr>
        <w:t>was right”.</w:t>
      </w:r>
    </w:p>
    <w:p w14:paraId="3049A716" w14:textId="63750D3A" w:rsidR="00D566A0" w:rsidRPr="00A461B6" w:rsidRDefault="003F2BA3" w:rsidP="001548C4">
      <w:pPr>
        <w:pStyle w:val="CommentText"/>
        <w:rPr>
          <w:color w:val="0D0D0D" w:themeColor="text1" w:themeTint="F2"/>
          <w:sz w:val="24"/>
        </w:rPr>
      </w:pPr>
      <w:r w:rsidRPr="00A461B6">
        <w:rPr>
          <w:color w:val="0D0D0D" w:themeColor="text1" w:themeTint="F2"/>
          <w:sz w:val="24"/>
        </w:rPr>
        <w:t>The Government will hold consultation</w:t>
      </w:r>
      <w:r w:rsidR="006058FD" w:rsidRPr="00A461B6">
        <w:rPr>
          <w:color w:val="0D0D0D" w:themeColor="text1" w:themeTint="F2"/>
          <w:sz w:val="24"/>
        </w:rPr>
        <w:t>s</w:t>
      </w:r>
      <w:r w:rsidRPr="00A461B6">
        <w:rPr>
          <w:color w:val="0D0D0D" w:themeColor="text1" w:themeTint="F2"/>
          <w:sz w:val="24"/>
        </w:rPr>
        <w:t xml:space="preserve"> with key affected stakeholders in the pharmacy sector prior to the finalisation and/or announcement of these measures. </w:t>
      </w:r>
      <w:r w:rsidR="007C00B4" w:rsidRPr="00A461B6">
        <w:rPr>
          <w:color w:val="0D0D0D" w:themeColor="text1" w:themeTint="F2"/>
          <w:sz w:val="24"/>
        </w:rPr>
        <w:t>Objectives of consultation for this proposal will be to educate, create awareness to expedite implementation and to inform evaluation.</w:t>
      </w:r>
      <w:r w:rsidR="00D15501" w:rsidRPr="00A461B6">
        <w:rPr>
          <w:color w:val="0D0D0D" w:themeColor="text1" w:themeTint="F2"/>
          <w:sz w:val="24"/>
        </w:rPr>
        <w:t xml:space="preserve"> </w:t>
      </w:r>
    </w:p>
    <w:p w14:paraId="64868378" w14:textId="199CD2A4" w:rsidR="003420D0" w:rsidRPr="00A461B6" w:rsidRDefault="003420D0" w:rsidP="001548C4">
      <w:pPr>
        <w:pStyle w:val="Heading4"/>
        <w:keepNext/>
        <w:keepLines/>
      </w:pPr>
      <w:r w:rsidRPr="00A461B6">
        <w:t>PBAC</w:t>
      </w:r>
    </w:p>
    <w:p w14:paraId="4B709B26" w14:textId="415B8B35" w:rsidR="00D566A0" w:rsidRPr="00A461B6" w:rsidRDefault="00D566A0" w:rsidP="003420D0">
      <w:pPr>
        <w:pStyle w:val="BodyText"/>
        <w:rPr>
          <w:sz w:val="24"/>
          <w:szCs w:val="24"/>
        </w:rPr>
      </w:pPr>
      <w:r w:rsidRPr="00A461B6">
        <w:rPr>
          <w:sz w:val="24"/>
          <w:szCs w:val="24"/>
        </w:rPr>
        <w:t xml:space="preserve">The PBAC </w:t>
      </w:r>
      <w:r w:rsidR="006058FD" w:rsidRPr="00A461B6">
        <w:rPr>
          <w:sz w:val="24"/>
          <w:szCs w:val="24"/>
        </w:rPr>
        <w:t xml:space="preserve">provided advice </w:t>
      </w:r>
      <w:r w:rsidRPr="00A461B6">
        <w:rPr>
          <w:sz w:val="24"/>
          <w:szCs w:val="24"/>
        </w:rPr>
        <w:t xml:space="preserve">on a similar proposal in 2018. The recommendations made by the PBAC were published on pbs.gov.au via its </w:t>
      </w:r>
      <w:hyperlink r:id="rId13" w:history="1">
        <w:r w:rsidRPr="00A461B6">
          <w:rPr>
            <w:rStyle w:val="Hyperlink"/>
            <w:sz w:val="24"/>
            <w:szCs w:val="24"/>
          </w:rPr>
          <w:t>August 2018 Outcome Statement</w:t>
        </w:r>
      </w:hyperlink>
      <w:r w:rsidRPr="00A461B6">
        <w:rPr>
          <w:sz w:val="24"/>
          <w:szCs w:val="24"/>
        </w:rPr>
        <w:t xml:space="preserve"> in April 2019</w:t>
      </w:r>
      <w:r w:rsidR="00772AE4" w:rsidRPr="00A461B6">
        <w:rPr>
          <w:sz w:val="24"/>
          <w:szCs w:val="24"/>
        </w:rPr>
        <w:t>. The PBAC provided advice and recommendations on the clinical safety and suitability of an extensive list of PBS items for inclusion in a proposal to increase the quantities per dispensing from one month’s supply to two months’ supply for patients with stable, chronic conditions.</w:t>
      </w:r>
    </w:p>
    <w:p w14:paraId="176E720E" w14:textId="0534AC6B" w:rsidR="003420D0" w:rsidRPr="00A461B6" w:rsidRDefault="00772AE4" w:rsidP="003420D0">
      <w:pPr>
        <w:pStyle w:val="BodyText"/>
        <w:rPr>
          <w:sz w:val="24"/>
          <w:szCs w:val="24"/>
        </w:rPr>
      </w:pPr>
      <w:r w:rsidRPr="00A461B6">
        <w:rPr>
          <w:sz w:val="24"/>
          <w:szCs w:val="24"/>
        </w:rPr>
        <w:t xml:space="preserve">In December 2022, the PBAC </w:t>
      </w:r>
      <w:r w:rsidR="003420D0" w:rsidRPr="00A461B6">
        <w:rPr>
          <w:sz w:val="24"/>
          <w:szCs w:val="24"/>
        </w:rPr>
        <w:t>reconsider</w:t>
      </w:r>
      <w:r w:rsidR="006058FD" w:rsidRPr="00A461B6">
        <w:rPr>
          <w:sz w:val="24"/>
          <w:szCs w:val="24"/>
        </w:rPr>
        <w:t>ed</w:t>
      </w:r>
      <w:r w:rsidR="003420D0" w:rsidRPr="00A461B6">
        <w:rPr>
          <w:sz w:val="24"/>
          <w:szCs w:val="24"/>
        </w:rPr>
        <w:t xml:space="preserve"> its August 2018 advice around items on the PBS that could have increased maximum dispensed quantities </w:t>
      </w:r>
      <w:r w:rsidR="00E1628E" w:rsidRPr="00A461B6">
        <w:rPr>
          <w:sz w:val="24"/>
          <w:szCs w:val="24"/>
        </w:rPr>
        <w:t xml:space="preserve">of </w:t>
      </w:r>
      <w:r w:rsidR="003420D0" w:rsidRPr="00A461B6">
        <w:rPr>
          <w:sz w:val="24"/>
          <w:szCs w:val="24"/>
        </w:rPr>
        <w:t xml:space="preserve">medicines for chronic conditions. </w:t>
      </w:r>
      <w:r w:rsidRPr="00A461B6">
        <w:rPr>
          <w:sz w:val="24"/>
          <w:szCs w:val="24"/>
        </w:rPr>
        <w:t>T</w:t>
      </w:r>
      <w:r w:rsidR="003420D0" w:rsidRPr="00A461B6">
        <w:rPr>
          <w:sz w:val="24"/>
          <w:szCs w:val="24"/>
        </w:rPr>
        <w:t xml:space="preserve">he PBAC confirmed </w:t>
      </w:r>
      <w:r w:rsidR="00B76861" w:rsidRPr="00A461B6">
        <w:rPr>
          <w:sz w:val="24"/>
          <w:szCs w:val="24"/>
        </w:rPr>
        <w:t>its</w:t>
      </w:r>
      <w:r w:rsidR="00B35F18" w:rsidRPr="00A461B6">
        <w:rPr>
          <w:sz w:val="24"/>
          <w:szCs w:val="24"/>
        </w:rPr>
        <w:t xml:space="preserve"> 2018 </w:t>
      </w:r>
      <w:r w:rsidR="003420D0" w:rsidRPr="00A461B6">
        <w:rPr>
          <w:sz w:val="24"/>
          <w:szCs w:val="24"/>
        </w:rPr>
        <w:t>recommendations</w:t>
      </w:r>
      <w:r w:rsidR="006058FD" w:rsidRPr="00A461B6">
        <w:rPr>
          <w:sz w:val="24"/>
          <w:szCs w:val="24"/>
        </w:rPr>
        <w:t>, considered that a</w:t>
      </w:r>
      <w:r w:rsidR="00E1628E" w:rsidRPr="00A461B6">
        <w:rPr>
          <w:sz w:val="24"/>
          <w:szCs w:val="24"/>
        </w:rPr>
        <w:t xml:space="preserve"> two or</w:t>
      </w:r>
      <w:r w:rsidR="006058FD" w:rsidRPr="00A461B6">
        <w:rPr>
          <w:sz w:val="24"/>
          <w:szCs w:val="24"/>
        </w:rPr>
        <w:t xml:space="preserve"> three month dispensed quantity would be clinically appropriate</w:t>
      </w:r>
      <w:r w:rsidR="003420D0" w:rsidRPr="00A461B6">
        <w:rPr>
          <w:sz w:val="24"/>
          <w:szCs w:val="24"/>
        </w:rPr>
        <w:t xml:space="preserve"> and expanded the list of medicines that could be included</w:t>
      </w:r>
      <w:r w:rsidR="00B35F18" w:rsidRPr="00A461B6">
        <w:rPr>
          <w:sz w:val="24"/>
          <w:szCs w:val="24"/>
        </w:rPr>
        <w:t xml:space="preserve"> in the proposal.</w:t>
      </w:r>
      <w:r w:rsidR="003420D0" w:rsidRPr="00A461B6">
        <w:rPr>
          <w:sz w:val="24"/>
          <w:szCs w:val="24"/>
        </w:rPr>
        <w:t xml:space="preserve"> </w:t>
      </w:r>
      <w:r w:rsidR="00B35F18" w:rsidRPr="00A461B6">
        <w:rPr>
          <w:sz w:val="24"/>
          <w:szCs w:val="24"/>
        </w:rPr>
        <w:t>The</w:t>
      </w:r>
      <w:r w:rsidR="003420D0" w:rsidRPr="00A461B6">
        <w:rPr>
          <w:sz w:val="24"/>
          <w:szCs w:val="24"/>
        </w:rPr>
        <w:t xml:space="preserve"> recommendations for </w:t>
      </w:r>
      <w:r w:rsidR="00B35F18" w:rsidRPr="00A461B6">
        <w:rPr>
          <w:sz w:val="24"/>
          <w:szCs w:val="24"/>
        </w:rPr>
        <w:t>PBS items with higher dispensed quantities</w:t>
      </w:r>
      <w:r w:rsidR="009109FA" w:rsidRPr="00A461B6">
        <w:rPr>
          <w:sz w:val="24"/>
          <w:szCs w:val="24"/>
        </w:rPr>
        <w:t xml:space="preserve"> </w:t>
      </w:r>
      <w:r w:rsidR="00B35F18" w:rsidRPr="00A461B6">
        <w:rPr>
          <w:sz w:val="24"/>
          <w:szCs w:val="24"/>
        </w:rPr>
        <w:t>are</w:t>
      </w:r>
      <w:r w:rsidR="003420D0" w:rsidRPr="00A461B6">
        <w:rPr>
          <w:sz w:val="24"/>
          <w:szCs w:val="24"/>
        </w:rPr>
        <w:t xml:space="preserve"> in addition to, and not a replacement of, the current one month PBS listing for these medicines, allowing for appropriate decision making by prescribers.</w:t>
      </w:r>
      <w:r w:rsidRPr="00A461B6">
        <w:rPr>
          <w:sz w:val="24"/>
          <w:szCs w:val="24"/>
        </w:rPr>
        <w:t xml:space="preserve"> </w:t>
      </w:r>
    </w:p>
    <w:p w14:paraId="55EB952B" w14:textId="294ACB75" w:rsidR="00D15501" w:rsidRPr="00A461B6" w:rsidRDefault="003420D0" w:rsidP="003420D0">
      <w:pPr>
        <w:pStyle w:val="BodyText"/>
        <w:rPr>
          <w:sz w:val="24"/>
          <w:szCs w:val="24"/>
        </w:rPr>
      </w:pPr>
      <w:r w:rsidRPr="00A461B6">
        <w:rPr>
          <w:sz w:val="24"/>
          <w:szCs w:val="24"/>
        </w:rPr>
        <w:t>The PBAC noted that the Government may choose to implement either the two or the three months</w:t>
      </w:r>
      <w:r w:rsidR="009109FA" w:rsidRPr="00A461B6">
        <w:rPr>
          <w:sz w:val="24"/>
          <w:szCs w:val="24"/>
        </w:rPr>
        <w:t>’</w:t>
      </w:r>
      <w:r w:rsidRPr="00A461B6">
        <w:rPr>
          <w:sz w:val="24"/>
          <w:szCs w:val="24"/>
        </w:rPr>
        <w:t xml:space="preserve"> supply per dispensing and advised that the medicines recommended for </w:t>
      </w:r>
      <w:r w:rsidRPr="00A461B6">
        <w:rPr>
          <w:color w:val="auto"/>
          <w:sz w:val="24"/>
          <w:szCs w:val="24"/>
        </w:rPr>
        <w:t>inclusion in the proposal would be appropriate for either option. Consistent with PBAC advice, existing listings w</w:t>
      </w:r>
      <w:r w:rsidR="0037262E" w:rsidRPr="00A461B6">
        <w:rPr>
          <w:color w:val="auto"/>
          <w:sz w:val="24"/>
          <w:szCs w:val="24"/>
        </w:rPr>
        <w:t>ould</w:t>
      </w:r>
      <w:r w:rsidRPr="00A461B6">
        <w:rPr>
          <w:color w:val="auto"/>
          <w:sz w:val="24"/>
          <w:szCs w:val="24"/>
        </w:rPr>
        <w:t xml:space="preserve"> be retained alongside the new MDQ items, and prescribers will retain the ability to prescribe lower quantities </w:t>
      </w:r>
      <w:r w:rsidRPr="00A461B6">
        <w:rPr>
          <w:sz w:val="24"/>
          <w:szCs w:val="24"/>
        </w:rPr>
        <w:t xml:space="preserve">where this is clinically recommended (for instance, </w:t>
      </w:r>
      <w:r w:rsidR="007C00B4" w:rsidRPr="00A461B6">
        <w:rPr>
          <w:sz w:val="24"/>
          <w:szCs w:val="24"/>
        </w:rPr>
        <w:t xml:space="preserve">where a </w:t>
      </w:r>
      <w:r w:rsidRPr="00A461B6">
        <w:rPr>
          <w:sz w:val="24"/>
          <w:szCs w:val="24"/>
        </w:rPr>
        <w:t>patient needs more frequent monitoring on the medication).</w:t>
      </w:r>
    </w:p>
    <w:p w14:paraId="2207A8D4" w14:textId="39D6D04D" w:rsidR="003420D0" w:rsidRPr="00A461B6" w:rsidRDefault="00772AE4" w:rsidP="00DC5650">
      <w:pPr>
        <w:pStyle w:val="Heading4"/>
      </w:pPr>
      <w:r w:rsidRPr="00A461B6">
        <w:t xml:space="preserve">The </w:t>
      </w:r>
      <w:r w:rsidR="003420D0" w:rsidRPr="00A461B6">
        <w:t xml:space="preserve">Pharmacy Guild of Australia </w:t>
      </w:r>
    </w:p>
    <w:p w14:paraId="2460C199" w14:textId="664184B0" w:rsidR="00362D40" w:rsidRPr="00A461B6" w:rsidRDefault="0070566B" w:rsidP="004C0D22">
      <w:pPr>
        <w:rPr>
          <w:color w:val="FF0000"/>
        </w:rPr>
      </w:pPr>
      <w:r w:rsidRPr="00A461B6">
        <w:rPr>
          <w:color w:val="0D0D0D" w:themeColor="text1" w:themeTint="F2"/>
          <w:sz w:val="24"/>
          <w:szCs w:val="24"/>
        </w:rPr>
        <w:t>When consulted on the PBAC’s similar August 2018 proposal, the Guild strongly opposed this measure, which reduced income for pharmacy owners.</w:t>
      </w:r>
      <w:r w:rsidRPr="00A461B6">
        <w:t xml:space="preserve"> </w:t>
      </w:r>
    </w:p>
    <w:p w14:paraId="41584388" w14:textId="4170EDD4" w:rsidR="004C0D22" w:rsidRPr="00A461B6" w:rsidRDefault="004C0D22" w:rsidP="004C0D22">
      <w:pPr>
        <w:rPr>
          <w:color w:val="auto"/>
          <w:sz w:val="24"/>
          <w:szCs w:val="24"/>
        </w:rPr>
      </w:pPr>
      <w:r w:rsidRPr="00A461B6">
        <w:rPr>
          <w:color w:val="auto"/>
          <w:sz w:val="24"/>
        </w:rPr>
        <w:t xml:space="preserve">This proposal is part of a package of proposals </w:t>
      </w:r>
      <w:r w:rsidR="00A85E2F" w:rsidRPr="00A461B6">
        <w:rPr>
          <w:color w:val="auto"/>
          <w:sz w:val="24"/>
          <w:szCs w:val="24"/>
        </w:rPr>
        <w:t xml:space="preserve">being considered by </w:t>
      </w:r>
      <w:r w:rsidRPr="00A461B6">
        <w:rPr>
          <w:color w:val="auto"/>
          <w:sz w:val="24"/>
        </w:rPr>
        <w:t xml:space="preserve">Government to mitigate the financial impact of </w:t>
      </w:r>
      <w:r w:rsidR="00A85E2F" w:rsidRPr="00A461B6">
        <w:rPr>
          <w:color w:val="auto"/>
          <w:sz w:val="24"/>
          <w:szCs w:val="24"/>
        </w:rPr>
        <w:t xml:space="preserve">increasing </w:t>
      </w:r>
      <w:r w:rsidR="0037262E" w:rsidRPr="00A461B6">
        <w:rPr>
          <w:color w:val="auto"/>
          <w:sz w:val="24"/>
        </w:rPr>
        <w:t xml:space="preserve">the MDQ </w:t>
      </w:r>
      <w:r w:rsidR="00A85E2F" w:rsidRPr="00A461B6">
        <w:rPr>
          <w:color w:val="auto"/>
          <w:sz w:val="24"/>
          <w:szCs w:val="24"/>
        </w:rPr>
        <w:t>by reinvesting savings back into the</w:t>
      </w:r>
      <w:r w:rsidRPr="00A461B6">
        <w:rPr>
          <w:color w:val="auto"/>
          <w:sz w:val="24"/>
          <w:szCs w:val="24"/>
        </w:rPr>
        <w:t xml:space="preserve"> </w:t>
      </w:r>
      <w:r w:rsidR="00A85E2F" w:rsidRPr="00A461B6">
        <w:rPr>
          <w:color w:val="auto"/>
          <w:sz w:val="24"/>
          <w:szCs w:val="24"/>
        </w:rPr>
        <w:t>community</w:t>
      </w:r>
      <w:r w:rsidRPr="00A461B6">
        <w:rPr>
          <w:color w:val="auto"/>
          <w:sz w:val="24"/>
          <w:szCs w:val="24"/>
        </w:rPr>
        <w:t xml:space="preserve"> pharmacy </w:t>
      </w:r>
      <w:r w:rsidR="00A85E2F" w:rsidRPr="00A461B6">
        <w:rPr>
          <w:color w:val="auto"/>
          <w:sz w:val="24"/>
          <w:szCs w:val="24"/>
        </w:rPr>
        <w:t>sector</w:t>
      </w:r>
      <w:r w:rsidRPr="00A461B6">
        <w:rPr>
          <w:color w:val="auto"/>
          <w:sz w:val="24"/>
          <w:szCs w:val="24"/>
        </w:rPr>
        <w:t>.</w:t>
      </w:r>
      <w:r w:rsidRPr="00A461B6">
        <w:rPr>
          <w:color w:val="auto"/>
          <w:sz w:val="24"/>
        </w:rPr>
        <w:t xml:space="preserve"> The reinvestment package includes a proposal aimed specifically at </w:t>
      </w:r>
      <w:r w:rsidR="00A85E2F" w:rsidRPr="00A461B6">
        <w:rPr>
          <w:color w:val="auto"/>
          <w:sz w:val="24"/>
          <w:szCs w:val="24"/>
        </w:rPr>
        <w:t>rural</w:t>
      </w:r>
      <w:r w:rsidRPr="00A461B6">
        <w:rPr>
          <w:color w:val="auto"/>
          <w:sz w:val="24"/>
        </w:rPr>
        <w:t xml:space="preserve"> and </w:t>
      </w:r>
      <w:r w:rsidR="00A85E2F" w:rsidRPr="00A461B6">
        <w:rPr>
          <w:color w:val="auto"/>
          <w:sz w:val="24"/>
          <w:szCs w:val="24"/>
        </w:rPr>
        <w:t>remote p</w:t>
      </w:r>
      <w:r w:rsidRPr="00A461B6">
        <w:rPr>
          <w:color w:val="auto"/>
          <w:sz w:val="24"/>
          <w:szCs w:val="24"/>
        </w:rPr>
        <w:t>harmacies</w:t>
      </w:r>
      <w:r w:rsidRPr="00A461B6">
        <w:rPr>
          <w:color w:val="auto"/>
          <w:sz w:val="24"/>
        </w:rPr>
        <w:t xml:space="preserve">, and also seeks to increase </w:t>
      </w:r>
      <w:r w:rsidR="0037262E" w:rsidRPr="00A461B6">
        <w:rPr>
          <w:color w:val="auto"/>
          <w:sz w:val="24"/>
          <w:szCs w:val="24"/>
        </w:rPr>
        <w:t>public funding for clinical services and programs, other than dispensing activities, delivered by c</w:t>
      </w:r>
      <w:r w:rsidRPr="00A461B6">
        <w:rPr>
          <w:color w:val="auto"/>
          <w:sz w:val="24"/>
          <w:szCs w:val="24"/>
        </w:rPr>
        <w:t xml:space="preserve">ommunity </w:t>
      </w:r>
      <w:r w:rsidR="0037262E" w:rsidRPr="00A461B6">
        <w:rPr>
          <w:color w:val="auto"/>
          <w:sz w:val="24"/>
          <w:szCs w:val="24"/>
        </w:rPr>
        <w:t>p</w:t>
      </w:r>
      <w:r w:rsidRPr="00A461B6">
        <w:rPr>
          <w:color w:val="auto"/>
          <w:sz w:val="24"/>
          <w:szCs w:val="24"/>
        </w:rPr>
        <w:t>harmac</w:t>
      </w:r>
      <w:r w:rsidR="0037262E" w:rsidRPr="00A461B6">
        <w:rPr>
          <w:color w:val="auto"/>
          <w:sz w:val="24"/>
          <w:szCs w:val="24"/>
        </w:rPr>
        <w:t xml:space="preserve">ies. This will provide opportunities for pharmacies to provide a broader range of </w:t>
      </w:r>
      <w:r w:rsidR="00B92D43" w:rsidRPr="00A461B6">
        <w:rPr>
          <w:color w:val="auto"/>
          <w:sz w:val="24"/>
          <w:szCs w:val="24"/>
        </w:rPr>
        <w:t xml:space="preserve">funded </w:t>
      </w:r>
      <w:r w:rsidR="0037262E" w:rsidRPr="00A461B6">
        <w:rPr>
          <w:color w:val="auto"/>
          <w:sz w:val="24"/>
          <w:szCs w:val="24"/>
        </w:rPr>
        <w:t>health services to the community and expand pharmacist scope of practice in community pharmacy.</w:t>
      </w:r>
    </w:p>
    <w:p w14:paraId="1AE490FB" w14:textId="770C87B8" w:rsidR="00EF07A8" w:rsidRPr="00A461B6" w:rsidRDefault="007C00B4" w:rsidP="003420D0">
      <w:pPr>
        <w:pStyle w:val="Default"/>
      </w:pPr>
      <w:r w:rsidRPr="00A461B6">
        <w:rPr>
          <w:color w:val="auto"/>
        </w:rPr>
        <w:t>T</w:t>
      </w:r>
      <w:r w:rsidR="00DC7BB7" w:rsidRPr="00A461B6">
        <w:rPr>
          <w:color w:val="auto"/>
        </w:rPr>
        <w:t>he Guild</w:t>
      </w:r>
      <w:r w:rsidR="00772AE4" w:rsidRPr="00A461B6">
        <w:rPr>
          <w:color w:val="auto"/>
        </w:rPr>
        <w:t xml:space="preserve">’s ‘Distribution and Delivery of Pharmaceutical Benefits’ policy </w:t>
      </w:r>
      <w:r w:rsidR="00772AE4" w:rsidRPr="00A461B6">
        <w:t>states it</w:t>
      </w:r>
      <w:r w:rsidR="00EF07A8" w:rsidRPr="00A461B6">
        <w:t xml:space="preserve"> ‘believes that all Australians should have timely and affordable access to the full range of pharmaceutical benefits through their community pharmacy to achieve better health outcomes, consistent with the objectives of Australia’s National Medicines Policy. A reliable, efficient and effective pharmaceutical distribution system is essential to achieving this</w:t>
      </w:r>
      <w:r w:rsidRPr="00A461B6">
        <w:t>’</w:t>
      </w:r>
      <w:r w:rsidR="00A85E2F" w:rsidRPr="00A461B6">
        <w:t>.</w:t>
      </w:r>
      <w:r w:rsidR="00EF07A8" w:rsidRPr="00A461B6">
        <w:rPr>
          <w:rStyle w:val="FootnoteReference"/>
        </w:rPr>
        <w:footnoteReference w:id="56"/>
      </w:r>
    </w:p>
    <w:p w14:paraId="4D9AADFF" w14:textId="5BE8A81A" w:rsidR="00EF07A8" w:rsidRPr="00A461B6" w:rsidRDefault="00EF07A8" w:rsidP="003420D0">
      <w:pPr>
        <w:pStyle w:val="Default"/>
      </w:pPr>
      <w:r w:rsidRPr="00A461B6">
        <w:t xml:space="preserve">On 7 September 2022, the National President of the Pharmacy Guild expressed support for introduction of Commonwealth legislation to reduce the PBS General co-payment </w:t>
      </w:r>
      <w:r w:rsidR="00945C36" w:rsidRPr="00A461B6">
        <w:t xml:space="preserve">from 1 January 2023 to $30, citing the Guild’s advocacy on behalf of patients for a reduction </w:t>
      </w:r>
      <w:r w:rsidR="00E1628E" w:rsidRPr="00A461B6">
        <w:t>to</w:t>
      </w:r>
      <w:r w:rsidR="00945C36" w:rsidRPr="00A461B6">
        <w:t xml:space="preserve"> the cost of medicines</w:t>
      </w:r>
      <w:r w:rsidR="00A85E2F" w:rsidRPr="00A461B6">
        <w:t>.</w:t>
      </w:r>
      <w:r w:rsidR="00945C36" w:rsidRPr="00A461B6">
        <w:rPr>
          <w:rStyle w:val="FootnoteReference"/>
        </w:rPr>
        <w:footnoteReference w:id="57"/>
      </w:r>
      <w:r w:rsidR="00A549A1" w:rsidRPr="00A461B6">
        <w:t xml:space="preserve"> On 10 April 2023, the Guild called for a further reduction to the PBS general maximum co-payment (reduced on 1 January 2023 from $42.50 to $30) to $19 in the May 2023 Budget</w:t>
      </w:r>
      <w:r w:rsidR="00362D40" w:rsidRPr="00A461B6">
        <w:t>.</w:t>
      </w:r>
      <w:r w:rsidR="00A549A1" w:rsidRPr="00A461B6">
        <w:rPr>
          <w:rStyle w:val="FootnoteReference"/>
        </w:rPr>
        <w:footnoteReference w:id="58"/>
      </w:r>
    </w:p>
    <w:p w14:paraId="44E6171A" w14:textId="461590F3" w:rsidR="00945C36" w:rsidRPr="00A461B6" w:rsidRDefault="005311BF" w:rsidP="00DC5650">
      <w:pPr>
        <w:pStyle w:val="Heading4"/>
      </w:pPr>
      <w:r w:rsidRPr="00A461B6">
        <w:t>Royal Australian College of General Practitioners (</w:t>
      </w:r>
      <w:r w:rsidR="00945C36" w:rsidRPr="00A461B6">
        <w:t>RACGP</w:t>
      </w:r>
      <w:r w:rsidRPr="00A461B6">
        <w:t>)</w:t>
      </w:r>
    </w:p>
    <w:p w14:paraId="1C0F718B" w14:textId="752924F6" w:rsidR="004C0D22" w:rsidRPr="00A461B6" w:rsidRDefault="00945C36" w:rsidP="005311BF">
      <w:pPr>
        <w:shd w:val="clear" w:color="auto" w:fill="FFFFFF"/>
        <w:spacing w:after="100" w:afterAutospacing="1"/>
        <w:rPr>
          <w:color w:val="auto"/>
          <w:sz w:val="24"/>
          <w:szCs w:val="24"/>
        </w:rPr>
      </w:pPr>
      <w:r w:rsidRPr="00A461B6">
        <w:rPr>
          <w:color w:val="auto"/>
          <w:sz w:val="24"/>
          <w:szCs w:val="24"/>
        </w:rPr>
        <w:t>In February 2023, the Royal Australian College of General Practitioners (RACGP) publicly stated</w:t>
      </w:r>
      <w:r w:rsidRPr="00A461B6">
        <w:rPr>
          <w:rStyle w:val="FootnoteReference"/>
          <w:color w:val="auto"/>
          <w:sz w:val="24"/>
          <w:szCs w:val="24"/>
        </w:rPr>
        <w:footnoteReference w:id="59"/>
      </w:r>
      <w:r w:rsidRPr="00A461B6">
        <w:rPr>
          <w:color w:val="auto"/>
          <w:sz w:val="24"/>
          <w:szCs w:val="24"/>
        </w:rPr>
        <w:t xml:space="preserve"> that the PBAC should re</w:t>
      </w:r>
      <w:r w:rsidR="00B92D43" w:rsidRPr="00A461B6">
        <w:rPr>
          <w:color w:val="auto"/>
          <w:sz w:val="24"/>
          <w:szCs w:val="24"/>
        </w:rPr>
        <w:t>visit</w:t>
      </w:r>
      <w:r w:rsidRPr="00A461B6">
        <w:rPr>
          <w:color w:val="auto"/>
          <w:sz w:val="24"/>
          <w:szCs w:val="24"/>
        </w:rPr>
        <w:t xml:space="preserve"> the 2018</w:t>
      </w:r>
      <w:r w:rsidRPr="00A461B6">
        <w:rPr>
          <w:rStyle w:val="FootnoteReference"/>
          <w:color w:val="auto"/>
          <w:sz w:val="24"/>
          <w:szCs w:val="24"/>
        </w:rPr>
        <w:footnoteReference w:id="60"/>
      </w:r>
      <w:r w:rsidRPr="00A461B6">
        <w:rPr>
          <w:color w:val="auto"/>
          <w:sz w:val="24"/>
          <w:szCs w:val="24"/>
        </w:rPr>
        <w:t xml:space="preserve"> recommendation to increase the maximum dispensed quantities on selected PBS items from one to two months</w:t>
      </w:r>
      <w:r w:rsidR="009315B0" w:rsidRPr="00A461B6">
        <w:rPr>
          <w:color w:val="auto"/>
          <w:sz w:val="24"/>
          <w:szCs w:val="24"/>
        </w:rPr>
        <w:t>’</w:t>
      </w:r>
      <w:r w:rsidRPr="00A461B6">
        <w:rPr>
          <w:color w:val="auto"/>
          <w:sz w:val="24"/>
          <w:szCs w:val="24"/>
        </w:rPr>
        <w:t xml:space="preserve"> supply to reduce out-of-pocket costs, as well as the risk of patients missing medication dosages at the end of each month when their </w:t>
      </w:r>
      <w:r w:rsidR="000D3162">
        <w:rPr>
          <w:color w:val="auto"/>
          <w:sz w:val="24"/>
          <w:szCs w:val="24"/>
        </w:rPr>
        <w:t>prescriptions</w:t>
      </w:r>
      <w:r w:rsidR="000D3162" w:rsidRPr="00A461B6">
        <w:rPr>
          <w:color w:val="auto"/>
          <w:sz w:val="24"/>
          <w:szCs w:val="24"/>
        </w:rPr>
        <w:t xml:space="preserve"> </w:t>
      </w:r>
      <w:r w:rsidRPr="00A461B6">
        <w:rPr>
          <w:color w:val="auto"/>
          <w:sz w:val="24"/>
          <w:szCs w:val="24"/>
        </w:rPr>
        <w:t>run out.</w:t>
      </w:r>
      <w:r w:rsidR="00FD06D8" w:rsidRPr="00A461B6">
        <w:rPr>
          <w:color w:val="auto"/>
          <w:sz w:val="24"/>
          <w:szCs w:val="24"/>
        </w:rPr>
        <w:t xml:space="preserve"> </w:t>
      </w:r>
    </w:p>
    <w:p w14:paraId="2A8C5F2E" w14:textId="5CA0220B" w:rsidR="005311BF" w:rsidRPr="00A461B6" w:rsidRDefault="00FD06D8" w:rsidP="005311BF">
      <w:pPr>
        <w:shd w:val="clear" w:color="auto" w:fill="FFFFFF"/>
        <w:spacing w:after="100" w:afterAutospacing="1"/>
        <w:rPr>
          <w:rFonts w:ascii="Calibri" w:hAnsi="Calibri"/>
          <w:color w:val="auto"/>
          <w:sz w:val="24"/>
        </w:rPr>
      </w:pPr>
      <w:r w:rsidRPr="00A461B6">
        <w:rPr>
          <w:rFonts w:ascii="Calibri" w:hAnsi="Calibri"/>
          <w:color w:val="auto"/>
          <w:sz w:val="24"/>
        </w:rPr>
        <w:t>The RACGP</w:t>
      </w:r>
      <w:r w:rsidR="005311BF" w:rsidRPr="00A461B6">
        <w:rPr>
          <w:rStyle w:val="FootnoteReference"/>
          <w:rFonts w:ascii="Calibri" w:hAnsi="Calibri"/>
          <w:color w:val="auto"/>
          <w:sz w:val="24"/>
        </w:rPr>
        <w:footnoteReference w:id="61"/>
      </w:r>
      <w:r w:rsidRPr="00A461B6">
        <w:rPr>
          <w:rFonts w:ascii="Calibri" w:hAnsi="Calibri"/>
          <w:color w:val="auto"/>
          <w:sz w:val="24"/>
        </w:rPr>
        <w:t xml:space="preserve"> </w:t>
      </w:r>
      <w:r w:rsidR="004C0D22" w:rsidRPr="00A461B6">
        <w:rPr>
          <w:rFonts w:ascii="Calibri" w:hAnsi="Calibri"/>
          <w:color w:val="auto"/>
          <w:sz w:val="24"/>
        </w:rPr>
        <w:t xml:space="preserve">continues to be </w:t>
      </w:r>
      <w:r w:rsidRPr="00A461B6">
        <w:rPr>
          <w:rFonts w:ascii="Calibri" w:hAnsi="Calibri"/>
          <w:color w:val="auto"/>
          <w:sz w:val="24"/>
        </w:rPr>
        <w:t>highly supportive of the proposal</w:t>
      </w:r>
      <w:r w:rsidR="005311BF" w:rsidRPr="00A461B6">
        <w:rPr>
          <w:rFonts w:ascii="Calibri" w:hAnsi="Calibri"/>
          <w:color w:val="auto"/>
          <w:sz w:val="24"/>
        </w:rPr>
        <w:t xml:space="preserve">, stating the May 2023 Budget is </w:t>
      </w:r>
      <w:r w:rsidR="004C0D22" w:rsidRPr="00A461B6">
        <w:rPr>
          <w:rFonts w:ascii="Calibri" w:hAnsi="Calibri"/>
          <w:color w:val="auto"/>
          <w:sz w:val="24"/>
        </w:rPr>
        <w:t>a</w:t>
      </w:r>
      <w:r w:rsidR="005311BF" w:rsidRPr="00A461B6">
        <w:rPr>
          <w:rFonts w:ascii="Calibri" w:hAnsi="Calibri"/>
          <w:color w:val="auto"/>
          <w:sz w:val="24"/>
        </w:rPr>
        <w:t>n opportunity for government to reduce cost of living pressures for Australians by acting on reforms</w:t>
      </w:r>
      <w:r w:rsidR="004C0D22" w:rsidRPr="00A461B6">
        <w:rPr>
          <w:rFonts w:ascii="Calibri" w:hAnsi="Calibri"/>
          <w:color w:val="auto"/>
          <w:sz w:val="24"/>
        </w:rPr>
        <w:t xml:space="preserve">. Reasons put forward </w:t>
      </w:r>
      <w:r w:rsidR="00A85E2F" w:rsidRPr="00A461B6">
        <w:rPr>
          <w:rFonts w:ascii="Calibri" w:hAnsi="Calibri" w:cs="Calibri"/>
          <w:color w:val="auto"/>
          <w:sz w:val="24"/>
          <w:szCs w:val="24"/>
          <w:lang w:eastAsia="en-AU"/>
        </w:rPr>
        <w:t xml:space="preserve">by the RACGP </w:t>
      </w:r>
      <w:r w:rsidR="004C0D22" w:rsidRPr="00A461B6">
        <w:rPr>
          <w:rFonts w:ascii="Calibri" w:hAnsi="Calibri"/>
          <w:color w:val="auto"/>
          <w:sz w:val="24"/>
        </w:rPr>
        <w:t xml:space="preserve">include </w:t>
      </w:r>
      <w:r w:rsidR="005311BF" w:rsidRPr="00A461B6">
        <w:rPr>
          <w:rFonts w:ascii="Calibri" w:hAnsi="Calibri"/>
          <w:color w:val="auto"/>
          <w:sz w:val="24"/>
        </w:rPr>
        <w:t>to:</w:t>
      </w:r>
    </w:p>
    <w:p w14:paraId="662C3AE1" w14:textId="77777777" w:rsidR="005311BF" w:rsidRPr="00A461B6" w:rsidRDefault="005311BF" w:rsidP="008A2C64">
      <w:pPr>
        <w:numPr>
          <w:ilvl w:val="0"/>
          <w:numId w:val="40"/>
        </w:numPr>
        <w:shd w:val="clear" w:color="auto" w:fill="FFFFFF"/>
        <w:spacing w:before="100" w:beforeAutospacing="1" w:after="100" w:afterAutospacing="1" w:line="240" w:lineRule="auto"/>
        <w:rPr>
          <w:rFonts w:ascii="Calibri" w:hAnsi="Calibri"/>
          <w:color w:val="auto"/>
          <w:sz w:val="24"/>
        </w:rPr>
      </w:pPr>
      <w:r w:rsidRPr="00A461B6">
        <w:rPr>
          <w:rFonts w:ascii="Calibri" w:hAnsi="Calibri"/>
          <w:color w:val="auto"/>
          <w:sz w:val="24"/>
        </w:rPr>
        <w:t>extend the length of prescriptions to save patients money and time</w:t>
      </w:r>
    </w:p>
    <w:p w14:paraId="49DBBB67" w14:textId="77777777" w:rsidR="005311BF" w:rsidRPr="00A461B6" w:rsidRDefault="005311BF" w:rsidP="008A2C64">
      <w:pPr>
        <w:numPr>
          <w:ilvl w:val="0"/>
          <w:numId w:val="40"/>
        </w:numPr>
        <w:shd w:val="clear" w:color="auto" w:fill="FFFFFF"/>
        <w:spacing w:before="100" w:beforeAutospacing="1" w:after="100" w:afterAutospacing="1" w:line="240" w:lineRule="auto"/>
        <w:rPr>
          <w:rFonts w:ascii="Calibri" w:hAnsi="Calibri"/>
          <w:color w:val="auto"/>
          <w:sz w:val="24"/>
        </w:rPr>
      </w:pPr>
      <w:r w:rsidRPr="00A461B6">
        <w:rPr>
          <w:rFonts w:ascii="Calibri" w:hAnsi="Calibri"/>
          <w:color w:val="auto"/>
          <w:sz w:val="24"/>
        </w:rPr>
        <w:t>allow a larger supply of medicines in one go – a 2-month supply would halve dispensing fees, which cost taxpayers $1.67 billion in 2021-22</w:t>
      </w:r>
    </w:p>
    <w:p w14:paraId="4A112AFE" w14:textId="0C17861D" w:rsidR="00945C36" w:rsidRPr="00A461B6" w:rsidRDefault="005311BF" w:rsidP="0086200B">
      <w:pPr>
        <w:numPr>
          <w:ilvl w:val="0"/>
          <w:numId w:val="40"/>
        </w:numPr>
        <w:shd w:val="clear" w:color="auto" w:fill="FFFFFF"/>
        <w:spacing w:before="100" w:beforeAutospacing="1" w:after="100" w:afterAutospacing="1" w:line="240" w:lineRule="auto"/>
        <w:rPr>
          <w:rFonts w:ascii="Calibri" w:hAnsi="Calibri"/>
          <w:color w:val="auto"/>
          <w:sz w:val="24"/>
        </w:rPr>
      </w:pPr>
      <w:r w:rsidRPr="00A461B6">
        <w:rPr>
          <w:rFonts w:ascii="Calibri" w:hAnsi="Calibri"/>
          <w:color w:val="auto"/>
          <w:sz w:val="24"/>
        </w:rPr>
        <w:t>make prescribing faster and easier for GPs so they have more time for patient care by streamlining the PBS prescribing system, which is unnecessarily complex.</w:t>
      </w:r>
    </w:p>
    <w:p w14:paraId="0FAB375B" w14:textId="4925BE2A" w:rsidR="00945C36" w:rsidRPr="00A461B6" w:rsidRDefault="005311BF" w:rsidP="00460580">
      <w:pPr>
        <w:pStyle w:val="Heading4"/>
        <w:keepNext/>
        <w:keepLines/>
      </w:pPr>
      <w:r w:rsidRPr="00A461B6">
        <w:t>Australian Medical Association (</w:t>
      </w:r>
      <w:r w:rsidR="00945C36" w:rsidRPr="00A461B6">
        <w:t>AMA</w:t>
      </w:r>
      <w:r w:rsidRPr="00A461B6">
        <w:t>)</w:t>
      </w:r>
    </w:p>
    <w:p w14:paraId="51B5408C" w14:textId="70155774" w:rsidR="00D15501" w:rsidRPr="00A461B6" w:rsidRDefault="00945C36" w:rsidP="00460580">
      <w:pPr>
        <w:pStyle w:val="BodyText"/>
        <w:keepNext/>
        <w:keepLines/>
        <w:rPr>
          <w:color w:val="0D0D0D" w:themeColor="text1" w:themeTint="F2"/>
          <w:sz w:val="24"/>
          <w:szCs w:val="24"/>
        </w:rPr>
      </w:pPr>
      <w:r w:rsidRPr="00A461B6">
        <w:rPr>
          <w:color w:val="0D0D0D" w:themeColor="text1" w:themeTint="F2"/>
          <w:sz w:val="24"/>
          <w:szCs w:val="24"/>
        </w:rPr>
        <w:t>On 12 February 2023, the Australian Medical Association (AMA) called on the Government to implement the PBAC’s recommendation to increase the maximum dispensed quantities on selected PBS medicine items from one month’s supply to two months’ supply, stating that patients could halve the costs of their medicines</w:t>
      </w:r>
      <w:r w:rsidRPr="00A461B6">
        <w:rPr>
          <w:rStyle w:val="FootnoteReference"/>
          <w:color w:val="0D0D0D" w:themeColor="text1" w:themeTint="F2"/>
          <w:sz w:val="24"/>
          <w:szCs w:val="24"/>
        </w:rPr>
        <w:footnoteReference w:id="62"/>
      </w:r>
      <w:r w:rsidRPr="00A461B6">
        <w:rPr>
          <w:color w:val="0D0D0D" w:themeColor="text1" w:themeTint="F2"/>
          <w:sz w:val="24"/>
          <w:szCs w:val="24"/>
        </w:rPr>
        <w:t>.</w:t>
      </w:r>
    </w:p>
    <w:p w14:paraId="0599BE96" w14:textId="04318664" w:rsidR="00D76730" w:rsidRPr="00A461B6" w:rsidRDefault="00D76730" w:rsidP="00DC5650">
      <w:pPr>
        <w:pStyle w:val="Heading4"/>
      </w:pPr>
      <w:r w:rsidRPr="00A461B6">
        <w:t xml:space="preserve">Prescriber and </w:t>
      </w:r>
      <w:r w:rsidR="00A85E2F" w:rsidRPr="00A461B6">
        <w:t>d</w:t>
      </w:r>
      <w:r w:rsidRPr="00A461B6">
        <w:t>ispensing software provider</w:t>
      </w:r>
      <w:r w:rsidR="007C00B4" w:rsidRPr="00A461B6">
        <w:t>s</w:t>
      </w:r>
    </w:p>
    <w:p w14:paraId="63B48B05" w14:textId="4145F58E" w:rsidR="00D76730" w:rsidRPr="00A461B6" w:rsidRDefault="0070566B" w:rsidP="007D66D7">
      <w:pPr>
        <w:pStyle w:val="Default"/>
        <w:rPr>
          <w:rFonts w:asciiTheme="minorHAnsi" w:hAnsiTheme="minorHAnsi"/>
          <w:color w:val="auto"/>
        </w:rPr>
      </w:pPr>
      <w:r w:rsidRPr="00A461B6">
        <w:rPr>
          <w:rFonts w:asciiTheme="minorHAnsi" w:hAnsiTheme="minorHAnsi"/>
          <w:color w:val="auto"/>
        </w:rPr>
        <w:t>Consul</w:t>
      </w:r>
      <w:r w:rsidR="00B56C50" w:rsidRPr="00A461B6">
        <w:rPr>
          <w:rFonts w:asciiTheme="minorHAnsi" w:hAnsiTheme="minorHAnsi"/>
          <w:color w:val="auto"/>
        </w:rPr>
        <w:t>t</w:t>
      </w:r>
      <w:r w:rsidRPr="00A461B6">
        <w:rPr>
          <w:rFonts w:asciiTheme="minorHAnsi" w:hAnsiTheme="minorHAnsi"/>
          <w:color w:val="auto"/>
        </w:rPr>
        <w:t>at</w:t>
      </w:r>
      <w:r w:rsidR="00B56C50" w:rsidRPr="00A461B6">
        <w:rPr>
          <w:rFonts w:asciiTheme="minorHAnsi" w:hAnsiTheme="minorHAnsi"/>
          <w:color w:val="auto"/>
        </w:rPr>
        <w:t>i</w:t>
      </w:r>
      <w:r w:rsidRPr="00A461B6">
        <w:rPr>
          <w:rFonts w:asciiTheme="minorHAnsi" w:hAnsiTheme="minorHAnsi"/>
          <w:color w:val="auto"/>
        </w:rPr>
        <w:t>on will</w:t>
      </w:r>
      <w:r w:rsidR="00B56C50" w:rsidRPr="00A461B6">
        <w:rPr>
          <w:rFonts w:asciiTheme="minorHAnsi" w:hAnsiTheme="minorHAnsi"/>
          <w:color w:val="auto"/>
        </w:rPr>
        <w:t xml:space="preserve"> </w:t>
      </w:r>
      <w:r w:rsidR="007C00B4" w:rsidRPr="00A461B6">
        <w:rPr>
          <w:rFonts w:asciiTheme="minorHAnsi" w:hAnsiTheme="minorHAnsi"/>
          <w:color w:val="auto"/>
        </w:rPr>
        <w:t>be underta</w:t>
      </w:r>
      <w:r w:rsidR="007C00B4" w:rsidRPr="00A461B6">
        <w:rPr>
          <w:rFonts w:asciiTheme="minorHAnsi" w:hAnsiTheme="minorHAnsi"/>
          <w:color w:val="0D0D0D" w:themeColor="text1" w:themeTint="F2"/>
        </w:rPr>
        <w:t>ken through</w:t>
      </w:r>
      <w:r w:rsidR="00B56C50" w:rsidRPr="00A461B6">
        <w:rPr>
          <w:rFonts w:asciiTheme="minorHAnsi" w:hAnsiTheme="minorHAnsi"/>
          <w:color w:val="0D0D0D" w:themeColor="text1" w:themeTint="F2"/>
        </w:rPr>
        <w:t xml:space="preserve"> </w:t>
      </w:r>
      <w:r w:rsidR="00B56C50" w:rsidRPr="00A461B6">
        <w:rPr>
          <w:rFonts w:asciiTheme="minorHAnsi" w:hAnsiTheme="minorHAnsi"/>
          <w:color w:val="auto"/>
        </w:rPr>
        <w:t>business as usual software vendor forums.</w:t>
      </w:r>
    </w:p>
    <w:p w14:paraId="5F77E730" w14:textId="42D3A241" w:rsidR="009C0DB6" w:rsidRPr="00A461B6" w:rsidRDefault="009C0DB6" w:rsidP="00FE0772">
      <w:pPr>
        <w:pStyle w:val="Heading2"/>
        <w:pageBreakBefore/>
      </w:pPr>
      <w:bookmarkStart w:id="85" w:name="_Toc132192312"/>
      <w:bookmarkStart w:id="86" w:name="_Toc134603943"/>
      <w:r w:rsidRPr="00A461B6">
        <w:rPr>
          <w:rFonts w:eastAsiaTheme="minorHAnsi"/>
        </w:rPr>
        <w:t xml:space="preserve">6. What is the best option from those you have considered and how will it be </w:t>
      </w:r>
      <w:r w:rsidRPr="00A461B6">
        <w:t>implemented</w:t>
      </w:r>
      <w:r w:rsidRPr="00A461B6">
        <w:rPr>
          <w:rFonts w:eastAsiaTheme="minorHAnsi"/>
        </w:rPr>
        <w:t>?</w:t>
      </w:r>
      <w:bookmarkEnd w:id="85"/>
      <w:bookmarkEnd w:id="86"/>
    </w:p>
    <w:p w14:paraId="15ECFF6C" w14:textId="360AA58E" w:rsidR="009C0DB6" w:rsidRPr="00A461B6" w:rsidRDefault="009C0DB6" w:rsidP="009C0DB6">
      <w:pPr>
        <w:rPr>
          <w:color w:val="auto"/>
          <w:sz w:val="24"/>
        </w:rPr>
      </w:pPr>
      <w:r w:rsidRPr="00A461B6">
        <w:rPr>
          <w:color w:val="auto"/>
          <w:sz w:val="24"/>
        </w:rPr>
        <w:t xml:space="preserve">Should the Government not implement either Option 2 or Option 3, there will be no additional benefits for consumers with chronic, stable medical conditions such as a </w:t>
      </w:r>
      <w:r w:rsidR="00A85E2F" w:rsidRPr="00A461B6">
        <w:rPr>
          <w:rFonts w:cstheme="minorHAnsi"/>
          <w:color w:val="auto"/>
          <w:sz w:val="24"/>
          <w:szCs w:val="24"/>
        </w:rPr>
        <w:t xml:space="preserve">reduced PBS co-payments, </w:t>
      </w:r>
      <w:r w:rsidRPr="00A461B6">
        <w:rPr>
          <w:color w:val="auto"/>
          <w:sz w:val="24"/>
        </w:rPr>
        <w:t xml:space="preserve">reduction in the number of visits to a pharmacy and reduced yearly out of pocket costs for some PBS medicines. Pharmacy owners will continue to dispense all PBS medicines for chronic </w:t>
      </w:r>
      <w:r w:rsidR="00A85E2F" w:rsidRPr="00A461B6">
        <w:rPr>
          <w:rFonts w:cstheme="minorHAnsi"/>
          <w:color w:val="auto"/>
          <w:sz w:val="24"/>
          <w:szCs w:val="24"/>
        </w:rPr>
        <w:t>conditions</w:t>
      </w:r>
      <w:r w:rsidRPr="00A461B6">
        <w:rPr>
          <w:color w:val="auto"/>
          <w:sz w:val="24"/>
        </w:rPr>
        <w:t xml:space="preserve"> on a monthly basis, and receive similar revenue from </w:t>
      </w:r>
      <w:r w:rsidR="00A85E2F" w:rsidRPr="00A461B6">
        <w:rPr>
          <w:rFonts w:cstheme="minorHAnsi"/>
          <w:color w:val="auto"/>
          <w:sz w:val="24"/>
          <w:szCs w:val="24"/>
        </w:rPr>
        <w:t>dispensing</w:t>
      </w:r>
      <w:r w:rsidRPr="00A461B6">
        <w:rPr>
          <w:rFonts w:cstheme="minorHAnsi"/>
          <w:color w:val="auto"/>
          <w:sz w:val="24"/>
          <w:szCs w:val="24"/>
        </w:rPr>
        <w:t>s</w:t>
      </w:r>
      <w:r w:rsidRPr="00A461B6">
        <w:rPr>
          <w:color w:val="auto"/>
          <w:sz w:val="24"/>
        </w:rPr>
        <w:t xml:space="preserve"> and the associated fees and charges.</w:t>
      </w:r>
    </w:p>
    <w:p w14:paraId="400F83B0" w14:textId="4D626B48" w:rsidR="009C0DB6" w:rsidRPr="00A461B6" w:rsidRDefault="009C0DB6" w:rsidP="009C0DB6">
      <w:pPr>
        <w:rPr>
          <w:color w:val="auto"/>
          <w:sz w:val="24"/>
        </w:rPr>
      </w:pPr>
      <w:r w:rsidRPr="00A461B6">
        <w:rPr>
          <w:color w:val="auto"/>
          <w:sz w:val="24"/>
        </w:rPr>
        <w:t xml:space="preserve">In December 2022, the independent PBAC noted that the Government may choose to </w:t>
      </w:r>
      <w:r w:rsidR="00A85E2F" w:rsidRPr="00A461B6">
        <w:rPr>
          <w:rFonts w:cstheme="minorHAnsi"/>
          <w:color w:val="auto"/>
          <w:sz w:val="24"/>
          <w:szCs w:val="24"/>
        </w:rPr>
        <w:t>increase the MDQ to</w:t>
      </w:r>
      <w:r w:rsidRPr="00A461B6">
        <w:rPr>
          <w:color w:val="auto"/>
          <w:sz w:val="24"/>
        </w:rPr>
        <w:t xml:space="preserve"> either two month (Option 2) or three month (Option 3) supply</w:t>
      </w:r>
      <w:r w:rsidR="00A85E2F" w:rsidRPr="00A461B6">
        <w:rPr>
          <w:rFonts w:cstheme="minorHAnsi"/>
          <w:color w:val="auto"/>
          <w:sz w:val="24"/>
          <w:szCs w:val="24"/>
        </w:rPr>
        <w:t>. The PBAC</w:t>
      </w:r>
      <w:r w:rsidRPr="00A461B6">
        <w:rPr>
          <w:color w:val="auto"/>
          <w:sz w:val="24"/>
        </w:rPr>
        <w:t xml:space="preserve"> advised that the list of medicines recommended for inclusion in the proposal would be safe and appropriate for either option.</w:t>
      </w:r>
    </w:p>
    <w:p w14:paraId="2E3BCC48" w14:textId="18CCB742" w:rsidR="009C0DB6" w:rsidRPr="00A461B6" w:rsidRDefault="009C0DB6" w:rsidP="009C0DB6">
      <w:pPr>
        <w:rPr>
          <w:color w:val="auto"/>
          <w:sz w:val="24"/>
        </w:rPr>
      </w:pPr>
      <w:r w:rsidRPr="00A461B6">
        <w:rPr>
          <w:color w:val="auto"/>
          <w:sz w:val="24"/>
        </w:rPr>
        <w:t xml:space="preserve">Options 2 </w:t>
      </w:r>
      <w:r w:rsidR="003D204A" w:rsidRPr="00A461B6">
        <w:rPr>
          <w:rFonts w:cstheme="minorHAnsi"/>
          <w:color w:val="auto"/>
          <w:sz w:val="24"/>
          <w:szCs w:val="24"/>
        </w:rPr>
        <w:t>and</w:t>
      </w:r>
      <w:r w:rsidRPr="00A461B6">
        <w:rPr>
          <w:color w:val="auto"/>
          <w:sz w:val="24"/>
        </w:rPr>
        <w:t xml:space="preserve"> 3 will provide more </w:t>
      </w:r>
      <w:r w:rsidR="00B92D43" w:rsidRPr="00A461B6">
        <w:rPr>
          <w:rFonts w:cstheme="minorHAnsi"/>
          <w:color w:val="auto"/>
          <w:sz w:val="24"/>
          <w:szCs w:val="24"/>
        </w:rPr>
        <w:t>a</w:t>
      </w:r>
      <w:r w:rsidRPr="00A461B6">
        <w:rPr>
          <w:rFonts w:cstheme="minorHAnsi"/>
          <w:color w:val="auto"/>
          <w:sz w:val="24"/>
          <w:szCs w:val="24"/>
        </w:rPr>
        <w:t>ffordable</w:t>
      </w:r>
      <w:r w:rsidRPr="00A461B6">
        <w:rPr>
          <w:color w:val="auto"/>
          <w:sz w:val="24"/>
        </w:rPr>
        <w:t xml:space="preserve"> access to PBS medicines for consumers for many chronic conditions and provide significant savings to Government </w:t>
      </w:r>
      <w:r w:rsidR="00A85E2F" w:rsidRPr="00A461B6">
        <w:rPr>
          <w:rFonts w:cstheme="minorHAnsi"/>
          <w:color w:val="auto"/>
          <w:sz w:val="24"/>
          <w:szCs w:val="24"/>
        </w:rPr>
        <w:t>by</w:t>
      </w:r>
      <w:r w:rsidRPr="00A461B6">
        <w:rPr>
          <w:color w:val="auto"/>
          <w:sz w:val="24"/>
        </w:rPr>
        <w:t xml:space="preserve"> reducing dispensing related remuneration paid to pharmacy owners. The overall reduction in the number of PBS </w:t>
      </w:r>
      <w:r w:rsidR="00A85E2F" w:rsidRPr="00A461B6">
        <w:rPr>
          <w:rFonts w:cstheme="minorHAnsi"/>
          <w:bCs/>
          <w:color w:val="auto"/>
          <w:sz w:val="24"/>
          <w:szCs w:val="24"/>
        </w:rPr>
        <w:t>dispensing</w:t>
      </w:r>
      <w:r w:rsidRPr="00A461B6">
        <w:rPr>
          <w:rFonts w:cstheme="minorHAnsi"/>
          <w:bCs/>
          <w:color w:val="auto"/>
          <w:sz w:val="24"/>
          <w:szCs w:val="24"/>
        </w:rPr>
        <w:t>s</w:t>
      </w:r>
      <w:r w:rsidRPr="00A461B6">
        <w:rPr>
          <w:color w:val="auto"/>
          <w:sz w:val="24"/>
        </w:rPr>
        <w:t xml:space="preserve"> means some patients will reach their applicable PBS Safety Net threshold later in the calendar year and prescriptions lasting 12 months may contribute to fewer doctor visits for the sole purpose of renewing a prescription every six months.</w:t>
      </w:r>
    </w:p>
    <w:p w14:paraId="4718BBB9" w14:textId="647251C0" w:rsidR="009C0DB6" w:rsidRPr="00A461B6" w:rsidRDefault="009C0DB6" w:rsidP="009C0DB6">
      <w:pPr>
        <w:spacing w:before="120" w:line="240" w:lineRule="auto"/>
        <w:rPr>
          <w:color w:val="auto"/>
          <w:sz w:val="24"/>
        </w:rPr>
      </w:pPr>
      <w:r w:rsidRPr="00A461B6">
        <w:rPr>
          <w:color w:val="auto"/>
          <w:sz w:val="24"/>
        </w:rPr>
        <w:t xml:space="preserve">Options 2 and 3 will result in fewer patients reaching the PBS Safety Net threshold, however </w:t>
      </w:r>
      <w:r w:rsidR="00FD72B8" w:rsidRPr="00A461B6">
        <w:rPr>
          <w:color w:val="auto"/>
          <w:sz w:val="24"/>
        </w:rPr>
        <w:t xml:space="preserve">these </w:t>
      </w:r>
      <w:r w:rsidRPr="00A461B6">
        <w:rPr>
          <w:color w:val="auto"/>
          <w:sz w:val="24"/>
        </w:rPr>
        <w:t>patients will save overall, as they will pay fewer PBS patient co-payments over the course of a year, due to the lower number of prescriptions needed to receive the same amount of medicine. Options 2 and 3 may also improve patient compliance to effective medicines, resulting in improved health outcomes and less burden on the Australian health care system.</w:t>
      </w:r>
    </w:p>
    <w:p w14:paraId="63D096BB" w14:textId="1A0C2580" w:rsidR="0026392D" w:rsidRDefault="004A3C92" w:rsidP="009C0DB6">
      <w:pPr>
        <w:spacing w:before="120" w:line="240" w:lineRule="auto"/>
        <w:rPr>
          <w:color w:val="auto"/>
          <w:sz w:val="24"/>
        </w:rPr>
      </w:pPr>
      <w:r w:rsidRPr="00A461B6">
        <w:rPr>
          <w:color w:val="auto"/>
          <w:sz w:val="24"/>
        </w:rPr>
        <w:t>U</w:t>
      </w:r>
      <w:r w:rsidR="00FE0772" w:rsidRPr="00A461B6">
        <w:rPr>
          <w:color w:val="auto"/>
          <w:sz w:val="24"/>
        </w:rPr>
        <w:t xml:space="preserve">nder Option 2, </w:t>
      </w:r>
      <w:r w:rsidR="008B2859" w:rsidRPr="00A461B6">
        <w:rPr>
          <w:color w:val="auto"/>
          <w:sz w:val="24"/>
        </w:rPr>
        <w:t xml:space="preserve">a significant proportion of the 9.6 million </w:t>
      </w:r>
      <w:r w:rsidR="00FE0772" w:rsidRPr="00A461B6">
        <w:rPr>
          <w:color w:val="auto"/>
          <w:sz w:val="24"/>
        </w:rPr>
        <w:t xml:space="preserve">patients </w:t>
      </w:r>
      <w:r w:rsidR="008B2859" w:rsidRPr="00A461B6">
        <w:rPr>
          <w:color w:val="auto"/>
          <w:sz w:val="24"/>
        </w:rPr>
        <w:t xml:space="preserve">using medicines included in the proposal </w:t>
      </w:r>
      <w:r w:rsidR="00FE0772" w:rsidRPr="00A461B6">
        <w:rPr>
          <w:color w:val="auto"/>
          <w:sz w:val="24"/>
        </w:rPr>
        <w:t xml:space="preserve">will </w:t>
      </w:r>
      <w:r w:rsidR="008B2859" w:rsidRPr="00A461B6">
        <w:rPr>
          <w:color w:val="auto"/>
          <w:sz w:val="24"/>
        </w:rPr>
        <w:t xml:space="preserve">collectively </w:t>
      </w:r>
      <w:r w:rsidR="00FE0772" w:rsidRPr="00A461B6">
        <w:rPr>
          <w:color w:val="auto"/>
          <w:sz w:val="24"/>
        </w:rPr>
        <w:t xml:space="preserve">save around $540 million in </w:t>
      </w:r>
      <w:r w:rsidR="00A3076D" w:rsidRPr="00A461B6">
        <w:rPr>
          <w:color w:val="auto"/>
          <w:sz w:val="24"/>
        </w:rPr>
        <w:t xml:space="preserve">reduced </w:t>
      </w:r>
      <w:r w:rsidR="00FE0772" w:rsidRPr="00A461B6">
        <w:rPr>
          <w:color w:val="auto"/>
          <w:sz w:val="24"/>
        </w:rPr>
        <w:t>PBS patient contributions in 2026-27, and approximately $1.8 billion between 2023-24 and 2026-27</w:t>
      </w:r>
      <w:r w:rsidR="008B2859" w:rsidRPr="00A461B6">
        <w:rPr>
          <w:color w:val="auto"/>
          <w:sz w:val="24"/>
        </w:rPr>
        <w:t>.</w:t>
      </w:r>
      <w:r w:rsidR="00A3076D" w:rsidRPr="00A461B6">
        <w:rPr>
          <w:color w:val="auto"/>
          <w:sz w:val="24"/>
        </w:rPr>
        <w:t xml:space="preserve"> </w:t>
      </w:r>
    </w:p>
    <w:p w14:paraId="537F6498" w14:textId="2995B4F3" w:rsidR="00A3076D" w:rsidRPr="00A461B6" w:rsidRDefault="0026392D" w:rsidP="009C0DB6">
      <w:pPr>
        <w:spacing w:before="120" w:line="240" w:lineRule="auto"/>
        <w:rPr>
          <w:color w:val="auto"/>
          <w:sz w:val="24"/>
        </w:rPr>
      </w:pPr>
      <w:r>
        <w:rPr>
          <w:color w:val="auto"/>
          <w:sz w:val="24"/>
        </w:rPr>
        <w:t>For Option 2, a</w:t>
      </w:r>
      <w:r w:rsidR="00A3076D" w:rsidRPr="00A461B6">
        <w:rPr>
          <w:color w:val="auto"/>
          <w:sz w:val="24"/>
        </w:rPr>
        <w:t xml:space="preserve"> subset of approximately 1.89 million of these patients who use only PBS medicines with increased MDQ items for stable and chronic conditions </w:t>
      </w:r>
      <w:r w:rsidR="00290876" w:rsidRPr="00A461B6">
        <w:rPr>
          <w:color w:val="auto"/>
          <w:sz w:val="24"/>
        </w:rPr>
        <w:t xml:space="preserve">(and no other PBS medicines) </w:t>
      </w:r>
      <w:r w:rsidR="00A3076D" w:rsidRPr="00A461B6">
        <w:rPr>
          <w:color w:val="auto"/>
          <w:sz w:val="24"/>
        </w:rPr>
        <w:t xml:space="preserve">may save 35 minutes (consultation and travel time) attending a GP clinic annually and 90 minutes (6 visits x 15 minutes) attending the pharmacy annually. Patients who live in rural or regional areas or who find it difficult to visit a pharmacy each month may experience added convenience. In 2026-27, the total reduced regulatory burden for these 1.89 million patients is estimated to be more than $141 million. </w:t>
      </w:r>
    </w:p>
    <w:p w14:paraId="39BC919F" w14:textId="50AE0A33" w:rsidR="0026392D" w:rsidRDefault="008B2859" w:rsidP="009C0DB6">
      <w:pPr>
        <w:spacing w:before="120" w:line="240" w:lineRule="auto"/>
        <w:rPr>
          <w:rFonts w:eastAsiaTheme="majorEastAsia"/>
          <w:bCs/>
          <w:color w:val="0D0D0D" w:themeColor="text1" w:themeTint="F2"/>
          <w:sz w:val="24"/>
          <w:szCs w:val="24"/>
        </w:rPr>
      </w:pPr>
      <w:r w:rsidRPr="00A461B6">
        <w:rPr>
          <w:color w:val="auto"/>
          <w:sz w:val="24"/>
        </w:rPr>
        <w:t>U</w:t>
      </w:r>
      <w:r w:rsidR="00FE0772" w:rsidRPr="00A461B6">
        <w:rPr>
          <w:color w:val="auto"/>
          <w:sz w:val="24"/>
        </w:rPr>
        <w:t xml:space="preserve">nder Option 3, </w:t>
      </w:r>
      <w:r w:rsidR="00A3076D" w:rsidRPr="00A461B6">
        <w:rPr>
          <w:color w:val="auto"/>
          <w:sz w:val="24"/>
        </w:rPr>
        <w:t xml:space="preserve">a significant proportion of the 9.6 million </w:t>
      </w:r>
      <w:r w:rsidR="00FE0772" w:rsidRPr="00A461B6">
        <w:rPr>
          <w:color w:val="auto"/>
          <w:sz w:val="24"/>
        </w:rPr>
        <w:t xml:space="preserve">patients </w:t>
      </w:r>
      <w:r w:rsidR="00A3076D" w:rsidRPr="00A461B6">
        <w:rPr>
          <w:color w:val="auto"/>
          <w:sz w:val="24"/>
        </w:rPr>
        <w:t xml:space="preserve">using medicines included in the proposal </w:t>
      </w:r>
      <w:r w:rsidR="00FE0772" w:rsidRPr="00A461B6">
        <w:rPr>
          <w:color w:val="auto"/>
          <w:sz w:val="24"/>
        </w:rPr>
        <w:t xml:space="preserve">will </w:t>
      </w:r>
      <w:r w:rsidR="00A3076D" w:rsidRPr="00A461B6">
        <w:rPr>
          <w:color w:val="auto"/>
          <w:sz w:val="24"/>
        </w:rPr>
        <w:t xml:space="preserve">collectively </w:t>
      </w:r>
      <w:r w:rsidR="00FE0772" w:rsidRPr="00A461B6">
        <w:rPr>
          <w:color w:val="auto"/>
          <w:sz w:val="24"/>
        </w:rPr>
        <w:t xml:space="preserve">save around $740 million in PBS patient contributions in 2026-27, and approximately $2.5 billion between 2023-24 and 2026-27. </w:t>
      </w:r>
      <w:r w:rsidR="00A3076D" w:rsidRPr="00A461B6">
        <w:rPr>
          <w:color w:val="auto"/>
          <w:sz w:val="24"/>
        </w:rPr>
        <w:t xml:space="preserve"> </w:t>
      </w:r>
    </w:p>
    <w:p w14:paraId="33341054" w14:textId="120B0881" w:rsidR="008B2859" w:rsidRPr="00A461B6" w:rsidRDefault="0026392D" w:rsidP="009C0DB6">
      <w:pPr>
        <w:spacing w:before="120" w:line="240" w:lineRule="auto"/>
        <w:rPr>
          <w:color w:val="auto"/>
          <w:sz w:val="24"/>
        </w:rPr>
      </w:pPr>
      <w:r>
        <w:rPr>
          <w:color w:val="auto"/>
          <w:sz w:val="24"/>
        </w:rPr>
        <w:t>For Option 3, a</w:t>
      </w:r>
      <w:r w:rsidR="00A3076D" w:rsidRPr="00A461B6">
        <w:rPr>
          <w:color w:val="auto"/>
          <w:sz w:val="24"/>
        </w:rPr>
        <w:t xml:space="preserve"> subset of approximately 1.89 million of these patients who use only PBS medicines with increased MDQ items for stable and chronic conditions </w:t>
      </w:r>
      <w:r w:rsidR="00290876" w:rsidRPr="00A461B6">
        <w:rPr>
          <w:color w:val="auto"/>
          <w:sz w:val="24"/>
        </w:rPr>
        <w:t xml:space="preserve">(and no other PBS medicines) </w:t>
      </w:r>
      <w:r w:rsidR="00A3076D" w:rsidRPr="00A461B6">
        <w:rPr>
          <w:color w:val="auto"/>
          <w:sz w:val="24"/>
        </w:rPr>
        <w:t xml:space="preserve">may save 35 minutes (consultation and travel time) attending a GP clinic annually and 120 minutes (8 visits x 15 minutes) attending the pharmacy annually. In 2026-27, the total reduced regulatory burden for these 1.89 million patients is estimated to be more than $175 million. </w:t>
      </w:r>
    </w:p>
    <w:p w14:paraId="1AE692AF" w14:textId="396920D1" w:rsidR="009C0DB6" w:rsidRPr="00A461B6" w:rsidRDefault="009C0DB6" w:rsidP="009C0DB6">
      <w:pPr>
        <w:spacing w:before="120" w:line="240" w:lineRule="auto"/>
        <w:rPr>
          <w:color w:val="auto"/>
          <w:sz w:val="24"/>
        </w:rPr>
      </w:pPr>
      <w:r w:rsidRPr="00A461B6">
        <w:rPr>
          <w:color w:val="auto"/>
          <w:sz w:val="24"/>
        </w:rPr>
        <w:t xml:space="preserve">Options 2 and 3 will result in owners of pharmacies and pharmaceutical wholesalers receiving reduced revenue associated with the dispensing of PBS medicines. In 2018, the Pharmacy Guild strongly opposed the two month option due to the reduction in income for pharmacy business owners, of which there are </w:t>
      </w:r>
      <w:r w:rsidR="00DC59E9" w:rsidRPr="00A461B6">
        <w:rPr>
          <w:rFonts w:cstheme="minorHAnsi"/>
          <w:color w:val="auto"/>
          <w:sz w:val="24"/>
          <w:szCs w:val="24"/>
        </w:rPr>
        <w:t>more than</w:t>
      </w:r>
      <w:r w:rsidRPr="00A461B6">
        <w:rPr>
          <w:rFonts w:cstheme="minorHAnsi"/>
          <w:color w:val="auto"/>
          <w:sz w:val="24"/>
          <w:szCs w:val="24"/>
        </w:rPr>
        <w:t xml:space="preserve"> 5</w:t>
      </w:r>
      <w:r w:rsidR="00482384" w:rsidRPr="00A461B6">
        <w:rPr>
          <w:rFonts w:cstheme="minorHAnsi"/>
          <w:color w:val="auto"/>
          <w:sz w:val="24"/>
          <w:szCs w:val="24"/>
        </w:rPr>
        <w:t>,</w:t>
      </w:r>
      <w:r w:rsidRPr="00A461B6">
        <w:rPr>
          <w:rFonts w:cstheme="minorHAnsi"/>
          <w:color w:val="auto"/>
          <w:sz w:val="24"/>
          <w:szCs w:val="24"/>
        </w:rPr>
        <w:t>90</w:t>
      </w:r>
      <w:r w:rsidR="003D204A" w:rsidRPr="00A461B6">
        <w:rPr>
          <w:rFonts w:cstheme="minorHAnsi"/>
          <w:color w:val="auto"/>
          <w:sz w:val="24"/>
          <w:szCs w:val="24"/>
        </w:rPr>
        <w:t>0</w:t>
      </w:r>
      <w:r w:rsidRPr="00A461B6">
        <w:rPr>
          <w:color w:val="auto"/>
          <w:sz w:val="24"/>
        </w:rPr>
        <w:t xml:space="preserve"> across Australia. </w:t>
      </w:r>
    </w:p>
    <w:p w14:paraId="111CB5E4" w14:textId="02665E47" w:rsidR="00FE0772" w:rsidRPr="00A461B6" w:rsidRDefault="00FE0772" w:rsidP="009C0DB6">
      <w:pPr>
        <w:spacing w:before="120" w:line="240" w:lineRule="auto"/>
        <w:rPr>
          <w:color w:val="auto"/>
          <w:sz w:val="24"/>
        </w:rPr>
      </w:pPr>
      <w:r w:rsidRPr="00A461B6">
        <w:rPr>
          <w:color w:val="auto"/>
          <w:sz w:val="24"/>
        </w:rPr>
        <w:t xml:space="preserve">The impact on specific pharmacies will vary depending on the location of the pharmacy and its operating model. Under Option 2, the estimated average impact per pharmacy in the fourth year following implementation may be up to </w:t>
      </w:r>
      <w:r w:rsidR="00B22B08" w:rsidRPr="00A461B6">
        <w:rPr>
          <w:color w:val="auto"/>
          <w:sz w:val="24"/>
        </w:rPr>
        <w:t xml:space="preserve">a </w:t>
      </w:r>
      <w:r w:rsidRPr="00A461B6">
        <w:rPr>
          <w:color w:val="auto"/>
          <w:sz w:val="24"/>
        </w:rPr>
        <w:t xml:space="preserve">$158,000 reduction in remuneration derived from Government paid PBS fees, which is estimated to be a reduction of approximately 18% of the baseline remuneration of community pharmacy Government paid PBS fees (estimated to be $867,000 in the fourth year). For Option 3, the estimated average impact per pharmacy in the fourth year following implementation may be up to </w:t>
      </w:r>
      <w:r w:rsidR="00B22B08" w:rsidRPr="00A461B6">
        <w:rPr>
          <w:color w:val="auto"/>
          <w:sz w:val="24"/>
        </w:rPr>
        <w:t xml:space="preserve">a </w:t>
      </w:r>
      <w:r w:rsidRPr="00A461B6">
        <w:rPr>
          <w:color w:val="auto"/>
          <w:sz w:val="24"/>
        </w:rPr>
        <w:t xml:space="preserve">$210,000 reduction in Government remuneration, which is estimated to be a reduction of 24% of the baseline remuneration of community pharmacy fees (estimated to be $867,000 in the fourth year). PBS revenue is only one of the revenue sources for community pharmacies, and </w:t>
      </w:r>
      <w:r w:rsidR="00994263" w:rsidRPr="00A461B6">
        <w:rPr>
          <w:color w:val="auto"/>
          <w:sz w:val="24"/>
        </w:rPr>
        <w:t xml:space="preserve">other sources </w:t>
      </w:r>
      <w:r w:rsidR="00994263" w:rsidRPr="00A461B6">
        <w:rPr>
          <w:rFonts w:cstheme="minorHAnsi"/>
          <w:color w:val="auto"/>
          <w:sz w:val="24"/>
          <w:szCs w:val="24"/>
        </w:rPr>
        <w:t>of income are not captured in this analysis</w:t>
      </w:r>
      <w:r w:rsidRPr="00A461B6">
        <w:rPr>
          <w:color w:val="auto"/>
          <w:sz w:val="24"/>
        </w:rPr>
        <w:t>.</w:t>
      </w:r>
    </w:p>
    <w:p w14:paraId="1A95FB53" w14:textId="117DA8EC" w:rsidR="009C0DB6" w:rsidRPr="00A461B6" w:rsidRDefault="009C0DB6" w:rsidP="007D66D7">
      <w:pPr>
        <w:rPr>
          <w:color w:val="auto"/>
          <w:sz w:val="24"/>
        </w:rPr>
      </w:pPr>
      <w:r w:rsidRPr="00A461B6">
        <w:rPr>
          <w:color w:val="auto"/>
          <w:sz w:val="24"/>
        </w:rPr>
        <w:t xml:space="preserve">Increasing the maximum dispensed amount for </w:t>
      </w:r>
      <w:r w:rsidR="00FD72B8" w:rsidRPr="00A461B6">
        <w:rPr>
          <w:color w:val="auto"/>
          <w:sz w:val="24"/>
        </w:rPr>
        <w:t xml:space="preserve">some </w:t>
      </w:r>
      <w:r w:rsidRPr="00A461B6">
        <w:rPr>
          <w:color w:val="auto"/>
          <w:sz w:val="24"/>
        </w:rPr>
        <w:t xml:space="preserve">of the included PBS medicines will also reduce the overall amount of wholesaler mark-up paid by the Government. </w:t>
      </w:r>
      <w:r w:rsidR="00402883" w:rsidRPr="00A461B6">
        <w:rPr>
          <w:rFonts w:cstheme="minorHAnsi"/>
          <w:color w:val="auto"/>
          <w:sz w:val="24"/>
          <w:szCs w:val="24"/>
        </w:rPr>
        <w:t>There are six Community Service Obligation (CSO) wholesalers who supply a majority share of PBS medicines to community pharmacy and are likely to be affected. However, there are a number of non-CSO wholesalers who do not have a specific arrangement with the Commonwealth but also supply some PBS medicines. As these additional suppliers are not regulated, it is not possible to estimate the total number of wholesalers that will be affected.</w:t>
      </w:r>
    </w:p>
    <w:p w14:paraId="06D75807" w14:textId="002D3F50" w:rsidR="009C0DB6" w:rsidRPr="00A461B6" w:rsidRDefault="009C0DB6" w:rsidP="009C0DB6">
      <w:pPr>
        <w:spacing w:line="240" w:lineRule="auto"/>
        <w:rPr>
          <w:color w:val="auto"/>
          <w:sz w:val="24"/>
        </w:rPr>
      </w:pPr>
      <w:r w:rsidRPr="00A461B6">
        <w:rPr>
          <w:color w:val="auto"/>
          <w:sz w:val="24"/>
        </w:rPr>
        <w:t>Under Option 2</w:t>
      </w:r>
      <w:r w:rsidR="00DC59E9" w:rsidRPr="00A461B6">
        <w:rPr>
          <w:rFonts w:cstheme="minorHAnsi"/>
          <w:color w:val="auto"/>
          <w:sz w:val="24"/>
          <w:szCs w:val="24"/>
        </w:rPr>
        <w:t>,</w:t>
      </w:r>
      <w:r w:rsidRPr="00A461B6">
        <w:rPr>
          <w:color w:val="auto"/>
          <w:sz w:val="24"/>
        </w:rPr>
        <w:t xml:space="preserve"> patients may save up to $180 per year (General Beneficiaries) and up to $43.80 per year (Concessional Beneficiaries) for each </w:t>
      </w:r>
      <w:r w:rsidR="00BB1053" w:rsidRPr="00A461B6">
        <w:rPr>
          <w:color w:val="auto"/>
          <w:sz w:val="24"/>
        </w:rPr>
        <w:t>medicine</w:t>
      </w:r>
      <w:r w:rsidRPr="00A461B6">
        <w:rPr>
          <w:color w:val="auto"/>
          <w:sz w:val="24"/>
        </w:rPr>
        <w:t xml:space="preserve"> prescribed</w:t>
      </w:r>
      <w:r w:rsidR="00BB1053" w:rsidRPr="00A461B6">
        <w:rPr>
          <w:color w:val="auto"/>
          <w:sz w:val="24"/>
        </w:rPr>
        <w:t xml:space="preserve"> for a chronic, stable medical condition</w:t>
      </w:r>
      <w:r w:rsidRPr="00A461B6">
        <w:rPr>
          <w:color w:val="auto"/>
          <w:sz w:val="24"/>
        </w:rPr>
        <w:t>. Option 2 out of pocket savings and regulatory savings for consumers are lower than those generated under Option 3 (for general patients up to $240 per year and for concessional patients up to $58.40 per year)</w:t>
      </w:r>
      <w:r w:rsidR="00E50D6C" w:rsidRPr="00A461B6">
        <w:rPr>
          <w:color w:val="auto"/>
          <w:sz w:val="24"/>
        </w:rPr>
        <w:t>.</w:t>
      </w:r>
      <w:r w:rsidR="00151418" w:rsidRPr="00A461B6">
        <w:rPr>
          <w:color w:val="auto"/>
          <w:sz w:val="24"/>
        </w:rPr>
        <w:t xml:space="preserve"> </w:t>
      </w:r>
      <w:r w:rsidRPr="00A461B6">
        <w:rPr>
          <w:color w:val="auto"/>
          <w:sz w:val="24"/>
        </w:rPr>
        <w:t xml:space="preserve">However, the financial impact to the community pharmacy sector of Option 2 is less than for Option 3, noting that mitigation measures are </w:t>
      </w:r>
      <w:r w:rsidR="00B92D43" w:rsidRPr="00A461B6">
        <w:rPr>
          <w:rFonts w:cstheme="minorHAnsi"/>
          <w:color w:val="auto"/>
          <w:sz w:val="24"/>
          <w:szCs w:val="24"/>
        </w:rPr>
        <w:t>proposed as part of these reforms</w:t>
      </w:r>
      <w:r w:rsidRPr="00A461B6">
        <w:rPr>
          <w:color w:val="auto"/>
          <w:sz w:val="24"/>
        </w:rPr>
        <w:t xml:space="preserve"> to offset some of this impact</w:t>
      </w:r>
      <w:r w:rsidR="00E50D6C" w:rsidRPr="00A461B6">
        <w:rPr>
          <w:color w:val="auto"/>
          <w:sz w:val="24"/>
        </w:rPr>
        <w:t>.</w:t>
      </w:r>
    </w:p>
    <w:p w14:paraId="7BD21269" w14:textId="6790AE5E" w:rsidR="009C0DB6" w:rsidRPr="00A461B6" w:rsidRDefault="009C0DB6" w:rsidP="000E413C">
      <w:pPr>
        <w:pStyle w:val="Heading3"/>
      </w:pPr>
      <w:bookmarkStart w:id="87" w:name="_Toc132192313"/>
      <w:bookmarkStart w:id="88" w:name="_Toc134603944"/>
      <w:r w:rsidRPr="00A461B6">
        <w:t xml:space="preserve">Preferred </w:t>
      </w:r>
      <w:r w:rsidR="00DC59E9" w:rsidRPr="00A461B6">
        <w:t>o</w:t>
      </w:r>
      <w:r w:rsidRPr="00A461B6">
        <w:t>ption</w:t>
      </w:r>
      <w:bookmarkEnd w:id="87"/>
      <w:bookmarkEnd w:id="88"/>
    </w:p>
    <w:p w14:paraId="45192F58" w14:textId="505B6ED9" w:rsidR="009C0DB6" w:rsidRPr="00A461B6" w:rsidRDefault="00B92D43" w:rsidP="009C0DB6">
      <w:pPr>
        <w:spacing w:before="120" w:line="240" w:lineRule="auto"/>
        <w:rPr>
          <w:color w:val="auto"/>
          <w:sz w:val="24"/>
        </w:rPr>
      </w:pPr>
      <w:r w:rsidRPr="00A461B6">
        <w:rPr>
          <w:rFonts w:cstheme="minorHAnsi"/>
          <w:bCs/>
          <w:color w:val="auto"/>
          <w:sz w:val="24"/>
          <w:szCs w:val="24"/>
        </w:rPr>
        <w:t>The preferred option is</w:t>
      </w:r>
      <w:r w:rsidR="009C0DB6" w:rsidRPr="00A461B6">
        <w:rPr>
          <w:color w:val="auto"/>
          <w:sz w:val="24"/>
        </w:rPr>
        <w:t xml:space="preserve"> that the two month </w:t>
      </w:r>
      <w:r w:rsidR="001B0431" w:rsidRPr="00A461B6">
        <w:rPr>
          <w:rFonts w:cstheme="minorHAnsi"/>
          <w:bCs/>
          <w:color w:val="auto"/>
          <w:sz w:val="24"/>
          <w:szCs w:val="24"/>
        </w:rPr>
        <w:t>MDQ</w:t>
      </w:r>
      <w:r w:rsidR="001B0431" w:rsidRPr="00A461B6">
        <w:rPr>
          <w:color w:val="auto"/>
          <w:sz w:val="24"/>
        </w:rPr>
        <w:t xml:space="preserve"> option</w:t>
      </w:r>
      <w:r w:rsidR="009C0DB6" w:rsidRPr="00A461B6">
        <w:rPr>
          <w:rFonts w:cstheme="minorHAnsi"/>
          <w:bCs/>
          <w:color w:val="auto"/>
          <w:sz w:val="24"/>
          <w:szCs w:val="24"/>
        </w:rPr>
        <w:t xml:space="preserve"> (Option</w:t>
      </w:r>
      <w:r w:rsidRPr="00A461B6">
        <w:rPr>
          <w:rFonts w:cstheme="minorHAnsi"/>
          <w:bCs/>
          <w:color w:val="auto"/>
          <w:sz w:val="24"/>
          <w:szCs w:val="24"/>
        </w:rPr>
        <w:t xml:space="preserve"> </w:t>
      </w:r>
      <w:r w:rsidR="009C0DB6" w:rsidRPr="00A461B6">
        <w:rPr>
          <w:rFonts w:cstheme="minorHAnsi"/>
          <w:bCs/>
          <w:color w:val="auto"/>
          <w:sz w:val="24"/>
          <w:szCs w:val="24"/>
        </w:rPr>
        <w:t>2</w:t>
      </w:r>
      <w:r w:rsidR="009C0DB6" w:rsidRPr="00A461B6">
        <w:rPr>
          <w:color w:val="auto"/>
          <w:sz w:val="24"/>
        </w:rPr>
        <w:t>) is implemented. This option will deliver significant savings to both patients and the Government compared to current policy settings (</w:t>
      </w:r>
      <w:r w:rsidR="00BB1053" w:rsidRPr="00A461B6">
        <w:rPr>
          <w:color w:val="auto"/>
          <w:sz w:val="24"/>
        </w:rPr>
        <w:t>O</w:t>
      </w:r>
      <w:r w:rsidR="009C0DB6" w:rsidRPr="00A461B6">
        <w:rPr>
          <w:color w:val="auto"/>
          <w:sz w:val="24"/>
        </w:rPr>
        <w:t xml:space="preserve">ption 1) and will have a more moderate impact on pharmacy and wholesalers than the three month option. </w:t>
      </w:r>
    </w:p>
    <w:p w14:paraId="723A1DB4" w14:textId="6E02B204" w:rsidR="009C0DB6" w:rsidRPr="00A461B6" w:rsidRDefault="009C0DB6" w:rsidP="009C0DB6">
      <w:pPr>
        <w:spacing w:before="120" w:line="240" w:lineRule="auto"/>
        <w:rPr>
          <w:color w:val="auto"/>
          <w:sz w:val="24"/>
        </w:rPr>
      </w:pPr>
      <w:r w:rsidRPr="00A461B6">
        <w:rPr>
          <w:color w:val="auto"/>
          <w:sz w:val="24"/>
        </w:rPr>
        <w:t>Implementation of the two-month option would give the Government the ability to retain the PBAC’s recommendation for the three month option for later consideration</w:t>
      </w:r>
      <w:r w:rsidR="00B92D43" w:rsidRPr="00A461B6">
        <w:rPr>
          <w:rFonts w:cstheme="minorHAnsi"/>
          <w:color w:val="auto"/>
          <w:sz w:val="24"/>
          <w:szCs w:val="24"/>
        </w:rPr>
        <w:t>, providing the opportunity to assess the financial impact of the two months dispensing quantity reforms on the network of pharmacies in Australia before proceeding to implement further changes, such as three months dispensing quantity reforms</w:t>
      </w:r>
      <w:r w:rsidRPr="00A461B6">
        <w:rPr>
          <w:rFonts w:cstheme="minorHAnsi"/>
          <w:color w:val="auto"/>
          <w:sz w:val="24"/>
          <w:szCs w:val="24"/>
        </w:rPr>
        <w:t>.</w:t>
      </w:r>
      <w:r w:rsidRPr="00A461B6">
        <w:rPr>
          <w:color w:val="auto"/>
          <w:sz w:val="24"/>
        </w:rPr>
        <w:t xml:space="preserve"> In general, PBAC recommendations remain valid for two years. </w:t>
      </w:r>
    </w:p>
    <w:p w14:paraId="3A928152" w14:textId="18BE02D3" w:rsidR="009C0DB6" w:rsidRPr="00A461B6" w:rsidRDefault="009C0DB6" w:rsidP="009C0DB6">
      <w:pPr>
        <w:spacing w:before="120" w:line="240" w:lineRule="auto"/>
        <w:rPr>
          <w:color w:val="auto"/>
          <w:sz w:val="24"/>
        </w:rPr>
      </w:pPr>
      <w:r w:rsidRPr="00A461B6">
        <w:rPr>
          <w:color w:val="auto"/>
          <w:sz w:val="24"/>
        </w:rPr>
        <w:t>In addition, Option 2 has been widely shared publicly as a concept, with the proposal well supported by medical and consumer stakeholders when recommended by the PBAC in 2018. It is likely minimal consultation on Option 2 will be required, as only the number of medicines captured within the 2018 PBAC recommendation has been updated in the 2022 PBAC recommendation.</w:t>
      </w:r>
    </w:p>
    <w:p w14:paraId="2177F53E" w14:textId="07C592C6" w:rsidR="009C0DB6" w:rsidRPr="00A461B6" w:rsidRDefault="009C0DB6" w:rsidP="009C0DB6">
      <w:pPr>
        <w:rPr>
          <w:color w:val="auto"/>
          <w:sz w:val="24"/>
        </w:rPr>
      </w:pPr>
      <w:r w:rsidRPr="00A461B6">
        <w:rPr>
          <w:color w:val="auto"/>
          <w:sz w:val="24"/>
        </w:rPr>
        <w:t xml:space="preserve">Implementation of Option 2 rather than Option 3 will result in the dispensing of less medicine quantity at one time </w:t>
      </w:r>
      <w:r w:rsidR="00DC59E9" w:rsidRPr="00A461B6">
        <w:rPr>
          <w:rFonts w:cstheme="minorHAnsi"/>
          <w:color w:val="auto"/>
          <w:sz w:val="24"/>
          <w:szCs w:val="24"/>
        </w:rPr>
        <w:t>(</w:t>
      </w:r>
      <w:r w:rsidRPr="00A461B6">
        <w:rPr>
          <w:color w:val="auto"/>
          <w:sz w:val="24"/>
        </w:rPr>
        <w:t>i.e. double rather than triple the current one month’s supply</w:t>
      </w:r>
      <w:r w:rsidR="00DC59E9" w:rsidRPr="00A461B6">
        <w:rPr>
          <w:rFonts w:cstheme="minorHAnsi"/>
          <w:color w:val="auto"/>
          <w:sz w:val="24"/>
          <w:szCs w:val="24"/>
        </w:rPr>
        <w:t>)</w:t>
      </w:r>
      <w:r w:rsidRPr="00A461B6">
        <w:rPr>
          <w:rFonts w:cstheme="minorHAnsi"/>
          <w:color w:val="auto"/>
          <w:sz w:val="24"/>
          <w:szCs w:val="24"/>
        </w:rPr>
        <w:t>.</w:t>
      </w:r>
      <w:r w:rsidRPr="00A461B6">
        <w:rPr>
          <w:color w:val="auto"/>
          <w:sz w:val="24"/>
        </w:rPr>
        <w:t xml:space="preserve"> This may have two potential benefits:</w:t>
      </w:r>
    </w:p>
    <w:p w14:paraId="120805D2" w14:textId="20A9F2CB" w:rsidR="009C0DB6" w:rsidRPr="00A461B6" w:rsidRDefault="00DC59E9" w:rsidP="009C0DB6">
      <w:pPr>
        <w:numPr>
          <w:ilvl w:val="0"/>
          <w:numId w:val="44"/>
        </w:numPr>
        <w:contextualSpacing/>
        <w:rPr>
          <w:color w:val="auto"/>
          <w:sz w:val="24"/>
        </w:rPr>
      </w:pPr>
      <w:r w:rsidRPr="00A461B6">
        <w:rPr>
          <w:rFonts w:cstheme="minorHAnsi"/>
          <w:color w:val="auto"/>
          <w:sz w:val="24"/>
          <w:szCs w:val="24"/>
        </w:rPr>
        <w:t>a</w:t>
      </w:r>
      <w:r w:rsidR="009C0DB6" w:rsidRPr="00A461B6">
        <w:rPr>
          <w:rFonts w:cstheme="minorHAnsi"/>
          <w:color w:val="auto"/>
          <w:sz w:val="24"/>
          <w:szCs w:val="24"/>
        </w:rPr>
        <w:t>llay</w:t>
      </w:r>
      <w:r w:rsidR="009C0DB6" w:rsidRPr="00A461B6">
        <w:rPr>
          <w:color w:val="auto"/>
          <w:sz w:val="24"/>
        </w:rPr>
        <w:t xml:space="preserve"> the concerns expressed by some medical professionals in 2018 that the availability of large quantities of some medicines could compromise patient safety and quality use of medicines; and</w:t>
      </w:r>
    </w:p>
    <w:p w14:paraId="3407669A" w14:textId="18CED922" w:rsidR="00BB1053" w:rsidRPr="00A461B6" w:rsidRDefault="00DC59E9" w:rsidP="000E413C">
      <w:pPr>
        <w:numPr>
          <w:ilvl w:val="0"/>
          <w:numId w:val="44"/>
        </w:numPr>
        <w:ind w:left="714" w:hanging="357"/>
        <w:rPr>
          <w:color w:val="auto"/>
          <w:sz w:val="24"/>
        </w:rPr>
      </w:pPr>
      <w:r w:rsidRPr="00A461B6">
        <w:rPr>
          <w:rFonts w:cstheme="minorHAnsi"/>
          <w:color w:val="auto"/>
          <w:sz w:val="24"/>
          <w:szCs w:val="24"/>
        </w:rPr>
        <w:t>p</w:t>
      </w:r>
      <w:r w:rsidR="009C0DB6" w:rsidRPr="00A461B6">
        <w:rPr>
          <w:rFonts w:cstheme="minorHAnsi"/>
          <w:color w:val="auto"/>
          <w:sz w:val="24"/>
          <w:szCs w:val="24"/>
        </w:rPr>
        <w:t>otentially</w:t>
      </w:r>
      <w:r w:rsidR="009C0DB6" w:rsidRPr="00A461B6">
        <w:rPr>
          <w:color w:val="auto"/>
          <w:sz w:val="24"/>
        </w:rPr>
        <w:t xml:space="preserve"> reduce the amount of medicine wastage and reduce any associated risk to Government of increased PBS costs.</w:t>
      </w:r>
    </w:p>
    <w:p w14:paraId="1104A2BA" w14:textId="21A29672" w:rsidR="000C0E5A" w:rsidRPr="00A461B6" w:rsidRDefault="00925E83" w:rsidP="009C0DB6">
      <w:pPr>
        <w:rPr>
          <w:color w:val="auto"/>
          <w:sz w:val="24"/>
        </w:rPr>
      </w:pPr>
      <w:r w:rsidRPr="00A461B6">
        <w:rPr>
          <w:color w:val="auto"/>
          <w:sz w:val="24"/>
        </w:rPr>
        <w:t xml:space="preserve">Under Option 2 the risk of wastage is lower as only two </w:t>
      </w:r>
      <w:r w:rsidR="000C0E5A" w:rsidRPr="00A461B6">
        <w:rPr>
          <w:color w:val="auto"/>
          <w:sz w:val="24"/>
        </w:rPr>
        <w:t>months’</w:t>
      </w:r>
      <w:r w:rsidRPr="00A461B6">
        <w:rPr>
          <w:color w:val="auto"/>
          <w:sz w:val="24"/>
        </w:rPr>
        <w:t xml:space="preserve"> supply of medicines is </w:t>
      </w:r>
      <w:r w:rsidR="000C0E5A" w:rsidRPr="00A461B6">
        <w:rPr>
          <w:color w:val="auto"/>
          <w:sz w:val="24"/>
        </w:rPr>
        <w:t xml:space="preserve">wasted </w:t>
      </w:r>
      <w:r w:rsidRPr="00A461B6">
        <w:rPr>
          <w:color w:val="auto"/>
          <w:sz w:val="24"/>
        </w:rPr>
        <w:t xml:space="preserve">instead of three </w:t>
      </w:r>
      <w:r w:rsidR="000C0E5A" w:rsidRPr="00A461B6">
        <w:rPr>
          <w:color w:val="auto"/>
          <w:sz w:val="24"/>
        </w:rPr>
        <w:t>months’</w:t>
      </w:r>
      <w:r w:rsidRPr="00A461B6">
        <w:rPr>
          <w:color w:val="auto"/>
          <w:sz w:val="24"/>
        </w:rPr>
        <w:t xml:space="preserve"> supply if the patient develops a side effect or </w:t>
      </w:r>
      <w:r w:rsidR="000C0E5A" w:rsidRPr="00A461B6">
        <w:rPr>
          <w:color w:val="auto"/>
          <w:sz w:val="24"/>
        </w:rPr>
        <w:t xml:space="preserve">change in </w:t>
      </w:r>
      <w:r w:rsidR="0001432A" w:rsidRPr="00A461B6">
        <w:rPr>
          <w:color w:val="auto"/>
          <w:sz w:val="24"/>
        </w:rPr>
        <w:t xml:space="preserve">medical </w:t>
      </w:r>
      <w:r w:rsidR="000C0E5A" w:rsidRPr="00A461B6">
        <w:rPr>
          <w:color w:val="auto"/>
          <w:sz w:val="24"/>
        </w:rPr>
        <w:t xml:space="preserve">condition that means they do not continue taking the medicine. </w:t>
      </w:r>
    </w:p>
    <w:p w14:paraId="596667EC" w14:textId="15A91D9B" w:rsidR="009C0DB6" w:rsidRPr="00A461B6" w:rsidRDefault="009C0DB6" w:rsidP="009C0DB6">
      <w:pPr>
        <w:rPr>
          <w:color w:val="auto"/>
          <w:sz w:val="24"/>
        </w:rPr>
      </w:pPr>
      <w:r w:rsidRPr="00A461B6">
        <w:rPr>
          <w:color w:val="auto"/>
          <w:sz w:val="24"/>
        </w:rPr>
        <w:t xml:space="preserve">Implementation of Option 2 rather than Option 3 may lessen the initial impact on medicine sponsors to meet an increase in Australian on shore stock levels of medicines. </w:t>
      </w:r>
      <w:r w:rsidR="00C61CD5" w:rsidRPr="00A461B6">
        <w:rPr>
          <w:color w:val="auto"/>
          <w:sz w:val="24"/>
        </w:rPr>
        <w:t>The amount of medicine supplied will not increase overall, and the increase will be offset once</w:t>
      </w:r>
      <w:r w:rsidRPr="00A461B6">
        <w:rPr>
          <w:color w:val="auto"/>
          <w:sz w:val="24"/>
        </w:rPr>
        <w:t xml:space="preserve"> consumer demand for increased dispensed quantity prescriptions stabilises. The two month option may also place less pressure on logistics and supply chains in the initial implementation phase compared with the three month option.</w:t>
      </w:r>
    </w:p>
    <w:p w14:paraId="4E59EEE0" w14:textId="0EB65583" w:rsidR="006E5525" w:rsidRPr="00A461B6" w:rsidRDefault="006E5525" w:rsidP="006E5525">
      <w:pPr>
        <w:rPr>
          <w:color w:val="auto"/>
          <w:sz w:val="24"/>
        </w:rPr>
      </w:pPr>
      <w:r w:rsidRPr="00A461B6">
        <w:rPr>
          <w:color w:val="auto"/>
          <w:sz w:val="24"/>
        </w:rPr>
        <w:t xml:space="preserve">This Impact Analysis assumes that implementation of Option 2 or Option 3 would occur on a single implementation date in 2023-24, following consideration of the proposal by the Government in the 2023-24 Budget. Delivering the recommended changes in a single instalment at the earliest opportunity would create the largest possible </w:t>
      </w:r>
      <w:r w:rsidRPr="00A461B6">
        <w:rPr>
          <w:rFonts w:cstheme="minorHAnsi"/>
          <w:color w:val="auto"/>
          <w:sz w:val="24"/>
          <w:szCs w:val="24"/>
        </w:rPr>
        <w:t>savings</w:t>
      </w:r>
      <w:r w:rsidRPr="00A461B6">
        <w:rPr>
          <w:color w:val="auto"/>
          <w:sz w:val="24"/>
        </w:rPr>
        <w:t xml:space="preserve"> for both consumers and the Government. It would also minimise stakeholder and consumer confusion around medicine eligibility, given all changes would be available at the time of implementation. </w:t>
      </w:r>
    </w:p>
    <w:p w14:paraId="48ADB90D" w14:textId="77777777" w:rsidR="009C0DB6" w:rsidRPr="00A461B6" w:rsidRDefault="009C0DB6" w:rsidP="000E413C">
      <w:pPr>
        <w:pStyle w:val="Heading3"/>
      </w:pPr>
      <w:bookmarkStart w:id="89" w:name="_Toc132192314"/>
      <w:bookmarkStart w:id="90" w:name="_Toc134603945"/>
      <w:r w:rsidRPr="00A461B6">
        <w:t>Implementation</w:t>
      </w:r>
      <w:bookmarkEnd w:id="89"/>
      <w:bookmarkEnd w:id="90"/>
    </w:p>
    <w:p w14:paraId="7C60D07D" w14:textId="73633843" w:rsidR="009C0DB6" w:rsidRPr="00A461B6" w:rsidRDefault="009C0DB6" w:rsidP="009C0DB6">
      <w:pPr>
        <w:spacing w:after="0" w:line="240" w:lineRule="auto"/>
        <w:rPr>
          <w:color w:val="auto"/>
          <w:sz w:val="24"/>
        </w:rPr>
      </w:pPr>
      <w:r w:rsidRPr="00A461B6">
        <w:rPr>
          <w:color w:val="auto"/>
          <w:sz w:val="24"/>
        </w:rPr>
        <w:t>The Government will undertake consultation with key affected stakeholders in the pharmacy sector, including the Guild</w:t>
      </w:r>
      <w:r w:rsidR="00B92D43" w:rsidRPr="00A461B6">
        <w:rPr>
          <w:rFonts w:cstheme="minorHAnsi"/>
          <w:color w:val="auto"/>
          <w:sz w:val="24"/>
          <w:szCs w:val="24"/>
        </w:rPr>
        <w:t xml:space="preserve"> and other pharmacy stakehol</w:t>
      </w:r>
      <w:r w:rsidR="000E413C" w:rsidRPr="00A461B6">
        <w:rPr>
          <w:rFonts w:cstheme="minorHAnsi"/>
          <w:color w:val="auto"/>
          <w:sz w:val="24"/>
          <w:szCs w:val="24"/>
        </w:rPr>
        <w:t xml:space="preserve">ders about the implementation </w:t>
      </w:r>
      <w:r w:rsidRPr="00A461B6">
        <w:rPr>
          <w:rFonts w:cstheme="minorHAnsi"/>
          <w:color w:val="auto"/>
          <w:sz w:val="24"/>
          <w:szCs w:val="24"/>
        </w:rPr>
        <w:t>of</w:t>
      </w:r>
      <w:r w:rsidR="007304FE" w:rsidRPr="00A461B6">
        <w:rPr>
          <w:color w:val="auto"/>
          <w:sz w:val="24"/>
        </w:rPr>
        <w:t xml:space="preserve"> </w:t>
      </w:r>
      <w:r w:rsidRPr="00A461B6">
        <w:rPr>
          <w:color w:val="auto"/>
          <w:sz w:val="24"/>
        </w:rPr>
        <w:t xml:space="preserve">these proposals. </w:t>
      </w:r>
    </w:p>
    <w:p w14:paraId="11D2A453" w14:textId="21717A88" w:rsidR="00792726" w:rsidRPr="00A461B6" w:rsidRDefault="00792726" w:rsidP="007D66D7">
      <w:pPr>
        <w:pStyle w:val="Heading4"/>
        <w:keepNext/>
        <w:keepLines/>
        <w:rPr>
          <w:i/>
          <w:sz w:val="24"/>
        </w:rPr>
      </w:pPr>
      <w:r w:rsidRPr="00A461B6">
        <w:rPr>
          <w:i/>
          <w:sz w:val="24"/>
        </w:rPr>
        <w:t>Consultation</w:t>
      </w:r>
    </w:p>
    <w:p w14:paraId="7ADB9068" w14:textId="2BD2784A" w:rsidR="009C0DB6" w:rsidRDefault="009C0DB6" w:rsidP="000D3162">
      <w:pPr>
        <w:rPr>
          <w:color w:val="auto"/>
          <w:sz w:val="24"/>
        </w:rPr>
      </w:pPr>
      <w:r w:rsidRPr="00A461B6">
        <w:rPr>
          <w:color w:val="auto"/>
          <w:sz w:val="24"/>
        </w:rPr>
        <w:t xml:space="preserve">The Government will conduct broader consultation with the community, including patient and prescriber groups following announcement. Objectives of consultation for this proposal will be to educate, create awareness to expedite implementation and to inform evaluation. </w:t>
      </w:r>
    </w:p>
    <w:p w14:paraId="543FD307" w14:textId="03FB47E7" w:rsidR="009C0DB6" w:rsidRPr="00A461B6" w:rsidRDefault="00BB037E" w:rsidP="009C0DB6">
      <w:pPr>
        <w:rPr>
          <w:color w:val="auto"/>
          <w:sz w:val="24"/>
        </w:rPr>
      </w:pPr>
      <w:r>
        <w:rPr>
          <w:color w:val="auto"/>
          <w:sz w:val="24"/>
        </w:rPr>
        <w:t>T</w:t>
      </w:r>
      <w:r w:rsidR="009C0DB6" w:rsidRPr="00A461B6">
        <w:rPr>
          <w:color w:val="auto"/>
          <w:sz w:val="24"/>
        </w:rPr>
        <w:t xml:space="preserve">he Department of Health and Aged Care (Department) intends to undertake consultation and education of prescribers, all health professionals, consumers, medicine suppliers and software vendor representatives to expedite implementation and uptake as soon as any announcement is made. </w:t>
      </w:r>
    </w:p>
    <w:p w14:paraId="421F18DD" w14:textId="59CD73ED" w:rsidR="00B75542" w:rsidRPr="00A461B6" w:rsidRDefault="00C61CD5" w:rsidP="00B75542">
      <w:pPr>
        <w:rPr>
          <w:rFonts w:cstheme="minorHAnsi"/>
          <w:color w:val="auto"/>
          <w:sz w:val="24"/>
          <w:szCs w:val="24"/>
        </w:rPr>
      </w:pPr>
      <w:r w:rsidRPr="00A461B6">
        <w:rPr>
          <w:rFonts w:cstheme="minorHAnsi"/>
          <w:color w:val="auto"/>
          <w:sz w:val="24"/>
          <w:szCs w:val="24"/>
        </w:rPr>
        <w:t xml:space="preserve">Following a Government decision on the proposal, consultation will be undertaken by the Department with pharmacy representative groups, including the Guild, the National Pharmaceutical Services Association and the Pharmaceutical Society of Australia. </w:t>
      </w:r>
      <w:r w:rsidR="00B75542" w:rsidRPr="00A461B6">
        <w:rPr>
          <w:rFonts w:cstheme="minorHAnsi"/>
          <w:color w:val="auto"/>
          <w:sz w:val="24"/>
          <w:szCs w:val="24"/>
        </w:rPr>
        <w:t xml:space="preserve">Consultation with software stakeholders will </w:t>
      </w:r>
      <w:r w:rsidRPr="00A461B6">
        <w:rPr>
          <w:rFonts w:cstheme="minorHAnsi"/>
          <w:color w:val="auto"/>
          <w:sz w:val="24"/>
          <w:szCs w:val="24"/>
        </w:rPr>
        <w:t xml:space="preserve">also </w:t>
      </w:r>
      <w:r w:rsidR="00B75542" w:rsidRPr="00A461B6">
        <w:rPr>
          <w:rFonts w:cstheme="minorHAnsi"/>
          <w:color w:val="auto"/>
          <w:sz w:val="24"/>
          <w:szCs w:val="24"/>
        </w:rPr>
        <w:t xml:space="preserve">be undertaken by the Department, </w:t>
      </w:r>
      <w:r w:rsidRPr="00A461B6">
        <w:rPr>
          <w:rFonts w:cstheme="minorHAnsi"/>
          <w:color w:val="auto"/>
          <w:sz w:val="24"/>
          <w:szCs w:val="24"/>
        </w:rPr>
        <w:t>following a decision of Government</w:t>
      </w:r>
      <w:r w:rsidR="00B75542" w:rsidRPr="00A461B6">
        <w:rPr>
          <w:rFonts w:cstheme="minorHAnsi"/>
          <w:color w:val="auto"/>
          <w:sz w:val="24"/>
          <w:szCs w:val="24"/>
        </w:rPr>
        <w:t>.</w:t>
      </w:r>
      <w:r w:rsidR="007D66D7" w:rsidRPr="00A461B6">
        <w:rPr>
          <w:rFonts w:cstheme="minorHAnsi"/>
          <w:color w:val="auto"/>
          <w:sz w:val="24"/>
          <w:szCs w:val="24"/>
        </w:rPr>
        <w:t xml:space="preserve"> </w:t>
      </w:r>
      <w:r w:rsidR="00B75542" w:rsidRPr="00A461B6">
        <w:rPr>
          <w:rFonts w:cstheme="minorHAnsi"/>
          <w:color w:val="auto"/>
          <w:sz w:val="24"/>
          <w:szCs w:val="24"/>
        </w:rPr>
        <w:t xml:space="preserve">Consultation with other stakeholders (including </w:t>
      </w:r>
      <w:r w:rsidRPr="00A461B6">
        <w:rPr>
          <w:rFonts w:cstheme="minorHAnsi"/>
          <w:color w:val="auto"/>
          <w:sz w:val="24"/>
          <w:szCs w:val="24"/>
        </w:rPr>
        <w:t xml:space="preserve">the </w:t>
      </w:r>
      <w:r w:rsidR="00B75542" w:rsidRPr="00A461B6">
        <w:rPr>
          <w:rFonts w:cstheme="minorHAnsi"/>
          <w:color w:val="auto"/>
          <w:sz w:val="24"/>
          <w:szCs w:val="24"/>
        </w:rPr>
        <w:t xml:space="preserve">general public) will be undertaken by the Department following </w:t>
      </w:r>
      <w:r w:rsidR="007D66D7" w:rsidRPr="00A461B6">
        <w:rPr>
          <w:rFonts w:cstheme="minorHAnsi"/>
          <w:color w:val="auto"/>
          <w:sz w:val="24"/>
          <w:szCs w:val="24"/>
        </w:rPr>
        <w:t>any</w:t>
      </w:r>
      <w:r w:rsidR="00B75542" w:rsidRPr="00A461B6">
        <w:rPr>
          <w:rFonts w:cstheme="minorHAnsi"/>
          <w:color w:val="auto"/>
          <w:sz w:val="24"/>
          <w:szCs w:val="24"/>
        </w:rPr>
        <w:t xml:space="preserve"> announcement.</w:t>
      </w:r>
    </w:p>
    <w:p w14:paraId="303E4523" w14:textId="2B82177D" w:rsidR="009C0DB6" w:rsidRPr="00A461B6" w:rsidRDefault="009C0DB6" w:rsidP="009C0DB6">
      <w:pPr>
        <w:rPr>
          <w:color w:val="auto"/>
          <w:sz w:val="24"/>
        </w:rPr>
      </w:pPr>
      <w:r w:rsidRPr="00A461B6">
        <w:rPr>
          <w:color w:val="auto"/>
          <w:sz w:val="24"/>
        </w:rPr>
        <w:t xml:space="preserve">The PBS Schedule is part of the wider PBS managed by the Department and administered by Services Australia. </w:t>
      </w:r>
      <w:r w:rsidR="00DC59E9" w:rsidRPr="00A461B6">
        <w:rPr>
          <w:rFonts w:cstheme="minorHAnsi"/>
          <w:color w:val="auto"/>
          <w:sz w:val="24"/>
          <w:szCs w:val="24"/>
        </w:rPr>
        <w:t>As part of</w:t>
      </w:r>
      <w:r w:rsidRPr="00A461B6">
        <w:rPr>
          <w:color w:val="auto"/>
          <w:sz w:val="24"/>
        </w:rPr>
        <w:t xml:space="preserve"> implementation, the Department will consult and work collaboratively with Services Australia to ensure the significant volume of changes can be made and that systems can support the PBS Schedule changes. The Department and Services Australia have already collaborated to develop co-ordinated preliminary internal implementation plans to map the implementation process in preparation for a decision by Government. The Department is confident that the risk of unforeseen issues occurring during implementation is mitigated by this approach that encompasses a combination of consultation and well established business as usual processes.</w:t>
      </w:r>
    </w:p>
    <w:p w14:paraId="752B3D7B" w14:textId="2A82FB35" w:rsidR="009C0DB6" w:rsidRPr="00A461B6" w:rsidRDefault="009C0DB6" w:rsidP="009C0DB6">
      <w:pPr>
        <w:rPr>
          <w:color w:val="auto"/>
          <w:sz w:val="24"/>
        </w:rPr>
      </w:pPr>
      <w:r w:rsidRPr="00A461B6">
        <w:rPr>
          <w:color w:val="auto"/>
          <w:sz w:val="24"/>
        </w:rPr>
        <w:t xml:space="preserve">Prescribing and dispensing software vendors will be consulted prior to implementation of the proposal through business as usual software vendor forums to ensure the new arrangements will be reflected in the software update for the chosen implementation month. Inclusion of the large volume of PBS Schedule changes (new PBS items and amended PBS items) into one monthly software update may mean that other PBS changes may not be progressed in the same month. Essential changes only for maintenance and proper functioning will be made to the PBS Schedule for that month. This is to ensure that prescribing and pharmacy software vendors, the Department and Services Australia are able to implement the large number of new items in their respective databases. It will also minimise errors created in the PBS data where other changes may affect the same medicines </w:t>
      </w:r>
      <w:r w:rsidR="00B92D43" w:rsidRPr="00A461B6">
        <w:rPr>
          <w:rFonts w:cstheme="minorHAnsi"/>
          <w:color w:val="auto"/>
          <w:sz w:val="24"/>
          <w:szCs w:val="24"/>
        </w:rPr>
        <w:t>that are subject to the MDQ changes</w:t>
      </w:r>
      <w:r w:rsidRPr="00A461B6">
        <w:rPr>
          <w:color w:val="auto"/>
          <w:sz w:val="24"/>
        </w:rPr>
        <w:t>. Again, the Department is confident that the risk of unforeseen issues occurring and consequently unsuccessful implementation is mitigated by this approach that encompasses a combination of consultation and well established business as usual processes.</w:t>
      </w:r>
    </w:p>
    <w:p w14:paraId="16E27EB6" w14:textId="23494608" w:rsidR="009C0DB6" w:rsidRPr="00A461B6" w:rsidRDefault="009C0DB6" w:rsidP="009C0DB6">
      <w:pPr>
        <w:rPr>
          <w:color w:val="auto"/>
          <w:sz w:val="24"/>
        </w:rPr>
      </w:pPr>
      <w:r w:rsidRPr="00A461B6">
        <w:rPr>
          <w:color w:val="auto"/>
          <w:sz w:val="24"/>
        </w:rPr>
        <w:t xml:space="preserve">This proposal may result in increased pressure on the availability of doctor’s appointments as consumers seek to access prescriptions for </w:t>
      </w:r>
      <w:r w:rsidR="00B92D43" w:rsidRPr="00A461B6">
        <w:rPr>
          <w:rFonts w:cstheme="minorHAnsi"/>
          <w:color w:val="auto"/>
          <w:sz w:val="24"/>
          <w:szCs w:val="24"/>
        </w:rPr>
        <w:t>greater quantities of medicines</w:t>
      </w:r>
      <w:r w:rsidRPr="00A461B6">
        <w:rPr>
          <w:color w:val="auto"/>
          <w:sz w:val="24"/>
        </w:rPr>
        <w:t xml:space="preserve"> while they still possess valid monthly prescriptions for their medicines. The Department will consult with prescriber representative organisations such as the RACGP and AMA to formulate strategies to manage demand on GP appointments. This may include targeted communication campaigns by the Department to manage consumer expectations.</w:t>
      </w:r>
    </w:p>
    <w:p w14:paraId="0A29241D" w14:textId="266730A1" w:rsidR="002E7F10" w:rsidRPr="00A461B6" w:rsidRDefault="002E7F10" w:rsidP="00C61CD5">
      <w:pPr>
        <w:pStyle w:val="Heading4"/>
        <w:keepNext/>
        <w:keepLines/>
        <w:rPr>
          <w:i/>
          <w:sz w:val="24"/>
        </w:rPr>
      </w:pPr>
      <w:r w:rsidRPr="00A461B6">
        <w:rPr>
          <w:i/>
          <w:sz w:val="24"/>
        </w:rPr>
        <w:t>Communications</w:t>
      </w:r>
    </w:p>
    <w:p w14:paraId="7E3CE809" w14:textId="02EC5548" w:rsidR="002E7F10" w:rsidRPr="00A461B6" w:rsidRDefault="009C0DB6" w:rsidP="00C61CD5">
      <w:pPr>
        <w:keepNext/>
        <w:keepLines/>
        <w:rPr>
          <w:color w:val="auto"/>
          <w:sz w:val="24"/>
        </w:rPr>
      </w:pPr>
      <w:r w:rsidRPr="00A461B6">
        <w:rPr>
          <w:color w:val="auto"/>
          <w:sz w:val="24"/>
        </w:rPr>
        <w:t xml:space="preserve">The Department has commenced preparation of communication materials that will inform stakeholders of the feasibility of the chosen option and anticipate, address and respond to stakeholders’ concerns about implementation. </w:t>
      </w:r>
      <w:r w:rsidR="002E7F10" w:rsidRPr="00A461B6">
        <w:rPr>
          <w:color w:val="auto"/>
          <w:sz w:val="24"/>
        </w:rPr>
        <w:t>Communications with consumers and prescribers will provide clear and factual information about the PBS changes and expected benefits to patients. It will also ensure that the community is provided factual information about the interaction between co-payments and the PBS Safety Net and to alert prescribers to the changes so that they can adapt their clinical practice.</w:t>
      </w:r>
    </w:p>
    <w:p w14:paraId="729AF960" w14:textId="77777777" w:rsidR="009C0DB6" w:rsidRPr="00A461B6" w:rsidRDefault="009C0DB6" w:rsidP="000A224A">
      <w:pPr>
        <w:pStyle w:val="Heading2"/>
        <w:pageBreakBefore/>
      </w:pPr>
      <w:bookmarkStart w:id="91" w:name="_Toc132192315"/>
      <w:bookmarkStart w:id="92" w:name="_Toc134603946"/>
      <w:r w:rsidRPr="00A461B6">
        <w:t>7. How will you evaluate the chosen option against the success metrics?</w:t>
      </w:r>
      <w:bookmarkEnd w:id="91"/>
      <w:bookmarkEnd w:id="92"/>
    </w:p>
    <w:p w14:paraId="2A6AFD70" w14:textId="69CCDA82" w:rsidR="00C3397E" w:rsidRPr="00A461B6" w:rsidRDefault="009C0DB6" w:rsidP="009C0DB6">
      <w:pPr>
        <w:tabs>
          <w:tab w:val="right" w:pos="10194"/>
        </w:tabs>
        <w:autoSpaceDE w:val="0"/>
        <w:autoSpaceDN w:val="0"/>
        <w:adjustRightInd w:val="0"/>
        <w:spacing w:line="240" w:lineRule="auto"/>
        <w:rPr>
          <w:rFonts w:cstheme="minorHAnsi"/>
          <w:color w:val="auto"/>
          <w:sz w:val="24"/>
          <w:szCs w:val="24"/>
        </w:rPr>
      </w:pPr>
      <w:r w:rsidRPr="00A461B6">
        <w:rPr>
          <w:color w:val="auto"/>
          <w:sz w:val="24"/>
        </w:rPr>
        <w:t xml:space="preserve">The Department of Health and Aged Care </w:t>
      </w:r>
      <w:r w:rsidR="00C32DCE" w:rsidRPr="00A461B6">
        <w:rPr>
          <w:rFonts w:cstheme="minorHAnsi"/>
          <w:color w:val="auto"/>
          <w:sz w:val="24"/>
          <w:szCs w:val="24"/>
        </w:rPr>
        <w:t>will develop</w:t>
      </w:r>
      <w:r w:rsidRPr="00A461B6">
        <w:rPr>
          <w:color w:val="auto"/>
          <w:sz w:val="24"/>
        </w:rPr>
        <w:t xml:space="preserve"> a comprehensive evaluation framework that </w:t>
      </w:r>
      <w:r w:rsidR="00C32DCE" w:rsidRPr="00A461B6">
        <w:rPr>
          <w:rFonts w:cstheme="minorHAnsi"/>
          <w:color w:val="auto"/>
          <w:sz w:val="24"/>
          <w:szCs w:val="24"/>
        </w:rPr>
        <w:t xml:space="preserve">will monitor risks and provide mitigation strategies should unforeseen circumstances arise. </w:t>
      </w:r>
      <w:r w:rsidRPr="00A461B6">
        <w:rPr>
          <w:rFonts w:cstheme="minorHAnsi"/>
          <w:color w:val="auto"/>
          <w:sz w:val="24"/>
          <w:szCs w:val="24"/>
        </w:rPr>
        <w:t xml:space="preserve">The </w:t>
      </w:r>
      <w:r w:rsidR="00C3397E" w:rsidRPr="00A461B6">
        <w:rPr>
          <w:rFonts w:cstheme="minorHAnsi"/>
          <w:color w:val="auto"/>
          <w:sz w:val="24"/>
          <w:szCs w:val="24"/>
        </w:rPr>
        <w:t xml:space="preserve">framework will utilise </w:t>
      </w:r>
      <w:r w:rsidRPr="00A461B6">
        <w:rPr>
          <w:rFonts w:cstheme="minorHAnsi"/>
          <w:color w:val="auto"/>
          <w:sz w:val="24"/>
          <w:szCs w:val="24"/>
        </w:rPr>
        <w:t xml:space="preserve">existing PBS evaluation processes </w:t>
      </w:r>
      <w:r w:rsidR="000A224A" w:rsidRPr="00A461B6">
        <w:rPr>
          <w:rFonts w:cstheme="minorHAnsi"/>
          <w:color w:val="auto"/>
          <w:sz w:val="24"/>
          <w:szCs w:val="24"/>
        </w:rPr>
        <w:t xml:space="preserve">and existing data sources (e.g. PBS claims data) </w:t>
      </w:r>
      <w:r w:rsidR="00C3397E" w:rsidRPr="00A461B6">
        <w:rPr>
          <w:rFonts w:cstheme="minorHAnsi"/>
          <w:color w:val="auto"/>
          <w:sz w:val="24"/>
          <w:szCs w:val="24"/>
        </w:rPr>
        <w:t xml:space="preserve">where possible, and </w:t>
      </w:r>
      <w:r w:rsidRPr="00A461B6">
        <w:rPr>
          <w:color w:val="auto"/>
          <w:sz w:val="24"/>
        </w:rPr>
        <w:t xml:space="preserve">implement specific evaluation processes as </w:t>
      </w:r>
      <w:r w:rsidR="00C3397E" w:rsidRPr="00A461B6">
        <w:rPr>
          <w:rFonts w:cstheme="minorHAnsi"/>
          <w:color w:val="auto"/>
          <w:sz w:val="24"/>
          <w:szCs w:val="24"/>
        </w:rPr>
        <w:t>required.</w:t>
      </w:r>
    </w:p>
    <w:p w14:paraId="20D2AE82" w14:textId="083E97F3" w:rsidR="009864C2" w:rsidRPr="00A461B6" w:rsidRDefault="009864C2" w:rsidP="009864C2">
      <w:pPr>
        <w:pStyle w:val="Heading3"/>
      </w:pPr>
      <w:bookmarkStart w:id="93" w:name="_Toc132192316"/>
      <w:bookmarkStart w:id="94" w:name="_Toc134603947"/>
      <w:r w:rsidRPr="00A461B6">
        <w:t>Comprehensive evaluation framework</w:t>
      </w:r>
      <w:bookmarkEnd w:id="93"/>
      <w:bookmarkEnd w:id="94"/>
    </w:p>
    <w:p w14:paraId="2E828842" w14:textId="11D808AC" w:rsidR="009C0DB6" w:rsidRPr="00A461B6" w:rsidRDefault="00C3397E" w:rsidP="009C0DB6">
      <w:pPr>
        <w:tabs>
          <w:tab w:val="right" w:pos="10194"/>
        </w:tabs>
        <w:autoSpaceDE w:val="0"/>
        <w:autoSpaceDN w:val="0"/>
        <w:adjustRightInd w:val="0"/>
        <w:spacing w:line="240" w:lineRule="auto"/>
        <w:rPr>
          <w:color w:val="auto"/>
          <w:sz w:val="24"/>
        </w:rPr>
      </w:pPr>
      <w:r w:rsidRPr="00A461B6">
        <w:rPr>
          <w:rFonts w:cstheme="minorHAnsi"/>
          <w:color w:val="auto"/>
          <w:sz w:val="24"/>
          <w:szCs w:val="24"/>
        </w:rPr>
        <w:t>The comprehensive evaluation framework will align with the objectives underpinning this proposal and may include</w:t>
      </w:r>
      <w:r w:rsidR="009C0DB6" w:rsidRPr="00A461B6">
        <w:rPr>
          <w:rFonts w:cstheme="minorHAnsi"/>
          <w:color w:val="auto"/>
          <w:sz w:val="24"/>
          <w:szCs w:val="24"/>
        </w:rPr>
        <w:t>:</w:t>
      </w:r>
    </w:p>
    <w:p w14:paraId="290366E8" w14:textId="1C729650" w:rsidR="009C0DB6" w:rsidRPr="00A461B6" w:rsidRDefault="00FD5282" w:rsidP="007D66D7">
      <w:pPr>
        <w:pStyle w:val="Subtitle"/>
        <w:numPr>
          <w:ilvl w:val="0"/>
          <w:numId w:val="45"/>
        </w:numPr>
        <w:rPr>
          <w:sz w:val="24"/>
        </w:rPr>
      </w:pPr>
      <w:r w:rsidRPr="00A461B6">
        <w:rPr>
          <w:sz w:val="24"/>
        </w:rPr>
        <w:t>I</w:t>
      </w:r>
      <w:r w:rsidR="009C0DB6" w:rsidRPr="00A461B6">
        <w:rPr>
          <w:sz w:val="24"/>
        </w:rPr>
        <w:t>mproved</w:t>
      </w:r>
      <w:r w:rsidR="007D66D7" w:rsidRPr="00A461B6">
        <w:rPr>
          <w:sz w:val="24"/>
        </w:rPr>
        <w:t xml:space="preserve"> and </w:t>
      </w:r>
      <w:r w:rsidR="007304FE" w:rsidRPr="00A461B6">
        <w:rPr>
          <w:sz w:val="24"/>
        </w:rPr>
        <w:t xml:space="preserve">more </w:t>
      </w:r>
      <w:r w:rsidR="009C0DB6" w:rsidRPr="00A461B6">
        <w:rPr>
          <w:sz w:val="24"/>
        </w:rPr>
        <w:t>affordable access to PBS medicines for people treated for many chronic conditions</w:t>
      </w:r>
    </w:p>
    <w:p w14:paraId="028FA382" w14:textId="0426AFCF" w:rsidR="009C0DB6" w:rsidRPr="00A461B6" w:rsidRDefault="009C0DB6" w:rsidP="009C0DB6">
      <w:pPr>
        <w:ind w:left="720"/>
        <w:rPr>
          <w:color w:val="auto"/>
          <w:sz w:val="24"/>
        </w:rPr>
      </w:pPr>
      <w:r w:rsidRPr="00A461B6">
        <w:rPr>
          <w:color w:val="auto"/>
          <w:sz w:val="24"/>
        </w:rPr>
        <w:t xml:space="preserve">These objectives will be evaluated by reviewing the PBS statistics for the first quarter of implementation to establish baseline uptake of the proposal. Once 12 months of PBS data is available </w:t>
      </w:r>
      <w:r w:rsidR="00C3397E" w:rsidRPr="00A461B6">
        <w:rPr>
          <w:rFonts w:cstheme="minorHAnsi"/>
          <w:color w:val="auto"/>
          <w:sz w:val="24"/>
          <w:szCs w:val="24"/>
        </w:rPr>
        <w:t>after</w:t>
      </w:r>
      <w:r w:rsidRPr="00A461B6">
        <w:rPr>
          <w:color w:val="auto"/>
          <w:sz w:val="24"/>
        </w:rPr>
        <w:t xml:space="preserve"> the </w:t>
      </w:r>
      <w:r w:rsidRPr="00A461B6">
        <w:rPr>
          <w:rFonts w:cstheme="minorHAnsi"/>
          <w:color w:val="auto"/>
          <w:sz w:val="24"/>
          <w:szCs w:val="24"/>
        </w:rPr>
        <w:t>changes</w:t>
      </w:r>
      <w:r w:rsidR="00C3397E" w:rsidRPr="00A461B6">
        <w:rPr>
          <w:rFonts w:cstheme="minorHAnsi"/>
          <w:color w:val="auto"/>
          <w:sz w:val="24"/>
          <w:szCs w:val="24"/>
        </w:rPr>
        <w:t xml:space="preserve"> are </w:t>
      </w:r>
      <w:r w:rsidRPr="00A461B6">
        <w:rPr>
          <w:color w:val="auto"/>
          <w:sz w:val="24"/>
        </w:rPr>
        <w:t xml:space="preserve">implemented, the percentage of PBS prescriptions for medicines included in the proposal dispensed as MDQ items in the first year of implementation will be compared to the modelled estimates. </w:t>
      </w:r>
    </w:p>
    <w:p w14:paraId="5357FFF9" w14:textId="37CAF964" w:rsidR="009C0DB6" w:rsidRPr="00A461B6" w:rsidRDefault="009C0DB6" w:rsidP="001548C4">
      <w:pPr>
        <w:pStyle w:val="Subtitle"/>
        <w:numPr>
          <w:ilvl w:val="0"/>
          <w:numId w:val="45"/>
        </w:numPr>
        <w:rPr>
          <w:sz w:val="24"/>
        </w:rPr>
      </w:pPr>
      <w:r w:rsidRPr="00A461B6">
        <w:rPr>
          <w:sz w:val="24"/>
        </w:rPr>
        <w:t>Lower healthcare costs for consumers and Government without compromising patient safety</w:t>
      </w:r>
    </w:p>
    <w:p w14:paraId="1574DEF8" w14:textId="7E4D55A6" w:rsidR="009C0DB6" w:rsidRPr="00A461B6" w:rsidRDefault="009C0DB6" w:rsidP="009C0DB6">
      <w:pPr>
        <w:autoSpaceDE w:val="0"/>
        <w:autoSpaceDN w:val="0"/>
        <w:adjustRightInd w:val="0"/>
        <w:spacing w:after="0" w:line="240" w:lineRule="auto"/>
        <w:ind w:left="720"/>
        <w:contextualSpacing/>
        <w:rPr>
          <w:color w:val="auto"/>
          <w:sz w:val="24"/>
        </w:rPr>
      </w:pPr>
      <w:r w:rsidRPr="00A461B6">
        <w:rPr>
          <w:color w:val="auto"/>
          <w:sz w:val="24"/>
        </w:rPr>
        <w:t>This objective will be evaluated through monitoring the utilisation of the new MDQ items, quantity of medicine dispensed and quantifying the savings for patients once sufficient PBS data is available. This activity can be undertaken through routine research conducted by the PBS Post</w:t>
      </w:r>
      <w:r w:rsidR="00C32DCE" w:rsidRPr="00A461B6">
        <w:rPr>
          <w:rFonts w:cstheme="minorHAnsi"/>
          <w:color w:val="auto"/>
          <w:sz w:val="24"/>
          <w:szCs w:val="24"/>
        </w:rPr>
        <w:noBreakHyphen/>
        <w:t>M</w:t>
      </w:r>
      <w:r w:rsidRPr="00A461B6">
        <w:rPr>
          <w:rFonts w:cstheme="minorHAnsi"/>
          <w:color w:val="auto"/>
          <w:sz w:val="24"/>
          <w:szCs w:val="24"/>
        </w:rPr>
        <w:t>arket</w:t>
      </w:r>
      <w:r w:rsidRPr="00A461B6">
        <w:rPr>
          <w:color w:val="auto"/>
          <w:sz w:val="24"/>
        </w:rPr>
        <w:t xml:space="preserve"> Review program. These utilisation reviews would be considered by the Drug Utilisation Sub-Committee (DUSC) of the PBAC, and any concerns referred to the PBAC.</w:t>
      </w:r>
    </w:p>
    <w:p w14:paraId="24D613CD" w14:textId="77DBCC38" w:rsidR="009C0DB6" w:rsidRPr="00A461B6" w:rsidRDefault="009C0DB6" w:rsidP="001548C4">
      <w:pPr>
        <w:pStyle w:val="Subtitle"/>
        <w:numPr>
          <w:ilvl w:val="0"/>
          <w:numId w:val="45"/>
        </w:numPr>
        <w:rPr>
          <w:sz w:val="24"/>
        </w:rPr>
      </w:pPr>
      <w:r w:rsidRPr="00A461B6">
        <w:rPr>
          <w:sz w:val="24"/>
        </w:rPr>
        <w:t>Maintaining the sustainability of the PBS</w:t>
      </w:r>
    </w:p>
    <w:p w14:paraId="43C26109" w14:textId="73795F2F" w:rsidR="009C0DB6" w:rsidRPr="00A461B6" w:rsidRDefault="009C0DB6" w:rsidP="009C0DB6">
      <w:pPr>
        <w:autoSpaceDE w:val="0"/>
        <w:autoSpaceDN w:val="0"/>
        <w:adjustRightInd w:val="0"/>
        <w:spacing w:after="0" w:line="240" w:lineRule="auto"/>
        <w:ind w:left="720"/>
        <w:rPr>
          <w:color w:val="auto"/>
          <w:sz w:val="24"/>
        </w:rPr>
      </w:pPr>
      <w:r w:rsidRPr="00A461B6">
        <w:rPr>
          <w:color w:val="auto"/>
          <w:sz w:val="24"/>
        </w:rPr>
        <w:t>The cost of the PBS is expected to continue to grow</w:t>
      </w:r>
      <w:r w:rsidR="007304FE" w:rsidRPr="00A461B6">
        <w:rPr>
          <w:rFonts w:cstheme="minorHAnsi"/>
          <w:color w:val="FF0000"/>
          <w:sz w:val="24"/>
          <w:szCs w:val="24"/>
        </w:rPr>
        <w:t xml:space="preserve"> </w:t>
      </w:r>
      <w:r w:rsidR="007304FE" w:rsidRPr="00A461B6">
        <w:rPr>
          <w:rFonts w:cstheme="minorHAnsi"/>
          <w:color w:val="auto"/>
          <w:sz w:val="24"/>
          <w:szCs w:val="24"/>
        </w:rPr>
        <w:t>over time</w:t>
      </w:r>
      <w:r w:rsidRPr="00A461B6">
        <w:rPr>
          <w:color w:val="auto"/>
          <w:sz w:val="24"/>
        </w:rPr>
        <w:t xml:space="preserve">, </w:t>
      </w:r>
      <w:r w:rsidRPr="00A461B6">
        <w:rPr>
          <w:rFonts w:cstheme="minorHAnsi"/>
          <w:color w:val="auto"/>
          <w:sz w:val="24"/>
          <w:szCs w:val="24"/>
        </w:rPr>
        <w:t>put</w:t>
      </w:r>
      <w:r w:rsidR="007304FE" w:rsidRPr="00A461B6">
        <w:rPr>
          <w:rFonts w:cstheme="minorHAnsi"/>
          <w:color w:val="auto"/>
          <w:sz w:val="24"/>
          <w:szCs w:val="24"/>
        </w:rPr>
        <w:t>ting</w:t>
      </w:r>
      <w:r w:rsidRPr="00A461B6">
        <w:rPr>
          <w:color w:val="auto"/>
          <w:sz w:val="24"/>
        </w:rPr>
        <w:t xml:space="preserve"> increased pressure on the health budget. To evaluate this objective, the total PBS Government expense for the supply of medicines for the 2023-24 financial year and following years will be monitored and compared with costs and annual percentage increases in previous years. To ensure the ongoing sustainability of the PBS, both the medicines subsidised and the programs through which medicines are supplied and accessed are reviewed regularly by Government. </w:t>
      </w:r>
    </w:p>
    <w:p w14:paraId="1EA7D81D" w14:textId="09F7C524" w:rsidR="009C0DB6" w:rsidRPr="00A461B6" w:rsidRDefault="009C0DB6" w:rsidP="007D66D7">
      <w:pPr>
        <w:pStyle w:val="Subtitle"/>
        <w:numPr>
          <w:ilvl w:val="0"/>
          <w:numId w:val="45"/>
        </w:numPr>
        <w:rPr>
          <w:sz w:val="24"/>
        </w:rPr>
      </w:pPr>
      <w:r w:rsidRPr="00A461B6">
        <w:rPr>
          <w:sz w:val="24"/>
        </w:rPr>
        <w:t>Quality Use of Medicines - Wastage</w:t>
      </w:r>
    </w:p>
    <w:p w14:paraId="281A9878" w14:textId="69241F09" w:rsidR="009C0DB6" w:rsidRPr="00A461B6" w:rsidRDefault="009C0DB6" w:rsidP="001548C4">
      <w:pPr>
        <w:ind w:left="720"/>
        <w:rPr>
          <w:i/>
          <w:color w:val="auto"/>
          <w:sz w:val="24"/>
        </w:rPr>
      </w:pPr>
      <w:r w:rsidRPr="00A461B6">
        <w:rPr>
          <w:color w:val="auto"/>
          <w:sz w:val="24"/>
        </w:rPr>
        <w:t>As a result of implementing of Option 2 there is the potential for increased medicine wastage and cost</w:t>
      </w:r>
      <w:r w:rsidR="00501CE8" w:rsidRPr="00A461B6">
        <w:rPr>
          <w:color w:val="auto"/>
          <w:sz w:val="24"/>
        </w:rPr>
        <w:t xml:space="preserve"> to the PBS</w:t>
      </w:r>
      <w:r w:rsidRPr="00A461B6">
        <w:rPr>
          <w:color w:val="auto"/>
          <w:sz w:val="24"/>
        </w:rPr>
        <w:t xml:space="preserve"> for medicines included in this proposal</w:t>
      </w:r>
      <w:r w:rsidR="00E50D6C" w:rsidRPr="00A461B6">
        <w:rPr>
          <w:color w:val="auto"/>
          <w:sz w:val="24"/>
        </w:rPr>
        <w:t>.</w:t>
      </w:r>
      <w:r w:rsidR="00EB66AC" w:rsidRPr="00A461B6">
        <w:rPr>
          <w:color w:val="auto"/>
          <w:sz w:val="24"/>
        </w:rPr>
        <w:t xml:space="preserve"> </w:t>
      </w:r>
      <w:r w:rsidRPr="00A461B6">
        <w:rPr>
          <w:color w:val="auto"/>
          <w:sz w:val="24"/>
        </w:rPr>
        <w:t xml:space="preserve">However, the risk of wastage is mitigated by prescribers choosing the PBS item for increased dispensed quantities only for patients with stable medical conditions. The PBS restriction for all items with increased quantities will include the following clinical criterion: </w:t>
      </w:r>
      <w:r w:rsidRPr="00A461B6">
        <w:rPr>
          <w:i/>
          <w:color w:val="auto"/>
          <w:sz w:val="24"/>
        </w:rPr>
        <w:t>Patient’s condition must be stable and suitable for the increased Maximum Dispensed Quantity measure.</w:t>
      </w:r>
    </w:p>
    <w:p w14:paraId="1F57F575" w14:textId="3EE17B36" w:rsidR="009C0DB6" w:rsidRPr="00A461B6" w:rsidRDefault="009C0DB6" w:rsidP="007D66D7">
      <w:pPr>
        <w:ind w:left="720"/>
        <w:rPr>
          <w:color w:val="auto"/>
          <w:sz w:val="24"/>
        </w:rPr>
      </w:pPr>
      <w:r w:rsidRPr="00A461B6">
        <w:rPr>
          <w:color w:val="auto"/>
          <w:sz w:val="24"/>
        </w:rPr>
        <w:t>Any increase in the annual utilisation (quantity dispensed) of the medicines implemented with increased quantities may result inadvertently in more medicine wastage. Patients discontinue medicines for many reasons including a change in their condition or side effects meaning the additional quantities dispensed may be wasted. However</w:t>
      </w:r>
      <w:r w:rsidR="00C3397E" w:rsidRPr="00A461B6">
        <w:rPr>
          <w:rFonts w:cstheme="minorHAnsi"/>
          <w:color w:val="auto"/>
          <w:sz w:val="24"/>
          <w:szCs w:val="24"/>
        </w:rPr>
        <w:t>,</w:t>
      </w:r>
      <w:r w:rsidRPr="00A461B6">
        <w:rPr>
          <w:color w:val="auto"/>
          <w:sz w:val="24"/>
        </w:rPr>
        <w:t xml:space="preserve"> it will not be obvious if any increase in medicine utilisation is due to waste or increased adherence across the treated population taking these medicines. </w:t>
      </w:r>
    </w:p>
    <w:p w14:paraId="4CAEAF03" w14:textId="72C0DB56" w:rsidR="009C0DB6" w:rsidRPr="00A461B6" w:rsidRDefault="009C0DB6" w:rsidP="007D66D7">
      <w:pPr>
        <w:ind w:left="720"/>
        <w:rPr>
          <w:color w:val="auto"/>
          <w:sz w:val="24"/>
        </w:rPr>
      </w:pPr>
      <w:r w:rsidRPr="00A461B6">
        <w:rPr>
          <w:color w:val="auto"/>
          <w:sz w:val="24"/>
        </w:rPr>
        <w:t>Medicine wastage may be evaluated through the use of more complex drug utilisation research techniques using PBS unit record data. It is possible to determine the number of people initiating new treatment or discontinuing treatment early who have been prescribed two</w:t>
      </w:r>
      <w:r w:rsidR="00C3397E" w:rsidRPr="00A461B6">
        <w:rPr>
          <w:rFonts w:cstheme="minorHAnsi"/>
          <w:color w:val="auto"/>
          <w:sz w:val="24"/>
          <w:szCs w:val="24"/>
        </w:rPr>
        <w:t>-</w:t>
      </w:r>
      <w:r w:rsidRPr="00A461B6">
        <w:rPr>
          <w:color w:val="auto"/>
          <w:sz w:val="24"/>
        </w:rPr>
        <w:t xml:space="preserve">month supply items. Assessment of adherence and persistence to treatment can also be measured based on PBS dispensing data. Such research </w:t>
      </w:r>
      <w:r w:rsidR="00C3397E" w:rsidRPr="00A461B6">
        <w:rPr>
          <w:rFonts w:cstheme="minorHAnsi"/>
          <w:color w:val="auto"/>
          <w:sz w:val="24"/>
          <w:szCs w:val="24"/>
        </w:rPr>
        <w:t>can</w:t>
      </w:r>
      <w:r w:rsidRPr="00A461B6">
        <w:rPr>
          <w:color w:val="auto"/>
          <w:sz w:val="24"/>
        </w:rPr>
        <w:t xml:space="preserve"> be requested and interpreted by the DUSC of the PBAC, should uptake and utilisation of the medicine items implemented in Option 2 be greater than expected</w:t>
      </w:r>
      <w:r w:rsidR="00E50D6C" w:rsidRPr="00A461B6">
        <w:rPr>
          <w:color w:val="auto"/>
          <w:sz w:val="24"/>
        </w:rPr>
        <w:t>.</w:t>
      </w:r>
    </w:p>
    <w:p w14:paraId="5C5C46B4" w14:textId="77777777" w:rsidR="009C0DB6" w:rsidRPr="00A461B6" w:rsidRDefault="009C0DB6" w:rsidP="009C0DB6">
      <w:pPr>
        <w:autoSpaceDE w:val="0"/>
        <w:autoSpaceDN w:val="0"/>
        <w:adjustRightInd w:val="0"/>
        <w:spacing w:after="0" w:line="240" w:lineRule="auto"/>
        <w:ind w:left="720"/>
        <w:contextualSpacing/>
        <w:rPr>
          <w:color w:val="auto"/>
          <w:sz w:val="24"/>
        </w:rPr>
      </w:pPr>
      <w:r w:rsidRPr="00A461B6">
        <w:rPr>
          <w:color w:val="auto"/>
          <w:sz w:val="24"/>
        </w:rPr>
        <w:t>The Return Unwanted Medicines (RUM) Project</w:t>
      </w:r>
      <w:r w:rsidRPr="00A461B6">
        <w:rPr>
          <w:color w:val="auto"/>
          <w:sz w:val="24"/>
          <w:vertAlign w:val="superscript"/>
        </w:rPr>
        <w:footnoteReference w:id="63"/>
      </w:r>
      <w:r w:rsidRPr="00A461B6">
        <w:rPr>
          <w:color w:val="auto"/>
          <w:sz w:val="24"/>
          <w:vertAlign w:val="superscript"/>
        </w:rPr>
        <w:t xml:space="preserve"> </w:t>
      </w:r>
      <w:r w:rsidRPr="00A461B6">
        <w:rPr>
          <w:color w:val="auto"/>
          <w:sz w:val="24"/>
        </w:rPr>
        <w:t>is funded by the Commonwealth Government through the Department of Health and Aged Care to address the Quality Use of Medicines (QUM) in Australia. The project facilitates the collection and disposal of unwanted medicines from the community. The project operates nationally with the cooperation of the pharmaceutical wholesalers and community pharmacies. The initiative provides consumers with a free and convenient way to dispose of expired and unwanted medicines. Medicines can be returned to any community pharmacy anytime, for safe collection and disposal.</w:t>
      </w:r>
    </w:p>
    <w:p w14:paraId="18389FEE" w14:textId="471A5A13" w:rsidR="009C0DB6" w:rsidRPr="00A461B6" w:rsidRDefault="009C0DB6" w:rsidP="007D66D7">
      <w:pPr>
        <w:ind w:left="720"/>
        <w:rPr>
          <w:rFonts w:cstheme="minorHAnsi"/>
          <w:color w:val="FF0000"/>
          <w:sz w:val="24"/>
          <w:szCs w:val="24"/>
        </w:rPr>
      </w:pPr>
      <w:r w:rsidRPr="00A461B6">
        <w:rPr>
          <w:color w:val="auto"/>
          <w:sz w:val="24"/>
        </w:rPr>
        <w:t>RUM collection data (in kilograms) has been available for comparison month by month by state since 2001</w:t>
      </w:r>
      <w:r w:rsidR="00C3397E" w:rsidRPr="00A461B6">
        <w:rPr>
          <w:rFonts w:cstheme="minorHAnsi"/>
          <w:color w:val="auto"/>
          <w:sz w:val="24"/>
          <w:szCs w:val="24"/>
        </w:rPr>
        <w:t>.</w:t>
      </w:r>
      <w:r w:rsidRPr="00A461B6">
        <w:rPr>
          <w:color w:val="auto"/>
          <w:sz w:val="24"/>
          <w:vertAlign w:val="superscript"/>
        </w:rPr>
        <w:footnoteReference w:id="64"/>
      </w:r>
      <w:r w:rsidRPr="00A461B6">
        <w:rPr>
          <w:color w:val="auto"/>
          <w:sz w:val="24"/>
        </w:rPr>
        <w:t xml:space="preserve"> To date, over 12 million kilograms of unwanted medicines have been collected. Any increase in the amount of medicines collected through this program may serve as a broad indicator of increased wastage, particularly if the trend correlates with the timing of implementation of the PBS items with increased quantities. However, this measure is limited, as the RUM program covers all medicines including over the counter and non – PBS medicines are collected. </w:t>
      </w:r>
    </w:p>
    <w:p w14:paraId="1F39E867" w14:textId="33153711" w:rsidR="009C0DB6" w:rsidRPr="00A461B6" w:rsidRDefault="009C0DB6" w:rsidP="007D66D7">
      <w:pPr>
        <w:pStyle w:val="Subtitle"/>
        <w:numPr>
          <w:ilvl w:val="0"/>
          <w:numId w:val="45"/>
        </w:numPr>
        <w:rPr>
          <w:sz w:val="24"/>
        </w:rPr>
      </w:pPr>
      <w:r w:rsidRPr="00A461B6">
        <w:rPr>
          <w:sz w:val="24"/>
        </w:rPr>
        <w:t>Quality Use of Medicines</w:t>
      </w:r>
      <w:r w:rsidR="00C32DCE" w:rsidRPr="00A461B6">
        <w:rPr>
          <w:sz w:val="24"/>
        </w:rPr>
        <w:t xml:space="preserve"> – </w:t>
      </w:r>
      <w:r w:rsidRPr="00A461B6">
        <w:rPr>
          <w:sz w:val="24"/>
        </w:rPr>
        <w:t>Pharmacovigilance</w:t>
      </w:r>
      <w:r w:rsidR="00C32DCE" w:rsidRPr="00A461B6">
        <w:rPr>
          <w:sz w:val="24"/>
        </w:rPr>
        <w:t xml:space="preserve"> </w:t>
      </w:r>
    </w:p>
    <w:p w14:paraId="0B956BDF" w14:textId="0B6BBDBC" w:rsidR="009C0DB6" w:rsidRPr="00A461B6" w:rsidRDefault="009C0DB6" w:rsidP="009C0DB6">
      <w:pPr>
        <w:ind w:left="720"/>
        <w:rPr>
          <w:color w:val="auto"/>
          <w:sz w:val="24"/>
        </w:rPr>
      </w:pPr>
      <w:r w:rsidRPr="00A461B6">
        <w:rPr>
          <w:color w:val="auto"/>
          <w:sz w:val="24"/>
        </w:rPr>
        <w:t xml:space="preserve">The Department’s planned evaluation framework will </w:t>
      </w:r>
      <w:r w:rsidR="009864C2" w:rsidRPr="00A461B6">
        <w:rPr>
          <w:color w:val="auto"/>
          <w:sz w:val="24"/>
          <w:szCs w:val="24"/>
        </w:rPr>
        <w:t>utilise</w:t>
      </w:r>
      <w:r w:rsidRPr="00A461B6">
        <w:rPr>
          <w:color w:val="auto"/>
          <w:sz w:val="24"/>
        </w:rPr>
        <w:t xml:space="preserve"> existing well developed processes within the </w:t>
      </w:r>
      <w:r w:rsidRPr="00A461B6">
        <w:rPr>
          <w:rFonts w:ascii="Calibri" w:hAnsi="Calibri"/>
          <w:color w:val="auto"/>
          <w:sz w:val="24"/>
          <w:shd w:val="clear" w:color="auto" w:fill="FFFFFF"/>
        </w:rPr>
        <w:t xml:space="preserve">Therapeutic Goods Administration (TGA) </w:t>
      </w:r>
      <w:r w:rsidRPr="00A461B6">
        <w:rPr>
          <w:color w:val="auto"/>
          <w:sz w:val="24"/>
        </w:rPr>
        <w:t xml:space="preserve">and the PBS program to assess outcomes of the implementation of Option 2 on patient safety and pharmacovigilance. </w:t>
      </w:r>
    </w:p>
    <w:p w14:paraId="7E58032E" w14:textId="778212F0" w:rsidR="009C0DB6" w:rsidRPr="00A461B6" w:rsidRDefault="009C0DB6" w:rsidP="009C0DB6">
      <w:pPr>
        <w:autoSpaceDE w:val="0"/>
        <w:autoSpaceDN w:val="0"/>
        <w:ind w:left="720"/>
        <w:rPr>
          <w:color w:val="auto"/>
          <w:sz w:val="24"/>
        </w:rPr>
      </w:pPr>
      <w:r w:rsidRPr="00A461B6">
        <w:rPr>
          <w:color w:val="auto"/>
          <w:sz w:val="24"/>
          <w:shd w:val="clear" w:color="auto" w:fill="FFFFFF"/>
        </w:rPr>
        <w:t xml:space="preserve">The PBAC has provided advice and recommendations on the clinical safety and suitability of a list of PBS items for inclusion in the proposal for patients with stable, chronic medical conditions. The PBAC </w:t>
      </w:r>
      <w:r w:rsidR="00A228B0" w:rsidRPr="00A461B6">
        <w:rPr>
          <w:color w:val="auto"/>
          <w:sz w:val="24"/>
          <w:shd w:val="clear" w:color="auto" w:fill="FFFFFF"/>
        </w:rPr>
        <w:t xml:space="preserve">confirmed that </w:t>
      </w:r>
      <w:r w:rsidR="00792726" w:rsidRPr="00A461B6">
        <w:rPr>
          <w:color w:val="auto"/>
          <w:sz w:val="24"/>
          <w:shd w:val="clear" w:color="auto" w:fill="FFFFFF"/>
        </w:rPr>
        <w:t xml:space="preserve">only </w:t>
      </w:r>
      <w:r w:rsidRPr="00A461B6">
        <w:rPr>
          <w:color w:val="auto"/>
          <w:sz w:val="24"/>
          <w:shd w:val="clear" w:color="auto" w:fill="FFFFFF"/>
        </w:rPr>
        <w:t>medicines or generics of medicines</w:t>
      </w:r>
      <w:r w:rsidR="00792726" w:rsidRPr="00A461B6">
        <w:rPr>
          <w:color w:val="auto"/>
          <w:sz w:val="24"/>
          <w:shd w:val="clear" w:color="auto" w:fill="FFFFFF"/>
        </w:rPr>
        <w:t xml:space="preserve"> that have been</w:t>
      </w:r>
      <w:r w:rsidRPr="00A461B6">
        <w:rPr>
          <w:color w:val="auto"/>
          <w:sz w:val="24"/>
          <w:shd w:val="clear" w:color="auto" w:fill="FFFFFF"/>
        </w:rPr>
        <w:t xml:space="preserve"> PBS listed for five or more years</w:t>
      </w:r>
      <w:r w:rsidR="00A228B0" w:rsidRPr="00A461B6">
        <w:rPr>
          <w:color w:val="auto"/>
          <w:sz w:val="24"/>
          <w:shd w:val="clear" w:color="auto" w:fill="FFFFFF"/>
        </w:rPr>
        <w:t xml:space="preserve"> </w:t>
      </w:r>
      <w:r w:rsidR="00792726" w:rsidRPr="00A461B6">
        <w:rPr>
          <w:color w:val="auto"/>
          <w:sz w:val="24"/>
          <w:shd w:val="clear" w:color="auto" w:fill="FFFFFF"/>
        </w:rPr>
        <w:t xml:space="preserve">are to be </w:t>
      </w:r>
      <w:r w:rsidR="00A228B0" w:rsidRPr="00A461B6">
        <w:rPr>
          <w:color w:val="auto"/>
          <w:sz w:val="24"/>
          <w:shd w:val="clear" w:color="auto" w:fill="FFFFFF"/>
        </w:rPr>
        <w:t>inclu</w:t>
      </w:r>
      <w:r w:rsidR="00792726" w:rsidRPr="00A461B6">
        <w:rPr>
          <w:color w:val="auto"/>
          <w:sz w:val="24"/>
          <w:shd w:val="clear" w:color="auto" w:fill="FFFFFF"/>
        </w:rPr>
        <w:t xml:space="preserve">ded </w:t>
      </w:r>
      <w:r w:rsidR="00A228B0" w:rsidRPr="00A461B6">
        <w:rPr>
          <w:color w:val="auto"/>
          <w:sz w:val="24"/>
          <w:shd w:val="clear" w:color="auto" w:fill="FFFFFF"/>
        </w:rPr>
        <w:t>in the policy</w:t>
      </w:r>
      <w:r w:rsidRPr="00A461B6">
        <w:rPr>
          <w:color w:val="auto"/>
          <w:sz w:val="24"/>
          <w:shd w:val="clear" w:color="auto" w:fill="FFFFFF"/>
        </w:rPr>
        <w:t xml:space="preserve">, as severe but rare adverse effects frequently become evident during the first few years a drug is widely available. </w:t>
      </w:r>
    </w:p>
    <w:p w14:paraId="5EBCCD4D" w14:textId="75A119E0" w:rsidR="008E380B" w:rsidRPr="00A461B6" w:rsidRDefault="009C0DB6" w:rsidP="007D66D7">
      <w:pPr>
        <w:autoSpaceDE w:val="0"/>
        <w:autoSpaceDN w:val="0"/>
        <w:ind w:left="720"/>
        <w:rPr>
          <w:rFonts w:ascii="Calibri" w:hAnsi="Calibri"/>
          <w:color w:val="auto"/>
          <w:sz w:val="24"/>
          <w:shd w:val="clear" w:color="auto" w:fill="FFFFFF"/>
        </w:rPr>
      </w:pPr>
      <w:r w:rsidRPr="00A461B6">
        <w:rPr>
          <w:rFonts w:ascii="Calibri" w:hAnsi="Calibri"/>
          <w:color w:val="auto"/>
          <w:sz w:val="24"/>
          <w:shd w:val="clear" w:color="auto" w:fill="FFFFFF"/>
        </w:rPr>
        <w:t>Pharmacovigilance refers to monitoring the effects of medicines post TGA registration for use in Australia to identify and evaluate previously unreported adverse reactions. This is a ‘business as usual’ activity of the TGA, supporting the National Medicines Policy (NMP)</w:t>
      </w:r>
      <w:r w:rsidR="008E380B" w:rsidRPr="00A461B6">
        <w:rPr>
          <w:rStyle w:val="FootnoteReference"/>
          <w:rFonts w:ascii="Calibri" w:hAnsi="Calibri"/>
          <w:color w:val="auto"/>
          <w:sz w:val="24"/>
          <w:shd w:val="clear" w:color="auto" w:fill="FFFFFF"/>
        </w:rPr>
        <w:footnoteReference w:id="65"/>
      </w:r>
      <w:r w:rsidRPr="00A461B6">
        <w:rPr>
          <w:rFonts w:ascii="Calibri" w:hAnsi="Calibri"/>
          <w:color w:val="auto"/>
          <w:sz w:val="24"/>
          <w:shd w:val="clear" w:color="auto" w:fill="FFFFFF"/>
        </w:rPr>
        <w:t xml:space="preserve"> through ensuring medicines meet the required standards of quality, safety and efficacy.</w:t>
      </w:r>
    </w:p>
    <w:p w14:paraId="50A36631" w14:textId="51834915" w:rsidR="009C0DB6" w:rsidRPr="00A461B6" w:rsidRDefault="009C0DB6" w:rsidP="007D66D7">
      <w:pPr>
        <w:autoSpaceDE w:val="0"/>
        <w:autoSpaceDN w:val="0"/>
        <w:spacing w:after="0"/>
        <w:ind w:left="720"/>
        <w:rPr>
          <w:rFonts w:ascii="Calibri" w:hAnsi="Calibri"/>
          <w:color w:val="auto"/>
          <w:sz w:val="24"/>
          <w:shd w:val="clear" w:color="auto" w:fill="FFFFFF"/>
        </w:rPr>
      </w:pPr>
      <w:r w:rsidRPr="00A461B6">
        <w:rPr>
          <w:color w:val="auto"/>
          <w:sz w:val="24"/>
          <w:shd w:val="clear" w:color="auto" w:fill="FFFFFF"/>
        </w:rPr>
        <w:t>The TGA has a pharmacovigilance program</w:t>
      </w:r>
      <w:r w:rsidR="008E380B" w:rsidRPr="00A461B6">
        <w:rPr>
          <w:rStyle w:val="FootnoteReference"/>
          <w:color w:val="auto"/>
          <w:sz w:val="24"/>
          <w:shd w:val="clear" w:color="auto" w:fill="FFFFFF"/>
        </w:rPr>
        <w:footnoteReference w:id="66"/>
      </w:r>
      <w:r w:rsidRPr="00A461B6">
        <w:rPr>
          <w:color w:val="auto"/>
          <w:sz w:val="24"/>
          <w:shd w:val="clear" w:color="auto" w:fill="FFFFFF"/>
        </w:rPr>
        <w:t>, which involves the assessment of adverse events that are reported to the TGA by consumers, health professionals, the pharmaceutical industry, international medicine regulators or by the medical and scientific experts on TGA advisory committees</w:t>
      </w:r>
      <w:r w:rsidR="008E380B" w:rsidRPr="00A461B6">
        <w:rPr>
          <w:color w:val="auto"/>
          <w:sz w:val="24"/>
          <w:shd w:val="clear" w:color="auto" w:fill="FFFFFF"/>
        </w:rPr>
        <w:t>.</w:t>
      </w:r>
      <w:r w:rsidRPr="00A461B6">
        <w:rPr>
          <w:color w:val="auto"/>
          <w:sz w:val="24"/>
          <w:shd w:val="clear" w:color="auto" w:fill="FFFFFF"/>
        </w:rPr>
        <w:t xml:space="preserve"> There are strong linkages between the TGA and the PBAC. TGA representatives routinely attend PBAC meetings. Once the</w:t>
      </w:r>
      <w:r w:rsidRPr="00A461B6">
        <w:rPr>
          <w:color w:val="auto"/>
          <w:sz w:val="24"/>
          <w:szCs w:val="24"/>
          <w:shd w:val="clear" w:color="auto" w:fill="FFFFFF"/>
        </w:rPr>
        <w:t xml:space="preserve"> </w:t>
      </w:r>
      <w:r w:rsidR="007304FE" w:rsidRPr="00A461B6">
        <w:rPr>
          <w:color w:val="auto"/>
          <w:sz w:val="24"/>
          <w:szCs w:val="24"/>
          <w:shd w:val="clear" w:color="auto" w:fill="FFFFFF"/>
        </w:rPr>
        <w:t>MDQ changes have</w:t>
      </w:r>
      <w:r w:rsidRPr="00A461B6">
        <w:rPr>
          <w:color w:val="auto"/>
          <w:sz w:val="24"/>
          <w:shd w:val="clear" w:color="auto" w:fill="FFFFFF"/>
        </w:rPr>
        <w:t xml:space="preserve"> been implemented, the Department will notify the TGA of the medicines included in the proposal. The TGA will continue to monitor all spontaneous reports of adverse medicine events submitted by healthcare professionals, patients or consumers and will inform the Department and the PBAC of any </w:t>
      </w:r>
      <w:r w:rsidRPr="00A461B6">
        <w:rPr>
          <w:rFonts w:ascii="Calibri" w:hAnsi="Calibri"/>
          <w:color w:val="auto"/>
          <w:sz w:val="24"/>
          <w:shd w:val="clear" w:color="auto" w:fill="FFFFFF"/>
        </w:rPr>
        <w:t>emerging trends in adverse reactions or medicine misuse associated with these medicines.</w:t>
      </w:r>
    </w:p>
    <w:p w14:paraId="55B76D89" w14:textId="0177098A" w:rsidR="009C0DB6" w:rsidRPr="00A461B6" w:rsidRDefault="009864C2" w:rsidP="007D66D7">
      <w:pPr>
        <w:pStyle w:val="Subtitle"/>
        <w:numPr>
          <w:ilvl w:val="0"/>
          <w:numId w:val="45"/>
        </w:numPr>
        <w:spacing w:after="0"/>
        <w:rPr>
          <w:sz w:val="24"/>
        </w:rPr>
      </w:pPr>
      <w:r w:rsidRPr="00A461B6">
        <w:rPr>
          <w:sz w:val="24"/>
        </w:rPr>
        <w:t>Quality Use of Medicines – Medicines shortages</w:t>
      </w:r>
    </w:p>
    <w:p w14:paraId="1740A450" w14:textId="0605D15E" w:rsidR="009864C2" w:rsidRPr="00A461B6" w:rsidRDefault="009C0DB6" w:rsidP="00890592">
      <w:pPr>
        <w:spacing w:before="240" w:after="60" w:line="240" w:lineRule="auto"/>
        <w:ind w:left="720"/>
        <w:rPr>
          <w:rFonts w:ascii="Calibri" w:hAnsi="Calibri" w:cs="Calibri"/>
          <w:color w:val="auto"/>
          <w:sz w:val="24"/>
          <w:szCs w:val="24"/>
        </w:rPr>
      </w:pPr>
      <w:r w:rsidRPr="00A461B6">
        <w:rPr>
          <w:rFonts w:ascii="Calibri" w:hAnsi="Calibri"/>
          <w:color w:val="auto"/>
          <w:sz w:val="24"/>
          <w:shd w:val="clear" w:color="auto" w:fill="FFFFFF"/>
        </w:rPr>
        <w:t>Medicine shortages</w:t>
      </w:r>
      <w:r w:rsidRPr="00A461B6">
        <w:rPr>
          <w:rFonts w:ascii="Calibri" w:hAnsi="Calibri"/>
          <w:color w:val="auto"/>
          <w:sz w:val="24"/>
        </w:rPr>
        <w:t xml:space="preserve"> are routinely published on the TGA website</w:t>
      </w:r>
      <w:r w:rsidR="009864C2" w:rsidRPr="00A461B6">
        <w:rPr>
          <w:rFonts w:ascii="Calibri" w:hAnsi="Calibri" w:cs="Calibri"/>
          <w:color w:val="auto"/>
          <w:sz w:val="24"/>
          <w:szCs w:val="24"/>
        </w:rPr>
        <w:t>.</w:t>
      </w:r>
      <w:r w:rsidR="00C32DCE" w:rsidRPr="00A461B6">
        <w:rPr>
          <w:color w:val="auto"/>
          <w:vertAlign w:val="superscript"/>
        </w:rPr>
        <w:footnoteReference w:id="67"/>
      </w:r>
      <w:r w:rsidRPr="00A461B6">
        <w:rPr>
          <w:rFonts w:ascii="Calibri" w:hAnsi="Calibri"/>
          <w:color w:val="auto"/>
          <w:sz w:val="24"/>
        </w:rPr>
        <w:t xml:space="preserve"> Medicine sponsors inform the TGA if there is not enough medicine to supply normal demand in Australia within the next six months. The Department will monitor the Medicines Shortages website and liaise with the TGA to determine any impacts resulting from implementation of the </w:t>
      </w:r>
      <w:r w:rsidR="009864C2" w:rsidRPr="00A461B6">
        <w:rPr>
          <w:rFonts w:ascii="Calibri" w:hAnsi="Calibri" w:cs="Calibri"/>
          <w:color w:val="auto"/>
          <w:sz w:val="24"/>
          <w:szCs w:val="24"/>
        </w:rPr>
        <w:t>proposal</w:t>
      </w:r>
      <w:r w:rsidR="00C32DCE" w:rsidRPr="00A461B6">
        <w:rPr>
          <w:rFonts w:ascii="Calibri" w:hAnsi="Calibri" w:cs="Calibri"/>
          <w:color w:val="auto"/>
          <w:sz w:val="24"/>
          <w:szCs w:val="24"/>
        </w:rPr>
        <w:t>.</w:t>
      </w:r>
    </w:p>
    <w:p w14:paraId="5217C2B1" w14:textId="1B7D68D2" w:rsidR="009864C2" w:rsidRPr="00A461B6" w:rsidRDefault="009864C2" w:rsidP="00460580">
      <w:pPr>
        <w:pStyle w:val="Heading3"/>
      </w:pPr>
      <w:bookmarkStart w:id="95" w:name="_Toc132192317"/>
      <w:bookmarkStart w:id="96" w:name="_Toc134603948"/>
      <w:r w:rsidRPr="00A461B6">
        <w:t>Monitoring stakeholder impacts</w:t>
      </w:r>
      <w:bookmarkEnd w:id="95"/>
      <w:bookmarkEnd w:id="96"/>
      <w:r w:rsidRPr="00A461B6">
        <w:t xml:space="preserve"> </w:t>
      </w:r>
    </w:p>
    <w:p w14:paraId="352AEFE8" w14:textId="4684B591" w:rsidR="009864C2" w:rsidRPr="00A461B6" w:rsidRDefault="009864C2" w:rsidP="00A51698">
      <w:pPr>
        <w:pStyle w:val="BodyText"/>
        <w:keepNext/>
        <w:keepLines/>
        <w:spacing w:after="0"/>
        <w:rPr>
          <w:rFonts w:cstheme="minorHAnsi"/>
          <w:color w:val="000000" w:themeColor="text1"/>
          <w:sz w:val="24"/>
          <w:szCs w:val="24"/>
        </w:rPr>
      </w:pPr>
      <w:r w:rsidRPr="00A461B6">
        <w:rPr>
          <w:rFonts w:cstheme="minorHAnsi"/>
          <w:color w:val="000000" w:themeColor="text1"/>
          <w:sz w:val="24"/>
          <w:szCs w:val="24"/>
        </w:rPr>
        <w:t>In addition to the development of a comprehensive evaluation framework to measure success and mitigate unforeseen issues, the Department is also committed to evaluating the impacts of implementation of the proposal all affected stakeholders</w:t>
      </w:r>
      <w:r w:rsidR="00BB51B2" w:rsidRPr="00A461B6">
        <w:rPr>
          <w:rFonts w:cstheme="minorHAnsi"/>
          <w:color w:val="000000" w:themeColor="text1"/>
          <w:sz w:val="24"/>
          <w:szCs w:val="24"/>
        </w:rPr>
        <w:t xml:space="preserve"> through existing mechanisms</w:t>
      </w:r>
      <w:r w:rsidRPr="00A461B6">
        <w:rPr>
          <w:rFonts w:cstheme="minorHAnsi"/>
          <w:color w:val="000000" w:themeColor="text1"/>
          <w:sz w:val="24"/>
          <w:szCs w:val="24"/>
        </w:rPr>
        <w:t>.</w:t>
      </w:r>
    </w:p>
    <w:p w14:paraId="65BC13ED" w14:textId="6604AE30" w:rsidR="009C0DB6" w:rsidRPr="00A461B6" w:rsidRDefault="009C0DB6" w:rsidP="007D66D7">
      <w:pPr>
        <w:pStyle w:val="Subtitle"/>
        <w:keepNext/>
        <w:keepLines/>
        <w:spacing w:after="0"/>
        <w:rPr>
          <w:sz w:val="24"/>
        </w:rPr>
      </w:pPr>
      <w:r w:rsidRPr="00A461B6">
        <w:rPr>
          <w:sz w:val="24"/>
        </w:rPr>
        <w:t>Community pharmacy sector</w:t>
      </w:r>
    </w:p>
    <w:p w14:paraId="6AB055FF" w14:textId="3863D719" w:rsidR="000A224A" w:rsidRPr="00A461B6" w:rsidRDefault="009C0DB6" w:rsidP="007D66D7">
      <w:pPr>
        <w:spacing w:before="240" w:after="240"/>
        <w:contextualSpacing/>
        <w:rPr>
          <w:rFonts w:ascii="Calibri" w:hAnsi="Calibri"/>
          <w:color w:val="auto"/>
          <w:sz w:val="24"/>
        </w:rPr>
      </w:pPr>
      <w:r w:rsidRPr="00A461B6">
        <w:rPr>
          <w:rFonts w:ascii="Calibri" w:hAnsi="Calibri"/>
          <w:color w:val="auto"/>
          <w:sz w:val="24"/>
        </w:rPr>
        <w:t xml:space="preserve">The Department will continue to monitor the impact on the community pharmacy sector remuneration through existing 7CPA arrangements. </w:t>
      </w:r>
      <w:r w:rsidR="000A224A" w:rsidRPr="00A461B6">
        <w:rPr>
          <w:rFonts w:ascii="Calibri" w:hAnsi="Calibri"/>
          <w:color w:val="auto"/>
          <w:sz w:val="24"/>
        </w:rPr>
        <w:t>The Department will monitor continued participation by community pharmacies in 7CPA programs, which are expected to continue at current levels with the reinvestment of Government savings from the proposal.</w:t>
      </w:r>
    </w:p>
    <w:p w14:paraId="1C67C006" w14:textId="77777777" w:rsidR="000A224A" w:rsidRPr="00A461B6" w:rsidRDefault="000A224A" w:rsidP="007D66D7">
      <w:pPr>
        <w:spacing w:before="240" w:after="240"/>
        <w:contextualSpacing/>
        <w:rPr>
          <w:rFonts w:ascii="Calibri" w:hAnsi="Calibri"/>
          <w:color w:val="auto"/>
          <w:sz w:val="24"/>
        </w:rPr>
      </w:pPr>
    </w:p>
    <w:p w14:paraId="7B5567B3" w14:textId="00285A33" w:rsidR="009C0DB6" w:rsidRPr="00A461B6" w:rsidRDefault="009C0DB6" w:rsidP="007D66D7">
      <w:pPr>
        <w:spacing w:before="240" w:after="240"/>
        <w:contextualSpacing/>
        <w:rPr>
          <w:rFonts w:ascii="Calibri" w:hAnsi="Calibri"/>
          <w:color w:val="auto"/>
          <w:sz w:val="24"/>
        </w:rPr>
      </w:pPr>
      <w:r w:rsidRPr="00A461B6">
        <w:rPr>
          <w:rFonts w:ascii="Calibri" w:hAnsi="Calibri"/>
          <w:color w:val="auto"/>
          <w:sz w:val="24"/>
        </w:rPr>
        <w:t xml:space="preserve">Evaluation </w:t>
      </w:r>
      <w:r w:rsidR="000A224A" w:rsidRPr="00A461B6">
        <w:rPr>
          <w:rFonts w:ascii="Calibri" w:hAnsi="Calibri"/>
          <w:color w:val="auto"/>
          <w:sz w:val="24"/>
        </w:rPr>
        <w:t xml:space="preserve">of financial impacts </w:t>
      </w:r>
      <w:r w:rsidRPr="00A461B6">
        <w:rPr>
          <w:rFonts w:ascii="Calibri" w:hAnsi="Calibri"/>
          <w:color w:val="auto"/>
          <w:sz w:val="24"/>
        </w:rPr>
        <w:t xml:space="preserve">will be </w:t>
      </w:r>
      <w:r w:rsidRPr="00A461B6">
        <w:rPr>
          <w:color w:val="auto"/>
          <w:sz w:val="24"/>
        </w:rPr>
        <w:t xml:space="preserve">dependent on affected stakeholders providing necessary financial information at a granular level to allow assessment of any variation in the impact on pharmacies in different settings </w:t>
      </w:r>
      <w:r w:rsidR="009864C2" w:rsidRPr="00A461B6">
        <w:rPr>
          <w:color w:val="auto"/>
          <w:sz w:val="24"/>
          <w:szCs w:val="24"/>
        </w:rPr>
        <w:t>(</w:t>
      </w:r>
      <w:r w:rsidRPr="00A461B6">
        <w:rPr>
          <w:color w:val="auto"/>
          <w:sz w:val="24"/>
        </w:rPr>
        <w:t>i.e. regional and remote</w:t>
      </w:r>
      <w:r w:rsidR="009864C2" w:rsidRPr="00A461B6">
        <w:rPr>
          <w:color w:val="auto"/>
          <w:sz w:val="24"/>
          <w:szCs w:val="24"/>
        </w:rPr>
        <w:t>)</w:t>
      </w:r>
      <w:r w:rsidRPr="00A461B6">
        <w:rPr>
          <w:color w:val="auto"/>
          <w:sz w:val="24"/>
          <w:szCs w:val="24"/>
        </w:rPr>
        <w:t>.</w:t>
      </w:r>
      <w:r w:rsidRPr="00A461B6">
        <w:rPr>
          <w:rFonts w:ascii="Calibri" w:hAnsi="Calibri"/>
          <w:color w:val="auto"/>
          <w:sz w:val="24"/>
        </w:rPr>
        <w:t xml:space="preserve"> The Department will also monitor the number and distribution of pharmacies across Australia to ensure businesses continue to be viable and provide convenient and affordable access to medicines for all Australians.</w:t>
      </w:r>
    </w:p>
    <w:p w14:paraId="1E5CCABB" w14:textId="77777777" w:rsidR="009C0DB6" w:rsidRPr="00A461B6" w:rsidRDefault="009C0DB6" w:rsidP="000A1249">
      <w:pPr>
        <w:pStyle w:val="Subtitle"/>
        <w:keepNext/>
        <w:keepLines/>
        <w:spacing w:after="0"/>
        <w:rPr>
          <w:sz w:val="24"/>
        </w:rPr>
      </w:pPr>
      <w:r w:rsidRPr="00A461B6">
        <w:rPr>
          <w:sz w:val="24"/>
        </w:rPr>
        <w:t>Wholesalers</w:t>
      </w:r>
    </w:p>
    <w:p w14:paraId="68DA321C" w14:textId="77777777" w:rsidR="009C0DB6" w:rsidRPr="00A461B6" w:rsidRDefault="009C0DB6" w:rsidP="007D66D7">
      <w:pPr>
        <w:spacing w:before="120" w:after="0" w:line="240" w:lineRule="auto"/>
        <w:rPr>
          <w:color w:val="auto"/>
          <w:sz w:val="24"/>
        </w:rPr>
      </w:pPr>
      <w:r w:rsidRPr="00A461B6">
        <w:rPr>
          <w:color w:val="auto"/>
          <w:sz w:val="24"/>
        </w:rPr>
        <w:t>The ongoing annual impact on wholesalers will be monitored by the Department through the existing 7CPA arrangements. Evaluation will be dependent on affected stakeholders providing necessary financial information.</w:t>
      </w:r>
    </w:p>
    <w:p w14:paraId="34FEEC30" w14:textId="77777777" w:rsidR="009C0DB6" w:rsidRPr="00A461B6" w:rsidRDefault="009C0DB6" w:rsidP="007D66D7">
      <w:pPr>
        <w:pStyle w:val="Subtitle"/>
        <w:spacing w:after="0"/>
        <w:rPr>
          <w:sz w:val="24"/>
        </w:rPr>
      </w:pPr>
      <w:r w:rsidRPr="00A461B6">
        <w:rPr>
          <w:sz w:val="24"/>
        </w:rPr>
        <w:t>Software vendors</w:t>
      </w:r>
    </w:p>
    <w:p w14:paraId="32B7BA17" w14:textId="77777777" w:rsidR="009C0DB6" w:rsidRPr="00AE54EB" w:rsidRDefault="009C0DB6" w:rsidP="007D66D7">
      <w:pPr>
        <w:spacing w:before="240" w:line="240" w:lineRule="auto"/>
        <w:rPr>
          <w:color w:val="auto"/>
          <w:sz w:val="24"/>
        </w:rPr>
      </w:pPr>
      <w:r w:rsidRPr="00A461B6">
        <w:rPr>
          <w:color w:val="auto"/>
          <w:sz w:val="24"/>
        </w:rPr>
        <w:t>The Department will continue to monitor impacts arising from implementation on software vendors through routine software vendor forums.</w:t>
      </w:r>
    </w:p>
    <w:p w14:paraId="4D6AD73A" w14:textId="77777777" w:rsidR="009C0DB6" w:rsidRPr="00AE54EB" w:rsidRDefault="009C0DB6" w:rsidP="009C0DB6">
      <w:pPr>
        <w:rPr>
          <w:rFonts w:eastAsia="Times New Roman" w:cs="Calibri"/>
          <w:color w:val="FF0000"/>
          <w:sz w:val="24"/>
          <w:szCs w:val="24"/>
          <w:lang w:eastAsia="en-AU"/>
        </w:rPr>
      </w:pPr>
    </w:p>
    <w:p w14:paraId="09A7A3DC" w14:textId="77777777" w:rsidR="0069411E" w:rsidRPr="00AE54EB" w:rsidRDefault="0069411E" w:rsidP="00FC5310">
      <w:pPr>
        <w:pStyle w:val="Heading2"/>
        <w:rPr>
          <w:rFonts w:eastAsia="Times New Roman" w:cs="Calibri"/>
          <w:color w:val="auto"/>
          <w:sz w:val="24"/>
          <w:szCs w:val="24"/>
          <w:lang w:eastAsia="en-AU"/>
        </w:rPr>
      </w:pPr>
    </w:p>
    <w:sectPr w:rsidR="0069411E" w:rsidRPr="00AE54EB" w:rsidSect="00320BF2">
      <w:footerReference w:type="default" r:id="rId14"/>
      <w:headerReference w:type="first" r:id="rId15"/>
      <w:footerReference w:type="first" r:id="rId16"/>
      <w:pgSz w:w="11906" w:h="16838"/>
      <w:pgMar w:top="1559" w:right="851" w:bottom="1701" w:left="851" w:header="567" w:footer="57"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3C7CDA" w16cid:durableId="27E146F6"/>
  <w16cid:commentId w16cid:paraId="4F214EDC" w16cid:durableId="27E14B22"/>
  <w16cid:commentId w16cid:paraId="3446926A" w16cid:durableId="27E146E9"/>
  <w16cid:commentId w16cid:paraId="0D09D680" w16cid:durableId="27E146EA"/>
  <w16cid:commentId w16cid:paraId="6B1BDEDA" w16cid:durableId="27E146EB"/>
  <w16cid:commentId w16cid:paraId="37EA0EB9" w16cid:durableId="27E146EC"/>
  <w16cid:commentId w16cid:paraId="7357A4CF" w16cid:durableId="27E146ED"/>
  <w16cid:commentId w16cid:paraId="7DFD8A58" w16cid:durableId="27E146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46699" w14:textId="77777777" w:rsidR="007A4DC5" w:rsidRDefault="007A4DC5" w:rsidP="00B95533">
      <w:pPr>
        <w:spacing w:after="0" w:line="240" w:lineRule="auto"/>
      </w:pPr>
      <w:r>
        <w:separator/>
      </w:r>
    </w:p>
  </w:endnote>
  <w:endnote w:type="continuationSeparator" w:id="0">
    <w:p w14:paraId="319162F1" w14:textId="77777777" w:rsidR="007A4DC5" w:rsidRDefault="007A4DC5" w:rsidP="00B95533">
      <w:pPr>
        <w:spacing w:after="0" w:line="240" w:lineRule="auto"/>
      </w:pPr>
      <w:r>
        <w:continuationSeparator/>
      </w:r>
    </w:p>
  </w:endnote>
  <w:endnote w:type="continuationNotice" w:id="1">
    <w:p w14:paraId="1E2F4517" w14:textId="77777777" w:rsidR="007A4DC5" w:rsidRDefault="007A4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788740"/>
      <w:docPartObj>
        <w:docPartGallery w:val="Page Numbers (Bottom of Page)"/>
        <w:docPartUnique/>
      </w:docPartObj>
    </w:sdtPr>
    <w:sdtEndPr>
      <w:rPr>
        <w:noProof/>
      </w:rPr>
    </w:sdtEndPr>
    <w:sdtContent>
      <w:p w14:paraId="2C9DAB61" w14:textId="6E28F29C" w:rsidR="00320BF2" w:rsidRDefault="00320BF2">
        <w:pPr>
          <w:pStyle w:val="Footer"/>
        </w:pPr>
        <w:r>
          <w:fldChar w:fldCharType="begin"/>
        </w:r>
        <w:r>
          <w:instrText xml:space="preserve"> PAGE   \* MERGEFORMAT </w:instrText>
        </w:r>
        <w:r>
          <w:fldChar w:fldCharType="separate"/>
        </w:r>
        <w:r w:rsidR="00F6572F">
          <w:rPr>
            <w:noProof/>
          </w:rPr>
          <w:t>46</w:t>
        </w:r>
        <w:r>
          <w:rPr>
            <w:noProof/>
          </w:rPr>
          <w:fldChar w:fldCharType="end"/>
        </w:r>
      </w:p>
    </w:sdtContent>
  </w:sdt>
  <w:p w14:paraId="2A2EED4A" w14:textId="328520B2" w:rsidR="008A555F" w:rsidRPr="00825B23" w:rsidRDefault="008A555F" w:rsidP="009B4379">
    <w:pPr>
      <w:pStyle w:val="Footer"/>
      <w:spacing w:after="500"/>
      <w:contextualSpacing/>
      <w:jc w:val="left"/>
      <w:rPr>
        <w:b w:val="0"/>
        <w:b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02965"/>
      <w:docPartObj>
        <w:docPartGallery w:val="Page Numbers (Bottom of Page)"/>
        <w:docPartUnique/>
      </w:docPartObj>
    </w:sdtPr>
    <w:sdtEndPr>
      <w:rPr>
        <w:noProof/>
      </w:rPr>
    </w:sdtEndPr>
    <w:sdtContent>
      <w:p w14:paraId="5CE74D36" w14:textId="79E3AEE0" w:rsidR="00320BF2" w:rsidRDefault="00320BF2">
        <w:pPr>
          <w:pStyle w:val="Footer"/>
        </w:pPr>
        <w:r>
          <w:fldChar w:fldCharType="begin"/>
        </w:r>
        <w:r>
          <w:instrText xml:space="preserve"> PAGE   \* MERGEFORMAT </w:instrText>
        </w:r>
        <w:r>
          <w:fldChar w:fldCharType="separate"/>
        </w:r>
        <w:r w:rsidR="00052988">
          <w:rPr>
            <w:noProof/>
          </w:rPr>
          <w:t>1</w:t>
        </w:r>
        <w:r>
          <w:rPr>
            <w:noProof/>
          </w:rPr>
          <w:fldChar w:fldCharType="end"/>
        </w:r>
      </w:p>
    </w:sdtContent>
  </w:sdt>
  <w:p w14:paraId="7085F4D7" w14:textId="19473C76" w:rsidR="008A555F" w:rsidRPr="00195BA8" w:rsidRDefault="008A555F" w:rsidP="00195BA8">
    <w:pPr>
      <w:pStyle w:val="Footer"/>
      <w:spacing w:after="500"/>
      <w:contextualSpacing/>
      <w:jc w:val="left"/>
      <w:rPr>
        <w:color w:val="25303B" w:themeColor="accent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82C92" w14:textId="77777777" w:rsidR="007A4DC5" w:rsidRPr="003A7E73" w:rsidRDefault="007A4DC5" w:rsidP="00B95533">
      <w:pPr>
        <w:spacing w:after="0" w:line="240" w:lineRule="auto"/>
        <w:rPr>
          <w:color w:val="014463" w:themeColor="accent2"/>
        </w:rPr>
      </w:pPr>
      <w:r w:rsidRPr="003A7E73">
        <w:rPr>
          <w:color w:val="014463" w:themeColor="accent2"/>
        </w:rPr>
        <w:separator/>
      </w:r>
    </w:p>
  </w:footnote>
  <w:footnote w:type="continuationSeparator" w:id="0">
    <w:p w14:paraId="6E817CE0" w14:textId="77777777" w:rsidR="007A4DC5" w:rsidRPr="003A7E73" w:rsidRDefault="007A4DC5" w:rsidP="00B95533">
      <w:pPr>
        <w:spacing w:after="0" w:line="240" w:lineRule="auto"/>
        <w:rPr>
          <w:color w:val="014463" w:themeColor="accent2"/>
        </w:rPr>
      </w:pPr>
      <w:r w:rsidRPr="003A7E73">
        <w:rPr>
          <w:color w:val="014463" w:themeColor="accent2"/>
        </w:rPr>
        <w:continuationSeparator/>
      </w:r>
    </w:p>
  </w:footnote>
  <w:footnote w:type="continuationNotice" w:id="1">
    <w:p w14:paraId="43C19469" w14:textId="77777777" w:rsidR="007A4DC5" w:rsidRDefault="007A4DC5">
      <w:pPr>
        <w:spacing w:after="0" w:line="240" w:lineRule="auto"/>
      </w:pPr>
    </w:p>
  </w:footnote>
  <w:footnote w:id="2">
    <w:p w14:paraId="1748F565" w14:textId="0C2FD1BA" w:rsidR="008A555F" w:rsidRDefault="008A555F">
      <w:pPr>
        <w:pStyle w:val="FootnoteText"/>
      </w:pPr>
      <w:r>
        <w:rPr>
          <w:rStyle w:val="FootnoteReference"/>
        </w:rPr>
        <w:footnoteRef/>
      </w:r>
      <w:r>
        <w:t xml:space="preserve"> </w:t>
      </w:r>
      <w:r w:rsidRPr="00F07E9C">
        <w:t>https://oia.pmc.gov.au/sites/default/files/2023-02/oia-impact-analysis-guide-nov-22.pdf</w:t>
      </w:r>
    </w:p>
  </w:footnote>
  <w:footnote w:id="3">
    <w:p w14:paraId="31134CD2" w14:textId="49158E42" w:rsidR="008A555F" w:rsidRDefault="008A555F">
      <w:pPr>
        <w:pStyle w:val="FootnoteText"/>
      </w:pPr>
      <w:r>
        <w:rPr>
          <w:rStyle w:val="FootnoteReference"/>
        </w:rPr>
        <w:footnoteRef/>
      </w:r>
      <w:r>
        <w:t xml:space="preserve"> </w:t>
      </w:r>
      <w:r w:rsidRPr="00F07E9C">
        <w:t>https://www.health.gov.au/ministers/the-hon-mark-butler-mp/media/cheaper-medicines-to-ease-cost-of-living?language=en</w:t>
      </w:r>
    </w:p>
  </w:footnote>
  <w:footnote w:id="4">
    <w:p w14:paraId="4EC0233B" w14:textId="34515047" w:rsidR="008A555F" w:rsidRDefault="008A555F">
      <w:pPr>
        <w:pStyle w:val="FootnoteText"/>
      </w:pPr>
      <w:r>
        <w:rPr>
          <w:rStyle w:val="FootnoteReference"/>
        </w:rPr>
        <w:footnoteRef/>
      </w:r>
      <w:r>
        <w:t xml:space="preserve"> </w:t>
      </w:r>
      <w:r w:rsidRPr="00F07E9C">
        <w:t>https://www.health.gov.au/ministers/the-hon-mark-butler-mp/media/minister-for-health-and-aged-care-press-conference-26-april-2023?language=en</w:t>
      </w:r>
    </w:p>
  </w:footnote>
  <w:footnote w:id="5">
    <w:p w14:paraId="2F793456" w14:textId="77777777" w:rsidR="008A555F" w:rsidRPr="00290876" w:rsidRDefault="008A555F" w:rsidP="00095F74">
      <w:pPr>
        <w:pStyle w:val="FootnoteText"/>
        <w:rPr>
          <w:color w:val="0D0D0D" w:themeColor="text1" w:themeTint="F2"/>
        </w:rPr>
      </w:pPr>
      <w:r w:rsidRPr="00290876">
        <w:rPr>
          <w:rStyle w:val="FootnoteReference"/>
          <w:color w:val="0D0D0D" w:themeColor="text1" w:themeTint="F2"/>
        </w:rPr>
        <w:footnoteRef/>
      </w:r>
      <w:r w:rsidRPr="00290876">
        <w:rPr>
          <w:color w:val="0D0D0D" w:themeColor="text1" w:themeTint="F2"/>
        </w:rPr>
        <w:t xml:space="preserve"> https://www.health.gov.au/sites/default/files/documents/2019/10/department-of-health-annual-report-2018-19_0.pdf</w:t>
      </w:r>
    </w:p>
  </w:footnote>
  <w:footnote w:id="6">
    <w:p w14:paraId="5D8917A8" w14:textId="457544C6" w:rsidR="008A555F" w:rsidRDefault="008A555F">
      <w:pPr>
        <w:pStyle w:val="FootnoteText"/>
      </w:pPr>
      <w:r w:rsidRPr="00290876">
        <w:rPr>
          <w:rStyle w:val="FootnoteReference"/>
          <w:color w:val="0D0D0D" w:themeColor="text1" w:themeTint="F2"/>
        </w:rPr>
        <w:footnoteRef/>
      </w:r>
      <w:r w:rsidRPr="00290876">
        <w:rPr>
          <w:color w:val="0D0D0D" w:themeColor="text1" w:themeTint="F2"/>
        </w:rPr>
        <w:t xml:space="preserve"> </w:t>
      </w:r>
      <w:hyperlink r:id="rId1" w:history="1">
        <w:r w:rsidRPr="00290876">
          <w:rPr>
            <w:rStyle w:val="Hyperlink"/>
            <w:color w:val="0D0D0D" w:themeColor="text1" w:themeTint="F2"/>
          </w:rPr>
          <w:t>National Medicines Policy | Australian Government Department of Health and Aged Care</w:t>
        </w:r>
      </w:hyperlink>
    </w:p>
  </w:footnote>
  <w:footnote w:id="7">
    <w:p w14:paraId="57D9A008" w14:textId="77777777" w:rsidR="008A555F" w:rsidRPr="00D2693C" w:rsidRDefault="008A555F" w:rsidP="00095F74">
      <w:pPr>
        <w:pStyle w:val="FootnoteText"/>
        <w:rPr>
          <w:color w:val="auto"/>
        </w:rPr>
      </w:pPr>
      <w:r w:rsidRPr="00290876">
        <w:rPr>
          <w:rStyle w:val="FootnoteReference"/>
          <w:color w:val="0D0D0D" w:themeColor="text1" w:themeTint="F2"/>
        </w:rPr>
        <w:footnoteRef/>
      </w:r>
      <w:r w:rsidRPr="00290876">
        <w:rPr>
          <w:color w:val="0D0D0D" w:themeColor="text1" w:themeTint="F2"/>
        </w:rPr>
        <w:t xml:space="preserve"> https://www.legislation.gov.au/Details/C2020C00062</w:t>
      </w:r>
    </w:p>
  </w:footnote>
  <w:footnote w:id="8">
    <w:p w14:paraId="5B562AB0" w14:textId="725D70B5" w:rsidR="008A555F" w:rsidRDefault="008A555F">
      <w:pPr>
        <w:pStyle w:val="FootnoteText"/>
      </w:pPr>
      <w:r>
        <w:rPr>
          <w:rStyle w:val="FootnoteReference"/>
        </w:rPr>
        <w:footnoteRef/>
      </w:r>
      <w:r>
        <w:t xml:space="preserve"> </w:t>
      </w:r>
      <w:hyperlink r:id="rId2" w:history="1">
        <w:r>
          <w:rPr>
            <w:rStyle w:val="Hyperlink"/>
          </w:rPr>
          <w:t>Guidelines for preparing a submission to the Pharmaceutical Benefits Advisory Committee, Version 5.0 (pbs.gov.au)</w:t>
        </w:r>
      </w:hyperlink>
    </w:p>
  </w:footnote>
  <w:footnote w:id="9">
    <w:p w14:paraId="0C6488D5" w14:textId="7B22A410" w:rsidR="008A555F" w:rsidRDefault="008A555F">
      <w:pPr>
        <w:pStyle w:val="FootnoteText"/>
      </w:pPr>
    </w:p>
  </w:footnote>
  <w:footnote w:id="10">
    <w:p w14:paraId="30ECFE2D" w14:textId="31A0C512" w:rsidR="008A555F" w:rsidRDefault="008A555F" w:rsidP="00290876">
      <w:r>
        <w:rPr>
          <w:rStyle w:val="FootnoteReference"/>
        </w:rPr>
        <w:footnoteRef/>
      </w:r>
      <w:r>
        <w:t xml:space="preserve"> </w:t>
      </w:r>
      <w:hyperlink r:id="rId3" w:history="1">
        <w:r>
          <w:rPr>
            <w:rStyle w:val="Hyperlink"/>
          </w:rPr>
          <w:t>7CPA-signed-Agreement.pdf (pbs.gov.au)</w:t>
        </w:r>
      </w:hyperlink>
    </w:p>
  </w:footnote>
  <w:footnote w:id="11">
    <w:p w14:paraId="21C63C9C" w14:textId="49932CB4" w:rsidR="008A555F" w:rsidRDefault="008A555F">
      <w:pPr>
        <w:pStyle w:val="FootnoteText"/>
      </w:pPr>
      <w:r w:rsidRPr="00290876">
        <w:rPr>
          <w:rStyle w:val="FootnoteReference"/>
          <w:color w:val="0D0D0D" w:themeColor="text1" w:themeTint="F2"/>
        </w:rPr>
        <w:footnoteRef/>
      </w:r>
      <w:r w:rsidRPr="00290876">
        <w:rPr>
          <w:color w:val="0D0D0D" w:themeColor="text1" w:themeTint="F2"/>
        </w:rPr>
        <w:t xml:space="preserve"> http://www.pbs.gov.au/industry/listing/elements/pbac-meetings/pbac-outcomes/2018-08/Outcome-Statement-August-2018-Increased-MDQ.pd</w:t>
      </w:r>
      <w:r>
        <w:rPr>
          <w:color w:val="0D0D0D" w:themeColor="text1" w:themeTint="F2"/>
        </w:rPr>
        <w:t>f</w:t>
      </w:r>
    </w:p>
  </w:footnote>
  <w:footnote w:id="12">
    <w:p w14:paraId="27C4FFBF" w14:textId="5801DB00" w:rsidR="00432E65" w:rsidRDefault="00432E65">
      <w:pPr>
        <w:pStyle w:val="FootnoteText"/>
      </w:pPr>
      <w:r>
        <w:rPr>
          <w:rStyle w:val="FootnoteReference"/>
        </w:rPr>
        <w:footnoteRef/>
      </w:r>
      <w:r>
        <w:t xml:space="preserve"> </w:t>
      </w:r>
      <w:r w:rsidRPr="00432E65">
        <w:t>https://www.pbs.gov.au/industry/listing/elements/pbac-meetings/pbac-outcomes/2022-12/december-2022-pbac-web-outcomes-other-matters.pdf</w:t>
      </w:r>
    </w:p>
  </w:footnote>
  <w:footnote w:id="13">
    <w:p w14:paraId="549C83EE" w14:textId="43DCF54C" w:rsidR="00432E65" w:rsidRDefault="00432E65">
      <w:pPr>
        <w:pStyle w:val="FootnoteText"/>
      </w:pPr>
      <w:r>
        <w:rPr>
          <w:rStyle w:val="FootnoteReference"/>
        </w:rPr>
        <w:footnoteRef/>
      </w:r>
      <w:r>
        <w:t xml:space="preserve"> </w:t>
      </w:r>
      <w:r w:rsidRPr="00432E65">
        <w:t>https://www.pbs.gov.au/industry/listing/elements/pbac-meetings/pbac-outcomes/2022-12/Increased-Dispensing-Quantities-List-of-Medicines.pdf</w:t>
      </w:r>
    </w:p>
  </w:footnote>
  <w:footnote w:id="14">
    <w:p w14:paraId="3A888871" w14:textId="77777777" w:rsidR="008A555F" w:rsidRPr="00290876" w:rsidRDefault="008A555F" w:rsidP="00290876">
      <w:pPr>
        <w:pStyle w:val="FootnoteText"/>
        <w:rPr>
          <w:rFonts w:ascii="Calibri" w:hAnsi="Calibri"/>
          <w:color w:val="0D0D0D" w:themeColor="text1" w:themeTint="F2"/>
        </w:rPr>
      </w:pPr>
      <w:r w:rsidRPr="00290876">
        <w:rPr>
          <w:rStyle w:val="FootnoteReference"/>
          <w:rFonts w:ascii="Calibri" w:hAnsi="Calibri"/>
          <w:color w:val="0D0D0D" w:themeColor="text1" w:themeTint="F2"/>
        </w:rPr>
        <w:footnoteRef/>
      </w:r>
      <w:r w:rsidRPr="00290876">
        <w:rPr>
          <w:rFonts w:ascii="Calibri" w:hAnsi="Calibri"/>
          <w:color w:val="0D0D0D" w:themeColor="text1" w:themeTint="F2"/>
        </w:rPr>
        <w:t xml:space="preserve"> https://www.yourlifechoices.com.au/health/news/paying-too-much-for-meds</w:t>
      </w:r>
    </w:p>
  </w:footnote>
  <w:footnote w:id="15">
    <w:p w14:paraId="396A127A" w14:textId="491B77FB" w:rsidR="008A555F" w:rsidRPr="00290876" w:rsidRDefault="008A555F" w:rsidP="00290876">
      <w:pPr>
        <w:spacing w:after="0" w:line="240" w:lineRule="auto"/>
        <w:rPr>
          <w:color w:val="0D0D0D" w:themeColor="text1" w:themeTint="F2"/>
        </w:rPr>
      </w:pPr>
      <w:r w:rsidRPr="00290876">
        <w:rPr>
          <w:rStyle w:val="FootnoteReference"/>
          <w:color w:val="0D0D0D" w:themeColor="text1" w:themeTint="F2"/>
        </w:rPr>
        <w:footnoteRef/>
      </w:r>
      <w:r w:rsidRPr="00290876">
        <w:rPr>
          <w:color w:val="0D0D0D" w:themeColor="text1" w:themeTint="F2"/>
        </w:rPr>
        <w:t xml:space="preserve"> </w:t>
      </w:r>
      <w:hyperlink r:id="rId4" w:history="1">
        <w:r w:rsidRPr="00290876">
          <w:rPr>
            <w:rStyle w:val="Hyperlink"/>
            <w:color w:val="0D0D0D" w:themeColor="text1" w:themeTint="F2"/>
          </w:rPr>
          <w:t>Not so universal: How to reduce out-of-pocket healthcare payments - Grattan Institute</w:t>
        </w:r>
      </w:hyperlink>
    </w:p>
  </w:footnote>
  <w:footnote w:id="16">
    <w:p w14:paraId="1E8952B2" w14:textId="77777777" w:rsidR="008A555F" w:rsidRPr="00290876" w:rsidRDefault="008A555F" w:rsidP="00290876">
      <w:pPr>
        <w:pStyle w:val="FootnoteText"/>
        <w:rPr>
          <w:rFonts w:ascii="Calibri" w:hAnsi="Calibri"/>
          <w:color w:val="0D0D0D" w:themeColor="text1" w:themeTint="F2"/>
        </w:rPr>
      </w:pPr>
      <w:r w:rsidRPr="00290876">
        <w:rPr>
          <w:rStyle w:val="FootnoteReference"/>
          <w:rFonts w:ascii="Calibri" w:hAnsi="Calibri"/>
          <w:color w:val="0D0D0D" w:themeColor="text1" w:themeTint="F2"/>
        </w:rPr>
        <w:footnoteRef/>
      </w:r>
      <w:r w:rsidRPr="00290876">
        <w:rPr>
          <w:rFonts w:ascii="Calibri" w:hAnsi="Calibri"/>
          <w:color w:val="0D0D0D" w:themeColor="text1" w:themeTint="F2"/>
        </w:rPr>
        <w:t xml:space="preserve"> </w:t>
      </w:r>
      <w:hyperlink r:id="rId5" w:history="1">
        <w:r w:rsidRPr="00290876">
          <w:rPr>
            <w:rStyle w:val="Hyperlink"/>
            <w:rFonts w:ascii="Calibri" w:hAnsi="Calibri"/>
            <w:color w:val="0D0D0D" w:themeColor="text1" w:themeTint="F2"/>
          </w:rPr>
          <w:t xml:space="preserve"> https://chf.org.au/media-releases/open-pharmacy-agreement-give-consumers-better-deal</w:t>
        </w:r>
      </w:hyperlink>
    </w:p>
  </w:footnote>
  <w:footnote w:id="17">
    <w:p w14:paraId="5B03ECDA" w14:textId="77777777" w:rsidR="008A555F" w:rsidRPr="00290876" w:rsidRDefault="008A555F" w:rsidP="00290876">
      <w:pPr>
        <w:spacing w:after="0" w:line="240" w:lineRule="auto"/>
        <w:rPr>
          <w:rFonts w:ascii="Calibri" w:hAnsi="Calibri"/>
          <w:color w:val="0D0D0D" w:themeColor="text1" w:themeTint="F2"/>
        </w:rPr>
      </w:pPr>
      <w:r w:rsidRPr="00290876">
        <w:rPr>
          <w:rFonts w:ascii="Calibri" w:hAnsi="Calibri"/>
          <w:color w:val="0D0D0D" w:themeColor="text1" w:themeTint="F2"/>
          <w:vertAlign w:val="superscript"/>
        </w:rPr>
        <w:footnoteRef/>
      </w:r>
      <w:r w:rsidRPr="00290876">
        <w:rPr>
          <w:rFonts w:ascii="Calibri" w:hAnsi="Calibri"/>
          <w:color w:val="0D0D0D" w:themeColor="text1" w:themeTint="F2"/>
        </w:rPr>
        <w:t xml:space="preserve"> </w:t>
      </w:r>
      <w:hyperlink r:id="rId6" w:history="1">
        <w:r w:rsidRPr="00290876">
          <w:rPr>
            <w:rFonts w:ascii="Calibri" w:hAnsi="Calibri"/>
            <w:color w:val="0D0D0D" w:themeColor="text1" w:themeTint="F2"/>
          </w:rPr>
          <w:t>https://www.patients.org.au/affordable-medicines-now/</w:t>
        </w:r>
      </w:hyperlink>
    </w:p>
  </w:footnote>
  <w:footnote w:id="18">
    <w:p w14:paraId="40A24515" w14:textId="77777777" w:rsidR="008A555F" w:rsidRPr="00290876" w:rsidRDefault="008A555F" w:rsidP="00290876">
      <w:pPr>
        <w:pStyle w:val="FootnoteText"/>
        <w:rPr>
          <w:rFonts w:ascii="Calibri" w:hAnsi="Calibri"/>
          <w:color w:val="0D0D0D" w:themeColor="text1" w:themeTint="F2"/>
        </w:rPr>
      </w:pPr>
      <w:r w:rsidRPr="00290876">
        <w:rPr>
          <w:rStyle w:val="FootnoteReference"/>
          <w:rFonts w:ascii="Calibri" w:hAnsi="Calibri"/>
          <w:color w:val="0D0D0D" w:themeColor="text1" w:themeTint="F2"/>
        </w:rPr>
        <w:footnoteRef/>
      </w:r>
      <w:r w:rsidRPr="00290876">
        <w:rPr>
          <w:rFonts w:ascii="Calibri" w:hAnsi="Calibri"/>
          <w:color w:val="0D0D0D" w:themeColor="text1" w:themeTint="F2"/>
        </w:rPr>
        <w:t xml:space="preserve"> Australian Bureau of Statistics (2021-22), Patient Experiences, ABS Website, accessed 18 January 2023.</w:t>
      </w:r>
    </w:p>
  </w:footnote>
  <w:footnote w:id="19">
    <w:p w14:paraId="2C4100F6" w14:textId="77777777" w:rsidR="008A555F" w:rsidRPr="00290876" w:rsidRDefault="008A555F" w:rsidP="00290876">
      <w:pPr>
        <w:pStyle w:val="FootnoteText"/>
        <w:rPr>
          <w:rFonts w:ascii="Calibri" w:hAnsi="Calibri"/>
          <w:color w:val="0D0D0D" w:themeColor="text1" w:themeTint="F2"/>
        </w:rPr>
      </w:pPr>
      <w:r w:rsidRPr="00290876">
        <w:rPr>
          <w:rStyle w:val="FootnoteReference"/>
          <w:rFonts w:ascii="Calibri" w:hAnsi="Calibri"/>
          <w:color w:val="0D0D0D" w:themeColor="text1" w:themeTint="F2"/>
        </w:rPr>
        <w:footnoteRef/>
      </w:r>
      <w:r w:rsidRPr="00290876">
        <w:rPr>
          <w:rFonts w:ascii="Calibri" w:hAnsi="Calibri"/>
          <w:color w:val="0D0D0D" w:themeColor="text1" w:themeTint="F2"/>
        </w:rPr>
        <w:t xml:space="preserve"> https://australianhealthcareindex.com.au/australian-healthcare-index-june-2022-report/</w:t>
      </w:r>
    </w:p>
  </w:footnote>
  <w:footnote w:id="20">
    <w:p w14:paraId="136C62EA" w14:textId="1BD65A55" w:rsidR="008A555F" w:rsidRPr="00290876" w:rsidRDefault="008A555F" w:rsidP="00290876">
      <w:pPr>
        <w:spacing w:after="0" w:line="240" w:lineRule="auto"/>
        <w:rPr>
          <w:rFonts w:ascii="Arial" w:hAnsi="Arial"/>
          <w:color w:val="0D0D0D" w:themeColor="text1" w:themeTint="F2"/>
        </w:rPr>
      </w:pPr>
      <w:r w:rsidRPr="00290876">
        <w:rPr>
          <w:rStyle w:val="FootnoteReference"/>
          <w:color w:val="0D0D0D" w:themeColor="text1" w:themeTint="F2"/>
        </w:rPr>
        <w:footnoteRef/>
      </w:r>
      <w:r w:rsidRPr="00290876">
        <w:rPr>
          <w:color w:val="0D0D0D" w:themeColor="text1" w:themeTint="F2"/>
        </w:rPr>
        <w:t xml:space="preserve"> </w:t>
      </w:r>
      <w:hyperlink r:id="rId7" w:history="1">
        <w:r w:rsidRPr="00290876">
          <w:rPr>
            <w:rStyle w:val="Hyperlink"/>
            <w:color w:val="0D0D0D" w:themeColor="text1" w:themeTint="F2"/>
          </w:rPr>
          <w:t>Australian-Healthcare-Index-Report-2-October-2021.pdf (australianhealthcareindex.com.au)</w:t>
        </w:r>
      </w:hyperlink>
    </w:p>
  </w:footnote>
  <w:footnote w:id="21">
    <w:p w14:paraId="54CE9809" w14:textId="77777777" w:rsidR="008A555F" w:rsidRPr="009A586E" w:rsidRDefault="008A555F" w:rsidP="00663F85">
      <w:pPr>
        <w:pStyle w:val="FootnoteText"/>
        <w:rPr>
          <w:rFonts w:ascii="Calibri" w:hAnsi="Calibri"/>
          <w:color w:val="auto"/>
        </w:rPr>
      </w:pPr>
      <w:r w:rsidRPr="009A586E">
        <w:rPr>
          <w:rStyle w:val="FootnoteReference"/>
          <w:rFonts w:ascii="Calibri" w:hAnsi="Calibri"/>
          <w:color w:val="auto"/>
        </w:rPr>
        <w:footnoteRef/>
      </w:r>
      <w:r w:rsidRPr="00A51698">
        <w:rPr>
          <w:rFonts w:ascii="Calibri" w:hAnsi="Calibri" w:cs="Calibri"/>
          <w:color w:val="auto"/>
        </w:rPr>
        <w:t xml:space="preserve"> </w:t>
      </w:r>
      <w:hyperlink r:id="rId8" w:history="1">
        <w:r w:rsidRPr="00A51698">
          <w:rPr>
            <w:rStyle w:val="Hyperlink"/>
            <w:rFonts w:ascii="Calibri" w:hAnsi="Calibri" w:cs="Calibri"/>
            <w:color w:val="auto"/>
          </w:rPr>
          <w:t>https://www1.health.gov.au/internet/main/publishing.nsf/Content/MBSR-about</w:t>
        </w:r>
      </w:hyperlink>
      <w:r w:rsidRPr="00A51698">
        <w:rPr>
          <w:rFonts w:ascii="Calibri" w:hAnsi="Calibri" w:cs="Calibri"/>
          <w:color w:val="auto"/>
        </w:rPr>
        <w:t xml:space="preserve"> </w:t>
      </w:r>
      <w:r w:rsidRPr="00BB6DCB">
        <w:rPr>
          <w:rFonts w:ascii="Calibri" w:hAnsi="Calibri" w:cs="Calibri"/>
        </w:rPr>
        <w:t xml:space="preserve"> https://www1.health.gov.au/internet/main/publishing.nsf/Content/MBSR-about</w:t>
      </w:r>
    </w:p>
  </w:footnote>
  <w:footnote w:id="22">
    <w:p w14:paraId="1E04E349" w14:textId="5A9B2936" w:rsidR="008A555F" w:rsidRPr="009A586E" w:rsidRDefault="008A555F" w:rsidP="004F5E93">
      <w:pPr>
        <w:pStyle w:val="FootnoteText"/>
        <w:rPr>
          <w:color w:val="auto"/>
        </w:rPr>
      </w:pPr>
      <w:r w:rsidRPr="009A586E">
        <w:rPr>
          <w:rStyle w:val="FootnoteReference"/>
          <w:color w:val="auto"/>
        </w:rPr>
        <w:footnoteRef/>
      </w:r>
      <w:hyperlink r:id="rId9" w:history="1">
        <w:r w:rsidRPr="00A51698">
          <w:rPr>
            <w:rStyle w:val="Hyperlink"/>
            <w:color w:val="auto"/>
          </w:rPr>
          <w:t>https://www1.health.gov.au/internet/main/publishing.nsf/Content/4BC52286D3009386CA257BF000209AD5/$File/Impact%20of%20PBS%20Reform%20Report%203.pdf</w:t>
        </w:r>
      </w:hyperlink>
      <w:r w:rsidRPr="00A51698">
        <w:rPr>
          <w:color w:val="auto"/>
        </w:rPr>
        <w:t xml:space="preserve"> </w:t>
      </w:r>
    </w:p>
  </w:footnote>
  <w:footnote w:id="23">
    <w:p w14:paraId="3C903A77" w14:textId="69E06D6E" w:rsidR="008A555F" w:rsidRDefault="008A555F" w:rsidP="004F5E93">
      <w:pPr>
        <w:pStyle w:val="FootnoteText"/>
      </w:pPr>
      <w:r w:rsidRPr="009A586E">
        <w:rPr>
          <w:rStyle w:val="FootnoteReference"/>
          <w:color w:val="auto"/>
        </w:rPr>
        <w:footnoteRef/>
      </w:r>
      <w:r w:rsidRPr="00A51698">
        <w:rPr>
          <w:color w:val="auto"/>
        </w:rPr>
        <w:t xml:space="preserve"> </w:t>
      </w:r>
      <w:hyperlink r:id="rId10" w:anchor=":~:text=Summary%20of%20Pharmaceutical%20Benefits%20Scheme%202021-22%20Total%20Pharmaceutical,compared%20with%20%2413.8%20billion%20for%20the%20previous%20year" w:history="1">
        <w:r w:rsidRPr="00A51698">
          <w:rPr>
            <w:rStyle w:val="Hyperlink"/>
            <w:color w:val="auto"/>
          </w:rPr>
          <w:t>https://www.pbs.gov.au/info/statistics/expenditure-prescriptions/pbs-expenditure-and-prescriptions-report-1-july-2021-to-30-june-2022#:~:text=Summary%20of%20Pharmaceutical%20Benefits%20Scheme%202021-22%20Total%20Pharmaceutical,compared%20with%20%2413.8%20billion%20for%20the%20previous%20year</w:t>
        </w:r>
      </w:hyperlink>
      <w:r w:rsidRPr="00A51698">
        <w:rPr>
          <w:color w:val="auto"/>
        </w:rPr>
        <w:t xml:space="preserve"> </w:t>
      </w:r>
      <w:r>
        <w:t xml:space="preserve"> </w:t>
      </w:r>
    </w:p>
  </w:footnote>
  <w:footnote w:id="24">
    <w:p w14:paraId="21476002" w14:textId="77777777" w:rsidR="008A555F" w:rsidRPr="009A586E" w:rsidRDefault="008A555F" w:rsidP="0003758D">
      <w:pPr>
        <w:pStyle w:val="paragraph"/>
        <w:spacing w:before="0" w:beforeAutospacing="0" w:after="0" w:afterAutospacing="0"/>
        <w:textAlignment w:val="baseline"/>
        <w:rPr>
          <w:rStyle w:val="normaltextrun"/>
          <w:rFonts w:ascii="Calibri" w:hAnsi="Calibri"/>
          <w:sz w:val="20"/>
        </w:rPr>
      </w:pPr>
      <w:r w:rsidRPr="009B7E05">
        <w:rPr>
          <w:rStyle w:val="FootnoteReference"/>
          <w:rFonts w:ascii="Calibri" w:hAnsi="Calibri" w:cs="Calibri"/>
          <w:sz w:val="20"/>
          <w:szCs w:val="20"/>
        </w:rPr>
        <w:footnoteRef/>
      </w:r>
      <w:r w:rsidRPr="009B7E05">
        <w:rPr>
          <w:rFonts w:ascii="Calibri" w:hAnsi="Calibri" w:cs="Calibri"/>
          <w:sz w:val="20"/>
          <w:szCs w:val="20"/>
        </w:rPr>
        <w:t xml:space="preserve"> </w:t>
      </w:r>
      <w:hyperlink r:id="rId11" w:history="1">
        <w:r w:rsidRPr="009A586E">
          <w:rPr>
            <w:rStyle w:val="Hyperlink"/>
            <w:rFonts w:ascii="Calibri" w:hAnsi="Calibri"/>
            <w:color w:val="auto"/>
            <w:sz w:val="20"/>
          </w:rPr>
          <w:t>National Medicines Policy | Australian Government Department of Health and Aged Care</w:t>
        </w:r>
      </w:hyperlink>
    </w:p>
    <w:p w14:paraId="111D09DE" w14:textId="66DD0593" w:rsidR="008A555F" w:rsidRDefault="008A555F">
      <w:pPr>
        <w:pStyle w:val="FootnoteText"/>
      </w:pPr>
    </w:p>
  </w:footnote>
  <w:footnote w:id="25">
    <w:p w14:paraId="3C3CA966" w14:textId="73F2F9E5" w:rsidR="008A555F" w:rsidRPr="00DF2E81" w:rsidRDefault="008A555F" w:rsidP="00DF2E81">
      <w:pPr>
        <w:spacing w:after="0"/>
        <w:rPr>
          <w:rFonts w:ascii="Arial" w:hAnsi="Arial"/>
          <w:color w:val="000000" w:themeColor="text1"/>
        </w:rPr>
      </w:pPr>
      <w:r w:rsidRPr="00DF2E81">
        <w:rPr>
          <w:rStyle w:val="FootnoteReference"/>
          <w:color w:val="000000" w:themeColor="text1"/>
        </w:rPr>
        <w:footnoteRef/>
      </w:r>
      <w:r w:rsidRPr="00DF2E81">
        <w:rPr>
          <w:color w:val="000000" w:themeColor="text1"/>
        </w:rPr>
        <w:t xml:space="preserve"> </w:t>
      </w:r>
      <w:hyperlink r:id="rId12" w:history="1">
        <w:r w:rsidRPr="00DF2E81">
          <w:rPr>
            <w:rStyle w:val="Hyperlink"/>
            <w:color w:val="000000" w:themeColor="text1"/>
          </w:rPr>
          <w:t>Collaboration between doctors and pharmacists in the community - Australian Prescriber (nps.org.au)</w:t>
        </w:r>
      </w:hyperlink>
    </w:p>
  </w:footnote>
  <w:footnote w:id="26">
    <w:p w14:paraId="37758FBE" w14:textId="77777777" w:rsidR="008A555F" w:rsidRDefault="008A555F" w:rsidP="006132D5">
      <w:pPr>
        <w:pStyle w:val="FootnoteText"/>
      </w:pPr>
      <w:r>
        <w:rPr>
          <w:rStyle w:val="FootnoteReference"/>
        </w:rPr>
        <w:footnoteRef/>
      </w:r>
      <w:r>
        <w:t xml:space="preserve"> As at 1 January 2023 pbs.gov.au</w:t>
      </w:r>
    </w:p>
  </w:footnote>
  <w:footnote w:id="27">
    <w:p w14:paraId="774B7545" w14:textId="77777777" w:rsidR="008A555F" w:rsidRDefault="008A555F"/>
  </w:footnote>
  <w:footnote w:id="28">
    <w:p w14:paraId="48ED9221" w14:textId="4FF81E46" w:rsidR="008A555F" w:rsidRPr="00AA0A9F" w:rsidRDefault="008A555F" w:rsidP="00DF2E81">
      <w:pPr>
        <w:spacing w:after="0"/>
        <w:rPr>
          <w:rFonts w:cstheme="minorHAnsi"/>
          <w:color w:val="FF0000"/>
        </w:rPr>
      </w:pPr>
      <w:r w:rsidRPr="0053325B">
        <w:rPr>
          <w:rStyle w:val="FootnoteReference"/>
        </w:rPr>
        <w:footnoteRef/>
      </w:r>
      <w:r w:rsidRPr="0053325B">
        <w:rPr>
          <w:color w:val="auto"/>
          <w:shd w:val="clear" w:color="auto" w:fill="FFFFFF"/>
        </w:rPr>
        <w:t xml:space="preserve"> The PBS items </w:t>
      </w:r>
      <w:r w:rsidRPr="0053325B">
        <w:rPr>
          <w:rFonts w:cstheme="minorHAnsi"/>
          <w:color w:val="auto"/>
          <w:shd w:val="clear" w:color="auto" w:fill="FFFFFF"/>
        </w:rPr>
        <w:t xml:space="preserve">subject to the MDQ changes </w:t>
      </w:r>
      <w:r w:rsidRPr="0053325B">
        <w:rPr>
          <w:color w:val="auto"/>
          <w:shd w:val="clear" w:color="auto" w:fill="FFFFFF"/>
        </w:rPr>
        <w:t xml:space="preserve">can </w:t>
      </w:r>
      <w:r w:rsidRPr="0053325B">
        <w:rPr>
          <w:color w:val="111111"/>
          <w:shd w:val="clear" w:color="auto" w:fill="FFFFFF"/>
        </w:rPr>
        <w:t>be prescribed by medical practitioners, nurse practitioners and optometrists, the permitted prescriber for each PBS item is noted in the PBS Schedule.</w:t>
      </w:r>
    </w:p>
  </w:footnote>
  <w:footnote w:id="29">
    <w:p w14:paraId="3338F29F" w14:textId="69076CED" w:rsidR="008A555F" w:rsidRDefault="008A555F" w:rsidP="0053325B">
      <w:r w:rsidRPr="0053325B">
        <w:rPr>
          <w:rStyle w:val="FootnoteReference"/>
          <w:color w:val="auto"/>
        </w:rPr>
        <w:footnoteRef/>
      </w:r>
      <w:r w:rsidRPr="0053325B">
        <w:rPr>
          <w:color w:val="auto"/>
        </w:rPr>
        <w:t xml:space="preserve"> </w:t>
      </w:r>
      <w:hyperlink r:id="rId13" w:history="1">
        <w:r w:rsidRPr="0053325B">
          <w:rPr>
            <w:rStyle w:val="Hyperlink"/>
            <w:color w:val="auto"/>
          </w:rPr>
          <w:t>Role of the sponsor | Therapeutic Goods Administration (TGA)</w:t>
        </w:r>
      </w:hyperlink>
    </w:p>
  </w:footnote>
  <w:footnote w:id="30">
    <w:p w14:paraId="0C5AD322" w14:textId="5B445C0F" w:rsidR="008A555F" w:rsidRPr="00B41983" w:rsidRDefault="008A555F">
      <w:pPr>
        <w:pStyle w:val="FootnoteText"/>
        <w:rPr>
          <w:rFonts w:ascii="Calibri" w:hAnsi="Calibri" w:cs="Calibri"/>
          <w:color w:val="FF0000"/>
        </w:rPr>
      </w:pPr>
      <w:r w:rsidRPr="0053325B">
        <w:rPr>
          <w:rStyle w:val="FootnoteReference"/>
          <w:rFonts w:ascii="Calibri" w:hAnsi="Calibri"/>
          <w:color w:val="auto"/>
        </w:rPr>
        <w:footnoteRef/>
      </w:r>
      <w:r w:rsidRPr="0053325B">
        <w:rPr>
          <w:rFonts w:ascii="Calibri" w:hAnsi="Calibri"/>
          <w:color w:val="auto"/>
        </w:rPr>
        <w:t xml:space="preserve"> </w:t>
      </w:r>
      <w:hyperlink r:id="rId14" w:anchor=":~:text=The%20Pharmaceutical%20Wholesale%20Industry%20is%20a%20vital%20part,–%20pharmacies%20where%20they%20are%20dispensed%20to%20patients" w:history="1">
        <w:r w:rsidRPr="0053325B">
          <w:rPr>
            <w:rStyle w:val="Hyperlink"/>
            <w:rFonts w:ascii="Calibri" w:hAnsi="Calibri"/>
            <w:color w:val="auto"/>
          </w:rPr>
          <w:t>www.npsa.org.au/#:~:text=The%20Pharmaceutical%20Wholesale%20Industry%20is%20a%20vital%20part,–%20pharmacies%20where%20they%20are%20dispensed%20to%20patients</w:t>
        </w:r>
      </w:hyperlink>
    </w:p>
  </w:footnote>
  <w:footnote w:id="31">
    <w:p w14:paraId="545B1C05" w14:textId="77777777" w:rsidR="008A555F" w:rsidRDefault="008A555F" w:rsidP="003F75E0">
      <w:pPr>
        <w:pStyle w:val="FootnoteText"/>
      </w:pPr>
      <w:r>
        <w:rPr>
          <w:rStyle w:val="FootnoteReference"/>
        </w:rPr>
        <w:footnoteRef/>
      </w:r>
      <w:r>
        <w:t xml:space="preserve"> As at 1 January 2023 pbs.gov.au</w:t>
      </w:r>
    </w:p>
  </w:footnote>
  <w:footnote w:id="32">
    <w:p w14:paraId="66CB52C7" w14:textId="77777777" w:rsidR="008A555F" w:rsidRDefault="008A555F" w:rsidP="008E01B6">
      <w:pPr>
        <w:pStyle w:val="FootnoteText"/>
      </w:pPr>
      <w:r>
        <w:rPr>
          <w:rStyle w:val="FootnoteReference"/>
        </w:rPr>
        <w:footnoteRef/>
      </w:r>
      <w:r>
        <w:t xml:space="preserve"> As at 1 January 2023 pbs.gov.au</w:t>
      </w:r>
    </w:p>
  </w:footnote>
  <w:footnote w:id="33">
    <w:p w14:paraId="02EE17A0" w14:textId="0A6261C3" w:rsidR="008A555F" w:rsidRDefault="008A555F">
      <w:pPr>
        <w:pStyle w:val="FootnoteText"/>
      </w:pPr>
      <w:r>
        <w:rPr>
          <w:rStyle w:val="FootnoteReference"/>
        </w:rPr>
        <w:footnoteRef/>
      </w:r>
      <w:r>
        <w:t xml:space="preserve"> </w:t>
      </w:r>
      <w:hyperlink r:id="rId15" w:history="1">
        <w:r w:rsidRPr="004D28D8">
          <w:rPr>
            <w:rStyle w:val="Hyperlink"/>
            <w:color w:val="000000" w:themeColor="text1"/>
          </w:rPr>
          <w:t>National Health (Pharmaceutical Benefits) Regulations 2017 (legislation.gov.au)</w:t>
        </w:r>
      </w:hyperlink>
      <w:r w:rsidRPr="004D28D8">
        <w:rPr>
          <w:color w:val="000000" w:themeColor="text1"/>
        </w:rPr>
        <w:t xml:space="preserve"> Part 5 – Prescriptions and supply 44, 2 (b)</w:t>
      </w:r>
    </w:p>
  </w:footnote>
  <w:footnote w:id="34">
    <w:p w14:paraId="545362DC" w14:textId="77777777" w:rsidR="008A555F" w:rsidRDefault="008A555F" w:rsidP="00A33FAC">
      <w:pPr>
        <w:pStyle w:val="FootnoteText"/>
      </w:pPr>
      <w:r>
        <w:rPr>
          <w:rStyle w:val="FootnoteReference"/>
        </w:rPr>
        <w:footnoteRef/>
      </w:r>
      <w:r>
        <w:t xml:space="preserve"> As at 1 January 2023 pbs.gov.au</w:t>
      </w:r>
    </w:p>
  </w:footnote>
  <w:footnote w:id="35">
    <w:p w14:paraId="49FBD796" w14:textId="77777777" w:rsidR="008A555F" w:rsidRDefault="008A555F" w:rsidP="00860BDE">
      <w:pPr>
        <w:pStyle w:val="FootnoteText"/>
      </w:pPr>
      <w:r>
        <w:rPr>
          <w:rStyle w:val="FootnoteReference"/>
        </w:rPr>
        <w:footnoteRef/>
      </w:r>
      <w:r>
        <w:t xml:space="preserve"> As at 1 January 2023 pbs.gov.au</w:t>
      </w:r>
    </w:p>
  </w:footnote>
  <w:footnote w:id="36">
    <w:p w14:paraId="41F614B9" w14:textId="77777777" w:rsidR="008A555F" w:rsidRDefault="008A555F" w:rsidP="00C0162A">
      <w:pPr>
        <w:pStyle w:val="FootnoteText"/>
      </w:pPr>
      <w:r>
        <w:rPr>
          <w:rStyle w:val="FootnoteReference"/>
        </w:rPr>
        <w:footnoteRef/>
      </w:r>
      <w:r>
        <w:t xml:space="preserve"> As at 1 January 2023 pbs.gov.au</w:t>
      </w:r>
    </w:p>
  </w:footnote>
  <w:footnote w:id="37">
    <w:p w14:paraId="1885C5F7" w14:textId="77777777" w:rsidR="008A555F" w:rsidRDefault="008A555F" w:rsidP="00C0162A">
      <w:pPr>
        <w:pStyle w:val="FootnoteText"/>
      </w:pPr>
      <w:r>
        <w:rPr>
          <w:rStyle w:val="FootnoteReference"/>
        </w:rPr>
        <w:footnoteRef/>
      </w:r>
      <w:r>
        <w:t xml:space="preserve"> As at 1 January 2023 pbs.gov.au</w:t>
      </w:r>
    </w:p>
  </w:footnote>
  <w:footnote w:id="38">
    <w:p w14:paraId="2B702076" w14:textId="77777777" w:rsidR="008A555F" w:rsidRPr="000C3D1B" w:rsidRDefault="008A555F" w:rsidP="0080415F">
      <w:pPr>
        <w:pStyle w:val="FootnoteText"/>
      </w:pPr>
      <w:r w:rsidRPr="000C3D1B">
        <w:rPr>
          <w:rStyle w:val="FootnoteReference"/>
        </w:rPr>
        <w:footnoteRef/>
      </w:r>
      <w:r w:rsidRPr="000C3D1B">
        <w:t xml:space="preserve"> Kemp Anna, Preen David B., Glover John, Semmens James, Roughead Elizabeth E. (2011) How much do we spend on prescription medicines? Out-of-pocket costs for patients in Australia and other OECD countries. </w:t>
      </w:r>
      <w:r w:rsidRPr="000C3D1B">
        <w:rPr>
          <w:i/>
          <w:iCs/>
        </w:rPr>
        <w:t>Australian Health Review</w:t>
      </w:r>
      <w:r w:rsidRPr="000C3D1B">
        <w:t xml:space="preserve"> </w:t>
      </w:r>
      <w:r w:rsidRPr="000C3D1B">
        <w:rPr>
          <w:bCs/>
        </w:rPr>
        <w:t>35</w:t>
      </w:r>
      <w:r w:rsidRPr="000C3D1B">
        <w:t>, 341-349.</w:t>
      </w:r>
      <w:hyperlink r:id="rId16" w:history="1">
        <w:r w:rsidRPr="00A51698">
          <w:rPr>
            <w:rStyle w:val="Hyperlink"/>
            <w:color w:val="auto"/>
          </w:rPr>
          <w:t>https://doi.org/10.1071/AH10906</w:t>
        </w:r>
      </w:hyperlink>
      <w:r w:rsidRPr="00A51698">
        <w:rPr>
          <w:color w:val="auto"/>
        </w:rPr>
        <w:t xml:space="preserve"> </w:t>
      </w:r>
      <w:r w:rsidRPr="000C3D1B">
        <w:t>.</w:t>
      </w:r>
    </w:p>
    <w:p w14:paraId="079A1454" w14:textId="77777777" w:rsidR="008A555F" w:rsidRPr="00DE2E77" w:rsidRDefault="008A555F" w:rsidP="0080415F">
      <w:pPr>
        <w:pStyle w:val="FootnoteText"/>
      </w:pPr>
      <w:r w:rsidRPr="000C3D1B">
        <w:t>https://doi.org/10.1071/AH10906</w:t>
      </w:r>
    </w:p>
  </w:footnote>
  <w:footnote w:id="39">
    <w:p w14:paraId="16D28B2B" w14:textId="7C672A2C" w:rsidR="008A555F" w:rsidRDefault="008A555F" w:rsidP="006806B6">
      <w:pPr>
        <w:pStyle w:val="FootnoteText"/>
      </w:pPr>
      <w:r>
        <w:rPr>
          <w:rStyle w:val="FootnoteReference"/>
        </w:rPr>
        <w:footnoteRef/>
      </w:r>
      <w:r>
        <w:t xml:space="preserve"> Department of Health and Aged Care April 2023</w:t>
      </w:r>
    </w:p>
  </w:footnote>
  <w:footnote w:id="40">
    <w:p w14:paraId="7EF5BA6F" w14:textId="1E2470B4" w:rsidR="008A555F" w:rsidRPr="00B855AF" w:rsidRDefault="008A555F" w:rsidP="00522795">
      <w:pPr>
        <w:shd w:val="clear" w:color="auto" w:fill="FFFFFF"/>
        <w:spacing w:after="0" w:line="330" w:lineRule="atLeast"/>
        <w:textAlignment w:val="bottom"/>
        <w:rPr>
          <w:rFonts w:ascii="Calibri" w:hAnsi="Calibri" w:cs="Calibri"/>
          <w:color w:val="0D0D0D" w:themeColor="text1" w:themeTint="F2"/>
        </w:rPr>
      </w:pPr>
      <w:r w:rsidRPr="00B855AF">
        <w:rPr>
          <w:rStyle w:val="FootnoteReference"/>
          <w:rFonts w:ascii="Calibri" w:hAnsi="Calibri" w:cs="Calibri"/>
          <w:color w:val="0D0D0D" w:themeColor="text1" w:themeTint="F2"/>
        </w:rPr>
        <w:footnoteRef/>
      </w:r>
      <w:r w:rsidRPr="00B855AF">
        <w:rPr>
          <w:rFonts w:ascii="Calibri" w:hAnsi="Calibri" w:cs="Calibri"/>
          <w:color w:val="0D0D0D" w:themeColor="text1" w:themeTint="F2"/>
        </w:rPr>
        <w:t xml:space="preserve"> Level B consultation Item 23 Medical Benefits Schedule </w:t>
      </w:r>
      <w:r w:rsidRPr="00B855AF">
        <w:rPr>
          <w:rStyle w:val="HTMLCite"/>
          <w:rFonts w:ascii="Calibri" w:hAnsi="Calibri"/>
          <w:i w:val="0"/>
          <w:color w:val="0D0D0D" w:themeColor="text1" w:themeTint="F2"/>
        </w:rPr>
        <w:t>www9.health.gov.au/mbs/fullDisplay.cfm?type=item&amp;q=23</w:t>
      </w:r>
      <w:r w:rsidRPr="00B855AF">
        <w:rPr>
          <w:rStyle w:val="HTMLCite"/>
          <w:rFonts w:ascii="Calibri" w:hAnsi="Calibri" w:cs="Calibri"/>
          <w:i w:val="0"/>
          <w:iCs w:val="0"/>
          <w:color w:val="0D0D0D" w:themeColor="text1" w:themeTint="F2"/>
        </w:rPr>
        <w:t xml:space="preserve">  </w:t>
      </w:r>
    </w:p>
  </w:footnote>
  <w:footnote w:id="41">
    <w:p w14:paraId="42471DC2" w14:textId="7B4D3A65" w:rsidR="008A555F" w:rsidRPr="00B855AF" w:rsidRDefault="008A555F">
      <w:pPr>
        <w:pStyle w:val="FootnoteText"/>
        <w:rPr>
          <w:rFonts w:ascii="Calibri" w:hAnsi="Calibri" w:cs="Calibri"/>
          <w:color w:val="0D0D0D" w:themeColor="text1" w:themeTint="F2"/>
        </w:rPr>
      </w:pPr>
      <w:r w:rsidRPr="00B855AF">
        <w:rPr>
          <w:rStyle w:val="FootnoteReference"/>
          <w:rFonts w:ascii="Calibri" w:hAnsi="Calibri"/>
          <w:color w:val="0D0D0D" w:themeColor="text1" w:themeTint="F2"/>
        </w:rPr>
        <w:footnoteRef/>
      </w:r>
      <w:r w:rsidRPr="00B855AF">
        <w:rPr>
          <w:rFonts w:ascii="Calibri" w:hAnsi="Calibri"/>
          <w:color w:val="0D0D0D" w:themeColor="text1" w:themeTint="F2"/>
        </w:rPr>
        <w:t xml:space="preserve"> Estimated by consultation with Department of Health and Aged Care practicing community pharmacists</w:t>
      </w:r>
    </w:p>
  </w:footnote>
  <w:footnote w:id="42">
    <w:p w14:paraId="2921CE9E" w14:textId="65D70073" w:rsidR="008A555F" w:rsidRDefault="008A555F">
      <w:pPr>
        <w:pStyle w:val="FootnoteText"/>
      </w:pPr>
      <w:r w:rsidRPr="00B855AF">
        <w:rPr>
          <w:rStyle w:val="FootnoteReference"/>
          <w:color w:val="0D0D0D" w:themeColor="text1" w:themeTint="F2"/>
        </w:rPr>
        <w:footnoteRef/>
      </w:r>
      <w:r w:rsidRPr="00B855AF">
        <w:rPr>
          <w:color w:val="0D0D0D" w:themeColor="text1" w:themeTint="F2"/>
        </w:rPr>
        <w:t xml:space="preserve"> 2022 </w:t>
      </w:r>
      <w:hyperlink r:id="rId17" w:history="1">
        <w:r w:rsidRPr="00B855AF">
          <w:rPr>
            <w:color w:val="0D0D0D" w:themeColor="text1" w:themeTint="F2"/>
          </w:rPr>
          <w:t>Regulatory Burden Measurement Framework | The Office of Impact Analysis (pmc.gov.au)</w:t>
        </w:r>
      </w:hyperlink>
    </w:p>
  </w:footnote>
  <w:footnote w:id="43">
    <w:p w14:paraId="5B13699B" w14:textId="61985A6C" w:rsidR="008A555F" w:rsidRPr="00AA0A9F" w:rsidRDefault="008A555F" w:rsidP="00AA0A9F">
      <w:pPr>
        <w:pStyle w:val="CommentText"/>
        <w:rPr>
          <w:color w:val="FF0000"/>
        </w:rPr>
      </w:pPr>
      <w:r w:rsidRPr="00AA0A9F">
        <w:rPr>
          <w:rStyle w:val="FootnoteReference"/>
          <w:color w:val="auto"/>
        </w:rPr>
        <w:footnoteRef/>
      </w:r>
      <w:r w:rsidRPr="00AA0A9F">
        <w:rPr>
          <w:color w:val="auto"/>
        </w:rPr>
        <w:t xml:space="preserve"> </w:t>
      </w:r>
      <w:hyperlink r:id="rId18" w:history="1">
        <w:r w:rsidRPr="00AA0A9F">
          <w:rPr>
            <w:rStyle w:val="Hyperlink"/>
            <w:color w:val="auto"/>
          </w:rPr>
          <w:t>Government boosts funding for community pharmacies to support more rural and regional communities | Health Portfolio Ministers and Aged Care</w:t>
        </w:r>
      </w:hyperlink>
    </w:p>
  </w:footnote>
  <w:footnote w:id="44">
    <w:p w14:paraId="1A8BF1B4" w14:textId="72F95CA8" w:rsidR="008A555F" w:rsidRPr="00B855AF" w:rsidRDefault="008A555F">
      <w:pPr>
        <w:pStyle w:val="FootnoteText"/>
        <w:rPr>
          <w:color w:val="0D0D0D" w:themeColor="text1" w:themeTint="F2"/>
        </w:rPr>
      </w:pPr>
      <w:r w:rsidRPr="00B855AF">
        <w:rPr>
          <w:rStyle w:val="FootnoteReference"/>
          <w:color w:val="0D0D0D" w:themeColor="text1" w:themeTint="F2"/>
        </w:rPr>
        <w:footnoteRef/>
      </w:r>
      <w:r w:rsidRPr="00B855AF">
        <w:rPr>
          <w:color w:val="0D0D0D" w:themeColor="text1" w:themeTint="F2"/>
        </w:rPr>
        <w:t xml:space="preserve"> Number of dispensing’s avoided based on forecasts 2023-03-24 TAAD Double MDQ costing</w:t>
      </w:r>
      <w:r w:rsidR="000A2A85">
        <w:rPr>
          <w:color w:val="0D0D0D" w:themeColor="text1" w:themeTint="F2"/>
        </w:rPr>
        <w:t>, D</w:t>
      </w:r>
      <w:r w:rsidRPr="00B855AF">
        <w:rPr>
          <w:color w:val="0D0D0D" w:themeColor="text1" w:themeTint="F2"/>
        </w:rPr>
        <w:t>epartment of Health and Aged Care</w:t>
      </w:r>
    </w:p>
  </w:footnote>
  <w:footnote w:id="45">
    <w:p w14:paraId="32AA05AA" w14:textId="3C1019B1" w:rsidR="008A555F" w:rsidRPr="00B855AF" w:rsidRDefault="008A555F">
      <w:pPr>
        <w:pStyle w:val="FootnoteText"/>
        <w:rPr>
          <w:color w:val="0D0D0D" w:themeColor="text1" w:themeTint="F2"/>
        </w:rPr>
      </w:pPr>
      <w:r w:rsidRPr="00B855AF">
        <w:rPr>
          <w:rStyle w:val="FootnoteReference"/>
          <w:color w:val="0D0D0D" w:themeColor="text1" w:themeTint="F2"/>
        </w:rPr>
        <w:footnoteRef/>
      </w:r>
      <w:r w:rsidRPr="00B855AF">
        <w:rPr>
          <w:color w:val="0D0D0D" w:themeColor="text1" w:themeTint="F2"/>
        </w:rPr>
        <w:t xml:space="preserve"> Estimated by consultation with Department of Health and Aged Care with practising community pharmacists</w:t>
      </w:r>
    </w:p>
  </w:footnote>
  <w:footnote w:id="46">
    <w:p w14:paraId="3D0A9C9A" w14:textId="77777777" w:rsidR="008A555F" w:rsidRPr="00B855AF" w:rsidRDefault="008A555F" w:rsidP="001D11CD">
      <w:pPr>
        <w:pStyle w:val="FootnoteText"/>
        <w:rPr>
          <w:color w:val="0D0D0D" w:themeColor="text1" w:themeTint="F2"/>
        </w:rPr>
      </w:pPr>
      <w:r w:rsidRPr="00B855AF">
        <w:rPr>
          <w:rStyle w:val="FootnoteReference"/>
          <w:color w:val="0D0D0D" w:themeColor="text1" w:themeTint="F2"/>
        </w:rPr>
        <w:footnoteRef/>
      </w:r>
      <w:r w:rsidRPr="00B855AF">
        <w:rPr>
          <w:color w:val="0D0D0D" w:themeColor="text1" w:themeTint="F2"/>
        </w:rPr>
        <w:t xml:space="preserve"> https://www1.racgp.org.au/newsgp/racgp/government-backdown-on-dispensing-prioritises-prof</w:t>
      </w:r>
    </w:p>
  </w:footnote>
  <w:footnote w:id="47">
    <w:p w14:paraId="5B26A1BA" w14:textId="77777777" w:rsidR="008A555F" w:rsidRDefault="008A555F" w:rsidP="001D11CD">
      <w:pPr>
        <w:pStyle w:val="FootnoteText"/>
      </w:pPr>
      <w:r w:rsidRPr="00B855AF">
        <w:rPr>
          <w:rStyle w:val="FootnoteReference"/>
          <w:color w:val="0D0D0D" w:themeColor="text1" w:themeTint="F2"/>
        </w:rPr>
        <w:footnoteRef/>
      </w:r>
      <w:r w:rsidRPr="00B855AF">
        <w:rPr>
          <w:color w:val="0D0D0D" w:themeColor="text1" w:themeTint="F2"/>
        </w:rPr>
        <w:t xml:space="preserve"> https://www.smh.com.au/politics/federal/greg-hunt-shelves-plan-for-two-month-scripts-after-pharmacist-backlash-20190328-p518gw.html</w:t>
      </w:r>
    </w:p>
  </w:footnote>
  <w:footnote w:id="48">
    <w:p w14:paraId="00638A7E" w14:textId="64227E5F" w:rsidR="008A555F" w:rsidRDefault="008A555F">
      <w:pPr>
        <w:pStyle w:val="FootnoteText"/>
      </w:pPr>
      <w:r>
        <w:rPr>
          <w:rStyle w:val="FootnoteReference"/>
        </w:rPr>
        <w:footnoteRef/>
      </w:r>
      <w:r>
        <w:t xml:space="preserve"> </w:t>
      </w:r>
      <w:r w:rsidRPr="00843FFD">
        <w:t>https://www.pbs.gov.au/info/industry/listing/procedure-guidance/shortened-forms-and-definitions</w:t>
      </w:r>
    </w:p>
  </w:footnote>
  <w:footnote w:id="49">
    <w:p w14:paraId="741737FB" w14:textId="77777777" w:rsidR="008A555F" w:rsidRDefault="008A555F" w:rsidP="001D11CD">
      <w:pPr>
        <w:pStyle w:val="FootnoteText"/>
      </w:pPr>
      <w:r>
        <w:rPr>
          <w:rStyle w:val="FootnoteReference"/>
        </w:rPr>
        <w:footnoteRef/>
      </w:r>
      <w:r w:rsidRPr="005F7802">
        <w:t>https://www1.health.gov.au/internet/main/publishing.nsf/Content/4BC52286D3009386CA257BF000209AD5/$File/Impact%20of%20PBS%20Reform%20Report%203.pdf</w:t>
      </w:r>
    </w:p>
  </w:footnote>
  <w:footnote w:id="50">
    <w:p w14:paraId="39CB891A" w14:textId="77777777" w:rsidR="008A555F" w:rsidRDefault="008A555F" w:rsidP="001D11CD">
      <w:r>
        <w:rPr>
          <w:rStyle w:val="FootnoteReference"/>
        </w:rPr>
        <w:footnoteRef/>
      </w:r>
      <w:r>
        <w:t xml:space="preserve"> </w:t>
      </w:r>
      <w:r w:rsidRPr="001548C4">
        <w:rPr>
          <w:color w:val="auto"/>
        </w:rPr>
        <w:t xml:space="preserve">Level B Consultation as 1/2/2023 </w:t>
      </w:r>
      <w:hyperlink r:id="rId19" w:anchor=":~:text=A%20Level%20B%20item%20will%20be%20used%20for,this%20should%20be%20reflected%20in%20the%20practitioner%27s%20record" w:history="1">
        <w:r w:rsidRPr="001548C4">
          <w:rPr>
            <w:rStyle w:val="Hyperlink"/>
            <w:color w:val="auto"/>
          </w:rPr>
          <w:t>http://www9.health.gov.au/mbs/fullDisplay.cfm?type=item&amp;q=23#:~:text=A%20Level%20B%20item%20will%20be%20used%20for,this%20should%20be%20reflected%20in%20the%20practitioner%27s%20record</w:t>
        </w:r>
      </w:hyperlink>
      <w:r w:rsidRPr="001548C4">
        <w:rPr>
          <w:color w:val="auto"/>
        </w:rPr>
        <w:t>.</w:t>
      </w:r>
    </w:p>
  </w:footnote>
  <w:footnote w:id="51">
    <w:p w14:paraId="27B4519E" w14:textId="77777777" w:rsidR="008A555F" w:rsidRDefault="008A555F" w:rsidP="00E45FF2">
      <w:pPr>
        <w:pStyle w:val="FootnoteText"/>
      </w:pPr>
      <w:r>
        <w:rPr>
          <w:rStyle w:val="FootnoteReference"/>
        </w:rPr>
        <w:footnoteRef/>
      </w:r>
      <w:r>
        <w:t xml:space="preserve"> </w:t>
      </w:r>
      <w:r w:rsidRPr="008703C9">
        <w:t xml:space="preserve">2022 </w:t>
      </w:r>
      <w:hyperlink r:id="rId20" w:history="1">
        <w:r w:rsidRPr="008703C9">
          <w:t>Regulatory Burden Measurement Framework | The Office of Impact Analysis (pmc.gov.au)</w:t>
        </w:r>
      </w:hyperlink>
    </w:p>
  </w:footnote>
  <w:footnote w:id="52">
    <w:p w14:paraId="4B33C674" w14:textId="6E818A4A" w:rsidR="008A555F" w:rsidRPr="00A32714" w:rsidRDefault="008A555F">
      <w:pPr>
        <w:pStyle w:val="FootnoteText"/>
        <w:rPr>
          <w:highlight w:val="yellow"/>
        </w:rPr>
      </w:pPr>
      <w:r w:rsidRPr="008B2859">
        <w:rPr>
          <w:rStyle w:val="FootnoteReference"/>
          <w:color w:val="0D0D0D" w:themeColor="text1" w:themeTint="F2"/>
        </w:rPr>
        <w:footnoteRef/>
      </w:r>
      <w:r w:rsidRPr="008B2859">
        <w:rPr>
          <w:color w:val="0D0D0D" w:themeColor="text1" w:themeTint="F2"/>
        </w:rPr>
        <w:t xml:space="preserve"> Number of dispensings avoided based on forecasts 2023-03-24 TAAD Triple MDQ costing Department of Health and Aged Care</w:t>
      </w:r>
    </w:p>
  </w:footnote>
  <w:footnote w:id="53">
    <w:p w14:paraId="31D70CAA" w14:textId="16BFB31D" w:rsidR="008A555F" w:rsidRDefault="008A555F">
      <w:pPr>
        <w:pStyle w:val="FootnoteText"/>
      </w:pPr>
      <w:r w:rsidRPr="001548C4">
        <w:rPr>
          <w:rStyle w:val="FootnoteReference"/>
          <w:color w:val="000000" w:themeColor="text1"/>
        </w:rPr>
        <w:footnoteRef/>
      </w:r>
      <w:r w:rsidRPr="001548C4">
        <w:rPr>
          <w:color w:val="000000" w:themeColor="text1"/>
        </w:rPr>
        <w:t xml:space="preserve"> Estimated by consultation with Department of Health and Aged Care with practising community pharmacists</w:t>
      </w:r>
    </w:p>
  </w:footnote>
  <w:footnote w:id="54">
    <w:p w14:paraId="642BC6A1" w14:textId="11C2ADA0" w:rsidR="008A555F" w:rsidRPr="006E5525" w:rsidRDefault="008A555F" w:rsidP="006E5525">
      <w:pPr>
        <w:spacing w:after="0"/>
        <w:rPr>
          <w:color w:val="000000" w:themeColor="text1"/>
        </w:rPr>
      </w:pPr>
      <w:r w:rsidRPr="006E5525">
        <w:rPr>
          <w:rStyle w:val="FootnoteReference"/>
          <w:color w:val="000000" w:themeColor="text1"/>
        </w:rPr>
        <w:footnoteRef/>
      </w:r>
      <w:r w:rsidRPr="006E5525">
        <w:rPr>
          <w:color w:val="000000" w:themeColor="text1"/>
        </w:rPr>
        <w:t xml:space="preserve"> </w:t>
      </w:r>
      <w:hyperlink r:id="rId21" w:history="1">
        <w:r w:rsidRPr="006E5525">
          <w:rPr>
            <w:rStyle w:val="Hyperlink"/>
            <w:color w:val="000000" w:themeColor="text1"/>
          </w:rPr>
          <w:t>https://www.9news.com.au/national/doctors-call-to-double-length-of-scripts-pharmacy-guild-disagrees/b971e8a2-cd72-4608-bee5-79f9e5bf6bab</w:t>
        </w:r>
      </w:hyperlink>
    </w:p>
  </w:footnote>
  <w:footnote w:id="55">
    <w:p w14:paraId="02385AE1" w14:textId="53471854" w:rsidR="008A555F" w:rsidRDefault="008A555F" w:rsidP="006E5525">
      <w:r w:rsidRPr="006E5525">
        <w:rPr>
          <w:rStyle w:val="FootnoteReference"/>
          <w:color w:val="000000" w:themeColor="text1"/>
        </w:rPr>
        <w:footnoteRef/>
      </w:r>
      <w:r w:rsidRPr="006E5525">
        <w:rPr>
          <w:color w:val="000000" w:themeColor="text1"/>
        </w:rPr>
        <w:t xml:space="preserve"> </w:t>
      </w:r>
      <w:hyperlink r:id="rId22" w:history="1">
        <w:r w:rsidRPr="006E5525">
          <w:rPr>
            <w:rStyle w:val="Hyperlink"/>
            <w:color w:val="000000" w:themeColor="text1"/>
          </w:rPr>
          <w:t>https://www.9news.com.au/national/doctors-call-to-double-length-of-scripts-pharmacy-guild-disagrees/b971e8a2-cd72-4608-bee5-79f9e5bf6bab</w:t>
        </w:r>
      </w:hyperlink>
    </w:p>
  </w:footnote>
  <w:footnote w:id="56">
    <w:p w14:paraId="6E2E431C" w14:textId="100F2582" w:rsidR="008A555F" w:rsidRPr="004A3C92" w:rsidRDefault="008A555F" w:rsidP="004A3C92">
      <w:pPr>
        <w:spacing w:after="0" w:line="240" w:lineRule="auto"/>
        <w:rPr>
          <w:color w:val="0D0D0D" w:themeColor="text1" w:themeTint="F2"/>
        </w:rPr>
      </w:pPr>
      <w:r w:rsidRPr="004A3C92">
        <w:rPr>
          <w:rStyle w:val="FootnoteReference"/>
          <w:color w:val="0D0D0D" w:themeColor="text1" w:themeTint="F2"/>
        </w:rPr>
        <w:footnoteRef/>
      </w:r>
      <w:r w:rsidRPr="004A3C92">
        <w:rPr>
          <w:color w:val="0D0D0D" w:themeColor="text1" w:themeTint="F2"/>
        </w:rPr>
        <w:t xml:space="preserve"> </w:t>
      </w:r>
      <w:hyperlink r:id="rId23" w:history="1">
        <w:r w:rsidRPr="004A3C92">
          <w:rPr>
            <w:rStyle w:val="Hyperlink"/>
            <w:color w:val="0D0D0D" w:themeColor="text1" w:themeTint="F2"/>
          </w:rPr>
          <w:t>PBS medicines supply (guild.org.au)</w:t>
        </w:r>
      </w:hyperlink>
    </w:p>
  </w:footnote>
  <w:footnote w:id="57">
    <w:p w14:paraId="22C40E51" w14:textId="4B280687" w:rsidR="008A555F" w:rsidRPr="004A3C92" w:rsidRDefault="008A555F" w:rsidP="004A3C92">
      <w:pPr>
        <w:spacing w:after="0" w:line="240" w:lineRule="auto"/>
        <w:rPr>
          <w:color w:val="0D0D0D" w:themeColor="text1" w:themeTint="F2"/>
        </w:rPr>
      </w:pPr>
      <w:r w:rsidRPr="004A3C92">
        <w:rPr>
          <w:rStyle w:val="FootnoteReference"/>
          <w:color w:val="0D0D0D" w:themeColor="text1" w:themeTint="F2"/>
        </w:rPr>
        <w:footnoteRef/>
      </w:r>
      <w:r w:rsidRPr="004A3C92">
        <w:rPr>
          <w:color w:val="0D0D0D" w:themeColor="text1" w:themeTint="F2"/>
        </w:rPr>
        <w:t xml:space="preserve"> Cheaper medicines a step closer - Pharmacy Guild of Australia</w:t>
      </w:r>
    </w:p>
  </w:footnote>
  <w:footnote w:id="58">
    <w:p w14:paraId="22C9A8C1" w14:textId="6C72E292" w:rsidR="008A555F" w:rsidRPr="006E5525" w:rsidRDefault="008A555F" w:rsidP="004A3C92">
      <w:pPr>
        <w:spacing w:after="0" w:line="240" w:lineRule="auto"/>
        <w:rPr>
          <w:color w:val="000000" w:themeColor="text1"/>
        </w:rPr>
      </w:pPr>
      <w:r>
        <w:rPr>
          <w:rStyle w:val="FootnoteReference"/>
        </w:rPr>
        <w:footnoteRef/>
      </w:r>
      <w:r>
        <w:t xml:space="preserve"> </w:t>
      </w:r>
      <w:hyperlink r:id="rId24" w:history="1">
        <w:r w:rsidRPr="006E5525">
          <w:rPr>
            <w:rStyle w:val="Hyperlink"/>
            <w:color w:val="000000" w:themeColor="text1"/>
          </w:rPr>
          <w:t>https://www.9news.com.au/national/doctors-call-to-double-length-of-scripts-pharmacy-guild-disagrees/b971e8a2-cd72-4608-bee5-79f9e5bf6bab</w:t>
        </w:r>
      </w:hyperlink>
    </w:p>
  </w:footnote>
  <w:footnote w:id="59">
    <w:p w14:paraId="5665FAB0" w14:textId="77777777" w:rsidR="008A555F" w:rsidRPr="004A3C92" w:rsidRDefault="008A555F" w:rsidP="004A3C92">
      <w:pPr>
        <w:spacing w:after="0" w:line="240" w:lineRule="auto"/>
        <w:rPr>
          <w:color w:val="0D0D0D" w:themeColor="text1" w:themeTint="F2"/>
        </w:rPr>
      </w:pPr>
      <w:r w:rsidRPr="006E5525">
        <w:rPr>
          <w:rStyle w:val="FootnoteReference"/>
          <w:color w:val="000000" w:themeColor="text1"/>
        </w:rPr>
        <w:footnoteRef/>
      </w:r>
      <w:r w:rsidRPr="006E5525">
        <w:rPr>
          <w:color w:val="000000" w:themeColor="text1"/>
        </w:rPr>
        <w:t xml:space="preserve"> https://www.pbs.gov.au/industry</w:t>
      </w:r>
      <w:r w:rsidRPr="004A3C92">
        <w:rPr>
          <w:color w:val="0D0D0D" w:themeColor="text1" w:themeTint="F2"/>
        </w:rPr>
        <w:t>/listing/elements/pbac-meetings/pbac-outcomes/2018-08/Outcome-Statement-August-2018-Increased-MDQ.pdf</w:t>
      </w:r>
    </w:p>
  </w:footnote>
  <w:footnote w:id="60">
    <w:p w14:paraId="71B73520" w14:textId="65B5B476" w:rsidR="008A555F" w:rsidRPr="001548C4" w:rsidRDefault="008A555F" w:rsidP="004A3C92">
      <w:pPr>
        <w:spacing w:after="0" w:line="240" w:lineRule="auto"/>
      </w:pPr>
      <w:r w:rsidRPr="004A3C92">
        <w:rPr>
          <w:color w:val="0D0D0D" w:themeColor="text1" w:themeTint="F2"/>
          <w:vertAlign w:val="superscript"/>
        </w:rPr>
        <w:footnoteRef/>
      </w:r>
      <w:r w:rsidRPr="004A3C92">
        <w:rPr>
          <w:color w:val="0D0D0D" w:themeColor="text1" w:themeTint="F2"/>
        </w:rPr>
        <w:t xml:space="preserve"> </w:t>
      </w:r>
      <w:hyperlink r:id="rId25" w:history="1">
        <w:r w:rsidRPr="004A3C92">
          <w:rPr>
            <w:color w:val="0D0D0D" w:themeColor="text1" w:themeTint="F2"/>
          </w:rPr>
          <w:t>https://www1.racgp.org.au/newsgp/professional/gps-back-renewed-push-for-extended-dispensing-rule</w:t>
        </w:r>
      </w:hyperlink>
    </w:p>
  </w:footnote>
  <w:footnote w:id="61">
    <w:p w14:paraId="2E23930D" w14:textId="2A842FE8" w:rsidR="008A555F" w:rsidRPr="004A3C92" w:rsidRDefault="008A555F" w:rsidP="006E5525">
      <w:pPr>
        <w:spacing w:after="0"/>
        <w:rPr>
          <w:color w:val="FF0000"/>
        </w:rPr>
      </w:pPr>
      <w:r w:rsidRPr="001548C4">
        <w:rPr>
          <w:rStyle w:val="FootnoteReference"/>
          <w:color w:val="auto"/>
        </w:rPr>
        <w:footnoteRef/>
      </w:r>
      <w:r w:rsidRPr="001548C4">
        <w:rPr>
          <w:color w:val="auto"/>
        </w:rPr>
        <w:t xml:space="preserve"> </w:t>
      </w:r>
      <w:hyperlink r:id="rId26" w:history="1">
        <w:r w:rsidRPr="001548C4">
          <w:rPr>
            <w:rStyle w:val="Hyperlink"/>
            <w:color w:val="auto"/>
          </w:rPr>
          <w:t>RACGP - Media releases</w:t>
        </w:r>
      </w:hyperlink>
    </w:p>
  </w:footnote>
  <w:footnote w:id="62">
    <w:p w14:paraId="1C7DF96C" w14:textId="01D82441" w:rsidR="008A555F" w:rsidRPr="003365B1" w:rsidRDefault="008A555F" w:rsidP="00945C36">
      <w:pPr>
        <w:pStyle w:val="FootnoteText"/>
      </w:pPr>
      <w:r>
        <w:rPr>
          <w:rStyle w:val="FootnoteReference"/>
        </w:rPr>
        <w:footnoteRef/>
      </w:r>
      <w:r>
        <w:t xml:space="preserve"> </w:t>
      </w:r>
      <w:hyperlink r:id="rId27" w:anchor=":~:text=%E2%80%9CBy%20doing%20this%2C%20for%20these%20particular%20medicines%2C%20patients,repeat%20medications%2C%20it%20would%20effectively%20halve%20the%20cost" w:history="1">
        <w:r w:rsidRPr="00A51698">
          <w:rPr>
            <w:rStyle w:val="Hyperlink"/>
            <w:color w:val="auto"/>
          </w:rPr>
          <w:t>https://www.ama.com.au/media/ama-calls-two-months-medicines-be-dispensed-single-script-0#:~:text=%E2%80%9CBy%20doing%20this%2C%20for%20these%20particular%20medicines%2C%20patients,repeat%20medications%2C%20it%20would%20effectively%20halve%20the%20cost</w:t>
        </w:r>
      </w:hyperlink>
      <w:r>
        <w:rPr>
          <w:color w:val="auto"/>
        </w:rPr>
        <w:t xml:space="preserve"> .</w:t>
      </w:r>
    </w:p>
  </w:footnote>
  <w:footnote w:id="63">
    <w:p w14:paraId="7A4FD2D3" w14:textId="4FF79DE1" w:rsidR="008A555F" w:rsidRPr="00EB66AC" w:rsidRDefault="008A555F" w:rsidP="00DF2E81">
      <w:pPr>
        <w:spacing w:after="0"/>
        <w:rPr>
          <w:rFonts w:ascii="Calibri" w:hAnsi="Calibri"/>
          <w:sz w:val="22"/>
          <w:szCs w:val="22"/>
        </w:rPr>
      </w:pPr>
      <w:r w:rsidRPr="007D66D7">
        <w:rPr>
          <w:rStyle w:val="FootnoteReference"/>
          <w:color w:val="auto"/>
        </w:rPr>
        <w:footnoteRef/>
      </w:r>
      <w:r w:rsidRPr="007D66D7">
        <w:rPr>
          <w:color w:val="auto"/>
        </w:rPr>
        <w:t xml:space="preserve"> </w:t>
      </w:r>
      <w:hyperlink r:id="rId28" w:history="1">
        <w:r w:rsidRPr="007D66D7">
          <w:rPr>
            <w:rStyle w:val="Hyperlink"/>
            <w:color w:val="auto"/>
          </w:rPr>
          <w:t>Return of Expired and Unwanted Medicine | Home (returnmed.com.au)</w:t>
        </w:r>
      </w:hyperlink>
    </w:p>
  </w:footnote>
  <w:footnote w:id="64">
    <w:p w14:paraId="6357DAD7" w14:textId="77777777" w:rsidR="008A555F" w:rsidRDefault="008A555F" w:rsidP="009C0DB6">
      <w:pPr>
        <w:pStyle w:val="FootnoteText"/>
      </w:pPr>
      <w:r w:rsidRPr="007D66D7">
        <w:rPr>
          <w:rStyle w:val="FootnoteReference"/>
          <w:color w:val="auto"/>
        </w:rPr>
        <w:footnoteRef/>
      </w:r>
      <w:r w:rsidRPr="007D66D7">
        <w:rPr>
          <w:color w:val="auto"/>
        </w:rPr>
        <w:t xml:space="preserve"> </w:t>
      </w:r>
      <w:hyperlink r:id="rId29" w:history="1">
        <w:r w:rsidRPr="007D66D7">
          <w:rPr>
            <w:rStyle w:val="Hyperlink"/>
            <w:color w:val="auto"/>
          </w:rPr>
          <w:t>Collection Results and Data | Return of Unwanted Medicine (returnmed.com.au)</w:t>
        </w:r>
      </w:hyperlink>
    </w:p>
  </w:footnote>
  <w:footnote w:id="65">
    <w:p w14:paraId="04C4E7A5" w14:textId="2AEDB1A4" w:rsidR="008A555F" w:rsidRPr="007D66D7" w:rsidRDefault="008A555F">
      <w:pPr>
        <w:pStyle w:val="FootnoteText"/>
        <w:rPr>
          <w:color w:val="auto"/>
          <w:sz w:val="18"/>
        </w:rPr>
      </w:pPr>
      <w:r w:rsidRPr="007D66D7">
        <w:rPr>
          <w:rStyle w:val="FootnoteReference"/>
          <w:color w:val="auto"/>
          <w:sz w:val="18"/>
        </w:rPr>
        <w:footnoteRef/>
      </w:r>
      <w:r w:rsidRPr="007D66D7">
        <w:rPr>
          <w:color w:val="auto"/>
          <w:sz w:val="18"/>
        </w:rPr>
        <w:t xml:space="preserve"> </w:t>
      </w:r>
      <w:hyperlink r:id="rId30" w:history="1">
        <w:r w:rsidRPr="007D66D7">
          <w:rPr>
            <w:rStyle w:val="Hyperlink"/>
            <w:color w:val="auto"/>
            <w:sz w:val="18"/>
          </w:rPr>
          <w:t>National Medicines Policy | Australian Government Department of Health and Aged Care</w:t>
        </w:r>
      </w:hyperlink>
    </w:p>
  </w:footnote>
  <w:footnote w:id="66">
    <w:p w14:paraId="423609FF" w14:textId="475B2900" w:rsidR="008A555F" w:rsidRPr="007D66D7" w:rsidRDefault="008A555F">
      <w:pPr>
        <w:pStyle w:val="FootnoteText"/>
        <w:rPr>
          <w:color w:val="auto"/>
          <w:sz w:val="18"/>
        </w:rPr>
      </w:pPr>
      <w:r w:rsidRPr="007D66D7">
        <w:rPr>
          <w:rStyle w:val="FootnoteReference"/>
          <w:color w:val="auto"/>
          <w:sz w:val="18"/>
        </w:rPr>
        <w:footnoteRef/>
      </w:r>
      <w:r w:rsidRPr="007D66D7">
        <w:rPr>
          <w:color w:val="auto"/>
          <w:sz w:val="18"/>
        </w:rPr>
        <w:t xml:space="preserve"> </w:t>
      </w:r>
      <w:hyperlink r:id="rId31" w:history="1">
        <w:r w:rsidRPr="007D66D7">
          <w:rPr>
            <w:color w:val="auto"/>
            <w:sz w:val="18"/>
            <w:u w:val="single"/>
          </w:rPr>
          <w:t>TGA regulatory framework | Therapeutic Goods Administration (TGA)</w:t>
        </w:r>
      </w:hyperlink>
    </w:p>
  </w:footnote>
  <w:footnote w:id="67">
    <w:p w14:paraId="6EE2D45E" w14:textId="077D9A58" w:rsidR="008A555F" w:rsidRDefault="008A555F" w:rsidP="00A51698">
      <w:pPr>
        <w:spacing w:after="0"/>
      </w:pPr>
      <w:r w:rsidRPr="00A51698">
        <w:rPr>
          <w:rStyle w:val="FootnoteReference"/>
          <w:color w:val="auto"/>
          <w:sz w:val="18"/>
          <w:szCs w:val="18"/>
        </w:rPr>
        <w:footnoteRef/>
      </w:r>
      <w:r w:rsidRPr="00A51698">
        <w:rPr>
          <w:color w:val="auto"/>
          <w:sz w:val="18"/>
          <w:szCs w:val="18"/>
        </w:rPr>
        <w:t xml:space="preserve"> </w:t>
      </w:r>
      <w:hyperlink r:id="rId32" w:anchor=":~:text=Medicine%20shortages%3A%20Information%20for%20consumers%201%20Medicine%20shortages,is%20mandatory%20...%205%20Question%20and%20answers%20" w:history="1">
        <w:r w:rsidRPr="00A51698">
          <w:rPr>
            <w:rStyle w:val="Hyperlink"/>
            <w:color w:val="auto"/>
            <w:sz w:val="18"/>
            <w:szCs w:val="18"/>
          </w:rPr>
          <w:t>Medicine shortages: Information for consumers | Therapeutic Goods Administration (TGA)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1439" w14:textId="29DB10F8" w:rsidR="008A555F" w:rsidRPr="00B87E45" w:rsidRDefault="008A555F" w:rsidP="00663EAD">
    <w:pPr>
      <w:pStyle w:val="ProtectiveMarking"/>
    </w:pPr>
  </w:p>
  <w:p w14:paraId="472888DA" w14:textId="77F49A21" w:rsidR="008A555F" w:rsidRPr="00073D52" w:rsidRDefault="008A555F" w:rsidP="00663EAD">
    <w:pPr>
      <w:pStyle w:val="Footerline"/>
    </w:pPr>
    <w:r>
      <w:rPr>
        <w:lang w:eastAsia="en-AU"/>
      </w:rPr>
      <w:drawing>
        <wp:anchor distT="0" distB="0" distL="114300" distR="114300" simplePos="0" relativeHeight="251680768" behindDoc="1" locked="0" layoutInCell="1" allowOverlap="1" wp14:anchorId="00E5BC79" wp14:editId="6ED8C3C0">
          <wp:simplePos x="0" y="0"/>
          <wp:positionH relativeFrom="page">
            <wp:posOffset>122735</wp:posOffset>
          </wp:positionH>
          <wp:positionV relativeFrom="page">
            <wp:align>top</wp:align>
          </wp:positionV>
          <wp:extent cx="7559245" cy="10692675"/>
          <wp:effectExtent l="0" t="0" r="3810" b="0"/>
          <wp:wrapNone/>
          <wp:docPr id="5" name="Picture 5">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245" cy="10692675"/>
                  </a:xfrm>
                  <a:prstGeom prst="rect">
                    <a:avLst/>
                  </a:prstGeom>
                </pic:spPr>
              </pic:pic>
            </a:graphicData>
          </a:graphic>
          <wp14:sizeRelH relativeFrom="page">
            <wp14:pctWidth>0</wp14:pctWidth>
          </wp14:sizeRelH>
          <wp14:sizeRelV relativeFrom="page">
            <wp14:pctHeight>0</wp14:pctHeight>
          </wp14:sizeRelV>
        </wp:anchor>
      </w:drawing>
    </w:r>
    <w:r>
      <w:rPr>
        <w:lang w:eastAsia="en-AU"/>
      </w:rPr>
      <w:drawing>
        <wp:anchor distT="0" distB="0" distL="114300" distR="114300" simplePos="0" relativeHeight="251679744" behindDoc="1" locked="0" layoutInCell="1" allowOverlap="1" wp14:anchorId="00E5BC79" wp14:editId="6ED8C3C0">
          <wp:simplePos x="0" y="0"/>
          <wp:positionH relativeFrom="page">
            <wp:posOffset>122735</wp:posOffset>
          </wp:positionH>
          <wp:positionV relativeFrom="page">
            <wp:align>top</wp:align>
          </wp:positionV>
          <wp:extent cx="7559245" cy="10692675"/>
          <wp:effectExtent l="0" t="0" r="3810" b="0"/>
          <wp:wrapNone/>
          <wp:docPr id="6" name="Picture 6">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245" cy="10692675"/>
                  </a:xfrm>
                  <a:prstGeom prst="rect">
                    <a:avLst/>
                  </a:prstGeom>
                </pic:spPr>
              </pic:pic>
            </a:graphicData>
          </a:graphic>
          <wp14:sizeRelH relativeFrom="page">
            <wp14:pctWidth>0</wp14:pctWidth>
          </wp14:sizeRelH>
          <wp14:sizeRelV relativeFrom="page">
            <wp14:pctHeight>0</wp14:pctHeight>
          </wp14:sizeRelV>
        </wp:anchor>
      </w:drawing>
    </w:r>
  </w:p>
  <w:p w14:paraId="7916EB3C" w14:textId="77777777" w:rsidR="008A555F" w:rsidRDefault="008A5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29C"/>
    <w:multiLevelType w:val="multilevel"/>
    <w:tmpl w:val="EB5CE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41286"/>
    <w:multiLevelType w:val="multilevel"/>
    <w:tmpl w:val="317A9DD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31E3886"/>
    <w:multiLevelType w:val="multilevel"/>
    <w:tmpl w:val="3F088C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1343B"/>
    <w:multiLevelType w:val="hybridMultilevel"/>
    <w:tmpl w:val="DBFCD8F6"/>
    <w:lvl w:ilvl="0" w:tplc="0C090001">
      <w:start w:val="1"/>
      <w:numFmt w:val="bullet"/>
      <w:lvlText w:val=""/>
      <w:lvlJc w:val="left"/>
      <w:pPr>
        <w:ind w:left="643" w:hanging="360"/>
      </w:pPr>
      <w:rPr>
        <w:rFonts w:ascii="Symbol" w:hAnsi="Symbol" w:hint="default"/>
      </w:rPr>
    </w:lvl>
    <w:lvl w:ilvl="1" w:tplc="0C090003">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15:restartNumberingAfterBreak="0">
    <w:nsid w:val="0A494291"/>
    <w:multiLevelType w:val="multilevel"/>
    <w:tmpl w:val="317A9DD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6" w15:restartNumberingAfterBreak="0">
    <w:nsid w:val="13363506"/>
    <w:multiLevelType w:val="hybridMultilevel"/>
    <w:tmpl w:val="A4D4C320"/>
    <w:lvl w:ilvl="0" w:tplc="3F9A5150">
      <w:start w:val="1"/>
      <w:numFmt w:val="bullet"/>
      <w:pStyle w:val="ListBullet"/>
      <w:lvlText w:val=""/>
      <w:lvlJc w:val="left"/>
      <w:pPr>
        <w:ind w:left="360" w:hanging="360"/>
      </w:pPr>
      <w:rPr>
        <w:rFonts w:ascii="Symbol" w:hAnsi="Symbol" w:hint="default"/>
        <w:color w:val="123A6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AC7BA6"/>
    <w:multiLevelType w:val="hybridMultilevel"/>
    <w:tmpl w:val="B5181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674739"/>
    <w:multiLevelType w:val="multilevel"/>
    <w:tmpl w:val="4A1EE9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07F1B"/>
    <w:multiLevelType w:val="hybridMultilevel"/>
    <w:tmpl w:val="B936EA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E52C91"/>
    <w:multiLevelType w:val="hybridMultilevel"/>
    <w:tmpl w:val="E0F6F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2078B9"/>
    <w:multiLevelType w:val="hybridMultilevel"/>
    <w:tmpl w:val="4880A37C"/>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5331F4"/>
    <w:multiLevelType w:val="multilevel"/>
    <w:tmpl w:val="E51058DE"/>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523B47"/>
    <w:multiLevelType w:val="multilevel"/>
    <w:tmpl w:val="CBDE8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CA4580A"/>
    <w:multiLevelType w:val="hybridMultilevel"/>
    <w:tmpl w:val="66D69E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F3366CB"/>
    <w:multiLevelType w:val="hybridMultilevel"/>
    <w:tmpl w:val="802A5F14"/>
    <w:lvl w:ilvl="0" w:tplc="D7243348">
      <w:start w:val="1"/>
      <w:numFmt w:val="decimal"/>
      <w:lvlText w:val="%1."/>
      <w:lvlJc w:val="left"/>
      <w:pPr>
        <w:ind w:left="720" w:hanging="360"/>
      </w:pPr>
      <w:rPr>
        <w:rFonts w:hint="default"/>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1BD651C"/>
    <w:multiLevelType w:val="hybridMultilevel"/>
    <w:tmpl w:val="7EAE4B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18" w15:restartNumberingAfterBreak="0">
    <w:nsid w:val="3DCE59CA"/>
    <w:multiLevelType w:val="hybridMultilevel"/>
    <w:tmpl w:val="B936EA3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EB96F3A"/>
    <w:multiLevelType w:val="hybridMultilevel"/>
    <w:tmpl w:val="9D449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987456"/>
    <w:multiLevelType w:val="hybridMultilevel"/>
    <w:tmpl w:val="F6CA57A0"/>
    <w:lvl w:ilvl="0" w:tplc="7272E6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543EB"/>
    <w:multiLevelType w:val="hybridMultilevel"/>
    <w:tmpl w:val="682250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F803075"/>
    <w:multiLevelType w:val="hybridMultilevel"/>
    <w:tmpl w:val="6EA2B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972DA0"/>
    <w:multiLevelType w:val="multilevel"/>
    <w:tmpl w:val="317A9DD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3DA2543"/>
    <w:multiLevelType w:val="hybridMultilevel"/>
    <w:tmpl w:val="097C1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3248E2"/>
    <w:multiLevelType w:val="hybridMultilevel"/>
    <w:tmpl w:val="9B1E4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FA5BAD"/>
    <w:multiLevelType w:val="hybridMultilevel"/>
    <w:tmpl w:val="FF786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792E09"/>
    <w:multiLevelType w:val="hybridMultilevel"/>
    <w:tmpl w:val="9B1E4A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EA53AA2"/>
    <w:multiLevelType w:val="hybridMultilevel"/>
    <w:tmpl w:val="7CEA81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0"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31" w15:restartNumberingAfterBreak="0">
    <w:nsid w:val="61814DBF"/>
    <w:multiLevelType w:val="multilevel"/>
    <w:tmpl w:val="72968676"/>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rPr>
        <w:i w:val="0"/>
      </w:r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189052E"/>
    <w:multiLevelType w:val="hybridMultilevel"/>
    <w:tmpl w:val="8ADCA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90257B"/>
    <w:multiLevelType w:val="hybridMultilevel"/>
    <w:tmpl w:val="0F9051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870B8C"/>
    <w:multiLevelType w:val="hybridMultilevel"/>
    <w:tmpl w:val="5A40C9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70C752E3"/>
    <w:multiLevelType w:val="multilevel"/>
    <w:tmpl w:val="317A9DD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1411F91"/>
    <w:multiLevelType w:val="hybridMultilevel"/>
    <w:tmpl w:val="F33E4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4A4199"/>
    <w:multiLevelType w:val="hybridMultilevel"/>
    <w:tmpl w:val="93C0B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2EF1E09"/>
    <w:multiLevelType w:val="multilevel"/>
    <w:tmpl w:val="99B0990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3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40" w15:restartNumberingAfterBreak="0">
    <w:nsid w:val="78F92A58"/>
    <w:multiLevelType w:val="hybridMultilevel"/>
    <w:tmpl w:val="3A6CB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772F72"/>
    <w:multiLevelType w:val="multilevel"/>
    <w:tmpl w:val="DA5C8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42335"/>
    <w:multiLevelType w:val="multilevel"/>
    <w:tmpl w:val="317A9DD8"/>
    <w:lvl w:ilvl="0">
      <w:start w:val="1"/>
      <w:numFmt w:val="bullet"/>
      <w:lvlText w:val=""/>
      <w:lvlJc w:val="left"/>
      <w:pPr>
        <w:tabs>
          <w:tab w:val="num" w:pos="720"/>
        </w:tabs>
        <w:ind w:left="720" w:hanging="360"/>
      </w:pPr>
      <w:rPr>
        <w:rFonts w:ascii="Symbol" w:hAnsi="Symbol" w:hint="default"/>
      </w:r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AC234E8"/>
    <w:multiLevelType w:val="hybridMultilevel"/>
    <w:tmpl w:val="B83C8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C5B73F0"/>
    <w:multiLevelType w:val="hybridMultilevel"/>
    <w:tmpl w:val="2870DD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F8A32BD"/>
    <w:multiLevelType w:val="hybridMultilevel"/>
    <w:tmpl w:val="4ACE4D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0"/>
  </w:num>
  <w:num w:numId="3">
    <w:abstractNumId w:val="30"/>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17"/>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5"/>
  </w:num>
  <w:num w:numId="6">
    <w:abstractNumId w:val="39"/>
  </w:num>
  <w:num w:numId="7">
    <w:abstractNumId w:val="38"/>
  </w:num>
  <w:num w:numId="8">
    <w:abstractNumId w:val="20"/>
  </w:num>
  <w:num w:numId="9">
    <w:abstractNumId w:val="37"/>
  </w:num>
  <w:num w:numId="10">
    <w:abstractNumId w:val="32"/>
  </w:num>
  <w:num w:numId="11">
    <w:abstractNumId w:val="18"/>
  </w:num>
  <w:num w:numId="12">
    <w:abstractNumId w:val="36"/>
  </w:num>
  <w:num w:numId="13">
    <w:abstractNumId w:val="11"/>
  </w:num>
  <w:num w:numId="14">
    <w:abstractNumId w:val="24"/>
  </w:num>
  <w:num w:numId="15">
    <w:abstractNumId w:val="19"/>
  </w:num>
  <w:num w:numId="16">
    <w:abstractNumId w:val="26"/>
  </w:num>
  <w:num w:numId="17">
    <w:abstractNumId w:val="22"/>
  </w:num>
  <w:num w:numId="18">
    <w:abstractNumId w:val="20"/>
  </w:num>
  <w:num w:numId="19">
    <w:abstractNumId w:val="40"/>
  </w:num>
  <w:num w:numId="20">
    <w:abstractNumId w:val="15"/>
  </w:num>
  <w:num w:numId="21">
    <w:abstractNumId w:val="25"/>
  </w:num>
  <w:num w:numId="22">
    <w:abstractNumId w:val="43"/>
  </w:num>
  <w:num w:numId="23">
    <w:abstractNumId w:val="21"/>
  </w:num>
  <w:num w:numId="24">
    <w:abstractNumId w:val="27"/>
  </w:num>
  <w:num w:numId="25">
    <w:abstractNumId w:val="16"/>
  </w:num>
  <w:num w:numId="26">
    <w:abstractNumId w:val="28"/>
  </w:num>
  <w:num w:numId="27">
    <w:abstractNumId w:val="6"/>
  </w:num>
  <w:num w:numId="28">
    <w:abstractNumId w:val="0"/>
  </w:num>
  <w:num w:numId="29">
    <w:abstractNumId w:val="45"/>
  </w:num>
  <w:num w:numId="30">
    <w:abstractNumId w:val="12"/>
  </w:num>
  <w:num w:numId="31">
    <w:abstractNumId w:val="33"/>
  </w:num>
  <w:num w:numId="32">
    <w:abstractNumId w:val="3"/>
  </w:num>
  <w:num w:numId="33">
    <w:abstractNumId w:val="41"/>
  </w:num>
  <w:num w:numId="34">
    <w:abstractNumId w:val="35"/>
  </w:num>
  <w:num w:numId="35">
    <w:abstractNumId w:val="35"/>
    <w:lvlOverride w:ilvl="0"/>
    <w:lvlOverride w:ilvl="1">
      <w:startOverride w:val="1"/>
    </w:lvlOverride>
    <w:lvlOverride w:ilvl="2"/>
  </w:num>
  <w:num w:numId="36">
    <w:abstractNumId w:val="42"/>
  </w:num>
  <w:num w:numId="37">
    <w:abstractNumId w:val="23"/>
  </w:num>
  <w:num w:numId="38">
    <w:abstractNumId w:val="1"/>
  </w:num>
  <w:num w:numId="39">
    <w:abstractNumId w:val="4"/>
  </w:num>
  <w:num w:numId="40">
    <w:abstractNumId w:val="8"/>
  </w:num>
  <w:num w:numId="41">
    <w:abstractNumId w:val="31"/>
  </w:num>
  <w:num w:numId="42">
    <w:abstractNumId w:val="13"/>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7"/>
  </w:num>
  <w:num w:numId="46">
    <w:abstractNumId w:val="9"/>
  </w:num>
  <w:num w:numId="47">
    <w:abstractNumId w:val="3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34"/>
  </w:num>
  <w:num w:numId="50">
    <w:abstractNumId w:val="14"/>
  </w:num>
  <w:num w:numId="5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fr-FR" w:vendorID="64" w:dllVersion="131078" w:nlCheck="1" w:checkStyle="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85"/>
    <w:rsid w:val="00002F73"/>
    <w:rsid w:val="00007043"/>
    <w:rsid w:val="000105D7"/>
    <w:rsid w:val="00011148"/>
    <w:rsid w:val="00011BA6"/>
    <w:rsid w:val="0001432A"/>
    <w:rsid w:val="00015CF4"/>
    <w:rsid w:val="00016528"/>
    <w:rsid w:val="0002068D"/>
    <w:rsid w:val="000209F5"/>
    <w:rsid w:val="0002362A"/>
    <w:rsid w:val="00023AC4"/>
    <w:rsid w:val="000243A7"/>
    <w:rsid w:val="000256EF"/>
    <w:rsid w:val="000304B2"/>
    <w:rsid w:val="000310CD"/>
    <w:rsid w:val="00031B5C"/>
    <w:rsid w:val="00032C71"/>
    <w:rsid w:val="00034D65"/>
    <w:rsid w:val="00034FEC"/>
    <w:rsid w:val="0003758D"/>
    <w:rsid w:val="000405EB"/>
    <w:rsid w:val="0004110B"/>
    <w:rsid w:val="00041AE3"/>
    <w:rsid w:val="00042E89"/>
    <w:rsid w:val="0004319B"/>
    <w:rsid w:val="00044BF9"/>
    <w:rsid w:val="000503A6"/>
    <w:rsid w:val="000507A5"/>
    <w:rsid w:val="00052988"/>
    <w:rsid w:val="00053CD9"/>
    <w:rsid w:val="0005734E"/>
    <w:rsid w:val="00063034"/>
    <w:rsid w:val="00064182"/>
    <w:rsid w:val="0006500F"/>
    <w:rsid w:val="00065AF1"/>
    <w:rsid w:val="00066063"/>
    <w:rsid w:val="00067FE9"/>
    <w:rsid w:val="0007054F"/>
    <w:rsid w:val="000718F5"/>
    <w:rsid w:val="00073D52"/>
    <w:rsid w:val="000748E7"/>
    <w:rsid w:val="00074A14"/>
    <w:rsid w:val="00076AD1"/>
    <w:rsid w:val="0007702F"/>
    <w:rsid w:val="000803CA"/>
    <w:rsid w:val="0008081E"/>
    <w:rsid w:val="00091413"/>
    <w:rsid w:val="00091BCD"/>
    <w:rsid w:val="0009265A"/>
    <w:rsid w:val="00095BF3"/>
    <w:rsid w:val="00095F74"/>
    <w:rsid w:val="00096605"/>
    <w:rsid w:val="00097206"/>
    <w:rsid w:val="000A08CA"/>
    <w:rsid w:val="000A0E4C"/>
    <w:rsid w:val="000A1249"/>
    <w:rsid w:val="000A224A"/>
    <w:rsid w:val="000A2A85"/>
    <w:rsid w:val="000B1D1F"/>
    <w:rsid w:val="000B3CBA"/>
    <w:rsid w:val="000C0ADB"/>
    <w:rsid w:val="000C0E5A"/>
    <w:rsid w:val="000C6D93"/>
    <w:rsid w:val="000D0C1E"/>
    <w:rsid w:val="000D3162"/>
    <w:rsid w:val="000D6708"/>
    <w:rsid w:val="000E05A0"/>
    <w:rsid w:val="000E0D05"/>
    <w:rsid w:val="000E1233"/>
    <w:rsid w:val="000E3C8E"/>
    <w:rsid w:val="000E413C"/>
    <w:rsid w:val="000E4A97"/>
    <w:rsid w:val="000E699D"/>
    <w:rsid w:val="000F23B0"/>
    <w:rsid w:val="000F5628"/>
    <w:rsid w:val="001007B9"/>
    <w:rsid w:val="001024D6"/>
    <w:rsid w:val="00102C06"/>
    <w:rsid w:val="00105ECB"/>
    <w:rsid w:val="001117C2"/>
    <w:rsid w:val="0011200A"/>
    <w:rsid w:val="00114AB8"/>
    <w:rsid w:val="00114FEF"/>
    <w:rsid w:val="00115C5E"/>
    <w:rsid w:val="001206FA"/>
    <w:rsid w:val="001254F8"/>
    <w:rsid w:val="00131315"/>
    <w:rsid w:val="001316D5"/>
    <w:rsid w:val="00132268"/>
    <w:rsid w:val="00133560"/>
    <w:rsid w:val="0013551D"/>
    <w:rsid w:val="00151418"/>
    <w:rsid w:val="00152143"/>
    <w:rsid w:val="001548C4"/>
    <w:rsid w:val="0015537B"/>
    <w:rsid w:val="00156F91"/>
    <w:rsid w:val="001575A0"/>
    <w:rsid w:val="00157AAE"/>
    <w:rsid w:val="0016162F"/>
    <w:rsid w:val="001621ED"/>
    <w:rsid w:val="0016491C"/>
    <w:rsid w:val="001727AF"/>
    <w:rsid w:val="0017626A"/>
    <w:rsid w:val="00176EA5"/>
    <w:rsid w:val="00177611"/>
    <w:rsid w:val="0017798C"/>
    <w:rsid w:val="001809C6"/>
    <w:rsid w:val="001812CA"/>
    <w:rsid w:val="001850CB"/>
    <w:rsid w:val="00185AD3"/>
    <w:rsid w:val="001915D0"/>
    <w:rsid w:val="00191727"/>
    <w:rsid w:val="00195BA8"/>
    <w:rsid w:val="001A1DCE"/>
    <w:rsid w:val="001A1E41"/>
    <w:rsid w:val="001A2F86"/>
    <w:rsid w:val="001A47FF"/>
    <w:rsid w:val="001A5937"/>
    <w:rsid w:val="001A66AD"/>
    <w:rsid w:val="001A7DBD"/>
    <w:rsid w:val="001B0144"/>
    <w:rsid w:val="001B0431"/>
    <w:rsid w:val="001B10ED"/>
    <w:rsid w:val="001B11A5"/>
    <w:rsid w:val="001B5156"/>
    <w:rsid w:val="001B66EF"/>
    <w:rsid w:val="001C797C"/>
    <w:rsid w:val="001D11CD"/>
    <w:rsid w:val="001D17E2"/>
    <w:rsid w:val="001D283B"/>
    <w:rsid w:val="001E2C8E"/>
    <w:rsid w:val="001F2917"/>
    <w:rsid w:val="001F3722"/>
    <w:rsid w:val="001F738E"/>
    <w:rsid w:val="0020076A"/>
    <w:rsid w:val="00200F15"/>
    <w:rsid w:val="002036A5"/>
    <w:rsid w:val="00203B54"/>
    <w:rsid w:val="00204F16"/>
    <w:rsid w:val="0020677B"/>
    <w:rsid w:val="002108FE"/>
    <w:rsid w:val="0021247A"/>
    <w:rsid w:val="002135F6"/>
    <w:rsid w:val="00214D38"/>
    <w:rsid w:val="0021562F"/>
    <w:rsid w:val="00226326"/>
    <w:rsid w:val="0022633F"/>
    <w:rsid w:val="00227321"/>
    <w:rsid w:val="00227332"/>
    <w:rsid w:val="00230934"/>
    <w:rsid w:val="00230EE9"/>
    <w:rsid w:val="00231B22"/>
    <w:rsid w:val="0023257E"/>
    <w:rsid w:val="0023294E"/>
    <w:rsid w:val="00235659"/>
    <w:rsid w:val="0024191E"/>
    <w:rsid w:val="002419E4"/>
    <w:rsid w:val="00243684"/>
    <w:rsid w:val="00245F35"/>
    <w:rsid w:val="002501D6"/>
    <w:rsid w:val="00252CF7"/>
    <w:rsid w:val="00252F38"/>
    <w:rsid w:val="002535B2"/>
    <w:rsid w:val="00256BC0"/>
    <w:rsid w:val="0026392D"/>
    <w:rsid w:val="00264499"/>
    <w:rsid w:val="002665EE"/>
    <w:rsid w:val="00275A4D"/>
    <w:rsid w:val="00276222"/>
    <w:rsid w:val="0027769C"/>
    <w:rsid w:val="00281DE6"/>
    <w:rsid w:val="0028218B"/>
    <w:rsid w:val="00284710"/>
    <w:rsid w:val="00284AAB"/>
    <w:rsid w:val="002853F2"/>
    <w:rsid w:val="002876D1"/>
    <w:rsid w:val="00290876"/>
    <w:rsid w:val="00291999"/>
    <w:rsid w:val="002934B0"/>
    <w:rsid w:val="0029407A"/>
    <w:rsid w:val="00294D1D"/>
    <w:rsid w:val="00295441"/>
    <w:rsid w:val="002955DD"/>
    <w:rsid w:val="00295EB5"/>
    <w:rsid w:val="002A0289"/>
    <w:rsid w:val="002A1C97"/>
    <w:rsid w:val="002A371E"/>
    <w:rsid w:val="002A6B41"/>
    <w:rsid w:val="002B4B0A"/>
    <w:rsid w:val="002C009E"/>
    <w:rsid w:val="002C5F5B"/>
    <w:rsid w:val="002C777D"/>
    <w:rsid w:val="002D11C2"/>
    <w:rsid w:val="002D2792"/>
    <w:rsid w:val="002D3D95"/>
    <w:rsid w:val="002D40B1"/>
    <w:rsid w:val="002D45CD"/>
    <w:rsid w:val="002D75F9"/>
    <w:rsid w:val="002E07AC"/>
    <w:rsid w:val="002E2DD9"/>
    <w:rsid w:val="002E3069"/>
    <w:rsid w:val="002E6AA1"/>
    <w:rsid w:val="002E7F10"/>
    <w:rsid w:val="002F03B5"/>
    <w:rsid w:val="002F0E78"/>
    <w:rsid w:val="002F2943"/>
    <w:rsid w:val="002F57C6"/>
    <w:rsid w:val="002F5811"/>
    <w:rsid w:val="002F695F"/>
    <w:rsid w:val="003053D4"/>
    <w:rsid w:val="003065B3"/>
    <w:rsid w:val="0030678C"/>
    <w:rsid w:val="00307A69"/>
    <w:rsid w:val="00311022"/>
    <w:rsid w:val="00312E4A"/>
    <w:rsid w:val="00313BA6"/>
    <w:rsid w:val="0031546F"/>
    <w:rsid w:val="00316688"/>
    <w:rsid w:val="00316B0D"/>
    <w:rsid w:val="00320BF2"/>
    <w:rsid w:val="00321577"/>
    <w:rsid w:val="00326226"/>
    <w:rsid w:val="003300DB"/>
    <w:rsid w:val="0033088D"/>
    <w:rsid w:val="00335425"/>
    <w:rsid w:val="00335E74"/>
    <w:rsid w:val="00336199"/>
    <w:rsid w:val="003365B1"/>
    <w:rsid w:val="00340229"/>
    <w:rsid w:val="003420D0"/>
    <w:rsid w:val="00343D35"/>
    <w:rsid w:val="003500C6"/>
    <w:rsid w:val="00354249"/>
    <w:rsid w:val="003607D4"/>
    <w:rsid w:val="00362D40"/>
    <w:rsid w:val="00363AE5"/>
    <w:rsid w:val="003715D5"/>
    <w:rsid w:val="0037262E"/>
    <w:rsid w:val="0038157F"/>
    <w:rsid w:val="003848EF"/>
    <w:rsid w:val="00385B65"/>
    <w:rsid w:val="00391929"/>
    <w:rsid w:val="00393FBE"/>
    <w:rsid w:val="0039527B"/>
    <w:rsid w:val="00396BB4"/>
    <w:rsid w:val="003A008B"/>
    <w:rsid w:val="003A17E8"/>
    <w:rsid w:val="003A3E57"/>
    <w:rsid w:val="003A7E73"/>
    <w:rsid w:val="003B576B"/>
    <w:rsid w:val="003B6191"/>
    <w:rsid w:val="003C6961"/>
    <w:rsid w:val="003D0CC6"/>
    <w:rsid w:val="003D204A"/>
    <w:rsid w:val="003D21A3"/>
    <w:rsid w:val="003D61B5"/>
    <w:rsid w:val="003D79A5"/>
    <w:rsid w:val="003E51A1"/>
    <w:rsid w:val="003E6B8B"/>
    <w:rsid w:val="003F017E"/>
    <w:rsid w:val="003F02A1"/>
    <w:rsid w:val="003F08AF"/>
    <w:rsid w:val="003F0949"/>
    <w:rsid w:val="003F17BC"/>
    <w:rsid w:val="003F1A1E"/>
    <w:rsid w:val="003F2BA3"/>
    <w:rsid w:val="003F50C0"/>
    <w:rsid w:val="003F52F3"/>
    <w:rsid w:val="003F5B9A"/>
    <w:rsid w:val="003F709D"/>
    <w:rsid w:val="003F75E0"/>
    <w:rsid w:val="003F7E70"/>
    <w:rsid w:val="00402435"/>
    <w:rsid w:val="00402883"/>
    <w:rsid w:val="00404965"/>
    <w:rsid w:val="00407392"/>
    <w:rsid w:val="0041000A"/>
    <w:rsid w:val="004135E0"/>
    <w:rsid w:val="004145DF"/>
    <w:rsid w:val="004210AE"/>
    <w:rsid w:val="00423E92"/>
    <w:rsid w:val="00432E65"/>
    <w:rsid w:val="00434B9C"/>
    <w:rsid w:val="004366AE"/>
    <w:rsid w:val="004378B6"/>
    <w:rsid w:val="004409A8"/>
    <w:rsid w:val="0044371A"/>
    <w:rsid w:val="004449B0"/>
    <w:rsid w:val="0045011F"/>
    <w:rsid w:val="004531B8"/>
    <w:rsid w:val="00454696"/>
    <w:rsid w:val="00454C85"/>
    <w:rsid w:val="00455FC6"/>
    <w:rsid w:val="00457884"/>
    <w:rsid w:val="00460580"/>
    <w:rsid w:val="004616FF"/>
    <w:rsid w:val="0046251E"/>
    <w:rsid w:val="004646AD"/>
    <w:rsid w:val="004647C2"/>
    <w:rsid w:val="00466D5F"/>
    <w:rsid w:val="00474873"/>
    <w:rsid w:val="004759ED"/>
    <w:rsid w:val="00475A94"/>
    <w:rsid w:val="004761F6"/>
    <w:rsid w:val="00482384"/>
    <w:rsid w:val="004849D9"/>
    <w:rsid w:val="004900A3"/>
    <w:rsid w:val="00491328"/>
    <w:rsid w:val="00491C56"/>
    <w:rsid w:val="004957BB"/>
    <w:rsid w:val="004957C1"/>
    <w:rsid w:val="004A1F7B"/>
    <w:rsid w:val="004A3C92"/>
    <w:rsid w:val="004A4775"/>
    <w:rsid w:val="004A67CD"/>
    <w:rsid w:val="004B0687"/>
    <w:rsid w:val="004B2B8A"/>
    <w:rsid w:val="004B2CB0"/>
    <w:rsid w:val="004B551F"/>
    <w:rsid w:val="004B7B8B"/>
    <w:rsid w:val="004C0D22"/>
    <w:rsid w:val="004C2D79"/>
    <w:rsid w:val="004C2D9A"/>
    <w:rsid w:val="004C56DC"/>
    <w:rsid w:val="004C6518"/>
    <w:rsid w:val="004D24EB"/>
    <w:rsid w:val="004D28D8"/>
    <w:rsid w:val="004D2CD3"/>
    <w:rsid w:val="004D3DE9"/>
    <w:rsid w:val="004D5B60"/>
    <w:rsid w:val="004D6C45"/>
    <w:rsid w:val="004E270D"/>
    <w:rsid w:val="004E2F8C"/>
    <w:rsid w:val="004F288A"/>
    <w:rsid w:val="004F5E93"/>
    <w:rsid w:val="004F73E8"/>
    <w:rsid w:val="004F7752"/>
    <w:rsid w:val="00501CE8"/>
    <w:rsid w:val="00503169"/>
    <w:rsid w:val="00503782"/>
    <w:rsid w:val="005111ED"/>
    <w:rsid w:val="00515270"/>
    <w:rsid w:val="005156D9"/>
    <w:rsid w:val="0051575B"/>
    <w:rsid w:val="0052041D"/>
    <w:rsid w:val="00522795"/>
    <w:rsid w:val="00523958"/>
    <w:rsid w:val="005246BC"/>
    <w:rsid w:val="005311BF"/>
    <w:rsid w:val="00531359"/>
    <w:rsid w:val="0053325B"/>
    <w:rsid w:val="00534C18"/>
    <w:rsid w:val="0053792C"/>
    <w:rsid w:val="005400C8"/>
    <w:rsid w:val="00542421"/>
    <w:rsid w:val="00543E44"/>
    <w:rsid w:val="00543FDE"/>
    <w:rsid w:val="00546B85"/>
    <w:rsid w:val="0054736A"/>
    <w:rsid w:val="005518B0"/>
    <w:rsid w:val="005556BD"/>
    <w:rsid w:val="005572C5"/>
    <w:rsid w:val="00561516"/>
    <w:rsid w:val="0056439C"/>
    <w:rsid w:val="00564BB1"/>
    <w:rsid w:val="005747B0"/>
    <w:rsid w:val="00574EDF"/>
    <w:rsid w:val="00574F28"/>
    <w:rsid w:val="00575BE2"/>
    <w:rsid w:val="00576A00"/>
    <w:rsid w:val="00577961"/>
    <w:rsid w:val="00582CB9"/>
    <w:rsid w:val="005844D9"/>
    <w:rsid w:val="0058793B"/>
    <w:rsid w:val="00592CA6"/>
    <w:rsid w:val="00593CB8"/>
    <w:rsid w:val="00595D3A"/>
    <w:rsid w:val="00597B04"/>
    <w:rsid w:val="005A0DE7"/>
    <w:rsid w:val="005A409B"/>
    <w:rsid w:val="005B0E10"/>
    <w:rsid w:val="005B0FBE"/>
    <w:rsid w:val="005B18EB"/>
    <w:rsid w:val="005B241C"/>
    <w:rsid w:val="005B27D0"/>
    <w:rsid w:val="005B653D"/>
    <w:rsid w:val="005C0D57"/>
    <w:rsid w:val="005C1E90"/>
    <w:rsid w:val="005C30DD"/>
    <w:rsid w:val="005C7655"/>
    <w:rsid w:val="005C7C79"/>
    <w:rsid w:val="005D2D7A"/>
    <w:rsid w:val="005D3CB2"/>
    <w:rsid w:val="005D57A4"/>
    <w:rsid w:val="005E423F"/>
    <w:rsid w:val="005E6136"/>
    <w:rsid w:val="005F3D48"/>
    <w:rsid w:val="005F79CC"/>
    <w:rsid w:val="005F7A75"/>
    <w:rsid w:val="00601160"/>
    <w:rsid w:val="00603FC1"/>
    <w:rsid w:val="006058FD"/>
    <w:rsid w:val="00612E57"/>
    <w:rsid w:val="006132D5"/>
    <w:rsid w:val="0061381E"/>
    <w:rsid w:val="00614847"/>
    <w:rsid w:val="006159CC"/>
    <w:rsid w:val="006173D0"/>
    <w:rsid w:val="00617648"/>
    <w:rsid w:val="006201D7"/>
    <w:rsid w:val="00625189"/>
    <w:rsid w:val="006255E3"/>
    <w:rsid w:val="006264FC"/>
    <w:rsid w:val="00626CA4"/>
    <w:rsid w:val="006279A1"/>
    <w:rsid w:val="006327E9"/>
    <w:rsid w:val="00636DEA"/>
    <w:rsid w:val="006427AA"/>
    <w:rsid w:val="006429D7"/>
    <w:rsid w:val="00647D75"/>
    <w:rsid w:val="00650869"/>
    <w:rsid w:val="00651F89"/>
    <w:rsid w:val="00657D2D"/>
    <w:rsid w:val="00663EAD"/>
    <w:rsid w:val="00663F85"/>
    <w:rsid w:val="00664043"/>
    <w:rsid w:val="006679AE"/>
    <w:rsid w:val="006719C9"/>
    <w:rsid w:val="00675957"/>
    <w:rsid w:val="00675B34"/>
    <w:rsid w:val="006806B6"/>
    <w:rsid w:val="00681381"/>
    <w:rsid w:val="0068415A"/>
    <w:rsid w:val="00685BF1"/>
    <w:rsid w:val="00686620"/>
    <w:rsid w:val="0069411E"/>
    <w:rsid w:val="00694B5B"/>
    <w:rsid w:val="00694D20"/>
    <w:rsid w:val="00694FA7"/>
    <w:rsid w:val="006A11E7"/>
    <w:rsid w:val="006A131D"/>
    <w:rsid w:val="006A1E78"/>
    <w:rsid w:val="006A2795"/>
    <w:rsid w:val="006A4888"/>
    <w:rsid w:val="006A6B5B"/>
    <w:rsid w:val="006A7936"/>
    <w:rsid w:val="006B0735"/>
    <w:rsid w:val="006B089B"/>
    <w:rsid w:val="006B1F24"/>
    <w:rsid w:val="006B2F4E"/>
    <w:rsid w:val="006B3301"/>
    <w:rsid w:val="006B56FC"/>
    <w:rsid w:val="006B6FD7"/>
    <w:rsid w:val="006B73BE"/>
    <w:rsid w:val="006B7799"/>
    <w:rsid w:val="006B7979"/>
    <w:rsid w:val="006C0869"/>
    <w:rsid w:val="006C087B"/>
    <w:rsid w:val="006C5182"/>
    <w:rsid w:val="006C6755"/>
    <w:rsid w:val="006C6802"/>
    <w:rsid w:val="006C7B63"/>
    <w:rsid w:val="006C7FC3"/>
    <w:rsid w:val="006D0C02"/>
    <w:rsid w:val="006D1E23"/>
    <w:rsid w:val="006D2A23"/>
    <w:rsid w:val="006D6326"/>
    <w:rsid w:val="006D766B"/>
    <w:rsid w:val="006E086B"/>
    <w:rsid w:val="006E350F"/>
    <w:rsid w:val="006E46D0"/>
    <w:rsid w:val="006E5525"/>
    <w:rsid w:val="006E5E0B"/>
    <w:rsid w:val="006F56BB"/>
    <w:rsid w:val="0070165C"/>
    <w:rsid w:val="00705663"/>
    <w:rsid w:val="0070566B"/>
    <w:rsid w:val="00710823"/>
    <w:rsid w:val="0071233F"/>
    <w:rsid w:val="00714E79"/>
    <w:rsid w:val="007161C3"/>
    <w:rsid w:val="00716A5F"/>
    <w:rsid w:val="00716BA1"/>
    <w:rsid w:val="00716C0F"/>
    <w:rsid w:val="007216C5"/>
    <w:rsid w:val="007239F8"/>
    <w:rsid w:val="0072458C"/>
    <w:rsid w:val="007252A9"/>
    <w:rsid w:val="007263B0"/>
    <w:rsid w:val="007304FE"/>
    <w:rsid w:val="00731BA0"/>
    <w:rsid w:val="00731F35"/>
    <w:rsid w:val="00732929"/>
    <w:rsid w:val="00733EA2"/>
    <w:rsid w:val="00740337"/>
    <w:rsid w:val="007409DC"/>
    <w:rsid w:val="007444C3"/>
    <w:rsid w:val="007478A0"/>
    <w:rsid w:val="00753174"/>
    <w:rsid w:val="007538E9"/>
    <w:rsid w:val="00753B4D"/>
    <w:rsid w:val="00753DC7"/>
    <w:rsid w:val="00754949"/>
    <w:rsid w:val="00756602"/>
    <w:rsid w:val="00760657"/>
    <w:rsid w:val="00761B45"/>
    <w:rsid w:val="00761BAB"/>
    <w:rsid w:val="007653D5"/>
    <w:rsid w:val="007660B9"/>
    <w:rsid w:val="00772AE4"/>
    <w:rsid w:val="00773AC7"/>
    <w:rsid w:val="00774D6E"/>
    <w:rsid w:val="00774EAC"/>
    <w:rsid w:val="007805FC"/>
    <w:rsid w:val="00780AC4"/>
    <w:rsid w:val="0078172B"/>
    <w:rsid w:val="00781797"/>
    <w:rsid w:val="00792726"/>
    <w:rsid w:val="007956C4"/>
    <w:rsid w:val="007A002D"/>
    <w:rsid w:val="007A27C5"/>
    <w:rsid w:val="007A33C4"/>
    <w:rsid w:val="007A35C8"/>
    <w:rsid w:val="007A4DC5"/>
    <w:rsid w:val="007A52E1"/>
    <w:rsid w:val="007B67CE"/>
    <w:rsid w:val="007C00B4"/>
    <w:rsid w:val="007C3F60"/>
    <w:rsid w:val="007C5436"/>
    <w:rsid w:val="007C5FA7"/>
    <w:rsid w:val="007D4215"/>
    <w:rsid w:val="007D66D7"/>
    <w:rsid w:val="007D680C"/>
    <w:rsid w:val="007D6F85"/>
    <w:rsid w:val="007E1BB2"/>
    <w:rsid w:val="007E6C41"/>
    <w:rsid w:val="007F2558"/>
    <w:rsid w:val="007F37FD"/>
    <w:rsid w:val="007F5D33"/>
    <w:rsid w:val="007F7FED"/>
    <w:rsid w:val="0080415F"/>
    <w:rsid w:val="008051C4"/>
    <w:rsid w:val="00805B42"/>
    <w:rsid w:val="00806393"/>
    <w:rsid w:val="00814B4E"/>
    <w:rsid w:val="0081512D"/>
    <w:rsid w:val="00816BF5"/>
    <w:rsid w:val="00817D62"/>
    <w:rsid w:val="00820483"/>
    <w:rsid w:val="00820E0F"/>
    <w:rsid w:val="008247C2"/>
    <w:rsid w:val="00825B23"/>
    <w:rsid w:val="008275B9"/>
    <w:rsid w:val="00827DBE"/>
    <w:rsid w:val="0083261D"/>
    <w:rsid w:val="00832D89"/>
    <w:rsid w:val="00837148"/>
    <w:rsid w:val="008404B8"/>
    <w:rsid w:val="00840865"/>
    <w:rsid w:val="00840EFE"/>
    <w:rsid w:val="00841D41"/>
    <w:rsid w:val="008436AB"/>
    <w:rsid w:val="00843FFD"/>
    <w:rsid w:val="00844739"/>
    <w:rsid w:val="0084486B"/>
    <w:rsid w:val="00846003"/>
    <w:rsid w:val="0084717C"/>
    <w:rsid w:val="008571ED"/>
    <w:rsid w:val="00860BDE"/>
    <w:rsid w:val="0086151D"/>
    <w:rsid w:val="0086200B"/>
    <w:rsid w:val="00862ABC"/>
    <w:rsid w:val="008678C1"/>
    <w:rsid w:val="008703C9"/>
    <w:rsid w:val="00873DED"/>
    <w:rsid w:val="00877425"/>
    <w:rsid w:val="008777F4"/>
    <w:rsid w:val="00880786"/>
    <w:rsid w:val="00884E14"/>
    <w:rsid w:val="00885DA0"/>
    <w:rsid w:val="008873C2"/>
    <w:rsid w:val="00890592"/>
    <w:rsid w:val="008A1256"/>
    <w:rsid w:val="008A2C64"/>
    <w:rsid w:val="008A4D67"/>
    <w:rsid w:val="008A555F"/>
    <w:rsid w:val="008A7D01"/>
    <w:rsid w:val="008B109A"/>
    <w:rsid w:val="008B2859"/>
    <w:rsid w:val="008B493F"/>
    <w:rsid w:val="008B610F"/>
    <w:rsid w:val="008C0346"/>
    <w:rsid w:val="008C115E"/>
    <w:rsid w:val="008C266F"/>
    <w:rsid w:val="008C43A0"/>
    <w:rsid w:val="008C7C13"/>
    <w:rsid w:val="008D0504"/>
    <w:rsid w:val="008D1256"/>
    <w:rsid w:val="008D275A"/>
    <w:rsid w:val="008D6C37"/>
    <w:rsid w:val="008E01B6"/>
    <w:rsid w:val="008E04F3"/>
    <w:rsid w:val="008E380B"/>
    <w:rsid w:val="008E3ABA"/>
    <w:rsid w:val="008F5659"/>
    <w:rsid w:val="00902BED"/>
    <w:rsid w:val="00902CAC"/>
    <w:rsid w:val="009036CA"/>
    <w:rsid w:val="009064BA"/>
    <w:rsid w:val="009109FA"/>
    <w:rsid w:val="009155BA"/>
    <w:rsid w:val="009165A1"/>
    <w:rsid w:val="00917F95"/>
    <w:rsid w:val="0092044D"/>
    <w:rsid w:val="00923EDF"/>
    <w:rsid w:val="0092528D"/>
    <w:rsid w:val="00925E83"/>
    <w:rsid w:val="00927A67"/>
    <w:rsid w:val="009315B0"/>
    <w:rsid w:val="0093609B"/>
    <w:rsid w:val="0094072A"/>
    <w:rsid w:val="009457AB"/>
    <w:rsid w:val="00945C36"/>
    <w:rsid w:val="0094688C"/>
    <w:rsid w:val="00953EEB"/>
    <w:rsid w:val="009541C3"/>
    <w:rsid w:val="009546F8"/>
    <w:rsid w:val="009602E0"/>
    <w:rsid w:val="009607CB"/>
    <w:rsid w:val="00963FB3"/>
    <w:rsid w:val="009642C8"/>
    <w:rsid w:val="0096685A"/>
    <w:rsid w:val="0097022F"/>
    <w:rsid w:val="0097798F"/>
    <w:rsid w:val="00981502"/>
    <w:rsid w:val="00985133"/>
    <w:rsid w:val="009864C2"/>
    <w:rsid w:val="009902E2"/>
    <w:rsid w:val="00990AD5"/>
    <w:rsid w:val="00991FF5"/>
    <w:rsid w:val="00993B67"/>
    <w:rsid w:val="00994263"/>
    <w:rsid w:val="00994521"/>
    <w:rsid w:val="009959E0"/>
    <w:rsid w:val="00995DBA"/>
    <w:rsid w:val="00996919"/>
    <w:rsid w:val="00996BEA"/>
    <w:rsid w:val="009970A6"/>
    <w:rsid w:val="009A06EB"/>
    <w:rsid w:val="009A33FB"/>
    <w:rsid w:val="009A586E"/>
    <w:rsid w:val="009A7187"/>
    <w:rsid w:val="009A798D"/>
    <w:rsid w:val="009B0525"/>
    <w:rsid w:val="009B1A44"/>
    <w:rsid w:val="009B3911"/>
    <w:rsid w:val="009B4379"/>
    <w:rsid w:val="009B7E05"/>
    <w:rsid w:val="009C07D5"/>
    <w:rsid w:val="009C0DB6"/>
    <w:rsid w:val="009C0E51"/>
    <w:rsid w:val="009C614B"/>
    <w:rsid w:val="009C6430"/>
    <w:rsid w:val="009C6ED0"/>
    <w:rsid w:val="009C73A8"/>
    <w:rsid w:val="009D525F"/>
    <w:rsid w:val="009D6CCD"/>
    <w:rsid w:val="009E0C5B"/>
    <w:rsid w:val="009F751D"/>
    <w:rsid w:val="00A00EF2"/>
    <w:rsid w:val="00A069F9"/>
    <w:rsid w:val="00A13244"/>
    <w:rsid w:val="00A14C91"/>
    <w:rsid w:val="00A173EC"/>
    <w:rsid w:val="00A205EF"/>
    <w:rsid w:val="00A22690"/>
    <w:rsid w:val="00A228B0"/>
    <w:rsid w:val="00A26F16"/>
    <w:rsid w:val="00A27A17"/>
    <w:rsid w:val="00A3076D"/>
    <w:rsid w:val="00A32714"/>
    <w:rsid w:val="00A33415"/>
    <w:rsid w:val="00A33FAC"/>
    <w:rsid w:val="00A373D2"/>
    <w:rsid w:val="00A40D1B"/>
    <w:rsid w:val="00A412BC"/>
    <w:rsid w:val="00A433B3"/>
    <w:rsid w:val="00A461B6"/>
    <w:rsid w:val="00A467C9"/>
    <w:rsid w:val="00A47C07"/>
    <w:rsid w:val="00A51698"/>
    <w:rsid w:val="00A549A1"/>
    <w:rsid w:val="00A56E35"/>
    <w:rsid w:val="00A579D2"/>
    <w:rsid w:val="00A604F2"/>
    <w:rsid w:val="00A61711"/>
    <w:rsid w:val="00A61A1F"/>
    <w:rsid w:val="00A61A36"/>
    <w:rsid w:val="00A62F19"/>
    <w:rsid w:val="00A70E9C"/>
    <w:rsid w:val="00A731D6"/>
    <w:rsid w:val="00A74037"/>
    <w:rsid w:val="00A76876"/>
    <w:rsid w:val="00A779C3"/>
    <w:rsid w:val="00A80863"/>
    <w:rsid w:val="00A81616"/>
    <w:rsid w:val="00A82CB9"/>
    <w:rsid w:val="00A8365E"/>
    <w:rsid w:val="00A85E2F"/>
    <w:rsid w:val="00A86D7E"/>
    <w:rsid w:val="00A9488D"/>
    <w:rsid w:val="00AA0A9F"/>
    <w:rsid w:val="00AA1E86"/>
    <w:rsid w:val="00AA5C60"/>
    <w:rsid w:val="00AB350C"/>
    <w:rsid w:val="00AB3C78"/>
    <w:rsid w:val="00AB7DBC"/>
    <w:rsid w:val="00AC1AA3"/>
    <w:rsid w:val="00AC234A"/>
    <w:rsid w:val="00AC47D2"/>
    <w:rsid w:val="00AC4F00"/>
    <w:rsid w:val="00AD2B38"/>
    <w:rsid w:val="00AD3A98"/>
    <w:rsid w:val="00AE0BEE"/>
    <w:rsid w:val="00AE0E38"/>
    <w:rsid w:val="00AE297B"/>
    <w:rsid w:val="00AE313D"/>
    <w:rsid w:val="00AE54EB"/>
    <w:rsid w:val="00AE58D5"/>
    <w:rsid w:val="00AE6686"/>
    <w:rsid w:val="00AE67E6"/>
    <w:rsid w:val="00AF0E99"/>
    <w:rsid w:val="00AF42E0"/>
    <w:rsid w:val="00AF49E5"/>
    <w:rsid w:val="00AF66EE"/>
    <w:rsid w:val="00B01D98"/>
    <w:rsid w:val="00B0334F"/>
    <w:rsid w:val="00B0442F"/>
    <w:rsid w:val="00B06546"/>
    <w:rsid w:val="00B07E8B"/>
    <w:rsid w:val="00B134D8"/>
    <w:rsid w:val="00B14B79"/>
    <w:rsid w:val="00B151E5"/>
    <w:rsid w:val="00B1569C"/>
    <w:rsid w:val="00B22B08"/>
    <w:rsid w:val="00B24D0A"/>
    <w:rsid w:val="00B26978"/>
    <w:rsid w:val="00B27208"/>
    <w:rsid w:val="00B30614"/>
    <w:rsid w:val="00B30EE8"/>
    <w:rsid w:val="00B3317D"/>
    <w:rsid w:val="00B3505A"/>
    <w:rsid w:val="00B35F18"/>
    <w:rsid w:val="00B36583"/>
    <w:rsid w:val="00B41983"/>
    <w:rsid w:val="00B41D64"/>
    <w:rsid w:val="00B43C4B"/>
    <w:rsid w:val="00B455C1"/>
    <w:rsid w:val="00B47042"/>
    <w:rsid w:val="00B53058"/>
    <w:rsid w:val="00B54EF1"/>
    <w:rsid w:val="00B56C50"/>
    <w:rsid w:val="00B66298"/>
    <w:rsid w:val="00B701ED"/>
    <w:rsid w:val="00B72094"/>
    <w:rsid w:val="00B73D45"/>
    <w:rsid w:val="00B75542"/>
    <w:rsid w:val="00B75AF0"/>
    <w:rsid w:val="00B76861"/>
    <w:rsid w:val="00B777F8"/>
    <w:rsid w:val="00B81DA2"/>
    <w:rsid w:val="00B855AF"/>
    <w:rsid w:val="00B87E45"/>
    <w:rsid w:val="00B92D43"/>
    <w:rsid w:val="00B948E7"/>
    <w:rsid w:val="00B95533"/>
    <w:rsid w:val="00BA30AD"/>
    <w:rsid w:val="00BA448D"/>
    <w:rsid w:val="00BA6C64"/>
    <w:rsid w:val="00BB037E"/>
    <w:rsid w:val="00BB0EDA"/>
    <w:rsid w:val="00BB1053"/>
    <w:rsid w:val="00BB1FFF"/>
    <w:rsid w:val="00BB2EE5"/>
    <w:rsid w:val="00BB51B2"/>
    <w:rsid w:val="00BB6DCB"/>
    <w:rsid w:val="00BC135C"/>
    <w:rsid w:val="00BC1972"/>
    <w:rsid w:val="00BC24CA"/>
    <w:rsid w:val="00BD113A"/>
    <w:rsid w:val="00BD2895"/>
    <w:rsid w:val="00BD3DA8"/>
    <w:rsid w:val="00BD45D5"/>
    <w:rsid w:val="00BD4EE1"/>
    <w:rsid w:val="00BE7712"/>
    <w:rsid w:val="00BF0F2D"/>
    <w:rsid w:val="00BF3BE8"/>
    <w:rsid w:val="00C00697"/>
    <w:rsid w:val="00C0095A"/>
    <w:rsid w:val="00C0128F"/>
    <w:rsid w:val="00C0162A"/>
    <w:rsid w:val="00C02E4B"/>
    <w:rsid w:val="00C04C87"/>
    <w:rsid w:val="00C1020F"/>
    <w:rsid w:val="00C15BFB"/>
    <w:rsid w:val="00C21022"/>
    <w:rsid w:val="00C24341"/>
    <w:rsid w:val="00C26157"/>
    <w:rsid w:val="00C328FF"/>
    <w:rsid w:val="00C32DCE"/>
    <w:rsid w:val="00C33566"/>
    <w:rsid w:val="00C3397E"/>
    <w:rsid w:val="00C35933"/>
    <w:rsid w:val="00C37443"/>
    <w:rsid w:val="00C37B7A"/>
    <w:rsid w:val="00C41507"/>
    <w:rsid w:val="00C44145"/>
    <w:rsid w:val="00C45F1B"/>
    <w:rsid w:val="00C4684A"/>
    <w:rsid w:val="00C51551"/>
    <w:rsid w:val="00C51C42"/>
    <w:rsid w:val="00C51D1D"/>
    <w:rsid w:val="00C5285B"/>
    <w:rsid w:val="00C53EF9"/>
    <w:rsid w:val="00C61CD5"/>
    <w:rsid w:val="00C657F8"/>
    <w:rsid w:val="00C66A73"/>
    <w:rsid w:val="00C67230"/>
    <w:rsid w:val="00C67480"/>
    <w:rsid w:val="00C67AA6"/>
    <w:rsid w:val="00C7715B"/>
    <w:rsid w:val="00C77259"/>
    <w:rsid w:val="00C80CAE"/>
    <w:rsid w:val="00C814B6"/>
    <w:rsid w:val="00C816BC"/>
    <w:rsid w:val="00C82753"/>
    <w:rsid w:val="00C83BF4"/>
    <w:rsid w:val="00C86F22"/>
    <w:rsid w:val="00C90899"/>
    <w:rsid w:val="00C933C9"/>
    <w:rsid w:val="00C9650F"/>
    <w:rsid w:val="00C9741E"/>
    <w:rsid w:val="00CA33C7"/>
    <w:rsid w:val="00CA44FC"/>
    <w:rsid w:val="00CB2C58"/>
    <w:rsid w:val="00CB387C"/>
    <w:rsid w:val="00CB38A3"/>
    <w:rsid w:val="00CB5346"/>
    <w:rsid w:val="00CC05EA"/>
    <w:rsid w:val="00CC4406"/>
    <w:rsid w:val="00CC46FC"/>
    <w:rsid w:val="00CC7295"/>
    <w:rsid w:val="00CC7D63"/>
    <w:rsid w:val="00CD066B"/>
    <w:rsid w:val="00CD3F4A"/>
    <w:rsid w:val="00CD64D1"/>
    <w:rsid w:val="00CD730D"/>
    <w:rsid w:val="00CE1635"/>
    <w:rsid w:val="00CE6EE1"/>
    <w:rsid w:val="00CF0909"/>
    <w:rsid w:val="00CF0D33"/>
    <w:rsid w:val="00CF198F"/>
    <w:rsid w:val="00CF7819"/>
    <w:rsid w:val="00D019D3"/>
    <w:rsid w:val="00D102B5"/>
    <w:rsid w:val="00D12720"/>
    <w:rsid w:val="00D14B44"/>
    <w:rsid w:val="00D15501"/>
    <w:rsid w:val="00D166C2"/>
    <w:rsid w:val="00D2693C"/>
    <w:rsid w:val="00D30104"/>
    <w:rsid w:val="00D30701"/>
    <w:rsid w:val="00D33592"/>
    <w:rsid w:val="00D3445B"/>
    <w:rsid w:val="00D3784D"/>
    <w:rsid w:val="00D4099B"/>
    <w:rsid w:val="00D4326C"/>
    <w:rsid w:val="00D4602A"/>
    <w:rsid w:val="00D4643A"/>
    <w:rsid w:val="00D52159"/>
    <w:rsid w:val="00D54CE5"/>
    <w:rsid w:val="00D56014"/>
    <w:rsid w:val="00D566A0"/>
    <w:rsid w:val="00D61146"/>
    <w:rsid w:val="00D611A9"/>
    <w:rsid w:val="00D621F3"/>
    <w:rsid w:val="00D726AD"/>
    <w:rsid w:val="00D7597A"/>
    <w:rsid w:val="00D76730"/>
    <w:rsid w:val="00D802AB"/>
    <w:rsid w:val="00D81D9B"/>
    <w:rsid w:val="00D835A5"/>
    <w:rsid w:val="00D868BE"/>
    <w:rsid w:val="00D9012E"/>
    <w:rsid w:val="00D90897"/>
    <w:rsid w:val="00D9272D"/>
    <w:rsid w:val="00D92CC6"/>
    <w:rsid w:val="00D92E3D"/>
    <w:rsid w:val="00D96BCE"/>
    <w:rsid w:val="00DA20D7"/>
    <w:rsid w:val="00DA3036"/>
    <w:rsid w:val="00DA4561"/>
    <w:rsid w:val="00DA60A4"/>
    <w:rsid w:val="00DB015B"/>
    <w:rsid w:val="00DB5E67"/>
    <w:rsid w:val="00DB6C2D"/>
    <w:rsid w:val="00DB6F16"/>
    <w:rsid w:val="00DB7335"/>
    <w:rsid w:val="00DC2CC3"/>
    <w:rsid w:val="00DC4D56"/>
    <w:rsid w:val="00DC5650"/>
    <w:rsid w:val="00DC59E9"/>
    <w:rsid w:val="00DC5A0A"/>
    <w:rsid w:val="00DC63AF"/>
    <w:rsid w:val="00DC7BB7"/>
    <w:rsid w:val="00DD090A"/>
    <w:rsid w:val="00DD3E37"/>
    <w:rsid w:val="00DD4825"/>
    <w:rsid w:val="00DD6B39"/>
    <w:rsid w:val="00DE193D"/>
    <w:rsid w:val="00DE22ED"/>
    <w:rsid w:val="00DE3545"/>
    <w:rsid w:val="00DE38A6"/>
    <w:rsid w:val="00DE710F"/>
    <w:rsid w:val="00DE7EED"/>
    <w:rsid w:val="00DF2185"/>
    <w:rsid w:val="00DF2E81"/>
    <w:rsid w:val="00DF7D00"/>
    <w:rsid w:val="00E00C83"/>
    <w:rsid w:val="00E01B77"/>
    <w:rsid w:val="00E02E5D"/>
    <w:rsid w:val="00E14B90"/>
    <w:rsid w:val="00E1628E"/>
    <w:rsid w:val="00E2043B"/>
    <w:rsid w:val="00E20D75"/>
    <w:rsid w:val="00E227A4"/>
    <w:rsid w:val="00E22AC2"/>
    <w:rsid w:val="00E23B18"/>
    <w:rsid w:val="00E319DA"/>
    <w:rsid w:val="00E33175"/>
    <w:rsid w:val="00E35AF5"/>
    <w:rsid w:val="00E374F5"/>
    <w:rsid w:val="00E401B3"/>
    <w:rsid w:val="00E412B9"/>
    <w:rsid w:val="00E45FF2"/>
    <w:rsid w:val="00E50D6C"/>
    <w:rsid w:val="00E52935"/>
    <w:rsid w:val="00E55291"/>
    <w:rsid w:val="00E578B7"/>
    <w:rsid w:val="00E5797F"/>
    <w:rsid w:val="00E646A5"/>
    <w:rsid w:val="00E6567D"/>
    <w:rsid w:val="00E657F6"/>
    <w:rsid w:val="00E65B47"/>
    <w:rsid w:val="00E67145"/>
    <w:rsid w:val="00E671A5"/>
    <w:rsid w:val="00E7329A"/>
    <w:rsid w:val="00E7365F"/>
    <w:rsid w:val="00E73ABA"/>
    <w:rsid w:val="00E75460"/>
    <w:rsid w:val="00E75E71"/>
    <w:rsid w:val="00E76451"/>
    <w:rsid w:val="00E771F8"/>
    <w:rsid w:val="00E77532"/>
    <w:rsid w:val="00E8016F"/>
    <w:rsid w:val="00E80E52"/>
    <w:rsid w:val="00E816CE"/>
    <w:rsid w:val="00E84395"/>
    <w:rsid w:val="00E90FB5"/>
    <w:rsid w:val="00E9242C"/>
    <w:rsid w:val="00E92B81"/>
    <w:rsid w:val="00E952A5"/>
    <w:rsid w:val="00EA03CF"/>
    <w:rsid w:val="00EA0688"/>
    <w:rsid w:val="00EA66E8"/>
    <w:rsid w:val="00EB2307"/>
    <w:rsid w:val="00EB2D73"/>
    <w:rsid w:val="00EB479E"/>
    <w:rsid w:val="00EB66AC"/>
    <w:rsid w:val="00EB7DE3"/>
    <w:rsid w:val="00EC0059"/>
    <w:rsid w:val="00EC330F"/>
    <w:rsid w:val="00EC3D17"/>
    <w:rsid w:val="00EC50C4"/>
    <w:rsid w:val="00EC6C16"/>
    <w:rsid w:val="00ED0CB2"/>
    <w:rsid w:val="00ED334F"/>
    <w:rsid w:val="00ED5CE3"/>
    <w:rsid w:val="00ED6660"/>
    <w:rsid w:val="00ED71CC"/>
    <w:rsid w:val="00ED7441"/>
    <w:rsid w:val="00EE017F"/>
    <w:rsid w:val="00EE1421"/>
    <w:rsid w:val="00EE1DD7"/>
    <w:rsid w:val="00EE6151"/>
    <w:rsid w:val="00EF07A8"/>
    <w:rsid w:val="00EF125F"/>
    <w:rsid w:val="00EF4860"/>
    <w:rsid w:val="00F001F4"/>
    <w:rsid w:val="00F017E0"/>
    <w:rsid w:val="00F039A3"/>
    <w:rsid w:val="00F03B20"/>
    <w:rsid w:val="00F065A0"/>
    <w:rsid w:val="00F07E9C"/>
    <w:rsid w:val="00F12227"/>
    <w:rsid w:val="00F13141"/>
    <w:rsid w:val="00F14242"/>
    <w:rsid w:val="00F14E8C"/>
    <w:rsid w:val="00F167B3"/>
    <w:rsid w:val="00F21B6C"/>
    <w:rsid w:val="00F21C70"/>
    <w:rsid w:val="00F27A5A"/>
    <w:rsid w:val="00F27CBE"/>
    <w:rsid w:val="00F3017A"/>
    <w:rsid w:val="00F31458"/>
    <w:rsid w:val="00F35017"/>
    <w:rsid w:val="00F4121E"/>
    <w:rsid w:val="00F43064"/>
    <w:rsid w:val="00F46D66"/>
    <w:rsid w:val="00F4704F"/>
    <w:rsid w:val="00F47676"/>
    <w:rsid w:val="00F54942"/>
    <w:rsid w:val="00F56D27"/>
    <w:rsid w:val="00F57EC9"/>
    <w:rsid w:val="00F61C51"/>
    <w:rsid w:val="00F62767"/>
    <w:rsid w:val="00F631B3"/>
    <w:rsid w:val="00F64EAD"/>
    <w:rsid w:val="00F6572F"/>
    <w:rsid w:val="00F7682E"/>
    <w:rsid w:val="00F81FB7"/>
    <w:rsid w:val="00F84452"/>
    <w:rsid w:val="00F859F9"/>
    <w:rsid w:val="00F87E1C"/>
    <w:rsid w:val="00F87F5E"/>
    <w:rsid w:val="00F92A68"/>
    <w:rsid w:val="00F9344F"/>
    <w:rsid w:val="00F968EB"/>
    <w:rsid w:val="00F97BB0"/>
    <w:rsid w:val="00FA03B2"/>
    <w:rsid w:val="00FA0ADE"/>
    <w:rsid w:val="00FA1A0B"/>
    <w:rsid w:val="00FA5215"/>
    <w:rsid w:val="00FA7186"/>
    <w:rsid w:val="00FB10D6"/>
    <w:rsid w:val="00FB2EB9"/>
    <w:rsid w:val="00FB3C96"/>
    <w:rsid w:val="00FB413D"/>
    <w:rsid w:val="00FB523A"/>
    <w:rsid w:val="00FC1C70"/>
    <w:rsid w:val="00FC5310"/>
    <w:rsid w:val="00FC5756"/>
    <w:rsid w:val="00FC6197"/>
    <w:rsid w:val="00FD06D8"/>
    <w:rsid w:val="00FD3686"/>
    <w:rsid w:val="00FD433B"/>
    <w:rsid w:val="00FD5282"/>
    <w:rsid w:val="00FD72B8"/>
    <w:rsid w:val="00FE0130"/>
    <w:rsid w:val="00FE0772"/>
    <w:rsid w:val="00FE09D3"/>
    <w:rsid w:val="00FE0FE5"/>
    <w:rsid w:val="00FE6A0D"/>
    <w:rsid w:val="00FE7253"/>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A95104"/>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4A4775"/>
    <w:pPr>
      <w:keepNext/>
      <w:keepLines/>
      <w:spacing w:after="460"/>
      <w:outlineLvl w:val="0"/>
    </w:pPr>
    <w:rPr>
      <w:rFonts w:asciiTheme="majorHAnsi" w:hAnsiTheme="majorHAnsi"/>
      <w:b/>
      <w:color w:val="014463" w:themeColor="text2"/>
      <w:sz w:val="60"/>
      <w:szCs w:val="60"/>
    </w:rPr>
  </w:style>
  <w:style w:type="paragraph" w:styleId="Heading2">
    <w:name w:val="heading 2"/>
    <w:basedOn w:val="Normal"/>
    <w:next w:val="BodyText"/>
    <w:link w:val="Heading2Char"/>
    <w:uiPriority w:val="9"/>
    <w:unhideWhenUsed/>
    <w:qFormat/>
    <w:rsid w:val="004A4775"/>
    <w:pPr>
      <w:keepNext/>
      <w:keepLines/>
      <w:spacing w:before="480" w:after="240"/>
      <w:outlineLvl w:val="1"/>
    </w:pPr>
    <w:rPr>
      <w:rFonts w:asciiTheme="majorHAnsi" w:eastAsiaTheme="majorEastAsia" w:hAnsiTheme="majorHAnsi" w:cstheme="majorBidi"/>
      <w:b/>
      <w:color w:val="014463" w:themeColor="text2"/>
      <w:sz w:val="40"/>
      <w:szCs w:val="40"/>
    </w:rPr>
  </w:style>
  <w:style w:type="paragraph" w:styleId="Heading3">
    <w:name w:val="heading 3"/>
    <w:basedOn w:val="Normal"/>
    <w:next w:val="BodyText"/>
    <w:link w:val="Heading3Char"/>
    <w:uiPriority w:val="9"/>
    <w:unhideWhenUsed/>
    <w:qFormat/>
    <w:rsid w:val="004A4775"/>
    <w:pPr>
      <w:keepNext/>
      <w:keepLines/>
      <w:spacing w:before="240" w:after="160" w:line="240" w:lineRule="auto"/>
      <w:outlineLvl w:val="2"/>
    </w:pPr>
    <w:rPr>
      <w:rFonts w:asciiTheme="majorHAnsi" w:eastAsiaTheme="majorEastAsia" w:hAnsiTheme="majorHAnsi" w:cstheme="majorBidi"/>
      <w:color w:val="014463" w:themeColor="text2"/>
      <w:sz w:val="30"/>
      <w:szCs w:val="30"/>
    </w:rPr>
  </w:style>
  <w:style w:type="paragraph" w:styleId="Heading4">
    <w:name w:val="heading 4"/>
    <w:basedOn w:val="BodyText"/>
    <w:next w:val="BodyText"/>
    <w:link w:val="Heading4Char"/>
    <w:uiPriority w:val="9"/>
    <w:qFormat/>
    <w:rsid w:val="00D3445B"/>
    <w:pPr>
      <w:spacing w:before="240"/>
      <w:outlineLvl w:val="3"/>
    </w:pPr>
    <w:rPr>
      <w:rFonts w:asciiTheme="majorHAnsi" w:hAnsiTheme="majorHAnsi"/>
      <w:color w:val="014463"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095BF3"/>
    <w:pPr>
      <w:tabs>
        <w:tab w:val="center" w:pos="4513"/>
        <w:tab w:val="right" w:pos="9026"/>
      </w:tabs>
      <w:spacing w:after="0" w:line="240" w:lineRule="auto"/>
      <w:jc w:val="right"/>
    </w:pPr>
    <w:rPr>
      <w:rFonts w:asciiTheme="majorHAnsi" w:hAnsiTheme="majorHAnsi"/>
      <w:b/>
      <w:caps/>
      <w:color w:val="014463" w:themeColor="text2"/>
    </w:rPr>
  </w:style>
  <w:style w:type="character" w:customStyle="1" w:styleId="FooterChar">
    <w:name w:val="Footer Char"/>
    <w:basedOn w:val="DefaultParagraphFont"/>
    <w:link w:val="Footer"/>
    <w:uiPriority w:val="99"/>
    <w:rsid w:val="006C7FC3"/>
    <w:rPr>
      <w:rFonts w:asciiTheme="majorHAnsi" w:hAnsiTheme="majorHAnsi"/>
      <w:b/>
      <w:caps/>
      <w:color w:val="014463" w:themeColor="text2"/>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4A4775"/>
    <w:rPr>
      <w:rFonts w:asciiTheme="majorHAnsi" w:hAnsiTheme="majorHAnsi"/>
      <w:b/>
      <w:color w:val="014463" w:themeColor="text2"/>
      <w:sz w:val="60"/>
      <w:szCs w:val="60"/>
    </w:rPr>
  </w:style>
  <w:style w:type="table" w:customStyle="1" w:styleId="PMCDefaultTableStyle">
    <w:name w:val="PMC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4A4775"/>
    <w:rPr>
      <w:rFonts w:asciiTheme="majorHAnsi" w:eastAsiaTheme="majorEastAsia" w:hAnsiTheme="majorHAnsi" w:cstheme="majorBidi"/>
      <w:b/>
      <w:color w:val="014463" w:themeColor="text2"/>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4A4775"/>
    <w:rPr>
      <w:rFonts w:asciiTheme="majorHAnsi" w:eastAsiaTheme="majorEastAsia" w:hAnsiTheme="majorHAnsi" w:cstheme="majorBidi"/>
      <w:color w:val="014463" w:themeColor="text2"/>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D3445B"/>
    <w:rPr>
      <w:rFonts w:asciiTheme="majorHAnsi" w:hAnsiTheme="majorHAnsi"/>
      <w:color w:val="014463" w:themeColor="text2"/>
      <w:sz w:val="28"/>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PMCTableStyle2">
    <w:name w:val="PMC Table Style 2"/>
    <w:basedOn w:val="TableNormal"/>
    <w:uiPriority w:val="99"/>
    <w:rsid w:val="00FC6197"/>
    <w:pPr>
      <w:spacing w:before="60" w:after="60"/>
    </w:pPr>
    <w:tblPr>
      <w:tblStyleRowBandSize w:val="1"/>
      <w:tblBorders>
        <w:top w:val="single" w:sz="4" w:space="0" w:color="E4E9EE" w:themeColor="accent1" w:themeTint="1A"/>
        <w:left w:val="single" w:sz="4" w:space="0" w:color="E4E9EE" w:themeColor="accent1" w:themeTint="1A"/>
        <w:bottom w:val="single" w:sz="12" w:space="0" w:color="014463" w:themeColor="text2"/>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FFFFFF" w:themeColor="background1"/>
        <w:sz w:val="18"/>
      </w:rPr>
      <w:tblPr/>
      <w:tcPr>
        <w:shd w:val="clear" w:color="auto" w:fill="014463" w:themeFill="text2"/>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311022"/>
    <w:pPr>
      <w:ind w:left="567" w:right="567"/>
    </w:pPr>
    <w:rPr>
      <w:rFonts w:asciiTheme="majorHAnsi" w:hAnsiTheme="majorHAnsi"/>
      <w:color w:val="014463" w:themeColor="text2"/>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8436AB"/>
    <w:pPr>
      <w:spacing w:after="240"/>
    </w:pPr>
    <w:rPr>
      <w:color w:val="FFFFFF" w:themeColor="background1"/>
      <w:sz w:val="24"/>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BC1972"/>
    <w:pPr>
      <w:keepNext/>
      <w:tabs>
        <w:tab w:val="left" w:pos="851"/>
        <w:tab w:val="left" w:pos="1017"/>
      </w:tabs>
      <w:spacing w:before="120"/>
      <w:ind w:left="851" w:hanging="851"/>
    </w:pPr>
    <w:rPr>
      <w:rFonts w:asciiTheme="majorHAnsi" w:hAnsiTheme="majorHAnsi"/>
      <w:b/>
      <w:iCs/>
      <w:color w:val="014463" w:themeColor="text2"/>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993B67"/>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60" w:after="60" w:line="240" w:lineRule="atLeast"/>
      <w:ind w:left="198" w:right="215"/>
    </w:pPr>
    <w:rPr>
      <w:rFonts w:asciiTheme="majorHAnsi" w:eastAsia="Times New Roman" w:hAnsiTheme="majorHAnsi" w:cs="Times New Roman"/>
      <w:b/>
      <w:color w:val="014463" w:themeColor="text2"/>
      <w:sz w:val="24"/>
      <w:szCs w:val="24"/>
      <w:lang w:val="en-US"/>
    </w:rPr>
  </w:style>
  <w:style w:type="paragraph" w:customStyle="1" w:styleId="EmphasisPanelBody">
    <w:name w:val="Emphasis Panel Body"/>
    <w:basedOn w:val="Normal"/>
    <w:uiPriority w:val="11"/>
    <w:qFormat/>
    <w:rsid w:val="00BF3BE8"/>
    <w:pPr>
      <w:keepLines/>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left="198" w:right="215"/>
    </w:pPr>
    <w:rPr>
      <w:rFonts w:eastAsia="Times New Roman" w:cstheme="minorHAnsi"/>
      <w:lang w:val="en-US"/>
    </w:rPr>
  </w:style>
  <w:style w:type="paragraph" w:customStyle="1" w:styleId="EmphasisPanelBullet">
    <w:name w:val="Emphasis Panel Bullet"/>
    <w:uiPriority w:val="11"/>
    <w:qFormat/>
    <w:rsid w:val="00993B67"/>
    <w:pPr>
      <w:keepLines/>
      <w:numPr>
        <w:numId w:val="6"/>
      </w:numPr>
      <w:pBdr>
        <w:top w:val="single" w:sz="4" w:space="8" w:color="D1D1D1" w:themeColor="background2"/>
        <w:left w:val="single" w:sz="4" w:space="8" w:color="D1D1D1" w:themeColor="background2"/>
        <w:bottom w:val="single" w:sz="4" w:space="8" w:color="D1D1D1" w:themeColor="background2"/>
        <w:right w:val="single" w:sz="4" w:space="8" w:color="D1D1D1" w:themeColor="background2"/>
      </w:pBdr>
      <w:shd w:val="clear" w:color="auto" w:fill="D1D1D1" w:themeFill="background2"/>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311022"/>
    <w:rPr>
      <w:rFonts w:asciiTheme="majorHAnsi" w:hAnsiTheme="majorHAnsi"/>
      <w:color w:val="014463" w:themeColor="text2"/>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rsid w:val="003A7E73"/>
    <w:pPr>
      <w:spacing w:after="0" w:line="240" w:lineRule="auto"/>
    </w:pPr>
  </w:style>
  <w:style w:type="character" w:customStyle="1" w:styleId="FootnoteTextChar">
    <w:name w:val="Footnote Text Char"/>
    <w:basedOn w:val="DefaultParagraphFont"/>
    <w:link w:val="FootnoteText"/>
    <w:uiPriority w:val="99"/>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FE09D3"/>
    <w:pPr>
      <w:spacing w:after="120"/>
    </w:pPr>
  </w:style>
  <w:style w:type="character" w:customStyle="1" w:styleId="TitleChar">
    <w:name w:val="Title Char"/>
    <w:basedOn w:val="DefaultParagraphFont"/>
    <w:link w:val="Title"/>
    <w:rsid w:val="00FE09D3"/>
    <w:rPr>
      <w:rFonts w:asciiTheme="majorHAnsi" w:hAnsiTheme="majorHAnsi"/>
      <w:b/>
      <w:color w:val="014463" w:themeColor="text2"/>
      <w:sz w:val="60"/>
      <w:szCs w:val="60"/>
    </w:rPr>
  </w:style>
  <w:style w:type="paragraph" w:styleId="Subtitle">
    <w:name w:val="Subtitle"/>
    <w:basedOn w:val="Heading4"/>
    <w:next w:val="Normal"/>
    <w:link w:val="SubtitleChar"/>
    <w:uiPriority w:val="1"/>
    <w:qFormat/>
    <w:rsid w:val="00D3445B"/>
    <w:pPr>
      <w:spacing w:before="120" w:after="360"/>
    </w:pPr>
    <w:rPr>
      <w:i/>
    </w:rPr>
  </w:style>
  <w:style w:type="character" w:customStyle="1" w:styleId="SubtitleChar">
    <w:name w:val="Subtitle Char"/>
    <w:basedOn w:val="DefaultParagraphFont"/>
    <w:link w:val="Subtitle"/>
    <w:uiPriority w:val="1"/>
    <w:rsid w:val="00D3445B"/>
    <w:rPr>
      <w:rFonts w:asciiTheme="majorHAnsi" w:hAnsiTheme="majorHAnsi"/>
      <w:i/>
      <w:color w:val="014463" w:themeColor="text2"/>
      <w:sz w:val="24"/>
      <w:szCs w:val="24"/>
    </w:rPr>
  </w:style>
  <w:style w:type="character" w:styleId="Hyperlink">
    <w:name w:val="Hyperlink"/>
    <w:basedOn w:val="DefaultParagraphFont"/>
    <w:uiPriority w:val="99"/>
    <w:unhideWhenUsed/>
    <w:rsid w:val="00561516"/>
    <w:rPr>
      <w:color w:val="015F8B" w:themeColor="hyperlink"/>
      <w:u w:val="single"/>
    </w:rPr>
  </w:style>
  <w:style w:type="paragraph" w:customStyle="1" w:styleId="TableText">
    <w:name w:val="TableText"/>
    <w:basedOn w:val="Normal"/>
    <w:qFormat/>
    <w:rsid w:val="00663F85"/>
    <w:pPr>
      <w:spacing w:before="120" w:line="240" w:lineRule="auto"/>
    </w:pPr>
    <w:rPr>
      <w:rFonts w:ascii="Century Gothic" w:eastAsiaTheme="majorEastAsia" w:hAnsi="Century Gothic" w:cs="Arial"/>
      <w:bCs/>
      <w:color w:val="auto"/>
    </w:rPr>
  </w:style>
  <w:style w:type="character" w:styleId="CommentReference">
    <w:name w:val="annotation reference"/>
    <w:basedOn w:val="DefaultParagraphFont"/>
    <w:uiPriority w:val="99"/>
    <w:semiHidden/>
    <w:unhideWhenUsed/>
    <w:rsid w:val="00663F85"/>
    <w:rPr>
      <w:sz w:val="16"/>
      <w:szCs w:val="16"/>
    </w:rPr>
  </w:style>
  <w:style w:type="paragraph" w:styleId="CommentText">
    <w:name w:val="annotation text"/>
    <w:basedOn w:val="Normal"/>
    <w:link w:val="CommentTextChar"/>
    <w:uiPriority w:val="99"/>
    <w:unhideWhenUsed/>
    <w:rsid w:val="00663F85"/>
    <w:pPr>
      <w:spacing w:line="240" w:lineRule="auto"/>
    </w:pPr>
  </w:style>
  <w:style w:type="character" w:customStyle="1" w:styleId="CommentTextChar">
    <w:name w:val="Comment Text Char"/>
    <w:basedOn w:val="DefaultParagraphFont"/>
    <w:link w:val="CommentText"/>
    <w:uiPriority w:val="99"/>
    <w:rsid w:val="00663F85"/>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qFormat/>
    <w:rsid w:val="00663F85"/>
  </w:style>
  <w:style w:type="paragraph" w:customStyle="1" w:styleId="CABNETParagraph">
    <w:name w:val="CABNET Paragraph."/>
    <w:basedOn w:val="Normal"/>
    <w:link w:val="CABNETParagraphChar"/>
    <w:uiPriority w:val="98"/>
    <w:qFormat/>
    <w:rsid w:val="00097206"/>
    <w:pPr>
      <w:spacing w:before="120" w:line="240" w:lineRule="auto"/>
    </w:pPr>
    <w:rPr>
      <w:rFonts w:ascii="Arial" w:hAnsi="Arial" w:cstheme="minorHAnsi"/>
      <w:color w:val="auto"/>
      <w:sz w:val="22"/>
      <w:szCs w:val="22"/>
    </w:rPr>
  </w:style>
  <w:style w:type="character" w:customStyle="1" w:styleId="CABNETParagraphChar">
    <w:name w:val="CABNET Paragraph. Char"/>
    <w:basedOn w:val="DefaultParagraphFont"/>
    <w:link w:val="CABNETParagraph"/>
    <w:uiPriority w:val="98"/>
    <w:rsid w:val="00097206"/>
    <w:rPr>
      <w:rFonts w:ascii="Arial" w:hAnsi="Arial" w:cstheme="minorHAnsi"/>
      <w:color w:val="auto"/>
      <w:sz w:val="22"/>
      <w:szCs w:val="22"/>
    </w:rPr>
  </w:style>
  <w:style w:type="paragraph" w:customStyle="1" w:styleId="Default">
    <w:name w:val="Default"/>
    <w:rsid w:val="003065B3"/>
    <w:pPr>
      <w:autoSpaceDE w:val="0"/>
      <w:autoSpaceDN w:val="0"/>
      <w:adjustRightInd w:val="0"/>
      <w:spacing w:after="80" w:line="240" w:lineRule="auto"/>
    </w:pPr>
    <w:rPr>
      <w:rFonts w:ascii="Calibri" w:eastAsia="Times New Roman" w:hAnsi="Calibri" w:cs="Calibri"/>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D33592"/>
    <w:rPr>
      <w:b/>
      <w:bCs/>
    </w:rPr>
  </w:style>
  <w:style w:type="character" w:customStyle="1" w:styleId="CommentSubjectChar">
    <w:name w:val="Comment Subject Char"/>
    <w:basedOn w:val="CommentTextChar"/>
    <w:link w:val="CommentSubject"/>
    <w:uiPriority w:val="99"/>
    <w:semiHidden/>
    <w:rsid w:val="00D33592"/>
    <w:rPr>
      <w:b/>
      <w:bCs/>
    </w:rPr>
  </w:style>
  <w:style w:type="paragraph" w:customStyle="1" w:styleId="CABParagraph">
    <w:name w:val="CAB Paragraph"/>
    <w:basedOn w:val="BodyText"/>
    <w:link w:val="CABParagraphChar"/>
    <w:uiPriority w:val="98"/>
    <w:qFormat/>
    <w:rsid w:val="000243A7"/>
    <w:pPr>
      <w:spacing w:before="120" w:after="0" w:line="240" w:lineRule="auto"/>
    </w:pPr>
    <w:rPr>
      <w:rFonts w:ascii="Arial" w:hAnsi="Arial"/>
      <w:color w:val="auto"/>
      <w:sz w:val="22"/>
      <w:szCs w:val="22"/>
    </w:rPr>
  </w:style>
  <w:style w:type="character" w:customStyle="1" w:styleId="CABParagraphChar">
    <w:name w:val="CAB Paragraph Char"/>
    <w:basedOn w:val="DefaultParagraphFont"/>
    <w:link w:val="CABParagraph"/>
    <w:uiPriority w:val="98"/>
    <w:rsid w:val="000243A7"/>
    <w:rPr>
      <w:rFonts w:ascii="Arial" w:hAnsi="Arial"/>
      <w:color w:val="auto"/>
      <w:sz w:val="22"/>
      <w:szCs w:val="22"/>
    </w:rPr>
  </w:style>
  <w:style w:type="paragraph" w:customStyle="1" w:styleId="SectionTitleCab">
    <w:name w:val="Section Title Cab"/>
    <w:basedOn w:val="Title"/>
    <w:link w:val="SectionTitleCabChar"/>
    <w:uiPriority w:val="17"/>
    <w:semiHidden/>
    <w:qFormat/>
    <w:rsid w:val="000243A7"/>
    <w:pPr>
      <w:keepNext w:val="0"/>
      <w:keepLines w:val="0"/>
      <w:tabs>
        <w:tab w:val="center" w:pos="1313"/>
      </w:tabs>
      <w:spacing w:before="240" w:after="60" w:line="240" w:lineRule="auto"/>
      <w:outlineLvl w:val="9"/>
    </w:pPr>
    <w:rPr>
      <w:rFonts w:ascii="Arial" w:hAnsi="Arial"/>
      <w:color w:val="003865"/>
      <w:sz w:val="40"/>
      <w:szCs w:val="20"/>
    </w:rPr>
  </w:style>
  <w:style w:type="character" w:customStyle="1" w:styleId="SectionTitleCabChar">
    <w:name w:val="Section Title Cab Char"/>
    <w:basedOn w:val="DefaultParagraphFont"/>
    <w:link w:val="SectionTitleCab"/>
    <w:uiPriority w:val="17"/>
    <w:semiHidden/>
    <w:rsid w:val="000243A7"/>
    <w:rPr>
      <w:rFonts w:ascii="Arial" w:hAnsi="Arial"/>
      <w:b/>
      <w:color w:val="003865"/>
      <w:sz w:val="40"/>
    </w:rPr>
  </w:style>
  <w:style w:type="paragraph" w:customStyle="1" w:styleId="Spacer">
    <w:name w:val="Spacer"/>
    <w:uiPriority w:val="98"/>
    <w:semiHidden/>
    <w:rsid w:val="000E1233"/>
    <w:pPr>
      <w:spacing w:after="0" w:line="240" w:lineRule="auto"/>
    </w:pPr>
    <w:rPr>
      <w:rFonts w:ascii="Arial" w:hAnsi="Arial"/>
      <w:color w:val="auto"/>
      <w:sz w:val="4"/>
      <w:szCs w:val="4"/>
    </w:rPr>
  </w:style>
  <w:style w:type="paragraph" w:customStyle="1" w:styleId="CABHeading2">
    <w:name w:val="CAB Heading 2."/>
    <w:basedOn w:val="Normal"/>
    <w:link w:val="CABHeading2Char"/>
    <w:uiPriority w:val="98"/>
    <w:qFormat/>
    <w:rsid w:val="000E1233"/>
    <w:pPr>
      <w:keepNext/>
      <w:keepLines/>
      <w:tabs>
        <w:tab w:val="left" w:pos="567"/>
      </w:tabs>
      <w:spacing w:before="200" w:after="0" w:line="240" w:lineRule="auto"/>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0E1233"/>
    <w:rPr>
      <w:rFonts w:ascii="Arial" w:eastAsiaTheme="majorEastAsia" w:hAnsi="Arial" w:cstheme="majorBidi"/>
      <w:b/>
      <w:bCs/>
      <w:color w:val="003865"/>
      <w:sz w:val="24"/>
      <w:szCs w:val="28"/>
    </w:rPr>
  </w:style>
  <w:style w:type="paragraph" w:styleId="NormalWeb">
    <w:name w:val="Normal (Web)"/>
    <w:basedOn w:val="Normal"/>
    <w:uiPriority w:val="99"/>
    <w:unhideWhenUsed/>
    <w:rsid w:val="00064182"/>
    <w:pPr>
      <w:spacing w:before="100" w:beforeAutospacing="1" w:after="100" w:afterAutospacing="1" w:line="240" w:lineRule="auto"/>
    </w:pPr>
    <w:rPr>
      <w:rFonts w:ascii="Times New Roman" w:hAnsi="Times New Roman" w:cs="Times New Roman"/>
      <w:color w:val="auto"/>
      <w:sz w:val="24"/>
      <w:szCs w:val="24"/>
      <w:lang w:eastAsia="en-AU"/>
    </w:rPr>
  </w:style>
  <w:style w:type="character" w:customStyle="1" w:styleId="TableHeadingRowChar">
    <w:name w:val="Table Heading Row Char"/>
    <w:basedOn w:val="DefaultParagraphFont"/>
    <w:link w:val="TableHeadingRow"/>
    <w:locked/>
    <w:rsid w:val="00B72094"/>
    <w:rPr>
      <w:rFonts w:ascii="Calibri" w:hAnsi="Calibri" w:cs="Calibri"/>
      <w:b/>
      <w:bCs/>
      <w:sz w:val="24"/>
      <w:szCs w:val="24"/>
    </w:rPr>
  </w:style>
  <w:style w:type="paragraph" w:customStyle="1" w:styleId="TableHeadingRow">
    <w:name w:val="Table Heading Row"/>
    <w:basedOn w:val="Normal"/>
    <w:link w:val="TableHeadingRowChar"/>
    <w:rsid w:val="00B72094"/>
    <w:pPr>
      <w:spacing w:before="40" w:after="40" w:line="240" w:lineRule="auto"/>
    </w:pPr>
    <w:rPr>
      <w:rFonts w:ascii="Calibri" w:hAnsi="Calibri" w:cs="Calibri"/>
      <w:b/>
      <w:bCs/>
      <w:sz w:val="24"/>
      <w:szCs w:val="24"/>
    </w:rPr>
  </w:style>
  <w:style w:type="character" w:styleId="FollowedHyperlink">
    <w:name w:val="FollowedHyperlink"/>
    <w:basedOn w:val="DefaultParagraphFont"/>
    <w:uiPriority w:val="99"/>
    <w:semiHidden/>
    <w:unhideWhenUsed/>
    <w:rsid w:val="00CB5346"/>
    <w:rPr>
      <w:color w:val="015F8B" w:themeColor="followedHyperlink"/>
      <w:u w:val="single"/>
    </w:rPr>
  </w:style>
  <w:style w:type="paragraph" w:styleId="Revision">
    <w:name w:val="Revision"/>
    <w:hidden/>
    <w:uiPriority w:val="99"/>
    <w:semiHidden/>
    <w:rsid w:val="00EC330F"/>
    <w:pPr>
      <w:spacing w:after="0" w:line="240" w:lineRule="auto"/>
    </w:pPr>
  </w:style>
  <w:style w:type="paragraph" w:styleId="TOCHeading">
    <w:name w:val="TOC Heading"/>
    <w:basedOn w:val="Heading1"/>
    <w:next w:val="Normal"/>
    <w:uiPriority w:val="39"/>
    <w:unhideWhenUsed/>
    <w:qFormat/>
    <w:rsid w:val="00D61146"/>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1">
    <w:name w:val="toc 1"/>
    <w:basedOn w:val="Normal"/>
    <w:next w:val="Normal"/>
    <w:autoRedefine/>
    <w:uiPriority w:val="39"/>
    <w:unhideWhenUsed/>
    <w:rsid w:val="00542421"/>
    <w:pPr>
      <w:tabs>
        <w:tab w:val="right" w:leader="dot" w:pos="10194"/>
      </w:tabs>
      <w:spacing w:after="100"/>
    </w:pPr>
  </w:style>
  <w:style w:type="paragraph" w:styleId="TOC3">
    <w:name w:val="toc 3"/>
    <w:basedOn w:val="Normal"/>
    <w:next w:val="Normal"/>
    <w:autoRedefine/>
    <w:uiPriority w:val="39"/>
    <w:unhideWhenUsed/>
    <w:rsid w:val="00D61146"/>
    <w:pPr>
      <w:spacing w:after="100"/>
      <w:ind w:left="400"/>
    </w:pPr>
  </w:style>
  <w:style w:type="paragraph" w:styleId="TOC2">
    <w:name w:val="toc 2"/>
    <w:basedOn w:val="Normal"/>
    <w:next w:val="Normal"/>
    <w:autoRedefine/>
    <w:uiPriority w:val="39"/>
    <w:unhideWhenUsed/>
    <w:rsid w:val="00D61146"/>
    <w:pPr>
      <w:spacing w:after="100"/>
      <w:ind w:left="200"/>
    </w:pPr>
  </w:style>
  <w:style w:type="paragraph" w:customStyle="1" w:styleId="body">
    <w:name w:val="body"/>
    <w:basedOn w:val="Normal"/>
    <w:uiPriority w:val="99"/>
    <w:rsid w:val="00095F74"/>
    <w:pPr>
      <w:widowControl w:val="0"/>
      <w:suppressAutoHyphens/>
      <w:autoSpaceDE w:val="0"/>
      <w:autoSpaceDN w:val="0"/>
      <w:adjustRightInd w:val="0"/>
      <w:spacing w:after="113" w:line="230" w:lineRule="atLeast"/>
    </w:pPr>
    <w:rPr>
      <w:rFonts w:ascii="TimesNewRomanPSMT" w:eastAsia="Times New Roman" w:hAnsi="TimesNewRomanPSMT" w:cs="TimesNewRomanPSMT"/>
      <w:color w:val="000000"/>
      <w:sz w:val="19"/>
      <w:szCs w:val="19"/>
      <w:lang w:val="en-GB"/>
    </w:rPr>
  </w:style>
  <w:style w:type="character" w:styleId="Strong">
    <w:name w:val="Strong"/>
    <w:basedOn w:val="DefaultParagraphFont"/>
    <w:uiPriority w:val="22"/>
    <w:qFormat/>
    <w:rsid w:val="00FA03B2"/>
    <w:rPr>
      <w:b/>
      <w:bCs/>
    </w:rPr>
  </w:style>
  <w:style w:type="paragraph" w:customStyle="1" w:styleId="TOCLevel2">
    <w:name w:val="TOCLevel2"/>
    <w:basedOn w:val="Normal"/>
    <w:link w:val="TOCLevel2Char"/>
    <w:uiPriority w:val="98"/>
    <w:qFormat/>
    <w:rsid w:val="00612E57"/>
    <w:pPr>
      <w:keepNext/>
      <w:keepLines/>
      <w:tabs>
        <w:tab w:val="left" w:pos="567"/>
      </w:tabs>
      <w:spacing w:before="240" w:after="200" w:line="240" w:lineRule="auto"/>
      <w:jc w:val="center"/>
      <w:outlineLvl w:val="0"/>
    </w:pPr>
    <w:rPr>
      <w:rFonts w:ascii="Arial" w:eastAsiaTheme="majorEastAsia" w:hAnsi="Arial" w:cstheme="majorBidi"/>
      <w:b/>
      <w:bCs/>
      <w:color w:val="003865"/>
      <w:sz w:val="24"/>
      <w:szCs w:val="28"/>
    </w:rPr>
  </w:style>
  <w:style w:type="character" w:customStyle="1" w:styleId="TOCLevel2Char">
    <w:name w:val="TOCLevel2 Char"/>
    <w:basedOn w:val="DefaultParagraphFont"/>
    <w:link w:val="TOCLevel2"/>
    <w:uiPriority w:val="98"/>
    <w:rsid w:val="00612E57"/>
    <w:rPr>
      <w:rFonts w:ascii="Arial" w:eastAsiaTheme="majorEastAsia" w:hAnsi="Arial" w:cstheme="majorBidi"/>
      <w:b/>
      <w:bCs/>
      <w:color w:val="003865"/>
      <w:sz w:val="24"/>
      <w:szCs w:val="28"/>
    </w:rPr>
  </w:style>
  <w:style w:type="paragraph" w:styleId="ListBullet">
    <w:name w:val="List Bullet"/>
    <w:basedOn w:val="Normal"/>
    <w:uiPriority w:val="99"/>
    <w:semiHidden/>
    <w:unhideWhenUsed/>
    <w:rsid w:val="0003758D"/>
    <w:pPr>
      <w:numPr>
        <w:numId w:val="27"/>
      </w:numPr>
      <w:spacing w:before="60" w:after="60" w:line="240" w:lineRule="auto"/>
    </w:pPr>
    <w:rPr>
      <w:rFonts w:ascii="Arial" w:hAnsi="Arial" w:cs="Arial"/>
      <w:color w:val="000000"/>
      <w:sz w:val="21"/>
      <w:szCs w:val="21"/>
    </w:rPr>
  </w:style>
  <w:style w:type="paragraph" w:customStyle="1" w:styleId="paragraph">
    <w:name w:val="paragraph"/>
    <w:basedOn w:val="Normal"/>
    <w:rsid w:val="0003758D"/>
    <w:pPr>
      <w:spacing w:before="100" w:beforeAutospacing="1" w:after="100" w:afterAutospacing="1" w:line="240" w:lineRule="auto"/>
    </w:pPr>
    <w:rPr>
      <w:rFonts w:ascii="Times New Roman" w:hAnsi="Times New Roman" w:cs="Times New Roman"/>
      <w:color w:val="auto"/>
      <w:sz w:val="24"/>
      <w:szCs w:val="24"/>
      <w:lang w:eastAsia="en-AU"/>
    </w:rPr>
  </w:style>
  <w:style w:type="character" w:customStyle="1" w:styleId="normaltextrun">
    <w:name w:val="normaltextrun"/>
    <w:basedOn w:val="DefaultParagraphFont"/>
    <w:rsid w:val="0003758D"/>
  </w:style>
  <w:style w:type="character" w:customStyle="1" w:styleId="eop">
    <w:name w:val="eop"/>
    <w:basedOn w:val="DefaultParagraphFont"/>
    <w:rsid w:val="0003758D"/>
  </w:style>
  <w:style w:type="paragraph" w:customStyle="1" w:styleId="Paragraphtext">
    <w:name w:val="Paragraph text"/>
    <w:basedOn w:val="Normal"/>
    <w:uiPriority w:val="99"/>
    <w:rsid w:val="0003758D"/>
    <w:pPr>
      <w:spacing w:before="120" w:after="60" w:line="240" w:lineRule="auto"/>
    </w:pPr>
    <w:rPr>
      <w:rFonts w:ascii="Arial" w:hAnsi="Arial" w:cs="Arial"/>
      <w:color w:val="000000"/>
      <w:sz w:val="21"/>
      <w:szCs w:val="21"/>
    </w:rPr>
  </w:style>
  <w:style w:type="character" w:customStyle="1" w:styleId="sr-only">
    <w:name w:val="sr-only"/>
    <w:basedOn w:val="DefaultParagraphFont"/>
    <w:rsid w:val="0004319B"/>
  </w:style>
  <w:style w:type="character" w:styleId="HTMLCite">
    <w:name w:val="HTML Cite"/>
    <w:basedOn w:val="DefaultParagraphFont"/>
    <w:uiPriority w:val="99"/>
    <w:semiHidden/>
    <w:unhideWhenUsed/>
    <w:rsid w:val="008571ED"/>
    <w:rPr>
      <w:i/>
      <w:iCs/>
    </w:rPr>
  </w:style>
  <w:style w:type="paragraph" w:customStyle="1" w:styleId="null">
    <w:name w:val="null"/>
    <w:basedOn w:val="Normal"/>
    <w:rsid w:val="0086200B"/>
    <w:pPr>
      <w:spacing w:before="100" w:beforeAutospacing="1" w:after="100" w:afterAutospacing="1" w:line="240" w:lineRule="auto"/>
    </w:pPr>
    <w:rPr>
      <w:rFonts w:ascii="Times New Roman" w:hAnsi="Times New Roman" w:cs="Times New Roman"/>
      <w:color w:val="auto"/>
      <w:sz w:val="24"/>
      <w:szCs w:val="24"/>
      <w:lang w:eastAsia="en-AU"/>
    </w:rPr>
  </w:style>
  <w:style w:type="character" w:customStyle="1" w:styleId="null1">
    <w:name w:val="null1"/>
    <w:basedOn w:val="DefaultParagraphFont"/>
    <w:rsid w:val="0086200B"/>
  </w:style>
  <w:style w:type="table" w:customStyle="1" w:styleId="TableGrid1">
    <w:name w:val="Table Grid1"/>
    <w:basedOn w:val="TableNormal"/>
    <w:next w:val="TableGrid"/>
    <w:uiPriority w:val="39"/>
    <w:rsid w:val="00BA3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841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684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931">
      <w:bodyDiv w:val="1"/>
      <w:marLeft w:val="0"/>
      <w:marRight w:val="0"/>
      <w:marTop w:val="0"/>
      <w:marBottom w:val="0"/>
      <w:divBdr>
        <w:top w:val="none" w:sz="0" w:space="0" w:color="auto"/>
        <w:left w:val="none" w:sz="0" w:space="0" w:color="auto"/>
        <w:bottom w:val="none" w:sz="0" w:space="0" w:color="auto"/>
        <w:right w:val="none" w:sz="0" w:space="0" w:color="auto"/>
      </w:divBdr>
    </w:div>
    <w:div w:id="109327860">
      <w:bodyDiv w:val="1"/>
      <w:marLeft w:val="0"/>
      <w:marRight w:val="0"/>
      <w:marTop w:val="0"/>
      <w:marBottom w:val="0"/>
      <w:divBdr>
        <w:top w:val="none" w:sz="0" w:space="0" w:color="auto"/>
        <w:left w:val="none" w:sz="0" w:space="0" w:color="auto"/>
        <w:bottom w:val="none" w:sz="0" w:space="0" w:color="auto"/>
        <w:right w:val="none" w:sz="0" w:space="0" w:color="auto"/>
      </w:divBdr>
    </w:div>
    <w:div w:id="110563081">
      <w:bodyDiv w:val="1"/>
      <w:marLeft w:val="0"/>
      <w:marRight w:val="0"/>
      <w:marTop w:val="0"/>
      <w:marBottom w:val="0"/>
      <w:divBdr>
        <w:top w:val="none" w:sz="0" w:space="0" w:color="auto"/>
        <w:left w:val="none" w:sz="0" w:space="0" w:color="auto"/>
        <w:bottom w:val="none" w:sz="0" w:space="0" w:color="auto"/>
        <w:right w:val="none" w:sz="0" w:space="0" w:color="auto"/>
      </w:divBdr>
    </w:div>
    <w:div w:id="159468277">
      <w:bodyDiv w:val="1"/>
      <w:marLeft w:val="0"/>
      <w:marRight w:val="0"/>
      <w:marTop w:val="0"/>
      <w:marBottom w:val="0"/>
      <w:divBdr>
        <w:top w:val="none" w:sz="0" w:space="0" w:color="auto"/>
        <w:left w:val="none" w:sz="0" w:space="0" w:color="auto"/>
        <w:bottom w:val="none" w:sz="0" w:space="0" w:color="auto"/>
        <w:right w:val="none" w:sz="0" w:space="0" w:color="auto"/>
      </w:divBdr>
    </w:div>
    <w:div w:id="188568614">
      <w:bodyDiv w:val="1"/>
      <w:marLeft w:val="0"/>
      <w:marRight w:val="0"/>
      <w:marTop w:val="0"/>
      <w:marBottom w:val="0"/>
      <w:divBdr>
        <w:top w:val="none" w:sz="0" w:space="0" w:color="auto"/>
        <w:left w:val="none" w:sz="0" w:space="0" w:color="auto"/>
        <w:bottom w:val="none" w:sz="0" w:space="0" w:color="auto"/>
        <w:right w:val="none" w:sz="0" w:space="0" w:color="auto"/>
      </w:divBdr>
    </w:div>
    <w:div w:id="262962201">
      <w:bodyDiv w:val="1"/>
      <w:marLeft w:val="0"/>
      <w:marRight w:val="0"/>
      <w:marTop w:val="0"/>
      <w:marBottom w:val="0"/>
      <w:divBdr>
        <w:top w:val="none" w:sz="0" w:space="0" w:color="auto"/>
        <w:left w:val="none" w:sz="0" w:space="0" w:color="auto"/>
        <w:bottom w:val="none" w:sz="0" w:space="0" w:color="auto"/>
        <w:right w:val="none" w:sz="0" w:space="0" w:color="auto"/>
      </w:divBdr>
    </w:div>
    <w:div w:id="307438003">
      <w:bodyDiv w:val="1"/>
      <w:marLeft w:val="0"/>
      <w:marRight w:val="0"/>
      <w:marTop w:val="0"/>
      <w:marBottom w:val="0"/>
      <w:divBdr>
        <w:top w:val="none" w:sz="0" w:space="0" w:color="auto"/>
        <w:left w:val="none" w:sz="0" w:space="0" w:color="auto"/>
        <w:bottom w:val="none" w:sz="0" w:space="0" w:color="auto"/>
        <w:right w:val="none" w:sz="0" w:space="0" w:color="auto"/>
      </w:divBdr>
    </w:div>
    <w:div w:id="310213778">
      <w:bodyDiv w:val="1"/>
      <w:marLeft w:val="0"/>
      <w:marRight w:val="0"/>
      <w:marTop w:val="0"/>
      <w:marBottom w:val="0"/>
      <w:divBdr>
        <w:top w:val="none" w:sz="0" w:space="0" w:color="auto"/>
        <w:left w:val="none" w:sz="0" w:space="0" w:color="auto"/>
        <w:bottom w:val="none" w:sz="0" w:space="0" w:color="auto"/>
        <w:right w:val="none" w:sz="0" w:space="0" w:color="auto"/>
      </w:divBdr>
    </w:div>
    <w:div w:id="318534801">
      <w:bodyDiv w:val="1"/>
      <w:marLeft w:val="0"/>
      <w:marRight w:val="0"/>
      <w:marTop w:val="0"/>
      <w:marBottom w:val="0"/>
      <w:divBdr>
        <w:top w:val="none" w:sz="0" w:space="0" w:color="auto"/>
        <w:left w:val="none" w:sz="0" w:space="0" w:color="auto"/>
        <w:bottom w:val="none" w:sz="0" w:space="0" w:color="auto"/>
        <w:right w:val="none" w:sz="0" w:space="0" w:color="auto"/>
      </w:divBdr>
    </w:div>
    <w:div w:id="322970203">
      <w:bodyDiv w:val="1"/>
      <w:marLeft w:val="0"/>
      <w:marRight w:val="0"/>
      <w:marTop w:val="0"/>
      <w:marBottom w:val="0"/>
      <w:divBdr>
        <w:top w:val="none" w:sz="0" w:space="0" w:color="auto"/>
        <w:left w:val="none" w:sz="0" w:space="0" w:color="auto"/>
        <w:bottom w:val="none" w:sz="0" w:space="0" w:color="auto"/>
        <w:right w:val="none" w:sz="0" w:space="0" w:color="auto"/>
      </w:divBdr>
    </w:div>
    <w:div w:id="327485792">
      <w:bodyDiv w:val="1"/>
      <w:marLeft w:val="0"/>
      <w:marRight w:val="0"/>
      <w:marTop w:val="0"/>
      <w:marBottom w:val="0"/>
      <w:divBdr>
        <w:top w:val="none" w:sz="0" w:space="0" w:color="auto"/>
        <w:left w:val="none" w:sz="0" w:space="0" w:color="auto"/>
        <w:bottom w:val="none" w:sz="0" w:space="0" w:color="auto"/>
        <w:right w:val="none" w:sz="0" w:space="0" w:color="auto"/>
      </w:divBdr>
    </w:div>
    <w:div w:id="333844811">
      <w:bodyDiv w:val="1"/>
      <w:marLeft w:val="0"/>
      <w:marRight w:val="0"/>
      <w:marTop w:val="0"/>
      <w:marBottom w:val="0"/>
      <w:divBdr>
        <w:top w:val="none" w:sz="0" w:space="0" w:color="auto"/>
        <w:left w:val="none" w:sz="0" w:space="0" w:color="auto"/>
        <w:bottom w:val="none" w:sz="0" w:space="0" w:color="auto"/>
        <w:right w:val="none" w:sz="0" w:space="0" w:color="auto"/>
      </w:divBdr>
    </w:div>
    <w:div w:id="364213215">
      <w:bodyDiv w:val="1"/>
      <w:marLeft w:val="0"/>
      <w:marRight w:val="0"/>
      <w:marTop w:val="0"/>
      <w:marBottom w:val="0"/>
      <w:divBdr>
        <w:top w:val="none" w:sz="0" w:space="0" w:color="auto"/>
        <w:left w:val="none" w:sz="0" w:space="0" w:color="auto"/>
        <w:bottom w:val="none" w:sz="0" w:space="0" w:color="auto"/>
        <w:right w:val="none" w:sz="0" w:space="0" w:color="auto"/>
      </w:divBdr>
    </w:div>
    <w:div w:id="376315716">
      <w:bodyDiv w:val="1"/>
      <w:marLeft w:val="0"/>
      <w:marRight w:val="0"/>
      <w:marTop w:val="0"/>
      <w:marBottom w:val="0"/>
      <w:divBdr>
        <w:top w:val="none" w:sz="0" w:space="0" w:color="auto"/>
        <w:left w:val="none" w:sz="0" w:space="0" w:color="auto"/>
        <w:bottom w:val="none" w:sz="0" w:space="0" w:color="auto"/>
        <w:right w:val="none" w:sz="0" w:space="0" w:color="auto"/>
      </w:divBdr>
    </w:div>
    <w:div w:id="387412209">
      <w:bodyDiv w:val="1"/>
      <w:marLeft w:val="0"/>
      <w:marRight w:val="0"/>
      <w:marTop w:val="0"/>
      <w:marBottom w:val="0"/>
      <w:divBdr>
        <w:top w:val="none" w:sz="0" w:space="0" w:color="auto"/>
        <w:left w:val="none" w:sz="0" w:space="0" w:color="auto"/>
        <w:bottom w:val="none" w:sz="0" w:space="0" w:color="auto"/>
        <w:right w:val="none" w:sz="0" w:space="0" w:color="auto"/>
      </w:divBdr>
      <w:divsChild>
        <w:div w:id="2095468185">
          <w:marLeft w:val="0"/>
          <w:marRight w:val="0"/>
          <w:marTop w:val="240"/>
          <w:marBottom w:val="240"/>
          <w:divBdr>
            <w:top w:val="none" w:sz="0" w:space="0" w:color="auto"/>
            <w:left w:val="none" w:sz="0" w:space="0" w:color="auto"/>
            <w:bottom w:val="none" w:sz="0" w:space="0" w:color="auto"/>
            <w:right w:val="none" w:sz="0" w:space="0" w:color="auto"/>
          </w:divBdr>
          <w:divsChild>
            <w:div w:id="1931113687">
              <w:marLeft w:val="0"/>
              <w:marRight w:val="0"/>
              <w:marTop w:val="0"/>
              <w:marBottom w:val="0"/>
              <w:divBdr>
                <w:top w:val="none" w:sz="0" w:space="0" w:color="auto"/>
                <w:left w:val="none" w:sz="0" w:space="0" w:color="auto"/>
                <w:bottom w:val="none" w:sz="0" w:space="0" w:color="auto"/>
                <w:right w:val="none" w:sz="0" w:space="0" w:color="auto"/>
              </w:divBdr>
            </w:div>
          </w:divsChild>
        </w:div>
        <w:div w:id="1281690118">
          <w:marLeft w:val="0"/>
          <w:marRight w:val="0"/>
          <w:marTop w:val="240"/>
          <w:marBottom w:val="240"/>
          <w:divBdr>
            <w:top w:val="none" w:sz="0" w:space="0" w:color="auto"/>
            <w:left w:val="none" w:sz="0" w:space="0" w:color="auto"/>
            <w:bottom w:val="none" w:sz="0" w:space="0" w:color="auto"/>
            <w:right w:val="none" w:sz="0" w:space="0" w:color="auto"/>
          </w:divBdr>
          <w:divsChild>
            <w:div w:id="1581717181">
              <w:marLeft w:val="0"/>
              <w:marRight w:val="0"/>
              <w:marTop w:val="0"/>
              <w:marBottom w:val="0"/>
              <w:divBdr>
                <w:top w:val="none" w:sz="0" w:space="0" w:color="auto"/>
                <w:left w:val="none" w:sz="0" w:space="0" w:color="auto"/>
                <w:bottom w:val="none" w:sz="0" w:space="0" w:color="auto"/>
                <w:right w:val="none" w:sz="0" w:space="0" w:color="auto"/>
              </w:divBdr>
            </w:div>
          </w:divsChild>
        </w:div>
        <w:div w:id="1229265258">
          <w:marLeft w:val="0"/>
          <w:marRight w:val="0"/>
          <w:marTop w:val="240"/>
          <w:marBottom w:val="240"/>
          <w:divBdr>
            <w:top w:val="none" w:sz="0" w:space="0" w:color="auto"/>
            <w:left w:val="none" w:sz="0" w:space="0" w:color="auto"/>
            <w:bottom w:val="none" w:sz="0" w:space="0" w:color="auto"/>
            <w:right w:val="none" w:sz="0" w:space="0" w:color="auto"/>
          </w:divBdr>
          <w:divsChild>
            <w:div w:id="105276111">
              <w:marLeft w:val="0"/>
              <w:marRight w:val="0"/>
              <w:marTop w:val="0"/>
              <w:marBottom w:val="0"/>
              <w:divBdr>
                <w:top w:val="none" w:sz="0" w:space="0" w:color="auto"/>
                <w:left w:val="none" w:sz="0" w:space="0" w:color="auto"/>
                <w:bottom w:val="none" w:sz="0" w:space="0" w:color="auto"/>
                <w:right w:val="none" w:sz="0" w:space="0" w:color="auto"/>
              </w:divBdr>
            </w:div>
          </w:divsChild>
        </w:div>
        <w:div w:id="1431971249">
          <w:marLeft w:val="0"/>
          <w:marRight w:val="0"/>
          <w:marTop w:val="240"/>
          <w:marBottom w:val="240"/>
          <w:divBdr>
            <w:top w:val="none" w:sz="0" w:space="0" w:color="auto"/>
            <w:left w:val="none" w:sz="0" w:space="0" w:color="auto"/>
            <w:bottom w:val="none" w:sz="0" w:space="0" w:color="auto"/>
            <w:right w:val="none" w:sz="0" w:space="0" w:color="auto"/>
          </w:divBdr>
          <w:divsChild>
            <w:div w:id="654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93002">
      <w:bodyDiv w:val="1"/>
      <w:marLeft w:val="0"/>
      <w:marRight w:val="0"/>
      <w:marTop w:val="0"/>
      <w:marBottom w:val="0"/>
      <w:divBdr>
        <w:top w:val="none" w:sz="0" w:space="0" w:color="auto"/>
        <w:left w:val="none" w:sz="0" w:space="0" w:color="auto"/>
        <w:bottom w:val="none" w:sz="0" w:space="0" w:color="auto"/>
        <w:right w:val="none" w:sz="0" w:space="0" w:color="auto"/>
      </w:divBdr>
    </w:div>
    <w:div w:id="513418187">
      <w:bodyDiv w:val="1"/>
      <w:marLeft w:val="0"/>
      <w:marRight w:val="0"/>
      <w:marTop w:val="0"/>
      <w:marBottom w:val="0"/>
      <w:divBdr>
        <w:top w:val="none" w:sz="0" w:space="0" w:color="auto"/>
        <w:left w:val="none" w:sz="0" w:space="0" w:color="auto"/>
        <w:bottom w:val="none" w:sz="0" w:space="0" w:color="auto"/>
        <w:right w:val="none" w:sz="0" w:space="0" w:color="auto"/>
      </w:divBdr>
    </w:div>
    <w:div w:id="532619129">
      <w:bodyDiv w:val="1"/>
      <w:marLeft w:val="0"/>
      <w:marRight w:val="0"/>
      <w:marTop w:val="0"/>
      <w:marBottom w:val="0"/>
      <w:divBdr>
        <w:top w:val="none" w:sz="0" w:space="0" w:color="auto"/>
        <w:left w:val="none" w:sz="0" w:space="0" w:color="auto"/>
        <w:bottom w:val="none" w:sz="0" w:space="0" w:color="auto"/>
        <w:right w:val="none" w:sz="0" w:space="0" w:color="auto"/>
      </w:divBdr>
    </w:div>
    <w:div w:id="553925831">
      <w:bodyDiv w:val="1"/>
      <w:marLeft w:val="0"/>
      <w:marRight w:val="0"/>
      <w:marTop w:val="0"/>
      <w:marBottom w:val="0"/>
      <w:divBdr>
        <w:top w:val="none" w:sz="0" w:space="0" w:color="auto"/>
        <w:left w:val="none" w:sz="0" w:space="0" w:color="auto"/>
        <w:bottom w:val="none" w:sz="0" w:space="0" w:color="auto"/>
        <w:right w:val="none" w:sz="0" w:space="0" w:color="auto"/>
      </w:divBdr>
    </w:div>
    <w:div w:id="566916061">
      <w:bodyDiv w:val="1"/>
      <w:marLeft w:val="0"/>
      <w:marRight w:val="0"/>
      <w:marTop w:val="0"/>
      <w:marBottom w:val="0"/>
      <w:divBdr>
        <w:top w:val="none" w:sz="0" w:space="0" w:color="auto"/>
        <w:left w:val="none" w:sz="0" w:space="0" w:color="auto"/>
        <w:bottom w:val="none" w:sz="0" w:space="0" w:color="auto"/>
        <w:right w:val="none" w:sz="0" w:space="0" w:color="auto"/>
      </w:divBdr>
    </w:div>
    <w:div w:id="616374081">
      <w:bodyDiv w:val="1"/>
      <w:marLeft w:val="0"/>
      <w:marRight w:val="0"/>
      <w:marTop w:val="0"/>
      <w:marBottom w:val="0"/>
      <w:divBdr>
        <w:top w:val="none" w:sz="0" w:space="0" w:color="auto"/>
        <w:left w:val="none" w:sz="0" w:space="0" w:color="auto"/>
        <w:bottom w:val="none" w:sz="0" w:space="0" w:color="auto"/>
        <w:right w:val="none" w:sz="0" w:space="0" w:color="auto"/>
      </w:divBdr>
    </w:div>
    <w:div w:id="635111891">
      <w:bodyDiv w:val="1"/>
      <w:marLeft w:val="0"/>
      <w:marRight w:val="0"/>
      <w:marTop w:val="0"/>
      <w:marBottom w:val="0"/>
      <w:divBdr>
        <w:top w:val="none" w:sz="0" w:space="0" w:color="auto"/>
        <w:left w:val="none" w:sz="0" w:space="0" w:color="auto"/>
        <w:bottom w:val="none" w:sz="0" w:space="0" w:color="auto"/>
        <w:right w:val="none" w:sz="0" w:space="0" w:color="auto"/>
      </w:divBdr>
    </w:div>
    <w:div w:id="643268548">
      <w:bodyDiv w:val="1"/>
      <w:marLeft w:val="0"/>
      <w:marRight w:val="0"/>
      <w:marTop w:val="0"/>
      <w:marBottom w:val="0"/>
      <w:divBdr>
        <w:top w:val="none" w:sz="0" w:space="0" w:color="auto"/>
        <w:left w:val="none" w:sz="0" w:space="0" w:color="auto"/>
        <w:bottom w:val="none" w:sz="0" w:space="0" w:color="auto"/>
        <w:right w:val="none" w:sz="0" w:space="0" w:color="auto"/>
      </w:divBdr>
    </w:div>
    <w:div w:id="669065411">
      <w:bodyDiv w:val="1"/>
      <w:marLeft w:val="0"/>
      <w:marRight w:val="0"/>
      <w:marTop w:val="0"/>
      <w:marBottom w:val="0"/>
      <w:divBdr>
        <w:top w:val="none" w:sz="0" w:space="0" w:color="auto"/>
        <w:left w:val="none" w:sz="0" w:space="0" w:color="auto"/>
        <w:bottom w:val="none" w:sz="0" w:space="0" w:color="auto"/>
        <w:right w:val="none" w:sz="0" w:space="0" w:color="auto"/>
      </w:divBdr>
    </w:div>
    <w:div w:id="725492099">
      <w:bodyDiv w:val="1"/>
      <w:marLeft w:val="0"/>
      <w:marRight w:val="0"/>
      <w:marTop w:val="0"/>
      <w:marBottom w:val="0"/>
      <w:divBdr>
        <w:top w:val="none" w:sz="0" w:space="0" w:color="auto"/>
        <w:left w:val="none" w:sz="0" w:space="0" w:color="auto"/>
        <w:bottom w:val="none" w:sz="0" w:space="0" w:color="auto"/>
        <w:right w:val="none" w:sz="0" w:space="0" w:color="auto"/>
      </w:divBdr>
    </w:div>
    <w:div w:id="738744727">
      <w:bodyDiv w:val="1"/>
      <w:marLeft w:val="0"/>
      <w:marRight w:val="0"/>
      <w:marTop w:val="0"/>
      <w:marBottom w:val="0"/>
      <w:divBdr>
        <w:top w:val="none" w:sz="0" w:space="0" w:color="auto"/>
        <w:left w:val="none" w:sz="0" w:space="0" w:color="auto"/>
        <w:bottom w:val="none" w:sz="0" w:space="0" w:color="auto"/>
        <w:right w:val="none" w:sz="0" w:space="0" w:color="auto"/>
      </w:divBdr>
    </w:div>
    <w:div w:id="769280260">
      <w:bodyDiv w:val="1"/>
      <w:marLeft w:val="0"/>
      <w:marRight w:val="0"/>
      <w:marTop w:val="0"/>
      <w:marBottom w:val="0"/>
      <w:divBdr>
        <w:top w:val="none" w:sz="0" w:space="0" w:color="auto"/>
        <w:left w:val="none" w:sz="0" w:space="0" w:color="auto"/>
        <w:bottom w:val="none" w:sz="0" w:space="0" w:color="auto"/>
        <w:right w:val="none" w:sz="0" w:space="0" w:color="auto"/>
      </w:divBdr>
    </w:div>
    <w:div w:id="787774974">
      <w:bodyDiv w:val="1"/>
      <w:marLeft w:val="0"/>
      <w:marRight w:val="0"/>
      <w:marTop w:val="0"/>
      <w:marBottom w:val="0"/>
      <w:divBdr>
        <w:top w:val="none" w:sz="0" w:space="0" w:color="auto"/>
        <w:left w:val="none" w:sz="0" w:space="0" w:color="auto"/>
        <w:bottom w:val="none" w:sz="0" w:space="0" w:color="auto"/>
        <w:right w:val="none" w:sz="0" w:space="0" w:color="auto"/>
      </w:divBdr>
    </w:div>
    <w:div w:id="797796225">
      <w:bodyDiv w:val="1"/>
      <w:marLeft w:val="0"/>
      <w:marRight w:val="0"/>
      <w:marTop w:val="0"/>
      <w:marBottom w:val="0"/>
      <w:divBdr>
        <w:top w:val="none" w:sz="0" w:space="0" w:color="auto"/>
        <w:left w:val="none" w:sz="0" w:space="0" w:color="auto"/>
        <w:bottom w:val="none" w:sz="0" w:space="0" w:color="auto"/>
        <w:right w:val="none" w:sz="0" w:space="0" w:color="auto"/>
      </w:divBdr>
    </w:div>
    <w:div w:id="817965662">
      <w:bodyDiv w:val="1"/>
      <w:marLeft w:val="0"/>
      <w:marRight w:val="0"/>
      <w:marTop w:val="0"/>
      <w:marBottom w:val="0"/>
      <w:divBdr>
        <w:top w:val="none" w:sz="0" w:space="0" w:color="auto"/>
        <w:left w:val="none" w:sz="0" w:space="0" w:color="auto"/>
        <w:bottom w:val="none" w:sz="0" w:space="0" w:color="auto"/>
        <w:right w:val="none" w:sz="0" w:space="0" w:color="auto"/>
      </w:divBdr>
    </w:div>
    <w:div w:id="835418627">
      <w:bodyDiv w:val="1"/>
      <w:marLeft w:val="0"/>
      <w:marRight w:val="0"/>
      <w:marTop w:val="0"/>
      <w:marBottom w:val="0"/>
      <w:divBdr>
        <w:top w:val="none" w:sz="0" w:space="0" w:color="auto"/>
        <w:left w:val="none" w:sz="0" w:space="0" w:color="auto"/>
        <w:bottom w:val="none" w:sz="0" w:space="0" w:color="auto"/>
        <w:right w:val="none" w:sz="0" w:space="0" w:color="auto"/>
      </w:divBdr>
    </w:div>
    <w:div w:id="845287991">
      <w:bodyDiv w:val="1"/>
      <w:marLeft w:val="0"/>
      <w:marRight w:val="0"/>
      <w:marTop w:val="0"/>
      <w:marBottom w:val="0"/>
      <w:divBdr>
        <w:top w:val="none" w:sz="0" w:space="0" w:color="auto"/>
        <w:left w:val="none" w:sz="0" w:space="0" w:color="auto"/>
        <w:bottom w:val="none" w:sz="0" w:space="0" w:color="auto"/>
        <w:right w:val="none" w:sz="0" w:space="0" w:color="auto"/>
      </w:divBdr>
    </w:div>
    <w:div w:id="866063683">
      <w:bodyDiv w:val="1"/>
      <w:marLeft w:val="0"/>
      <w:marRight w:val="0"/>
      <w:marTop w:val="0"/>
      <w:marBottom w:val="0"/>
      <w:divBdr>
        <w:top w:val="none" w:sz="0" w:space="0" w:color="auto"/>
        <w:left w:val="none" w:sz="0" w:space="0" w:color="auto"/>
        <w:bottom w:val="none" w:sz="0" w:space="0" w:color="auto"/>
        <w:right w:val="none" w:sz="0" w:space="0" w:color="auto"/>
      </w:divBdr>
    </w:div>
    <w:div w:id="877666542">
      <w:bodyDiv w:val="1"/>
      <w:marLeft w:val="0"/>
      <w:marRight w:val="0"/>
      <w:marTop w:val="0"/>
      <w:marBottom w:val="0"/>
      <w:divBdr>
        <w:top w:val="none" w:sz="0" w:space="0" w:color="auto"/>
        <w:left w:val="none" w:sz="0" w:space="0" w:color="auto"/>
        <w:bottom w:val="none" w:sz="0" w:space="0" w:color="auto"/>
        <w:right w:val="none" w:sz="0" w:space="0" w:color="auto"/>
      </w:divBdr>
    </w:div>
    <w:div w:id="891384442">
      <w:bodyDiv w:val="1"/>
      <w:marLeft w:val="0"/>
      <w:marRight w:val="0"/>
      <w:marTop w:val="0"/>
      <w:marBottom w:val="0"/>
      <w:divBdr>
        <w:top w:val="none" w:sz="0" w:space="0" w:color="auto"/>
        <w:left w:val="none" w:sz="0" w:space="0" w:color="auto"/>
        <w:bottom w:val="none" w:sz="0" w:space="0" w:color="auto"/>
        <w:right w:val="none" w:sz="0" w:space="0" w:color="auto"/>
      </w:divBdr>
    </w:div>
    <w:div w:id="892354931">
      <w:bodyDiv w:val="1"/>
      <w:marLeft w:val="0"/>
      <w:marRight w:val="0"/>
      <w:marTop w:val="0"/>
      <w:marBottom w:val="0"/>
      <w:divBdr>
        <w:top w:val="none" w:sz="0" w:space="0" w:color="auto"/>
        <w:left w:val="none" w:sz="0" w:space="0" w:color="auto"/>
        <w:bottom w:val="none" w:sz="0" w:space="0" w:color="auto"/>
        <w:right w:val="none" w:sz="0" w:space="0" w:color="auto"/>
      </w:divBdr>
    </w:div>
    <w:div w:id="892931598">
      <w:bodyDiv w:val="1"/>
      <w:marLeft w:val="0"/>
      <w:marRight w:val="0"/>
      <w:marTop w:val="0"/>
      <w:marBottom w:val="0"/>
      <w:divBdr>
        <w:top w:val="none" w:sz="0" w:space="0" w:color="auto"/>
        <w:left w:val="none" w:sz="0" w:space="0" w:color="auto"/>
        <w:bottom w:val="none" w:sz="0" w:space="0" w:color="auto"/>
        <w:right w:val="none" w:sz="0" w:space="0" w:color="auto"/>
      </w:divBdr>
    </w:div>
    <w:div w:id="933628644">
      <w:bodyDiv w:val="1"/>
      <w:marLeft w:val="0"/>
      <w:marRight w:val="0"/>
      <w:marTop w:val="0"/>
      <w:marBottom w:val="0"/>
      <w:divBdr>
        <w:top w:val="none" w:sz="0" w:space="0" w:color="auto"/>
        <w:left w:val="none" w:sz="0" w:space="0" w:color="auto"/>
        <w:bottom w:val="none" w:sz="0" w:space="0" w:color="auto"/>
        <w:right w:val="none" w:sz="0" w:space="0" w:color="auto"/>
      </w:divBdr>
    </w:div>
    <w:div w:id="939753155">
      <w:bodyDiv w:val="1"/>
      <w:marLeft w:val="0"/>
      <w:marRight w:val="0"/>
      <w:marTop w:val="0"/>
      <w:marBottom w:val="0"/>
      <w:divBdr>
        <w:top w:val="none" w:sz="0" w:space="0" w:color="auto"/>
        <w:left w:val="none" w:sz="0" w:space="0" w:color="auto"/>
        <w:bottom w:val="none" w:sz="0" w:space="0" w:color="auto"/>
        <w:right w:val="none" w:sz="0" w:space="0" w:color="auto"/>
      </w:divBdr>
    </w:div>
    <w:div w:id="998730857">
      <w:bodyDiv w:val="1"/>
      <w:marLeft w:val="0"/>
      <w:marRight w:val="0"/>
      <w:marTop w:val="0"/>
      <w:marBottom w:val="0"/>
      <w:divBdr>
        <w:top w:val="none" w:sz="0" w:space="0" w:color="auto"/>
        <w:left w:val="none" w:sz="0" w:space="0" w:color="auto"/>
        <w:bottom w:val="none" w:sz="0" w:space="0" w:color="auto"/>
        <w:right w:val="none" w:sz="0" w:space="0" w:color="auto"/>
      </w:divBdr>
    </w:div>
    <w:div w:id="1019157088">
      <w:bodyDiv w:val="1"/>
      <w:marLeft w:val="0"/>
      <w:marRight w:val="0"/>
      <w:marTop w:val="0"/>
      <w:marBottom w:val="0"/>
      <w:divBdr>
        <w:top w:val="none" w:sz="0" w:space="0" w:color="auto"/>
        <w:left w:val="none" w:sz="0" w:space="0" w:color="auto"/>
        <w:bottom w:val="none" w:sz="0" w:space="0" w:color="auto"/>
        <w:right w:val="none" w:sz="0" w:space="0" w:color="auto"/>
      </w:divBdr>
    </w:div>
    <w:div w:id="1022319627">
      <w:bodyDiv w:val="1"/>
      <w:marLeft w:val="0"/>
      <w:marRight w:val="0"/>
      <w:marTop w:val="0"/>
      <w:marBottom w:val="0"/>
      <w:divBdr>
        <w:top w:val="none" w:sz="0" w:space="0" w:color="auto"/>
        <w:left w:val="none" w:sz="0" w:space="0" w:color="auto"/>
        <w:bottom w:val="none" w:sz="0" w:space="0" w:color="auto"/>
        <w:right w:val="none" w:sz="0" w:space="0" w:color="auto"/>
      </w:divBdr>
    </w:div>
    <w:div w:id="1041973836">
      <w:bodyDiv w:val="1"/>
      <w:marLeft w:val="0"/>
      <w:marRight w:val="0"/>
      <w:marTop w:val="0"/>
      <w:marBottom w:val="0"/>
      <w:divBdr>
        <w:top w:val="none" w:sz="0" w:space="0" w:color="auto"/>
        <w:left w:val="none" w:sz="0" w:space="0" w:color="auto"/>
        <w:bottom w:val="none" w:sz="0" w:space="0" w:color="auto"/>
        <w:right w:val="none" w:sz="0" w:space="0" w:color="auto"/>
      </w:divBdr>
    </w:div>
    <w:div w:id="1045980555">
      <w:bodyDiv w:val="1"/>
      <w:marLeft w:val="0"/>
      <w:marRight w:val="0"/>
      <w:marTop w:val="0"/>
      <w:marBottom w:val="0"/>
      <w:divBdr>
        <w:top w:val="none" w:sz="0" w:space="0" w:color="auto"/>
        <w:left w:val="none" w:sz="0" w:space="0" w:color="auto"/>
        <w:bottom w:val="none" w:sz="0" w:space="0" w:color="auto"/>
        <w:right w:val="none" w:sz="0" w:space="0" w:color="auto"/>
      </w:divBdr>
    </w:div>
    <w:div w:id="1093360129">
      <w:bodyDiv w:val="1"/>
      <w:marLeft w:val="0"/>
      <w:marRight w:val="0"/>
      <w:marTop w:val="0"/>
      <w:marBottom w:val="0"/>
      <w:divBdr>
        <w:top w:val="none" w:sz="0" w:space="0" w:color="auto"/>
        <w:left w:val="none" w:sz="0" w:space="0" w:color="auto"/>
        <w:bottom w:val="none" w:sz="0" w:space="0" w:color="auto"/>
        <w:right w:val="none" w:sz="0" w:space="0" w:color="auto"/>
      </w:divBdr>
    </w:div>
    <w:div w:id="1094859363">
      <w:bodyDiv w:val="1"/>
      <w:marLeft w:val="0"/>
      <w:marRight w:val="0"/>
      <w:marTop w:val="0"/>
      <w:marBottom w:val="0"/>
      <w:divBdr>
        <w:top w:val="none" w:sz="0" w:space="0" w:color="auto"/>
        <w:left w:val="none" w:sz="0" w:space="0" w:color="auto"/>
        <w:bottom w:val="none" w:sz="0" w:space="0" w:color="auto"/>
        <w:right w:val="none" w:sz="0" w:space="0" w:color="auto"/>
      </w:divBdr>
    </w:div>
    <w:div w:id="1129130532">
      <w:bodyDiv w:val="1"/>
      <w:marLeft w:val="0"/>
      <w:marRight w:val="0"/>
      <w:marTop w:val="0"/>
      <w:marBottom w:val="0"/>
      <w:divBdr>
        <w:top w:val="none" w:sz="0" w:space="0" w:color="auto"/>
        <w:left w:val="none" w:sz="0" w:space="0" w:color="auto"/>
        <w:bottom w:val="none" w:sz="0" w:space="0" w:color="auto"/>
        <w:right w:val="none" w:sz="0" w:space="0" w:color="auto"/>
      </w:divBdr>
      <w:divsChild>
        <w:div w:id="1532376572">
          <w:marLeft w:val="446"/>
          <w:marRight w:val="0"/>
          <w:marTop w:val="0"/>
          <w:marBottom w:val="0"/>
          <w:divBdr>
            <w:top w:val="none" w:sz="0" w:space="0" w:color="auto"/>
            <w:left w:val="none" w:sz="0" w:space="0" w:color="auto"/>
            <w:bottom w:val="none" w:sz="0" w:space="0" w:color="auto"/>
            <w:right w:val="none" w:sz="0" w:space="0" w:color="auto"/>
          </w:divBdr>
        </w:div>
        <w:div w:id="632909477">
          <w:marLeft w:val="446"/>
          <w:marRight w:val="0"/>
          <w:marTop w:val="0"/>
          <w:marBottom w:val="0"/>
          <w:divBdr>
            <w:top w:val="none" w:sz="0" w:space="0" w:color="auto"/>
            <w:left w:val="none" w:sz="0" w:space="0" w:color="auto"/>
            <w:bottom w:val="none" w:sz="0" w:space="0" w:color="auto"/>
            <w:right w:val="none" w:sz="0" w:space="0" w:color="auto"/>
          </w:divBdr>
        </w:div>
        <w:div w:id="91048146">
          <w:marLeft w:val="446"/>
          <w:marRight w:val="0"/>
          <w:marTop w:val="0"/>
          <w:marBottom w:val="0"/>
          <w:divBdr>
            <w:top w:val="none" w:sz="0" w:space="0" w:color="auto"/>
            <w:left w:val="none" w:sz="0" w:space="0" w:color="auto"/>
            <w:bottom w:val="none" w:sz="0" w:space="0" w:color="auto"/>
            <w:right w:val="none" w:sz="0" w:space="0" w:color="auto"/>
          </w:divBdr>
        </w:div>
      </w:divsChild>
    </w:div>
    <w:div w:id="1158303146">
      <w:bodyDiv w:val="1"/>
      <w:marLeft w:val="0"/>
      <w:marRight w:val="0"/>
      <w:marTop w:val="0"/>
      <w:marBottom w:val="0"/>
      <w:divBdr>
        <w:top w:val="none" w:sz="0" w:space="0" w:color="auto"/>
        <w:left w:val="none" w:sz="0" w:space="0" w:color="auto"/>
        <w:bottom w:val="none" w:sz="0" w:space="0" w:color="auto"/>
        <w:right w:val="none" w:sz="0" w:space="0" w:color="auto"/>
      </w:divBdr>
    </w:div>
    <w:div w:id="1160123082">
      <w:bodyDiv w:val="1"/>
      <w:marLeft w:val="0"/>
      <w:marRight w:val="0"/>
      <w:marTop w:val="0"/>
      <w:marBottom w:val="0"/>
      <w:divBdr>
        <w:top w:val="none" w:sz="0" w:space="0" w:color="auto"/>
        <w:left w:val="none" w:sz="0" w:space="0" w:color="auto"/>
        <w:bottom w:val="none" w:sz="0" w:space="0" w:color="auto"/>
        <w:right w:val="none" w:sz="0" w:space="0" w:color="auto"/>
      </w:divBdr>
    </w:div>
    <w:div w:id="1165442051">
      <w:bodyDiv w:val="1"/>
      <w:marLeft w:val="0"/>
      <w:marRight w:val="0"/>
      <w:marTop w:val="0"/>
      <w:marBottom w:val="0"/>
      <w:divBdr>
        <w:top w:val="none" w:sz="0" w:space="0" w:color="auto"/>
        <w:left w:val="none" w:sz="0" w:space="0" w:color="auto"/>
        <w:bottom w:val="none" w:sz="0" w:space="0" w:color="auto"/>
        <w:right w:val="none" w:sz="0" w:space="0" w:color="auto"/>
      </w:divBdr>
    </w:div>
    <w:div w:id="1172574157">
      <w:bodyDiv w:val="1"/>
      <w:marLeft w:val="0"/>
      <w:marRight w:val="0"/>
      <w:marTop w:val="0"/>
      <w:marBottom w:val="0"/>
      <w:divBdr>
        <w:top w:val="none" w:sz="0" w:space="0" w:color="auto"/>
        <w:left w:val="none" w:sz="0" w:space="0" w:color="auto"/>
        <w:bottom w:val="none" w:sz="0" w:space="0" w:color="auto"/>
        <w:right w:val="none" w:sz="0" w:space="0" w:color="auto"/>
      </w:divBdr>
    </w:div>
    <w:div w:id="1219586572">
      <w:bodyDiv w:val="1"/>
      <w:marLeft w:val="0"/>
      <w:marRight w:val="0"/>
      <w:marTop w:val="0"/>
      <w:marBottom w:val="0"/>
      <w:divBdr>
        <w:top w:val="none" w:sz="0" w:space="0" w:color="auto"/>
        <w:left w:val="none" w:sz="0" w:space="0" w:color="auto"/>
        <w:bottom w:val="none" w:sz="0" w:space="0" w:color="auto"/>
        <w:right w:val="none" w:sz="0" w:space="0" w:color="auto"/>
      </w:divBdr>
    </w:div>
    <w:div w:id="1246963685">
      <w:bodyDiv w:val="1"/>
      <w:marLeft w:val="0"/>
      <w:marRight w:val="0"/>
      <w:marTop w:val="0"/>
      <w:marBottom w:val="0"/>
      <w:divBdr>
        <w:top w:val="none" w:sz="0" w:space="0" w:color="auto"/>
        <w:left w:val="none" w:sz="0" w:space="0" w:color="auto"/>
        <w:bottom w:val="none" w:sz="0" w:space="0" w:color="auto"/>
        <w:right w:val="none" w:sz="0" w:space="0" w:color="auto"/>
      </w:divBdr>
    </w:div>
    <w:div w:id="1289358851">
      <w:bodyDiv w:val="1"/>
      <w:marLeft w:val="0"/>
      <w:marRight w:val="0"/>
      <w:marTop w:val="0"/>
      <w:marBottom w:val="0"/>
      <w:divBdr>
        <w:top w:val="none" w:sz="0" w:space="0" w:color="auto"/>
        <w:left w:val="none" w:sz="0" w:space="0" w:color="auto"/>
        <w:bottom w:val="none" w:sz="0" w:space="0" w:color="auto"/>
        <w:right w:val="none" w:sz="0" w:space="0" w:color="auto"/>
      </w:divBdr>
    </w:div>
    <w:div w:id="1298223131">
      <w:bodyDiv w:val="1"/>
      <w:marLeft w:val="0"/>
      <w:marRight w:val="0"/>
      <w:marTop w:val="0"/>
      <w:marBottom w:val="0"/>
      <w:divBdr>
        <w:top w:val="none" w:sz="0" w:space="0" w:color="auto"/>
        <w:left w:val="none" w:sz="0" w:space="0" w:color="auto"/>
        <w:bottom w:val="none" w:sz="0" w:space="0" w:color="auto"/>
        <w:right w:val="none" w:sz="0" w:space="0" w:color="auto"/>
      </w:divBdr>
    </w:div>
    <w:div w:id="1302537516">
      <w:bodyDiv w:val="1"/>
      <w:marLeft w:val="0"/>
      <w:marRight w:val="0"/>
      <w:marTop w:val="0"/>
      <w:marBottom w:val="0"/>
      <w:divBdr>
        <w:top w:val="none" w:sz="0" w:space="0" w:color="auto"/>
        <w:left w:val="none" w:sz="0" w:space="0" w:color="auto"/>
        <w:bottom w:val="none" w:sz="0" w:space="0" w:color="auto"/>
        <w:right w:val="none" w:sz="0" w:space="0" w:color="auto"/>
      </w:divBdr>
    </w:div>
    <w:div w:id="1322537628">
      <w:bodyDiv w:val="1"/>
      <w:marLeft w:val="0"/>
      <w:marRight w:val="0"/>
      <w:marTop w:val="0"/>
      <w:marBottom w:val="0"/>
      <w:divBdr>
        <w:top w:val="none" w:sz="0" w:space="0" w:color="auto"/>
        <w:left w:val="none" w:sz="0" w:space="0" w:color="auto"/>
        <w:bottom w:val="none" w:sz="0" w:space="0" w:color="auto"/>
        <w:right w:val="none" w:sz="0" w:space="0" w:color="auto"/>
      </w:divBdr>
    </w:div>
    <w:div w:id="1350376767">
      <w:bodyDiv w:val="1"/>
      <w:marLeft w:val="0"/>
      <w:marRight w:val="0"/>
      <w:marTop w:val="0"/>
      <w:marBottom w:val="0"/>
      <w:divBdr>
        <w:top w:val="none" w:sz="0" w:space="0" w:color="auto"/>
        <w:left w:val="none" w:sz="0" w:space="0" w:color="auto"/>
        <w:bottom w:val="none" w:sz="0" w:space="0" w:color="auto"/>
        <w:right w:val="none" w:sz="0" w:space="0" w:color="auto"/>
      </w:divBdr>
    </w:div>
    <w:div w:id="1357803768">
      <w:bodyDiv w:val="1"/>
      <w:marLeft w:val="0"/>
      <w:marRight w:val="0"/>
      <w:marTop w:val="0"/>
      <w:marBottom w:val="0"/>
      <w:divBdr>
        <w:top w:val="none" w:sz="0" w:space="0" w:color="auto"/>
        <w:left w:val="none" w:sz="0" w:space="0" w:color="auto"/>
        <w:bottom w:val="none" w:sz="0" w:space="0" w:color="auto"/>
        <w:right w:val="none" w:sz="0" w:space="0" w:color="auto"/>
      </w:divBdr>
    </w:div>
    <w:div w:id="1450934243">
      <w:bodyDiv w:val="1"/>
      <w:marLeft w:val="0"/>
      <w:marRight w:val="0"/>
      <w:marTop w:val="0"/>
      <w:marBottom w:val="0"/>
      <w:divBdr>
        <w:top w:val="none" w:sz="0" w:space="0" w:color="auto"/>
        <w:left w:val="none" w:sz="0" w:space="0" w:color="auto"/>
        <w:bottom w:val="none" w:sz="0" w:space="0" w:color="auto"/>
        <w:right w:val="none" w:sz="0" w:space="0" w:color="auto"/>
      </w:divBdr>
    </w:div>
    <w:div w:id="1514686779">
      <w:bodyDiv w:val="1"/>
      <w:marLeft w:val="0"/>
      <w:marRight w:val="0"/>
      <w:marTop w:val="0"/>
      <w:marBottom w:val="0"/>
      <w:divBdr>
        <w:top w:val="none" w:sz="0" w:space="0" w:color="auto"/>
        <w:left w:val="none" w:sz="0" w:space="0" w:color="auto"/>
        <w:bottom w:val="none" w:sz="0" w:space="0" w:color="auto"/>
        <w:right w:val="none" w:sz="0" w:space="0" w:color="auto"/>
      </w:divBdr>
    </w:div>
    <w:div w:id="1639608760">
      <w:bodyDiv w:val="1"/>
      <w:marLeft w:val="0"/>
      <w:marRight w:val="0"/>
      <w:marTop w:val="0"/>
      <w:marBottom w:val="0"/>
      <w:divBdr>
        <w:top w:val="none" w:sz="0" w:space="0" w:color="auto"/>
        <w:left w:val="none" w:sz="0" w:space="0" w:color="auto"/>
        <w:bottom w:val="none" w:sz="0" w:space="0" w:color="auto"/>
        <w:right w:val="none" w:sz="0" w:space="0" w:color="auto"/>
      </w:divBdr>
    </w:div>
    <w:div w:id="1707095345">
      <w:bodyDiv w:val="1"/>
      <w:marLeft w:val="0"/>
      <w:marRight w:val="0"/>
      <w:marTop w:val="0"/>
      <w:marBottom w:val="0"/>
      <w:divBdr>
        <w:top w:val="none" w:sz="0" w:space="0" w:color="auto"/>
        <w:left w:val="none" w:sz="0" w:space="0" w:color="auto"/>
        <w:bottom w:val="none" w:sz="0" w:space="0" w:color="auto"/>
        <w:right w:val="none" w:sz="0" w:space="0" w:color="auto"/>
      </w:divBdr>
    </w:div>
    <w:div w:id="1722747478">
      <w:bodyDiv w:val="1"/>
      <w:marLeft w:val="0"/>
      <w:marRight w:val="0"/>
      <w:marTop w:val="0"/>
      <w:marBottom w:val="0"/>
      <w:divBdr>
        <w:top w:val="none" w:sz="0" w:space="0" w:color="auto"/>
        <w:left w:val="none" w:sz="0" w:space="0" w:color="auto"/>
        <w:bottom w:val="none" w:sz="0" w:space="0" w:color="auto"/>
        <w:right w:val="none" w:sz="0" w:space="0" w:color="auto"/>
      </w:divBdr>
    </w:div>
    <w:div w:id="1757245130">
      <w:bodyDiv w:val="1"/>
      <w:marLeft w:val="0"/>
      <w:marRight w:val="0"/>
      <w:marTop w:val="0"/>
      <w:marBottom w:val="0"/>
      <w:divBdr>
        <w:top w:val="none" w:sz="0" w:space="0" w:color="auto"/>
        <w:left w:val="none" w:sz="0" w:space="0" w:color="auto"/>
        <w:bottom w:val="none" w:sz="0" w:space="0" w:color="auto"/>
        <w:right w:val="none" w:sz="0" w:space="0" w:color="auto"/>
      </w:divBdr>
    </w:div>
    <w:div w:id="1763645957">
      <w:bodyDiv w:val="1"/>
      <w:marLeft w:val="0"/>
      <w:marRight w:val="0"/>
      <w:marTop w:val="0"/>
      <w:marBottom w:val="0"/>
      <w:divBdr>
        <w:top w:val="none" w:sz="0" w:space="0" w:color="auto"/>
        <w:left w:val="none" w:sz="0" w:space="0" w:color="auto"/>
        <w:bottom w:val="none" w:sz="0" w:space="0" w:color="auto"/>
        <w:right w:val="none" w:sz="0" w:space="0" w:color="auto"/>
      </w:divBdr>
    </w:div>
    <w:div w:id="1776510711">
      <w:bodyDiv w:val="1"/>
      <w:marLeft w:val="0"/>
      <w:marRight w:val="0"/>
      <w:marTop w:val="0"/>
      <w:marBottom w:val="0"/>
      <w:divBdr>
        <w:top w:val="none" w:sz="0" w:space="0" w:color="auto"/>
        <w:left w:val="none" w:sz="0" w:space="0" w:color="auto"/>
        <w:bottom w:val="none" w:sz="0" w:space="0" w:color="auto"/>
        <w:right w:val="none" w:sz="0" w:space="0" w:color="auto"/>
      </w:divBdr>
    </w:div>
    <w:div w:id="1859657441">
      <w:bodyDiv w:val="1"/>
      <w:marLeft w:val="0"/>
      <w:marRight w:val="0"/>
      <w:marTop w:val="0"/>
      <w:marBottom w:val="0"/>
      <w:divBdr>
        <w:top w:val="none" w:sz="0" w:space="0" w:color="auto"/>
        <w:left w:val="none" w:sz="0" w:space="0" w:color="auto"/>
        <w:bottom w:val="none" w:sz="0" w:space="0" w:color="auto"/>
        <w:right w:val="none" w:sz="0" w:space="0" w:color="auto"/>
      </w:divBdr>
    </w:div>
    <w:div w:id="1865628686">
      <w:bodyDiv w:val="1"/>
      <w:marLeft w:val="0"/>
      <w:marRight w:val="0"/>
      <w:marTop w:val="0"/>
      <w:marBottom w:val="0"/>
      <w:divBdr>
        <w:top w:val="none" w:sz="0" w:space="0" w:color="auto"/>
        <w:left w:val="none" w:sz="0" w:space="0" w:color="auto"/>
        <w:bottom w:val="none" w:sz="0" w:space="0" w:color="auto"/>
        <w:right w:val="none" w:sz="0" w:space="0" w:color="auto"/>
      </w:divBdr>
    </w:div>
    <w:div w:id="1871380530">
      <w:bodyDiv w:val="1"/>
      <w:marLeft w:val="0"/>
      <w:marRight w:val="0"/>
      <w:marTop w:val="0"/>
      <w:marBottom w:val="0"/>
      <w:divBdr>
        <w:top w:val="none" w:sz="0" w:space="0" w:color="auto"/>
        <w:left w:val="none" w:sz="0" w:space="0" w:color="auto"/>
        <w:bottom w:val="none" w:sz="0" w:space="0" w:color="auto"/>
        <w:right w:val="none" w:sz="0" w:space="0" w:color="auto"/>
      </w:divBdr>
    </w:div>
    <w:div w:id="1874616222">
      <w:bodyDiv w:val="1"/>
      <w:marLeft w:val="0"/>
      <w:marRight w:val="0"/>
      <w:marTop w:val="0"/>
      <w:marBottom w:val="0"/>
      <w:divBdr>
        <w:top w:val="none" w:sz="0" w:space="0" w:color="auto"/>
        <w:left w:val="none" w:sz="0" w:space="0" w:color="auto"/>
        <w:bottom w:val="none" w:sz="0" w:space="0" w:color="auto"/>
        <w:right w:val="none" w:sz="0" w:space="0" w:color="auto"/>
      </w:divBdr>
    </w:div>
    <w:div w:id="1884635621">
      <w:bodyDiv w:val="1"/>
      <w:marLeft w:val="0"/>
      <w:marRight w:val="0"/>
      <w:marTop w:val="0"/>
      <w:marBottom w:val="0"/>
      <w:divBdr>
        <w:top w:val="none" w:sz="0" w:space="0" w:color="auto"/>
        <w:left w:val="none" w:sz="0" w:space="0" w:color="auto"/>
        <w:bottom w:val="none" w:sz="0" w:space="0" w:color="auto"/>
        <w:right w:val="none" w:sz="0" w:space="0" w:color="auto"/>
      </w:divBdr>
    </w:div>
    <w:div w:id="1902672333">
      <w:bodyDiv w:val="1"/>
      <w:marLeft w:val="0"/>
      <w:marRight w:val="0"/>
      <w:marTop w:val="0"/>
      <w:marBottom w:val="0"/>
      <w:divBdr>
        <w:top w:val="none" w:sz="0" w:space="0" w:color="auto"/>
        <w:left w:val="none" w:sz="0" w:space="0" w:color="auto"/>
        <w:bottom w:val="none" w:sz="0" w:space="0" w:color="auto"/>
        <w:right w:val="none" w:sz="0" w:space="0" w:color="auto"/>
      </w:divBdr>
    </w:div>
    <w:div w:id="1905485550">
      <w:bodyDiv w:val="1"/>
      <w:marLeft w:val="0"/>
      <w:marRight w:val="0"/>
      <w:marTop w:val="0"/>
      <w:marBottom w:val="0"/>
      <w:divBdr>
        <w:top w:val="none" w:sz="0" w:space="0" w:color="auto"/>
        <w:left w:val="none" w:sz="0" w:space="0" w:color="auto"/>
        <w:bottom w:val="none" w:sz="0" w:space="0" w:color="auto"/>
        <w:right w:val="none" w:sz="0" w:space="0" w:color="auto"/>
      </w:divBdr>
    </w:div>
    <w:div w:id="1952975608">
      <w:bodyDiv w:val="1"/>
      <w:marLeft w:val="0"/>
      <w:marRight w:val="0"/>
      <w:marTop w:val="0"/>
      <w:marBottom w:val="0"/>
      <w:divBdr>
        <w:top w:val="none" w:sz="0" w:space="0" w:color="auto"/>
        <w:left w:val="none" w:sz="0" w:space="0" w:color="auto"/>
        <w:bottom w:val="none" w:sz="0" w:space="0" w:color="auto"/>
        <w:right w:val="none" w:sz="0" w:space="0" w:color="auto"/>
      </w:divBdr>
    </w:div>
    <w:div w:id="1953777088">
      <w:bodyDiv w:val="1"/>
      <w:marLeft w:val="0"/>
      <w:marRight w:val="0"/>
      <w:marTop w:val="0"/>
      <w:marBottom w:val="0"/>
      <w:divBdr>
        <w:top w:val="none" w:sz="0" w:space="0" w:color="auto"/>
        <w:left w:val="none" w:sz="0" w:space="0" w:color="auto"/>
        <w:bottom w:val="none" w:sz="0" w:space="0" w:color="auto"/>
        <w:right w:val="none" w:sz="0" w:space="0" w:color="auto"/>
      </w:divBdr>
    </w:div>
    <w:div w:id="1980843289">
      <w:bodyDiv w:val="1"/>
      <w:marLeft w:val="0"/>
      <w:marRight w:val="0"/>
      <w:marTop w:val="0"/>
      <w:marBottom w:val="0"/>
      <w:divBdr>
        <w:top w:val="none" w:sz="0" w:space="0" w:color="auto"/>
        <w:left w:val="none" w:sz="0" w:space="0" w:color="auto"/>
        <w:bottom w:val="none" w:sz="0" w:space="0" w:color="auto"/>
        <w:right w:val="none" w:sz="0" w:space="0" w:color="auto"/>
      </w:divBdr>
    </w:div>
    <w:div w:id="1985741519">
      <w:bodyDiv w:val="1"/>
      <w:marLeft w:val="0"/>
      <w:marRight w:val="0"/>
      <w:marTop w:val="0"/>
      <w:marBottom w:val="0"/>
      <w:divBdr>
        <w:top w:val="none" w:sz="0" w:space="0" w:color="auto"/>
        <w:left w:val="none" w:sz="0" w:space="0" w:color="auto"/>
        <w:bottom w:val="none" w:sz="0" w:space="0" w:color="auto"/>
        <w:right w:val="none" w:sz="0" w:space="0" w:color="auto"/>
      </w:divBdr>
    </w:div>
    <w:div w:id="1992825773">
      <w:bodyDiv w:val="1"/>
      <w:marLeft w:val="0"/>
      <w:marRight w:val="0"/>
      <w:marTop w:val="0"/>
      <w:marBottom w:val="0"/>
      <w:divBdr>
        <w:top w:val="none" w:sz="0" w:space="0" w:color="auto"/>
        <w:left w:val="none" w:sz="0" w:space="0" w:color="auto"/>
        <w:bottom w:val="none" w:sz="0" w:space="0" w:color="auto"/>
        <w:right w:val="none" w:sz="0" w:space="0" w:color="auto"/>
      </w:divBdr>
    </w:div>
    <w:div w:id="2030986366">
      <w:bodyDiv w:val="1"/>
      <w:marLeft w:val="0"/>
      <w:marRight w:val="0"/>
      <w:marTop w:val="0"/>
      <w:marBottom w:val="0"/>
      <w:divBdr>
        <w:top w:val="none" w:sz="0" w:space="0" w:color="auto"/>
        <w:left w:val="none" w:sz="0" w:space="0" w:color="auto"/>
        <w:bottom w:val="none" w:sz="0" w:space="0" w:color="auto"/>
        <w:right w:val="none" w:sz="0" w:space="0" w:color="auto"/>
      </w:divBdr>
    </w:div>
    <w:div w:id="2038844712">
      <w:bodyDiv w:val="1"/>
      <w:marLeft w:val="0"/>
      <w:marRight w:val="0"/>
      <w:marTop w:val="0"/>
      <w:marBottom w:val="0"/>
      <w:divBdr>
        <w:top w:val="none" w:sz="0" w:space="0" w:color="auto"/>
        <w:left w:val="none" w:sz="0" w:space="0" w:color="auto"/>
        <w:bottom w:val="none" w:sz="0" w:space="0" w:color="auto"/>
        <w:right w:val="none" w:sz="0" w:space="0" w:color="auto"/>
      </w:divBdr>
    </w:div>
    <w:div w:id="2077195945">
      <w:bodyDiv w:val="1"/>
      <w:marLeft w:val="0"/>
      <w:marRight w:val="0"/>
      <w:marTop w:val="0"/>
      <w:marBottom w:val="0"/>
      <w:divBdr>
        <w:top w:val="none" w:sz="0" w:space="0" w:color="auto"/>
        <w:left w:val="none" w:sz="0" w:space="0" w:color="auto"/>
        <w:bottom w:val="none" w:sz="0" w:space="0" w:color="auto"/>
        <w:right w:val="none" w:sz="0" w:space="0" w:color="auto"/>
      </w:divBdr>
    </w:div>
    <w:div w:id="2086682518">
      <w:bodyDiv w:val="1"/>
      <w:marLeft w:val="0"/>
      <w:marRight w:val="0"/>
      <w:marTop w:val="0"/>
      <w:marBottom w:val="0"/>
      <w:divBdr>
        <w:top w:val="none" w:sz="0" w:space="0" w:color="auto"/>
        <w:left w:val="none" w:sz="0" w:space="0" w:color="auto"/>
        <w:bottom w:val="none" w:sz="0" w:space="0" w:color="auto"/>
        <w:right w:val="none" w:sz="0" w:space="0" w:color="auto"/>
      </w:divBdr>
    </w:div>
    <w:div w:id="2089887525">
      <w:bodyDiv w:val="1"/>
      <w:marLeft w:val="0"/>
      <w:marRight w:val="0"/>
      <w:marTop w:val="0"/>
      <w:marBottom w:val="0"/>
      <w:divBdr>
        <w:top w:val="none" w:sz="0" w:space="0" w:color="auto"/>
        <w:left w:val="none" w:sz="0" w:space="0" w:color="auto"/>
        <w:bottom w:val="none" w:sz="0" w:space="0" w:color="auto"/>
        <w:right w:val="none" w:sz="0" w:space="0" w:color="auto"/>
      </w:divBdr>
    </w:div>
    <w:div w:id="2094468661">
      <w:bodyDiv w:val="1"/>
      <w:marLeft w:val="0"/>
      <w:marRight w:val="0"/>
      <w:marTop w:val="0"/>
      <w:marBottom w:val="0"/>
      <w:divBdr>
        <w:top w:val="none" w:sz="0" w:space="0" w:color="auto"/>
        <w:left w:val="none" w:sz="0" w:space="0" w:color="auto"/>
        <w:bottom w:val="none" w:sz="0" w:space="0" w:color="auto"/>
        <w:right w:val="none" w:sz="0" w:space="0" w:color="auto"/>
      </w:divBdr>
    </w:div>
    <w:div w:id="211354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nationalmedicinespolicy" TargetMode="External"/><Relationship Id="rId13" Type="http://schemas.openxmlformats.org/officeDocument/2006/relationships/hyperlink" Target="file:///C:\Users\p_pitmar\AppData\Local\Hewlett-Packard\HP%20TRIM\TEMP\HPTRIM.10592\Pharmaceutical%20Benefits%20Scheme%20(PBS)%20|%20Recommendations%20made%20by%20the%20PBAC%20-%20August%202018"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ga.gov.au/resources/art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s.gov.au/info/healthpro/explanatory-notes/front/fee"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1.xml"/><Relationship Id="rId28" Type="http://schemas.microsoft.com/office/2016/09/relationships/commentsIds" Target="commentsIds.xml"/><Relationship Id="rId10" Type="http://schemas.openxmlformats.org/officeDocument/2006/relationships/hyperlink" Target="http://www.austlii.edu.au/au/legis/cth/consol_act/nha1953147/s101.html" TargetMode="External"/><Relationship Id="rId19" Type="http://schemas.openxmlformats.org/officeDocument/2006/relationships/theme" Target="theme/theme1.xm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ustlii.edu.au/au/legis/cth/consol_act/nha1953147/s85.html" TargetMode="External"/><Relationship Id="rId14" Type="http://schemas.openxmlformats.org/officeDocument/2006/relationships/footer" Target="footer1.xml"/><Relationship Id="rId30"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1.health.gov.au/internet/main/publishing.nsf/Content/MBSR-about" TargetMode="External"/><Relationship Id="rId13" Type="http://schemas.openxmlformats.org/officeDocument/2006/relationships/hyperlink" Target="https://www.tga.gov.au/role-sponsor" TargetMode="External"/><Relationship Id="rId18" Type="http://schemas.openxmlformats.org/officeDocument/2006/relationships/hyperlink" Target="https://www.health.gov.au/ministers/the-hon-greg-hunt-mp/media/government-boosts-funding-for-community-pharmacies-to-support-more-rural-and-regional-communities" TargetMode="External"/><Relationship Id="rId26" Type="http://schemas.openxmlformats.org/officeDocument/2006/relationships/hyperlink" Target="https://www.racgp.org.au/gp-news/media-releases/2023-media-releases/march-2023/racgp-longer-medicine-scripts-and-dispensing-can-s" TargetMode="External"/><Relationship Id="rId3" Type="http://schemas.openxmlformats.org/officeDocument/2006/relationships/hyperlink" Target="https://www.pbs.gov.au/general/7cpa/7CPA-signed-Agreement.pdf" TargetMode="External"/><Relationship Id="rId21" Type="http://schemas.openxmlformats.org/officeDocument/2006/relationships/hyperlink" Target="https://www.9news.com.au/national/doctors-call-to-double-length-of-scripts-pharmacy-guild-disagrees/b971e8a2-cd72-4608-bee5-79f9e5bf6bab" TargetMode="External"/><Relationship Id="rId7" Type="http://schemas.openxmlformats.org/officeDocument/2006/relationships/hyperlink" Target="https://australianhealthcareindex.com.au/wp-content/uploads/2021/10/Australian-Healthcare-Index-Report-2-October-2021.pdf" TargetMode="External"/><Relationship Id="rId12" Type="http://schemas.openxmlformats.org/officeDocument/2006/relationships/hyperlink" Target="https://www.nps.org.au/australian-prescriber/articles/collaboration-between-doctors-and-pharmacists-in-the-community-1" TargetMode="External"/><Relationship Id="rId17" Type="http://schemas.openxmlformats.org/officeDocument/2006/relationships/hyperlink" Target="https://oia.pmc.gov.au/resources/guidance-assessing-impacts/regulatory-burden-measurement-framework" TargetMode="External"/><Relationship Id="rId25" Type="http://schemas.openxmlformats.org/officeDocument/2006/relationships/hyperlink" Target="https://www1.racgp.org.au/newsgp/professional/gps-back-renewed-push-for-extended-dispensing-rule" TargetMode="External"/><Relationship Id="rId2" Type="http://schemas.openxmlformats.org/officeDocument/2006/relationships/hyperlink" Target="https://pbac.pbs.gov.au/content/information/files/pbac-guidelines-version-5.pdf" TargetMode="External"/><Relationship Id="rId16" Type="http://schemas.openxmlformats.org/officeDocument/2006/relationships/hyperlink" Target="https://doi.org/10.1071/AH10906" TargetMode="External"/><Relationship Id="rId20" Type="http://schemas.openxmlformats.org/officeDocument/2006/relationships/hyperlink" Target="https://oia.pmc.gov.au/resources/guidance-assessing-impacts/regulatory-burden-measurement-framework" TargetMode="External"/><Relationship Id="rId29" Type="http://schemas.openxmlformats.org/officeDocument/2006/relationships/hyperlink" Target="https://returnmed.com.au/collections/" TargetMode="External"/><Relationship Id="rId1" Type="http://schemas.openxmlformats.org/officeDocument/2006/relationships/hyperlink" Target="https://www.health.gov.au/resources/publications/national-medicines-policy" TargetMode="External"/><Relationship Id="rId6" Type="http://schemas.openxmlformats.org/officeDocument/2006/relationships/hyperlink" Target="https://www.patients.org.au/affordable-medicines-now/" TargetMode="External"/><Relationship Id="rId11" Type="http://schemas.openxmlformats.org/officeDocument/2006/relationships/hyperlink" Target="https://www.health.gov.au/resources/publications/national-medicines-policy?language=en" TargetMode="External"/><Relationship Id="rId24" Type="http://schemas.openxmlformats.org/officeDocument/2006/relationships/hyperlink" Target="https://www.9news.com.au/national/doctors-call-to-double-length-of-scripts-pharmacy-guild-disagrees/b971e8a2-cd72-4608-bee5-79f9e5bf6bab" TargetMode="External"/><Relationship Id="rId32" Type="http://schemas.openxmlformats.org/officeDocument/2006/relationships/hyperlink" Target="https://www.tga.gov.au/safety/shortages/medicine-shortages-information-consumers" TargetMode="External"/><Relationship Id="rId5" Type="http://schemas.openxmlformats.org/officeDocument/2006/relationships/hyperlink" Target="%20https://chf.org.au/media-releases/open-pharmacy-agreement-give-consumers-better-deal" TargetMode="External"/><Relationship Id="rId15" Type="http://schemas.openxmlformats.org/officeDocument/2006/relationships/hyperlink" Target="https://www.legislation.gov.au/Details/F2023C00313" TargetMode="External"/><Relationship Id="rId23" Type="http://schemas.openxmlformats.org/officeDocument/2006/relationships/hyperlink" Target="https://www.guild.org.au/__data/assets/pdf_file/0023/56345/Distribution-and-Delivery-of-Pharmaceutical-Benefits-.pdf" TargetMode="External"/><Relationship Id="rId28" Type="http://schemas.openxmlformats.org/officeDocument/2006/relationships/hyperlink" Target="https://returnmed.com.au/" TargetMode="External"/><Relationship Id="rId10" Type="http://schemas.openxmlformats.org/officeDocument/2006/relationships/hyperlink" Target="https://www.pbs.gov.au/info/statistics/expenditure-prescriptions/pbs-expenditure-and-prescriptions-report-1-july-2021-to-30-june-2022" TargetMode="External"/><Relationship Id="rId19" Type="http://schemas.openxmlformats.org/officeDocument/2006/relationships/hyperlink" Target="http://www9.health.gov.au/mbs/fullDisplay.cfm?type=item&amp;q=23" TargetMode="External"/><Relationship Id="rId31" Type="http://schemas.openxmlformats.org/officeDocument/2006/relationships/hyperlink" Target="https://www.tga.gov.au/tga-regulatory-framework" TargetMode="External"/><Relationship Id="rId4" Type="http://schemas.openxmlformats.org/officeDocument/2006/relationships/hyperlink" Target="https://grattan.edu.au/report/not-so-universal-how-to-reduce-out-of-pocket-healthcare-payments/" TargetMode="External"/><Relationship Id="rId9" Type="http://schemas.openxmlformats.org/officeDocument/2006/relationships/hyperlink" Target="https://www1.health.gov.au/internet/main/publishing.nsf/Content/4BC52286D3009386CA257BF000209AD5/$File/Impact%20of%20PBS%20Reform%20Report%203.pdf" TargetMode="External"/><Relationship Id="rId14" Type="http://schemas.openxmlformats.org/officeDocument/2006/relationships/hyperlink" Target="http://www.npsa.org.au/" TargetMode="External"/><Relationship Id="rId22" Type="http://schemas.openxmlformats.org/officeDocument/2006/relationships/hyperlink" Target="https://www.9news.com.au/national/doctors-call-to-double-length-of-scripts-pharmacy-guild-disagrees/b971e8a2-cd72-4608-bee5-79f9e5bf6bab" TargetMode="External"/><Relationship Id="rId27" Type="http://schemas.openxmlformats.org/officeDocument/2006/relationships/hyperlink" Target="https://www.ama.com.au/media/ama-calls-two-months-medicines-be-dispensed-single-script-0" TargetMode="External"/><Relationship Id="rId30" Type="http://schemas.openxmlformats.org/officeDocument/2006/relationships/hyperlink" Target="https://www.health.gov.au/resources/publications/national-medicine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F5B"/>
    <w:rsid w:val="000D356E"/>
    <w:rsid w:val="0011110C"/>
    <w:rsid w:val="00154EA2"/>
    <w:rsid w:val="00171C0C"/>
    <w:rsid w:val="001B72A9"/>
    <w:rsid w:val="001C6ED4"/>
    <w:rsid w:val="001E0989"/>
    <w:rsid w:val="00206353"/>
    <w:rsid w:val="00231359"/>
    <w:rsid w:val="00272EEA"/>
    <w:rsid w:val="002A5B2A"/>
    <w:rsid w:val="003B7F40"/>
    <w:rsid w:val="004240E3"/>
    <w:rsid w:val="00427B19"/>
    <w:rsid w:val="00481671"/>
    <w:rsid w:val="004C3D55"/>
    <w:rsid w:val="004C693A"/>
    <w:rsid w:val="00516070"/>
    <w:rsid w:val="00517F50"/>
    <w:rsid w:val="00521BAE"/>
    <w:rsid w:val="00533EC2"/>
    <w:rsid w:val="00551CFE"/>
    <w:rsid w:val="0057116D"/>
    <w:rsid w:val="005D27A6"/>
    <w:rsid w:val="005E52FD"/>
    <w:rsid w:val="00605937"/>
    <w:rsid w:val="006305F2"/>
    <w:rsid w:val="00710A41"/>
    <w:rsid w:val="007534C7"/>
    <w:rsid w:val="007C1E46"/>
    <w:rsid w:val="0080361E"/>
    <w:rsid w:val="00811F5B"/>
    <w:rsid w:val="00857696"/>
    <w:rsid w:val="008722AA"/>
    <w:rsid w:val="008D262B"/>
    <w:rsid w:val="00961C63"/>
    <w:rsid w:val="00980A35"/>
    <w:rsid w:val="00991D06"/>
    <w:rsid w:val="009C7930"/>
    <w:rsid w:val="009E55C6"/>
    <w:rsid w:val="00A4437F"/>
    <w:rsid w:val="00A947B6"/>
    <w:rsid w:val="00AB643B"/>
    <w:rsid w:val="00AB7041"/>
    <w:rsid w:val="00AC26CC"/>
    <w:rsid w:val="00AD6D82"/>
    <w:rsid w:val="00AF654C"/>
    <w:rsid w:val="00B07E98"/>
    <w:rsid w:val="00B1246B"/>
    <w:rsid w:val="00B27DC9"/>
    <w:rsid w:val="00B64DEA"/>
    <w:rsid w:val="00B767E4"/>
    <w:rsid w:val="00BA1EA4"/>
    <w:rsid w:val="00BA5093"/>
    <w:rsid w:val="00BC7625"/>
    <w:rsid w:val="00BF7F41"/>
    <w:rsid w:val="00C60DFA"/>
    <w:rsid w:val="00CE5D4A"/>
    <w:rsid w:val="00CE68BE"/>
    <w:rsid w:val="00D1725A"/>
    <w:rsid w:val="00D25BCF"/>
    <w:rsid w:val="00DE2EFC"/>
    <w:rsid w:val="00E248BB"/>
    <w:rsid w:val="00E920D8"/>
    <w:rsid w:val="00EF2ED1"/>
    <w:rsid w:val="00F41D67"/>
    <w:rsid w:val="00F86E90"/>
    <w:rsid w:val="00FF41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9620ADD92642389C5D4B3C4F0DC506">
    <w:name w:val="219620ADD92642389C5D4B3C4F0DC506"/>
  </w:style>
  <w:style w:type="paragraph" w:customStyle="1" w:styleId="8FA75C6A6517453A8BB1CBCC6A673432">
    <w:name w:val="8FA75C6A6517453A8BB1CBCC6A673432"/>
  </w:style>
  <w:style w:type="paragraph" w:customStyle="1" w:styleId="97FC212643D64848BFC92A9EFAEA683B">
    <w:name w:val="97FC212643D64848BFC92A9EFAEA683B"/>
    <w:rsid w:val="00533EC2"/>
  </w:style>
  <w:style w:type="character" w:styleId="PlaceholderText">
    <w:name w:val="Placeholder Text"/>
    <w:basedOn w:val="DefaultParagraphFont"/>
    <w:uiPriority w:val="99"/>
    <w:semiHidden/>
    <w:rsid w:val="00BA1EA4"/>
    <w:rPr>
      <w:color w:val="808080"/>
    </w:rPr>
  </w:style>
  <w:style w:type="paragraph" w:customStyle="1" w:styleId="4A1B4207812C47D4A115D0D13B555E302">
    <w:name w:val="4A1B4207812C47D4A115D0D13B555E302"/>
    <w:rsid w:val="00BA1EA4"/>
    <w:pPr>
      <w:tabs>
        <w:tab w:val="center" w:pos="4513"/>
        <w:tab w:val="right" w:pos="9026"/>
      </w:tabs>
      <w:spacing w:after="0" w:line="240" w:lineRule="auto"/>
      <w:jc w:val="right"/>
    </w:pPr>
    <w:rPr>
      <w:rFonts w:asciiTheme="majorHAnsi" w:eastAsiaTheme="minorHAnsi" w:hAnsiTheme="majorHAnsi"/>
      <w:b/>
      <w:caps/>
      <w:color w:val="44546A" w:themeColor="text2"/>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PMC Corp Word">
      <a:dk1>
        <a:srgbClr val="000000"/>
      </a:dk1>
      <a:lt1>
        <a:sysClr val="window" lastClr="FFFFFF"/>
      </a:lt1>
      <a:dk2>
        <a:srgbClr val="014463"/>
      </a:dk2>
      <a:lt2>
        <a:srgbClr val="D1D1D1"/>
      </a:lt2>
      <a:accent1>
        <a:srgbClr val="25303B"/>
      </a:accent1>
      <a:accent2>
        <a:srgbClr val="014463"/>
      </a:accent2>
      <a:accent3>
        <a:srgbClr val="0A6446"/>
      </a:accent3>
      <a:accent4>
        <a:srgbClr val="C85A17"/>
      </a:accent4>
      <a:accent5>
        <a:srgbClr val="F7A600"/>
      </a:accent5>
      <a:accent6>
        <a:srgbClr val="A91117"/>
      </a:accent6>
      <a:hlink>
        <a:srgbClr val="015F8B"/>
      </a:hlink>
      <a:folHlink>
        <a:srgbClr val="015F8B"/>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s>
</file>

<file path=customXml/item2.xml><?xml version="1.0" encoding="utf-8"?>
<ct:contentTypeSchema xmlns:ct="http://schemas.microsoft.com/office/2006/metadata/contentType" xmlns:ma="http://schemas.microsoft.com/office/2006/metadata/properties/metaAttributes" ct:_="" ma:_="" ma:contentTypeName="Document" ma:contentTypeID="0x0101009CA239676470E04B809DDC4E24CF2322" ma:contentTypeVersion="16" ma:contentTypeDescription="Create a new document." ma:contentTypeScope="" ma:versionID="15883b792da53fd44784623907b31bb4">
  <xsd:schema xmlns:xsd="http://www.w3.org/2001/XMLSchema" xmlns:xs="http://www.w3.org/2001/XMLSchema" xmlns:p="http://schemas.microsoft.com/office/2006/metadata/properties" xmlns:ns1="http://schemas.microsoft.com/sharepoint/v3" xmlns:ns2="4195ad5f-cdf2-4c4a-8d9b-b7944a108e98" xmlns:ns3="26285671-540d-468b-b7a1-f3e0438dd51a" targetNamespace="http://schemas.microsoft.com/office/2006/metadata/properties" ma:root="true" ma:fieldsID="0fc62fc07c23b42ad0842bced76ef983" ns1:_="" ns2:_="" ns3:_="">
    <xsd:import namespace="http://schemas.microsoft.com/sharepoint/v3"/>
    <xsd:import namespace="4195ad5f-cdf2-4c4a-8d9b-b7944a108e98"/>
    <xsd:import namespace="26285671-540d-468b-b7a1-f3e0438dd51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SharedWithUsers" minOccurs="0"/>
                <xsd:element ref="ns2:SharedWithDetails"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95ad5f-cdf2-4c4a-8d9b-b7944a108e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cfc965e-522b-48e0-94e0-2258889ba25b}" ma:internalName="TaxCatchAll" ma:showField="CatchAllData" ma:web="4195ad5f-cdf2-4c4a-8d9b-b7944a108e9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285671-540d-468b-b7a1-f3e0438dd51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04aed0-9400-4f73-8896-887924b24b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4195ad5f-cdf2-4c4a-8d9b-b7944a108e98" xsi:nil="true"/>
    <_ip_UnifiedCompliancePolicyProperties xmlns="http://schemas.microsoft.com/sharepoint/v3" xsi:nil="true"/>
    <lcf76f155ced4ddcb4097134ff3c332f xmlns="26285671-540d-468b-b7a1-f3e0438dd51a">
      <Terms xmlns="http://schemas.microsoft.com/office/infopath/2007/PartnerControls"/>
    </lcf76f155ced4ddcb4097134ff3c332f>
    <_dlc_DocId xmlns="4195ad5f-cdf2-4c4a-8d9b-b7944a108e98">DOCID-322795542-32458</_dlc_DocId>
    <_dlc_DocIdUrl xmlns="4195ad5f-cdf2-4c4a-8d9b-b7944a108e98">
      <Url>https://pmc01.sharepoint.com/sites/CRMOBPR/_layouts/15/DocIdRedir.aspx?ID=DOCID-322795542-32458</Url>
      <Description>DOCID-322795542-32458</Description>
    </_dlc_DocIdUrl>
  </documentManagement>
</p:properties>
</file>

<file path=customXml/itemProps1.xml><?xml version="1.0" encoding="utf-8"?>
<ds:datastoreItem xmlns:ds="http://schemas.openxmlformats.org/officeDocument/2006/customXml" ds:itemID="{43167AE1-2188-4FC0-A224-AE107F28669E}">
  <ds:schemaRefs>
    <ds:schemaRef ds:uri="http://schemas.openxmlformats.org/officeDocument/2006/bibliography"/>
  </ds:schemaRefs>
</ds:datastoreItem>
</file>

<file path=customXml/itemProps2.xml><?xml version="1.0" encoding="utf-8"?>
<ds:datastoreItem xmlns:ds="http://schemas.openxmlformats.org/officeDocument/2006/customXml" ds:itemID="{A2DBC950-5BE4-412D-BDD7-CE071555C76E}"/>
</file>

<file path=customXml/itemProps3.xml><?xml version="1.0" encoding="utf-8"?>
<ds:datastoreItem xmlns:ds="http://schemas.openxmlformats.org/officeDocument/2006/customXml" ds:itemID="{7A567CCE-69C9-4532-857C-A115E26CABB2}"/>
</file>

<file path=customXml/itemProps4.xml><?xml version="1.0" encoding="utf-8"?>
<ds:datastoreItem xmlns:ds="http://schemas.openxmlformats.org/officeDocument/2006/customXml" ds:itemID="{DBBDA14D-95B7-47CE-9EA0-5F6663DD3EA5}"/>
</file>

<file path=customXml/itemProps5.xml><?xml version="1.0" encoding="utf-8"?>
<ds:datastoreItem xmlns:ds="http://schemas.openxmlformats.org/officeDocument/2006/customXml" ds:itemID="{E973A1E1-4D76-438C-A70A-940A884839A9}"/>
</file>

<file path=docProps/app.xml><?xml version="1.0" encoding="utf-8"?>
<Properties xmlns="http://schemas.openxmlformats.org/officeDocument/2006/extended-properties" xmlns:vt="http://schemas.openxmlformats.org/officeDocument/2006/docPropsVTypes">
  <Template>Normal</Template>
  <TotalTime>0</TotalTime>
  <Pages>49</Pages>
  <Words>17728</Words>
  <Characters>97507</Characters>
  <Application>Microsoft Office Word</Application>
  <DocSecurity>0</DocSecurity>
  <Lines>1741</Lines>
  <Paragraphs>853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2023-05-09T23:39:00Z</dcterms:created>
  <dcterms:modified xsi:type="dcterms:W3CDTF">2023-05-09T23:39:00Z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0x0101009CA239676470E04B809DDC4E24CF2322</vt:lpwstr>
  </property>
  <property fmtid="{D5CDD505-2E9C-101B-9397-08002B2CF9AE}" pid="3" name="_dlc_DocIdItemGuid">
    <vt:lpwstr>55d1d9bc-0746-40d9-bcda-ad49d0206ae7</vt:lpwstr>
  </property>
</Properties>
</file>